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广元市朝天区卫生健康局行政执法集中公示</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一、朝天区卫生健康局行政执法主体</w:t>
      </w:r>
      <w:bookmarkStart w:id="3" w:name="_GoBack"/>
      <w:bookmarkEnd w:id="3"/>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二、朝天区卫生健康局执法人员清单</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三、朝天区卫生健康局行政执法权力、责任清单</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四、朝天区卫生健康局重大行政执法审核目录清单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五、朝天区卫生健康局行政执法（监督信息）救济渠道、行政执法责任制</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六、朝天区卫生健康行政执法自由裁量标准</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七、朝天区卫生健康局随机抽查事项清单、市场主体库（检查对象名录库）、2022年双随机抽查情况、2023年抽查计划、2023年国家卫生健康委员会抽查名单</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sz w:val="32"/>
          <w:szCs w:val="32"/>
        </w:rPr>
        <w:t>八、朝天区卫生健康局行政执法文书样式、行政执法案卷评查制度</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九、朝天区卫生健康局上年度双随机抽查结果、行政处罚和上年度行政执法数据总体情况。</w:t>
      </w:r>
    </w:p>
    <w:p>
      <w:pPr>
        <w:spacing w:line="56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十、朝天区卫生健康局实行行政执法三项制度方案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十一、“一目录、五清单”</w:t>
      </w:r>
    </w:p>
    <w:p>
      <w:pPr>
        <w:spacing w:line="600" w:lineRule="exact"/>
        <w:ind w:firstLine="640" w:firstLineChars="200"/>
        <w:rPr>
          <w:rFonts w:ascii="黑体" w:hAnsi="黑体" w:eastAsia="黑体" w:cs="黑体"/>
          <w:bCs/>
          <w:sz w:val="32"/>
          <w:szCs w:val="32"/>
        </w:rPr>
      </w:pPr>
    </w:p>
    <w:p>
      <w:pPr>
        <w:spacing w:line="60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一、朝天区卫生健康局行政执法主体</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行政执法主体1个</w:t>
      </w:r>
      <w:r>
        <w:rPr>
          <w:rFonts w:hint="eastAsia" w:ascii="仿宋_GB2312" w:hAnsi="仿宋_GB2312" w:eastAsia="仿宋_GB2312" w:cs="仿宋_GB2312"/>
          <w:sz w:val="32"/>
          <w:szCs w:val="32"/>
        </w:rPr>
        <w:t>：</w:t>
      </w:r>
      <w:r>
        <w:rPr>
          <w:rFonts w:hint="eastAsia" w:ascii="黑体" w:hAnsi="黑体" w:eastAsia="黑体" w:cs="黑体"/>
          <w:sz w:val="32"/>
          <w:szCs w:val="32"/>
        </w:rPr>
        <w:t>朝天区卫生健康局</w:t>
      </w:r>
      <w:r>
        <w:rPr>
          <w:rFonts w:hint="eastAsia" w:ascii="仿宋_GB2312" w:hAnsi="仿宋_GB2312" w:eastAsia="仿宋_GB2312" w:cs="仿宋_GB2312"/>
          <w:sz w:val="32"/>
          <w:szCs w:val="32"/>
        </w:rPr>
        <w:t xml:space="preserve">   地址:四川省广元市朝天区朝天镇潜溪路一段38号 邮编:628012 电话0839-8622165    </w:t>
      </w:r>
    </w:p>
    <w:p>
      <w:pPr>
        <w:spacing w:line="560" w:lineRule="exact"/>
        <w:ind w:firstLine="629" w:firstLineChars="196"/>
        <w:rPr>
          <w:rFonts w:ascii="仿宋_GB2312" w:hAnsi="仿宋_GB2312" w:eastAsia="仿宋_GB2312" w:cs="仿宋_GB2312"/>
          <w:sz w:val="32"/>
          <w:szCs w:val="32"/>
        </w:rPr>
      </w:pPr>
      <w:r>
        <w:rPr>
          <w:rFonts w:hint="eastAsia" w:ascii="仿宋_GB2312" w:hAnsi="仿宋_GB2312" w:eastAsia="仿宋_GB2312" w:cs="仿宋_GB2312"/>
          <w:b/>
          <w:bCs/>
          <w:sz w:val="32"/>
          <w:szCs w:val="32"/>
        </w:rPr>
        <w:t>行政执法机构设置1个</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广元市朝天区卫生健康综合行政执法大队</w:t>
      </w:r>
    </w:p>
    <w:p>
      <w:pPr>
        <w:adjustRightInd w:val="0"/>
        <w:snapToGrid w:val="0"/>
        <w:spacing w:line="560" w:lineRule="exact"/>
        <w:ind w:firstLine="640" w:firstLineChars="200"/>
        <w:rPr>
          <w:rFonts w:ascii="仿宋_GB2312" w:hAnsi="仿宋_GB2312" w:eastAsia="仿宋_GB2312" w:cs="宋体"/>
          <w:sz w:val="32"/>
          <w:szCs w:val="32"/>
        </w:rPr>
      </w:pPr>
      <w:r>
        <w:rPr>
          <w:rFonts w:hint="eastAsia" w:ascii="仿宋_GB2312" w:hAnsi="仿宋_GB2312" w:eastAsia="仿宋_GB2312" w:cs="仿宋_GB2312"/>
          <w:sz w:val="32"/>
          <w:szCs w:val="32"/>
        </w:rPr>
        <w:t>主要职责：</w:t>
      </w:r>
      <w:r>
        <w:rPr>
          <w:rFonts w:hint="eastAsia" w:ascii="仿宋_GB2312" w:hAnsi="仿宋_GB2312" w:eastAsia="仿宋_GB2312" w:cs="宋体"/>
          <w:sz w:val="32"/>
          <w:szCs w:val="32"/>
        </w:rPr>
        <w:t>负责组织拟定卫生健康监督执法工作计划，并进行实施。组织卫生健康监督执法检查，定期上报抽查结果。协助卫生健康行政部门定期向社会通报卫生健康监督工作。对卫生污染、中毒事故等重大突发事件进行调查取证，采取必要的控制措施，提出处理意见。组织现场监督检测、采样工作。负责卫生健康监督信息的收集整理、分析和报告。负责对卫生监督员法律知识和业务的培训工作、宣传卫生健康法律法规知识。对新建、扩建、改建工程的选址，设计进行卫生审查和竣工验收。承担卫生健康行政部门交办的其他任务。</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二、朝天区卫生健康局执法人员清单</w:t>
      </w:r>
    </w:p>
    <w:tbl>
      <w:tblPr>
        <w:tblStyle w:val="13"/>
        <w:tblW w:w="8806" w:type="dxa"/>
        <w:tblInd w:w="0" w:type="dxa"/>
        <w:tblLayout w:type="fixed"/>
        <w:tblCellMar>
          <w:top w:w="0" w:type="dxa"/>
          <w:left w:w="0" w:type="dxa"/>
          <w:bottom w:w="0" w:type="dxa"/>
          <w:right w:w="0" w:type="dxa"/>
        </w:tblCellMar>
      </w:tblPr>
      <w:tblGrid>
        <w:gridCol w:w="1655"/>
        <w:gridCol w:w="2857"/>
        <w:gridCol w:w="4294"/>
      </w:tblGrid>
      <w:tr>
        <w:tblPrEx>
          <w:tblCellMar>
            <w:top w:w="0" w:type="dxa"/>
            <w:left w:w="0" w:type="dxa"/>
            <w:bottom w:w="0" w:type="dxa"/>
            <w:right w:w="0" w:type="dxa"/>
          </w:tblCellMar>
        </w:tblPrEx>
        <w:trPr>
          <w:trHeight w:val="397" w:hRule="exac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textAlignment w:val="bottom"/>
              <w:rPr>
                <w:rFonts w:ascii="宋体" w:hAnsi="宋体" w:cs="宋体"/>
                <w:color w:val="000000"/>
                <w:szCs w:val="21"/>
              </w:rPr>
            </w:pPr>
            <w:r>
              <w:rPr>
                <w:rFonts w:hint="eastAsia" w:ascii="宋体" w:hAnsi="宋体" w:cs="宋体"/>
                <w:color w:val="000000"/>
                <w:kern w:val="0"/>
                <w:szCs w:val="21"/>
              </w:rPr>
              <w:t>序号</w:t>
            </w:r>
          </w:p>
        </w:tc>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textAlignment w:val="bottom"/>
              <w:rPr>
                <w:rFonts w:ascii="宋体" w:hAnsi="宋体" w:cs="宋体"/>
                <w:color w:val="000000"/>
                <w:szCs w:val="21"/>
              </w:rPr>
            </w:pPr>
            <w:r>
              <w:rPr>
                <w:rFonts w:hint="eastAsia" w:ascii="宋体" w:hAnsi="宋体" w:cs="宋体"/>
                <w:color w:val="000000"/>
                <w:kern w:val="0"/>
                <w:szCs w:val="21"/>
              </w:rPr>
              <w:t>姓  名</w:t>
            </w:r>
          </w:p>
        </w:tc>
        <w:tc>
          <w:tcPr>
            <w:tcW w:w="4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textAlignment w:val="bottom"/>
              <w:rPr>
                <w:rFonts w:ascii="宋体" w:hAnsi="宋体" w:cs="宋体"/>
                <w:color w:val="000000"/>
                <w:szCs w:val="21"/>
              </w:rPr>
            </w:pPr>
            <w:r>
              <w:rPr>
                <w:rFonts w:hint="eastAsia" w:ascii="宋体" w:hAnsi="宋体" w:cs="宋体"/>
                <w:color w:val="000000"/>
                <w:kern w:val="0"/>
                <w:szCs w:val="21"/>
              </w:rPr>
              <w:t>证件编号</w:t>
            </w:r>
          </w:p>
        </w:tc>
      </w:tr>
      <w:tr>
        <w:tblPrEx>
          <w:tblCellMar>
            <w:top w:w="0" w:type="dxa"/>
            <w:left w:w="0" w:type="dxa"/>
            <w:bottom w:w="0" w:type="dxa"/>
            <w:right w:w="0" w:type="dxa"/>
          </w:tblCellMar>
        </w:tblPrEx>
        <w:trPr>
          <w:trHeight w:val="397" w:hRule="exac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textAlignment w:val="bottom"/>
              <w:rPr>
                <w:rFonts w:ascii="宋体" w:hAnsi="宋体" w:cs="宋体"/>
                <w:color w:val="000000"/>
                <w:szCs w:val="21"/>
              </w:rPr>
            </w:pPr>
            <w:r>
              <w:rPr>
                <w:rFonts w:hint="eastAsia" w:ascii="宋体" w:hAnsi="宋体" w:cs="宋体"/>
                <w:color w:val="000000"/>
                <w:kern w:val="0"/>
                <w:szCs w:val="21"/>
              </w:rPr>
              <w:t>2</w:t>
            </w:r>
          </w:p>
        </w:tc>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rPr>
                <w:rFonts w:ascii="宋体" w:hAnsi="宋体" w:cs="宋体"/>
                <w:szCs w:val="21"/>
              </w:rPr>
            </w:pPr>
            <w:r>
              <w:rPr>
                <w:rFonts w:hint="eastAsia" w:ascii="宋体" w:hAnsi="宋体" w:cs="宋体"/>
                <w:szCs w:val="21"/>
              </w:rPr>
              <w:t>张伟</w:t>
            </w:r>
          </w:p>
        </w:tc>
        <w:tc>
          <w:tcPr>
            <w:tcW w:w="4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rPr>
                <w:rFonts w:ascii="宋体" w:hAnsi="宋体" w:cs="宋体"/>
                <w:szCs w:val="21"/>
              </w:rPr>
            </w:pPr>
            <w:r>
              <w:rPr>
                <w:rFonts w:hint="eastAsia" w:ascii="宋体" w:hAnsi="宋体" w:cs="宋体"/>
                <w:szCs w:val="21"/>
              </w:rPr>
              <w:t>川H04190016</w:t>
            </w:r>
          </w:p>
        </w:tc>
      </w:tr>
      <w:tr>
        <w:tblPrEx>
          <w:tblCellMar>
            <w:top w:w="0" w:type="dxa"/>
            <w:left w:w="0" w:type="dxa"/>
            <w:bottom w:w="0" w:type="dxa"/>
            <w:right w:w="0" w:type="dxa"/>
          </w:tblCellMar>
        </w:tblPrEx>
        <w:trPr>
          <w:trHeight w:val="397" w:hRule="exac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textAlignment w:val="bottom"/>
              <w:rPr>
                <w:rFonts w:ascii="宋体" w:hAnsi="宋体" w:cs="宋体"/>
                <w:color w:val="000000"/>
                <w:kern w:val="0"/>
                <w:szCs w:val="21"/>
              </w:rPr>
            </w:pPr>
            <w:r>
              <w:rPr>
                <w:rFonts w:hint="eastAsia" w:ascii="宋体" w:hAnsi="宋体" w:cs="宋体"/>
                <w:color w:val="000000"/>
                <w:kern w:val="0"/>
                <w:szCs w:val="21"/>
              </w:rPr>
              <w:t>5</w:t>
            </w:r>
          </w:p>
        </w:tc>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rPr>
                <w:rFonts w:ascii="宋体" w:hAnsi="宋体" w:cs="宋体"/>
                <w:szCs w:val="21"/>
              </w:rPr>
            </w:pPr>
            <w:r>
              <w:rPr>
                <w:rFonts w:hint="eastAsia" w:ascii="宋体" w:hAnsi="宋体" w:cs="宋体"/>
                <w:szCs w:val="21"/>
              </w:rPr>
              <w:t>赵玉蓉</w:t>
            </w:r>
          </w:p>
        </w:tc>
        <w:tc>
          <w:tcPr>
            <w:tcW w:w="4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rPr>
                <w:rFonts w:ascii="宋体" w:hAnsi="宋体" w:cs="宋体"/>
                <w:szCs w:val="21"/>
              </w:rPr>
            </w:pPr>
            <w:r>
              <w:rPr>
                <w:rFonts w:hint="eastAsia" w:ascii="宋体" w:hAnsi="宋体" w:cs="宋体"/>
                <w:szCs w:val="21"/>
              </w:rPr>
              <w:t>川H04190020</w:t>
            </w:r>
          </w:p>
        </w:tc>
      </w:tr>
      <w:tr>
        <w:tblPrEx>
          <w:tblCellMar>
            <w:top w:w="0" w:type="dxa"/>
            <w:left w:w="0" w:type="dxa"/>
            <w:bottom w:w="0" w:type="dxa"/>
            <w:right w:w="0" w:type="dxa"/>
          </w:tblCellMar>
        </w:tblPrEx>
        <w:trPr>
          <w:trHeight w:val="397" w:hRule="exac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textAlignment w:val="bottom"/>
              <w:rPr>
                <w:rFonts w:ascii="宋体" w:hAnsi="宋体" w:cs="宋体"/>
                <w:color w:val="000000"/>
                <w:kern w:val="0"/>
                <w:szCs w:val="21"/>
              </w:rPr>
            </w:pPr>
            <w:r>
              <w:rPr>
                <w:rFonts w:hint="eastAsia" w:ascii="宋体" w:hAnsi="宋体" w:cs="宋体"/>
                <w:color w:val="000000"/>
                <w:kern w:val="0"/>
                <w:szCs w:val="21"/>
              </w:rPr>
              <w:t>6</w:t>
            </w:r>
          </w:p>
        </w:tc>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rPr>
                <w:rFonts w:ascii="宋体" w:hAnsi="宋体" w:cs="宋体"/>
                <w:szCs w:val="21"/>
              </w:rPr>
            </w:pPr>
            <w:r>
              <w:rPr>
                <w:rFonts w:hint="eastAsia" w:ascii="宋体" w:hAnsi="宋体" w:cs="宋体"/>
                <w:szCs w:val="21"/>
              </w:rPr>
              <w:t>杨其翰</w:t>
            </w:r>
          </w:p>
        </w:tc>
        <w:tc>
          <w:tcPr>
            <w:tcW w:w="4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rPr>
                <w:rFonts w:ascii="宋体" w:hAnsi="宋体" w:cs="宋体"/>
                <w:szCs w:val="21"/>
              </w:rPr>
            </w:pPr>
            <w:r>
              <w:rPr>
                <w:rFonts w:hint="eastAsia" w:ascii="宋体" w:hAnsi="宋体" w:cs="宋体"/>
                <w:szCs w:val="21"/>
              </w:rPr>
              <w:t>川H04190010</w:t>
            </w:r>
          </w:p>
        </w:tc>
      </w:tr>
      <w:tr>
        <w:tblPrEx>
          <w:tblCellMar>
            <w:top w:w="0" w:type="dxa"/>
            <w:left w:w="0" w:type="dxa"/>
            <w:bottom w:w="0" w:type="dxa"/>
            <w:right w:w="0" w:type="dxa"/>
          </w:tblCellMar>
        </w:tblPrEx>
        <w:trPr>
          <w:trHeight w:val="397" w:hRule="exac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textAlignment w:val="bottom"/>
              <w:rPr>
                <w:rFonts w:ascii="宋体" w:hAnsi="宋体" w:cs="宋体"/>
                <w:color w:val="000000"/>
                <w:kern w:val="0"/>
                <w:szCs w:val="21"/>
              </w:rPr>
            </w:pPr>
            <w:r>
              <w:rPr>
                <w:rFonts w:hint="eastAsia" w:ascii="宋体" w:hAnsi="宋体" w:cs="宋体"/>
                <w:color w:val="000000"/>
                <w:kern w:val="0"/>
                <w:szCs w:val="21"/>
              </w:rPr>
              <w:t>7</w:t>
            </w:r>
          </w:p>
        </w:tc>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rPr>
                <w:rFonts w:ascii="宋体" w:hAnsi="宋体" w:cs="宋体"/>
                <w:szCs w:val="21"/>
              </w:rPr>
            </w:pPr>
            <w:r>
              <w:rPr>
                <w:rFonts w:hint="eastAsia" w:ascii="宋体" w:hAnsi="宋体" w:cs="宋体"/>
                <w:szCs w:val="21"/>
              </w:rPr>
              <w:t>张波</w:t>
            </w:r>
          </w:p>
        </w:tc>
        <w:tc>
          <w:tcPr>
            <w:tcW w:w="4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rPr>
                <w:rFonts w:ascii="宋体" w:hAnsi="宋体" w:cs="宋体"/>
                <w:szCs w:val="21"/>
              </w:rPr>
            </w:pPr>
            <w:r>
              <w:rPr>
                <w:rFonts w:hint="eastAsia" w:ascii="宋体" w:hAnsi="宋体" w:cs="宋体"/>
                <w:szCs w:val="21"/>
              </w:rPr>
              <w:t>川H04190005</w:t>
            </w:r>
          </w:p>
        </w:tc>
      </w:tr>
      <w:tr>
        <w:tblPrEx>
          <w:tblCellMar>
            <w:top w:w="0" w:type="dxa"/>
            <w:left w:w="0" w:type="dxa"/>
            <w:bottom w:w="0" w:type="dxa"/>
            <w:right w:w="0" w:type="dxa"/>
          </w:tblCellMar>
        </w:tblPrEx>
        <w:trPr>
          <w:trHeight w:val="397" w:hRule="exac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textAlignment w:val="bottom"/>
              <w:rPr>
                <w:rFonts w:ascii="宋体" w:hAnsi="宋体" w:cs="宋体"/>
                <w:color w:val="000000"/>
                <w:kern w:val="0"/>
                <w:szCs w:val="21"/>
              </w:rPr>
            </w:pPr>
            <w:r>
              <w:rPr>
                <w:rFonts w:hint="eastAsia" w:ascii="宋体" w:hAnsi="宋体" w:cs="宋体"/>
                <w:color w:val="000000"/>
                <w:kern w:val="0"/>
                <w:szCs w:val="21"/>
              </w:rPr>
              <w:t>8</w:t>
            </w:r>
          </w:p>
        </w:tc>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rPr>
                <w:rFonts w:ascii="宋体" w:hAnsi="宋体" w:cs="宋体"/>
                <w:szCs w:val="21"/>
              </w:rPr>
            </w:pPr>
            <w:r>
              <w:rPr>
                <w:rFonts w:hint="eastAsia" w:ascii="宋体" w:hAnsi="宋体" w:cs="宋体"/>
                <w:szCs w:val="21"/>
              </w:rPr>
              <w:t>战应川</w:t>
            </w:r>
          </w:p>
        </w:tc>
        <w:tc>
          <w:tcPr>
            <w:tcW w:w="4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rPr>
                <w:rFonts w:ascii="宋体" w:hAnsi="宋体" w:cs="宋体"/>
                <w:szCs w:val="21"/>
              </w:rPr>
            </w:pPr>
            <w:r>
              <w:rPr>
                <w:rFonts w:hint="eastAsia" w:ascii="宋体" w:hAnsi="宋体" w:cs="宋体"/>
                <w:szCs w:val="21"/>
              </w:rPr>
              <w:t>川H04190006</w:t>
            </w:r>
          </w:p>
        </w:tc>
      </w:tr>
      <w:tr>
        <w:tblPrEx>
          <w:tblCellMar>
            <w:top w:w="0" w:type="dxa"/>
            <w:left w:w="0" w:type="dxa"/>
            <w:bottom w:w="0" w:type="dxa"/>
            <w:right w:w="0" w:type="dxa"/>
          </w:tblCellMar>
        </w:tblPrEx>
        <w:trPr>
          <w:trHeight w:val="397" w:hRule="exac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textAlignment w:val="bottom"/>
              <w:rPr>
                <w:rFonts w:ascii="宋体" w:hAnsi="宋体" w:cs="宋体"/>
                <w:color w:val="000000"/>
                <w:kern w:val="0"/>
                <w:szCs w:val="21"/>
              </w:rPr>
            </w:pPr>
            <w:r>
              <w:rPr>
                <w:rFonts w:hint="eastAsia" w:ascii="宋体" w:hAnsi="宋体" w:cs="宋体"/>
                <w:color w:val="000000"/>
                <w:kern w:val="0"/>
                <w:szCs w:val="21"/>
              </w:rPr>
              <w:t>10</w:t>
            </w:r>
          </w:p>
        </w:tc>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rPr>
                <w:rFonts w:ascii="宋体" w:hAnsi="宋体" w:cs="宋体"/>
                <w:szCs w:val="21"/>
              </w:rPr>
            </w:pPr>
            <w:r>
              <w:rPr>
                <w:rFonts w:hint="eastAsia" w:ascii="宋体" w:hAnsi="宋体" w:cs="宋体"/>
                <w:szCs w:val="21"/>
              </w:rPr>
              <w:t>刘骦</w:t>
            </w:r>
          </w:p>
        </w:tc>
        <w:tc>
          <w:tcPr>
            <w:tcW w:w="4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rPr>
                <w:rFonts w:ascii="宋体" w:hAnsi="宋体" w:cs="宋体"/>
                <w:szCs w:val="21"/>
              </w:rPr>
            </w:pPr>
            <w:r>
              <w:rPr>
                <w:rFonts w:hint="eastAsia" w:ascii="宋体" w:hAnsi="宋体" w:cs="宋体"/>
                <w:szCs w:val="21"/>
              </w:rPr>
              <w:t>川H04190015</w:t>
            </w:r>
          </w:p>
        </w:tc>
      </w:tr>
      <w:tr>
        <w:tblPrEx>
          <w:tblCellMar>
            <w:top w:w="0" w:type="dxa"/>
            <w:left w:w="0" w:type="dxa"/>
            <w:bottom w:w="0" w:type="dxa"/>
            <w:right w:w="0" w:type="dxa"/>
          </w:tblCellMar>
        </w:tblPrEx>
        <w:trPr>
          <w:trHeight w:val="397" w:hRule="exac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textAlignment w:val="bottom"/>
              <w:rPr>
                <w:rFonts w:ascii="宋体" w:hAnsi="宋体" w:cs="宋体"/>
                <w:color w:val="000000"/>
                <w:kern w:val="0"/>
                <w:szCs w:val="21"/>
              </w:rPr>
            </w:pPr>
            <w:r>
              <w:rPr>
                <w:rFonts w:hint="eastAsia" w:ascii="宋体" w:hAnsi="宋体" w:cs="宋体"/>
                <w:color w:val="000000"/>
                <w:kern w:val="0"/>
                <w:szCs w:val="21"/>
              </w:rPr>
              <w:t>11</w:t>
            </w:r>
          </w:p>
        </w:tc>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rPr>
                <w:rFonts w:ascii="宋体" w:hAnsi="宋体" w:cs="宋体"/>
                <w:szCs w:val="21"/>
              </w:rPr>
            </w:pPr>
            <w:r>
              <w:rPr>
                <w:rFonts w:hint="eastAsia" w:ascii="宋体" w:hAnsi="宋体" w:cs="宋体"/>
                <w:szCs w:val="21"/>
              </w:rPr>
              <w:t>张万斌</w:t>
            </w:r>
          </w:p>
        </w:tc>
        <w:tc>
          <w:tcPr>
            <w:tcW w:w="4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rPr>
                <w:rFonts w:ascii="宋体" w:hAnsi="宋体" w:cs="宋体"/>
                <w:szCs w:val="21"/>
              </w:rPr>
            </w:pPr>
            <w:r>
              <w:rPr>
                <w:rFonts w:hint="eastAsia" w:ascii="宋体" w:hAnsi="宋体" w:cs="宋体"/>
                <w:szCs w:val="21"/>
              </w:rPr>
              <w:t>川H04190022</w:t>
            </w:r>
          </w:p>
        </w:tc>
      </w:tr>
      <w:tr>
        <w:tblPrEx>
          <w:tblCellMar>
            <w:top w:w="0" w:type="dxa"/>
            <w:left w:w="0" w:type="dxa"/>
            <w:bottom w:w="0" w:type="dxa"/>
            <w:right w:w="0" w:type="dxa"/>
          </w:tblCellMar>
        </w:tblPrEx>
        <w:trPr>
          <w:trHeight w:val="397" w:hRule="exac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textAlignment w:val="bottom"/>
              <w:rPr>
                <w:rFonts w:ascii="宋体" w:hAnsi="宋体" w:cs="宋体"/>
                <w:color w:val="000000"/>
                <w:kern w:val="0"/>
                <w:szCs w:val="21"/>
              </w:rPr>
            </w:pPr>
            <w:r>
              <w:rPr>
                <w:rFonts w:hint="eastAsia" w:ascii="宋体" w:hAnsi="宋体" w:cs="宋体"/>
                <w:color w:val="000000"/>
                <w:kern w:val="0"/>
                <w:szCs w:val="21"/>
              </w:rPr>
              <w:t>13</w:t>
            </w:r>
          </w:p>
        </w:tc>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rPr>
                <w:rFonts w:ascii="宋体" w:hAnsi="宋体" w:cs="宋体"/>
                <w:szCs w:val="21"/>
              </w:rPr>
            </w:pPr>
            <w:r>
              <w:rPr>
                <w:rFonts w:hint="eastAsia" w:ascii="宋体" w:hAnsi="宋体" w:cs="宋体"/>
                <w:szCs w:val="21"/>
              </w:rPr>
              <w:t>李翠</w:t>
            </w:r>
          </w:p>
        </w:tc>
        <w:tc>
          <w:tcPr>
            <w:tcW w:w="42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60" w:lineRule="exact"/>
              <w:jc w:val="center"/>
              <w:rPr>
                <w:rFonts w:ascii="宋体" w:hAnsi="宋体" w:cs="宋体"/>
                <w:szCs w:val="21"/>
              </w:rPr>
            </w:pPr>
            <w:r>
              <w:rPr>
                <w:rFonts w:hint="eastAsia" w:ascii="宋体" w:hAnsi="宋体" w:cs="宋体"/>
                <w:szCs w:val="21"/>
              </w:rPr>
              <w:t>川H04190026</w:t>
            </w:r>
          </w:p>
        </w:tc>
      </w:tr>
    </w:tbl>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三、朝天区卫生健康局权责清单</w:t>
      </w:r>
    </w:p>
    <w:p>
      <w:pPr>
        <w:textAlignment w:val="center"/>
        <w:rPr>
          <w:rFonts w:ascii="宋体" w:hAnsi="宋体" w:cs="宋体"/>
          <w:color w:val="000000"/>
        </w:rPr>
      </w:pPr>
      <w:r>
        <w:rPr>
          <w:rFonts w:hint="eastAsia" w:ascii="宋体" w:hAnsi="宋体" w:cs="宋体"/>
          <w:color w:val="000000"/>
        </w:rPr>
        <w:t>表1</w:t>
      </w:r>
    </w:p>
    <w:tbl>
      <w:tblPr>
        <w:tblStyle w:val="13"/>
        <w:tblW w:w="9057" w:type="dxa"/>
        <w:jc w:val="center"/>
        <w:tblLayout w:type="fixed"/>
        <w:tblCellMar>
          <w:top w:w="0" w:type="dxa"/>
          <w:left w:w="57" w:type="dxa"/>
          <w:bottom w:w="0" w:type="dxa"/>
          <w:right w:w="57" w:type="dxa"/>
        </w:tblCellMar>
      </w:tblPr>
      <w:tblGrid>
        <w:gridCol w:w="720"/>
        <w:gridCol w:w="8337"/>
      </w:tblGrid>
      <w:tr>
        <w:tblPrEx>
          <w:tblCellMar>
            <w:top w:w="0" w:type="dxa"/>
            <w:left w:w="57" w:type="dxa"/>
            <w:bottom w:w="0" w:type="dxa"/>
            <w:right w:w="57" w:type="dxa"/>
          </w:tblCellMar>
        </w:tblPrEx>
        <w:trPr>
          <w:trHeight w:val="394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rPr>
            </w:pPr>
            <w:r>
              <w:rPr>
                <w:rFonts w:hint="eastAsia" w:ascii="宋体" w:hAnsi="宋体" w:cs="宋体"/>
                <w:color w:val="000000"/>
              </w:rPr>
              <w:t>主</w:t>
            </w:r>
          </w:p>
          <w:p>
            <w:pPr>
              <w:jc w:val="center"/>
              <w:textAlignment w:val="center"/>
              <w:rPr>
                <w:rFonts w:ascii="宋体" w:hAnsi="宋体" w:cs="宋体"/>
                <w:color w:val="000000"/>
              </w:rPr>
            </w:pPr>
            <w:r>
              <w:rPr>
                <w:rFonts w:hint="eastAsia" w:ascii="宋体" w:hAnsi="宋体" w:cs="宋体"/>
                <w:color w:val="000000"/>
              </w:rPr>
              <w:t>体</w:t>
            </w:r>
          </w:p>
          <w:p>
            <w:pPr>
              <w:jc w:val="center"/>
              <w:textAlignment w:val="center"/>
              <w:rPr>
                <w:rFonts w:ascii="宋体" w:hAnsi="宋体" w:cs="宋体"/>
                <w:color w:val="000000"/>
              </w:rPr>
            </w:pPr>
            <w:r>
              <w:rPr>
                <w:rFonts w:hint="eastAsia" w:ascii="宋体" w:hAnsi="宋体" w:cs="宋体"/>
                <w:color w:val="000000"/>
              </w:rPr>
              <w:t>责</w:t>
            </w:r>
          </w:p>
          <w:p>
            <w:pPr>
              <w:jc w:val="center"/>
              <w:textAlignment w:val="center"/>
              <w:rPr>
                <w:rFonts w:ascii="宋体" w:hAnsi="宋体" w:cs="宋体"/>
                <w:color w:val="000000"/>
              </w:rPr>
            </w:pPr>
            <w:r>
              <w:rPr>
                <w:rFonts w:hint="eastAsia" w:ascii="宋体" w:hAnsi="宋体" w:cs="宋体"/>
                <w:color w:val="000000"/>
              </w:rPr>
              <w:t>任</w:t>
            </w:r>
          </w:p>
        </w:tc>
        <w:tc>
          <w:tcPr>
            <w:tcW w:w="8337" w:type="dxa"/>
            <w:tcBorders>
              <w:top w:val="single" w:color="auto" w:sz="4" w:space="0"/>
              <w:left w:val="nil"/>
              <w:bottom w:val="single" w:color="auto" w:sz="4" w:space="0"/>
              <w:right w:val="single" w:color="auto" w:sz="4" w:space="0"/>
            </w:tcBorders>
            <w:vAlign w:val="center"/>
          </w:tcPr>
          <w:p>
            <w:pPr>
              <w:spacing w:line="300" w:lineRule="exact"/>
              <w:ind w:firstLine="411" w:firstLineChars="196"/>
              <w:rPr>
                <w:rFonts w:ascii="宋体" w:hAnsi="宋体" w:cs="宋体"/>
                <w:color w:val="000000"/>
              </w:rPr>
            </w:pPr>
            <w:r>
              <w:rPr>
                <w:rFonts w:hint="eastAsia" w:ascii="宋体" w:hAnsi="宋体" w:cs="宋体"/>
                <w:color w:val="000000"/>
              </w:rPr>
              <w:t>（一）统筹规划全区卫生健康服务资源配置，指导全区卫生健康发展工作。</w:t>
            </w:r>
          </w:p>
          <w:p>
            <w:pPr>
              <w:spacing w:line="300" w:lineRule="exact"/>
              <w:ind w:firstLine="411" w:firstLineChars="196"/>
              <w:rPr>
                <w:rFonts w:ascii="宋体" w:hAnsi="宋体" w:cs="宋体"/>
                <w:color w:val="000000"/>
              </w:rPr>
            </w:pPr>
            <w:r>
              <w:rPr>
                <w:rFonts w:hint="eastAsia" w:ascii="宋体" w:hAnsi="宋体" w:cs="宋体"/>
                <w:color w:val="000000"/>
              </w:rPr>
              <w:t>（二）牵头推进全区深化医药卫生体制改革。研究提出落实中、省、市深化医药卫生体制改革政策、措施的建议。牵头负责全区分级诊疗、现代医院管理、综合监管等基本医疗卫生制度建设。组织深化公立医院综合改革，健全现代医院管理制度，制定并组织实施推动全区卫生健康公共服务提供主体多元化、提供方式多样化的政策措施。负责建立公益性导向的绩效考核和评价运行机制。配合医疗服务价格政策的制定。</w:t>
            </w:r>
          </w:p>
          <w:p>
            <w:pPr>
              <w:spacing w:line="300" w:lineRule="exact"/>
              <w:ind w:firstLine="411" w:firstLineChars="196"/>
              <w:rPr>
                <w:rFonts w:ascii="宋体" w:hAnsi="宋体" w:cs="宋体"/>
                <w:color w:val="000000"/>
              </w:rPr>
            </w:pPr>
            <w:r>
              <w:rPr>
                <w:rFonts w:hint="eastAsia" w:ascii="宋体" w:hAnsi="宋体" w:cs="宋体"/>
                <w:color w:val="000000"/>
              </w:rPr>
              <w:t>（三）负责制定全区疾病预防控制规划、免疫规划和严重危害人民健康的公共卫生问题的干预措施并组织实施。根据国家检疫传染病和监测传染病目录，参与开展相关检疫监测工作。负责全区卫生应急工作，制定全区卫生应急和紧急医学救援预案，组织和指导全区突发公共卫生事件的预防控制和各类突发公共事件的医疗卫生救援工作，依规发布突发公共卫生事件应急处置信息。</w:t>
            </w:r>
          </w:p>
          <w:p>
            <w:pPr>
              <w:spacing w:line="300" w:lineRule="exact"/>
              <w:ind w:firstLine="411" w:firstLineChars="196"/>
              <w:rPr>
                <w:rFonts w:ascii="宋体" w:hAnsi="宋体" w:cs="宋体"/>
                <w:color w:val="000000"/>
              </w:rPr>
            </w:pPr>
            <w:r>
              <w:rPr>
                <w:rFonts w:hint="eastAsia" w:ascii="宋体" w:hAnsi="宋体" w:cs="宋体"/>
                <w:color w:val="000000"/>
              </w:rPr>
              <w:t>（四）贯彻落实国家应对人口老龄化政策措施。负责推进全区老年健康服务体系建设和医养结合工作。</w:t>
            </w:r>
          </w:p>
          <w:p>
            <w:pPr>
              <w:spacing w:line="300" w:lineRule="exact"/>
              <w:ind w:firstLine="411" w:firstLineChars="196"/>
              <w:rPr>
                <w:rFonts w:ascii="宋体" w:hAnsi="宋体" w:cs="宋体"/>
                <w:color w:val="000000"/>
              </w:rPr>
            </w:pPr>
            <w:r>
              <w:rPr>
                <w:rFonts w:hint="eastAsia" w:ascii="宋体" w:hAnsi="宋体" w:cs="宋体"/>
                <w:color w:val="000000"/>
              </w:rPr>
              <w:t>（五）贯彻落实国家药物政策和国家基本药物制度，执行国家药品法典、国家基本药物目录和省补充目录，并对全区药品、医用器械采购招投标、配送、使用等活动进行监督管理。参与食品安全风险监测评估，为食源性疾病及与食品安全事故有关的流行病学调查提供技术支持。</w:t>
            </w:r>
          </w:p>
          <w:p>
            <w:pPr>
              <w:spacing w:line="300" w:lineRule="exact"/>
              <w:ind w:firstLine="411" w:firstLineChars="196"/>
              <w:rPr>
                <w:rFonts w:ascii="宋体" w:hAnsi="宋体" w:cs="宋体"/>
                <w:color w:val="000000"/>
              </w:rPr>
            </w:pPr>
            <w:r>
              <w:rPr>
                <w:rFonts w:hint="eastAsia" w:ascii="宋体" w:hAnsi="宋体" w:cs="宋体"/>
                <w:color w:val="000000"/>
              </w:rPr>
              <w:t>（六）贯彻实施职责范围内的职业卫生、放射卫生、环境卫生、学校卫生、公共场所卫生、饮用水卫生管理规范、标准和政策措施。负责传染病防治监督。健全卫生健康综合监管和社会信用体系，组织开展相关监测、调查、评估、监督执法活动。</w:t>
            </w:r>
          </w:p>
          <w:p>
            <w:pPr>
              <w:spacing w:line="300" w:lineRule="exact"/>
              <w:ind w:firstLine="411" w:firstLineChars="196"/>
              <w:rPr>
                <w:rFonts w:ascii="宋体" w:hAnsi="宋体" w:cs="宋体"/>
                <w:color w:val="000000"/>
              </w:rPr>
            </w:pPr>
            <w:r>
              <w:rPr>
                <w:rFonts w:hint="eastAsia" w:ascii="宋体" w:hAnsi="宋体" w:cs="宋体"/>
                <w:color w:val="000000"/>
              </w:rPr>
              <w:t xml:space="preserve">（七）贯彻医疗机构和卫生健康服务行业相关管理办法并监督实施。贯彻执行医疗机构及其医疗服务、医疗技术、医疗质量、医疗安全以及采供血机构管理的规范、标准，会同有关部门贯彻执行国家卫生健康专业技术人员准入、资格标准，实施卫生健康专业技术人员执业规则和服务规范，建立健全医疗服务评价和监督管理体系。 </w:t>
            </w:r>
          </w:p>
          <w:p>
            <w:pPr>
              <w:spacing w:line="300" w:lineRule="exact"/>
              <w:ind w:firstLine="411" w:firstLineChars="196"/>
              <w:rPr>
                <w:rFonts w:ascii="宋体" w:hAnsi="宋体" w:cs="宋体"/>
                <w:color w:val="000000"/>
              </w:rPr>
            </w:pPr>
            <w:r>
              <w:rPr>
                <w:rFonts w:hint="eastAsia" w:ascii="宋体" w:hAnsi="宋体" w:cs="宋体"/>
                <w:color w:val="000000"/>
              </w:rPr>
              <w:t>（八）贯彻落实国家、省人口与家庭发展政策，指导计划生育管理服务工作。开展人口监测预警，研究提出人口与家庭发展相关政策建议，落实计划生育政策。</w:t>
            </w:r>
          </w:p>
          <w:p>
            <w:pPr>
              <w:spacing w:line="300" w:lineRule="exact"/>
              <w:ind w:firstLine="411" w:firstLineChars="196"/>
              <w:rPr>
                <w:rFonts w:ascii="宋体" w:hAnsi="宋体" w:cs="宋体"/>
                <w:color w:val="000000"/>
              </w:rPr>
            </w:pPr>
            <w:r>
              <w:rPr>
                <w:rFonts w:hint="eastAsia" w:ascii="宋体" w:hAnsi="宋体" w:cs="宋体"/>
                <w:color w:val="000000"/>
              </w:rPr>
              <w:t>（九）负责组织拟订并实施基层卫生和妇幼健康服务发展规划和政策措施。指导全区基层卫生和妇幼健康服务体系建设工作，推进基本公共卫生服务均等化，完善基层运行新机制和乡村医生管理制度。</w:t>
            </w:r>
          </w:p>
          <w:p>
            <w:pPr>
              <w:spacing w:line="300" w:lineRule="exact"/>
              <w:ind w:firstLine="411" w:firstLineChars="196"/>
              <w:rPr>
                <w:rFonts w:ascii="宋体" w:hAnsi="宋体" w:cs="宋体"/>
                <w:color w:val="000000"/>
              </w:rPr>
            </w:pPr>
            <w:r>
              <w:rPr>
                <w:rFonts w:hint="eastAsia" w:ascii="宋体" w:hAnsi="宋体" w:cs="宋体"/>
                <w:color w:val="000000"/>
              </w:rPr>
              <w:t>（十）负责区级有关保健对象的医疗保健工作。负责重要会议与重大活动的医疗卫生保障工作。负责区委区政府安排的医疗卫生保障工作。</w:t>
            </w:r>
          </w:p>
          <w:p>
            <w:pPr>
              <w:spacing w:line="300" w:lineRule="exact"/>
              <w:ind w:firstLine="411" w:firstLineChars="196"/>
              <w:rPr>
                <w:rFonts w:ascii="宋体" w:hAnsi="宋体" w:cs="宋体"/>
                <w:color w:val="000000"/>
              </w:rPr>
            </w:pPr>
            <w:r>
              <w:rPr>
                <w:rFonts w:hint="eastAsia" w:ascii="宋体" w:hAnsi="宋体" w:cs="宋体"/>
                <w:color w:val="000000"/>
              </w:rPr>
              <w:t>（十一）负责拟订全区中医药中长期发展规划，并纳入全区卫生健康事业发展总体规划和战略目标，推动中医药工作健康发展。</w:t>
            </w:r>
          </w:p>
          <w:p>
            <w:pPr>
              <w:ind w:firstLine="420" w:firstLineChars="200"/>
              <w:rPr>
                <w:rFonts w:ascii="宋体" w:hAnsi="宋体" w:cs="宋体"/>
                <w:color w:val="000000"/>
              </w:rPr>
            </w:pPr>
            <w:r>
              <w:rPr>
                <w:rFonts w:hint="eastAsia" w:ascii="宋体" w:hAnsi="宋体" w:cs="宋体"/>
                <w:color w:val="000000"/>
              </w:rPr>
              <w:t>（十二）组织拟订全区卫生健康人才发展规划，指导卫生健康队伍建设。组织拟订全区卫生健康科技发展规划，推进卫生健康科技创新发展。加强急需紧缺专业人才培养，贯彻落实国家住院医师和专科医师规范化培训制度。</w:t>
            </w:r>
          </w:p>
          <w:p>
            <w:pPr>
              <w:ind w:firstLine="420" w:firstLineChars="200"/>
              <w:rPr>
                <w:rFonts w:ascii="宋体" w:hAnsi="宋体" w:cs="宋体"/>
                <w:color w:val="000000"/>
              </w:rPr>
            </w:pPr>
            <w:r>
              <w:rPr>
                <w:rFonts w:hint="eastAsia" w:ascii="宋体" w:hAnsi="宋体" w:cs="宋体"/>
                <w:color w:val="000000"/>
              </w:rPr>
              <w:t>（十三）负责本系统、本部门行政依法工作。落实行政执法责任制，完善卫生健康综合监督执法体系，规范卫生健康行政执法行为，监督检查有关法律法规和政策措施的落实，组织查处重大违法行为。</w:t>
            </w:r>
          </w:p>
          <w:p>
            <w:pPr>
              <w:ind w:firstLine="420" w:firstLineChars="200"/>
              <w:rPr>
                <w:rFonts w:ascii="宋体" w:hAnsi="宋体" w:cs="宋体"/>
                <w:color w:val="000000"/>
              </w:rPr>
            </w:pPr>
            <w:r>
              <w:rPr>
                <w:rFonts w:hint="eastAsia" w:ascii="宋体" w:hAnsi="宋体" w:cs="宋体"/>
                <w:color w:val="000000"/>
              </w:rPr>
              <w:t>（十四）负责卫生健康宣传、健康教育、健康促进和信息化建设等工作。依法组织实施统计调查，参与区人口基础信息库建设。</w:t>
            </w:r>
          </w:p>
          <w:p>
            <w:pPr>
              <w:ind w:firstLine="420" w:firstLineChars="200"/>
              <w:rPr>
                <w:rFonts w:ascii="宋体" w:hAnsi="宋体" w:cs="宋体"/>
                <w:color w:val="000000"/>
              </w:rPr>
            </w:pPr>
            <w:r>
              <w:rPr>
                <w:rFonts w:hint="eastAsia" w:ascii="宋体" w:hAnsi="宋体" w:cs="宋体"/>
                <w:color w:val="000000"/>
              </w:rPr>
              <w:t>（十五）负责区政府安排的行政审批服务事项改革和公布的有关行政审批事项办理及审批服务便民化等工作。</w:t>
            </w:r>
          </w:p>
          <w:p>
            <w:pPr>
              <w:ind w:firstLine="420" w:firstLineChars="200"/>
              <w:rPr>
                <w:rFonts w:ascii="宋体" w:hAnsi="宋体" w:cs="宋体"/>
                <w:color w:val="000000"/>
              </w:rPr>
            </w:pPr>
            <w:r>
              <w:rPr>
                <w:rFonts w:hint="eastAsia" w:ascii="宋体" w:hAnsi="宋体" w:cs="宋体"/>
                <w:color w:val="000000"/>
              </w:rPr>
              <w:t>（十六）负责职责范围内的安全生产、职业健康、应急管理和生态环境保护等工作。</w:t>
            </w:r>
          </w:p>
          <w:p>
            <w:pPr>
              <w:spacing w:line="300" w:lineRule="exact"/>
              <w:ind w:firstLine="411" w:firstLineChars="196"/>
              <w:rPr>
                <w:rFonts w:ascii="宋体" w:hAnsi="宋体" w:cs="宋体"/>
              </w:rPr>
            </w:pPr>
            <w:r>
              <w:rPr>
                <w:rFonts w:hint="eastAsia" w:ascii="宋体" w:hAnsi="宋体" w:cs="宋体"/>
              </w:rPr>
              <w:t>（十七）职能转变。牢固树立大卫生、大健康理念，推动实施健康南充战略，以改革创新为动力，以促健康、转模式、强基层、重保障为着力点，把以治病为中心转变到以人民健康为中心，为人民群众提供全方位全周期卫生健康服务。一是更加注重预防为主和健康促进，提高健康意识，加强预防控制重大疾病工作，积极应对人口老龄化，健全卫生健康服务体系。二是更加注重卫生健康服务公平性和可及性，推动工作重心下移和资源下沉，推进卫生健康公共资源向基层延伸、向农村覆盖、向生活困难群众倾斜。三是更加注重提高服务质量和水平，为建设中医药强市贡献高坪力量。四是更加注重深化医药卫生体制改革的科学性和持续性，加快分级诊疗制度建设，加强医疗、医保、医药的联动改革，加大公立医院改革力度，按时完成国家医共体改革试点工作。</w:t>
            </w:r>
          </w:p>
          <w:p>
            <w:pPr>
              <w:ind w:firstLine="420" w:firstLineChars="200"/>
              <w:rPr>
                <w:rFonts w:ascii="宋体" w:hAnsi="宋体" w:cs="宋体"/>
                <w:color w:val="000000"/>
              </w:rPr>
            </w:pPr>
            <w:r>
              <w:rPr>
                <w:rFonts w:hint="eastAsia" w:ascii="宋体" w:hAnsi="宋体" w:cs="宋体"/>
                <w:color w:val="000000"/>
              </w:rPr>
              <w:t>（十八）完成区委、区政府交办的其他任务。</w:t>
            </w:r>
          </w:p>
        </w:tc>
      </w:tr>
      <w:tr>
        <w:tblPrEx>
          <w:tblCellMar>
            <w:top w:w="0" w:type="dxa"/>
            <w:left w:w="57" w:type="dxa"/>
            <w:bottom w:w="0" w:type="dxa"/>
            <w:right w:w="57" w:type="dxa"/>
          </w:tblCellMar>
        </w:tblPrEx>
        <w:trPr>
          <w:trHeight w:val="767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rPr>
            </w:pPr>
            <w:r>
              <w:rPr>
                <w:rFonts w:hint="eastAsia" w:ascii="宋体" w:hAnsi="宋体" w:cs="宋体"/>
                <w:color w:val="000000"/>
              </w:rPr>
              <w:t>职责</w:t>
            </w:r>
          </w:p>
          <w:p>
            <w:pPr>
              <w:jc w:val="center"/>
              <w:textAlignment w:val="center"/>
              <w:rPr>
                <w:rFonts w:ascii="宋体" w:hAnsi="宋体" w:cs="宋体"/>
                <w:color w:val="000000"/>
              </w:rPr>
            </w:pPr>
            <w:r>
              <w:rPr>
                <w:rFonts w:hint="eastAsia" w:ascii="宋体" w:hAnsi="宋体" w:cs="宋体"/>
                <w:color w:val="000000"/>
              </w:rPr>
              <w:t>边界</w:t>
            </w:r>
          </w:p>
        </w:tc>
        <w:tc>
          <w:tcPr>
            <w:tcW w:w="8337" w:type="dxa"/>
            <w:tcBorders>
              <w:top w:val="single" w:color="auto" w:sz="4" w:space="0"/>
              <w:left w:val="nil"/>
              <w:bottom w:val="single" w:color="auto" w:sz="4" w:space="0"/>
              <w:right w:val="single" w:color="auto" w:sz="4" w:space="0"/>
            </w:tcBorders>
            <w:vAlign w:val="center"/>
          </w:tcPr>
          <w:p>
            <w:pPr>
              <w:ind w:firstLine="420" w:firstLineChars="200"/>
              <w:textAlignment w:val="center"/>
              <w:rPr>
                <w:rFonts w:ascii="宋体" w:hAnsi="宋体" w:cs="宋体"/>
                <w:color w:val="000000"/>
              </w:rPr>
            </w:pPr>
            <w:r>
              <w:rPr>
                <w:rFonts w:hint="eastAsia" w:ascii="宋体" w:hAnsi="宋体" w:cs="宋体"/>
                <w:color w:val="000000"/>
              </w:rPr>
              <w:t>1．与区民政局的有关职责分工。区卫生健康局负责拟订应对人口老龄化、医养结合政策措施，综合协调、督促指导、组织推进老龄健康事业发展，承担老年疾病防治、老年人医疗照护、老年人心理健康与关怀服务等老年健康工作。区民政局负责统筹推进、督促指导、监督管理养老服务工作，拟订全区养老服务体系建设规划、政策、标准并组织实施，承担老年人福利和特殊困难老年人救助工作。</w:t>
            </w:r>
          </w:p>
          <w:p>
            <w:pPr>
              <w:ind w:firstLine="420" w:firstLineChars="200"/>
              <w:textAlignment w:val="center"/>
              <w:rPr>
                <w:rFonts w:ascii="宋体" w:hAnsi="宋体" w:cs="宋体"/>
                <w:color w:val="000000"/>
              </w:rPr>
            </w:pPr>
            <w:r>
              <w:rPr>
                <w:rFonts w:hint="eastAsia" w:ascii="宋体" w:hAnsi="宋体" w:cs="宋体"/>
                <w:color w:val="000000"/>
              </w:rPr>
              <w:t>2．与区发展和改革局的有关职责分工。区发展和改革局负责研究提出区人口发展战略，拟订人口发展规划和人口政策，提出人口与经济、社会、资源、环境协调可持续发展以及统筹促进人口长期均衡发展的政策建议。区卫生健康局负责开展人口监测预警工作，拟订全区计划生育政策，提出与计划生育相关的人口数量、素质、结构、分布等方面的政策建议，促进计划生育政策与相关经济社会发展政策的衔接配合，参与拟订全区人口发展规划和政策，落实中、省、市人口发展规划中的有关任务。</w:t>
            </w:r>
          </w:p>
          <w:p>
            <w:pPr>
              <w:ind w:firstLine="420" w:firstLineChars="200"/>
              <w:textAlignment w:val="center"/>
              <w:rPr>
                <w:rFonts w:ascii="宋体" w:hAnsi="宋体" w:cs="宋体"/>
                <w:color w:val="000000"/>
              </w:rPr>
            </w:pPr>
            <w:r>
              <w:rPr>
                <w:rFonts w:hint="eastAsia" w:ascii="宋体" w:hAnsi="宋体" w:cs="宋体"/>
                <w:color w:val="000000"/>
              </w:rPr>
              <w:t>3．与区市场监督管理局的有关职责分工。区卫生健康局会同区市场监督管理局等部门制定、实施食品安全风险监测计划。区卫生健康局对可能存在安全隐患的立即组织进行检验和食品安全风险论证，并向区市场监督管理局通报食品安全风险论证结果。区市场监管局在监督管理中发现需要进行食品安全风险监测的，应当及时向区卫生健康局提出建议，并对评估为不安全的食品采取措施。区市场监督管理局会同区卫生健康局组织执行国家药典，建立重大药品不良反应和医疗器械不良事件相互通报机制和联合处置机制。</w:t>
            </w:r>
          </w:p>
          <w:p>
            <w:pPr>
              <w:ind w:firstLine="420" w:firstLineChars="200"/>
              <w:textAlignment w:val="center"/>
              <w:rPr>
                <w:rFonts w:ascii="宋体" w:hAnsi="宋体" w:cs="宋体"/>
                <w:color w:val="000000"/>
              </w:rPr>
            </w:pPr>
            <w:r>
              <w:rPr>
                <w:rFonts w:hint="eastAsia" w:ascii="宋体" w:hAnsi="宋体" w:cs="宋体"/>
                <w:color w:val="000000"/>
              </w:rPr>
              <w:t>4．与区医疗保障局的有关职责分工。两部门在医疗、医保、医药等方面加强制度、政策衔接，建立沟通协商机制，协同推进改革，提高医疗资源使用效率和医疗保障水平。</w:t>
            </w:r>
          </w:p>
          <w:p>
            <w:pPr>
              <w:ind w:firstLine="420" w:firstLineChars="200"/>
              <w:textAlignment w:val="center"/>
              <w:rPr>
                <w:rFonts w:ascii="宋体" w:hAnsi="宋体" w:cs="宋体"/>
                <w:color w:val="000000"/>
              </w:rPr>
            </w:pPr>
            <w:r>
              <w:rPr>
                <w:rFonts w:hint="eastAsia" w:ascii="宋体" w:hAnsi="宋体" w:cs="宋体"/>
                <w:color w:val="000000"/>
              </w:rPr>
              <w:t>5．与区农业农村局、区公安分局的有关职责分工。区农业农村局负责兽用狂犬病疫苗的组织供应，对所在区域内的犬只进行预防注射并登记、统计；负责动物狂犬病疫情统计、监测及患狂犬病死亡动物尸体处理；区公安分局负责城区狂犬、恶犬、流浪犬、违章饲养犬和违规进入公共场所的犬只的灭杀工作；区卫生健康局负责犬只咬伤人员的预防和治疗。</w:t>
            </w:r>
          </w:p>
        </w:tc>
      </w:tr>
    </w:tbl>
    <w:p>
      <w:pPr>
        <w:textAlignment w:val="center"/>
        <w:rPr>
          <w:rFonts w:ascii="宋体" w:hAnsi="宋体" w:cs="宋体"/>
          <w:color w:val="000000"/>
        </w:rPr>
      </w:pPr>
    </w:p>
    <w:p>
      <w:pPr>
        <w:textAlignment w:val="center"/>
        <w:rPr>
          <w:rFonts w:ascii="宋体" w:hAnsi="宋体" w:cs="宋体"/>
          <w:color w:val="000000"/>
        </w:rPr>
      </w:pPr>
      <w:r>
        <w:rPr>
          <w:rFonts w:hint="eastAsia" w:ascii="宋体" w:hAnsi="宋体" w:cs="宋体"/>
          <w:color w:val="000000"/>
        </w:rPr>
        <w:t>表2-1</w:t>
      </w:r>
    </w:p>
    <w:tbl>
      <w:tblPr>
        <w:tblStyle w:val="13"/>
        <w:tblW w:w="8937" w:type="dxa"/>
        <w:tblInd w:w="51" w:type="dxa"/>
        <w:tblLayout w:type="fixed"/>
        <w:tblCellMar>
          <w:top w:w="0" w:type="dxa"/>
          <w:left w:w="57" w:type="dxa"/>
          <w:bottom w:w="0" w:type="dxa"/>
          <w:right w:w="57" w:type="dxa"/>
        </w:tblCellMar>
      </w:tblPr>
      <w:tblGrid>
        <w:gridCol w:w="548"/>
        <w:gridCol w:w="8389"/>
      </w:tblGrid>
      <w:tr>
        <w:tblPrEx>
          <w:tblCellMar>
            <w:top w:w="0" w:type="dxa"/>
            <w:left w:w="57" w:type="dxa"/>
            <w:bottom w:w="0" w:type="dxa"/>
            <w:right w:w="57" w:type="dxa"/>
          </w:tblCellMar>
        </w:tblPrEx>
        <w:trPr>
          <w:trHeight w:val="603"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38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1</w:t>
            </w:r>
          </w:p>
        </w:tc>
      </w:tr>
      <w:tr>
        <w:tblPrEx>
          <w:tblCellMar>
            <w:top w:w="0" w:type="dxa"/>
            <w:left w:w="57" w:type="dxa"/>
            <w:bottom w:w="0" w:type="dxa"/>
            <w:right w:w="57" w:type="dxa"/>
          </w:tblCellMar>
        </w:tblPrEx>
        <w:trPr>
          <w:trHeight w:val="603"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38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行政许可</w:t>
            </w:r>
          </w:p>
        </w:tc>
      </w:tr>
      <w:tr>
        <w:tblPrEx>
          <w:tblCellMar>
            <w:top w:w="0" w:type="dxa"/>
            <w:left w:w="57" w:type="dxa"/>
            <w:bottom w:w="0" w:type="dxa"/>
            <w:right w:w="57" w:type="dxa"/>
          </w:tblCellMar>
        </w:tblPrEx>
        <w:trPr>
          <w:trHeight w:val="629"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38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母婴保健技术服务机构执业许可</w:t>
            </w:r>
          </w:p>
        </w:tc>
      </w:tr>
      <w:tr>
        <w:tblPrEx>
          <w:tblCellMar>
            <w:top w:w="0" w:type="dxa"/>
            <w:left w:w="57" w:type="dxa"/>
            <w:bottom w:w="0" w:type="dxa"/>
            <w:right w:w="57" w:type="dxa"/>
          </w:tblCellMar>
        </w:tblPrEx>
        <w:trPr>
          <w:trHeight w:val="4544"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389" w:type="dxa"/>
            <w:tcBorders>
              <w:top w:val="single" w:color="auto" w:sz="4" w:space="0"/>
              <w:left w:val="nil"/>
              <w:bottom w:val="single" w:color="auto" w:sz="4" w:space="0"/>
              <w:right w:val="single" w:color="auto" w:sz="4" w:space="0"/>
            </w:tcBorders>
            <w:vAlign w:val="center"/>
          </w:tcPr>
          <w:p>
            <w:pPr>
              <w:adjustRightInd w:val="0"/>
              <w:snapToGrid w:val="0"/>
              <w:spacing w:line="260" w:lineRule="exact"/>
              <w:ind w:firstLine="420" w:firstLineChars="200"/>
              <w:rPr>
                <w:rFonts w:ascii="宋体" w:hAnsi="宋体" w:cs="宋体"/>
                <w:color w:val="C0504D"/>
              </w:rPr>
            </w:pPr>
            <w:r>
              <w:rPr>
                <w:rFonts w:hint="eastAsia" w:ascii="宋体" w:hAnsi="宋体" w:cs="宋体"/>
              </w:rPr>
              <w:t>1.《中华人民共和国母婴保健法》（1994年主席令第33号）第三十二条：“医疗保健机构依照本法规定开展婚前医学检查、遗传病诊断、产前诊断以及施行结扎手术和终止妊娠手术的，必须符合国务院卫生行政部门规定的条件和技术标准，并经县级以上地方人民政府卫生行政部门许可。严禁采用技术手段对胎儿进行性别鉴定，但医学上确有需要的除外。”</w:t>
            </w:r>
          </w:p>
          <w:p>
            <w:pPr>
              <w:adjustRightInd w:val="0"/>
              <w:snapToGrid w:val="0"/>
              <w:spacing w:line="260" w:lineRule="exact"/>
              <w:ind w:firstLine="420" w:firstLineChars="200"/>
              <w:rPr>
                <w:rFonts w:ascii="宋体" w:hAnsi="宋体" w:cs="宋体"/>
                <w:color w:val="000000"/>
              </w:rPr>
            </w:pPr>
            <w:r>
              <w:rPr>
                <w:rFonts w:hint="eastAsia" w:ascii="宋体" w:hAnsi="宋体" w:cs="宋体"/>
                <w:color w:val="000000"/>
              </w:rPr>
              <w:t>2.《中华人民共和国母婴保健法实施办法》（2001年国务院令308号）第三十五条：“从事遗传病诊断、产前诊断的医疗、保健机构和人员，须经省、自治区、直辖市人民政府卫生行政部门认可。从事婚前医学检查的医疗、保健机构和人员，须经设区的市级人民政府卫生行政部门许可。从事助产技术服务、结扎手术和终止妊娠手术的医疗、保健机构和人员以及从事家庭接生的人员，须经县级人民政府卫生行政部门许可，并取得相应的合格证书。”</w:t>
            </w:r>
          </w:p>
          <w:p>
            <w:pPr>
              <w:adjustRightInd w:val="0"/>
              <w:snapToGrid w:val="0"/>
              <w:spacing w:line="260" w:lineRule="exact"/>
              <w:ind w:firstLine="420" w:firstLineChars="200"/>
              <w:rPr>
                <w:rFonts w:ascii="宋体" w:hAnsi="宋体" w:cs="宋体"/>
                <w:color w:val="000000"/>
              </w:rPr>
            </w:pPr>
            <w:r>
              <w:rPr>
                <w:rFonts w:hint="eastAsia" w:ascii="宋体" w:hAnsi="宋体" w:cs="宋体"/>
                <w:color w:val="000000"/>
              </w:rPr>
              <w:t>3.《四川省〈中华人民共和国母婴保健法〉实施办法》（2002年四川省第九届人大常委会第二十八次会议修正）第八条：“医疗保健机构按本实施办法规定开展婚前医学检查的，由市（包括州，下同）级卫生行政部门许可；省卫生行政部门直属机构开展婚前医学检查的，由省卫生行政部门许可或者由其委托市级卫生行政部门许可。”第十条：“医疗保健机构按本实施办法规定，开展遗传病诊断和产前诊断、新生儿疾病筛查及胎儿性别鉴定的，由省卫生行政部门许可。”</w:t>
            </w:r>
          </w:p>
          <w:p>
            <w:pPr>
              <w:adjustRightInd w:val="0"/>
              <w:snapToGrid w:val="0"/>
              <w:spacing w:line="260" w:lineRule="exact"/>
              <w:ind w:firstLine="420" w:firstLineChars="200"/>
              <w:rPr>
                <w:rFonts w:ascii="宋体" w:hAnsi="宋体" w:cs="宋体"/>
                <w:color w:val="000000"/>
              </w:rPr>
            </w:pPr>
            <w:r>
              <w:rPr>
                <w:rFonts w:hint="eastAsia" w:ascii="宋体" w:hAnsi="宋体" w:cs="宋体"/>
                <w:color w:val="000000"/>
              </w:rPr>
              <w:t>4.《产前诊断技术管理办法》（2002年卫生部令第33号）。</w:t>
            </w:r>
          </w:p>
          <w:p>
            <w:pPr>
              <w:adjustRightInd w:val="0"/>
              <w:snapToGrid w:val="0"/>
              <w:spacing w:line="260" w:lineRule="exact"/>
              <w:ind w:firstLine="420" w:firstLineChars="200"/>
              <w:rPr>
                <w:rFonts w:ascii="宋体" w:hAnsi="宋体" w:cs="宋体"/>
                <w:color w:val="000000"/>
              </w:rPr>
            </w:pPr>
            <w:r>
              <w:rPr>
                <w:rFonts w:hint="eastAsia" w:ascii="宋体" w:hAnsi="宋体" w:cs="宋体"/>
                <w:color w:val="000000"/>
              </w:rPr>
              <w:t>5.《母婴保健专项技术服务许可及人员资格管理办法》（卫妇发[1995]第7号）。</w:t>
            </w:r>
          </w:p>
          <w:p>
            <w:pPr>
              <w:adjustRightInd w:val="0"/>
              <w:snapToGrid w:val="0"/>
              <w:spacing w:line="260" w:lineRule="exact"/>
              <w:ind w:firstLine="420" w:firstLineChars="200"/>
              <w:rPr>
                <w:rFonts w:ascii="宋体" w:hAnsi="宋体" w:cs="宋体"/>
                <w:color w:val="000000"/>
              </w:rPr>
            </w:pPr>
            <w:r>
              <w:rPr>
                <w:rFonts w:hint="eastAsia" w:ascii="宋体" w:hAnsi="宋体" w:cs="宋体"/>
                <w:color w:val="000000"/>
              </w:rPr>
              <w:t>6.《计划生育技术服务管理条例》（2001年国务院令第309号）第二十一条：“计划生育技术服务机构从事产前诊断的，应当经省、自治区、直辖市人民政府计划生育行政部门同意后，由同级卫生行政部门审查批准，并报国务院计划生育行政部门和国务院卫生行政部门备案。从事计划生育技术服务的机构使用辅助生育技术治疗不育症的，由省级以上人民政府卫生行政部门审查批准，并向同级计划生育行政部门通报。”</w:t>
            </w:r>
          </w:p>
        </w:tc>
      </w:tr>
      <w:tr>
        <w:tblPrEx>
          <w:tblCellMar>
            <w:top w:w="0" w:type="dxa"/>
            <w:left w:w="57" w:type="dxa"/>
            <w:bottom w:w="0" w:type="dxa"/>
            <w:right w:w="57" w:type="dxa"/>
          </w:tblCellMar>
        </w:tblPrEx>
        <w:trPr>
          <w:trHeight w:val="831"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389" w:type="dxa"/>
            <w:tcBorders>
              <w:top w:val="single" w:color="auto" w:sz="4" w:space="0"/>
              <w:left w:val="nil"/>
              <w:bottom w:val="single" w:color="auto" w:sz="4" w:space="0"/>
              <w:right w:val="single" w:color="auto" w:sz="4" w:space="0"/>
            </w:tcBorders>
            <w:vAlign w:val="center"/>
          </w:tcPr>
          <w:p>
            <w:pPr>
              <w:spacing w:line="260" w:lineRule="exact"/>
              <w:ind w:firstLine="1890" w:firstLineChars="900"/>
              <w:textAlignment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57" w:type="dxa"/>
            <w:bottom w:w="0" w:type="dxa"/>
            <w:right w:w="57" w:type="dxa"/>
          </w:tblCellMar>
        </w:tblPrEx>
        <w:trPr>
          <w:trHeight w:val="2890"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389"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cs="宋体"/>
                <w:color w:val="000000"/>
              </w:rPr>
            </w:pPr>
            <w:r>
              <w:rPr>
                <w:rFonts w:hint="eastAsia" w:ascii="宋体" w:hAnsi="宋体" w:cs="宋体"/>
                <w:color w:val="000000"/>
              </w:rPr>
              <w:t>1.受理责任：公示应当提交的材料，一次性告知补正材料，依法受理或不予受理（不予受理应当告知理由）。</w:t>
            </w:r>
          </w:p>
          <w:p>
            <w:pPr>
              <w:spacing w:line="260" w:lineRule="exact"/>
              <w:ind w:firstLine="420" w:firstLineChars="200"/>
              <w:textAlignment w:val="center"/>
              <w:rPr>
                <w:rFonts w:ascii="宋体" w:hAnsi="宋体" w:cs="宋体"/>
                <w:color w:val="000000"/>
              </w:rPr>
            </w:pPr>
            <w:r>
              <w:rPr>
                <w:rFonts w:hint="eastAsia" w:ascii="宋体" w:hAnsi="宋体" w:cs="宋体"/>
                <w:color w:val="000000"/>
              </w:rPr>
              <w:t>2.审查责任：根据有关法律、法规、规章的规定，对书面申请材料进行审查，提出是否同意的审核意见，组织现场检查验收，告知申请人、利害相关人享有听证权利；涉及公共利益的重大许可，向社会公告并举行听证。</w:t>
            </w:r>
          </w:p>
          <w:p>
            <w:pPr>
              <w:spacing w:line="260" w:lineRule="exact"/>
              <w:ind w:firstLine="420" w:firstLineChars="200"/>
              <w:textAlignment w:val="center"/>
              <w:rPr>
                <w:rFonts w:ascii="宋体" w:hAnsi="宋体" w:cs="宋体"/>
                <w:color w:val="000000"/>
              </w:rPr>
            </w:pPr>
            <w:r>
              <w:rPr>
                <w:rFonts w:hint="eastAsia" w:ascii="宋体" w:hAnsi="宋体" w:cs="宋体"/>
                <w:color w:val="000000"/>
              </w:rPr>
              <w:t>3.决定责任：作出行政许可或者不予行政许可决定，法定告知（不予许可的应当书面告知理由）。</w:t>
            </w:r>
          </w:p>
          <w:p>
            <w:pPr>
              <w:spacing w:line="260" w:lineRule="exact"/>
              <w:ind w:firstLine="420" w:firstLineChars="200"/>
              <w:textAlignment w:val="center"/>
              <w:rPr>
                <w:rFonts w:ascii="宋体" w:hAnsi="宋体" w:cs="宋体"/>
                <w:color w:val="000000"/>
              </w:rPr>
            </w:pPr>
            <w:r>
              <w:rPr>
                <w:rFonts w:hint="eastAsia" w:ascii="宋体" w:hAnsi="宋体" w:cs="宋体"/>
                <w:color w:val="000000"/>
              </w:rPr>
              <w:t>4.事后监督责任：建立实施监督检查的运行机制和管理制度，开展定期和不定期检查，依法采取相关处置措施。</w:t>
            </w:r>
          </w:p>
          <w:p>
            <w:pPr>
              <w:spacing w:line="260" w:lineRule="exact"/>
              <w:ind w:firstLine="420" w:firstLineChars="200"/>
              <w:textAlignment w:val="center"/>
              <w:rPr>
                <w:rFonts w:ascii="宋体" w:hAnsi="宋体" w:cs="宋体"/>
                <w:color w:val="000000"/>
              </w:rPr>
            </w:pPr>
            <w:r>
              <w:rPr>
                <w:rFonts w:hint="eastAsia" w:ascii="宋体" w:hAnsi="宋体" w:cs="宋体"/>
                <w:color w:val="000000"/>
              </w:rPr>
              <w:t>5.其他责任：法律法规规章文件规定应履行的其他责任。</w:t>
            </w:r>
          </w:p>
        </w:tc>
      </w:tr>
      <w:tr>
        <w:tblPrEx>
          <w:tblCellMar>
            <w:top w:w="0" w:type="dxa"/>
            <w:left w:w="57" w:type="dxa"/>
            <w:bottom w:w="0" w:type="dxa"/>
            <w:right w:w="57" w:type="dxa"/>
          </w:tblCellMar>
        </w:tblPrEx>
        <w:trPr>
          <w:trHeight w:val="1946"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kern w:val="0"/>
              </w:rPr>
            </w:pPr>
            <w:r>
              <w:rPr>
                <w:rFonts w:hint="eastAsia" w:ascii="宋体" w:hAnsi="宋体" w:cs="宋体"/>
                <w:color w:val="000000"/>
              </w:rPr>
              <w:t>追责情形</w:t>
            </w:r>
          </w:p>
        </w:tc>
        <w:tc>
          <w:tcPr>
            <w:tcW w:w="8389"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cs="宋体"/>
                <w:color w:val="000000"/>
              </w:rPr>
            </w:pPr>
            <w:r>
              <w:rPr>
                <w:rFonts w:hint="eastAsia" w:ascii="Times New Roman" w:hAnsi="Times New Roman"/>
                <w:color w:val="000000"/>
                <w:szCs w:val="21"/>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《中华人民共和国母婴保健法》</w:t>
            </w:r>
            <w:r>
              <w:rPr>
                <w:rFonts w:hint="eastAsia" w:ascii="宋体" w:hAnsi="宋体" w:cs="宋体"/>
                <w:color w:val="000000"/>
              </w:rPr>
              <w:t>《中华人民共和国母婴保健法实施办法》《四川省〈中华人民共和国母婴保健法〉实施办法》《产前诊断技术管理办法》《母婴保健专项技术服务许可及人员资格管理办法》《计划生育技术服务管理条例》</w:t>
            </w:r>
            <w:r>
              <w:rPr>
                <w:rFonts w:hint="eastAsia" w:ascii="Times New Roman" w:hAnsi="Times New Roman"/>
                <w:color w:val="000000"/>
                <w:szCs w:val="21"/>
              </w:rPr>
              <w:t>等法律法规规章的相关规定追究相应的责任。</w:t>
            </w:r>
          </w:p>
        </w:tc>
      </w:tr>
      <w:tr>
        <w:tblPrEx>
          <w:tblCellMar>
            <w:top w:w="0" w:type="dxa"/>
            <w:left w:w="57" w:type="dxa"/>
            <w:bottom w:w="0" w:type="dxa"/>
            <w:right w:w="57" w:type="dxa"/>
          </w:tblCellMar>
        </w:tblPrEx>
        <w:trPr>
          <w:trHeight w:val="840"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38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12345</w:t>
            </w:r>
          </w:p>
        </w:tc>
      </w:tr>
    </w:tbl>
    <w:p>
      <w:pPr>
        <w:spacing w:line="260" w:lineRule="exact"/>
        <w:textAlignment w:val="center"/>
        <w:rPr>
          <w:rFonts w:ascii="宋体" w:hAnsi="宋体" w:cs="宋体"/>
          <w:color w:val="000000"/>
        </w:rPr>
      </w:pPr>
      <w:r>
        <w:rPr>
          <w:rFonts w:hint="eastAsia" w:ascii="宋体" w:hAnsi="宋体" w:cs="宋体"/>
          <w:color w:val="000000"/>
        </w:rPr>
        <w:t>表2-2</w:t>
      </w:r>
    </w:p>
    <w:tbl>
      <w:tblPr>
        <w:tblStyle w:val="13"/>
        <w:tblW w:w="9077" w:type="dxa"/>
        <w:tblInd w:w="51" w:type="dxa"/>
        <w:tblLayout w:type="fixed"/>
        <w:tblCellMar>
          <w:top w:w="0" w:type="dxa"/>
          <w:left w:w="57" w:type="dxa"/>
          <w:bottom w:w="0" w:type="dxa"/>
          <w:right w:w="57" w:type="dxa"/>
        </w:tblCellMar>
      </w:tblPr>
      <w:tblGrid>
        <w:gridCol w:w="548"/>
        <w:gridCol w:w="8529"/>
      </w:tblGrid>
      <w:tr>
        <w:tblPrEx>
          <w:tblCellMar>
            <w:top w:w="0" w:type="dxa"/>
            <w:left w:w="57" w:type="dxa"/>
            <w:bottom w:w="0" w:type="dxa"/>
            <w:right w:w="57" w:type="dxa"/>
          </w:tblCellMar>
        </w:tblPrEx>
        <w:trPr>
          <w:trHeight w:val="362"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52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2</w:t>
            </w:r>
          </w:p>
        </w:tc>
      </w:tr>
      <w:tr>
        <w:tblPrEx>
          <w:tblCellMar>
            <w:top w:w="0" w:type="dxa"/>
            <w:left w:w="57" w:type="dxa"/>
            <w:bottom w:w="0" w:type="dxa"/>
            <w:right w:w="57" w:type="dxa"/>
          </w:tblCellMar>
        </w:tblPrEx>
        <w:trPr>
          <w:trHeight w:val="173"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52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行政许可</w:t>
            </w:r>
          </w:p>
        </w:tc>
      </w:tr>
      <w:tr>
        <w:tblPrEx>
          <w:tblCellMar>
            <w:top w:w="0" w:type="dxa"/>
            <w:left w:w="57" w:type="dxa"/>
            <w:bottom w:w="0" w:type="dxa"/>
            <w:right w:w="57" w:type="dxa"/>
          </w:tblCellMar>
        </w:tblPrEx>
        <w:trPr>
          <w:trHeight w:val="509"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52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母婴保健服务人员资格认定</w:t>
            </w:r>
          </w:p>
        </w:tc>
      </w:tr>
      <w:tr>
        <w:tblPrEx>
          <w:tblCellMar>
            <w:top w:w="0" w:type="dxa"/>
            <w:left w:w="57" w:type="dxa"/>
            <w:bottom w:w="0" w:type="dxa"/>
            <w:right w:w="57" w:type="dxa"/>
          </w:tblCellMar>
        </w:tblPrEx>
        <w:trPr>
          <w:trHeight w:val="3484"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529"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cs="宋体"/>
                <w:color w:val="000000"/>
              </w:rPr>
            </w:pPr>
            <w:r>
              <w:rPr>
                <w:rFonts w:hint="eastAsia" w:ascii="宋体" w:hAnsi="宋体" w:cs="宋体"/>
                <w:color w:val="000000"/>
              </w:rPr>
              <w:t>1.《中华人民共和国母婴保健法》（1994年主席令第33号）第三十三条：“从事本法规定的遗传病诊断、产前诊断的人员，必须经省、自治区、直辖市人民政府卫生行政部门的考核，并取得相应的合格证书。从事本法规定的婚前医学检查、施行结扎手术和终止妊娠手术的人员以及从事家庭接生的人员，必须经过县级以上地方人民政府卫生行政部门的考核，并取得相应的合格证书。”</w:t>
            </w:r>
          </w:p>
          <w:p>
            <w:pPr>
              <w:spacing w:line="260" w:lineRule="exact"/>
              <w:ind w:firstLine="420" w:firstLineChars="200"/>
              <w:textAlignment w:val="center"/>
              <w:rPr>
                <w:rFonts w:ascii="宋体" w:hAnsi="宋体" w:cs="宋体"/>
                <w:color w:val="000000"/>
              </w:rPr>
            </w:pPr>
            <w:r>
              <w:rPr>
                <w:rFonts w:hint="eastAsia" w:ascii="宋体" w:hAnsi="宋体" w:cs="宋体"/>
                <w:color w:val="000000"/>
              </w:rPr>
              <w:t>2.《中华人民共和国母婴保健法实施办法》（2001年国务院令308号）第三十五条：“从事遗传病诊断、产前诊断的医疗、保健机构和人员，须经省、自治区、直辖市人民政府卫生行政部门认可。从事婚前医学检查的医疗、保健机构和人员，须经设区的市级人民政府卫生行政部门许可。从事助产技术服务、结扎手术和终止妊娠手术的医疗、保健机构和人员以及从事家庭接生的人员，须经县级人民政府卫生行政部门许可，并取得相应的合格证书。”</w:t>
            </w:r>
          </w:p>
          <w:p>
            <w:pPr>
              <w:spacing w:line="260" w:lineRule="exact"/>
              <w:ind w:firstLine="420" w:firstLineChars="200"/>
              <w:textAlignment w:val="center"/>
              <w:rPr>
                <w:rFonts w:ascii="宋体" w:hAnsi="宋体" w:cs="宋体"/>
                <w:color w:val="000000"/>
              </w:rPr>
            </w:pPr>
            <w:r>
              <w:rPr>
                <w:rFonts w:hint="eastAsia" w:ascii="宋体" w:hAnsi="宋体" w:cs="宋体"/>
                <w:color w:val="000000"/>
              </w:rPr>
              <w:t>3.《产前诊断技术管理办法》（2002年卫生部令第33号）。</w:t>
            </w:r>
          </w:p>
          <w:p>
            <w:pPr>
              <w:adjustRightInd w:val="0"/>
              <w:snapToGrid w:val="0"/>
              <w:spacing w:line="260" w:lineRule="exact"/>
              <w:ind w:firstLine="420" w:firstLineChars="200"/>
              <w:rPr>
                <w:rFonts w:ascii="宋体" w:hAnsi="宋体" w:cs="宋体"/>
                <w:color w:val="000000"/>
              </w:rPr>
            </w:pPr>
            <w:r>
              <w:rPr>
                <w:rFonts w:hint="eastAsia" w:ascii="宋体" w:hAnsi="宋体" w:cs="宋体"/>
                <w:color w:val="000000"/>
              </w:rPr>
              <w:t>4.《母婴保健专项技术服务许可及人员资格管理办法》（卫妇发[1995]第7号）。</w:t>
            </w:r>
          </w:p>
        </w:tc>
      </w:tr>
      <w:tr>
        <w:tblPrEx>
          <w:tblCellMar>
            <w:top w:w="0" w:type="dxa"/>
            <w:left w:w="57" w:type="dxa"/>
            <w:bottom w:w="0" w:type="dxa"/>
            <w:right w:w="57" w:type="dxa"/>
          </w:tblCellMar>
        </w:tblPrEx>
        <w:trPr>
          <w:trHeight w:val="308"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52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57" w:type="dxa"/>
            <w:bottom w:w="0" w:type="dxa"/>
            <w:right w:w="57" w:type="dxa"/>
          </w:tblCellMar>
        </w:tblPrEx>
        <w:trPr>
          <w:trHeight w:val="2897"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529" w:type="dxa"/>
            <w:tcBorders>
              <w:top w:val="single" w:color="auto" w:sz="4" w:space="0"/>
              <w:left w:val="nil"/>
              <w:bottom w:val="single" w:color="auto" w:sz="4" w:space="0"/>
              <w:right w:val="single" w:color="auto" w:sz="4" w:space="0"/>
            </w:tcBorders>
            <w:vAlign w:val="center"/>
          </w:tcPr>
          <w:p>
            <w:pPr>
              <w:spacing w:line="260" w:lineRule="exact"/>
              <w:ind w:firstLine="420"/>
              <w:jc w:val="left"/>
              <w:rPr>
                <w:rFonts w:ascii="宋体" w:hAnsi="宋体" w:cs="宋体"/>
                <w:color w:val="000000"/>
              </w:rPr>
            </w:pPr>
            <w:r>
              <w:rPr>
                <w:rFonts w:hint="eastAsia" w:ascii="宋体" w:hAnsi="宋体" w:cs="宋体"/>
                <w:color w:val="000000"/>
              </w:rPr>
              <w:t>1.受理责任：公示应当提交的材料，一次性告知补正材料，依法受理或不予受理（不予受理应当告知理由）。</w:t>
            </w:r>
          </w:p>
          <w:p>
            <w:pPr>
              <w:spacing w:line="260" w:lineRule="exact"/>
              <w:ind w:firstLine="420"/>
              <w:jc w:val="left"/>
              <w:rPr>
                <w:rFonts w:ascii="宋体" w:hAnsi="宋体" w:cs="宋体"/>
                <w:color w:val="000000"/>
              </w:rPr>
            </w:pPr>
            <w:r>
              <w:rPr>
                <w:rFonts w:hint="eastAsia" w:ascii="宋体" w:hAnsi="宋体" w:cs="宋体"/>
                <w:color w:val="000000"/>
              </w:rPr>
              <w:t>2.审查责任：根据有关法律、法规、规章的规定，对书面申请材料进行审查，提出是否同意筹建的审核意见，组织现场检查验收，告知申请人、利害相关人享有听证权利；涉及公共利益的重大许可，向社会公告并举行听证。</w:t>
            </w:r>
          </w:p>
          <w:p>
            <w:pPr>
              <w:spacing w:line="260" w:lineRule="exact"/>
              <w:ind w:firstLine="420"/>
              <w:jc w:val="left"/>
              <w:rPr>
                <w:rFonts w:ascii="宋体" w:hAnsi="宋体" w:cs="宋体"/>
                <w:color w:val="000000"/>
              </w:rPr>
            </w:pPr>
            <w:r>
              <w:rPr>
                <w:rFonts w:hint="eastAsia" w:ascii="宋体" w:hAnsi="宋体" w:cs="宋体"/>
                <w:color w:val="000000"/>
              </w:rPr>
              <w:t>3.决定责任：作出行政许可或者不予行政许可决定，法定告知（不予许可的应当书面告知理由）。</w:t>
            </w:r>
          </w:p>
          <w:p>
            <w:pPr>
              <w:spacing w:line="260" w:lineRule="exact"/>
              <w:ind w:firstLine="420"/>
              <w:jc w:val="left"/>
              <w:rPr>
                <w:rFonts w:ascii="宋体" w:hAnsi="宋体" w:cs="宋体"/>
                <w:color w:val="000000"/>
              </w:rPr>
            </w:pPr>
            <w:r>
              <w:rPr>
                <w:rFonts w:hint="eastAsia" w:ascii="宋体" w:hAnsi="宋体" w:cs="宋体"/>
                <w:color w:val="000000"/>
              </w:rPr>
              <w:t>4.事后监督责任：建立实施监督检查的运行机制和管理制度，开展定期和不定期检查，依法采取相关处置措施。</w:t>
            </w:r>
          </w:p>
          <w:p>
            <w:pPr>
              <w:spacing w:line="260" w:lineRule="exact"/>
              <w:ind w:firstLine="420" w:firstLineChars="200"/>
              <w:textAlignment w:val="center"/>
              <w:rPr>
                <w:rFonts w:ascii="宋体" w:hAnsi="宋体" w:cs="宋体"/>
                <w:color w:val="000000"/>
              </w:rPr>
            </w:pPr>
            <w:r>
              <w:rPr>
                <w:rFonts w:hint="eastAsia" w:ascii="宋体" w:hAnsi="宋体" w:cs="宋体"/>
                <w:color w:val="000000"/>
              </w:rPr>
              <w:t>5.其他责任：法律法规规章文件规定应履行的其他责任。</w:t>
            </w:r>
          </w:p>
        </w:tc>
      </w:tr>
      <w:tr>
        <w:tblPrEx>
          <w:tblCellMar>
            <w:top w:w="0" w:type="dxa"/>
            <w:left w:w="57" w:type="dxa"/>
            <w:bottom w:w="0" w:type="dxa"/>
            <w:right w:w="57" w:type="dxa"/>
          </w:tblCellMar>
        </w:tblPrEx>
        <w:trPr>
          <w:trHeight w:val="1549"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kern w:val="0"/>
              </w:rPr>
            </w:pPr>
            <w:r>
              <w:rPr>
                <w:rFonts w:hint="eastAsia" w:ascii="宋体" w:hAnsi="宋体" w:cs="宋体"/>
                <w:color w:val="000000"/>
              </w:rPr>
              <w:t>追责情形</w:t>
            </w:r>
          </w:p>
        </w:tc>
        <w:tc>
          <w:tcPr>
            <w:tcW w:w="8529"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cs="宋体"/>
                <w:color w:val="000000"/>
              </w:rPr>
            </w:pPr>
            <w:r>
              <w:rPr>
                <w:rFonts w:hint="eastAsia" w:ascii="Times New Roman" w:hAnsi="Times New Roman"/>
                <w:color w:val="000000"/>
                <w:szCs w:val="21"/>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color w:val="000000"/>
              </w:rPr>
              <w:t>《中华人民共和国母婴保健法》《中华人民共和国母婴保健法实施办法》《产前诊断技术管理办法》《母婴保健专项技术服务许可及人员资格管理办法》</w:t>
            </w:r>
            <w:r>
              <w:rPr>
                <w:rFonts w:hint="eastAsia" w:ascii="Times New Roman" w:hAnsi="Times New Roman"/>
                <w:color w:val="000000"/>
                <w:szCs w:val="21"/>
              </w:rPr>
              <w:t>等法律法规规章的相关规定追究相应的责任。</w:t>
            </w:r>
          </w:p>
        </w:tc>
      </w:tr>
      <w:tr>
        <w:tblPrEx>
          <w:tblCellMar>
            <w:top w:w="0" w:type="dxa"/>
            <w:left w:w="57" w:type="dxa"/>
            <w:bottom w:w="0" w:type="dxa"/>
            <w:right w:w="57" w:type="dxa"/>
          </w:tblCellMar>
        </w:tblPrEx>
        <w:trPr>
          <w:trHeight w:val="557"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52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12345</w:t>
            </w:r>
          </w:p>
        </w:tc>
      </w:tr>
    </w:tbl>
    <w:p>
      <w:pPr>
        <w:spacing w:line="260" w:lineRule="exact"/>
        <w:textAlignment w:val="center"/>
        <w:rPr>
          <w:rFonts w:ascii="宋体" w:hAnsi="宋体" w:cs="宋体"/>
          <w:color w:val="000000"/>
        </w:rPr>
      </w:pPr>
      <w:r>
        <w:rPr>
          <w:rFonts w:hint="eastAsia" w:ascii="宋体" w:hAnsi="宋体" w:cs="宋体"/>
          <w:color w:val="000000"/>
        </w:rPr>
        <w:t>表2-3</w:t>
      </w:r>
    </w:p>
    <w:tbl>
      <w:tblPr>
        <w:tblStyle w:val="13"/>
        <w:tblW w:w="8937" w:type="dxa"/>
        <w:tblInd w:w="51" w:type="dxa"/>
        <w:tblLayout w:type="fixed"/>
        <w:tblCellMar>
          <w:top w:w="0" w:type="dxa"/>
          <w:left w:w="57" w:type="dxa"/>
          <w:bottom w:w="0" w:type="dxa"/>
          <w:right w:w="57" w:type="dxa"/>
        </w:tblCellMar>
      </w:tblPr>
      <w:tblGrid>
        <w:gridCol w:w="547"/>
        <w:gridCol w:w="8390"/>
      </w:tblGrid>
      <w:tr>
        <w:tblPrEx>
          <w:tblCellMar>
            <w:top w:w="0" w:type="dxa"/>
            <w:left w:w="57" w:type="dxa"/>
            <w:bottom w:w="0" w:type="dxa"/>
            <w:right w:w="57" w:type="dxa"/>
          </w:tblCellMar>
        </w:tblPrEx>
        <w:trPr>
          <w:trHeight w:val="73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3</w:t>
            </w:r>
          </w:p>
        </w:tc>
      </w:tr>
      <w:tr>
        <w:tblPrEx>
          <w:tblCellMar>
            <w:top w:w="0" w:type="dxa"/>
            <w:left w:w="57" w:type="dxa"/>
            <w:bottom w:w="0" w:type="dxa"/>
            <w:right w:w="57" w:type="dxa"/>
          </w:tblCellMar>
        </w:tblPrEx>
        <w:trPr>
          <w:trHeight w:val="73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行政许可</w:t>
            </w:r>
          </w:p>
        </w:tc>
      </w:tr>
      <w:tr>
        <w:tblPrEx>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医疗机构设置审批（含港澳台，外商独资除外）</w:t>
            </w:r>
          </w:p>
        </w:tc>
      </w:tr>
      <w:tr>
        <w:tblPrEx>
          <w:tblCellMar>
            <w:top w:w="0" w:type="dxa"/>
            <w:left w:w="57" w:type="dxa"/>
            <w:bottom w:w="0" w:type="dxa"/>
            <w:right w:w="57" w:type="dxa"/>
          </w:tblCellMar>
        </w:tblPrEx>
        <w:trPr>
          <w:trHeight w:val="571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textAlignment w:val="center"/>
              <w:rPr>
                <w:rFonts w:ascii="宋体" w:hAnsi="宋体" w:cs="宋体"/>
                <w:color w:val="000000"/>
              </w:rPr>
            </w:pPr>
            <w:r>
              <w:rPr>
                <w:rFonts w:hint="eastAsia" w:ascii="宋体" w:hAnsi="宋体" w:cs="宋体"/>
                <w:color w:val="000000"/>
              </w:rPr>
              <w:t>1.《医疗机构管理条例》（1994年国务院令第149号）第九条：“单位或者个人设置医疗机构，必须经县级以上地方人民政府卫生行政部门审查批准，并取得设置医疗机构批准书，方可向有关部门办理其他手续。”</w:t>
            </w:r>
          </w:p>
          <w:p>
            <w:pPr>
              <w:spacing w:line="260" w:lineRule="exact"/>
              <w:ind w:firstLine="420"/>
              <w:textAlignment w:val="center"/>
              <w:rPr>
                <w:rFonts w:ascii="宋体" w:hAnsi="宋体" w:cs="宋体"/>
                <w:color w:val="000000"/>
              </w:rPr>
            </w:pPr>
            <w:r>
              <w:rPr>
                <w:rFonts w:hint="eastAsia" w:ascii="宋体" w:hAnsi="宋体" w:cs="宋体"/>
                <w:color w:val="000000"/>
              </w:rPr>
              <w:t>2.《四川省医疗机构管理条例》（2001年四川省第九届人大常委会第二十二次会议修正）第七条第三款：“县级人民政府卫生行政部门，按照市、州人民政府、地区行政公署的统一规划，负责不满100张床位的医院、卫生院，各类门诊部、诊所、卫生所、医务室、卫生保健所、卫生站、村卫生室（所）的设置布局，不纳入市、地、州医疗机构设置规划。”第九条第二款：“医疗机构设置审批权限的划分依照本条例第七条的规定，分别由省、市、州、县人民政府、地区行政公署卫生行政部门审批。”</w:t>
            </w:r>
          </w:p>
          <w:p>
            <w:pPr>
              <w:spacing w:line="260" w:lineRule="exact"/>
              <w:ind w:firstLine="420"/>
              <w:textAlignment w:val="center"/>
              <w:rPr>
                <w:rFonts w:ascii="宋体" w:hAnsi="宋体" w:cs="宋体"/>
                <w:color w:val="000000"/>
              </w:rPr>
            </w:pPr>
            <w:r>
              <w:rPr>
                <w:rFonts w:hint="eastAsia" w:ascii="宋体" w:hAnsi="宋体" w:cs="宋体"/>
                <w:color w:val="000000"/>
              </w:rPr>
              <w:t>3.《医疗机构管理条例实施细则》（1994年卫生部令第35号）第二十三条：“变更《设置医疗机构批准证书》中核准的医疗机构的类别、规模、选址和诊疗科目，必须按照条例和本细则的规定，重新申请办理设置审批手续。”</w:t>
            </w:r>
          </w:p>
          <w:p>
            <w:pPr>
              <w:spacing w:line="260" w:lineRule="exact"/>
              <w:ind w:firstLine="420"/>
              <w:textAlignment w:val="center"/>
              <w:rPr>
                <w:rFonts w:ascii="宋体" w:hAnsi="宋体" w:cs="宋体"/>
                <w:color w:val="000000"/>
              </w:rPr>
            </w:pPr>
            <w:r>
              <w:rPr>
                <w:rFonts w:hint="eastAsia" w:ascii="宋体" w:hAnsi="宋体" w:cs="宋体"/>
                <w:color w:val="000000"/>
              </w:rPr>
              <w:t>4.《医疗美容服务管理办法》（2002年卫生部令第19号）第六条第一款：“申请举办美容医疗机构的单位或者个人，应按照本办法以及《医疗机构管理条例》和《医疗机构管理条例实施细则》的有关规定办理设置审批和登记注册手续。”</w:t>
            </w:r>
          </w:p>
          <w:p>
            <w:pPr>
              <w:spacing w:line="260" w:lineRule="exact"/>
              <w:ind w:firstLine="420"/>
              <w:textAlignment w:val="center"/>
              <w:rPr>
                <w:rFonts w:ascii="宋体" w:hAnsi="宋体" w:cs="宋体"/>
                <w:color w:val="000000"/>
              </w:rPr>
            </w:pPr>
            <w:r>
              <w:rPr>
                <w:rFonts w:hint="eastAsia" w:ascii="宋体" w:hAnsi="宋体" w:cs="宋体"/>
                <w:color w:val="000000"/>
              </w:rPr>
              <w:t>5.《卫生部关于印发&lt;卫生部关于医疗机构审批管理的若干规定&gt;的通知》（卫医发〔2008〕35号）规定，对拟设置的医疗机构进行为期5个工作日的审批公示，公示期满无实名举报或提出异议的，卫生行政部门方可组织开展设置审批，如公示期间一旦有实名举报或提出异议的，卫生行政部门应进行调查核实，未进行核查的不得批准设置。</w:t>
            </w:r>
          </w:p>
          <w:p>
            <w:pPr>
              <w:spacing w:line="260" w:lineRule="exact"/>
              <w:ind w:firstLine="420"/>
              <w:textAlignment w:val="center"/>
              <w:rPr>
                <w:rFonts w:ascii="宋体" w:hAnsi="宋体" w:cs="宋体"/>
                <w:color w:val="000000"/>
              </w:rPr>
            </w:pPr>
            <w:r>
              <w:rPr>
                <w:rFonts w:hint="eastAsia" w:ascii="宋体" w:hAnsi="宋体" w:cs="宋体"/>
                <w:color w:val="000000"/>
              </w:rPr>
              <w:t>6.《卫生部国家中医药管理局财政部国家计委关于城镇医疗机构分类管理实施意见》（卫医发〔2000〕233号）和卫生部《关于印发城镇医疗机构分类登记暂行规定的通知》（卫医发〔2000〕385号）规定，医疗机构按《医疗机构管理条例》进行设置审批、登记注册和校验时，需要书面向卫生行政部门申明其性质，由接受其登记注册的卫生行政部门会同有关部门根据医疗机构投资来源、经营性质等有关分类界定的规定予以核定。</w:t>
            </w:r>
          </w:p>
          <w:p>
            <w:pPr>
              <w:spacing w:line="260" w:lineRule="exact"/>
              <w:ind w:firstLine="420"/>
              <w:textAlignment w:val="center"/>
              <w:rPr>
                <w:rFonts w:ascii="宋体" w:hAnsi="宋体" w:cs="宋体"/>
                <w:color w:val="000000"/>
              </w:rPr>
            </w:pPr>
            <w:r>
              <w:rPr>
                <w:rFonts w:hint="eastAsia" w:ascii="宋体" w:hAnsi="宋体" w:cs="宋体"/>
                <w:color w:val="000000"/>
              </w:rPr>
              <w:t>7.《卫生部办公厅关于修订&lt;医疗机构管理条例实施细则&gt;部分附表的通知》（卫办医发〔2008〕125号）。</w:t>
            </w:r>
          </w:p>
          <w:p>
            <w:pPr>
              <w:spacing w:line="260" w:lineRule="exact"/>
              <w:ind w:firstLine="420"/>
              <w:textAlignment w:val="center"/>
              <w:rPr>
                <w:rFonts w:ascii="宋体" w:hAnsi="宋体" w:cs="宋体"/>
                <w:color w:val="000000"/>
              </w:rPr>
            </w:pPr>
            <w:r>
              <w:rPr>
                <w:rFonts w:hint="eastAsia" w:ascii="宋体" w:hAnsi="宋体" w:cs="宋体"/>
                <w:color w:val="000000"/>
              </w:rPr>
              <w:t>8.《四川省卫生厅关于进一步规范医疗机构审批工作的通知》（川卫办发〔2007〕285号）。</w:t>
            </w:r>
          </w:p>
        </w:tc>
      </w:tr>
      <w:tr>
        <w:tblPrEx>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57" w:type="dxa"/>
            <w:bottom w:w="0" w:type="dxa"/>
            <w:right w:w="57" w:type="dxa"/>
          </w:tblCellMar>
        </w:tblPrEx>
        <w:trPr>
          <w:trHeight w:val="276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jc w:val="left"/>
              <w:rPr>
                <w:rFonts w:ascii="宋体" w:hAnsi="宋体" w:cs="宋体"/>
                <w:color w:val="000000"/>
              </w:rPr>
            </w:pPr>
            <w:r>
              <w:rPr>
                <w:rFonts w:hint="eastAsia" w:ascii="宋体" w:hAnsi="宋体" w:cs="宋体"/>
                <w:color w:val="000000"/>
              </w:rPr>
              <w:t>1.受理责任：公示应当提交的材料，一次性告知补正材料，依法受理或不予受理（不予受理应当告知理由）。</w:t>
            </w:r>
          </w:p>
          <w:p>
            <w:pPr>
              <w:spacing w:line="260" w:lineRule="exact"/>
              <w:ind w:firstLine="420" w:firstLineChars="200"/>
              <w:jc w:val="left"/>
              <w:rPr>
                <w:rFonts w:ascii="宋体" w:hAnsi="宋体" w:cs="宋体"/>
                <w:color w:val="000000"/>
              </w:rPr>
            </w:pPr>
            <w:r>
              <w:rPr>
                <w:rFonts w:hint="eastAsia" w:ascii="宋体" w:hAnsi="宋体" w:cs="宋体"/>
                <w:color w:val="000000"/>
              </w:rPr>
              <w:t>2.审查责任：根据有关法律、法规、规章的规定，对书面申请材料进行审查，提出是否同意筹建的审核意见，组织现场检查验收，告知申请人、利害相关人享有听证权利；涉及公共利益的重大许可，向社会公告并举行听证。</w:t>
            </w:r>
          </w:p>
          <w:p>
            <w:pPr>
              <w:spacing w:line="260" w:lineRule="exact"/>
              <w:ind w:firstLine="420" w:firstLineChars="200"/>
              <w:jc w:val="left"/>
              <w:rPr>
                <w:rFonts w:ascii="宋体" w:hAnsi="宋体" w:cs="宋体"/>
                <w:color w:val="000000"/>
              </w:rPr>
            </w:pPr>
            <w:r>
              <w:rPr>
                <w:rFonts w:hint="eastAsia" w:ascii="宋体" w:hAnsi="宋体" w:cs="宋体"/>
                <w:color w:val="000000"/>
              </w:rPr>
              <w:t>3.决定责任：作出行政许可或者不予行政许可决定，法定告知（不予许可的应当书面告知理由）。</w:t>
            </w:r>
          </w:p>
          <w:p>
            <w:pPr>
              <w:spacing w:line="260" w:lineRule="exact"/>
              <w:ind w:firstLine="420" w:firstLineChars="200"/>
              <w:jc w:val="left"/>
              <w:rPr>
                <w:rFonts w:ascii="宋体" w:hAnsi="宋体" w:cs="宋体"/>
                <w:color w:val="000000"/>
              </w:rPr>
            </w:pPr>
            <w:r>
              <w:rPr>
                <w:rFonts w:hint="eastAsia" w:ascii="宋体" w:hAnsi="宋体" w:cs="宋体"/>
                <w:color w:val="000000"/>
              </w:rPr>
              <w:t>4事后监督责任：建立实施监督检查的运行机制和管理制度，开展定期和不定期检查，依法采取相关处置措施。</w:t>
            </w:r>
          </w:p>
          <w:p>
            <w:pPr>
              <w:spacing w:line="260" w:lineRule="exact"/>
              <w:ind w:firstLine="411" w:firstLineChars="196"/>
              <w:textAlignment w:val="center"/>
              <w:rPr>
                <w:rFonts w:ascii="宋体" w:hAnsi="宋体" w:cs="宋体"/>
                <w:color w:val="000000"/>
              </w:rPr>
            </w:pPr>
            <w:r>
              <w:rPr>
                <w:rFonts w:hint="eastAsia" w:ascii="宋体" w:hAnsi="宋体" w:cs="宋体"/>
                <w:color w:val="000000"/>
              </w:rPr>
              <w:t>5.其他责任：法律法规规章文件规定应履行的其他责任。</w:t>
            </w:r>
          </w:p>
        </w:tc>
      </w:tr>
      <w:tr>
        <w:tblPrEx>
          <w:tblCellMar>
            <w:top w:w="0" w:type="dxa"/>
            <w:left w:w="57" w:type="dxa"/>
            <w:bottom w:w="0" w:type="dxa"/>
            <w:right w:w="57" w:type="dxa"/>
          </w:tblCellMar>
        </w:tblPrEx>
        <w:trPr>
          <w:trHeight w:val="173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cs="宋体"/>
                <w:color w:val="000000"/>
              </w:rPr>
            </w:pPr>
            <w:r>
              <w:rPr>
                <w:rFonts w:hint="eastAsia" w:ascii="Times New Roman" w:hAnsi="Times New Roman"/>
                <w:color w:val="000000"/>
                <w:szCs w:val="21"/>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color w:val="000000"/>
              </w:rPr>
              <w:t>《医疗机构管理条例》《四川省医疗机构管理条例》《医疗机构管理条例实施细则》《医疗美容服务管理办法》《卫生部关于印发&lt;卫生部关于医疗机构审批管理的若干规定&gt;的通知》《卫生部国家中医药管理局财政部国家计委关于城镇医疗机构分类管理实施意见》《卫生部办公厅关于修订&lt;医疗机构管理条例实施细则&gt;部分附表的通知》《四川省卫生厅关于进一步规范医疗机构审批工作的通知》</w:t>
            </w:r>
            <w:r>
              <w:rPr>
                <w:rFonts w:hint="eastAsia" w:ascii="Times New Roman" w:hAnsi="Times New Roman"/>
                <w:color w:val="000000"/>
                <w:szCs w:val="21"/>
              </w:rPr>
              <w:t>等法律法规规章的相关规定追究相应的责任。</w:t>
            </w:r>
          </w:p>
        </w:tc>
      </w:tr>
      <w:tr>
        <w:tblPrEx>
          <w:tblCellMar>
            <w:top w:w="0" w:type="dxa"/>
            <w:left w:w="57" w:type="dxa"/>
            <w:bottom w:w="0" w:type="dxa"/>
            <w:right w:w="57" w:type="dxa"/>
          </w:tblCellMar>
        </w:tblPrEx>
        <w:trPr>
          <w:trHeight w:val="69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12345</w:t>
            </w:r>
          </w:p>
        </w:tc>
      </w:tr>
    </w:tbl>
    <w:p>
      <w:pPr>
        <w:spacing w:line="260" w:lineRule="exact"/>
        <w:textAlignment w:val="center"/>
        <w:rPr>
          <w:rFonts w:ascii="宋体" w:hAnsi="宋体" w:cs="宋体"/>
          <w:color w:val="000000"/>
        </w:rPr>
      </w:pPr>
      <w:r>
        <w:rPr>
          <w:rFonts w:hint="eastAsia" w:ascii="宋体" w:hAnsi="宋体" w:cs="宋体"/>
          <w:color w:val="000000"/>
        </w:rPr>
        <w:t>表2-4</w:t>
      </w:r>
    </w:p>
    <w:tbl>
      <w:tblPr>
        <w:tblStyle w:val="13"/>
        <w:tblW w:w="8937" w:type="dxa"/>
        <w:tblInd w:w="51" w:type="dxa"/>
        <w:tblLayout w:type="fixed"/>
        <w:tblCellMar>
          <w:top w:w="0" w:type="dxa"/>
          <w:left w:w="57" w:type="dxa"/>
          <w:bottom w:w="0" w:type="dxa"/>
          <w:right w:w="57" w:type="dxa"/>
        </w:tblCellMar>
      </w:tblPr>
      <w:tblGrid>
        <w:gridCol w:w="548"/>
        <w:gridCol w:w="8389"/>
      </w:tblGrid>
      <w:tr>
        <w:tblPrEx>
          <w:tblCellMar>
            <w:top w:w="0" w:type="dxa"/>
            <w:left w:w="57" w:type="dxa"/>
            <w:bottom w:w="0" w:type="dxa"/>
            <w:right w:w="57" w:type="dxa"/>
          </w:tblCellMar>
        </w:tblPrEx>
        <w:trPr>
          <w:trHeight w:val="603"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38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4</w:t>
            </w:r>
          </w:p>
        </w:tc>
      </w:tr>
      <w:tr>
        <w:tblPrEx>
          <w:tblCellMar>
            <w:top w:w="0" w:type="dxa"/>
            <w:left w:w="57" w:type="dxa"/>
            <w:bottom w:w="0" w:type="dxa"/>
            <w:right w:w="57" w:type="dxa"/>
          </w:tblCellMar>
        </w:tblPrEx>
        <w:trPr>
          <w:trHeight w:val="603"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38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行政许可</w:t>
            </w:r>
          </w:p>
        </w:tc>
      </w:tr>
      <w:tr>
        <w:tblPrEx>
          <w:tblCellMar>
            <w:top w:w="0" w:type="dxa"/>
            <w:left w:w="57" w:type="dxa"/>
            <w:bottom w:w="0" w:type="dxa"/>
            <w:right w:w="57" w:type="dxa"/>
          </w:tblCellMar>
        </w:tblPrEx>
        <w:trPr>
          <w:trHeight w:val="629"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38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医疗机构执业登记（人体器官移植除外）</w:t>
            </w:r>
          </w:p>
        </w:tc>
      </w:tr>
      <w:tr>
        <w:tblPrEx>
          <w:tblCellMar>
            <w:top w:w="0" w:type="dxa"/>
            <w:left w:w="57" w:type="dxa"/>
            <w:bottom w:w="0" w:type="dxa"/>
            <w:right w:w="57" w:type="dxa"/>
          </w:tblCellMar>
        </w:tblPrEx>
        <w:trPr>
          <w:trHeight w:val="867"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389" w:type="dxa"/>
            <w:tcBorders>
              <w:top w:val="single" w:color="auto" w:sz="4" w:space="0"/>
              <w:left w:val="nil"/>
              <w:bottom w:val="single" w:color="auto" w:sz="4" w:space="0"/>
              <w:right w:val="single" w:color="auto" w:sz="4" w:space="0"/>
            </w:tcBorders>
            <w:vAlign w:val="center"/>
          </w:tcPr>
          <w:p>
            <w:pPr>
              <w:adjustRightInd w:val="0"/>
              <w:snapToGrid w:val="0"/>
              <w:spacing w:line="260" w:lineRule="exact"/>
              <w:ind w:firstLine="420" w:firstLineChars="200"/>
              <w:rPr>
                <w:rFonts w:ascii="宋体" w:hAnsi="宋体" w:cs="宋体"/>
                <w:color w:val="000000"/>
              </w:rPr>
            </w:pPr>
            <w:r>
              <w:rPr>
                <w:rFonts w:hint="eastAsia" w:ascii="宋体" w:hAnsi="宋体" w:cs="宋体"/>
                <w:color w:val="000000"/>
              </w:rPr>
              <w:t>1．《医疗机构管理条例》（1994年国务院令第149号发布，2016年国务院令第666号修改施行）第十五条：“医疗机构执业，必须进行登记，领取《医疗机构执业许可证》。”第十七条：“医疗机构的执业登记，由批准其设置的人民政府卫生行政部门办理”。 第十九条：“县级以上地方人民政府卫生行政部门自受理执业登记申请之日起45日内，根据本条例和医疗机构基本标准进行审核。审核合格的，予以登记，发给《医疗机构执业许可证》；审核不合格的，将审核结果以书面形式通知申请人。”</w:t>
            </w:r>
          </w:p>
          <w:p>
            <w:pPr>
              <w:adjustRightInd w:val="0"/>
              <w:snapToGrid w:val="0"/>
              <w:spacing w:line="260" w:lineRule="exact"/>
              <w:ind w:firstLine="420" w:firstLineChars="200"/>
              <w:rPr>
                <w:rFonts w:ascii="宋体" w:hAnsi="宋体" w:cs="宋体"/>
                <w:color w:val="000000"/>
              </w:rPr>
            </w:pPr>
            <w:r>
              <w:rPr>
                <w:rFonts w:hint="eastAsia" w:ascii="宋体" w:hAnsi="宋体" w:cs="宋体"/>
                <w:color w:val="000000"/>
              </w:rPr>
              <w:t>2.《医疗机构管理条例实施细则》（卫生部令第35号，国家卫健委令第12号修改施行）第二十三条：“变更《设置医疗机构批准证书》中核准的医疗机构的类别、规模、选址和诊疗科目，必须按照条例和本细则的规定，重新申请办理设置审批手续。”</w:t>
            </w:r>
          </w:p>
          <w:p>
            <w:pPr>
              <w:adjustRightInd w:val="0"/>
              <w:snapToGrid w:val="0"/>
              <w:spacing w:line="260" w:lineRule="exact"/>
              <w:ind w:firstLine="420" w:firstLineChars="200"/>
              <w:rPr>
                <w:rFonts w:ascii="宋体" w:hAnsi="宋体" w:cs="宋体"/>
                <w:color w:val="000000"/>
              </w:rPr>
            </w:pPr>
            <w:r>
              <w:rPr>
                <w:rFonts w:hint="eastAsia" w:ascii="宋体" w:hAnsi="宋体" w:cs="宋体"/>
                <w:color w:val="000000"/>
              </w:rPr>
              <w:t>3.《医疗美容服务管理办法》（2002年卫生部令第19号）第六条第一款：“申请举办美容医疗机构的单位或者个人，应按照本办法以及《医疗机构管理条例》和《医疗机构管理条例实施细则》的有关规定办理设置审批和登记注册手续。”</w:t>
            </w:r>
          </w:p>
          <w:p>
            <w:pPr>
              <w:adjustRightInd w:val="0"/>
              <w:snapToGrid w:val="0"/>
              <w:spacing w:line="260" w:lineRule="exact"/>
              <w:ind w:firstLine="420" w:firstLineChars="200"/>
              <w:rPr>
                <w:rFonts w:ascii="宋体" w:hAnsi="宋体" w:cs="宋体"/>
                <w:color w:val="000000"/>
              </w:rPr>
            </w:pPr>
            <w:r>
              <w:rPr>
                <w:rFonts w:hint="eastAsia" w:ascii="宋体" w:hAnsi="宋体" w:cs="宋体"/>
                <w:color w:val="000000"/>
              </w:rPr>
              <w:t>4.《卫生部国家中医药管理局财政部国家计委关于城镇医疗机构分类管理实施意见》（卫医发〔2000〕233号）和卫生部《关于印发城镇医疗机构分类登记暂行规定的通知》（卫医发〔2000〕385号）规定，医疗机构按《医疗机构管理条例》进行设置审批、登记注册和校验时，需要书面向卫生行政部门申明其性质，由接受其登记注册的卫生行政部门会同有关部门根据医疗机构投资来源、经营性质等有关分类界定的规定予以核定。</w:t>
            </w:r>
          </w:p>
          <w:p>
            <w:pPr>
              <w:adjustRightInd w:val="0"/>
              <w:snapToGrid w:val="0"/>
              <w:spacing w:line="260" w:lineRule="exact"/>
              <w:ind w:firstLine="420" w:firstLineChars="200"/>
              <w:rPr>
                <w:rFonts w:ascii="宋体" w:hAnsi="宋体" w:cs="宋体"/>
                <w:color w:val="000000"/>
              </w:rPr>
            </w:pPr>
            <w:r>
              <w:rPr>
                <w:rFonts w:hint="eastAsia" w:ascii="宋体" w:hAnsi="宋体" w:cs="宋体"/>
                <w:color w:val="000000"/>
              </w:rPr>
              <w:t>5.《卫生部办公厅关于修订&lt;医疗机构管理条例实施细则&gt;部分附表的通知》（卫办医〔2008〕125号）</w:t>
            </w:r>
          </w:p>
          <w:p>
            <w:pPr>
              <w:adjustRightInd w:val="0"/>
              <w:snapToGrid w:val="0"/>
              <w:spacing w:line="260" w:lineRule="exact"/>
              <w:ind w:firstLine="420" w:firstLineChars="200"/>
              <w:rPr>
                <w:rFonts w:ascii="宋体" w:hAnsi="宋体" w:cs="宋体"/>
                <w:color w:val="000000"/>
              </w:rPr>
            </w:pPr>
            <w:r>
              <w:rPr>
                <w:rFonts w:hint="eastAsia" w:ascii="宋体" w:hAnsi="宋体" w:cs="宋体"/>
                <w:color w:val="000000"/>
              </w:rPr>
              <w:t>6.《四川省卫生厅关于进一步规范医疗机构审批工作的通知》（川卫办发〔2007〕285号）</w:t>
            </w:r>
          </w:p>
        </w:tc>
      </w:tr>
      <w:tr>
        <w:tblPrEx>
          <w:tblCellMar>
            <w:top w:w="0" w:type="dxa"/>
            <w:left w:w="57" w:type="dxa"/>
            <w:bottom w:w="0" w:type="dxa"/>
            <w:right w:w="57" w:type="dxa"/>
          </w:tblCellMar>
        </w:tblPrEx>
        <w:trPr>
          <w:trHeight w:val="164"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38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57" w:type="dxa"/>
            <w:bottom w:w="0" w:type="dxa"/>
            <w:right w:w="57" w:type="dxa"/>
          </w:tblCellMar>
        </w:tblPrEx>
        <w:trPr>
          <w:trHeight w:val="90"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389"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cs="宋体"/>
                <w:color w:val="000000"/>
              </w:rPr>
            </w:pPr>
            <w:r>
              <w:rPr>
                <w:rFonts w:hint="eastAsia" w:ascii="宋体" w:hAnsi="宋体" w:cs="宋体"/>
                <w:color w:val="000000"/>
              </w:rPr>
              <w:t xml:space="preserve">1.受理责任：公示人体器官移植医师职业资格认定应当提交的材料，一次性告知补正材料，依法受理或不予受理（不予受理应当告知理由）。 </w:t>
            </w:r>
          </w:p>
          <w:p>
            <w:pPr>
              <w:spacing w:line="260" w:lineRule="exact"/>
              <w:ind w:firstLine="420" w:firstLineChars="200"/>
              <w:textAlignment w:val="center"/>
              <w:rPr>
                <w:rFonts w:ascii="宋体" w:hAnsi="宋体" w:cs="宋体"/>
                <w:color w:val="000000"/>
              </w:rPr>
            </w:pPr>
            <w:r>
              <w:rPr>
                <w:rFonts w:hint="eastAsia" w:ascii="宋体" w:hAnsi="宋体" w:cs="宋体"/>
                <w:color w:val="000000"/>
              </w:rPr>
              <w:t xml:space="preserve">2.审查责任：对提交的材料进行审查，提出审查意见。 </w:t>
            </w:r>
          </w:p>
          <w:p>
            <w:pPr>
              <w:spacing w:line="260" w:lineRule="exact"/>
              <w:ind w:firstLine="420" w:firstLineChars="200"/>
              <w:textAlignment w:val="center"/>
              <w:rPr>
                <w:rFonts w:ascii="宋体" w:hAnsi="宋体" w:cs="宋体"/>
                <w:color w:val="000000"/>
              </w:rPr>
            </w:pPr>
            <w:r>
              <w:rPr>
                <w:rFonts w:hint="eastAsia" w:ascii="宋体" w:hAnsi="宋体" w:cs="宋体"/>
                <w:color w:val="000000"/>
              </w:rPr>
              <w:t xml:space="preserve">3.决定责任：在规定时限内，作出行政许可或者不予行政许可决定。法定告知（不予许可的应当书面告知理由）。 </w:t>
            </w:r>
          </w:p>
          <w:p>
            <w:pPr>
              <w:spacing w:line="260" w:lineRule="exact"/>
              <w:textAlignment w:val="center"/>
              <w:rPr>
                <w:rFonts w:ascii="宋体" w:hAnsi="宋体" w:cs="宋体"/>
                <w:color w:val="000000"/>
              </w:rPr>
            </w:pPr>
            <w:r>
              <w:rPr>
                <w:rFonts w:hint="eastAsia" w:ascii="宋体" w:hAnsi="宋体" w:cs="宋体"/>
                <w:color w:val="000000"/>
              </w:rPr>
              <w:t xml:space="preserve">    4.事后监督责任：建立实施监督检查的运行机制和管理制度，开展定期和不定期检查，依法采取相关处置措施。 </w:t>
            </w:r>
          </w:p>
          <w:p>
            <w:pPr>
              <w:spacing w:line="260" w:lineRule="exact"/>
              <w:ind w:firstLine="420" w:firstLineChars="200"/>
              <w:textAlignment w:val="center"/>
              <w:rPr>
                <w:rFonts w:ascii="宋体" w:hAnsi="宋体" w:cs="宋体"/>
                <w:color w:val="000000"/>
              </w:rPr>
            </w:pPr>
            <w:r>
              <w:rPr>
                <w:rFonts w:hint="eastAsia" w:ascii="宋体" w:hAnsi="宋体" w:cs="宋体"/>
                <w:color w:val="000000"/>
              </w:rPr>
              <w:t xml:space="preserve">5.其他责任：法律法规规章文件规定应履行的其他责任。 </w:t>
            </w:r>
          </w:p>
        </w:tc>
      </w:tr>
      <w:tr>
        <w:tblPrEx>
          <w:tblCellMar>
            <w:top w:w="0" w:type="dxa"/>
            <w:left w:w="57" w:type="dxa"/>
            <w:bottom w:w="0" w:type="dxa"/>
            <w:right w:w="57" w:type="dxa"/>
          </w:tblCellMar>
        </w:tblPrEx>
        <w:trPr>
          <w:trHeight w:val="2055"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kern w:val="0"/>
              </w:rPr>
            </w:pPr>
            <w:r>
              <w:rPr>
                <w:rFonts w:hint="eastAsia" w:ascii="宋体" w:hAnsi="宋体" w:cs="宋体"/>
                <w:color w:val="000000"/>
              </w:rPr>
              <w:t>追责情形</w:t>
            </w:r>
          </w:p>
        </w:tc>
        <w:tc>
          <w:tcPr>
            <w:tcW w:w="8389"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cs="宋体"/>
                <w:color w:val="000000"/>
              </w:rPr>
            </w:pPr>
            <w:r>
              <w:rPr>
                <w:rFonts w:hint="eastAsia" w:ascii="Times New Roman" w:hAnsi="Times New Roman"/>
                <w:color w:val="000000"/>
                <w:szCs w:val="21"/>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color w:val="000000"/>
              </w:rPr>
              <w:t>《医疗机构管理条例》《医疗机构管理条例实施细则》《医疗美容服务管理办法》《卫生部国家中医药管理局财政部国家计委关于城镇医疗机构分类管理实施意见》《卫生部办公厅关于修订&lt;医疗机构管理条例实施细则&gt;部分附表的通知》《四川省卫生厅关于进一步规范医疗机构审批工作的通知》</w:t>
            </w:r>
            <w:r>
              <w:rPr>
                <w:rFonts w:hint="eastAsia" w:ascii="Times New Roman" w:hAnsi="Times New Roman"/>
                <w:color w:val="000000"/>
                <w:szCs w:val="21"/>
              </w:rPr>
              <w:t>等法律法规规章的相关规定追究相应的责任。</w:t>
            </w:r>
          </w:p>
        </w:tc>
      </w:tr>
      <w:tr>
        <w:tblPrEx>
          <w:tblCellMar>
            <w:top w:w="0" w:type="dxa"/>
            <w:left w:w="57" w:type="dxa"/>
            <w:bottom w:w="0" w:type="dxa"/>
            <w:right w:w="57" w:type="dxa"/>
          </w:tblCellMar>
        </w:tblPrEx>
        <w:trPr>
          <w:trHeight w:val="843"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38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12345</w:t>
            </w:r>
          </w:p>
        </w:tc>
      </w:tr>
    </w:tbl>
    <w:p>
      <w:pPr>
        <w:spacing w:line="260" w:lineRule="exact"/>
        <w:rPr>
          <w:rFonts w:ascii="宋体" w:hAnsi="宋体" w:cs="宋体"/>
          <w:color w:val="000000"/>
        </w:rPr>
      </w:pPr>
      <w:r>
        <w:rPr>
          <w:rFonts w:hint="eastAsia" w:ascii="宋体" w:hAnsi="宋体" w:cs="宋体"/>
          <w:color w:val="000000"/>
        </w:rPr>
        <w:t>表2-5</w:t>
      </w:r>
    </w:p>
    <w:tbl>
      <w:tblPr>
        <w:tblStyle w:val="13"/>
        <w:tblW w:w="8937" w:type="dxa"/>
        <w:tblInd w:w="51" w:type="dxa"/>
        <w:tblLayout w:type="fixed"/>
        <w:tblCellMar>
          <w:top w:w="0" w:type="dxa"/>
          <w:left w:w="57" w:type="dxa"/>
          <w:bottom w:w="0" w:type="dxa"/>
          <w:right w:w="57" w:type="dxa"/>
        </w:tblCellMar>
      </w:tblPr>
      <w:tblGrid>
        <w:gridCol w:w="547"/>
        <w:gridCol w:w="8390"/>
      </w:tblGrid>
      <w:tr>
        <w:tblPrEx>
          <w:tblCellMar>
            <w:top w:w="0" w:type="dxa"/>
            <w:left w:w="57" w:type="dxa"/>
            <w:bottom w:w="0" w:type="dxa"/>
            <w:right w:w="57" w:type="dxa"/>
          </w:tblCellMar>
        </w:tblPrEx>
        <w:trPr>
          <w:trHeight w:val="50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5</w:t>
            </w:r>
          </w:p>
        </w:tc>
      </w:tr>
      <w:tr>
        <w:tblPrEx>
          <w:tblCellMar>
            <w:top w:w="0" w:type="dxa"/>
            <w:left w:w="57" w:type="dxa"/>
            <w:bottom w:w="0" w:type="dxa"/>
            <w:right w:w="57" w:type="dxa"/>
          </w:tblCellMar>
        </w:tblPrEx>
        <w:trPr>
          <w:trHeight w:val="73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行政许可</w:t>
            </w:r>
          </w:p>
        </w:tc>
      </w:tr>
      <w:tr>
        <w:tblPrEx>
          <w:tblCellMar>
            <w:top w:w="0" w:type="dxa"/>
            <w:left w:w="57" w:type="dxa"/>
            <w:bottom w:w="0" w:type="dxa"/>
            <w:right w:w="57" w:type="dxa"/>
          </w:tblCellMar>
        </w:tblPrEx>
        <w:trPr>
          <w:trHeight w:val="39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医师执业注册</w:t>
            </w:r>
          </w:p>
        </w:tc>
      </w:tr>
      <w:tr>
        <w:tblPrEx>
          <w:tblCellMar>
            <w:top w:w="0" w:type="dxa"/>
            <w:left w:w="57" w:type="dxa"/>
            <w:bottom w:w="0" w:type="dxa"/>
            <w:right w:w="57" w:type="dxa"/>
          </w:tblCellMar>
        </w:tblPrEx>
        <w:trPr>
          <w:trHeight w:val="388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color w:val="000000"/>
                <w:szCs w:val="21"/>
              </w:rPr>
            </w:pPr>
            <w:r>
              <w:rPr>
                <w:rFonts w:hint="eastAsia" w:ascii="宋体" w:hAnsi="宋体" w:cs="宋体"/>
                <w:color w:val="000000"/>
                <w:szCs w:val="21"/>
              </w:rPr>
              <w:t>1.《中华人民共和国执业医师法》（1998年6月26日中华人民共和国主席令第五号公布）第十三</w:t>
            </w:r>
            <w:r>
              <w:rPr>
                <w:rFonts w:hint="eastAsia" w:ascii="宋体" w:hAnsi="宋体" w:cs="宋体"/>
                <w:szCs w:val="21"/>
              </w:rPr>
              <w:t>条：“国家</w:t>
            </w:r>
            <w:r>
              <w:rPr>
                <w:rFonts w:hint="eastAsia" w:ascii="宋体" w:hAnsi="宋体" w:cs="宋体"/>
                <w:color w:val="000000"/>
                <w:szCs w:val="21"/>
              </w:rPr>
              <w:t>实行医师执业注册制度。取得医师资格的，可以向所在地县级以上人民政府卫生行政部门申请注册。除有本法第十五条规定的情形外，受理申请的卫生行政部门应当自收到申请之日起三十日内准予注册，并发给由国务院卫生行政部门统一印制的医师执业证书。医疗、预防、保健机构可以为本机构中的医师集体办理注册手续。”</w:t>
            </w:r>
          </w:p>
          <w:p>
            <w:pPr>
              <w:spacing w:line="260" w:lineRule="exact"/>
              <w:ind w:firstLine="420" w:firstLineChars="200"/>
              <w:rPr>
                <w:rFonts w:ascii="宋体" w:hAnsi="宋体" w:cs="宋体"/>
                <w:color w:val="000000"/>
                <w:szCs w:val="21"/>
              </w:rPr>
            </w:pPr>
            <w:r>
              <w:rPr>
                <w:rFonts w:hint="eastAsia" w:ascii="宋体" w:hAnsi="宋体" w:cs="宋体"/>
                <w:color w:val="000000"/>
                <w:szCs w:val="21"/>
              </w:rPr>
              <w:t>2.《中华人民共和国执业医师法》（1998年6月6日中华人民共和国主席令第五号公布）第十四</w:t>
            </w:r>
            <w:r>
              <w:rPr>
                <w:rFonts w:hint="eastAsia" w:ascii="宋体" w:hAnsi="宋体" w:cs="宋体"/>
                <w:szCs w:val="21"/>
              </w:rPr>
              <w:t>条：“医</w:t>
            </w:r>
            <w:r>
              <w:rPr>
                <w:rFonts w:hint="eastAsia" w:ascii="宋体" w:hAnsi="宋体" w:cs="宋体"/>
                <w:color w:val="000000"/>
                <w:szCs w:val="21"/>
              </w:rPr>
              <w:t>师经注册后，可以在医疗、预防、保健机构中按照注册的执业地点、执业类别、执业范围执业，从事相应的医疗、预防、保健业务。未经医师注册取得执业证书，不得从事医师执业活动。”</w:t>
            </w:r>
          </w:p>
          <w:p>
            <w:pPr>
              <w:spacing w:line="260" w:lineRule="exact"/>
              <w:ind w:firstLine="420" w:firstLineChars="200"/>
              <w:textAlignment w:val="center"/>
              <w:rPr>
                <w:rFonts w:ascii="宋体" w:hAnsi="宋体" w:cs="宋体"/>
                <w:color w:val="000000"/>
              </w:rPr>
            </w:pPr>
            <w:r>
              <w:rPr>
                <w:rFonts w:hint="eastAsia" w:ascii="宋体" w:hAnsi="宋体" w:cs="宋体"/>
                <w:color w:val="000000"/>
              </w:rPr>
              <w:t>3.《医师执业注册暂行办法》（卫生部令第5号）第二条：“医师经注册取得《医师执业证书》后，方可按照注册的执业地点、执业类别、执业范围，从事相应的医疗、预防、保健活动。执业地点是指医师执业的医疗、预防、保健机构及其登记注册的地址。执业类别是指临床、中医（包括中医、民族医和中西医结合）、口腔、公共卫生。未经注册取得《医师执业证书》者，不得从事医疗、预防、保健活动。”</w:t>
            </w:r>
          </w:p>
        </w:tc>
      </w:tr>
      <w:tr>
        <w:tblPrEx>
          <w:tblCellMar>
            <w:top w:w="0" w:type="dxa"/>
            <w:left w:w="57" w:type="dxa"/>
            <w:bottom w:w="0" w:type="dxa"/>
            <w:right w:w="57" w:type="dxa"/>
          </w:tblCellMar>
        </w:tblPrEx>
        <w:trPr>
          <w:trHeight w:val="33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ascii="宋体" w:hAnsi="宋体" w:cs="宋体"/>
                <w:color w:val="000000"/>
              </w:rPr>
            </w:pPr>
            <w:r>
              <w:rPr>
                <w:rFonts w:hint="eastAsia" w:ascii="宋体" w:hAnsi="宋体" w:cs="宋体"/>
                <w:color w:val="000000"/>
              </w:rPr>
              <w:t>责任主体</w:t>
            </w:r>
          </w:p>
        </w:tc>
        <w:tc>
          <w:tcPr>
            <w:tcW w:w="8390" w:type="dxa"/>
            <w:tcBorders>
              <w:top w:val="single" w:color="auto" w:sz="4" w:space="0"/>
              <w:left w:val="nil"/>
              <w:bottom w:val="single" w:color="auto" w:sz="4" w:space="0"/>
              <w:right w:val="single" w:color="auto" w:sz="4" w:space="0"/>
            </w:tcBorders>
            <w:vAlign w:val="center"/>
          </w:tcPr>
          <w:p>
            <w:pPr>
              <w:spacing w:line="300" w:lineRule="exact"/>
              <w:ind w:firstLine="420"/>
              <w:jc w:val="center"/>
              <w:textAlignment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57" w:type="dxa"/>
            <w:bottom w:w="0" w:type="dxa"/>
            <w:right w:w="57" w:type="dxa"/>
          </w:tblCellMar>
        </w:tblPrEx>
        <w:trPr>
          <w:trHeight w:val="320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ascii="宋体" w:hAnsi="宋体" w:cs="宋体"/>
                <w:color w:val="000000"/>
              </w:rPr>
            </w:pPr>
            <w:r>
              <w:rPr>
                <w:rFonts w:hint="eastAsia" w:ascii="宋体" w:hAnsi="宋体" w:cs="宋体"/>
                <w:color w:val="000000"/>
              </w:rPr>
              <w:t>责任事项</w:t>
            </w:r>
          </w:p>
        </w:tc>
        <w:tc>
          <w:tcPr>
            <w:tcW w:w="8390" w:type="dxa"/>
            <w:tcBorders>
              <w:top w:val="single" w:color="auto" w:sz="4" w:space="0"/>
              <w:left w:val="nil"/>
              <w:bottom w:val="single" w:color="auto" w:sz="4" w:space="0"/>
              <w:right w:val="single" w:color="auto" w:sz="4" w:space="0"/>
            </w:tcBorders>
            <w:vAlign w:val="center"/>
          </w:tcPr>
          <w:p>
            <w:pPr>
              <w:spacing w:line="300" w:lineRule="exact"/>
              <w:ind w:firstLine="420" w:firstLineChars="200"/>
              <w:jc w:val="left"/>
              <w:rPr>
                <w:rFonts w:ascii="宋体" w:hAnsi="宋体" w:cs="宋体"/>
                <w:color w:val="000000"/>
              </w:rPr>
            </w:pPr>
            <w:r>
              <w:rPr>
                <w:rFonts w:hint="eastAsia" w:ascii="宋体" w:hAnsi="宋体" w:cs="宋体"/>
                <w:color w:val="000000"/>
              </w:rPr>
              <w:t>1.受理责任：公示应当提交的材料，一次性告知补正材料，依法受理或不予受理（不予受理应当告知理由）。</w:t>
            </w:r>
          </w:p>
          <w:p>
            <w:pPr>
              <w:spacing w:line="300" w:lineRule="exact"/>
              <w:ind w:firstLine="420" w:firstLineChars="200"/>
              <w:jc w:val="left"/>
              <w:rPr>
                <w:rFonts w:ascii="宋体" w:hAnsi="宋体" w:cs="宋体"/>
                <w:color w:val="000000"/>
              </w:rPr>
            </w:pPr>
            <w:r>
              <w:rPr>
                <w:rFonts w:hint="eastAsia" w:ascii="宋体" w:hAnsi="宋体" w:cs="宋体"/>
                <w:color w:val="000000"/>
              </w:rPr>
              <w:t>2.审查责任：根据有关法律、法规、规章的规定，对书面申请材料进行审查，提出是否同意筹建的审核意见，组织现场检查验收，告知申请人、利害相关人享有听证权利；涉及公共利益的重大许可，向社会公告并举行听证。</w:t>
            </w:r>
          </w:p>
          <w:p>
            <w:pPr>
              <w:spacing w:line="300" w:lineRule="exact"/>
              <w:ind w:firstLine="420" w:firstLineChars="200"/>
              <w:jc w:val="left"/>
              <w:rPr>
                <w:rFonts w:ascii="宋体" w:hAnsi="宋体" w:cs="宋体"/>
                <w:color w:val="000000"/>
              </w:rPr>
            </w:pPr>
            <w:r>
              <w:rPr>
                <w:rFonts w:hint="eastAsia" w:ascii="宋体" w:hAnsi="宋体" w:cs="宋体"/>
                <w:color w:val="000000"/>
              </w:rPr>
              <w:t>3.决定责任：作出行政许可或者不予行政许可决定，法定告知（不予许可的应当书面告知理由）。</w:t>
            </w:r>
          </w:p>
          <w:p>
            <w:pPr>
              <w:spacing w:line="300" w:lineRule="exact"/>
              <w:ind w:firstLine="420" w:firstLineChars="200"/>
              <w:jc w:val="left"/>
              <w:rPr>
                <w:rFonts w:ascii="宋体" w:hAnsi="宋体" w:cs="宋体"/>
                <w:color w:val="000000"/>
              </w:rPr>
            </w:pPr>
            <w:r>
              <w:rPr>
                <w:rFonts w:hint="eastAsia" w:ascii="宋体" w:hAnsi="宋体" w:cs="宋体"/>
                <w:color w:val="000000"/>
              </w:rPr>
              <w:t>4.事后监督责任：建立实施监督检查的运行机制和管理制度，开展定期和不定期检查，依法采取相关处置措施。</w:t>
            </w:r>
          </w:p>
          <w:p>
            <w:pPr>
              <w:spacing w:line="300" w:lineRule="exact"/>
              <w:ind w:firstLine="411" w:firstLineChars="196"/>
              <w:textAlignment w:val="center"/>
              <w:rPr>
                <w:rFonts w:ascii="宋体" w:hAnsi="宋体" w:cs="宋体"/>
                <w:color w:val="000000"/>
              </w:rPr>
            </w:pPr>
            <w:r>
              <w:rPr>
                <w:rFonts w:hint="eastAsia" w:ascii="宋体" w:hAnsi="宋体" w:cs="宋体"/>
                <w:color w:val="000000"/>
              </w:rPr>
              <w:t>5.其他责任：法律法规规章文件规定应履行的其他责任。</w:t>
            </w:r>
          </w:p>
        </w:tc>
      </w:tr>
      <w:tr>
        <w:tblPrEx>
          <w:tblCellMar>
            <w:top w:w="0" w:type="dxa"/>
            <w:left w:w="57" w:type="dxa"/>
            <w:bottom w:w="0" w:type="dxa"/>
            <w:right w:w="57" w:type="dxa"/>
          </w:tblCellMar>
        </w:tblPrEx>
        <w:trPr>
          <w:trHeight w:val="1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ascii="宋体" w:hAnsi="宋体" w:cs="宋体"/>
                <w:color w:val="000000"/>
                <w:kern w:val="0"/>
              </w:rPr>
            </w:pPr>
            <w:r>
              <w:rPr>
                <w:rFonts w:hint="eastAsia" w:ascii="宋体" w:hAnsi="宋体" w:cs="宋体"/>
                <w:color w:val="000000"/>
              </w:rPr>
              <w:t>追责情形</w:t>
            </w:r>
          </w:p>
        </w:tc>
        <w:tc>
          <w:tcPr>
            <w:tcW w:w="8390" w:type="dxa"/>
            <w:tcBorders>
              <w:top w:val="single" w:color="auto" w:sz="4" w:space="0"/>
              <w:left w:val="nil"/>
              <w:bottom w:val="single" w:color="auto" w:sz="4" w:space="0"/>
              <w:right w:val="single" w:color="auto" w:sz="4" w:space="0"/>
            </w:tcBorders>
            <w:vAlign w:val="center"/>
          </w:tcPr>
          <w:p>
            <w:pPr>
              <w:spacing w:line="300" w:lineRule="exact"/>
              <w:ind w:firstLine="420" w:firstLineChars="200"/>
              <w:textAlignment w:val="center"/>
              <w:rPr>
                <w:rFonts w:ascii="宋体" w:hAnsi="宋体" w:cs="宋体"/>
                <w:color w:val="000000"/>
              </w:rPr>
            </w:pPr>
            <w:r>
              <w:rPr>
                <w:rFonts w:hint="eastAsia" w:ascii="Times New Roman" w:hAnsi="Times New Roman"/>
                <w:color w:val="000000"/>
                <w:szCs w:val="21"/>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color w:val="000000"/>
              </w:rPr>
              <w:t>《中华人民共和国执业医师法》《医师执业注册暂行办法》</w:t>
            </w:r>
            <w:r>
              <w:rPr>
                <w:rFonts w:hint="eastAsia" w:ascii="Times New Roman" w:hAnsi="Times New Roman"/>
                <w:color w:val="000000"/>
                <w:szCs w:val="21"/>
              </w:rPr>
              <w:t>等法律法规规章的相关规定追究相应的责任。</w:t>
            </w:r>
          </w:p>
        </w:tc>
      </w:tr>
      <w:tr>
        <w:tblPrEx>
          <w:tblCellMar>
            <w:top w:w="0" w:type="dxa"/>
            <w:left w:w="57" w:type="dxa"/>
            <w:bottom w:w="0" w:type="dxa"/>
            <w:right w:w="57" w:type="dxa"/>
          </w:tblCellMar>
        </w:tblPrEx>
        <w:trPr>
          <w:trHeight w:val="1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ascii="宋体" w:hAnsi="宋体" w:cs="宋体"/>
                <w:color w:val="000000"/>
              </w:rPr>
            </w:pPr>
            <w:r>
              <w:rPr>
                <w:rFonts w:hint="eastAsia" w:ascii="宋体" w:hAnsi="宋体" w:cs="宋体"/>
                <w:color w:val="000000"/>
              </w:rPr>
              <w:t>监督电话</w:t>
            </w:r>
          </w:p>
        </w:tc>
        <w:tc>
          <w:tcPr>
            <w:tcW w:w="8390" w:type="dxa"/>
            <w:tcBorders>
              <w:top w:val="single" w:color="auto" w:sz="4" w:space="0"/>
              <w:left w:val="nil"/>
              <w:bottom w:val="single" w:color="auto" w:sz="4" w:space="0"/>
              <w:right w:val="single" w:color="auto" w:sz="4" w:space="0"/>
            </w:tcBorders>
            <w:vAlign w:val="center"/>
          </w:tcPr>
          <w:p>
            <w:pPr>
              <w:spacing w:line="300" w:lineRule="exact"/>
              <w:ind w:firstLine="420"/>
              <w:jc w:val="center"/>
              <w:textAlignment w:val="center"/>
              <w:rPr>
                <w:rFonts w:ascii="宋体" w:hAnsi="宋体" w:cs="宋体"/>
                <w:color w:val="000000"/>
              </w:rPr>
            </w:pPr>
            <w:r>
              <w:rPr>
                <w:rFonts w:hint="eastAsia" w:ascii="宋体" w:hAnsi="宋体" w:cs="宋体"/>
                <w:color w:val="000000"/>
              </w:rPr>
              <w:t>12345</w:t>
            </w:r>
          </w:p>
        </w:tc>
      </w:tr>
    </w:tbl>
    <w:p>
      <w:pPr>
        <w:rPr>
          <w:rFonts w:ascii="宋体" w:hAnsi="宋体" w:cs="宋体"/>
          <w:color w:val="000000"/>
        </w:rPr>
      </w:pPr>
      <w:r>
        <w:rPr>
          <w:rFonts w:hint="eastAsia" w:ascii="宋体" w:hAnsi="宋体" w:cs="宋体"/>
          <w:color w:val="000000"/>
        </w:rPr>
        <w:t>表2-6</w:t>
      </w:r>
    </w:p>
    <w:tbl>
      <w:tblPr>
        <w:tblStyle w:val="13"/>
        <w:tblW w:w="9024" w:type="dxa"/>
        <w:jc w:val="center"/>
        <w:tblLayout w:type="fixed"/>
        <w:tblCellMar>
          <w:top w:w="0" w:type="dxa"/>
          <w:left w:w="28" w:type="dxa"/>
          <w:bottom w:w="0" w:type="dxa"/>
          <w:right w:w="28" w:type="dxa"/>
        </w:tblCellMar>
      </w:tblPr>
      <w:tblGrid>
        <w:gridCol w:w="620"/>
        <w:gridCol w:w="8404"/>
      </w:tblGrid>
      <w:tr>
        <w:tblPrEx>
          <w:tblCellMar>
            <w:top w:w="0" w:type="dxa"/>
            <w:left w:w="28" w:type="dxa"/>
            <w:bottom w:w="0" w:type="dxa"/>
            <w:right w:w="28" w:type="dxa"/>
          </w:tblCellMar>
        </w:tblPrEx>
        <w:trPr>
          <w:trHeight w:val="608"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rPr>
            </w:pPr>
            <w:r>
              <w:rPr>
                <w:rFonts w:hint="eastAsia" w:ascii="宋体" w:hAnsi="宋体" w:cs="宋体"/>
                <w:color w:val="000000"/>
              </w:rPr>
              <w:t>序号</w:t>
            </w:r>
          </w:p>
        </w:tc>
        <w:tc>
          <w:tcPr>
            <w:tcW w:w="8404"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cs="宋体"/>
                <w:color w:val="000000"/>
              </w:rPr>
            </w:pPr>
            <w:r>
              <w:rPr>
                <w:rFonts w:hint="eastAsia" w:ascii="宋体" w:hAnsi="宋体" w:cs="宋体"/>
                <w:color w:val="000000"/>
              </w:rPr>
              <w:t>6</w:t>
            </w:r>
          </w:p>
        </w:tc>
      </w:tr>
      <w:tr>
        <w:tblPrEx>
          <w:tblCellMar>
            <w:top w:w="0" w:type="dxa"/>
            <w:left w:w="28" w:type="dxa"/>
            <w:bottom w:w="0" w:type="dxa"/>
            <w:right w:w="28" w:type="dxa"/>
          </w:tblCellMar>
        </w:tblPrEx>
        <w:trPr>
          <w:trHeight w:val="616"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rPr>
            </w:pPr>
            <w:r>
              <w:rPr>
                <w:rFonts w:hint="eastAsia" w:ascii="宋体" w:hAnsi="宋体" w:cs="宋体"/>
                <w:color w:val="000000"/>
              </w:rPr>
              <w:t>权力类型</w:t>
            </w:r>
          </w:p>
        </w:tc>
        <w:tc>
          <w:tcPr>
            <w:tcW w:w="8404"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cs="宋体"/>
                <w:color w:val="000000"/>
              </w:rPr>
            </w:pPr>
            <w:r>
              <w:rPr>
                <w:rFonts w:hint="eastAsia" w:ascii="宋体" w:hAnsi="宋体" w:cs="宋体"/>
                <w:color w:val="000000"/>
              </w:rPr>
              <w:t>行政许可</w:t>
            </w:r>
          </w:p>
        </w:tc>
      </w:tr>
      <w:tr>
        <w:tblPrEx>
          <w:tblCellMar>
            <w:top w:w="0" w:type="dxa"/>
            <w:left w:w="28" w:type="dxa"/>
            <w:bottom w:w="0" w:type="dxa"/>
            <w:right w:w="28" w:type="dxa"/>
          </w:tblCellMar>
        </w:tblPrEx>
        <w:trPr>
          <w:trHeight w:val="499"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rPr>
            </w:pPr>
            <w:r>
              <w:rPr>
                <w:rFonts w:hint="eastAsia" w:ascii="宋体" w:hAnsi="宋体" w:cs="宋体"/>
                <w:color w:val="000000"/>
              </w:rPr>
              <w:t>权力项目名称</w:t>
            </w:r>
          </w:p>
        </w:tc>
        <w:tc>
          <w:tcPr>
            <w:tcW w:w="8404" w:type="dxa"/>
            <w:tcBorders>
              <w:top w:val="single" w:color="auto" w:sz="4" w:space="0"/>
              <w:left w:val="nil"/>
              <w:bottom w:val="single" w:color="auto" w:sz="4" w:space="0"/>
              <w:right w:val="single" w:color="auto" w:sz="4" w:space="0"/>
            </w:tcBorders>
            <w:vAlign w:val="center"/>
          </w:tcPr>
          <w:p>
            <w:pPr>
              <w:ind w:firstLine="3570" w:firstLineChars="1700"/>
              <w:rPr>
                <w:rFonts w:ascii="宋体" w:hAnsi="宋体" w:cs="宋体"/>
                <w:color w:val="000000"/>
              </w:rPr>
            </w:pPr>
            <w:r>
              <w:rPr>
                <w:rFonts w:hint="eastAsia" w:ascii="宋体" w:hAnsi="宋体" w:cs="宋体"/>
                <w:color w:val="000000"/>
              </w:rPr>
              <w:t>护士执业注册</w:t>
            </w:r>
          </w:p>
        </w:tc>
      </w:tr>
      <w:tr>
        <w:tblPrEx>
          <w:tblCellMar>
            <w:top w:w="0" w:type="dxa"/>
            <w:left w:w="28" w:type="dxa"/>
            <w:bottom w:w="0" w:type="dxa"/>
            <w:right w:w="28" w:type="dxa"/>
          </w:tblCellMar>
        </w:tblPrEx>
        <w:trPr>
          <w:trHeight w:val="2478"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实施依据</w:t>
            </w:r>
          </w:p>
        </w:tc>
        <w:tc>
          <w:tcPr>
            <w:tcW w:w="8404"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cs="宋体"/>
                <w:color w:val="000000"/>
              </w:rPr>
            </w:pPr>
            <w:r>
              <w:rPr>
                <w:rFonts w:hint="eastAsia" w:ascii="宋体" w:hAnsi="宋体" w:cs="宋体"/>
                <w:color w:val="000000"/>
              </w:rPr>
              <w:t>1. 《护士条例》第七条：</w:t>
            </w:r>
            <w:r>
              <w:rPr>
                <w:rFonts w:hint="eastAsia" w:ascii="宋体" w:hAnsi="宋体" w:cs="宋体"/>
              </w:rPr>
              <w:t>“</w:t>
            </w:r>
            <w:r>
              <w:rPr>
                <w:rFonts w:hint="eastAsia" w:ascii="宋体" w:hAnsi="宋体" w:cs="宋体"/>
                <w:color w:val="000000"/>
              </w:rPr>
              <w:t>护士执业，应当经执业注册取得护士执业证书。”第八条：“申请护士执业注册的，应当向拟执业地省、自治区、直辖市人民政府卫生主管部门提出申请。收到申请的卫生主管部门应当自收到申请之日起20个工作日内做出决定，对具备本条例规定条件的，准予注册，并发给护士执业证书；对不具备本条例规定条件的，不予注册，并书面说明理由。”</w:t>
            </w:r>
          </w:p>
          <w:p>
            <w:pPr>
              <w:ind w:firstLine="420" w:firstLineChars="200"/>
              <w:rPr>
                <w:rFonts w:ascii="宋体" w:hAnsi="宋体" w:cs="宋体"/>
                <w:color w:val="000000"/>
              </w:rPr>
            </w:pPr>
            <w:r>
              <w:rPr>
                <w:rFonts w:hint="eastAsia" w:ascii="宋体" w:hAnsi="宋体" w:cs="宋体"/>
                <w:color w:val="000000"/>
              </w:rPr>
              <w:t>2.《护士执业注册管理办法》（中华人民共和国卫生部令第59号）第二条:“护士经执业注册取得《护士执业证书》后，方可按照注册的执业地点从事护理工作。未经执业注册取得《护士执业证书》者，不得从事诊疗技术规范规定的护理活动。”</w:t>
            </w:r>
          </w:p>
          <w:p>
            <w:pPr>
              <w:ind w:firstLine="420" w:firstLineChars="200"/>
              <w:rPr>
                <w:rFonts w:ascii="宋体" w:hAnsi="宋体" w:cs="宋体"/>
                <w:color w:val="000000"/>
              </w:rPr>
            </w:pPr>
            <w:r>
              <w:rPr>
                <w:rFonts w:hint="eastAsia" w:ascii="宋体" w:hAnsi="宋体" w:cs="宋体"/>
                <w:color w:val="000000"/>
              </w:rPr>
              <w:t>3.《四川省护士执业注册实施细则》（试行）。</w:t>
            </w:r>
          </w:p>
          <w:p>
            <w:pPr>
              <w:ind w:firstLine="420" w:firstLineChars="200"/>
              <w:rPr>
                <w:rFonts w:ascii="宋体" w:hAnsi="宋体" w:cs="宋体"/>
                <w:color w:val="000000"/>
              </w:rPr>
            </w:pPr>
            <w:r>
              <w:rPr>
                <w:rFonts w:hint="eastAsia" w:ascii="宋体" w:hAnsi="宋体" w:cs="宋体"/>
                <w:color w:val="000000"/>
              </w:rPr>
              <w:t>4. 省人民政府《关于取消和下放第三批行政审批项目的决定》（川府发〔2013〕63号）。</w:t>
            </w:r>
          </w:p>
        </w:tc>
      </w:tr>
      <w:tr>
        <w:tblPrEx>
          <w:tblCellMar>
            <w:top w:w="0" w:type="dxa"/>
            <w:left w:w="28" w:type="dxa"/>
            <w:bottom w:w="0" w:type="dxa"/>
            <w:right w:w="28" w:type="dxa"/>
          </w:tblCellMar>
        </w:tblPrEx>
        <w:trPr>
          <w:trHeight w:val="468"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rPr>
            </w:pPr>
            <w:r>
              <w:rPr>
                <w:rFonts w:hint="eastAsia" w:ascii="宋体" w:hAnsi="宋体" w:cs="宋体"/>
                <w:color w:val="000000"/>
              </w:rPr>
              <w:t>责任主体</w:t>
            </w:r>
          </w:p>
        </w:tc>
        <w:tc>
          <w:tcPr>
            <w:tcW w:w="8404"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28" w:type="dxa"/>
            <w:bottom w:w="0" w:type="dxa"/>
            <w:right w:w="28" w:type="dxa"/>
          </w:tblCellMar>
        </w:tblPrEx>
        <w:trPr>
          <w:trHeight w:val="2248"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404" w:type="dxa"/>
            <w:tcBorders>
              <w:top w:val="single" w:color="auto" w:sz="4" w:space="0"/>
              <w:left w:val="nil"/>
              <w:bottom w:val="single" w:color="auto" w:sz="4" w:space="0"/>
              <w:right w:val="single" w:color="auto" w:sz="4" w:space="0"/>
            </w:tcBorders>
            <w:vAlign w:val="center"/>
          </w:tcPr>
          <w:p>
            <w:pPr>
              <w:spacing w:line="260" w:lineRule="exact"/>
              <w:ind w:firstLine="420" w:firstLineChars="200"/>
              <w:jc w:val="left"/>
              <w:rPr>
                <w:rFonts w:ascii="宋体" w:hAnsi="宋体" w:cs="宋体"/>
                <w:color w:val="000000"/>
              </w:rPr>
            </w:pPr>
            <w:r>
              <w:rPr>
                <w:rFonts w:hint="eastAsia" w:ascii="宋体" w:hAnsi="宋体" w:cs="宋体"/>
                <w:color w:val="000000"/>
              </w:rPr>
              <w:t>1.受理责任：公示应当提交的材料，一次性告知补正材料，依法受理或不予受理（不予受理应当告知理由）。</w:t>
            </w:r>
          </w:p>
          <w:p>
            <w:pPr>
              <w:spacing w:line="260" w:lineRule="exact"/>
              <w:ind w:firstLine="420" w:firstLineChars="200"/>
              <w:jc w:val="left"/>
              <w:rPr>
                <w:rFonts w:ascii="宋体" w:hAnsi="宋体" w:cs="宋体"/>
                <w:color w:val="000000"/>
              </w:rPr>
            </w:pPr>
            <w:r>
              <w:rPr>
                <w:rFonts w:hint="eastAsia" w:ascii="宋体" w:hAnsi="宋体" w:cs="宋体"/>
                <w:color w:val="000000"/>
              </w:rPr>
              <w:t>2.审查责任：根据有关法律、法规、规章的规定，对书面申请材料进行审查，提出是否同意的审核意见，告知申请人、利害相关人享有听证权利；涉及公共利益的重大许可，向社会公告并举行听证。</w:t>
            </w:r>
          </w:p>
          <w:p>
            <w:pPr>
              <w:spacing w:line="260" w:lineRule="exact"/>
              <w:ind w:firstLine="420" w:firstLineChars="200"/>
              <w:jc w:val="left"/>
              <w:rPr>
                <w:rFonts w:ascii="宋体" w:hAnsi="宋体" w:cs="宋体"/>
                <w:color w:val="000000"/>
              </w:rPr>
            </w:pPr>
            <w:r>
              <w:rPr>
                <w:rFonts w:hint="eastAsia" w:ascii="宋体" w:hAnsi="宋体" w:cs="宋体"/>
                <w:color w:val="000000"/>
              </w:rPr>
              <w:t>3.决定责任：作出行政许可或者不予行政许可决定，法定告知（不予许可的应当书面告知理由）。</w:t>
            </w:r>
          </w:p>
          <w:p>
            <w:pPr>
              <w:spacing w:line="260" w:lineRule="exact"/>
              <w:ind w:firstLine="420" w:firstLineChars="200"/>
              <w:jc w:val="left"/>
              <w:rPr>
                <w:rFonts w:ascii="宋体" w:hAnsi="宋体" w:cs="宋体"/>
                <w:color w:val="000000"/>
              </w:rPr>
            </w:pPr>
            <w:r>
              <w:rPr>
                <w:rFonts w:hint="eastAsia" w:ascii="宋体" w:hAnsi="宋体" w:cs="宋体"/>
                <w:color w:val="000000"/>
              </w:rPr>
              <w:t>4.事后监督责任：建立实施监督检查的运行机制和管理制度，开展定期和不定期检查，依法采取相关处置措施。</w:t>
            </w:r>
          </w:p>
          <w:p>
            <w:pPr>
              <w:spacing w:line="260" w:lineRule="exact"/>
              <w:ind w:firstLine="411" w:firstLineChars="196"/>
              <w:textAlignment w:val="center"/>
              <w:rPr>
                <w:rFonts w:ascii="宋体" w:hAnsi="宋体" w:cs="宋体"/>
                <w:color w:val="000000"/>
              </w:rPr>
            </w:pPr>
            <w:r>
              <w:rPr>
                <w:rFonts w:hint="eastAsia" w:ascii="宋体" w:hAnsi="宋体" w:cs="宋体"/>
                <w:color w:val="000000"/>
              </w:rPr>
              <w:t>5.其他责任：法律法规规章文件规定应履行的其他责任。</w:t>
            </w:r>
          </w:p>
        </w:tc>
      </w:tr>
      <w:tr>
        <w:tblPrEx>
          <w:tblCellMar>
            <w:top w:w="0" w:type="dxa"/>
            <w:left w:w="28" w:type="dxa"/>
            <w:bottom w:w="0" w:type="dxa"/>
            <w:right w:w="28" w:type="dxa"/>
          </w:tblCellMar>
        </w:tblPrEx>
        <w:trPr>
          <w:trHeight w:val="1227"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追责情形</w:t>
            </w:r>
          </w:p>
        </w:tc>
        <w:tc>
          <w:tcPr>
            <w:tcW w:w="8404"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cs="宋体"/>
                <w:color w:val="000000"/>
              </w:rPr>
            </w:pPr>
            <w:r>
              <w:rPr>
                <w:rFonts w:hint="eastAsia" w:ascii="Times New Roman" w:hAnsi="Times New Roman"/>
                <w:color w:val="000000"/>
                <w:szCs w:val="21"/>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color w:val="000000"/>
              </w:rPr>
              <w:t>《护士条例》《护士执业注册管理办法》《四川省护士执业注册实施细则》《关于取消和下放第三批行政审批项目的决定》</w:t>
            </w:r>
            <w:r>
              <w:rPr>
                <w:rFonts w:hint="eastAsia" w:ascii="Times New Roman" w:hAnsi="Times New Roman"/>
                <w:color w:val="000000"/>
                <w:szCs w:val="21"/>
              </w:rPr>
              <w:t>等法律法规规章的相关规定追究相应的责任。</w:t>
            </w:r>
          </w:p>
        </w:tc>
      </w:tr>
      <w:tr>
        <w:tblPrEx>
          <w:tblCellMar>
            <w:top w:w="0" w:type="dxa"/>
            <w:left w:w="28" w:type="dxa"/>
            <w:bottom w:w="0" w:type="dxa"/>
            <w:right w:w="28" w:type="dxa"/>
          </w:tblCellMar>
        </w:tblPrEx>
        <w:trPr>
          <w:trHeight w:val="618" w:hRule="atLeast"/>
          <w:jc w:val="center"/>
        </w:trPr>
        <w:tc>
          <w:tcPr>
            <w:tcW w:w="62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404" w:type="dxa"/>
            <w:tcBorders>
              <w:top w:val="single" w:color="auto" w:sz="4" w:space="0"/>
              <w:left w:val="nil"/>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12345</w:t>
            </w:r>
          </w:p>
        </w:tc>
      </w:tr>
    </w:tbl>
    <w:p>
      <w:pPr>
        <w:spacing w:line="260" w:lineRule="exact"/>
        <w:rPr>
          <w:rFonts w:ascii="宋体" w:hAnsi="宋体" w:cs="宋体"/>
          <w:color w:val="000000"/>
        </w:rPr>
      </w:pPr>
      <w:r>
        <w:rPr>
          <w:rFonts w:hint="eastAsia" w:ascii="宋体" w:hAnsi="宋体" w:cs="宋体"/>
          <w:color w:val="000000"/>
        </w:rPr>
        <w:t>表2-7</w:t>
      </w:r>
    </w:p>
    <w:tbl>
      <w:tblPr>
        <w:tblStyle w:val="13"/>
        <w:tblW w:w="9021" w:type="dxa"/>
        <w:jc w:val="center"/>
        <w:tblLayout w:type="fixed"/>
        <w:tblCellMar>
          <w:top w:w="0" w:type="dxa"/>
          <w:left w:w="57" w:type="dxa"/>
          <w:bottom w:w="0" w:type="dxa"/>
          <w:right w:w="57" w:type="dxa"/>
        </w:tblCellMar>
      </w:tblPr>
      <w:tblGrid>
        <w:gridCol w:w="552"/>
        <w:gridCol w:w="8469"/>
      </w:tblGrid>
      <w:tr>
        <w:tblPrEx>
          <w:tblCellMar>
            <w:top w:w="0" w:type="dxa"/>
            <w:left w:w="57" w:type="dxa"/>
            <w:bottom w:w="0" w:type="dxa"/>
            <w:right w:w="57" w:type="dxa"/>
          </w:tblCellMar>
        </w:tblPrEx>
        <w:trPr>
          <w:trHeight w:val="603" w:hRule="atLeast"/>
          <w:jc w:val="center"/>
        </w:trPr>
        <w:tc>
          <w:tcPr>
            <w:tcW w:w="55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46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7</w:t>
            </w:r>
          </w:p>
        </w:tc>
      </w:tr>
      <w:tr>
        <w:tblPrEx>
          <w:tblCellMar>
            <w:top w:w="0" w:type="dxa"/>
            <w:left w:w="57" w:type="dxa"/>
            <w:bottom w:w="0" w:type="dxa"/>
            <w:right w:w="57" w:type="dxa"/>
          </w:tblCellMar>
        </w:tblPrEx>
        <w:trPr>
          <w:trHeight w:val="603" w:hRule="atLeast"/>
          <w:jc w:val="center"/>
        </w:trPr>
        <w:tc>
          <w:tcPr>
            <w:tcW w:w="55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46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行政许可</w:t>
            </w:r>
          </w:p>
        </w:tc>
      </w:tr>
      <w:tr>
        <w:tblPrEx>
          <w:tblCellMar>
            <w:top w:w="0" w:type="dxa"/>
            <w:left w:w="57" w:type="dxa"/>
            <w:bottom w:w="0" w:type="dxa"/>
            <w:right w:w="57" w:type="dxa"/>
          </w:tblCellMar>
        </w:tblPrEx>
        <w:trPr>
          <w:trHeight w:val="629" w:hRule="atLeast"/>
          <w:jc w:val="center"/>
        </w:trPr>
        <w:tc>
          <w:tcPr>
            <w:tcW w:w="55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46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饮用水供水单位卫生许可</w:t>
            </w:r>
          </w:p>
        </w:tc>
      </w:tr>
      <w:tr>
        <w:tblPrEx>
          <w:tblCellMar>
            <w:top w:w="0" w:type="dxa"/>
            <w:left w:w="57" w:type="dxa"/>
            <w:bottom w:w="0" w:type="dxa"/>
            <w:right w:w="57" w:type="dxa"/>
          </w:tblCellMar>
        </w:tblPrEx>
        <w:trPr>
          <w:trHeight w:val="2138" w:hRule="atLeast"/>
          <w:jc w:val="center"/>
        </w:trPr>
        <w:tc>
          <w:tcPr>
            <w:tcW w:w="55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469"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color w:val="FF0000"/>
              </w:rPr>
            </w:pPr>
            <w:r>
              <w:rPr>
                <w:rFonts w:hint="eastAsia" w:ascii="宋体" w:hAnsi="宋体" w:cs="宋体"/>
                <w:color w:val="000000"/>
                <w:kern w:val="0"/>
              </w:rPr>
              <w:t>1.《生活饮用水卫生监督管理办法》（1996年7月9日建设部、卫生部令第53号发布）第四条</w:t>
            </w:r>
            <w:r>
              <w:rPr>
                <w:rFonts w:hint="eastAsia" w:ascii="宋体" w:hAnsi="宋体" w:cs="宋体"/>
              </w:rPr>
              <w:t>：“国</w:t>
            </w:r>
            <w:r>
              <w:rPr>
                <w:rFonts w:hint="eastAsia" w:ascii="宋体" w:hAnsi="宋体" w:cs="宋体"/>
                <w:color w:val="000000"/>
                <w:kern w:val="0"/>
              </w:rPr>
              <w:t>家对供水单位和涉及饮用水卫生安全的产品实行卫生许可制度。</w:t>
            </w:r>
            <w:r>
              <w:rPr>
                <w:rFonts w:hint="eastAsia" w:ascii="宋体" w:hAnsi="宋体" w:cs="宋体"/>
                <w:color w:val="000000"/>
              </w:rPr>
              <w:t>”</w:t>
            </w:r>
            <w:r>
              <w:rPr>
                <w:rFonts w:hint="eastAsia" w:ascii="宋体" w:hAnsi="宋体" w:cs="宋体"/>
                <w:color w:val="000000"/>
                <w:kern w:val="0"/>
              </w:rPr>
              <w:t>第七条：</w:t>
            </w:r>
            <w:r>
              <w:rPr>
                <w:rFonts w:hint="eastAsia" w:ascii="宋体" w:hAnsi="宋体" w:cs="宋体"/>
              </w:rPr>
              <w:t>“</w:t>
            </w:r>
            <w:r>
              <w:rPr>
                <w:rFonts w:hint="eastAsia" w:ascii="宋体" w:hAnsi="宋体" w:cs="宋体"/>
                <w:color w:val="000000"/>
                <w:kern w:val="0"/>
              </w:rPr>
              <w:t>集中式供水单位必须取得县级以上地方人民政府卫生行政部门签发的卫生许可证。城市自来水供水企业和自建设施对外供水的企业还必须取得建设行政主管部门颁发的《城市供水企业资质证书》，方可供水。</w:t>
            </w:r>
            <w:r>
              <w:rPr>
                <w:rFonts w:hint="eastAsia" w:ascii="宋体" w:hAnsi="宋体" w:cs="宋体"/>
                <w:color w:val="000000"/>
              </w:rPr>
              <w:t>”</w:t>
            </w:r>
          </w:p>
          <w:p>
            <w:pPr>
              <w:spacing w:line="260" w:lineRule="exact"/>
              <w:ind w:firstLine="420"/>
              <w:textAlignment w:val="center"/>
              <w:rPr>
                <w:rFonts w:ascii="宋体" w:hAnsi="宋体" w:cs="宋体"/>
                <w:color w:val="000000"/>
              </w:rPr>
            </w:pPr>
            <w:r>
              <w:rPr>
                <w:rFonts w:hint="eastAsia" w:ascii="宋体" w:hAnsi="宋体" w:cs="宋体"/>
                <w:color w:val="000000"/>
              </w:rPr>
              <w:t>2.《四川省生活饮用水卫生监督管理办法》第十九条</w:t>
            </w:r>
            <w:r>
              <w:rPr>
                <w:rFonts w:hint="eastAsia" w:ascii="宋体" w:hAnsi="宋体" w:cs="宋体"/>
              </w:rPr>
              <w:t>：“</w:t>
            </w:r>
            <w:r>
              <w:rPr>
                <w:rFonts w:hint="eastAsia" w:ascii="宋体" w:hAnsi="宋体" w:cs="宋体"/>
                <w:color w:val="000000"/>
              </w:rPr>
              <w:t>供水单位必须经县级以上卫生行政部门批准，取得卫生许可证，经供水行政主管部门批准，取得取水许可证后才能供水。城市公共集中式供水单位和自建设施对外供水的单位，还必须取得城市供水行政主管部门颁发的城市供水企业资质证书后才能供水。”</w:t>
            </w:r>
          </w:p>
        </w:tc>
      </w:tr>
      <w:tr>
        <w:tblPrEx>
          <w:tblCellMar>
            <w:top w:w="0" w:type="dxa"/>
            <w:left w:w="57" w:type="dxa"/>
            <w:bottom w:w="0" w:type="dxa"/>
            <w:right w:w="57" w:type="dxa"/>
          </w:tblCellMar>
        </w:tblPrEx>
        <w:trPr>
          <w:trHeight w:val="487" w:hRule="atLeast"/>
          <w:jc w:val="center"/>
        </w:trPr>
        <w:tc>
          <w:tcPr>
            <w:tcW w:w="55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46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57" w:type="dxa"/>
            <w:bottom w:w="0" w:type="dxa"/>
            <w:right w:w="57" w:type="dxa"/>
          </w:tblCellMar>
        </w:tblPrEx>
        <w:trPr>
          <w:trHeight w:val="2467" w:hRule="atLeast"/>
          <w:jc w:val="center"/>
        </w:trPr>
        <w:tc>
          <w:tcPr>
            <w:tcW w:w="55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469" w:type="dxa"/>
            <w:tcBorders>
              <w:top w:val="single" w:color="auto" w:sz="4" w:space="0"/>
              <w:left w:val="nil"/>
              <w:bottom w:val="single" w:color="auto" w:sz="4" w:space="0"/>
              <w:right w:val="single" w:color="auto" w:sz="4" w:space="0"/>
            </w:tcBorders>
            <w:vAlign w:val="center"/>
          </w:tcPr>
          <w:p>
            <w:pPr>
              <w:spacing w:line="260" w:lineRule="exact"/>
              <w:ind w:firstLine="420" w:firstLineChars="200"/>
              <w:jc w:val="left"/>
              <w:rPr>
                <w:rFonts w:ascii="宋体" w:hAnsi="宋体" w:cs="宋体"/>
                <w:color w:val="000000"/>
              </w:rPr>
            </w:pPr>
            <w:r>
              <w:rPr>
                <w:rFonts w:hint="eastAsia" w:ascii="宋体" w:hAnsi="宋体" w:cs="宋体"/>
                <w:color w:val="000000"/>
              </w:rPr>
              <w:t>1.受理责任：公示应当提交的材料，一次性告知补正材料，依法受理或不予受理（不予受理应当告知理由）。</w:t>
            </w:r>
          </w:p>
          <w:p>
            <w:pPr>
              <w:spacing w:line="260" w:lineRule="exact"/>
              <w:ind w:firstLine="420" w:firstLineChars="200"/>
              <w:jc w:val="left"/>
              <w:rPr>
                <w:rFonts w:ascii="宋体" w:hAnsi="宋体" w:cs="宋体"/>
                <w:color w:val="000000"/>
              </w:rPr>
            </w:pPr>
            <w:r>
              <w:rPr>
                <w:rFonts w:hint="eastAsia" w:ascii="宋体" w:hAnsi="宋体" w:cs="宋体"/>
                <w:color w:val="000000"/>
              </w:rPr>
              <w:t>2.审查责任：根据有关法律、法规、规章的规定，对书面申请材料进行审查，提出是否同意的审核意见，组织现场检查验收，告知申请人、利害相关人享有听证权利；涉及公共利益的重大许可，向社会公告并举行听证。</w:t>
            </w:r>
          </w:p>
          <w:p>
            <w:pPr>
              <w:spacing w:line="260" w:lineRule="exact"/>
              <w:ind w:firstLine="420" w:firstLineChars="200"/>
              <w:jc w:val="left"/>
              <w:rPr>
                <w:rFonts w:ascii="宋体" w:hAnsi="宋体" w:cs="宋体"/>
                <w:color w:val="000000"/>
              </w:rPr>
            </w:pPr>
            <w:r>
              <w:rPr>
                <w:rFonts w:hint="eastAsia" w:ascii="宋体" w:hAnsi="宋体" w:cs="宋体"/>
                <w:color w:val="000000"/>
              </w:rPr>
              <w:t>3.决定责任：作出行政许可或者不予行政许可决定，法定告知（不予许可的应当书面告知理由）。</w:t>
            </w:r>
          </w:p>
          <w:p>
            <w:pPr>
              <w:spacing w:line="260" w:lineRule="exact"/>
              <w:ind w:firstLine="420" w:firstLineChars="200"/>
              <w:jc w:val="left"/>
              <w:rPr>
                <w:rFonts w:ascii="宋体" w:hAnsi="宋体" w:cs="宋体"/>
                <w:color w:val="000000"/>
              </w:rPr>
            </w:pPr>
            <w:r>
              <w:rPr>
                <w:rFonts w:hint="eastAsia" w:ascii="宋体" w:hAnsi="宋体" w:cs="宋体"/>
                <w:color w:val="000000"/>
              </w:rPr>
              <w:t>4.事后监督责任：建立实施监督检查的运行机制和管理制度，开展定期和不定期检查，依法采取相关处置措施。</w:t>
            </w:r>
          </w:p>
          <w:p>
            <w:pPr>
              <w:spacing w:line="260" w:lineRule="exact"/>
              <w:ind w:firstLine="411" w:firstLineChars="196"/>
              <w:textAlignment w:val="center"/>
              <w:rPr>
                <w:rFonts w:ascii="宋体" w:hAnsi="宋体" w:cs="宋体"/>
                <w:color w:val="000000"/>
              </w:rPr>
            </w:pPr>
            <w:r>
              <w:rPr>
                <w:rFonts w:hint="eastAsia" w:ascii="宋体" w:hAnsi="宋体" w:cs="宋体"/>
                <w:color w:val="000000"/>
              </w:rPr>
              <w:t>5.其他责任：法律法规规章文件规定应履行的其他责任。</w:t>
            </w:r>
          </w:p>
        </w:tc>
      </w:tr>
      <w:tr>
        <w:tblPrEx>
          <w:tblCellMar>
            <w:top w:w="0" w:type="dxa"/>
            <w:left w:w="57" w:type="dxa"/>
            <w:bottom w:w="0" w:type="dxa"/>
            <w:right w:w="57" w:type="dxa"/>
          </w:tblCellMar>
        </w:tblPrEx>
        <w:trPr>
          <w:trHeight w:val="1278" w:hRule="atLeast"/>
          <w:jc w:val="center"/>
        </w:trPr>
        <w:tc>
          <w:tcPr>
            <w:tcW w:w="55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追责情形</w:t>
            </w:r>
          </w:p>
        </w:tc>
        <w:tc>
          <w:tcPr>
            <w:tcW w:w="8469"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cs="宋体"/>
                <w:color w:val="000000"/>
              </w:rPr>
            </w:pPr>
            <w:r>
              <w:rPr>
                <w:rFonts w:hint="eastAsia" w:ascii="Times New Roman" w:hAnsi="Times New Roman"/>
                <w:color w:val="000000"/>
                <w:szCs w:val="21"/>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color w:val="000000"/>
                <w:kern w:val="0"/>
              </w:rPr>
              <w:t>《生活饮用水卫生监督管理办法》</w:t>
            </w:r>
            <w:r>
              <w:rPr>
                <w:rFonts w:hint="eastAsia" w:ascii="宋体" w:hAnsi="宋体" w:cs="宋体"/>
                <w:color w:val="000000"/>
              </w:rPr>
              <w:t>《四川省生活饮用水卫生监督管理办法》</w:t>
            </w:r>
            <w:r>
              <w:rPr>
                <w:rFonts w:hint="eastAsia" w:ascii="Times New Roman" w:hAnsi="Times New Roman"/>
                <w:color w:val="000000"/>
                <w:szCs w:val="21"/>
              </w:rPr>
              <w:t>等法律法规规章的相关规定追究相应的责任。</w:t>
            </w:r>
          </w:p>
        </w:tc>
      </w:tr>
      <w:tr>
        <w:tblPrEx>
          <w:tblCellMar>
            <w:top w:w="0" w:type="dxa"/>
            <w:left w:w="57" w:type="dxa"/>
            <w:bottom w:w="0" w:type="dxa"/>
            <w:right w:w="57" w:type="dxa"/>
          </w:tblCellMar>
        </w:tblPrEx>
        <w:trPr>
          <w:trHeight w:val="819" w:hRule="atLeast"/>
          <w:jc w:val="center"/>
        </w:trPr>
        <w:tc>
          <w:tcPr>
            <w:tcW w:w="55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46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12345</w:t>
            </w:r>
          </w:p>
        </w:tc>
      </w:tr>
    </w:tbl>
    <w:p>
      <w:pPr>
        <w:spacing w:line="260" w:lineRule="exact"/>
        <w:textAlignment w:val="center"/>
        <w:rPr>
          <w:rFonts w:ascii="宋体" w:hAnsi="宋体" w:cs="宋体"/>
          <w:color w:val="000000"/>
        </w:rPr>
      </w:pPr>
      <w:r>
        <w:rPr>
          <w:rFonts w:hint="eastAsia" w:ascii="宋体" w:hAnsi="宋体" w:cs="宋体"/>
          <w:color w:val="000000"/>
        </w:rPr>
        <w:t>表2-8</w:t>
      </w:r>
    </w:p>
    <w:tbl>
      <w:tblPr>
        <w:tblStyle w:val="13"/>
        <w:tblW w:w="8937" w:type="dxa"/>
        <w:tblInd w:w="51" w:type="dxa"/>
        <w:tblLayout w:type="fixed"/>
        <w:tblCellMar>
          <w:top w:w="0" w:type="dxa"/>
          <w:left w:w="57" w:type="dxa"/>
          <w:bottom w:w="0" w:type="dxa"/>
          <w:right w:w="57" w:type="dxa"/>
        </w:tblCellMar>
      </w:tblPr>
      <w:tblGrid>
        <w:gridCol w:w="548"/>
        <w:gridCol w:w="8389"/>
      </w:tblGrid>
      <w:tr>
        <w:tblPrEx>
          <w:tblCellMar>
            <w:top w:w="0" w:type="dxa"/>
            <w:left w:w="57" w:type="dxa"/>
            <w:bottom w:w="0" w:type="dxa"/>
            <w:right w:w="57" w:type="dxa"/>
          </w:tblCellMar>
        </w:tblPrEx>
        <w:trPr>
          <w:trHeight w:val="603"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38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8</w:t>
            </w:r>
          </w:p>
        </w:tc>
      </w:tr>
      <w:tr>
        <w:tblPrEx>
          <w:tblCellMar>
            <w:top w:w="0" w:type="dxa"/>
            <w:left w:w="57" w:type="dxa"/>
            <w:bottom w:w="0" w:type="dxa"/>
            <w:right w:w="57" w:type="dxa"/>
          </w:tblCellMar>
        </w:tblPrEx>
        <w:trPr>
          <w:trHeight w:val="603"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38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行政许可</w:t>
            </w:r>
          </w:p>
        </w:tc>
      </w:tr>
      <w:tr>
        <w:tblPrEx>
          <w:tblCellMar>
            <w:top w:w="0" w:type="dxa"/>
            <w:left w:w="57" w:type="dxa"/>
            <w:bottom w:w="0" w:type="dxa"/>
            <w:right w:w="57" w:type="dxa"/>
          </w:tblCellMar>
        </w:tblPrEx>
        <w:trPr>
          <w:trHeight w:val="629"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389"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公共场所卫生许可</w:t>
            </w:r>
          </w:p>
        </w:tc>
      </w:tr>
      <w:tr>
        <w:tblPrEx>
          <w:tblCellMar>
            <w:top w:w="0" w:type="dxa"/>
            <w:left w:w="57" w:type="dxa"/>
            <w:bottom w:w="0" w:type="dxa"/>
            <w:right w:w="57" w:type="dxa"/>
          </w:tblCellMar>
        </w:tblPrEx>
        <w:trPr>
          <w:trHeight w:val="2358"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000000"/>
              </w:rPr>
            </w:pPr>
            <w:r>
              <w:rPr>
                <w:rFonts w:hint="eastAsia" w:ascii="宋体" w:hAnsi="宋体" w:cs="宋体"/>
                <w:color w:val="000000"/>
              </w:rPr>
              <w:t>实施依据</w:t>
            </w:r>
          </w:p>
        </w:tc>
        <w:tc>
          <w:tcPr>
            <w:tcW w:w="8389" w:type="dxa"/>
            <w:tcBorders>
              <w:top w:val="single" w:color="auto" w:sz="4" w:space="0"/>
              <w:left w:val="nil"/>
              <w:bottom w:val="single" w:color="auto" w:sz="4" w:space="0"/>
              <w:right w:val="single" w:color="auto" w:sz="4" w:space="0"/>
            </w:tcBorders>
            <w:vAlign w:val="center"/>
          </w:tcPr>
          <w:p>
            <w:pPr>
              <w:adjustRightInd w:val="0"/>
              <w:snapToGrid w:val="0"/>
              <w:spacing w:line="240" w:lineRule="exact"/>
              <w:ind w:firstLine="420" w:firstLineChars="200"/>
              <w:rPr>
                <w:rFonts w:ascii="宋体" w:hAnsi="宋体" w:cs="宋体"/>
                <w:color w:val="000000"/>
              </w:rPr>
            </w:pPr>
            <w:r>
              <w:rPr>
                <w:rFonts w:hint="eastAsia" w:ascii="宋体" w:hAnsi="宋体" w:cs="宋体"/>
                <w:color w:val="000000"/>
                <w:kern w:val="0"/>
              </w:rPr>
              <w:t>1．</w:t>
            </w:r>
            <w:r>
              <w:rPr>
                <w:rFonts w:hint="eastAsia" w:ascii="宋体" w:hAnsi="宋体" w:cs="宋体"/>
                <w:color w:val="000000"/>
              </w:rPr>
              <w:t>《公共场所卫生管理条例》（国发[1987]24号）第四条：“国家对公共场所以及新建、改建、扩建的公共场所的选址和设计实行‘卫生许可证’制度。‘卫生许可证’由县以上卫生行政部门签发。”第八条：“经营单位须取得‘卫生许可证’后，方可向工商行政管理部门申请登记，办理营业执照。在本条例实施前已开业的，须经卫生防疫机构验收合格后，补发‘卫生许可证’。‘卫生许可证’两年复核一次。”</w:t>
            </w:r>
          </w:p>
          <w:p>
            <w:pPr>
              <w:adjustRightInd w:val="0"/>
              <w:snapToGrid w:val="0"/>
              <w:spacing w:line="240" w:lineRule="exact"/>
              <w:ind w:firstLine="420" w:firstLineChars="200"/>
              <w:rPr>
                <w:rFonts w:ascii="宋体" w:hAnsi="宋体" w:cs="宋体"/>
                <w:color w:val="000000"/>
              </w:rPr>
            </w:pPr>
            <w:r>
              <w:rPr>
                <w:rFonts w:hint="eastAsia" w:ascii="宋体" w:hAnsi="宋体" w:cs="宋体"/>
                <w:color w:val="000000"/>
              </w:rPr>
              <w:t>2</w:t>
            </w:r>
            <w:r>
              <w:rPr>
                <w:rFonts w:hint="eastAsia" w:ascii="宋体" w:hAnsi="宋体" w:cs="宋体"/>
                <w:color w:val="000000"/>
                <w:kern w:val="0"/>
              </w:rPr>
              <w:t>．</w:t>
            </w:r>
            <w:r>
              <w:rPr>
                <w:rFonts w:hint="eastAsia" w:ascii="宋体" w:hAnsi="宋体" w:cs="宋体"/>
                <w:color w:val="000000"/>
              </w:rPr>
              <w:t>《公共场所卫生管理条例实施细则》（2011年卫生部令第80号）第二十二条第二款：“公共场所经营者应当按照规定向县级以上地方人民政府卫生行政部门申请卫生许可证。未取得卫生许可证的，不得营业。”</w:t>
            </w:r>
          </w:p>
          <w:p>
            <w:pPr>
              <w:adjustRightInd w:val="0"/>
              <w:snapToGrid w:val="0"/>
              <w:spacing w:line="240" w:lineRule="exact"/>
              <w:ind w:firstLine="420" w:firstLineChars="200"/>
              <w:rPr>
                <w:rFonts w:ascii="宋体" w:hAnsi="宋体" w:cs="宋体"/>
                <w:color w:val="000000"/>
              </w:rPr>
            </w:pPr>
            <w:r>
              <w:rPr>
                <w:rFonts w:hint="eastAsia" w:ascii="宋体" w:hAnsi="宋体" w:cs="宋体"/>
                <w:color w:val="000000"/>
              </w:rPr>
              <w:t>3</w:t>
            </w:r>
            <w:r>
              <w:rPr>
                <w:rFonts w:hint="eastAsia" w:ascii="宋体" w:hAnsi="宋体" w:cs="宋体"/>
                <w:color w:val="000000"/>
                <w:kern w:val="0"/>
              </w:rPr>
              <w:t>．</w:t>
            </w:r>
            <w:r>
              <w:rPr>
                <w:rFonts w:hint="eastAsia" w:ascii="宋体" w:hAnsi="宋体" w:cs="宋体"/>
                <w:color w:val="000000"/>
              </w:rPr>
              <w:t>《四川省公共场所卫生管理办法》（2011年四川省人民政府令第251号）</w:t>
            </w:r>
          </w:p>
        </w:tc>
      </w:tr>
      <w:tr>
        <w:tblPrEx>
          <w:tblCellMar>
            <w:top w:w="0" w:type="dxa"/>
            <w:left w:w="57" w:type="dxa"/>
            <w:bottom w:w="0" w:type="dxa"/>
            <w:right w:w="57" w:type="dxa"/>
          </w:tblCellMar>
        </w:tblPrEx>
        <w:trPr>
          <w:trHeight w:val="487"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责任主体</w:t>
            </w:r>
          </w:p>
        </w:tc>
        <w:tc>
          <w:tcPr>
            <w:tcW w:w="8389" w:type="dxa"/>
            <w:tcBorders>
              <w:top w:val="single" w:color="auto" w:sz="4" w:space="0"/>
              <w:left w:val="nil"/>
              <w:bottom w:val="single" w:color="auto" w:sz="4" w:space="0"/>
              <w:right w:val="single" w:color="auto" w:sz="4" w:space="0"/>
            </w:tcBorders>
            <w:vAlign w:val="center"/>
          </w:tcPr>
          <w:p>
            <w:pPr>
              <w:spacing w:line="240" w:lineRule="exact"/>
              <w:ind w:firstLine="420"/>
              <w:jc w:val="center"/>
              <w:textAlignment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57" w:type="dxa"/>
            <w:bottom w:w="0" w:type="dxa"/>
            <w:right w:w="57" w:type="dxa"/>
          </w:tblCellMar>
        </w:tblPrEx>
        <w:trPr>
          <w:trHeight w:val="90"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责任事项</w:t>
            </w:r>
          </w:p>
        </w:tc>
        <w:tc>
          <w:tcPr>
            <w:tcW w:w="8389" w:type="dxa"/>
            <w:tcBorders>
              <w:top w:val="single" w:color="auto" w:sz="4" w:space="0"/>
              <w:left w:val="nil"/>
              <w:bottom w:val="single" w:color="auto" w:sz="4" w:space="0"/>
              <w:right w:val="single" w:color="auto" w:sz="4" w:space="0"/>
            </w:tcBorders>
            <w:vAlign w:val="center"/>
          </w:tcPr>
          <w:p>
            <w:pPr>
              <w:spacing w:line="240" w:lineRule="exact"/>
              <w:ind w:firstLine="420" w:firstLineChars="200"/>
              <w:textAlignment w:val="center"/>
              <w:rPr>
                <w:rFonts w:ascii="宋体" w:hAnsi="宋体" w:cs="宋体"/>
                <w:color w:val="000000"/>
              </w:rPr>
            </w:pPr>
            <w:r>
              <w:rPr>
                <w:rFonts w:hint="eastAsia" w:ascii="宋体" w:hAnsi="宋体" w:cs="宋体"/>
                <w:color w:val="000000"/>
              </w:rPr>
              <w:t>1</w:t>
            </w:r>
            <w:r>
              <w:rPr>
                <w:rFonts w:hint="eastAsia" w:ascii="宋体" w:hAnsi="宋体" w:cs="宋体"/>
                <w:color w:val="000000"/>
                <w:kern w:val="0"/>
              </w:rPr>
              <w:t>.</w:t>
            </w:r>
            <w:r>
              <w:rPr>
                <w:rFonts w:hint="eastAsia" w:ascii="宋体" w:hAnsi="宋体" w:cs="宋体"/>
                <w:color w:val="000000"/>
              </w:rPr>
              <w:t>受理责任：公示应当提交的材料，一次性告知补正材料，依法受理或不予受理（不予受理应当告知理由）。</w:t>
            </w:r>
          </w:p>
          <w:p>
            <w:pPr>
              <w:spacing w:line="240" w:lineRule="exact"/>
              <w:ind w:firstLine="420" w:firstLineChars="200"/>
              <w:textAlignment w:val="center"/>
              <w:rPr>
                <w:rFonts w:ascii="宋体" w:hAnsi="宋体" w:cs="宋体"/>
                <w:color w:val="000000"/>
              </w:rPr>
            </w:pPr>
            <w:r>
              <w:rPr>
                <w:rFonts w:hint="eastAsia" w:ascii="宋体" w:hAnsi="宋体" w:cs="宋体"/>
                <w:color w:val="000000"/>
              </w:rPr>
              <w:t>2</w:t>
            </w:r>
            <w:r>
              <w:rPr>
                <w:rFonts w:hint="eastAsia" w:ascii="宋体" w:hAnsi="宋体" w:cs="宋体"/>
                <w:color w:val="000000"/>
                <w:kern w:val="0"/>
              </w:rPr>
              <w:t>.</w:t>
            </w:r>
            <w:r>
              <w:rPr>
                <w:rFonts w:hint="eastAsia" w:ascii="宋体" w:hAnsi="宋体" w:cs="宋体"/>
                <w:color w:val="000000"/>
              </w:rPr>
              <w:t>审查责任：按照相关法律和政策，对书面申请材料进行审查，提出是否同意的审核意见，告知申请人、利害相关人享有听证权利；涉及公共利益的重大许可，向社会公告并举行听证。</w:t>
            </w:r>
          </w:p>
          <w:p>
            <w:pPr>
              <w:spacing w:line="240" w:lineRule="exact"/>
              <w:ind w:firstLine="420" w:firstLineChars="200"/>
              <w:textAlignment w:val="center"/>
              <w:rPr>
                <w:rFonts w:ascii="宋体" w:hAnsi="宋体" w:cs="宋体"/>
                <w:color w:val="000000"/>
              </w:rPr>
            </w:pPr>
            <w:r>
              <w:rPr>
                <w:rFonts w:hint="eastAsia" w:ascii="宋体" w:hAnsi="宋体" w:cs="宋体"/>
                <w:color w:val="000000"/>
              </w:rPr>
              <w:t>3</w:t>
            </w:r>
            <w:r>
              <w:rPr>
                <w:rFonts w:hint="eastAsia" w:ascii="宋体" w:hAnsi="宋体" w:cs="宋体"/>
                <w:color w:val="000000"/>
                <w:kern w:val="0"/>
              </w:rPr>
              <w:t>.</w:t>
            </w:r>
            <w:r>
              <w:rPr>
                <w:rFonts w:hint="eastAsia" w:ascii="宋体" w:hAnsi="宋体" w:cs="宋体"/>
                <w:color w:val="000000"/>
              </w:rPr>
              <w:t>决定责任：作出行政许可或者不予行政许可决定，法定告知（不予许可的应当书面告知理由）。</w:t>
            </w:r>
          </w:p>
          <w:p>
            <w:pPr>
              <w:spacing w:line="240" w:lineRule="exact"/>
              <w:ind w:firstLine="420" w:firstLineChars="200"/>
              <w:textAlignment w:val="center"/>
              <w:rPr>
                <w:rFonts w:ascii="宋体" w:hAnsi="宋体" w:cs="宋体"/>
                <w:color w:val="000000"/>
              </w:rPr>
            </w:pPr>
            <w:r>
              <w:rPr>
                <w:rFonts w:hint="eastAsia" w:ascii="宋体" w:hAnsi="宋体" w:cs="宋体"/>
                <w:color w:val="000000"/>
              </w:rPr>
              <w:t>4.事后监督责任：建立实施监督检查的运行机制和管理制度，开展定期和不定期检查，依法采取相关处置措施。</w:t>
            </w:r>
          </w:p>
          <w:p>
            <w:pPr>
              <w:spacing w:line="240" w:lineRule="exact"/>
              <w:ind w:firstLine="420" w:firstLineChars="200"/>
              <w:textAlignment w:val="center"/>
              <w:rPr>
                <w:rFonts w:ascii="宋体" w:hAnsi="宋体" w:cs="宋体"/>
                <w:color w:val="000000"/>
              </w:rPr>
            </w:pPr>
            <w:r>
              <w:rPr>
                <w:rFonts w:hint="eastAsia" w:ascii="宋体" w:hAnsi="宋体" w:cs="宋体"/>
                <w:color w:val="000000"/>
              </w:rPr>
              <w:t>5</w:t>
            </w:r>
            <w:r>
              <w:rPr>
                <w:rFonts w:hint="eastAsia" w:ascii="宋体" w:hAnsi="宋体" w:cs="宋体"/>
                <w:color w:val="000000"/>
                <w:kern w:val="0"/>
              </w:rPr>
              <w:t>.</w:t>
            </w:r>
            <w:r>
              <w:rPr>
                <w:rFonts w:hint="eastAsia" w:ascii="宋体" w:hAnsi="宋体" w:cs="宋体"/>
                <w:color w:val="000000"/>
              </w:rPr>
              <w:t>其他责任：法律法规规章文件规定应履行的其他责任。</w:t>
            </w:r>
          </w:p>
        </w:tc>
      </w:tr>
      <w:tr>
        <w:tblPrEx>
          <w:tblCellMar>
            <w:top w:w="0" w:type="dxa"/>
            <w:left w:w="57" w:type="dxa"/>
            <w:bottom w:w="0" w:type="dxa"/>
            <w:right w:w="57" w:type="dxa"/>
          </w:tblCellMar>
        </w:tblPrEx>
        <w:trPr>
          <w:trHeight w:val="2099" w:hRule="atLeast"/>
        </w:trPr>
        <w:tc>
          <w:tcPr>
            <w:tcW w:w="5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000000"/>
                <w:kern w:val="0"/>
              </w:rPr>
            </w:pPr>
            <w:r>
              <w:rPr>
                <w:rFonts w:hint="eastAsia" w:ascii="宋体" w:hAnsi="宋体" w:cs="宋体"/>
                <w:color w:val="000000"/>
              </w:rPr>
              <w:t>追责情形</w:t>
            </w:r>
          </w:p>
        </w:tc>
        <w:tc>
          <w:tcPr>
            <w:tcW w:w="8389" w:type="dxa"/>
            <w:tcBorders>
              <w:top w:val="single" w:color="auto" w:sz="4" w:space="0"/>
              <w:left w:val="nil"/>
              <w:bottom w:val="single" w:color="auto" w:sz="4" w:space="0"/>
              <w:right w:val="single" w:color="auto" w:sz="4" w:space="0"/>
            </w:tcBorders>
            <w:vAlign w:val="center"/>
          </w:tcPr>
          <w:p>
            <w:pPr>
              <w:spacing w:line="240" w:lineRule="exact"/>
              <w:ind w:firstLine="420" w:firstLineChars="200"/>
              <w:textAlignment w:val="center"/>
              <w:rPr>
                <w:rFonts w:ascii="宋体" w:hAnsi="宋体" w:cs="宋体"/>
                <w:color w:val="000000"/>
              </w:rPr>
            </w:pPr>
            <w:r>
              <w:rPr>
                <w:rFonts w:hint="eastAsia" w:ascii="Times New Roman" w:hAnsi="Times New Roman"/>
                <w:color w:val="000000"/>
                <w:szCs w:val="21"/>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color w:val="000000"/>
              </w:rPr>
              <w:t>《公共场所卫生管理条例》《公共场所卫生管理条例实施细则》《四川省公共场所卫生管理办法》</w:t>
            </w:r>
            <w:r>
              <w:rPr>
                <w:rFonts w:hint="eastAsia" w:ascii="Times New Roman" w:hAnsi="Times New Roman"/>
                <w:color w:val="000000"/>
                <w:szCs w:val="21"/>
              </w:rPr>
              <w:t>等法律法规规章的相关规定追究相应的责任。</w:t>
            </w:r>
          </w:p>
        </w:tc>
      </w:tr>
      <w:tr>
        <w:tblPrEx>
          <w:tblCellMar>
            <w:top w:w="0" w:type="dxa"/>
            <w:left w:w="57" w:type="dxa"/>
            <w:bottom w:w="0" w:type="dxa"/>
            <w:right w:w="57" w:type="dxa"/>
          </w:tblCellMar>
        </w:tblPrEx>
        <w:trPr>
          <w:trHeight w:val="703" w:hRule="atLeast"/>
        </w:trPr>
        <w:tc>
          <w:tcPr>
            <w:tcW w:w="54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rPr>
            </w:pPr>
            <w:r>
              <w:rPr>
                <w:rFonts w:hint="eastAsia" w:ascii="宋体" w:hAnsi="宋体" w:cs="宋体"/>
                <w:color w:val="000000"/>
              </w:rPr>
              <w:t>监督电话</w:t>
            </w:r>
          </w:p>
        </w:tc>
        <w:tc>
          <w:tcPr>
            <w:tcW w:w="8389" w:type="dxa"/>
            <w:tcBorders>
              <w:top w:val="single" w:color="auto" w:sz="4" w:space="0"/>
              <w:left w:val="nil"/>
              <w:bottom w:val="single" w:color="auto" w:sz="4" w:space="0"/>
              <w:right w:val="single" w:color="auto" w:sz="4" w:space="0"/>
            </w:tcBorders>
            <w:vAlign w:val="center"/>
          </w:tcPr>
          <w:p>
            <w:pPr>
              <w:ind w:firstLine="420"/>
              <w:jc w:val="center"/>
              <w:textAlignment w:val="center"/>
              <w:rPr>
                <w:rFonts w:ascii="宋体" w:hAnsi="宋体" w:cs="宋体"/>
                <w:color w:val="000000"/>
              </w:rPr>
            </w:pPr>
            <w:r>
              <w:rPr>
                <w:rFonts w:hint="eastAsia" w:ascii="宋体" w:hAnsi="宋体" w:cs="宋体"/>
                <w:color w:val="000000"/>
              </w:rPr>
              <w:t>12345</w:t>
            </w:r>
          </w:p>
        </w:tc>
      </w:tr>
    </w:tbl>
    <w:p>
      <w:pPr>
        <w:rPr>
          <w:rFonts w:ascii="宋体" w:hAnsi="宋体" w:cs="宋体"/>
          <w:color w:val="000000"/>
        </w:rPr>
      </w:pPr>
      <w:r>
        <w:rPr>
          <w:rFonts w:hint="eastAsia" w:ascii="宋体" w:hAnsi="宋体" w:cs="宋体"/>
          <w:color w:val="000000"/>
        </w:rPr>
        <w:t>表2-9</w:t>
      </w:r>
    </w:p>
    <w:tbl>
      <w:tblPr>
        <w:tblStyle w:val="13"/>
        <w:tblW w:w="8937" w:type="dxa"/>
        <w:tblInd w:w="51" w:type="dxa"/>
        <w:tblLayout w:type="fixed"/>
        <w:tblCellMar>
          <w:top w:w="0" w:type="dxa"/>
          <w:left w:w="57" w:type="dxa"/>
          <w:bottom w:w="0" w:type="dxa"/>
          <w:right w:w="57" w:type="dxa"/>
        </w:tblCellMar>
      </w:tblPr>
      <w:tblGrid>
        <w:gridCol w:w="547"/>
        <w:gridCol w:w="8390"/>
      </w:tblGrid>
      <w:tr>
        <w:tblPrEx>
          <w:tblCellMar>
            <w:top w:w="0" w:type="dxa"/>
            <w:left w:w="57" w:type="dxa"/>
            <w:bottom w:w="0" w:type="dxa"/>
            <w:right w:w="57" w:type="dxa"/>
          </w:tblCellMar>
        </w:tblPrEx>
        <w:trPr>
          <w:trHeight w:val="67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000000"/>
              </w:rPr>
            </w:pPr>
            <w:r>
              <w:rPr>
                <w:rFonts w:hint="eastAsia" w:ascii="宋体" w:hAnsi="宋体" w:cs="宋体"/>
                <w:color w:val="000000"/>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textAlignment w:val="center"/>
              <w:rPr>
                <w:rFonts w:ascii="宋体" w:hAnsi="宋体" w:cs="宋体"/>
                <w:color w:val="000000"/>
              </w:rPr>
            </w:pPr>
            <w:r>
              <w:rPr>
                <w:rFonts w:hint="eastAsia" w:ascii="宋体" w:hAnsi="宋体" w:cs="宋体"/>
                <w:color w:val="000000"/>
              </w:rPr>
              <w:t>9</w:t>
            </w:r>
          </w:p>
        </w:tc>
      </w:tr>
      <w:tr>
        <w:tblPrEx>
          <w:tblCellMar>
            <w:top w:w="0" w:type="dxa"/>
            <w:left w:w="57" w:type="dxa"/>
            <w:bottom w:w="0" w:type="dxa"/>
            <w:right w:w="57" w:type="dxa"/>
          </w:tblCellMar>
        </w:tblPrEx>
        <w:trPr>
          <w:trHeight w:val="35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000000"/>
              </w:rPr>
            </w:pPr>
            <w:r>
              <w:rPr>
                <w:rFonts w:hint="eastAsia" w:ascii="宋体" w:hAnsi="宋体" w:cs="宋体"/>
                <w:color w:val="000000"/>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textAlignment w:val="center"/>
              <w:rPr>
                <w:rFonts w:ascii="宋体" w:hAnsi="宋体" w:cs="宋体"/>
                <w:color w:val="000000"/>
              </w:rPr>
            </w:pPr>
            <w:r>
              <w:rPr>
                <w:rFonts w:hint="eastAsia" w:ascii="宋体" w:hAnsi="宋体" w:cs="宋体"/>
                <w:color w:val="000000"/>
              </w:rPr>
              <w:t>行政许可</w:t>
            </w:r>
          </w:p>
        </w:tc>
      </w:tr>
      <w:tr>
        <w:tblPrEx>
          <w:tblCellMar>
            <w:top w:w="0" w:type="dxa"/>
            <w:left w:w="57" w:type="dxa"/>
            <w:bottom w:w="0" w:type="dxa"/>
            <w:right w:w="57" w:type="dxa"/>
          </w:tblCellMar>
        </w:tblPrEx>
        <w:trPr>
          <w:trHeight w:val="85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000000"/>
              </w:rPr>
            </w:pPr>
            <w:r>
              <w:rPr>
                <w:rFonts w:hint="eastAsia" w:ascii="宋体" w:hAnsi="宋体" w:cs="宋体"/>
                <w:color w:val="000000"/>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textAlignment w:val="center"/>
              <w:rPr>
                <w:rFonts w:ascii="宋体" w:hAnsi="宋体" w:cs="宋体"/>
                <w:color w:val="000000"/>
              </w:rPr>
            </w:pPr>
            <w:r>
              <w:rPr>
                <w:rFonts w:hint="eastAsia" w:ascii="宋体" w:hAnsi="宋体" w:cs="宋体"/>
                <w:color w:val="000000"/>
              </w:rPr>
              <w:t>放射源诊疗技术和医用辐射机构许可</w:t>
            </w:r>
          </w:p>
        </w:tc>
      </w:tr>
      <w:tr>
        <w:tblPrEx>
          <w:tblCellMar>
            <w:top w:w="0" w:type="dxa"/>
            <w:left w:w="57" w:type="dxa"/>
            <w:bottom w:w="0" w:type="dxa"/>
            <w:right w:w="57" w:type="dxa"/>
          </w:tblCellMar>
        </w:tblPrEx>
        <w:trPr>
          <w:trHeight w:val="541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000000"/>
              </w:rPr>
            </w:pPr>
            <w:r>
              <w:rPr>
                <w:rFonts w:hint="eastAsia" w:ascii="宋体" w:hAnsi="宋体" w:cs="宋体"/>
                <w:color w:val="000000"/>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color w:val="000000"/>
              </w:rPr>
            </w:pPr>
            <w:r>
              <w:rPr>
                <w:rFonts w:hint="eastAsia" w:ascii="宋体" w:hAnsi="宋体" w:cs="宋体"/>
                <w:color w:val="000000"/>
                <w:kern w:val="0"/>
              </w:rPr>
              <w:t>1.</w:t>
            </w:r>
            <w:r>
              <w:rPr>
                <w:rFonts w:hint="eastAsia" w:ascii="宋体" w:hAnsi="宋体" w:cs="宋体"/>
                <w:color w:val="000000"/>
              </w:rPr>
              <w:t>《放射性同位素与射线装置安全和防护条例》（国务院令第449号，2005年9月14日）第八条第二款：“使用放射性同位素和射线装置进行放射诊疗的医疗卫生机构，还应当获得放射源诊疗技术和医用辐射机构许可。”</w:t>
            </w:r>
          </w:p>
          <w:p>
            <w:pPr>
              <w:spacing w:line="240" w:lineRule="exact"/>
              <w:ind w:firstLine="420" w:firstLineChars="200"/>
              <w:rPr>
                <w:rFonts w:ascii="宋体" w:hAnsi="宋体" w:cs="宋体"/>
                <w:color w:val="000000"/>
              </w:rPr>
            </w:pPr>
            <w:r>
              <w:rPr>
                <w:rFonts w:hint="eastAsia" w:ascii="宋体" w:hAnsi="宋体" w:cs="宋体"/>
                <w:color w:val="000000"/>
              </w:rPr>
              <w:t>2.《放射诊疗管理规定》（卫生部令第46号，2006年1月24日）第四条：“放射诊疗工作按照诊疗风险和技术难易程度分为四类管理，（1）、放射治疗；（2）、核医学；(3)、介入放射学；(4)、X射线影像诊断。医疗机构开展放射诊疗工作，应当具备与开展的放射诊疗工作相适应的条件，经所在地县级以上地方卫生行政部门的放射诊疗技术和医用辐射机构许可（以下简称放射诊疗许可）。”第十一条：“医疗机构设置放射治疗项目，应当按照其开展的放射诊疗工作的类别，分别向相应的卫生行政部门提出建设项目卫生审查、竣工验收和设置放射诊疗项目申请，(1)、开展放射治疗、核医学工作的，向省级卫生行政部门申请办理；(2)、开展介入放射学工作的，向设区的市级卫生行政部门申请办理；(3)、开展X射线影像诊断工作的，向县级卫生行政部门申请办理。同时开展不同类别放射诊疗工作的，向具有高类别审批权的卫生行政部门申请办理。”</w:t>
            </w:r>
          </w:p>
          <w:p>
            <w:pPr>
              <w:spacing w:line="240" w:lineRule="exact"/>
              <w:ind w:firstLine="420" w:firstLineChars="200"/>
              <w:textAlignment w:val="center"/>
              <w:rPr>
                <w:rFonts w:ascii="宋体" w:hAnsi="宋体" w:cs="宋体"/>
                <w:color w:val="000000"/>
              </w:rPr>
            </w:pPr>
            <w:r>
              <w:rPr>
                <w:rFonts w:hint="eastAsia" w:ascii="宋体" w:hAnsi="宋体" w:cs="宋体"/>
                <w:color w:val="000000"/>
              </w:rPr>
              <w:t>3.《放射诊疗许可证发放管理程序》(卫监督发〔2006〕479号,2006年11月12日)第七条：“医疗机构按照所开展的放射诊疗工作类别向所在地卫生行政部门提出许可申请，(1)、使用X射线CT机、CR、DR、普通X射线机或牙科、乳腺X射线机等开展X射线影像诊断工作的医疗机构，向县级卫生行政部门提出申请；(2)、开展1所列放射诊断工作，同时开展介入放射诊疗工作的医疗机构，向设区的市级地方卫生行政部门提出申请；(3)、开展1.2所列放射诊疗工作，同时使用γ刀、X刀、医用加速器、质子治疗装置、中子治疗装置、重离子治疗装置、钴-60机、后装治疗机、深部X射线机、敷贴治疗源、PET、SPECT、γ相机、γ骨密度仪、籽粒插植治疗源或放射性药物等开展放射治疗或核医学工作的医疗机构，向省级卫生行政部门提出申请。”</w:t>
            </w:r>
          </w:p>
        </w:tc>
      </w:tr>
      <w:tr>
        <w:tblPrEx>
          <w:tblCellMar>
            <w:top w:w="0" w:type="dxa"/>
            <w:left w:w="57" w:type="dxa"/>
            <w:bottom w:w="0" w:type="dxa"/>
            <w:right w:w="57" w:type="dxa"/>
          </w:tblCellMar>
        </w:tblPrEx>
        <w:trPr>
          <w:trHeight w:val="69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textAlignment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57" w:type="dxa"/>
            <w:bottom w:w="0" w:type="dxa"/>
            <w:right w:w="57" w:type="dxa"/>
          </w:tblCellMar>
        </w:tblPrEx>
        <w:trPr>
          <w:trHeight w:val="238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jc w:val="left"/>
              <w:rPr>
                <w:rFonts w:ascii="宋体" w:hAnsi="宋体" w:cs="宋体"/>
                <w:color w:val="000000"/>
              </w:rPr>
            </w:pPr>
            <w:r>
              <w:rPr>
                <w:rFonts w:hint="eastAsia" w:ascii="宋体" w:hAnsi="宋体" w:cs="宋体"/>
                <w:color w:val="000000"/>
              </w:rPr>
              <w:t>1.受理责任：公示应当提交的材料，一次性告知补正材料，依法受理或不予受理（不予受理应当告知理由）。</w:t>
            </w:r>
          </w:p>
          <w:p>
            <w:pPr>
              <w:spacing w:line="240" w:lineRule="exact"/>
              <w:ind w:firstLine="420" w:firstLineChars="200"/>
              <w:jc w:val="left"/>
              <w:rPr>
                <w:rFonts w:ascii="宋体" w:hAnsi="宋体" w:cs="宋体"/>
                <w:color w:val="000000"/>
              </w:rPr>
            </w:pPr>
            <w:r>
              <w:rPr>
                <w:rFonts w:hint="eastAsia" w:ascii="宋体" w:hAnsi="宋体" w:cs="宋体"/>
                <w:color w:val="000000"/>
              </w:rPr>
              <w:t>2.审查责任：根据有关法律、法规、规章的规定，对书面申请材料进行审查，提出是否同意筹建的审核意见，组织现场检查验收，告知申请人、利害相关人享有听证权利；涉及公共利益的重大许可，向社会公告并举行听证。</w:t>
            </w:r>
          </w:p>
          <w:p>
            <w:pPr>
              <w:spacing w:line="240" w:lineRule="exact"/>
              <w:ind w:firstLine="420" w:firstLineChars="200"/>
              <w:jc w:val="left"/>
              <w:rPr>
                <w:rFonts w:ascii="宋体" w:hAnsi="宋体" w:cs="宋体"/>
                <w:color w:val="000000"/>
              </w:rPr>
            </w:pPr>
            <w:r>
              <w:rPr>
                <w:rFonts w:hint="eastAsia" w:ascii="宋体" w:hAnsi="宋体" w:cs="宋体"/>
                <w:color w:val="000000"/>
              </w:rPr>
              <w:t>3.决定责任：作出行政许可或者不予行政许可决定，法定告知（不予许可的应当书面告知理由）。</w:t>
            </w:r>
          </w:p>
          <w:p>
            <w:pPr>
              <w:spacing w:line="240" w:lineRule="exact"/>
              <w:ind w:firstLine="420" w:firstLineChars="200"/>
              <w:jc w:val="left"/>
              <w:rPr>
                <w:rFonts w:ascii="宋体" w:hAnsi="宋体" w:cs="宋体"/>
                <w:color w:val="000000"/>
              </w:rPr>
            </w:pPr>
            <w:r>
              <w:rPr>
                <w:rFonts w:hint="eastAsia" w:ascii="宋体" w:hAnsi="宋体" w:cs="宋体"/>
                <w:color w:val="000000"/>
              </w:rPr>
              <w:t>4.事后监督责任：建立实施监督检查的运行机制和管理制度，开展定期和不定期检查，依法采取相关处置措施。</w:t>
            </w:r>
          </w:p>
          <w:p>
            <w:pPr>
              <w:spacing w:line="240" w:lineRule="exact"/>
              <w:ind w:firstLine="411" w:firstLineChars="196"/>
              <w:textAlignment w:val="center"/>
              <w:rPr>
                <w:rFonts w:ascii="宋体" w:hAnsi="宋体" w:cs="宋体"/>
                <w:color w:val="000000"/>
              </w:rPr>
            </w:pPr>
            <w:r>
              <w:rPr>
                <w:rFonts w:hint="eastAsia" w:ascii="宋体" w:hAnsi="宋体" w:cs="宋体"/>
                <w:color w:val="000000"/>
              </w:rPr>
              <w:t>5.其他责任：法律法规规章文件规定应履行的其他责任。</w:t>
            </w:r>
          </w:p>
        </w:tc>
      </w:tr>
      <w:tr>
        <w:tblPrEx>
          <w:tblCellMar>
            <w:top w:w="0" w:type="dxa"/>
            <w:left w:w="57" w:type="dxa"/>
            <w:bottom w:w="0" w:type="dxa"/>
            <w:right w:w="57" w:type="dxa"/>
          </w:tblCellMar>
        </w:tblPrEx>
        <w:trPr>
          <w:trHeight w:val="1335" w:hRule="atLeast"/>
        </w:trPr>
        <w:tc>
          <w:tcPr>
            <w:tcW w:w="54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rPr>
            </w:pPr>
            <w:r>
              <w:rPr>
                <w:rFonts w:hint="eastAsia" w:ascii="宋体" w:hAnsi="宋体" w:cs="宋体"/>
                <w:color w:val="000000"/>
              </w:rPr>
              <w:t>追责情形</w:t>
            </w:r>
          </w:p>
        </w:tc>
        <w:tc>
          <w:tcPr>
            <w:tcW w:w="8390" w:type="dxa"/>
            <w:tcBorders>
              <w:top w:val="single" w:color="auto" w:sz="4" w:space="0"/>
              <w:left w:val="nil"/>
              <w:bottom w:val="single" w:color="auto" w:sz="4" w:space="0"/>
              <w:right w:val="single" w:color="auto" w:sz="4" w:space="0"/>
            </w:tcBorders>
            <w:vAlign w:val="center"/>
          </w:tcPr>
          <w:p>
            <w:pPr>
              <w:ind w:firstLine="420" w:firstLineChars="200"/>
              <w:textAlignment w:val="center"/>
              <w:rPr>
                <w:rFonts w:ascii="宋体" w:hAnsi="宋体" w:cs="宋体"/>
                <w:color w:val="000000"/>
              </w:rPr>
            </w:pPr>
            <w:r>
              <w:rPr>
                <w:rFonts w:hint="eastAsia" w:ascii="Times New Roman" w:hAnsi="Times New Roman"/>
                <w:color w:val="000000"/>
                <w:szCs w:val="21"/>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color w:val="000000"/>
              </w:rPr>
              <w:t>《放射性同位素与射线装置安全和防护条例》《放射诊疗管理规定》《放射诊疗许可证发放管理程序》</w:t>
            </w:r>
            <w:r>
              <w:rPr>
                <w:rFonts w:hint="eastAsia" w:ascii="Times New Roman" w:hAnsi="Times New Roman"/>
                <w:color w:val="000000"/>
                <w:szCs w:val="21"/>
              </w:rPr>
              <w:t>等法律法规规章的相关规定追究相应的责任。</w:t>
            </w:r>
          </w:p>
        </w:tc>
      </w:tr>
      <w:tr>
        <w:tblPrEx>
          <w:tblCellMar>
            <w:top w:w="0" w:type="dxa"/>
            <w:left w:w="57" w:type="dxa"/>
            <w:bottom w:w="0" w:type="dxa"/>
            <w:right w:w="57" w:type="dxa"/>
          </w:tblCellMar>
        </w:tblPrEx>
        <w:trPr>
          <w:trHeight w:val="698" w:hRule="atLeast"/>
        </w:trPr>
        <w:tc>
          <w:tcPr>
            <w:tcW w:w="54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rPr>
            </w:pPr>
            <w:r>
              <w:rPr>
                <w:rFonts w:hint="eastAsia" w:ascii="宋体" w:hAnsi="宋体" w:cs="宋体"/>
                <w:color w:val="000000"/>
              </w:rPr>
              <w:t>监督电话</w:t>
            </w:r>
          </w:p>
        </w:tc>
        <w:tc>
          <w:tcPr>
            <w:tcW w:w="8390" w:type="dxa"/>
            <w:tcBorders>
              <w:top w:val="single" w:color="auto" w:sz="4" w:space="0"/>
              <w:left w:val="nil"/>
              <w:bottom w:val="single" w:color="auto" w:sz="4" w:space="0"/>
              <w:right w:val="single" w:color="auto" w:sz="4" w:space="0"/>
            </w:tcBorders>
            <w:vAlign w:val="center"/>
          </w:tcPr>
          <w:p>
            <w:pPr>
              <w:ind w:firstLine="420"/>
              <w:jc w:val="center"/>
              <w:textAlignment w:val="center"/>
              <w:rPr>
                <w:rFonts w:ascii="宋体" w:hAnsi="宋体" w:cs="宋体"/>
                <w:color w:val="000000"/>
              </w:rPr>
            </w:pPr>
            <w:r>
              <w:rPr>
                <w:rFonts w:hint="eastAsia" w:ascii="宋体" w:hAnsi="宋体" w:cs="宋体"/>
                <w:color w:val="000000"/>
              </w:rPr>
              <w:t>12345</w:t>
            </w:r>
          </w:p>
        </w:tc>
      </w:tr>
    </w:tbl>
    <w:p>
      <w:pPr>
        <w:spacing w:line="260" w:lineRule="exact"/>
        <w:rPr>
          <w:rFonts w:ascii="宋体" w:hAnsi="宋体" w:cs="宋体"/>
          <w:color w:val="000000"/>
        </w:rPr>
      </w:pPr>
      <w:r>
        <w:rPr>
          <w:rFonts w:hint="eastAsia" w:ascii="宋体" w:hAnsi="宋体" w:cs="宋体"/>
          <w:color w:val="000000"/>
        </w:rPr>
        <w:t>表2-10</w:t>
      </w:r>
    </w:p>
    <w:tbl>
      <w:tblPr>
        <w:tblStyle w:val="13"/>
        <w:tblW w:w="8937" w:type="dxa"/>
        <w:tblInd w:w="51" w:type="dxa"/>
        <w:tblLayout w:type="fixed"/>
        <w:tblCellMar>
          <w:top w:w="0" w:type="dxa"/>
          <w:left w:w="57" w:type="dxa"/>
          <w:bottom w:w="0" w:type="dxa"/>
          <w:right w:w="57" w:type="dxa"/>
        </w:tblCellMar>
      </w:tblPr>
      <w:tblGrid>
        <w:gridCol w:w="547"/>
        <w:gridCol w:w="8390"/>
      </w:tblGrid>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10</w:t>
            </w:r>
          </w:p>
        </w:tc>
      </w:tr>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行政许可</w:t>
            </w:r>
          </w:p>
        </w:tc>
      </w:tr>
      <w:tr>
        <w:tblPrEx>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医疗机构放射性职业病危害建设项目预评价报告审核</w:t>
            </w:r>
          </w:p>
        </w:tc>
      </w:tr>
      <w:tr>
        <w:tblPrEx>
          <w:tblCellMar>
            <w:top w:w="0" w:type="dxa"/>
            <w:left w:w="57" w:type="dxa"/>
            <w:bottom w:w="0" w:type="dxa"/>
            <w:right w:w="57" w:type="dxa"/>
          </w:tblCellMar>
        </w:tblPrEx>
        <w:trPr>
          <w:trHeight w:val="421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cs="宋体"/>
                <w:color w:val="000000"/>
              </w:rPr>
            </w:pPr>
            <w:r>
              <w:rPr>
                <w:rFonts w:hint="eastAsia" w:ascii="宋体" w:hAnsi="宋体" w:cs="宋体"/>
                <w:color w:val="000000"/>
              </w:rPr>
              <w:t>1.《中华人民共和国职业病防治法》（2016年主席令第48号，2017年主席令第81号修订）第十七条：“新建、扩建、改建建设项目和技术改造、技术引进项目（以下统称建设项目）可能产生职业病危害的，建设单位在可行性论证阶段应当进行职业病危害预评价。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pPr>
              <w:spacing w:line="260" w:lineRule="exact"/>
              <w:ind w:firstLine="420" w:firstLineChars="200"/>
              <w:textAlignment w:val="center"/>
              <w:rPr>
                <w:rFonts w:ascii="宋体" w:hAnsi="宋体" w:cs="宋体"/>
                <w:color w:val="000000"/>
              </w:rPr>
            </w:pPr>
            <w:r>
              <w:rPr>
                <w:rFonts w:hint="eastAsia" w:ascii="宋体" w:hAnsi="宋体" w:cs="宋体"/>
                <w:color w:val="000000"/>
              </w:rPr>
              <w:t>2.《中华人民共和国职业病防治法》（2016年主席令第48号，2017年主席令第81号修订）第十八条：“建设项目的职业病防护设施所需费用应当纳入建设项目工程预算，并与主体工程同时设计，同时施工，同时投入生产和使用。建设项目的职业病防护设施设计应当符合国家职业卫生标准和卫生要求；其中，医疗机构放射性职业病危害严重的建设项目的防护设施设计，应当经卫生行政部门审查同意后，方可施工。”</w:t>
            </w:r>
          </w:p>
          <w:p>
            <w:pPr>
              <w:spacing w:line="260" w:lineRule="exact"/>
              <w:ind w:firstLine="420" w:firstLineChars="200"/>
              <w:textAlignment w:val="center"/>
              <w:rPr>
                <w:rFonts w:ascii="宋体" w:hAnsi="宋体" w:cs="宋体"/>
                <w:color w:val="000000"/>
              </w:rPr>
            </w:pPr>
            <w:r>
              <w:rPr>
                <w:rFonts w:hint="eastAsia" w:ascii="宋体" w:hAnsi="宋体" w:cs="宋体"/>
                <w:color w:val="000000"/>
              </w:rPr>
              <w:t>3.《中华人民共和国职业病防治法》（2016年主席令第48号，2017年主席令第81号修订）第八十七条：“对医疗机构放射性职业病危害控制的监督管理，由卫生行政部门依照本法的规定实施。”</w:t>
            </w:r>
          </w:p>
          <w:p>
            <w:pPr>
              <w:spacing w:line="260" w:lineRule="exact"/>
              <w:ind w:firstLine="420" w:firstLineChars="200"/>
              <w:textAlignment w:val="center"/>
              <w:rPr>
                <w:rFonts w:ascii="宋体" w:hAnsi="宋体" w:cs="宋体"/>
                <w:color w:val="000000"/>
              </w:rPr>
            </w:pPr>
            <w:r>
              <w:rPr>
                <w:rFonts w:hint="eastAsia" w:ascii="宋体" w:hAnsi="宋体" w:cs="宋体"/>
                <w:color w:val="000000"/>
              </w:rPr>
              <w:t>4.《放射诊疗管理规定》（卫生部令第46号，2016年国家卫健委令第8号修改）第十二条：“新建、扩建、改建放射诊疗建设项目，医疗机构应当在建设项目施工前向相应的卫生行政部门提交职业病危害放射防护预评价报告，申请进行建设项目卫生审查。”</w:t>
            </w:r>
          </w:p>
          <w:p>
            <w:pPr>
              <w:spacing w:line="260" w:lineRule="exact"/>
              <w:ind w:firstLine="420" w:firstLineChars="200"/>
              <w:textAlignment w:val="center"/>
              <w:rPr>
                <w:rFonts w:ascii="宋体" w:hAnsi="宋体" w:cs="宋体"/>
                <w:color w:val="000000"/>
              </w:rPr>
            </w:pPr>
            <w:r>
              <w:rPr>
                <w:rFonts w:hint="eastAsia" w:ascii="宋体" w:hAnsi="宋体" w:cs="宋体"/>
                <w:color w:val="000000"/>
              </w:rPr>
              <w:t>5.《四川省卫生和计划生育委员会关于进一步规范放射诊疗建设项目卫生审查管理的通知》一、调整放射诊疗建设项目卫生审查管理权限：结合我省实际，自本通知下发之日起，医疗机构申请放射诊疗建设项目的卫生审查，由分级分类管理调整为分级管理，实现放射诊疗建设项目卫生审查和发放《医疗机构执业许可证》同步。医疗机构在申请X射线影像、介入放射学、放射治疗、核医学建设项目的卫生审查时，向为其发放《医疗机构执业许可证》的卫生健康行政部门申请办理。</w:t>
            </w:r>
          </w:p>
        </w:tc>
      </w:tr>
      <w:tr>
        <w:tblPrEx>
          <w:tblCellMar>
            <w:top w:w="0" w:type="dxa"/>
            <w:left w:w="57" w:type="dxa"/>
            <w:bottom w:w="0" w:type="dxa"/>
            <w:right w:w="57" w:type="dxa"/>
          </w:tblCellMar>
        </w:tblPrEx>
        <w:trPr>
          <w:trHeight w:val="69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57" w:type="dxa"/>
            <w:bottom w:w="0" w:type="dxa"/>
            <w:right w:w="57" w:type="dxa"/>
          </w:tblCellMar>
        </w:tblPrEx>
        <w:trPr>
          <w:trHeight w:val="84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11" w:firstLineChars="196"/>
              <w:textAlignment w:val="center"/>
              <w:rPr>
                <w:rFonts w:ascii="宋体" w:hAnsi="宋体" w:cs="宋体"/>
                <w:color w:val="000000"/>
              </w:rPr>
            </w:pPr>
            <w:r>
              <w:rPr>
                <w:rFonts w:hint="eastAsia" w:ascii="宋体" w:hAnsi="宋体" w:cs="宋体"/>
                <w:color w:val="000000"/>
              </w:rPr>
              <w:t>1.受理责任：公示应当提交的材料，当场一次性告知补正材料，依法受理或不予与受理（不予与受理应告知理由）</w:t>
            </w:r>
          </w:p>
          <w:p>
            <w:pPr>
              <w:spacing w:line="260" w:lineRule="exact"/>
              <w:ind w:firstLine="411" w:firstLineChars="196"/>
              <w:textAlignment w:val="center"/>
              <w:rPr>
                <w:rFonts w:ascii="宋体" w:hAnsi="宋体" w:cs="宋体"/>
                <w:color w:val="000000"/>
              </w:rPr>
            </w:pPr>
            <w:r>
              <w:rPr>
                <w:rFonts w:hint="eastAsia" w:ascii="宋体" w:hAnsi="宋体" w:cs="宋体"/>
                <w:color w:val="000000"/>
              </w:rPr>
              <w:t>2.审查责任：审查申请材料，组织现场审查</w:t>
            </w:r>
          </w:p>
          <w:p>
            <w:pPr>
              <w:spacing w:line="260" w:lineRule="exact"/>
              <w:ind w:firstLine="411" w:firstLineChars="196"/>
              <w:textAlignment w:val="center"/>
              <w:rPr>
                <w:rFonts w:ascii="宋体" w:hAnsi="宋体" w:cs="宋体"/>
                <w:color w:val="000000"/>
              </w:rPr>
            </w:pPr>
            <w:r>
              <w:rPr>
                <w:rFonts w:hint="eastAsia" w:ascii="宋体" w:hAnsi="宋体" w:cs="宋体"/>
                <w:color w:val="000000"/>
              </w:rPr>
              <w:t>3.决定责任：作出行政许可或者不予行政许可决定，法定告知（不予与受理应告知理由）。</w:t>
            </w:r>
          </w:p>
          <w:p>
            <w:pPr>
              <w:spacing w:line="260" w:lineRule="exact"/>
              <w:ind w:firstLine="411" w:firstLineChars="196"/>
              <w:textAlignment w:val="center"/>
              <w:rPr>
                <w:rFonts w:ascii="宋体" w:hAnsi="宋体" w:cs="宋体"/>
                <w:color w:val="000000"/>
              </w:rPr>
            </w:pPr>
            <w:r>
              <w:rPr>
                <w:rFonts w:hint="eastAsia" w:ascii="宋体" w:hAnsi="宋体" w:cs="宋体"/>
                <w:color w:val="000000"/>
              </w:rPr>
              <w:t>4.事后监督责任：开展定期和不定期检查，依法采取相关处置措施。</w:t>
            </w:r>
          </w:p>
          <w:p>
            <w:pPr>
              <w:spacing w:line="260" w:lineRule="exact"/>
              <w:ind w:firstLine="411" w:firstLineChars="196"/>
              <w:textAlignment w:val="center"/>
              <w:rPr>
                <w:rFonts w:ascii="宋体" w:hAnsi="宋体" w:cs="宋体"/>
                <w:color w:val="000000"/>
              </w:rPr>
            </w:pPr>
            <w:r>
              <w:rPr>
                <w:rFonts w:hint="eastAsia" w:ascii="宋体" w:hAnsi="宋体" w:cs="宋体"/>
                <w:color w:val="000000"/>
              </w:rPr>
              <w:t>5.其他责任：法律法规规章文件规定应履行的其他责任。</w:t>
            </w:r>
          </w:p>
        </w:tc>
      </w:tr>
      <w:tr>
        <w:tblPrEx>
          <w:tblCellMar>
            <w:top w:w="0" w:type="dxa"/>
            <w:left w:w="57" w:type="dxa"/>
            <w:bottom w:w="0" w:type="dxa"/>
            <w:right w:w="57" w:type="dxa"/>
          </w:tblCellMar>
        </w:tblPrEx>
        <w:trPr>
          <w:trHeight w:val="131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kern w:val="0"/>
              </w:rPr>
            </w:pPr>
            <w:r>
              <w:rPr>
                <w:rFonts w:hint="eastAsia" w:ascii="宋体" w:hAnsi="宋体" w:cs="宋体"/>
                <w:color w:val="000000"/>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cs="宋体"/>
                <w:color w:val="000000"/>
              </w:rPr>
            </w:pPr>
            <w:r>
              <w:rPr>
                <w:rFonts w:hint="eastAsia" w:ascii="Times New Roman" w:hAnsi="Times New Roman"/>
                <w:color w:val="000000"/>
                <w:szCs w:val="21"/>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color w:val="000000"/>
              </w:rPr>
              <w:t>《中华人民共和国职业病防治法》《放射诊疗管理规定》《四川省卫生和计划生育委员会关于进一步规范放射诊疗建设项目卫生审查管理的通知》</w:t>
            </w:r>
            <w:r>
              <w:rPr>
                <w:rFonts w:hint="eastAsia" w:ascii="Times New Roman" w:hAnsi="Times New Roman"/>
                <w:color w:val="000000"/>
                <w:szCs w:val="21"/>
              </w:rPr>
              <w:t>等法律法规规章的相关规定追究相应的责任。</w:t>
            </w:r>
          </w:p>
        </w:tc>
      </w:tr>
      <w:tr>
        <w:tblPrEx>
          <w:tblCellMar>
            <w:top w:w="0" w:type="dxa"/>
            <w:left w:w="57" w:type="dxa"/>
            <w:bottom w:w="0" w:type="dxa"/>
            <w:right w:w="57" w:type="dxa"/>
          </w:tblCellMar>
        </w:tblPrEx>
        <w:trPr>
          <w:trHeight w:val="69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12345</w:t>
            </w:r>
          </w:p>
        </w:tc>
      </w:tr>
    </w:tbl>
    <w:p>
      <w:pPr>
        <w:spacing w:line="260" w:lineRule="exact"/>
        <w:rPr>
          <w:rFonts w:ascii="宋体" w:hAnsi="宋体" w:cs="宋体"/>
          <w:color w:val="000000"/>
        </w:rPr>
      </w:pPr>
      <w:r>
        <w:rPr>
          <w:rFonts w:hint="eastAsia" w:ascii="宋体" w:hAnsi="宋体" w:cs="宋体"/>
          <w:color w:val="000000"/>
        </w:rPr>
        <w:t>表2-11</w:t>
      </w:r>
    </w:p>
    <w:tbl>
      <w:tblPr>
        <w:tblStyle w:val="13"/>
        <w:tblW w:w="8937" w:type="dxa"/>
        <w:tblInd w:w="51" w:type="dxa"/>
        <w:tblLayout w:type="fixed"/>
        <w:tblCellMar>
          <w:top w:w="0" w:type="dxa"/>
          <w:left w:w="57" w:type="dxa"/>
          <w:bottom w:w="0" w:type="dxa"/>
          <w:right w:w="57" w:type="dxa"/>
        </w:tblCellMar>
      </w:tblPr>
      <w:tblGrid>
        <w:gridCol w:w="547"/>
        <w:gridCol w:w="8390"/>
      </w:tblGrid>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11</w:t>
            </w:r>
          </w:p>
        </w:tc>
      </w:tr>
      <w:tr>
        <w:tblPrEx>
          <w:tblCellMar>
            <w:top w:w="0" w:type="dxa"/>
            <w:left w:w="57" w:type="dxa"/>
            <w:bottom w:w="0" w:type="dxa"/>
            <w:right w:w="57" w:type="dxa"/>
          </w:tblCellMar>
        </w:tblPrEx>
        <w:trPr>
          <w:trHeight w:val="86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行政许可</w:t>
            </w:r>
          </w:p>
        </w:tc>
      </w:tr>
      <w:tr>
        <w:tblPrEx>
          <w:tblCellMar>
            <w:top w:w="0" w:type="dxa"/>
            <w:left w:w="57" w:type="dxa"/>
            <w:bottom w:w="0" w:type="dxa"/>
            <w:right w:w="57" w:type="dxa"/>
          </w:tblCellMar>
        </w:tblPrEx>
        <w:trPr>
          <w:trHeight w:val="75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职业病诊断资格证书核发</w:t>
            </w:r>
          </w:p>
        </w:tc>
      </w:tr>
      <w:tr>
        <w:tblPrEx>
          <w:tblCellMar>
            <w:top w:w="0" w:type="dxa"/>
            <w:left w:w="57" w:type="dxa"/>
            <w:bottom w:w="0" w:type="dxa"/>
            <w:right w:w="57" w:type="dxa"/>
          </w:tblCellMar>
        </w:tblPrEx>
        <w:trPr>
          <w:trHeight w:val="360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rPr>
            </w:pPr>
            <w:r>
              <w:rPr>
                <w:rFonts w:hint="eastAsia" w:ascii="宋体" w:hAnsi="宋体"/>
              </w:rPr>
              <w:t>1.《中华人民共和国职业病防治法》（2016年主席令第48号，2017年主席令第81号修订）第四十七条：“承担职业病诊断的医疗卫生机构在进行职业病诊断时，应当组织三名以上取得职业病诊断资格的执业医师集体诊断。”</w:t>
            </w:r>
          </w:p>
          <w:p>
            <w:pPr>
              <w:spacing w:line="260" w:lineRule="exact"/>
              <w:ind w:firstLine="420" w:firstLineChars="200"/>
              <w:textAlignment w:val="center"/>
              <w:rPr>
                <w:rFonts w:ascii="宋体" w:hAnsi="宋体"/>
              </w:rPr>
            </w:pPr>
            <w:r>
              <w:rPr>
                <w:rFonts w:hint="eastAsia" w:ascii="宋体" w:hAnsi="宋体"/>
              </w:rPr>
              <w:t>2.《中华人民共和国职业病防治法(2018修正)》（中华人民共和国主席令第24号）第四十六条第三款：“ 职业病诊断证明书应当由参与诊断的取得职业病诊断资格的执业医师签署，并经承担职业病诊断的医疗卫生机构审核盖章。”</w:t>
            </w:r>
          </w:p>
          <w:p>
            <w:pPr>
              <w:spacing w:line="260" w:lineRule="exact"/>
              <w:ind w:firstLine="420" w:firstLineChars="200"/>
              <w:textAlignment w:val="center"/>
              <w:rPr>
                <w:rFonts w:ascii="宋体" w:hAnsi="宋体"/>
                <w:color w:val="000000"/>
              </w:rPr>
            </w:pPr>
            <w:r>
              <w:rPr>
                <w:rFonts w:hint="eastAsia" w:ascii="宋体" w:hAnsi="宋体"/>
              </w:rPr>
              <w:t>3.《四川省卫生和计划生育委员会关于深化“放管服”改革激发医疗领域投资活力的实施意见》（川卫发【2018】17号）文件中规定：六、下放医师专项技术执业资格审批权限</w:t>
            </w:r>
            <w:r>
              <w:rPr>
                <w:rFonts w:hint="eastAsia" w:ascii="宋体" w:hAnsi="宋体" w:cs="宋体"/>
              </w:rPr>
              <w:t>。</w:t>
            </w:r>
            <w:r>
              <w:rPr>
                <w:rFonts w:hint="eastAsia" w:ascii="宋体" w:hAnsi="宋体"/>
              </w:rPr>
              <w:t> 在保持培训考核机制不变的基础上，将职业病诊断资格证书核发和母婴保健（专项技术）服务人员资格认定两项行政许可事项全部下放到县级。省级卫生计生行政部门继续负责产前筛查、产前诊断专项技术服务人员、职业病诊断医师的培训考核；市级卫生计生行政部门继续负责婚前医学检查专项技术服务人员的培训考核；县级卫生计生行政部门负责结扎手术、终止妊娠手术、助产技术专项技术服务人员的培训考核。</w:t>
            </w:r>
          </w:p>
        </w:tc>
      </w:tr>
      <w:tr>
        <w:tblPrEx>
          <w:tblCellMar>
            <w:top w:w="0" w:type="dxa"/>
            <w:left w:w="57" w:type="dxa"/>
            <w:bottom w:w="0" w:type="dxa"/>
            <w:right w:w="57" w:type="dxa"/>
          </w:tblCellMar>
        </w:tblPrEx>
        <w:trPr>
          <w:trHeight w:val="6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57" w:type="dxa"/>
            <w:bottom w:w="0" w:type="dxa"/>
            <w:right w:w="57" w:type="dxa"/>
          </w:tblCellMar>
        </w:tblPrEx>
        <w:trPr>
          <w:trHeight w:val="147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11" w:firstLineChars="196"/>
              <w:textAlignment w:val="center"/>
              <w:rPr>
                <w:rFonts w:ascii="宋体" w:hAnsi="宋体" w:cs="宋体"/>
                <w:color w:val="000000"/>
              </w:rPr>
            </w:pPr>
            <w:r>
              <w:rPr>
                <w:rFonts w:hint="eastAsia" w:ascii="宋体" w:hAnsi="宋体" w:cs="宋体"/>
                <w:color w:val="000000"/>
              </w:rPr>
              <w:t>1.受理责任：公示应当提交的材料，当场一次性告知补正材料，依法受理或不予与受理（不予与受理应告知理由）</w:t>
            </w:r>
          </w:p>
          <w:p>
            <w:pPr>
              <w:spacing w:line="260" w:lineRule="exact"/>
              <w:ind w:firstLine="411" w:firstLineChars="196"/>
              <w:textAlignment w:val="center"/>
              <w:rPr>
                <w:rFonts w:ascii="宋体" w:hAnsi="宋体" w:cs="宋体"/>
                <w:color w:val="000000"/>
              </w:rPr>
            </w:pPr>
            <w:r>
              <w:rPr>
                <w:rFonts w:hint="eastAsia" w:ascii="宋体" w:hAnsi="宋体" w:cs="宋体"/>
                <w:color w:val="000000"/>
              </w:rPr>
              <w:t>2.审查责任：审查申请材料，组织现场审查</w:t>
            </w:r>
          </w:p>
          <w:p>
            <w:pPr>
              <w:spacing w:line="260" w:lineRule="exact"/>
              <w:ind w:firstLine="395" w:firstLineChars="196"/>
              <w:textAlignment w:val="center"/>
              <w:rPr>
                <w:rFonts w:ascii="宋体" w:hAnsi="宋体" w:cs="宋体"/>
                <w:color w:val="000000"/>
                <w:spacing w:val="-4"/>
              </w:rPr>
            </w:pPr>
            <w:r>
              <w:rPr>
                <w:rFonts w:hint="eastAsia" w:ascii="宋体" w:hAnsi="宋体" w:cs="宋体"/>
                <w:color w:val="000000"/>
                <w:spacing w:val="-4"/>
              </w:rPr>
              <w:t>3.决定责任：作出行政许可或者不予行政许可决定，法定告知（不予与受理应告知理由）。</w:t>
            </w:r>
          </w:p>
          <w:p>
            <w:pPr>
              <w:spacing w:line="260" w:lineRule="exact"/>
              <w:ind w:firstLine="411" w:firstLineChars="196"/>
              <w:textAlignment w:val="center"/>
              <w:rPr>
                <w:rFonts w:ascii="宋体" w:hAnsi="宋体" w:cs="宋体"/>
                <w:color w:val="000000"/>
              </w:rPr>
            </w:pPr>
            <w:r>
              <w:rPr>
                <w:rFonts w:hint="eastAsia" w:ascii="宋体" w:hAnsi="宋体" w:cs="宋体"/>
                <w:color w:val="000000"/>
              </w:rPr>
              <w:t>4.事后监督责任：开展定期和不定期检查，依法采取相关处置措施。</w:t>
            </w:r>
          </w:p>
          <w:p>
            <w:pPr>
              <w:spacing w:line="260" w:lineRule="exact"/>
              <w:ind w:firstLine="411" w:firstLineChars="196"/>
              <w:textAlignment w:val="center"/>
              <w:rPr>
                <w:rFonts w:ascii="宋体" w:hAnsi="宋体" w:cs="宋体"/>
                <w:color w:val="000000"/>
              </w:rPr>
            </w:pPr>
            <w:r>
              <w:rPr>
                <w:rFonts w:hint="eastAsia" w:ascii="宋体" w:hAnsi="宋体" w:cs="宋体"/>
                <w:color w:val="000000"/>
              </w:rPr>
              <w:t>5.其他责任：法律法规规章文件规定应履行的其他责任</w:t>
            </w:r>
          </w:p>
        </w:tc>
      </w:tr>
      <w:tr>
        <w:tblPrEx>
          <w:tblCellMar>
            <w:top w:w="0" w:type="dxa"/>
            <w:left w:w="57" w:type="dxa"/>
            <w:bottom w:w="0" w:type="dxa"/>
            <w:right w:w="57" w:type="dxa"/>
          </w:tblCellMar>
        </w:tblPrEx>
        <w:trPr>
          <w:trHeight w:val="177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kern w:val="0"/>
              </w:rPr>
            </w:pPr>
            <w:r>
              <w:rPr>
                <w:rFonts w:hint="eastAsia" w:ascii="宋体" w:hAnsi="宋体" w:cs="宋体"/>
                <w:color w:val="000000"/>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04" w:firstLineChars="200"/>
              <w:textAlignment w:val="center"/>
              <w:rPr>
                <w:rFonts w:ascii="宋体" w:hAnsi="宋体" w:cs="宋体"/>
                <w:color w:val="000000"/>
                <w:spacing w:val="-4"/>
              </w:rPr>
            </w:pPr>
            <w:r>
              <w:rPr>
                <w:rFonts w:hint="eastAsia" w:ascii="Times New Roman" w:hAnsi="Times New Roman"/>
                <w:color w:val="000000"/>
                <w:spacing w:val="-4"/>
                <w:szCs w:val="21"/>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spacing w:val="-4"/>
              </w:rPr>
              <w:t>《中华人民共和国职业病防治法》《中华人民共和国职业病防治法(2018修正)》《四川省卫生和计划生育委员会关于深化“放管服”改革激发医疗领域投资活力的实施意见》</w:t>
            </w:r>
            <w:r>
              <w:rPr>
                <w:rFonts w:hint="eastAsia" w:ascii="Times New Roman" w:hAnsi="Times New Roman"/>
                <w:color w:val="000000"/>
                <w:spacing w:val="-4"/>
                <w:szCs w:val="21"/>
              </w:rPr>
              <w:t>等法律法规规章的相关规定追究相应的责任。</w:t>
            </w:r>
          </w:p>
        </w:tc>
      </w:tr>
      <w:tr>
        <w:tblPrEx>
          <w:tblCellMar>
            <w:top w:w="0" w:type="dxa"/>
            <w:left w:w="57" w:type="dxa"/>
            <w:bottom w:w="0" w:type="dxa"/>
            <w:right w:w="57" w:type="dxa"/>
          </w:tblCellMar>
        </w:tblPrEx>
        <w:trPr>
          <w:trHeight w:val="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12345</w:t>
            </w:r>
          </w:p>
        </w:tc>
      </w:tr>
    </w:tbl>
    <w:p>
      <w:pPr>
        <w:spacing w:line="260" w:lineRule="exact"/>
        <w:rPr>
          <w:rFonts w:ascii="宋体" w:hAnsi="宋体" w:cs="宋体"/>
          <w:color w:val="000000"/>
        </w:rPr>
      </w:pPr>
    </w:p>
    <w:p>
      <w:pPr>
        <w:spacing w:line="260" w:lineRule="exact"/>
        <w:rPr>
          <w:rFonts w:ascii="宋体" w:hAnsi="宋体" w:cs="宋体"/>
          <w:color w:val="000000"/>
        </w:rPr>
      </w:pPr>
      <w:r>
        <w:rPr>
          <w:rFonts w:hint="eastAsia" w:ascii="宋体" w:hAnsi="宋体" w:cs="宋体"/>
          <w:color w:val="000000"/>
        </w:rPr>
        <w:t>表2-12</w:t>
      </w:r>
    </w:p>
    <w:tbl>
      <w:tblPr>
        <w:tblStyle w:val="13"/>
        <w:tblW w:w="8937" w:type="dxa"/>
        <w:tblInd w:w="51" w:type="dxa"/>
        <w:tblLayout w:type="fixed"/>
        <w:tblCellMar>
          <w:top w:w="0" w:type="dxa"/>
          <w:left w:w="57" w:type="dxa"/>
          <w:bottom w:w="0" w:type="dxa"/>
          <w:right w:w="57" w:type="dxa"/>
        </w:tblCellMar>
      </w:tblPr>
      <w:tblGrid>
        <w:gridCol w:w="547"/>
        <w:gridCol w:w="8390"/>
      </w:tblGrid>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12</w:t>
            </w:r>
          </w:p>
        </w:tc>
      </w:tr>
      <w:tr>
        <w:tblPrEx>
          <w:tblCellMar>
            <w:top w:w="0" w:type="dxa"/>
            <w:left w:w="57" w:type="dxa"/>
            <w:bottom w:w="0" w:type="dxa"/>
            <w:right w:w="57" w:type="dxa"/>
          </w:tblCellMar>
        </w:tblPrEx>
        <w:trPr>
          <w:trHeight w:val="93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行政许可</w:t>
            </w:r>
          </w:p>
        </w:tc>
      </w:tr>
      <w:tr>
        <w:tblPrEx>
          <w:tblCellMar>
            <w:top w:w="0" w:type="dxa"/>
            <w:left w:w="57" w:type="dxa"/>
            <w:bottom w:w="0" w:type="dxa"/>
            <w:right w:w="57" w:type="dxa"/>
          </w:tblCellMar>
        </w:tblPrEx>
        <w:trPr>
          <w:trHeight w:val="114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乡村医生执业注册</w:t>
            </w:r>
          </w:p>
        </w:tc>
      </w:tr>
      <w:tr>
        <w:tblPrEx>
          <w:tblCellMar>
            <w:top w:w="0" w:type="dxa"/>
            <w:left w:w="57" w:type="dxa"/>
            <w:bottom w:w="0" w:type="dxa"/>
            <w:right w:w="57" w:type="dxa"/>
          </w:tblCellMar>
        </w:tblPrEx>
        <w:trPr>
          <w:trHeight w:val="123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textAlignment w:val="center"/>
              <w:rPr>
                <w:rFonts w:ascii="宋体" w:hAnsi="宋体" w:cs="宋体"/>
                <w:color w:val="000000"/>
              </w:rPr>
            </w:pPr>
            <w:r>
              <w:rPr>
                <w:rFonts w:hint="eastAsia" w:ascii="宋体" w:hAnsi="宋体" w:cs="宋体"/>
                <w:color w:val="000000"/>
              </w:rPr>
              <w:t>《乡村医生从业管理条例》（国务院386号）第九条“国家实行乡村医生执业注册制度”，“县级人民政府卫生行政部门负责乡村医生执业注册工作”</w:t>
            </w:r>
          </w:p>
        </w:tc>
      </w:tr>
      <w:tr>
        <w:tblPrEx>
          <w:tblCellMar>
            <w:top w:w="0" w:type="dxa"/>
            <w:left w:w="57" w:type="dxa"/>
            <w:bottom w:w="0" w:type="dxa"/>
            <w:right w:w="57" w:type="dxa"/>
          </w:tblCellMar>
        </w:tblPrEx>
        <w:trPr>
          <w:trHeight w:val="64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政策法规与综合监督股、区卫生健康综合行政执法大队、医政股（中医股）</w:t>
            </w:r>
          </w:p>
        </w:tc>
      </w:tr>
      <w:tr>
        <w:tblPrEx>
          <w:tblCellMar>
            <w:top w:w="0" w:type="dxa"/>
            <w:left w:w="57" w:type="dxa"/>
            <w:bottom w:w="0" w:type="dxa"/>
            <w:right w:w="57" w:type="dxa"/>
          </w:tblCellMar>
        </w:tblPrEx>
        <w:trPr>
          <w:trHeight w:val="306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left"/>
              <w:rPr>
                <w:rFonts w:ascii="宋体" w:hAnsi="宋体" w:cs="宋体"/>
                <w:color w:val="000000"/>
              </w:rPr>
            </w:pPr>
            <w:r>
              <w:rPr>
                <w:rFonts w:hint="eastAsia" w:ascii="宋体" w:hAnsi="宋体" w:cs="宋体"/>
                <w:color w:val="000000"/>
              </w:rPr>
              <w:t>1.受理责任：公示应当提交的材料，一次性告知补正材料，依法受理或不予受理（不予受理应当告知理由）。</w:t>
            </w:r>
          </w:p>
          <w:p>
            <w:pPr>
              <w:spacing w:line="260" w:lineRule="exact"/>
              <w:ind w:firstLine="420"/>
              <w:jc w:val="left"/>
              <w:rPr>
                <w:rFonts w:ascii="宋体" w:hAnsi="宋体" w:cs="宋体"/>
                <w:color w:val="000000"/>
              </w:rPr>
            </w:pPr>
            <w:r>
              <w:rPr>
                <w:rFonts w:hint="eastAsia" w:ascii="宋体" w:hAnsi="宋体" w:cs="宋体"/>
                <w:color w:val="000000"/>
              </w:rPr>
              <w:t>2.审查责任：根据有关法律、法规、规章的规定，对书面申请材料进行审查，提出是否同意筹建的审核意见，组织现场检查验收，告知申请人、利害相关人享有听证权利；涉及公共利益的重大许可，向社会公告并举行听证。</w:t>
            </w:r>
          </w:p>
          <w:p>
            <w:pPr>
              <w:spacing w:line="260" w:lineRule="exact"/>
              <w:ind w:firstLine="420"/>
              <w:jc w:val="left"/>
              <w:rPr>
                <w:rFonts w:ascii="宋体" w:hAnsi="宋体" w:cs="宋体"/>
                <w:color w:val="000000"/>
              </w:rPr>
            </w:pPr>
            <w:r>
              <w:rPr>
                <w:rFonts w:hint="eastAsia" w:ascii="宋体" w:hAnsi="宋体" w:cs="宋体"/>
                <w:color w:val="000000"/>
              </w:rPr>
              <w:t>3.决定责任：作出行政许可或者不予行政许可决定，法定告知（不予许可的应当书面告知理由）。</w:t>
            </w:r>
          </w:p>
          <w:p>
            <w:pPr>
              <w:spacing w:line="260" w:lineRule="exact"/>
              <w:ind w:firstLine="420"/>
              <w:jc w:val="left"/>
              <w:rPr>
                <w:rFonts w:ascii="宋体" w:hAnsi="宋体" w:cs="宋体"/>
                <w:color w:val="000000"/>
              </w:rPr>
            </w:pPr>
            <w:r>
              <w:rPr>
                <w:rFonts w:hint="eastAsia" w:ascii="宋体" w:hAnsi="宋体" w:cs="宋体"/>
                <w:color w:val="000000"/>
              </w:rPr>
              <w:t>4.事后监管责任：建立实施监督检查的运行机制和管理制度，开展定期和不定期检查，依法采取相关处置措施。</w:t>
            </w:r>
          </w:p>
          <w:p>
            <w:pPr>
              <w:spacing w:line="260" w:lineRule="exact"/>
              <w:ind w:firstLine="412"/>
              <w:textAlignment w:val="center"/>
              <w:rPr>
                <w:rFonts w:ascii="宋体" w:hAnsi="宋体" w:cs="宋体"/>
                <w:color w:val="000000"/>
              </w:rPr>
            </w:pPr>
            <w:r>
              <w:rPr>
                <w:rFonts w:hint="eastAsia" w:ascii="宋体" w:hAnsi="宋体" w:cs="宋体"/>
                <w:color w:val="000000"/>
              </w:rPr>
              <w:t>5.其他责任：法律法规规章文件规定应履行的其他责任。</w:t>
            </w:r>
          </w:p>
        </w:tc>
      </w:tr>
      <w:tr>
        <w:tblPrEx>
          <w:tblCellMar>
            <w:top w:w="0" w:type="dxa"/>
            <w:left w:w="57" w:type="dxa"/>
            <w:bottom w:w="0" w:type="dxa"/>
            <w:right w:w="57" w:type="dxa"/>
          </w:tblCellMar>
        </w:tblPrEx>
        <w:trPr>
          <w:trHeight w:val="128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kern w:val="0"/>
              </w:rPr>
            </w:pPr>
            <w:r>
              <w:rPr>
                <w:rFonts w:hint="eastAsia" w:ascii="宋体" w:hAnsi="宋体" w:cs="宋体"/>
                <w:color w:val="000000"/>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textAlignment w:val="center"/>
              <w:rPr>
                <w:rFonts w:ascii="宋体" w:hAnsi="宋体" w:cs="宋体"/>
                <w:color w:val="000000"/>
              </w:rPr>
            </w:pPr>
            <w:r>
              <w:rPr>
                <w:rFonts w:hint="eastAsia" w:ascii="Times New Roman" w:hAnsi="Times New Roman"/>
                <w:color w:val="000000"/>
                <w:szCs w:val="21"/>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color w:val="000000"/>
              </w:rPr>
              <w:t>《乡村医生从业管理条例》</w:t>
            </w:r>
            <w:r>
              <w:rPr>
                <w:rFonts w:hint="eastAsia" w:ascii="Times New Roman" w:hAnsi="Times New Roman"/>
                <w:color w:val="000000"/>
                <w:szCs w:val="21"/>
              </w:rPr>
              <w:t>等法律法规规章的相关规定追究相应的责任。</w:t>
            </w:r>
          </w:p>
        </w:tc>
      </w:tr>
      <w:tr>
        <w:tblPrEx>
          <w:tblCellMar>
            <w:top w:w="0" w:type="dxa"/>
            <w:left w:w="57" w:type="dxa"/>
            <w:bottom w:w="0" w:type="dxa"/>
            <w:right w:w="57" w:type="dxa"/>
          </w:tblCellMar>
        </w:tblPrEx>
        <w:trPr>
          <w:trHeight w:val="69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12345</w:t>
            </w:r>
          </w:p>
        </w:tc>
      </w:tr>
    </w:tbl>
    <w:p>
      <w:pPr>
        <w:spacing w:line="260" w:lineRule="exact"/>
        <w:rPr>
          <w:rFonts w:ascii="宋体" w:hAnsi="宋体" w:cs="宋体"/>
          <w:color w:val="000000"/>
        </w:rPr>
      </w:pPr>
      <w:r>
        <w:rPr>
          <w:rFonts w:hint="eastAsia" w:ascii="宋体" w:hAnsi="宋体" w:cs="宋体"/>
          <w:color w:val="000000"/>
        </w:rPr>
        <w:t>表2-13</w:t>
      </w:r>
    </w:p>
    <w:tbl>
      <w:tblPr>
        <w:tblStyle w:val="13"/>
        <w:tblW w:w="8937" w:type="dxa"/>
        <w:tblInd w:w="51" w:type="dxa"/>
        <w:tblLayout w:type="fixed"/>
        <w:tblCellMar>
          <w:top w:w="0" w:type="dxa"/>
          <w:left w:w="57" w:type="dxa"/>
          <w:bottom w:w="0" w:type="dxa"/>
          <w:right w:w="57" w:type="dxa"/>
        </w:tblCellMar>
      </w:tblPr>
      <w:tblGrid>
        <w:gridCol w:w="547"/>
        <w:gridCol w:w="8390"/>
      </w:tblGrid>
      <w:tr>
        <w:tblPrEx>
          <w:tblCellMar>
            <w:top w:w="0" w:type="dxa"/>
            <w:left w:w="57" w:type="dxa"/>
            <w:bottom w:w="0" w:type="dxa"/>
            <w:right w:w="57" w:type="dxa"/>
          </w:tblCellMar>
        </w:tblPrEx>
        <w:trPr>
          <w:trHeight w:val="76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13</w:t>
            </w:r>
          </w:p>
        </w:tc>
      </w:tr>
      <w:tr>
        <w:tblPrEx>
          <w:tblCellMar>
            <w:top w:w="0" w:type="dxa"/>
            <w:left w:w="57" w:type="dxa"/>
            <w:bottom w:w="0" w:type="dxa"/>
            <w:right w:w="57" w:type="dxa"/>
          </w:tblCellMar>
        </w:tblPrEx>
        <w:trPr>
          <w:trHeight w:val="44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行政许可</w:t>
            </w:r>
          </w:p>
        </w:tc>
      </w:tr>
      <w:tr>
        <w:tblPrEx>
          <w:tblCellMar>
            <w:top w:w="0" w:type="dxa"/>
            <w:left w:w="57" w:type="dxa"/>
            <w:bottom w:w="0" w:type="dxa"/>
            <w:right w:w="57" w:type="dxa"/>
          </w:tblCellMar>
        </w:tblPrEx>
        <w:trPr>
          <w:trHeight w:val="48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医疗机构放射性职业病危害建设项目竣工验收</w:t>
            </w:r>
          </w:p>
        </w:tc>
      </w:tr>
      <w:tr>
        <w:tblPrEx>
          <w:tblCellMar>
            <w:top w:w="0" w:type="dxa"/>
            <w:left w:w="57" w:type="dxa"/>
            <w:bottom w:w="0" w:type="dxa"/>
            <w:right w:w="57" w:type="dxa"/>
          </w:tblCellMar>
        </w:tblPrEx>
        <w:trPr>
          <w:trHeight w:val="407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textAlignment w:val="center"/>
              <w:rPr>
                <w:rFonts w:ascii="宋体" w:hAnsi="宋体" w:cs="宋体"/>
                <w:color w:val="000000"/>
              </w:rPr>
            </w:pPr>
            <w:r>
              <w:rPr>
                <w:rFonts w:hint="eastAsia" w:ascii="宋体" w:hAnsi="宋体" w:cs="宋体"/>
                <w:color w:val="000000"/>
              </w:rPr>
              <w:t>1.《中华人民共和国职业病防治法》第八十九条：“对医疗机构放射性职业病危害控制的监督管理，由卫生行政部门依照本法的规定实施。”</w:t>
            </w:r>
          </w:p>
          <w:p>
            <w:pPr>
              <w:spacing w:line="260" w:lineRule="exact"/>
              <w:ind w:firstLine="420"/>
              <w:textAlignment w:val="center"/>
              <w:rPr>
                <w:rFonts w:ascii="宋体" w:hAnsi="宋体" w:cs="宋体"/>
                <w:color w:val="000000"/>
              </w:rPr>
            </w:pPr>
            <w:r>
              <w:rPr>
                <w:rFonts w:hint="eastAsia" w:ascii="宋体" w:hAnsi="宋体" w:cs="宋体"/>
                <w:color w:val="000000"/>
              </w:rPr>
              <w:t>2.《国务院关于取消和调整一批行政审批项目等事项的决定》（国发〔2015〕11号）第七十四项：“放射防护器材和含放射性产品检测机构、医疗机构放射性危害评价（甲级）机构认定。”《放射诊疗建设项目卫生审查管理规定》（2012年4月卫监督发〔2012〕25号）第三条：“县区级卫生行政部门负责X射线影像诊断建设项目的卫生审查。同一医疗机构有不同类别放射诊疗建设项目的卫生审查由具有高类别审批权限的卫生行政部门负责。省级卫生行政部门可以根据本地区实际情况，调整审批权限。”第十条：“放射诊疗建设项目竣工后，建设单位应向审核建设项目职业病危害放射防护预评价的卫生行政部门申请竣工验收。</w:t>
            </w:r>
            <w:r>
              <w:rPr>
                <w:rFonts w:ascii="宋体" w:hAnsi="宋体" w:cs="宋体"/>
                <w:color w:val="000000"/>
              </w:rPr>
              <w:t>”</w:t>
            </w:r>
            <w:r>
              <w:rPr>
                <w:rFonts w:hint="eastAsia" w:ascii="宋体" w:hAnsi="宋体" w:cs="宋体"/>
                <w:color w:val="000000"/>
              </w:rPr>
              <w:t>第十一条第一款：“卫生行政部门受理竣工验收申请后，对危害一般类的建设项目，应当按卫生行政许可的时限进行职业病放射防护设施竣工验收；对危害严重类的建设项目，应当按卫生行政许可的时限组织专家对控制效果评价报告进行评审，并进行职业病放射防护设施竣工验收。”</w:t>
            </w:r>
          </w:p>
        </w:tc>
      </w:tr>
      <w:tr>
        <w:tblPrEx>
          <w:tblCellMar>
            <w:top w:w="0" w:type="dxa"/>
            <w:left w:w="57" w:type="dxa"/>
            <w:bottom w:w="0" w:type="dxa"/>
            <w:right w:w="57" w:type="dxa"/>
          </w:tblCellMar>
        </w:tblPrEx>
        <w:trPr>
          <w:trHeight w:val="69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57" w:type="dxa"/>
            <w:bottom w:w="0" w:type="dxa"/>
            <w:right w:w="57" w:type="dxa"/>
          </w:tblCellMar>
        </w:tblPrEx>
        <w:trPr>
          <w:trHeight w:val="284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12"/>
              <w:textAlignment w:val="center"/>
              <w:rPr>
                <w:rFonts w:ascii="宋体" w:hAnsi="宋体" w:cs="宋体"/>
                <w:color w:val="000000"/>
              </w:rPr>
            </w:pPr>
            <w:r>
              <w:rPr>
                <w:rFonts w:hint="eastAsia" w:ascii="宋体" w:hAnsi="宋体" w:cs="宋体"/>
                <w:color w:val="000000"/>
              </w:rPr>
              <w:t>1.受理责任：公示依法应当提交的材料和受理条件；一次性告知补齐补正材料；依法受理或不予受理（不予受理应当告知理由）。</w:t>
            </w:r>
          </w:p>
          <w:p>
            <w:pPr>
              <w:spacing w:line="260" w:lineRule="exact"/>
              <w:ind w:firstLine="412"/>
              <w:textAlignment w:val="center"/>
              <w:rPr>
                <w:rFonts w:ascii="宋体" w:hAnsi="宋体" w:cs="宋体"/>
                <w:color w:val="000000"/>
              </w:rPr>
            </w:pPr>
            <w:r>
              <w:rPr>
                <w:rFonts w:hint="eastAsia" w:ascii="宋体" w:hAnsi="宋体" w:cs="宋体"/>
                <w:color w:val="000000"/>
              </w:rPr>
              <w:t>2.审查责任：审核材料的真实性和合法性；组织专家60日内完成技术评审；根据技术评审报告提出审查意见。</w:t>
            </w:r>
          </w:p>
          <w:p>
            <w:pPr>
              <w:spacing w:line="260" w:lineRule="exact"/>
              <w:ind w:firstLine="412"/>
              <w:textAlignment w:val="center"/>
              <w:rPr>
                <w:rFonts w:ascii="宋体" w:hAnsi="宋体" w:cs="宋体"/>
                <w:color w:val="000000"/>
              </w:rPr>
            </w:pPr>
            <w:r>
              <w:rPr>
                <w:rFonts w:hint="eastAsia" w:ascii="宋体" w:hAnsi="宋体" w:cs="宋体"/>
                <w:color w:val="000000"/>
              </w:rPr>
              <w:t>3.决定责任：作出行政许可或不予行政许可的决定（不予许可的应书面说明理由，并告知当事人享有依法申请行政复议或提起行政诉讼的权利）。</w:t>
            </w:r>
          </w:p>
          <w:p>
            <w:pPr>
              <w:spacing w:line="260" w:lineRule="exact"/>
              <w:ind w:firstLine="412"/>
              <w:textAlignment w:val="center"/>
              <w:rPr>
                <w:rFonts w:ascii="宋体" w:hAnsi="宋体" w:cs="宋体"/>
                <w:color w:val="000000"/>
              </w:rPr>
            </w:pPr>
            <w:r>
              <w:rPr>
                <w:rFonts w:hint="eastAsia" w:ascii="宋体" w:hAnsi="宋体" w:cs="宋体"/>
                <w:color w:val="000000"/>
              </w:rPr>
              <w:t>4.事后监督责任：定期不定期开展检查。</w:t>
            </w:r>
          </w:p>
          <w:p>
            <w:pPr>
              <w:spacing w:line="260" w:lineRule="exact"/>
              <w:ind w:firstLine="412"/>
              <w:textAlignment w:val="center"/>
              <w:rPr>
                <w:rFonts w:ascii="宋体" w:hAnsi="宋体" w:cs="宋体"/>
                <w:color w:val="000000"/>
              </w:rPr>
            </w:pPr>
            <w:r>
              <w:rPr>
                <w:rFonts w:hint="eastAsia" w:ascii="宋体" w:hAnsi="宋体" w:cs="宋体"/>
                <w:color w:val="000000"/>
              </w:rPr>
              <w:t>5其他责任：其他法律法规规章文件规定应履行的责任。</w:t>
            </w:r>
          </w:p>
        </w:tc>
      </w:tr>
      <w:tr>
        <w:tblPrEx>
          <w:tblCellMar>
            <w:top w:w="0" w:type="dxa"/>
            <w:left w:w="57" w:type="dxa"/>
            <w:bottom w:w="0" w:type="dxa"/>
            <w:right w:w="57" w:type="dxa"/>
          </w:tblCellMar>
        </w:tblPrEx>
        <w:trPr>
          <w:trHeight w:val="182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kern w:val="0"/>
              </w:rPr>
            </w:pPr>
            <w:r>
              <w:rPr>
                <w:rFonts w:hint="eastAsia" w:ascii="宋体" w:hAnsi="宋体" w:cs="宋体"/>
                <w:color w:val="000000"/>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textAlignment w:val="center"/>
              <w:rPr>
                <w:rFonts w:ascii="宋体" w:hAnsi="宋体" w:cs="宋体"/>
                <w:color w:val="000000"/>
              </w:rPr>
            </w:pPr>
            <w:r>
              <w:rPr>
                <w:rFonts w:hint="eastAsia" w:ascii="Times New Roman" w:hAnsi="Times New Roman"/>
                <w:color w:val="000000"/>
                <w:szCs w:val="21"/>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color w:val="000000"/>
              </w:rPr>
              <w:t>《中华人民共和国职业病防治法》《国务院关于取消和调整一批行政审批项目等事项的决定》《放射诊疗建设项目卫生审查管理规定》</w:t>
            </w:r>
            <w:r>
              <w:rPr>
                <w:rFonts w:hint="eastAsia" w:ascii="Times New Roman" w:hAnsi="Times New Roman"/>
                <w:color w:val="000000"/>
                <w:szCs w:val="21"/>
              </w:rPr>
              <w:t>等法律法规规章的相关规定追究相应的责任。</w:t>
            </w:r>
          </w:p>
        </w:tc>
      </w:tr>
      <w:tr>
        <w:tblPrEx>
          <w:tblCellMar>
            <w:top w:w="0" w:type="dxa"/>
            <w:left w:w="57" w:type="dxa"/>
            <w:bottom w:w="0" w:type="dxa"/>
            <w:right w:w="57" w:type="dxa"/>
          </w:tblCellMar>
        </w:tblPrEx>
        <w:trPr>
          <w:trHeight w:val="69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12345</w:t>
            </w:r>
          </w:p>
        </w:tc>
      </w:tr>
    </w:tbl>
    <w:p>
      <w:pPr>
        <w:spacing w:line="260" w:lineRule="exact"/>
        <w:rPr>
          <w:rFonts w:ascii="宋体" w:hAnsi="宋体" w:cs="宋体"/>
          <w:color w:val="000000"/>
        </w:rPr>
      </w:pPr>
    </w:p>
    <w:p>
      <w:pPr>
        <w:spacing w:line="260" w:lineRule="exact"/>
        <w:rPr>
          <w:rFonts w:ascii="宋体" w:hAnsi="宋体" w:cs="宋体"/>
          <w:color w:val="000000"/>
        </w:rPr>
      </w:pPr>
      <w:r>
        <w:rPr>
          <w:rFonts w:hint="eastAsia" w:ascii="宋体" w:hAnsi="宋体" w:cs="宋体"/>
          <w:color w:val="000000"/>
        </w:rPr>
        <w:t>表2-14</w:t>
      </w:r>
    </w:p>
    <w:tbl>
      <w:tblPr>
        <w:tblStyle w:val="13"/>
        <w:tblW w:w="8931"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6"/>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trPr>
        <w:tc>
          <w:tcPr>
            <w:tcW w:w="54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85"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85"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2" w:hRule="atLeast"/>
        </w:trPr>
        <w:tc>
          <w:tcPr>
            <w:tcW w:w="54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85"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kern w:val="0"/>
              </w:rPr>
            </w:pPr>
            <w:r>
              <w:rPr>
                <w:rFonts w:hint="eastAsia" w:ascii="宋体" w:hAnsi="宋体" w:cs="宋体"/>
              </w:rPr>
              <w:t>对从事职业卫生技术服务的机构和承担职业病诊断的医疗卫生机构超出资质认可或者诊疗项目登记范围从事职业卫生技术服务或者职业病诊断的；不按照规定履行法定职责的；出具虚假证明文件的处罚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0" w:hRule="atLeast"/>
        </w:trPr>
        <w:tc>
          <w:tcPr>
            <w:tcW w:w="54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85"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《中华人民共和国职业病防治法》</w:t>
            </w:r>
            <w:r>
              <w:rPr>
                <w:rFonts w:hint="eastAsia" w:ascii="宋体" w:hAnsi="宋体"/>
              </w:rPr>
              <w:t xml:space="preserve">(2018修正) </w:t>
            </w:r>
            <w:r>
              <w:rPr>
                <w:rFonts w:hint="eastAsia" w:ascii="宋体" w:hAnsi="宋体" w:cs="宋体"/>
              </w:rPr>
              <w:t>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 （一）超出资质认可或者诊疗项目登记范围从事职业卫生技术服务或者职业病诊断的； （二）不按照本法规定履行法定职责的； （三）出具虚假证明文件的。”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85"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color w:val="000000"/>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83" w:hRule="atLeast"/>
        </w:trPr>
        <w:tc>
          <w:tcPr>
            <w:tcW w:w="54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85"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firstLineChars="20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firstLineChars="20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firstLineChars="20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firstLineChars="20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firstLineChars="20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firstLineChars="20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firstLineChars="20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5" w:hRule="atLeast"/>
        </w:trPr>
        <w:tc>
          <w:tcPr>
            <w:tcW w:w="54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85"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职业病防治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 w:hRule="atLeast"/>
        </w:trPr>
        <w:tc>
          <w:tcPr>
            <w:tcW w:w="54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85"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color w:val="000000"/>
        </w:rPr>
      </w:pPr>
    </w:p>
    <w:p>
      <w:pPr>
        <w:spacing w:line="260" w:lineRule="exact"/>
        <w:rPr>
          <w:rFonts w:ascii="宋体" w:hAnsi="宋体" w:cs="宋体"/>
          <w:color w:val="000000"/>
        </w:rPr>
      </w:pPr>
    </w:p>
    <w:p>
      <w:pPr>
        <w:spacing w:line="260" w:lineRule="exact"/>
        <w:rPr>
          <w:rFonts w:ascii="宋体" w:hAnsi="宋体" w:cs="宋体"/>
          <w:color w:val="000000"/>
        </w:rPr>
      </w:pPr>
      <w:r>
        <w:rPr>
          <w:rFonts w:hint="eastAsia" w:ascii="宋体" w:hAnsi="宋体" w:cs="宋体"/>
          <w:color w:val="000000"/>
        </w:rPr>
        <w:t xml:space="preserve"> 表2-15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kern w:val="0"/>
              </w:rPr>
            </w:pPr>
            <w:r>
              <w:rPr>
                <w:rFonts w:hint="eastAsia" w:ascii="宋体" w:hAnsi="宋体" w:cs="宋体"/>
              </w:rPr>
              <w:t>对医疗机构未取得放射诊疗许可从事放射诊疗工作，未办理放射诊疗科目登记或者未按照规定进行校验，未经批准擅自变更放射诊疗项目或者超出批准范围从事放射诊疗工作的处罚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bookmarkStart w:id="0" w:name="OLE_LINK3"/>
            <w:r>
              <w:rPr>
                <w:rFonts w:hint="eastAsia" w:ascii="宋体" w:hAnsi="宋体" w:cs="宋体"/>
              </w:rPr>
              <w:t>《放射诊疗管理规定》第三十八条：“医疗机构有下列情形之一的，由县级以上卫生行政部门给予警告、责令限期改正，并可以根据情节处以3000元以下的罚款；情节严重的，吊销其《医疗机构执业许可证》。（一）未取得放射诊疗许可从事放射诊疗工作的；（二）未办理诊疗科目登记或者未按照规定进行校验；（三）未经批准擅自变更放射诊疗项目或者超出批准范围从事放射诊疗工作的。</w:t>
            </w:r>
            <w:bookmarkEnd w:id="0"/>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6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r>
              <w:rPr>
                <w:rFonts w:hint="eastAsia" w:ascii="宋体" w:hAnsi="宋体" w:cs="宋体"/>
              </w:rPr>
              <w:br w:type="textWrapping"/>
            </w:r>
            <w:r>
              <w:rPr>
                <w:rFonts w:hint="eastAsia" w:ascii="宋体" w:hAnsi="宋体" w:cs="宋体"/>
              </w:rPr>
              <w:t xml:space="preserve">    2.调查责任：在调查或检查时，执法人员不得少于两人，并向当事人或有关人员出示证件，询问或检查应制作笔录；执法人员与当事人有直接利害关系的，应当回避。</w:t>
            </w:r>
            <w:r>
              <w:rPr>
                <w:rFonts w:hint="eastAsia" w:ascii="宋体" w:hAnsi="宋体" w:cs="宋体"/>
              </w:rPr>
              <w:br w:type="textWrapping"/>
            </w:r>
            <w:r>
              <w:rPr>
                <w:rFonts w:hint="eastAsia" w:ascii="宋体" w:hAnsi="宋体" w:cs="宋体"/>
              </w:rPr>
              <w:t xml:space="preserve">    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rPr>
              <w:br w:type="textWrapping"/>
            </w:r>
            <w:r>
              <w:rPr>
                <w:rFonts w:hint="eastAsia" w:ascii="宋体" w:hAnsi="宋体" w:cs="宋体"/>
              </w:rPr>
              <w:t xml:space="preserve">    4.告知责任：在作出处罚决定之前，应当告知当事人作出处罚决定的事由、理由及依据，并告知当事人依法享有的权利；当事人依法要求听证的，应组织听证。</w:t>
            </w:r>
            <w:r>
              <w:rPr>
                <w:rFonts w:hint="eastAsia" w:ascii="宋体" w:hAnsi="宋体" w:cs="宋体"/>
              </w:rPr>
              <w:br w:type="textWrapping"/>
            </w:r>
            <w:r>
              <w:rPr>
                <w:rFonts w:hint="eastAsia" w:ascii="宋体" w:hAnsi="宋体" w:cs="宋体"/>
              </w:rPr>
              <w:t xml:space="preserve">    5.决定责任：依法应当给予行政处罚的，制作盖有行政机关印章的行政处罚决定书，载明违法事实、证据、处罚种类和依据、权利救济途径等内容。</w:t>
            </w:r>
            <w:r>
              <w:rPr>
                <w:rFonts w:hint="eastAsia" w:ascii="宋体" w:hAnsi="宋体" w:cs="宋体"/>
              </w:rPr>
              <w:br w:type="textWrapping"/>
            </w:r>
            <w:r>
              <w:rPr>
                <w:rFonts w:hint="eastAsia" w:ascii="宋体" w:hAnsi="宋体" w:cs="宋体"/>
              </w:rPr>
              <w:t xml:space="preserve">    6.送达责任：行政处罚决定书在决定后七日内依照民事诉讼法的有关规定送达当事人。</w:t>
            </w:r>
            <w:r>
              <w:rPr>
                <w:rFonts w:hint="eastAsia" w:ascii="宋体" w:hAnsi="宋体" w:cs="宋体"/>
              </w:rPr>
              <w:br w:type="textWrapping"/>
            </w:r>
            <w:r>
              <w:rPr>
                <w:rFonts w:hint="eastAsia" w:ascii="宋体" w:hAnsi="宋体" w:cs="宋体"/>
              </w:rPr>
              <w:t xml:space="preserve">    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r>
              <w:rPr>
                <w:rFonts w:hint="eastAsia" w:ascii="宋体" w:hAnsi="宋体" w:cs="宋体"/>
              </w:rPr>
              <w:br w:type="textWrapping"/>
            </w:r>
            <w:r>
              <w:rPr>
                <w:rFonts w:hint="eastAsia" w:ascii="宋体" w:hAnsi="宋体" w:cs="宋体"/>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放射诊疗管理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1260" w:firstLineChars="600"/>
              <w:rPr>
                <w:rFonts w:ascii="宋体" w:hAnsi="宋体" w:cs="宋体"/>
                <w:kern w:val="0"/>
              </w:rPr>
            </w:pPr>
            <w:r>
              <w:rPr>
                <w:rFonts w:hint="eastAsia" w:ascii="宋体" w:hAnsi="宋体" w:cs="宋体"/>
              </w:rPr>
              <w:t>对医疗机构使用不具备相应资质的人员从事放射诊疗工作的处罚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放射诊疗管理规定》第三十九条：“医疗机构使用不具备相应资质的人员从事放射诊疗工作的，由县级以上卫生行政部门责令限期改正，并可以处以5000元以下的罚款；情节严重的，吊销其《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5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firstLineChars="20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firstLineChars="20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firstLineChars="20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firstLineChars="20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firstLineChars="20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firstLineChars="20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firstLineChars="20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放射诊疗管理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表2-17</w:t>
      </w:r>
    </w:p>
    <w:tbl>
      <w:tblPr>
        <w:tblStyle w:val="13"/>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1"/>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521"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521"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0"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521"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kern w:val="0"/>
              </w:rPr>
            </w:pPr>
            <w:r>
              <w:rPr>
                <w:rFonts w:hint="eastAsia" w:ascii="宋体" w:hAnsi="宋体" w:cs="宋体"/>
              </w:rPr>
              <w:t>对医疗机构购置、使用不合格或国家有关部门规定淘汰的放射诊疗设备的；未按照规定使用安全防护装置和个人防护用品的；未按照规定对放射诊疗设备、工作场所及防护设施进行检测和检查的；未按时对放射诊疗工作人员进行个人剂量监测、健康检查、建立个人剂量和健康档案的；发生放射事件并造成人员健康严重损害的；发生放射事件未立即采取应急救援和控制措施或者未按照规定及时报告的，违反规定其他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521"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放射诊疗管理规定》第四十一条：“医疗机构违反本规定，有下列行为之一的，由县级以上卫生行政部门给予警告，责令限期改正；并可处一万元以下的罚款，（一）购置、使用不合格或国家有关部门规定淘汰的放射诊疗设备的；（二）未按照规定使用安全防护装置和个人防护用品的；（三）未按照规定对放射诊疗设备、工作场所及防护设施进行检测和检查的；（四）未按照规定对放射诊疗工作人员进行个人剂量监测、健康检查、建立个人剂量和健康档案的；（五）发生放射事件并造成人员健康严重损害的；（六）发生放射事件未立即采取应急救援和控制措施或者未按照规定及时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0"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521"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0"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521"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r>
              <w:rPr>
                <w:rFonts w:hint="eastAsia" w:ascii="宋体" w:hAnsi="宋体" w:cs="宋体"/>
              </w:rPr>
              <w:br w:type="textWrapping"/>
            </w:r>
            <w:r>
              <w:rPr>
                <w:rFonts w:hint="eastAsia" w:ascii="宋体" w:hAnsi="宋体" w:cs="宋体"/>
              </w:rPr>
              <w:t xml:space="preserve">    2.调查责任：在调查或检查时，执法人员不得少于两人，并向当事人或有关人员出示证件，询问或检查应制作笔录；执法人员与当事人有直接利害关系的，应当回避。</w:t>
            </w:r>
            <w:r>
              <w:rPr>
                <w:rFonts w:hint="eastAsia" w:ascii="宋体" w:hAnsi="宋体" w:cs="宋体"/>
              </w:rPr>
              <w:br w:type="textWrapping"/>
            </w:r>
            <w:r>
              <w:rPr>
                <w:rFonts w:hint="eastAsia" w:ascii="宋体" w:hAnsi="宋体" w:cs="宋体"/>
              </w:rPr>
              <w:t xml:space="preserve">    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rPr>
              <w:br w:type="textWrapping"/>
            </w:r>
            <w:r>
              <w:rPr>
                <w:rFonts w:hint="eastAsia" w:ascii="宋体" w:hAnsi="宋体" w:cs="宋体"/>
              </w:rPr>
              <w:t xml:space="preserve">    4.告知责任：在作出处罚决定之前，应当告知当事人作出处罚决定的事由、理由及依据，并告知当事人依法享有的权利；当事人依法要求听证的，应组织听证。</w:t>
            </w:r>
            <w:r>
              <w:rPr>
                <w:rFonts w:hint="eastAsia" w:ascii="宋体" w:hAnsi="宋体" w:cs="宋体"/>
              </w:rPr>
              <w:br w:type="textWrapping"/>
            </w:r>
            <w:r>
              <w:rPr>
                <w:rFonts w:hint="eastAsia" w:ascii="宋体" w:hAnsi="宋体" w:cs="宋体"/>
              </w:rPr>
              <w:t xml:space="preserve">    5.决定责任：依法应当给予行政处罚的，制作盖有行政机关印章的行政处罚决定书，载明违法事实、证据、处罚种类和依据、权利救济途径等内容。</w:t>
            </w:r>
            <w:r>
              <w:rPr>
                <w:rFonts w:hint="eastAsia" w:ascii="宋体" w:hAnsi="宋体" w:cs="宋体"/>
              </w:rPr>
              <w:br w:type="textWrapping"/>
            </w:r>
            <w:r>
              <w:rPr>
                <w:rFonts w:hint="eastAsia" w:ascii="宋体" w:hAnsi="宋体" w:cs="宋体"/>
              </w:rPr>
              <w:t xml:space="preserve">    6.送达责任：行政处罚决定书在决定后七日内依照民事诉讼法的有关规定送达当事人。</w:t>
            </w:r>
            <w:r>
              <w:rPr>
                <w:rFonts w:hint="eastAsia" w:ascii="宋体" w:hAnsi="宋体" w:cs="宋体"/>
              </w:rPr>
              <w:br w:type="textWrapping"/>
            </w:r>
            <w:r>
              <w:rPr>
                <w:rFonts w:hint="eastAsia" w:ascii="宋体" w:hAnsi="宋体" w:cs="宋体"/>
              </w:rPr>
              <w:t xml:space="preserve">    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r>
              <w:rPr>
                <w:rFonts w:hint="eastAsia" w:ascii="宋体" w:hAnsi="宋体" w:cs="宋体"/>
              </w:rPr>
              <w:br w:type="textWrapping"/>
            </w:r>
            <w:r>
              <w:rPr>
                <w:rFonts w:hint="eastAsia" w:ascii="宋体" w:hAnsi="宋体" w:cs="宋体"/>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5"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521"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放射诊疗管理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521"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1680" w:firstLineChars="800"/>
              <w:rPr>
                <w:rFonts w:ascii="宋体" w:hAnsi="宋体" w:cs="宋体"/>
                <w:kern w:val="0"/>
              </w:rPr>
            </w:pPr>
            <w:r>
              <w:rPr>
                <w:rFonts w:hint="eastAsia" w:ascii="宋体" w:hAnsi="宋体" w:cs="宋体"/>
              </w:rPr>
              <w:t>对未取得《医疗机构执业许可证》擅自执业的处罚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4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《医疗机构管理条例》第四十四条 ：“违反本条例第二十四条规定，未取得《医疗机构执业许可证》擅自执业的，由县级以上人民政府卫生行政部门责令其停止执业活动，没收非法所得和药品、器械，并可以根据情节处以1万元以下的罚款。”</w:t>
            </w:r>
          </w:p>
          <w:p>
            <w:pPr>
              <w:spacing w:line="260" w:lineRule="exact"/>
              <w:ind w:firstLine="420" w:firstLineChars="200"/>
              <w:rPr>
                <w:rFonts w:ascii="宋体" w:hAnsi="宋体" w:cs="宋体"/>
              </w:rPr>
            </w:pPr>
            <w:r>
              <w:rPr>
                <w:rFonts w:hint="eastAsia" w:ascii="宋体" w:hAnsi="宋体" w:cs="宋体"/>
              </w:rPr>
              <w:t>《医疗机构管理条例实施细则》第七十七条：“对未取得《医疗机构执业许可证》擅自执业的，责令其停止执业活动，和药品、器械，并处以三千元以下的罚款。”</w:t>
            </w:r>
          </w:p>
          <w:p>
            <w:pPr>
              <w:spacing w:line="260" w:lineRule="exact"/>
              <w:ind w:firstLine="420" w:firstLineChars="200"/>
              <w:rPr>
                <w:rFonts w:ascii="宋体" w:hAnsi="宋体" w:cs="宋体"/>
              </w:rPr>
            </w:pPr>
            <w:r>
              <w:rPr>
                <w:rFonts w:hint="eastAsia" w:ascii="宋体" w:hAnsi="宋体" w:cs="宋体"/>
              </w:rPr>
              <w:t>《四川省医疗机构管理条例》第五十三条第一款：“对违反本条例第二十八条规定，未取得《医疗机构执业许可证》擅自执业的，责令其停止执业活动，没收非法所得和药品、器械，并处以3000元以下的罚款。”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机构管理条例》《医疗机构管理条例实施细则》《四川省医疗机构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表2-19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left"/>
              <w:rPr>
                <w:rFonts w:ascii="宋体" w:hAnsi="宋体" w:cs="宋体"/>
                <w:kern w:val="0"/>
              </w:rPr>
            </w:pPr>
            <w:r>
              <w:rPr>
                <w:rFonts w:hint="eastAsia" w:ascii="宋体" w:hAnsi="宋体" w:cs="宋体"/>
              </w:rPr>
              <w:t>对不按期办理校验《医疗机构执业许可证》又不停止诊疗活动的且在卫生行政部门责令其限期补办校验手续后拒不校验的处罚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医疗机构管理条例》第四十五条：“违反本条例第二十二条规定，逾期不校验《医疗机构执业许可证》仍从事诊疗活动的，由县级以上人民政府卫生行政部门责令其限期补办校验手续；拒不校验的，吊销其《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r>
              <w:rPr>
                <w:rFonts w:hint="eastAsia" w:ascii="宋体" w:hAnsi="宋体" w:cs="宋体"/>
              </w:rPr>
              <w:br w:type="textWrapping"/>
            </w:r>
            <w:r>
              <w:rPr>
                <w:rFonts w:hint="eastAsia" w:ascii="宋体" w:hAnsi="宋体" w:cs="宋体"/>
              </w:rPr>
              <w:t xml:space="preserve">    2.调查责任：在调查或检查时，执法人员不得少于两人，并向当事人或有关人员出示证件，询问或检查应制作笔录；执法人员与当事人有直接利害关系的，应当回避。</w:t>
            </w:r>
            <w:r>
              <w:rPr>
                <w:rFonts w:hint="eastAsia" w:ascii="宋体" w:hAnsi="宋体" w:cs="宋体"/>
              </w:rPr>
              <w:br w:type="textWrapping"/>
            </w:r>
            <w:r>
              <w:rPr>
                <w:rFonts w:hint="eastAsia" w:ascii="宋体" w:hAnsi="宋体" w:cs="宋体"/>
              </w:rPr>
              <w:t xml:space="preserve">    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rPr>
              <w:br w:type="textWrapping"/>
            </w:r>
            <w:r>
              <w:rPr>
                <w:rFonts w:hint="eastAsia" w:ascii="宋体" w:hAnsi="宋体" w:cs="宋体"/>
              </w:rPr>
              <w:t xml:space="preserve">    4.告知责任：在作出处罚决定之前，应当告知当事人作出处罚决定的事由、理由及依据，并告知当事人依法享有的权利；当事人依法要求听证的，应组织听证。</w:t>
            </w:r>
            <w:r>
              <w:rPr>
                <w:rFonts w:hint="eastAsia" w:ascii="宋体" w:hAnsi="宋体" w:cs="宋体"/>
              </w:rPr>
              <w:br w:type="textWrapping"/>
            </w:r>
            <w:r>
              <w:rPr>
                <w:rFonts w:hint="eastAsia" w:ascii="宋体" w:hAnsi="宋体" w:cs="宋体"/>
              </w:rPr>
              <w:t xml:space="preserve">    5.决定责任：依法应当给予行政处罚的，制作盖有行政机关印章的行政处罚决定书，载明违法事实、证据、处罚种类和依据、权利救济途径等内容。</w:t>
            </w:r>
            <w:r>
              <w:rPr>
                <w:rFonts w:hint="eastAsia" w:ascii="宋体" w:hAnsi="宋体" w:cs="宋体"/>
              </w:rPr>
              <w:br w:type="textWrapping"/>
            </w:r>
            <w:r>
              <w:rPr>
                <w:rFonts w:hint="eastAsia" w:ascii="宋体" w:hAnsi="宋体" w:cs="宋体"/>
              </w:rPr>
              <w:t xml:space="preserve">    6.送达责任：行政处罚决定书在决定后七日内依照民事诉讼法的有关规定送达当事人。</w:t>
            </w:r>
            <w:r>
              <w:rPr>
                <w:rFonts w:hint="eastAsia" w:ascii="宋体" w:hAnsi="宋体" w:cs="宋体"/>
              </w:rPr>
              <w:br w:type="textWrapping"/>
            </w:r>
            <w:r>
              <w:rPr>
                <w:rFonts w:hint="eastAsia" w:ascii="宋体" w:hAnsi="宋体" w:cs="宋体"/>
              </w:rPr>
              <w:t xml:space="preserve">    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r>
              <w:rPr>
                <w:rFonts w:hint="eastAsia" w:ascii="宋体" w:hAnsi="宋体" w:cs="宋体"/>
              </w:rPr>
              <w:br w:type="textWrapping"/>
            </w:r>
            <w:r>
              <w:rPr>
                <w:rFonts w:hint="eastAsia" w:ascii="宋体" w:hAnsi="宋体" w:cs="宋体"/>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机构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1680" w:firstLineChars="800"/>
              <w:rPr>
                <w:rFonts w:ascii="宋体" w:hAnsi="宋体" w:cs="宋体"/>
                <w:kern w:val="0"/>
              </w:rPr>
            </w:pPr>
            <w:r>
              <w:rPr>
                <w:rFonts w:hint="eastAsia" w:ascii="宋体" w:hAnsi="宋体" w:cs="宋体"/>
              </w:rPr>
              <w:t>对出卖、转让、出借《医疗机构执业许可证》的处罚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6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1.《医疗机构管理条例》第四十六条:“ 违反本条例第二十三条规定，出卖、转让、出借《医疗机构执业许可证》的，由县级以上人民政府卫生行政部门没收非法所得，并可以处以5000元以下的罚款；情节严重的，吊销其《医疗机构执业许可证》。”</w:t>
            </w:r>
          </w:p>
          <w:p>
            <w:pPr>
              <w:spacing w:line="260" w:lineRule="exact"/>
              <w:ind w:firstLine="420" w:firstLineChars="200"/>
              <w:rPr>
                <w:rFonts w:ascii="宋体" w:hAnsi="宋体" w:cs="宋体"/>
              </w:rPr>
            </w:pPr>
            <w:r>
              <w:rPr>
                <w:rFonts w:hint="eastAsia" w:ascii="宋体" w:hAnsi="宋体" w:cs="宋体"/>
              </w:rPr>
              <w:t>2.《医疗机构管理条例实施细则》第七十九条:“转让、出借《医疗机构执业许可证》的，没收其非法所得，并处以三千元以下的罚款；有下列情形之一的，没收其非法所得，处以三千元以上五千元以下的罚款，并吊销《医疗机构执业许可证》，(一)出卖《医疗机构执业许可证》；(二)转让或者出借《医疗机构执业许可证》是以营利为目的；(三)受让方或者承借方给患者造成伤害；(四)转让、出借《医疗机构执业许可证》给非卫生技术专业人员；(五)省、自治区、直辖市卫生行政部门规定的其他情形。”</w:t>
            </w:r>
          </w:p>
          <w:p>
            <w:pPr>
              <w:spacing w:line="260" w:lineRule="exact"/>
              <w:ind w:firstLine="420" w:firstLineChars="200"/>
              <w:rPr>
                <w:rFonts w:ascii="宋体" w:hAnsi="宋体" w:cs="宋体"/>
              </w:rPr>
            </w:pPr>
            <w:r>
              <w:rPr>
                <w:rFonts w:hint="eastAsia" w:ascii="宋体" w:hAnsi="宋体" w:cs="宋体"/>
              </w:rPr>
              <w:t>3.《四川省医疗机构管理条例》第五十五条:“对违反本条例第二十七条规定，转让、出借《医疗机构执业许可证》的，没收非法所得，并处以3000元以下的罚款。有下列情形之一的，没收非法所得，处以3000以上5000元以下的罚款，并吊销《医疗机构执业许可证》，(一)出卖《医疗机构执业许可证》；(二)以营利为目的，转让或者出借《医疗机构执业许可证》；(三)转让或者出借《医疗机构执业许可证》给非卫生技术专业人员。伪造《医疗机构执业许可证》的，由公安机关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5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r>
              <w:rPr>
                <w:rFonts w:hint="eastAsia" w:ascii="宋体" w:hAnsi="宋体" w:cs="宋体"/>
              </w:rPr>
              <w:br w:type="textWrapping"/>
            </w:r>
            <w:r>
              <w:rPr>
                <w:rFonts w:hint="eastAsia" w:ascii="宋体" w:hAnsi="宋体" w:cs="宋体"/>
              </w:rPr>
              <w:t xml:space="preserve">    2.调查责任：在调查或检查时，执法人员不得少于两人，并向当事人或有关人员出示证件，询问或检查应制作笔录；执法人员与当事人有直接利害关系的，应当回避。</w:t>
            </w:r>
            <w:r>
              <w:rPr>
                <w:rFonts w:hint="eastAsia" w:ascii="宋体" w:hAnsi="宋体" w:cs="宋体"/>
              </w:rPr>
              <w:br w:type="textWrapping"/>
            </w:r>
            <w:r>
              <w:rPr>
                <w:rFonts w:hint="eastAsia" w:ascii="宋体" w:hAnsi="宋体" w:cs="宋体"/>
              </w:rPr>
              <w:t xml:space="preserve">    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rPr>
              <w:br w:type="textWrapping"/>
            </w:r>
            <w:r>
              <w:rPr>
                <w:rFonts w:hint="eastAsia" w:ascii="宋体" w:hAnsi="宋体" w:cs="宋体"/>
              </w:rPr>
              <w:t xml:space="preserve">    4.告知责任：在作出处罚决定之前，应当告知当事人作出处罚决定的事由、理由及依据，并告知当事人依法享有的权利；当事人依法要求听证的，应组织听证。</w:t>
            </w:r>
            <w:r>
              <w:rPr>
                <w:rFonts w:hint="eastAsia" w:ascii="宋体" w:hAnsi="宋体" w:cs="宋体"/>
              </w:rPr>
              <w:br w:type="textWrapping"/>
            </w:r>
            <w:r>
              <w:rPr>
                <w:rFonts w:hint="eastAsia" w:ascii="宋体" w:hAnsi="宋体" w:cs="宋体"/>
              </w:rPr>
              <w:t xml:space="preserve">    5.决定责任：依法应当给予行政处罚的，制作盖有行政机关印章的行政处罚决定书，载明违法事实、证据、处罚种类和依据、权利救济途径等内容。</w:t>
            </w:r>
            <w:r>
              <w:rPr>
                <w:rFonts w:hint="eastAsia" w:ascii="宋体" w:hAnsi="宋体" w:cs="宋体"/>
              </w:rPr>
              <w:br w:type="textWrapping"/>
            </w:r>
            <w:r>
              <w:rPr>
                <w:rFonts w:hint="eastAsia" w:ascii="宋体" w:hAnsi="宋体" w:cs="宋体"/>
              </w:rPr>
              <w:t xml:space="preserve">    6.送达责任：行政处罚决定书在决定后七日内依照民事诉讼法的有关规定送达当事人。</w:t>
            </w:r>
            <w:r>
              <w:rPr>
                <w:rFonts w:hint="eastAsia" w:ascii="宋体" w:hAnsi="宋体" w:cs="宋体"/>
              </w:rPr>
              <w:br w:type="textWrapping"/>
            </w:r>
            <w:r>
              <w:rPr>
                <w:rFonts w:hint="eastAsia" w:ascii="宋体" w:hAnsi="宋体" w:cs="宋体"/>
              </w:rPr>
              <w:t xml:space="preserve">    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r>
              <w:rPr>
                <w:rFonts w:hint="eastAsia" w:ascii="宋体" w:hAnsi="宋体" w:cs="宋体"/>
              </w:rPr>
              <w:br w:type="textWrapping"/>
            </w:r>
            <w:r>
              <w:rPr>
                <w:rFonts w:hint="eastAsia" w:ascii="宋体" w:hAnsi="宋体" w:cs="宋体"/>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机构管理条例》《医疗机构管理条例实施细则》《四川省医疗机构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表2-21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kern w:val="0"/>
              </w:rPr>
            </w:pPr>
            <w:r>
              <w:rPr>
                <w:rFonts w:hint="eastAsia" w:ascii="宋体" w:hAnsi="宋体" w:cs="宋体"/>
              </w:rPr>
              <w:t>对使用非卫生技术人员从事医疗卫生技术工作的处罚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1.《医疗机构管理条例》第四十八条:“ 违反本条例第二十八条规定，使用非卫生技术人员从事医疗卫生技术工作的，由县级以上人民政府卫生行政部门责令其限期改正，并可以处以5000元以下的罚款；情节严重的，吊销其《医疗机构执业许可证》。”</w:t>
            </w:r>
          </w:p>
          <w:p>
            <w:pPr>
              <w:spacing w:line="240" w:lineRule="exact"/>
              <w:ind w:firstLine="420" w:firstLineChars="200"/>
              <w:rPr>
                <w:rFonts w:ascii="宋体" w:hAnsi="宋体" w:cs="宋体"/>
                <w:spacing w:val="-4"/>
              </w:rPr>
            </w:pPr>
            <w:r>
              <w:rPr>
                <w:rFonts w:hint="eastAsia" w:ascii="宋体" w:hAnsi="宋体" w:cs="宋体"/>
              </w:rPr>
              <w:t>2.《医疗机构管理条例实施细则》第八十一条：“任用非卫生技术人员从事医疗卫生技术工作的，责令其立即改正，并可处以三千元以下罚款；有下列情形之一的，处以三千元以上五千元以下罚款，并可以吊销其《医疗机构执业许可证》，(一)任用两名以上非卫生技术人员从事诊疗活动；(二)任用的非卫生技术人员给患者造成伤害。</w:t>
            </w:r>
            <w:r>
              <w:rPr>
                <w:rFonts w:hint="eastAsia" w:ascii="宋体" w:hAnsi="宋体" w:cs="宋体"/>
                <w:spacing w:val="-4"/>
              </w:rPr>
              <w:t>医疗机构使用卫生技术人员从事本专业以外的诊疗活动的，按使用非卫生技术人员处理。</w:t>
            </w:r>
            <w:r>
              <w:rPr>
                <w:rFonts w:hint="eastAsia" w:ascii="宋体" w:hAnsi="宋体" w:cs="宋体"/>
              </w:rPr>
              <w:t>”</w:t>
            </w:r>
          </w:p>
          <w:p>
            <w:pPr>
              <w:shd w:val="clear" w:color="auto" w:fill="FFFFFF"/>
              <w:spacing w:line="240" w:lineRule="exact"/>
              <w:ind w:firstLine="420" w:firstLineChars="200"/>
              <w:rPr>
                <w:rFonts w:ascii="宋体" w:hAnsi="宋体" w:cs="宋体"/>
              </w:rPr>
            </w:pPr>
            <w:r>
              <w:rPr>
                <w:rFonts w:hint="eastAsia" w:ascii="宋体" w:hAnsi="宋体" w:cs="宋体"/>
              </w:rPr>
              <w:t>3.《四川省医疗机构管理条例》第五十七条:“对违反本条例第三十一条第一款规定，使用非卫生技术人员从事医疗卫生技术工作的，责令其立即改正，并可处以3000元以下的罚款；任用两名以上非卫生技术人员从事医疗卫生技术工作的，处以3000元以上5000元以下罚款，并可吊销其《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r>
              <w:rPr>
                <w:rFonts w:hint="eastAsia" w:ascii="宋体" w:hAnsi="宋体" w:cs="宋体"/>
              </w:rPr>
              <w:br w:type="textWrapping"/>
            </w:r>
            <w:r>
              <w:rPr>
                <w:rFonts w:hint="eastAsia" w:ascii="宋体" w:hAnsi="宋体" w:cs="宋体"/>
              </w:rPr>
              <w:t xml:space="preserve">    2.调查责任：在调查或检查时，执法人员不得少于两人，并向当事人或有关人员出示证件，询问或检查应制作笔录；执法人员与当事人有直接利害关系的，应当回避。</w:t>
            </w:r>
            <w:r>
              <w:rPr>
                <w:rFonts w:hint="eastAsia" w:ascii="宋体" w:hAnsi="宋体" w:cs="宋体"/>
              </w:rPr>
              <w:br w:type="textWrapping"/>
            </w:r>
            <w:r>
              <w:rPr>
                <w:rFonts w:hint="eastAsia" w:ascii="宋体" w:hAnsi="宋体" w:cs="宋体"/>
              </w:rPr>
              <w:t xml:space="preserve">    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rPr>
              <w:br w:type="textWrapping"/>
            </w:r>
            <w:r>
              <w:rPr>
                <w:rFonts w:hint="eastAsia" w:ascii="宋体" w:hAnsi="宋体" w:cs="宋体"/>
              </w:rPr>
              <w:t xml:space="preserve">    4.告知责任：在作出处罚决定之前，应当告知当事人作出处罚决定的事由、理由及依据，并告知当事人依法享有的权利；当事人依法要求听证的，应组织听证。</w:t>
            </w:r>
            <w:r>
              <w:rPr>
                <w:rFonts w:hint="eastAsia" w:ascii="宋体" w:hAnsi="宋体" w:cs="宋体"/>
              </w:rPr>
              <w:br w:type="textWrapping"/>
            </w:r>
            <w:r>
              <w:rPr>
                <w:rFonts w:hint="eastAsia" w:ascii="宋体" w:hAnsi="宋体" w:cs="宋体"/>
              </w:rPr>
              <w:t xml:space="preserve">    5.决定责任：依法应当给予行政处罚的，制作盖有行政机关印章的行政处罚决定书，载明违法事实、证据、处罚种类和依据、权利救济途径等内容。</w:t>
            </w:r>
            <w:r>
              <w:rPr>
                <w:rFonts w:hint="eastAsia" w:ascii="宋体" w:hAnsi="宋体" w:cs="宋体"/>
              </w:rPr>
              <w:br w:type="textWrapping"/>
            </w:r>
            <w:r>
              <w:rPr>
                <w:rFonts w:hint="eastAsia" w:ascii="宋体" w:hAnsi="宋体" w:cs="宋体"/>
              </w:rPr>
              <w:t xml:space="preserve">    6.送达责任：行政处罚决定书在决定后七日内依照民事诉讼法的有关规定送达当事人。</w:t>
            </w:r>
            <w:r>
              <w:rPr>
                <w:rFonts w:hint="eastAsia" w:ascii="宋体" w:hAnsi="宋体" w:cs="宋体"/>
              </w:rPr>
              <w:br w:type="textWrapping"/>
            </w:r>
            <w:r>
              <w:rPr>
                <w:rFonts w:hint="eastAsia" w:ascii="宋体" w:hAnsi="宋体" w:cs="宋体"/>
              </w:rPr>
              <w:t xml:space="preserve">    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r>
              <w:rPr>
                <w:rFonts w:hint="eastAsia" w:ascii="宋体" w:hAnsi="宋体" w:cs="宋体"/>
              </w:rPr>
              <w:br w:type="textWrapping"/>
            </w:r>
            <w:r>
              <w:rPr>
                <w:rFonts w:hint="eastAsia" w:ascii="宋体" w:hAnsi="宋体" w:cs="宋体"/>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机构管理条例》《医疗机构管理条例实施细则》《四川省医疗机构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kern w:val="0"/>
              </w:rPr>
            </w:pPr>
            <w:r>
              <w:rPr>
                <w:rFonts w:hint="eastAsia" w:ascii="宋体" w:hAnsi="宋体" w:cs="宋体"/>
              </w:rPr>
              <w:t>对医疗、保健机构的诊疗活动超出登记范围的处罚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1.《医疗机构管理条例》第四十七条 ：“违反本条例第二十七条规定，诊疗活动超出登记范围的，由县级以上人民政府卫生行政部门予以警告、责令其改正，并可以根据情节处以3000元以下的罚款；情节严重的，吊销其《医疗机构执业许可证》。”</w:t>
            </w:r>
          </w:p>
          <w:p>
            <w:pPr>
              <w:spacing w:line="260" w:lineRule="exact"/>
              <w:ind w:firstLine="420" w:firstLineChars="200"/>
              <w:rPr>
                <w:rFonts w:ascii="宋体" w:hAnsi="宋体" w:cs="宋体"/>
              </w:rPr>
            </w:pPr>
            <w:r>
              <w:rPr>
                <w:rFonts w:hint="eastAsia" w:ascii="宋体" w:hAnsi="宋体" w:cs="宋体"/>
              </w:rPr>
              <w:t>2.《医疗机构管理条例实施细则》第八十条</w:t>
            </w:r>
            <w:r>
              <w:rPr>
                <w:rFonts w:hint="eastAsia" w:ascii="宋体" w:hAnsi="宋体"/>
                <w:szCs w:val="21"/>
              </w:rPr>
              <w:t>：“</w:t>
            </w:r>
            <w:r>
              <w:rPr>
                <w:rFonts w:hint="eastAsia" w:ascii="宋体" w:hAnsi="宋体" w:cs="宋体"/>
              </w:rPr>
              <w:t>除急诊和急救外，医疗机构诊疗活动超出登记的诊疗科目范围，情节轻微的，处以警告；有下列情形之一的，责令其限期改正，并可处以三千元以下罚款；(一)超出登记的诊疗科目范围的诊疗活动累计收入在三千元以下；(二)给患者造成伤害。有下列情形之一的，处以三千元罚款，并吊销《医疗机构执业许可证》，(一)超出登记的诊疗科目范围的诊疗活动累计收入在三千元以上；(二)给患者造成伤害；(三)省、自治区、直辖市卫生行政部门规定的其他情形。</w:t>
            </w:r>
            <w:r>
              <w:rPr>
                <w:rFonts w:hint="eastAsia" w:ascii="宋体" w:hAnsi="宋体" w:cs="宋体"/>
                <w:szCs w:val="21"/>
              </w:rPr>
              <w:t>”</w:t>
            </w:r>
          </w:p>
          <w:p>
            <w:pPr>
              <w:shd w:val="clear" w:color="auto" w:fill="FFFFFF"/>
              <w:spacing w:line="260" w:lineRule="exact"/>
              <w:ind w:firstLine="420" w:firstLineChars="200"/>
              <w:rPr>
                <w:rFonts w:ascii="宋体" w:hAnsi="宋体" w:cs="宋体"/>
              </w:rPr>
            </w:pPr>
            <w:r>
              <w:rPr>
                <w:rFonts w:hint="eastAsia" w:ascii="宋体" w:hAnsi="宋体" w:cs="宋体"/>
              </w:rPr>
              <w:t>3.《四川省医疗机构管理条例》第五十六条：“对违反本条例第三十条第二款规定，诊疗活动超出登记范围，情节轻微的，处以警告；超出登记范围的诊疗活动累计收入在3000元以下的，责令限期改正，没收非法得，并可处以3000元以下罚款；超出登记范围的诊疗活动累计收入在3000元以上的，没收非法所得，处以3000元罚款，并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r>
              <w:rPr>
                <w:rFonts w:hint="eastAsia" w:ascii="宋体" w:hAnsi="宋体" w:cs="宋体"/>
              </w:rPr>
              <w:br w:type="textWrapping"/>
            </w:r>
            <w:r>
              <w:rPr>
                <w:rFonts w:hint="eastAsia" w:ascii="宋体" w:hAnsi="宋体" w:cs="宋体"/>
              </w:rPr>
              <w:t xml:space="preserve">    2.调查责任：在调查或检查时，执法人员不得少于两人，并向当事人或有关人员出示证件，询问或检查应制作笔录；执法人员与当事人有直接利害关系的，应当回避。</w:t>
            </w:r>
            <w:r>
              <w:rPr>
                <w:rFonts w:hint="eastAsia" w:ascii="宋体" w:hAnsi="宋体" w:cs="宋体"/>
              </w:rPr>
              <w:br w:type="textWrapping"/>
            </w:r>
            <w:r>
              <w:rPr>
                <w:rFonts w:hint="eastAsia" w:ascii="宋体" w:hAnsi="宋体" w:cs="宋体"/>
              </w:rPr>
              <w:t xml:space="preserve">    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rPr>
              <w:br w:type="textWrapping"/>
            </w:r>
            <w:r>
              <w:rPr>
                <w:rFonts w:hint="eastAsia" w:ascii="宋体" w:hAnsi="宋体" w:cs="宋体"/>
              </w:rPr>
              <w:t xml:space="preserve">    4.告知责任：在作出处罚决定之前，应当告知当事人作出处罚决定的事由、理由及依据，并告知当事人依法享有的权利；当事人依法要求听证的，应组织听证。</w:t>
            </w:r>
            <w:r>
              <w:rPr>
                <w:rFonts w:hint="eastAsia" w:ascii="宋体" w:hAnsi="宋体" w:cs="宋体"/>
              </w:rPr>
              <w:br w:type="textWrapping"/>
            </w:r>
            <w:r>
              <w:rPr>
                <w:rFonts w:hint="eastAsia" w:ascii="宋体" w:hAnsi="宋体" w:cs="宋体"/>
              </w:rPr>
              <w:t xml:space="preserve">    5.决定责任：依法应当给予行政处罚的，制作盖有行政机关印章的行政处罚决定书，载明违法事实、证据、处罚种类和依据、权利救济途径等内容。</w:t>
            </w:r>
            <w:r>
              <w:rPr>
                <w:rFonts w:hint="eastAsia" w:ascii="宋体" w:hAnsi="宋体" w:cs="宋体"/>
              </w:rPr>
              <w:br w:type="textWrapping"/>
            </w:r>
            <w:r>
              <w:rPr>
                <w:rFonts w:hint="eastAsia" w:ascii="宋体" w:hAnsi="宋体" w:cs="宋体"/>
              </w:rPr>
              <w:t xml:space="preserve">    6.送达责任：行政处罚决定书在决定后七日内依照民事诉讼法的有关规定送达当事人。</w:t>
            </w:r>
            <w:r>
              <w:rPr>
                <w:rFonts w:hint="eastAsia" w:ascii="宋体" w:hAnsi="宋体" w:cs="宋体"/>
              </w:rPr>
              <w:br w:type="textWrapping"/>
            </w:r>
            <w:r>
              <w:rPr>
                <w:rFonts w:hint="eastAsia" w:ascii="宋体" w:hAnsi="宋体" w:cs="宋体"/>
              </w:rPr>
              <w:t xml:space="preserve">    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r>
              <w:rPr>
                <w:rFonts w:hint="eastAsia" w:ascii="宋体" w:hAnsi="宋体" w:cs="宋体"/>
              </w:rPr>
              <w:br w:type="textWrapping"/>
            </w:r>
            <w:r>
              <w:rPr>
                <w:rFonts w:hint="eastAsia" w:ascii="宋体" w:hAnsi="宋体" w:cs="宋体"/>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机构管理条例》《医疗机构管理条例实施细则》《四川省医疗机构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kern w:val="0"/>
              </w:rPr>
            </w:pPr>
            <w:r>
              <w:rPr>
                <w:rFonts w:hint="eastAsia" w:ascii="宋体" w:hAnsi="宋体" w:cs="宋体"/>
              </w:rPr>
              <w:t>对医疗保健机构出具虚假证明文件的处罚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1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医疗机构管理条例》违反本条例第三十二条：“出具虚假证明文件的，由县级以上人民政府卫生行政部门予以警告；对造成危害后果的，可以处以1000元以下的罚款；对直接责任人员由所在单位或者上级机关给予行政处分。”</w:t>
            </w:r>
          </w:p>
          <w:p>
            <w:pPr>
              <w:spacing w:line="240" w:lineRule="exact"/>
              <w:ind w:firstLine="420"/>
              <w:rPr>
                <w:rFonts w:ascii="宋体" w:hAnsi="宋体" w:cs="宋体"/>
              </w:rPr>
            </w:pPr>
            <w:r>
              <w:rPr>
                <w:rFonts w:hint="eastAsia" w:ascii="宋体" w:hAnsi="宋体" w:cs="宋体"/>
              </w:rPr>
              <w:t>2.《医疗机构管理条例实施细则》第八十二条：“出具虚假证明文件，情节轻微的，给予警告，并可处以五百元以下的罚款；有下列情形之一的，处以五百元以上一千元以下的罚款，(一)出具虚假证明文件造成延误诊治的；(二)出具虚假证明文件给患者精神造成伤害的；(三)造成其他危害后果的。对直接责任人员由所在单位或者上给机关给予行政处分。”</w:t>
            </w:r>
          </w:p>
          <w:p>
            <w:pPr>
              <w:spacing w:line="240" w:lineRule="exact"/>
              <w:ind w:firstLine="420"/>
              <w:rPr>
                <w:rFonts w:ascii="宋体" w:hAnsi="宋体" w:cs="宋体"/>
              </w:rPr>
            </w:pPr>
            <w:r>
              <w:rPr>
                <w:rFonts w:hint="eastAsia" w:ascii="宋体" w:hAnsi="宋体" w:cs="宋体"/>
              </w:rPr>
              <w:t>3.《四川省医疗机构管理条例》第五十八条：“对违反本条例第三十三条规定，出具虚假证明文件，情节轻微的，给予警告，并可处以500元以上的罚款。有下列情形之一的，处以500元以上1000元以下的罚款，(一)出具虚假证明文件造成延误诊治的；(二)出具虚假证明文件给病人精神造成伤害的；(三)造成其他危害后果的。</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r>
              <w:rPr>
                <w:rFonts w:hint="eastAsia" w:ascii="宋体" w:hAnsi="宋体" w:cs="宋体"/>
              </w:rPr>
              <w:br w:type="textWrapping"/>
            </w:r>
            <w:r>
              <w:rPr>
                <w:rFonts w:hint="eastAsia" w:ascii="宋体" w:hAnsi="宋体" w:cs="宋体"/>
              </w:rPr>
              <w:t xml:space="preserve">    2.调查责任：在调查或检查时，执法人员不得少于两人，并向当事人或有关人员出示证件，询问或检查应制作笔录；执法人员与当事人有直接利害关系的，应当回避。</w:t>
            </w:r>
            <w:r>
              <w:rPr>
                <w:rFonts w:hint="eastAsia" w:ascii="宋体" w:hAnsi="宋体" w:cs="宋体"/>
              </w:rPr>
              <w:br w:type="textWrapping"/>
            </w:r>
            <w:r>
              <w:rPr>
                <w:rFonts w:hint="eastAsia" w:ascii="宋体" w:hAnsi="宋体" w:cs="宋体"/>
              </w:rPr>
              <w:t xml:space="preserve">    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rPr>
              <w:br w:type="textWrapping"/>
            </w:r>
            <w:r>
              <w:rPr>
                <w:rFonts w:hint="eastAsia" w:ascii="宋体" w:hAnsi="宋体" w:cs="宋体"/>
              </w:rPr>
              <w:t xml:space="preserve">    4.告知责任：在作出处罚决定之前，应当告知当事人作出处罚决定的事由、理由及依据，并告知当事人依法享有的权利；当事人依法要求听证的，应组织听证。</w:t>
            </w:r>
            <w:r>
              <w:rPr>
                <w:rFonts w:hint="eastAsia" w:ascii="宋体" w:hAnsi="宋体" w:cs="宋体"/>
              </w:rPr>
              <w:br w:type="textWrapping"/>
            </w:r>
            <w:r>
              <w:rPr>
                <w:rFonts w:hint="eastAsia" w:ascii="宋体" w:hAnsi="宋体" w:cs="宋体"/>
              </w:rPr>
              <w:t xml:space="preserve">    5.决定责任：依法应当给予行政处罚的，制作盖有行政机关印章的行政处罚决定书，载明违法事实、证据、处罚种类和依据、权利救济途径等内容。</w:t>
            </w:r>
            <w:r>
              <w:rPr>
                <w:rFonts w:hint="eastAsia" w:ascii="宋体" w:hAnsi="宋体" w:cs="宋体"/>
              </w:rPr>
              <w:br w:type="textWrapping"/>
            </w:r>
            <w:r>
              <w:rPr>
                <w:rFonts w:hint="eastAsia" w:ascii="宋体" w:hAnsi="宋体" w:cs="宋体"/>
              </w:rPr>
              <w:t xml:space="preserve">    6.送达责任：行政处罚决定书在决定后七日内依照民事诉讼法的有关规定送达当事人。</w:t>
            </w:r>
            <w:r>
              <w:rPr>
                <w:rFonts w:hint="eastAsia" w:ascii="宋体" w:hAnsi="宋体" w:cs="宋体"/>
              </w:rPr>
              <w:br w:type="textWrapping"/>
            </w:r>
            <w:r>
              <w:rPr>
                <w:rFonts w:hint="eastAsia" w:ascii="宋体" w:hAnsi="宋体" w:cs="宋体"/>
              </w:rPr>
              <w:t xml:space="preserve">    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r>
              <w:rPr>
                <w:rFonts w:hint="eastAsia" w:ascii="宋体" w:hAnsi="宋体" w:cs="宋体"/>
              </w:rPr>
              <w:br w:type="textWrapping"/>
            </w:r>
            <w:r>
              <w:rPr>
                <w:rFonts w:hint="eastAsia" w:ascii="宋体" w:hAnsi="宋体" w:cs="宋体"/>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机构管理条例》《医疗机构管理条例实施细则》《四川省医疗机构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7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kern w:val="0"/>
              </w:rPr>
            </w:pPr>
            <w:r>
              <w:rPr>
                <w:rFonts w:hint="eastAsia" w:ascii="宋体" w:hAnsi="宋体" w:cs="宋体"/>
              </w:rPr>
              <w:t>对医师违反卫生行政规章制度或者技术操作规范且造成严重后果的；由于不负责任延误急危患者的抢救和诊治，造成严重后果的；造成医疗责任事故的；未经亲自诊查、调查，签署诊断、治疗、流行病学等证明文件或者有关出生、死亡等证明文件的；隐匿、伪造或者擅自销毁医学文书及有关资料的；使用未经批准使用的药品、消毒药剂和医疗器械的；不按照规定使用麻醉药品、医疗用毒性药品、精神药品和放射性药品的；未经患者或者其家属同意，对患者进行实验性临床医疗的；泄露患者隐私，造成严重后果的；利用职务之便，索取、非法收受患者财物或者牟取其他不正当利益的；发生自然灾害、传染病流行、突发重大伤亡事故以及其他严重威胁人民生命健康的紧急情况时，不服从卫生行政部门调遣的；发生医疗事故或者发现传染病疫情，患者涉嫌伤害事件或者非正常死亡，医师不按照规定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中华人民共和国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二）由于不负责任延误急危患者的抢救和诊治，造成严重后果的；（三）造成医疗责任事故的；（四）未经亲自诊查、调查，签署诊断、治疗、流行病学等证明文件或者有关出生、死亡等证明文件的；（五）隐匿、伪造或者擅自销毁医学文书及有关资料的；（六）使用未经批准使用的药品、消毒药剂和医疗器械的；（七）不按照规定使用麻醉药品、医疗用毒性药品、精神药品和放射性药品的；（八）未经患者或者其家属同意，对患者进行实验性临床医疗的；（九）泄露患者隐私，造成严重后果的；（十）利用职务之便，索取、非法收受患者财物或者牟取其他不正当利益的；（十一）发生自然灾害、传染病流行、突发重大伤亡事故以及其他严重威胁人民生命健康的紧急情况时，不服从卫生行政部门调遣的；（十二）发生医疗事故或者发现传染病疫情，患者涉嫌伤害事件或者非正常死亡，不按照规定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r>
              <w:rPr>
                <w:rFonts w:hint="eastAsia" w:ascii="宋体" w:hAnsi="宋体" w:cs="宋体"/>
              </w:rPr>
              <w:br w:type="textWrapping"/>
            </w:r>
            <w:r>
              <w:rPr>
                <w:rFonts w:hint="eastAsia" w:ascii="宋体" w:hAnsi="宋体" w:cs="宋体"/>
              </w:rPr>
              <w:t xml:space="preserve">    2.调查责任：在调查或检查时，执法人员不得少于两人，并向当事人或有关人员出示证件，询问或检查应制作笔录；执法人员与当事人有直接利害关系的，应当回避。</w:t>
            </w:r>
            <w:r>
              <w:rPr>
                <w:rFonts w:hint="eastAsia" w:ascii="宋体" w:hAnsi="宋体" w:cs="宋体"/>
              </w:rPr>
              <w:br w:type="textWrapping"/>
            </w:r>
            <w:r>
              <w:rPr>
                <w:rFonts w:hint="eastAsia" w:ascii="宋体" w:hAnsi="宋体" w:cs="宋体"/>
              </w:rPr>
              <w:t xml:space="preserve">    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rPr>
              <w:br w:type="textWrapping"/>
            </w:r>
            <w:r>
              <w:rPr>
                <w:rFonts w:hint="eastAsia" w:ascii="宋体" w:hAnsi="宋体" w:cs="宋体"/>
              </w:rPr>
              <w:t xml:space="preserve">    4.告知责任：在作出处罚决定之前，应当告知当事人作出处罚决定的事由、理由及依据，并告知当事人依法享有的权利；当事人依法要求听证的，应组织听证。</w:t>
            </w:r>
            <w:r>
              <w:rPr>
                <w:rFonts w:hint="eastAsia" w:ascii="宋体" w:hAnsi="宋体" w:cs="宋体"/>
              </w:rPr>
              <w:br w:type="textWrapping"/>
            </w:r>
            <w:r>
              <w:rPr>
                <w:rFonts w:hint="eastAsia" w:ascii="宋体" w:hAnsi="宋体" w:cs="宋体"/>
              </w:rPr>
              <w:t xml:space="preserve">    5.决定责任：依法应当给予行政处罚的，制作盖有行政机关印章的行政处罚决定书，载明违法事实、证据、处罚种类和依据、权利救济途径等内容。</w:t>
            </w:r>
            <w:r>
              <w:rPr>
                <w:rFonts w:hint="eastAsia" w:ascii="宋体" w:hAnsi="宋体" w:cs="宋体"/>
              </w:rPr>
              <w:br w:type="textWrapping"/>
            </w:r>
            <w:r>
              <w:rPr>
                <w:rFonts w:hint="eastAsia" w:ascii="宋体" w:hAnsi="宋体" w:cs="宋体"/>
              </w:rPr>
              <w:t xml:space="preserve">    6.送达责任：行政处罚决定书在决定后七日内依照民事诉讼法的有关规定送达当事人。</w:t>
            </w:r>
            <w:r>
              <w:rPr>
                <w:rFonts w:hint="eastAsia" w:ascii="宋体" w:hAnsi="宋体" w:cs="宋体"/>
              </w:rPr>
              <w:br w:type="textWrapping"/>
            </w:r>
            <w:r>
              <w:rPr>
                <w:rFonts w:hint="eastAsia" w:ascii="宋体" w:hAnsi="宋体" w:cs="宋体"/>
              </w:rPr>
              <w:t xml:space="preserve">    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r>
              <w:rPr>
                <w:rFonts w:hint="eastAsia" w:ascii="宋体" w:hAnsi="宋体" w:cs="宋体"/>
              </w:rPr>
              <w:br w:type="textWrapping"/>
            </w:r>
            <w:r>
              <w:rPr>
                <w:rFonts w:hint="eastAsia" w:ascii="宋体" w:hAnsi="宋体" w:cs="宋体"/>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执业医师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2"/>
              <w:textAlignment w:val="baseline"/>
              <w:rPr>
                <w:rFonts w:ascii="宋体" w:hAnsi="宋体" w:cs="宋体"/>
                <w:kern w:val="0"/>
              </w:rPr>
            </w:pPr>
            <w:r>
              <w:rPr>
                <w:rFonts w:hint="eastAsia" w:ascii="宋体" w:hAnsi="宋体" w:cs="宋体"/>
              </w:rPr>
              <w:t>对未取得母婴保健技术许可的医疗保健机构或人员从事婚前医学检查、遗传病诊断、产前诊断、终止妊娠手术、医学技术鉴定，或者出具《母婴保健法》规定的有关医学证明的处罚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9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2"/>
              <w:rPr>
                <w:rFonts w:ascii="宋体" w:hAnsi="宋体" w:cs="宋体"/>
              </w:rPr>
            </w:pPr>
            <w:r>
              <w:rPr>
                <w:rFonts w:hint="eastAsia" w:ascii="宋体" w:hAnsi="宋体" w:cs="宋体"/>
              </w:rPr>
              <w:t>《四川省〈中华人民共和国母婴保健法〉实施办法》第四十一条 ：“未取得母婴保健技术许可，有下列行为之一的，由卫生行政部门给予警告，责令停止违法行为，没收违法所得；违法所得5000元以上的，并处违法所得3倍以上5倍以下的罚款；没有违法所得或者违法所得不足5000元的，并处5000元以上2万元以下的罚款，（一）从事婚前医学检查、遗传病诊断、产前诊断或者医学技术鉴定的；（二）施行助产技术、家庭接生、结扎或者终止妊娠手术及其他生殖保健服务的；（三）出具《母婴保健法》规定的有关医学证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2"/>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中华人民共和国母婴保健法〉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表2-26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2"/>
              <w:rPr>
                <w:rFonts w:ascii="宋体" w:hAnsi="宋体" w:cs="宋体"/>
                <w:kern w:val="0"/>
              </w:rPr>
            </w:pPr>
            <w:r>
              <w:rPr>
                <w:rFonts w:hint="eastAsia" w:ascii="宋体" w:hAnsi="宋体" w:cs="宋体"/>
              </w:rPr>
              <w:t>对从事母婴保健技术服务的人员出具虚假医学证明文件延误诊治，造成严重后果；给当事人身心健康造成严重后果；造成其他严重后果的处罚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2"/>
              <w:rPr>
                <w:rFonts w:ascii="宋体" w:hAnsi="宋体" w:cs="宋体"/>
              </w:rPr>
            </w:pPr>
            <w:r>
              <w:rPr>
                <w:rFonts w:hint="eastAsia" w:ascii="宋体" w:hAnsi="宋体" w:cs="宋体"/>
              </w:rPr>
              <w:t>《中华人民共和国母婴保健法实施办法》第四十一条：“从事母婴保健技术服务的人员出具虚假医学证明文件的，依法给予行政处分；有下列情形之一的，由原发证部门撤销相应的母婴保健技术执业资格或者医师执业证书，（一）因延误诊治，造成严重后果的；（二）给当事人身心健康造成严重后果的；（三）造成其他严重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9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母婴保健法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宋体"/>
                <w:kern w:val="0"/>
              </w:rPr>
            </w:pPr>
            <w:r>
              <w:rPr>
                <w:rFonts w:hint="eastAsia" w:ascii="宋体" w:hAnsi="宋体" w:cs="宋体"/>
              </w:rPr>
              <w:t>对违反有关规定进行胎儿性别鉴定的医疗保健机构或人员擅自进行胎儿性别鉴定的处罚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1.《中华人民共和国人口与计划生育法》第三十五条：“ 严禁利用超声技术和其他技术手段进行非医学需要的胎儿性别鉴定；严禁非医学需要的选择性别的人工终止妊娠。”</w:t>
            </w:r>
          </w:p>
          <w:p>
            <w:pPr>
              <w:spacing w:line="260" w:lineRule="exact"/>
              <w:ind w:firstLine="420" w:firstLineChars="200"/>
              <w:rPr>
                <w:rFonts w:ascii="宋体" w:hAnsi="宋体" w:cs="宋体"/>
              </w:rPr>
            </w:pPr>
            <w:r>
              <w:rPr>
                <w:rFonts w:hint="eastAsia" w:ascii="宋体" w:hAnsi="宋体" w:cs="宋体"/>
              </w:rPr>
              <w:t>2.国务院《计划生育技术服务管理条例》第十八条 ：“ 任何机构和个人不得进行非医学需要的胎儿性别鉴定或者选择性别的人工终止妊娠。”</w:t>
            </w:r>
          </w:p>
          <w:p>
            <w:pPr>
              <w:spacing w:line="260" w:lineRule="exact"/>
              <w:ind w:firstLine="420" w:firstLineChars="200"/>
              <w:rPr>
                <w:rFonts w:ascii="宋体" w:hAnsi="宋体" w:cs="宋体"/>
              </w:rPr>
            </w:pPr>
            <w:r>
              <w:rPr>
                <w:rFonts w:hint="eastAsia" w:ascii="宋体" w:hAnsi="宋体" w:cs="宋体"/>
              </w:rPr>
              <w:t>3.《四川省人口与计划生育条例》第二十八条：“ 严禁利用超声技术和其他技术手段进行非医学需要的胎儿性别鉴定；严禁非医学需要的选择性别的人工终止妊娠。”</w:t>
            </w:r>
          </w:p>
          <w:p>
            <w:pPr>
              <w:spacing w:line="260" w:lineRule="exact"/>
              <w:ind w:firstLine="420" w:firstLineChars="200"/>
              <w:rPr>
                <w:rFonts w:ascii="宋体" w:hAnsi="宋体" w:cs="宋体"/>
              </w:rPr>
            </w:pPr>
            <w:r>
              <w:rPr>
                <w:rFonts w:hint="eastAsia" w:ascii="宋体" w:hAnsi="宋体" w:cs="宋体"/>
              </w:rPr>
              <w:t>4.《计划生育技术服务管理条例》》第十八条：“ 任何机构和个人不得进行非医学需要的胎儿性别鉴定或者选择性别的人工终止妊娠。”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2"/>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人口与计划生育法》《四川省人口与计划生育条例》《计划生育技术服务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kern w:val="0"/>
              </w:rPr>
            </w:pPr>
            <w:r>
              <w:rPr>
                <w:rFonts w:hint="eastAsia" w:ascii="宋体" w:hAnsi="宋体" w:cs="宋体"/>
              </w:rPr>
              <w:t>对计划生育技术服务机构违反规定，未经批准擅自从事产前诊断和使用辅助生育技术治疗不育症的处罚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计划生育技术服务管理条例》（2001年6月13日公布，中华人民共和国国务院令第309号）第三十二条：“计划生育技术服务机构违反本条例的规定，未经批准擅自从事产前诊断和使用辅助生育技术治疗不育症的，由县级以上地方人民政府卫生行政部门会同计划生育行政部门依据职权，责令改正，给予警告，没收违法所得和有关药品、医疗器械；违法所得5000元以上的，并处违法所得2倍以上5倍以下的罚款；没有违法所得或者违法所得不足5000元的，并处5000元以上2万元以下的罚款；情节严重的，并由原发证部门吊销计划生育技术服务的执业资格。</w:t>
            </w: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9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2"/>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计划生育技术服务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p>
    <w:p>
      <w:pPr>
        <w:spacing w:line="240" w:lineRule="exact"/>
        <w:rPr>
          <w:rFonts w:ascii="宋体" w:hAnsi="宋体" w:cs="宋体"/>
        </w:rPr>
      </w:pPr>
      <w:r>
        <w:rPr>
          <w:rFonts w:hint="eastAsia" w:ascii="宋体" w:hAnsi="宋体" w:cs="宋体"/>
        </w:rPr>
        <w:t>表2-29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2"/>
              <w:rPr>
                <w:rFonts w:ascii="宋体" w:hAnsi="宋体" w:cs="宋体"/>
                <w:kern w:val="0"/>
              </w:rPr>
            </w:pPr>
            <w:r>
              <w:rPr>
                <w:rFonts w:hint="eastAsia" w:ascii="宋体" w:hAnsi="宋体" w:cs="宋体"/>
              </w:rPr>
              <w:t>对从事计划生育技术服务的机构使用没有依法取得相应的医师资格的人员从事与计划生育技术服务有关的临床医疗服务的处罚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《计划生育技术服务管理条例》（2001年6月13日公布，2004年修订，中华人民共和国国务院令第309号）第四十条：“ 从事计划生育技术服务的机构违反本条例的规定，使用没有依法取得相应的医师资格的人员从事与计划生育技术服务有关的临床医疗服务的，由县级以上人民政府卫生行政部门依据职权，责令改正，没收违法所得；违法所得3000元以上的，并处违法所得1倍以上3倍以下的罚款；没有违法所得或者违法所得不足3000元的，并处3000元以上5000元以下的罚款；情节严重的，并由原发证部门吊销计划生育技术服务的执业资格。</w:t>
            </w: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2"/>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计划生育技术服务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表2-30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kern w:val="0"/>
              </w:rPr>
            </w:pPr>
            <w:r>
              <w:rPr>
                <w:rFonts w:hint="eastAsia" w:ascii="宋体" w:hAnsi="宋体" w:cs="宋体"/>
              </w:rPr>
              <w:t>对未经批准擅自开展人类辅助生殖技术的非医疗机构和医疗机构的处罚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9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tcPr>
          <w:p>
            <w:pPr>
              <w:spacing w:line="260" w:lineRule="exact"/>
              <w:ind w:firstLine="420" w:firstLineChars="200"/>
              <w:rPr>
                <w:rFonts w:ascii="宋体" w:hAnsi="宋体" w:cs="宋体"/>
              </w:rPr>
            </w:pPr>
            <w:r>
              <w:rPr>
                <w:rFonts w:hint="eastAsia" w:ascii="宋体" w:hAnsi="宋体" w:cs="宋体"/>
              </w:rPr>
              <w:t>1.《人类辅助生殖技术管理办法》第二十一条：“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w:t>
            </w:r>
          </w:p>
          <w:p>
            <w:pPr>
              <w:spacing w:line="260" w:lineRule="exact"/>
              <w:ind w:firstLine="420" w:firstLineChars="200"/>
              <w:rPr>
                <w:rFonts w:ascii="宋体" w:hAnsi="宋体" w:cs="宋体"/>
              </w:rPr>
            </w:pPr>
            <w:r>
              <w:rPr>
                <w:rFonts w:hint="eastAsia" w:ascii="宋体" w:hAnsi="宋体" w:cs="宋体"/>
              </w:rPr>
              <w:t>2.《医疗机构管理条例》第四十四条：“违反本条例第二十四条规定，未取得《医疗机构执业许可证》擅自执业的，由县级以上人民政府卫生行政部门责令其停止执业活动，没收非法所得和药品、器械，并可以根据情节处以1万元以下的罚款。”</w:t>
            </w:r>
          </w:p>
          <w:p>
            <w:pPr>
              <w:spacing w:line="260" w:lineRule="exact"/>
              <w:ind w:firstLine="420" w:firstLineChars="200"/>
              <w:rPr>
                <w:rFonts w:ascii="宋体" w:hAnsi="宋体" w:cs="宋体"/>
              </w:rPr>
            </w:pPr>
            <w:r>
              <w:rPr>
                <w:rFonts w:hint="eastAsia" w:ascii="宋体" w:hAnsi="宋体" w:cs="宋体"/>
              </w:rPr>
              <w:t>3.《医疗机构管理条例》第四十七条：“违反本条例第二十七条规定，诊疗活动超出登记范围的，由县级以上人民政府卫生行政部门予以警告、责令其改正，并可以根据情节处以3000元以下的罚款；情节严重的，吊销其《医疗机构执业许可证》。”</w:t>
            </w:r>
          </w:p>
          <w:p>
            <w:pPr>
              <w:spacing w:line="260" w:lineRule="exact"/>
              <w:ind w:firstLine="420" w:firstLineChars="200"/>
              <w:rPr>
                <w:rFonts w:ascii="宋体" w:hAnsi="宋体" w:cs="宋体"/>
              </w:rPr>
            </w:pPr>
            <w:r>
              <w:rPr>
                <w:rFonts w:hint="eastAsia" w:ascii="宋体" w:hAnsi="宋体" w:cs="宋体"/>
              </w:rPr>
              <w:t>4.《医疗机构管理条例实施细则》第八十条:“除急诊和急救外，医疗机构诊疗活动超出登记的诊疗科目范围，情节轻微的，处以警告；有下列情形之一的，责令其限期改正，并可处以三千元以下罚款，（一）超出登记的诊疗科目范围的诊疗活动累计收入在三千元以下；（二） 给患者造成伤害。有下列情形之一的，处以三千元罚款，并吊销《医疗机构执业许可证》，（一）超出登记的诊疗科目范围的诊疗活动累计收入在三千元上；（二）给患者造成伤害；（三） 省、自治区、直辖市卫生行政部门规定的其他情形。”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2"/>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人类辅助生殖技术管理办法》《医疗机构管理条例》《医疗机构管理条例实施细则》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kern w:val="0"/>
              </w:rPr>
            </w:pPr>
            <w:r>
              <w:rPr>
                <w:rFonts w:hint="eastAsia" w:ascii="宋体" w:hAnsi="宋体" w:cs="宋体"/>
              </w:rPr>
              <w:t>对未经批准擅自设置人类精子库，采集、提供精子的非医疗机构、医疗机构的处罚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3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人类精子库管理办法》第二十三条“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p>
          <w:p>
            <w:pPr>
              <w:spacing w:line="260" w:lineRule="exact"/>
              <w:ind w:firstLine="420" w:firstLineChars="200"/>
              <w:rPr>
                <w:rFonts w:ascii="宋体" w:hAnsi="宋体" w:cs="宋体"/>
              </w:rPr>
            </w:pPr>
            <w:r>
              <w:rPr>
                <w:rFonts w:hint="eastAsia" w:ascii="宋体" w:hAnsi="宋体" w:cs="宋体"/>
              </w:rPr>
              <w:t>2.《医疗机构管理条例》第四十四条“违反本条例第二十四条规定，未取得《医疗机构执业许可证》擅自执业的，由县级以上人民政府卫生行政部门责令其停止执业活动，没收非法所得和药品、器械，并可以根据情节处以1万元以下的罚款”。</w:t>
            </w:r>
          </w:p>
          <w:p>
            <w:pPr>
              <w:spacing w:line="260" w:lineRule="exact"/>
              <w:ind w:firstLine="420" w:firstLineChars="200"/>
              <w:rPr>
                <w:rFonts w:ascii="宋体" w:hAnsi="宋体" w:cs="宋体"/>
              </w:rPr>
            </w:pPr>
            <w:r>
              <w:rPr>
                <w:rFonts w:hint="eastAsia" w:ascii="宋体" w:hAnsi="宋体" w:cs="宋体"/>
              </w:rPr>
              <w:t>3.《医疗机构管理条例》第四十七条“违反本条例第二十七条规定，诊疗活动超出登记范围的，由县级以上人民政府卫生行政部门予以警告、责令其改正，并可以根据情节处以3000元以下的罚款；情节严重的，吊销其《医疗机构执业许可证》”。</w:t>
            </w:r>
          </w:p>
          <w:p>
            <w:pPr>
              <w:spacing w:line="260" w:lineRule="exact"/>
              <w:ind w:firstLine="420" w:firstLineChars="200"/>
              <w:rPr>
                <w:rFonts w:ascii="宋体" w:hAnsi="宋体" w:cs="宋体"/>
              </w:rPr>
            </w:pPr>
            <w:r>
              <w:rPr>
                <w:rFonts w:hint="eastAsia" w:ascii="宋体" w:hAnsi="宋体" w:cs="宋体"/>
              </w:rPr>
              <w:t>4.《医疗机构管理条例实施细则》第八十条：“除急诊和急救外，医疗机构诊疗活动超出登记的诊疗科目范围，情节轻微的，处以警告；有下列情形之一的，责令其限期改正，并可处以三千元以下罚款，（一） 超出登记的诊疗科目范围的诊疗活动累计收入在三千元以下；（二） 给患者造成伤害。 有下列情形之一的，处以三千元罚款，并吊销《医疗机构执业许可证》，（一） 超出登记的诊疗科目范围的诊疗活动累计收入在三千元以上； （二） 给患者造成伤害；（三） 省、自治区、直辖市卫生行政部门规定的其他情形。”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2"/>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人类辅助生殖技术管理办法》《医疗机构管理条例》《医疗机构管理条例实施细则》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left"/>
              <w:rPr>
                <w:rFonts w:ascii="宋体" w:hAnsi="宋体" w:cs="宋体"/>
                <w:kern w:val="0"/>
              </w:rPr>
            </w:pPr>
            <w:r>
              <w:rPr>
                <w:rFonts w:hint="eastAsia" w:ascii="宋体" w:hAnsi="宋体" w:cs="宋体"/>
              </w:rPr>
              <w:t>对非法采集血液；血站、医疗机构出售无偿献血的血液；非法组织他人出卖血液的处罚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tcPr>
          <w:p>
            <w:pPr>
              <w:spacing w:line="260" w:lineRule="exact"/>
              <w:ind w:firstLine="420" w:firstLineChars="200"/>
              <w:rPr>
                <w:rFonts w:ascii="宋体" w:hAnsi="宋体" w:cs="宋体"/>
              </w:rPr>
            </w:pPr>
            <w:r>
              <w:rPr>
                <w:rFonts w:hint="eastAsia" w:ascii="宋体" w:hAnsi="宋体" w:cs="宋体"/>
              </w:rPr>
              <w:t>1.《中华人民共和国献血法》第十八条：“ 有下列行为之一的，由县级以上地方人民政府卫生行政部门予以取缔，没收违法所得，可以并处十万元以下的罚款；构成犯罪的，依法追究刑事责任，（一）非法采集血液的；（二）血站、医疗机构出售无偿献血的血液的；（三）非法组织他人出卖血液的。”</w:t>
            </w:r>
          </w:p>
          <w:p>
            <w:pPr>
              <w:spacing w:line="260" w:lineRule="exact"/>
              <w:ind w:firstLine="420" w:firstLineChars="200"/>
              <w:rPr>
                <w:rFonts w:ascii="宋体" w:hAnsi="宋体" w:cs="宋体"/>
              </w:rPr>
            </w:pPr>
            <w:r>
              <w:rPr>
                <w:rFonts w:hint="eastAsia" w:ascii="宋体" w:hAnsi="宋体" w:cs="宋体"/>
              </w:rPr>
              <w:t>2.《中华人民共和国传染病防治法》第七十条第二款：“ 非法采集血液或者组织他人出卖血液的，由县级以上人民政府卫生行政部门予以取缔，没收违法所得，可以并处十万元以下的罚款；构成犯罪的，依法追究刑事责任。”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6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firstLineChars="20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献血法》《中华人民共和国传染病防治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表2-33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kern w:val="0"/>
              </w:rPr>
            </w:pPr>
            <w:r>
              <w:rPr>
                <w:rFonts w:hint="eastAsia" w:ascii="宋体" w:hAnsi="宋体" w:cs="宋体"/>
              </w:rPr>
              <w:t>对临床用血的包装、储存、运输不符合国家规定的卫生标准和要求的处罚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2"/>
              <w:rPr>
                <w:rFonts w:ascii="宋体" w:hAnsi="宋体" w:cs="宋体"/>
              </w:rPr>
            </w:pPr>
            <w:r>
              <w:rPr>
                <w:rFonts w:hint="eastAsia" w:ascii="宋体" w:hAnsi="宋体" w:cs="宋体"/>
              </w:rPr>
              <w:t>《中华人民共和国献血法》第二十条：“临床用血的包装、储存、运输，不符合国家规定的卫生标准和要求的，由县级以上地方人民政府卫生行政部门责令改正，给予警告，可以并处一万元以下的罚款。”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献血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表2-34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2"/>
              <w:rPr>
                <w:rFonts w:ascii="宋体" w:hAnsi="宋体" w:cs="宋体"/>
              </w:rPr>
            </w:pPr>
            <w:r>
              <w:rPr>
                <w:rFonts w:hint="eastAsia" w:ascii="宋体" w:hAnsi="宋体" w:cs="宋体"/>
              </w:rPr>
              <w:t>对未取得省、自治区、直辖市人民政府卫生行政部门核发的《单采血浆许可证》，非法从事组织、采集、供应、倒卖原料血浆活动；《单采血浆许可证》已被注销或者吊销和租用、借用、出租、出借、变造、伪造《单采血浆许可证》开展采供血浆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2"/>
              <w:rPr>
                <w:rFonts w:ascii="宋体" w:hAnsi="宋体" w:cs="宋体"/>
              </w:rPr>
            </w:pPr>
            <w:r>
              <w:rPr>
                <w:rFonts w:hint="eastAsia" w:ascii="宋体" w:hAnsi="宋体" w:cs="宋体"/>
              </w:rPr>
              <w:t>《血液制品管理条例》第三十四条：“违反本条例规定，未取得省、自治区、直辖市人民政府卫生行政部门核发的《单采血浆许可证》，非法从事组织、采集、供应、倒卖原料血浆活动的，由县级以上地方人民政府卫生行政部门予以取缔，没收违法所得和从事活动的器材、设备，并处违法所得5倍以上10倍以下的罚款；没有违法所得的，并处5万元以上10万元以下的罚款；造成经血液途径传播的疾病传播、人身伤害等危害，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血液制品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8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spacing w:val="-4"/>
              </w:rPr>
              <w:t>对单采血浆站采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定的卫生标准和要求包装、储存、运输原料血浆的；对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《血液制品管理条例》第三十五条 ：“单采血浆站有下列行为之一的，由县级以上地方人民政府卫生行政部门责令限期改正，处５万元以上１０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一）采集血浆前，未按照国务院卫生行政部门颁布的健康检查标准对供血浆者进行健康检查和血液化验的；（二）采集非划定区域内的供血浆者或者其他人员的血浆的，或者不对供血浆者进行身份识别，采集冒名顶替者、健康检查不合格者或者无《供血浆证》者的血浆的；（三）违反国务院卫生行政部门制定的血浆采集技术操作标准和程序，过频过量采集血浆的；（四）向医疗机构直接供应原料血浆或者擅自采集血液的；（五）未使用单采血浆机械进行血浆采集的；（六）未使用有产品批准文号并经国家药品生物制品检定机构逐批检定合格的体外诊断试剂以及合格的一次性采血浆器材的；（七）未按照国家规定的卫生标准和要求包装、储存、运输原料血浆的；（八）对国家规定检测项目检测结果呈阳性的血浆不清除、不及时上报的；（九）对污染的注射器、采血浆器材及不合格血浆等不经消毒处理，擅自倾倒，污染环境，造成社会危害的；（十）重复使用一次性采血浆器材的；（十一）向与其签订质量责任书的血液制品生产单位以外的其他单位供应原料血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2"/>
              <w:jc w:val="left"/>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血液制品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kern w:val="0"/>
              </w:rPr>
            </w:pPr>
            <w:r>
              <w:rPr>
                <w:rFonts w:hint="eastAsia" w:ascii="宋体" w:hAnsi="宋体" w:cs="宋体"/>
              </w:rPr>
              <w:t>对单采血浆站已知其采集的血浆检测结果呈阳性，仍向血液制品生产单位供应的处罚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血液制品管理条例》第三十六条：“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责有直接责任的主管人员和其他直接责任人员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3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2"/>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血液制品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p>
    <w:p>
      <w:pPr>
        <w:spacing w:line="240" w:lineRule="exact"/>
        <w:rPr>
          <w:rFonts w:ascii="宋体" w:hAnsi="宋体" w:cs="宋体"/>
        </w:rPr>
      </w:pPr>
      <w:r>
        <w:rPr>
          <w:rFonts w:hint="eastAsia" w:ascii="宋体" w:hAnsi="宋体" w:cs="宋体"/>
        </w:rPr>
        <w:t>表2-37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品、体外诊断试剂、一次性卫生器材不符合国家有关规定的；重复使用一次性卫生器材的；对检测不合格或者报废的血液，未按有关规定处理的；未经批准擅自与外省、自治区、直辖市调配血液的；未经批准向境外医疗机构提供血液或者特殊血液成分的；未按规定保存血液标本的；脐带血造血干细胞库等特殊血站违反有关技术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8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血站管理办法》（中华人民共和国卫生部令第44号）第六十一条：“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一）超出执业登记的项目、内容、范围开展业务活动的；（二）工作人员未取得相关岗位执业资格或者未经执业注册而从事采供血工作的；（三）血液检测实验室未取得相应资格即进行检测的；（四）擅自采集原料血浆、买卖血液的；（五）采集血液前，未按照国家颁布的献血者健康检查要求对献血者进行健康检查、检测的；（六）采集冒名顶替者、健康检查不合格者血液以及超量、频繁采集血液的；（七）违反输血技术操作规程、有关质量规范和标准的；（八）采血前未向献血者、特殊血液成分捐赠者履行规定的告知义务的；（九）擅自涂改、毁损或者不按规定保存工作记录的；（十）使用的药品、体外诊断试剂、一次性卫生器材不符合国家有关规定的；（十一）重复使用一次性卫生器材的；（十二）对检测不合格或者报废的血液，未按有关规定处理的；（十三）未经批准擅自与外省、自治区、直辖市调配血液的；（十四）未经批准向境外医疗机构提供血液或者特殊血液成分的；（十五）未按规定保存血液标本的；（十六）脐带血造血干细胞库等特殊血站违反有关技术规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血站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对承担尸检任务的医疗机构或其他有关机构没有正当理由，拒绝进行尸检的；涂改、伪造、隐匿、销毁病历资料的处罚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医疗事故处理条例》第五十八条：“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二）涂改、伪造、隐匿、销毁病历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6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事故处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表2-39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kern w:val="0"/>
              </w:rPr>
            </w:pPr>
            <w:r>
              <w:rPr>
                <w:rFonts w:hint="eastAsia" w:ascii="宋体" w:hAnsi="宋体" w:cs="宋体"/>
              </w:rPr>
              <w:t>对医疗机构、医务人员发生医疗事故的处罚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 xml:space="preserve">《医疗事故处理条例》第五十五条第一款：“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事故处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表2-40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对参加医疗事故技术鉴定工作的人员接受申请鉴定双方或者一方当事人的财物或者其他利益，出具虚假医疗事故技术鉴定书的处罚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医疗事故处理条例》第五十七条：“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7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事故处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表2-41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left"/>
              <w:rPr>
                <w:rFonts w:ascii="宋体" w:hAnsi="宋体" w:cs="宋体"/>
                <w:kern w:val="0"/>
              </w:rPr>
            </w:pPr>
            <w:r>
              <w:rPr>
                <w:rFonts w:hint="eastAsia" w:ascii="宋体" w:hAnsi="宋体" w:cs="宋体"/>
              </w:rPr>
              <w:t>对医疗机构从无《药品生产许可证》、《药品经营许可证》的企业购进药品，情节严重的处罚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color w:val="000000"/>
              </w:rPr>
            </w:pPr>
            <w:r>
              <w:rPr>
                <w:rFonts w:hint="eastAsia" w:ascii="宋体" w:hAnsi="宋体" w:cs="宋体"/>
                <w:color w:val="000000"/>
              </w:rPr>
              <w:t>《中华人民共和国药品管理法》第八十条：“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w:t>
            </w:r>
            <w:r>
              <w:rPr>
                <w:rFonts w:hint="eastAsia" w:ascii="宋体" w:hAnsi="宋体" w:cs="宋体"/>
              </w:rPr>
              <w:t>》</w:t>
            </w:r>
            <w:r>
              <w:rPr>
                <w:rFonts w:hint="eastAsia" w:ascii="宋体" w:hAnsi="宋体" w:cs="宋体"/>
                <w:color w:val="000000"/>
              </w:rPr>
              <w:t>、《药品经营许可证》或者医疗机构执业许可证书。”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0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color w:val="000000"/>
              </w:rPr>
            </w:pPr>
            <w:r>
              <w:rPr>
                <w:rFonts w:hint="eastAsia" w:ascii="宋体" w:hAnsi="宋体" w:cs="宋体"/>
                <w:color w:val="000000"/>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color w:val="000000"/>
              </w:rPr>
            </w:pPr>
            <w:r>
              <w:rPr>
                <w:rFonts w:hint="eastAsia" w:ascii="宋体" w:hAnsi="宋体" w:cs="宋体"/>
                <w:color w:val="000000"/>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color w:val="000000"/>
              </w:rPr>
            </w:pPr>
            <w:r>
              <w:rPr>
                <w:rFonts w:hint="eastAsia" w:ascii="宋体" w:hAnsi="宋体" w:cs="宋体"/>
                <w:color w:val="000000"/>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color w:val="000000"/>
              </w:rPr>
            </w:pPr>
            <w:r>
              <w:rPr>
                <w:rFonts w:hint="eastAsia" w:ascii="宋体" w:hAnsi="宋体" w:cs="宋体"/>
                <w:color w:val="000000"/>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color w:val="000000"/>
              </w:rPr>
            </w:pPr>
            <w:r>
              <w:rPr>
                <w:rFonts w:hint="eastAsia" w:ascii="宋体" w:hAnsi="宋体" w:cs="宋体"/>
                <w:color w:val="000000"/>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color w:val="000000"/>
              </w:rPr>
            </w:pPr>
            <w:r>
              <w:rPr>
                <w:rFonts w:hint="eastAsia" w:ascii="宋体" w:hAnsi="宋体" w:cs="宋体"/>
                <w:color w:val="000000"/>
              </w:rPr>
              <w:t>6.送达责任：行政处罚决定书在决定后七日内依照民事诉讼法的有关规定送达当事人。</w:t>
            </w:r>
          </w:p>
          <w:p>
            <w:pPr>
              <w:spacing w:line="260" w:lineRule="exact"/>
              <w:ind w:firstLine="420"/>
              <w:rPr>
                <w:rFonts w:ascii="宋体" w:hAnsi="宋体" w:cs="宋体"/>
                <w:color w:val="000000"/>
              </w:rPr>
            </w:pPr>
            <w:r>
              <w:rPr>
                <w:rFonts w:hint="eastAsia" w:ascii="宋体" w:hAnsi="宋体" w:cs="宋体"/>
                <w:color w:val="000000"/>
              </w:rPr>
              <w:t>7.执行责任：督促当事人履行生效的行政处罚决定，对逾期不履行的，依照</w:t>
            </w:r>
            <w:r>
              <w:rPr>
                <w:rFonts w:hint="eastAsia" w:ascii="宋体" w:hAnsi="宋体" w:cs="宋体"/>
                <w:color w:val="000000"/>
                <w:lang w:eastAsia="zh-CN"/>
              </w:rPr>
              <w:t>《中华人民共和国行政强制法》</w:t>
            </w:r>
            <w:r>
              <w:rPr>
                <w:rFonts w:hint="eastAsia" w:ascii="宋体" w:hAnsi="宋体" w:cs="宋体"/>
                <w:color w:val="000000"/>
              </w:rPr>
              <w:t>的规定执行。</w:t>
            </w:r>
          </w:p>
          <w:p>
            <w:pPr>
              <w:spacing w:line="260" w:lineRule="exact"/>
              <w:ind w:firstLine="420"/>
              <w:rPr>
                <w:rFonts w:ascii="宋体" w:hAnsi="宋体" w:cs="宋体"/>
                <w:color w:val="000000"/>
              </w:rPr>
            </w:pPr>
            <w:r>
              <w:rPr>
                <w:rFonts w:hint="eastAsia" w:ascii="宋体" w:hAnsi="宋体" w:cs="宋体"/>
                <w:color w:val="000000"/>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color w:val="000000"/>
              </w:rPr>
              <w:t>《中华人民共和国药品管理法》</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表2-42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具有麻醉药品和第一类精神药品处方资格的执业医师，违反规定开具或者未按照临床应用指导原则的要求使用麻醉药品和第一类精神药品；执业医师未按照临床应用指导原则的要求使用第二类精神药品或者未使用专用处方开具第二类精神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麻醉药品和精神药品管理条例》第七十三条第一款：“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4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麻醉药品和精神药品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p>
    <w:p>
      <w:pPr>
        <w:spacing w:line="240" w:lineRule="exact"/>
        <w:rPr>
          <w:rFonts w:ascii="宋体" w:hAnsi="宋体" w:cs="宋体"/>
        </w:rPr>
      </w:pPr>
      <w:r>
        <w:rPr>
          <w:rFonts w:hint="eastAsia" w:ascii="宋体" w:hAnsi="宋体" w:cs="宋体"/>
        </w:rPr>
        <w:t>表2-43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textAlignment w:val="center"/>
              <w:rPr>
                <w:rFonts w:ascii="宋体" w:hAnsi="宋体" w:cs="宋体"/>
                <w:kern w:val="0"/>
              </w:rPr>
            </w:pPr>
            <w:r>
              <w:rPr>
                <w:rFonts w:hint="eastAsia" w:ascii="宋体" w:hAnsi="宋体" w:cs="宋体"/>
              </w:rPr>
              <w:t xml:space="preserve">    对未取得麻醉药品和第一类精神药品处方资格的执业医师擅自开具麻醉药品和第一类精神药品处方；处方的调配人、核对人违反规定未对麻醉药品和第一类精神药品处方进行核对的处罚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麻醉药品和精神药品管理条例》第七十三条第二款：“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pPr>
              <w:spacing w:line="240" w:lineRule="exact"/>
              <w:ind w:firstLine="420"/>
              <w:rPr>
                <w:rFonts w:ascii="宋体" w:hAnsi="宋体" w:cs="宋体"/>
              </w:rPr>
            </w:pPr>
            <w:r>
              <w:rPr>
                <w:rFonts w:hint="eastAsia" w:ascii="宋体" w:hAnsi="宋体" w:cs="宋体"/>
              </w:rPr>
              <w:t>2.《麻醉药品和精神药品管理条例》第七十三条第三款：“处方的调配人、核对人违反本条例的规定未对麻醉药品和第一类精神药品处方进行核对，造成严重后果的，由原发证部门吊销其执业证书。”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6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麻醉药品和精神药品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表2-44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对发生麻醉药品和精神药品被盗、被抢、丢失案件的单位，违反规定未采取必要的控制措施或者未依照规定报告的处罚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麻醉药品和精神药品管理条例》第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麻醉药品和精神药品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表2-45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对医疗机构无专职或者兼职人员负责本单位药品不良反应监测工作的；未按照要求开展药品不良反应或者群体不良事件报告、调查、评价和处理的；不配合严重药品不良反应和群体不良事件相关调查工作的处罚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spacing w:val="-6"/>
              </w:rPr>
            </w:pPr>
            <w:r>
              <w:rPr>
                <w:rFonts w:hint="eastAsia" w:ascii="宋体" w:hAnsi="宋体" w:cs="宋体"/>
                <w:spacing w:val="-6"/>
              </w:rPr>
              <w:t>《药品不良反应报告和监测管理办法》（卫生部令81号）第六十条：“医疗机构有下列情形之一的，由所在地卫生行政部门给予警告，责令限期改正；逾期不改的，处3万元以下的罚款。情节严重并造成严重后果的，由所在地卫生行政部门对相关责任人给予行政处分，（一）无专职或者兼职人员负责本单位药品不良反应监测工作的；（二）未按照要求开展药品不良反应或者群体不良事件报告、调查、评价和处理的；（三）不配合严重药品不良反应和群体不良事件相关调查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7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spacing w:val="-6"/>
              </w:rPr>
              <w:t>《药品不良反应报告和监测管理办法》</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表2-46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对中外各方未经国家卫计委和外经贸部批准，成立中外合资、合作医疗机构并开展医疗活动或以合同方式经营诊疗项目的处罚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中外合资、合作医疗机构管理暂行办法》第三十三条：“地方卫生行政部门和地方外经贸行政部门违反本办法规定，擅自批准中外合资、合作医疗机构的设置和变更的，依法追究有关负责人的责任。中外各方未经卫生部和外经贸部批准，成立中外合资、合作医疗机构并开展医疗活动或以合同方式经营诊疗项目的，视同非法行医，按《医疗机构管理条例》和《医疗机构管理条例实施细则》及有关规定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3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外合资、合作医疗机构管理暂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表2-47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医疗机构使用未取得处方权的人员、被取消处方权的医师开具处方的；使用未取得麻醉药品和第一类精神药品处方资格的医师开具麻醉药品和第一类精神药品处方的；使用未取得药学专业技术职务任职资格的人员从事处方调剂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处方管理办法》（中华人民共和国卫生部令第53号）第五十四条：“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处方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表2-48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对医疗机构未使用有本医疗机构标识的病历、处方、检查报告单和票据，或将其出卖或出借的；使用其他医疗机构的票据、病历、处方、检查报告单的处罚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《四川省医疗机构管理条例》第六十条：“对违反本条例第三十六条第二款规定的行为，责令其限期改正，没收非法所得，并可分别处以3000元以下罚款，情节严重的，吊销其《医疗机构执业许可证》。”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3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医疗机构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表2-49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医疗机构滥用麻醉药品、剧毒药品、精神药品，或使用假、劣药品、过期失效淘汰药品和其他违禁药品的；未经批准自行配制制剂的；个人、合伙举办的医疗机构未按审批登记的机关核准的范围、品种和数量配备药柜、药房的药品的；个人、合伙举办的医疗机构所配药品以其他形式对外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四川省医疗机构管理条例》第六十一条：“对违反本条例第三十七条、第三十八条规定的行为，除按《中华人民共和国药品管理法》有关规定处理外，情节严重的，吊销其《医疗机构执业许可证》，并追究直接责任人员、有关负责人的责任。”</w:t>
            </w:r>
          </w:p>
          <w:p>
            <w:pPr>
              <w:spacing w:line="260" w:lineRule="exact"/>
              <w:ind w:firstLine="420"/>
              <w:rPr>
                <w:rFonts w:ascii="宋体" w:hAnsi="宋体" w:cs="宋体"/>
              </w:rPr>
            </w:pPr>
            <w:r>
              <w:rPr>
                <w:rFonts w:hint="eastAsia" w:ascii="宋体" w:hAnsi="宋体" w:cs="宋体"/>
              </w:rPr>
              <w:t>2.《四川省医疗机构管理条例》第三十七条：“医疗机构必须贯彻《中华人民共和国药品管理法》，不得滥用麻醉药品、剧毒药品、精神药品，严禁使用假、劣药品、过期失效淘汰药品和其他违禁药品。未经批准，医疗机构不得自行配制制剂。”</w:t>
            </w:r>
          </w:p>
          <w:p>
            <w:pPr>
              <w:spacing w:line="260" w:lineRule="exact"/>
              <w:ind w:firstLine="420"/>
              <w:rPr>
                <w:rFonts w:ascii="宋体" w:hAnsi="宋体" w:cs="宋体"/>
                <w:spacing w:val="-4"/>
              </w:rPr>
            </w:pPr>
            <w:r>
              <w:rPr>
                <w:rFonts w:hint="eastAsia" w:ascii="宋体" w:hAnsi="宋体" w:cs="宋体"/>
              </w:rPr>
              <w:t>3.《四川省医疗机构管理条例》</w:t>
            </w:r>
            <w:r>
              <w:rPr>
                <w:rFonts w:hint="eastAsia" w:ascii="宋体" w:hAnsi="宋体" w:cs="宋体"/>
                <w:spacing w:val="-4"/>
              </w:rPr>
              <w:t>第三十八条：“个人、合伙举办的医疗机构附设药柜、药房的，应按审批登记的机关核准的范围、品种和数量配备。所带药品只能用于就诊病人配方，不得以其他形式对外销售。”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医疗机构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表2-50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kern w:val="0"/>
              </w:rPr>
            </w:pPr>
            <w:r>
              <w:rPr>
                <w:rFonts w:hint="eastAsia" w:ascii="宋体" w:hAnsi="宋体" w:cs="宋体"/>
              </w:rPr>
              <w:t>对医疗机构管理混乱，有严重事故隐患，直接影响医疗安全且限期不改的处罚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四川省医疗机构管理条例》第六十三条：“医疗机构管理混乱，有严重事故隐患，直接影响医疗安全的，登记机关可以责令其限期改正；限期不改的，可吊销《医疗机构执业许可证》。并追究直接责任人、有关责任人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8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1.立案责任：发现医疗机构管理混乱，有严重事故隐患，直接影响医疗安全的违法行为，予以审查，决定是否立案。</w:t>
            </w:r>
          </w:p>
          <w:p>
            <w:pPr>
              <w:spacing w:line="240" w:lineRule="exact"/>
              <w:ind w:firstLine="420"/>
              <w:rPr>
                <w:rFonts w:ascii="宋体" w:hAnsi="宋体" w:cs="宋体"/>
              </w:rPr>
            </w:pPr>
            <w:r>
              <w:rPr>
                <w:rFonts w:hint="eastAsia" w:ascii="宋体" w:hAnsi="宋体" w:cs="宋体"/>
              </w:rPr>
              <w:t>2．调查责任：卫生和计划生育部门对立案的案件，指定专人负责，及时组织调查取证，与当事人有直接利害关系的应当回避。执法人员不得少于两人，调查时应出示证件，允许当事人辩解。</w:t>
            </w:r>
          </w:p>
          <w:p>
            <w:pPr>
              <w:spacing w:line="240" w:lineRule="exact"/>
              <w:ind w:firstLine="420"/>
              <w:rPr>
                <w:rFonts w:ascii="宋体" w:hAnsi="宋体" w:cs="宋体"/>
              </w:rPr>
            </w:pPr>
            <w:r>
              <w:rPr>
                <w:rFonts w:hint="eastAsia" w:ascii="宋体" w:hAnsi="宋体" w:cs="宋体"/>
              </w:rPr>
              <w:t>3.审查责任：审理案件调查报告，对案件违法事实、证据、调查取证程序、法律适用、处罚种类和幅度、当事人陈述和申辩，提出处理意见。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4.告知责任：作出行政处罚决定前，应制作《行政处罚事先告知书》送达当事人；符合听证条件规定的，应当告知当事人有听证的权利，当事人要求听证的应当组织听证。</w:t>
            </w:r>
          </w:p>
          <w:p>
            <w:pPr>
              <w:spacing w:line="240" w:lineRule="exact"/>
              <w:ind w:firstLine="420"/>
              <w:rPr>
                <w:rFonts w:ascii="宋体" w:hAnsi="宋体" w:cs="宋体"/>
              </w:rPr>
            </w:pPr>
            <w:r>
              <w:rPr>
                <w:rFonts w:hint="eastAsia" w:ascii="宋体" w:hAnsi="宋体" w:cs="宋体"/>
              </w:rPr>
              <w:t>5.决定责任：制作《行政处罚决定书》，载明行政处罚事项，告知当事人行政复议或者行政诉讼情况等内容。</w:t>
            </w:r>
          </w:p>
          <w:p>
            <w:pPr>
              <w:spacing w:line="240" w:lineRule="exact"/>
              <w:ind w:firstLine="420"/>
              <w:rPr>
                <w:rFonts w:ascii="宋体" w:hAnsi="宋体" w:cs="宋体"/>
              </w:rPr>
            </w:pPr>
            <w:r>
              <w:rPr>
                <w:rFonts w:hint="eastAsia" w:ascii="宋体" w:hAnsi="宋体" w:cs="宋体"/>
              </w:rPr>
              <w:t>6.送达责任：行政处罚决定书按法律规定的方式送达当事人。</w:t>
            </w:r>
          </w:p>
          <w:p>
            <w:pPr>
              <w:spacing w:line="240" w:lineRule="exact"/>
              <w:ind w:firstLine="420"/>
              <w:rPr>
                <w:rFonts w:ascii="宋体" w:hAnsi="宋体" w:cs="宋体"/>
              </w:rPr>
            </w:pPr>
            <w:r>
              <w:rPr>
                <w:rFonts w:hint="eastAsia" w:ascii="宋体" w:hAnsi="宋体" w:cs="宋体"/>
              </w:rPr>
              <w:t>7.执行责任：依照生效的行政处罚决定执行处罚决定。</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医疗机构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表2-51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kern w:val="0"/>
              </w:rPr>
              <w:t>对医疗、保健机构或者人员未取得母婴保健技术许可，擅自从事婚前医学检查、遗传病诊断、产前诊断、终止妊娠手术和医学技术鉴定或者出具有关医学证明</w:t>
            </w:r>
            <w:r>
              <w:rPr>
                <w:rFonts w:hint="eastAsia" w:ascii="宋体" w:hAnsi="宋体" w:cs="宋体"/>
                <w:kern w:val="0"/>
                <w:lang w:eastAsia="zh-CN"/>
              </w:rPr>
              <w:t>的</w:t>
            </w:r>
            <w:r>
              <w:rPr>
                <w:rFonts w:hint="eastAsia" w:ascii="宋体" w:hAnsi="宋体" w:cs="宋体"/>
                <w:kern w:val="0"/>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中华人民共和国母婴保健法实施办法》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3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母婴保健法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表2-52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1260" w:firstLineChars="600"/>
              <w:textAlignment w:val="center"/>
              <w:rPr>
                <w:rFonts w:ascii="宋体" w:hAnsi="宋体" w:cs="宋体"/>
                <w:kern w:val="0"/>
              </w:rPr>
            </w:pPr>
            <w:r>
              <w:rPr>
                <w:rFonts w:hint="eastAsia" w:ascii="宋体" w:hAnsi="宋体" w:cs="宋体"/>
              </w:rPr>
              <w:t>对雇佣他人顶替本单位职工献血、雇佣他人顶替本人献血的处罚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四川省公民献血条例》第二十一条第一款：“雇佣他人顶替本单位职工献血的，由县以上卫生行政部门给予警告，可并处1000元以上10000元以下的罚款。对单位有关责任人员，由其上级主管部门给予行政处分。”</w:t>
            </w:r>
          </w:p>
          <w:p>
            <w:pPr>
              <w:spacing w:line="260" w:lineRule="exact"/>
              <w:ind w:firstLine="420"/>
              <w:rPr>
                <w:rFonts w:ascii="宋体" w:hAnsi="宋体" w:cs="宋体"/>
              </w:rPr>
            </w:pPr>
            <w:r>
              <w:rPr>
                <w:rFonts w:hint="eastAsia" w:ascii="宋体" w:hAnsi="宋体" w:cs="宋体"/>
              </w:rPr>
              <w:t>2.《四川省公民献血条例》第二十一条第二款：“雇佣他人顶替本人献血的，由县以上卫生行政部门给予警告，可并处100元以上1000元以下罚款。”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2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textAlignment w:val="center"/>
              <w:rPr>
                <w:rFonts w:ascii="宋体" w:hAnsi="宋体" w:cs="宋体"/>
              </w:rPr>
            </w:pPr>
            <w:r>
              <w:rPr>
                <w:rFonts w:hint="eastAsia" w:ascii="宋体" w:hAnsi="宋体" w:cs="宋体"/>
              </w:rPr>
              <w:t>责任追责情形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公民献血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表2-53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kern w:val="0"/>
              </w:rPr>
            </w:pPr>
            <w:r>
              <w:rPr>
                <w:rFonts w:hint="eastAsia" w:ascii="宋体" w:hAnsi="宋体" w:cs="宋体"/>
              </w:rPr>
              <w:t>对伪造、转让、租借、涂改献血证件的处罚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《四川省公民献血条例》第二十二条：“伪造、转让、租借、涂改献血证件的，由县以上卫生行政部门处100元以上1000元以下罚款；其中以牟取经济利益为目</w:t>
            </w:r>
            <w:r>
              <w:rPr>
                <w:rFonts w:hint="eastAsia" w:ascii="宋体" w:hAnsi="宋体" w:cs="宋体"/>
                <w:lang w:eastAsia="zh-CN"/>
              </w:rPr>
              <w:t>的</w:t>
            </w:r>
            <w:r>
              <w:rPr>
                <w:rFonts w:hint="eastAsia" w:ascii="宋体" w:hAnsi="宋体" w:cs="宋体"/>
              </w:rPr>
              <w:t>，由县以上卫生行政部门没收违法所得、非法财物，可并处1000元以上5000元以下罚款。”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公民献血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p>
    <w:p>
      <w:pPr>
        <w:spacing w:line="240" w:lineRule="exact"/>
        <w:rPr>
          <w:rFonts w:ascii="宋体" w:hAnsi="宋体" w:cs="宋体"/>
        </w:rPr>
      </w:pPr>
      <w:r>
        <w:rPr>
          <w:rFonts w:hint="eastAsia" w:ascii="宋体" w:hAnsi="宋体" w:cs="宋体"/>
        </w:rPr>
        <w:t>表2-54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630" w:firstLineChars="300"/>
              <w:textAlignment w:val="center"/>
              <w:rPr>
                <w:rFonts w:ascii="宋体" w:hAnsi="宋体" w:cs="宋体"/>
                <w:kern w:val="0"/>
              </w:rPr>
            </w:pPr>
            <w:r>
              <w:rPr>
                <w:rFonts w:hint="eastAsia" w:ascii="宋体" w:hAnsi="宋体" w:cs="宋体"/>
              </w:rPr>
              <w:t>对疾病预防控制机构未按照使用计划将第一类疫苗分发到下级疾病预防控制机构、接种单位、乡级医疗卫生机构的；未依照规定建立并保存疫苗购进、储存、分发、供应记录的；接收或者购进疫苗时未依照规定索要温度监测记录，接收、购进不符合要求的疫苗，或者未依照规定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8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疫苗流通和预防接种管理条例》第五十六条：“疾病预防控制机构有下列情形之一的，由县级以上人民政府卫生主管部门责令改正，通报批评，给予警告；有违法所得的，没收违法所得；拒不改正的，对主要负责人、直接负责的主管人员和其他直接责任人员依法给予警告、降级的处分，（一）未按照使用计划将第一类疫苗分发到下级疾病预防控制机构、接种单位、乡级医疗卫生机构的；（二）设区的市级以上疾病预防控制机构违反本条例规定，直接向接种单位供应第二类疫苗的；（三）未依照规定建立并保存疫苗购进、分发、供应记录的。乡级医疗卫生机构未依照本条例规定将第一类疫苗分发到承担预防接种工作的村医疗卫生机构的，依照前款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疫苗流通和预防接种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表2-55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乡级医疗卫生机构未依照本条例规定将第一类疫苗分发到承担预防接种工作的村医疗卫生机构的处罚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疫苗流通和预防接种管理条例》第五十六条：“疾病预防控制机构有下列情形之一的，由县级以上人民政府卫生主管部门责令改正，通报批评，给予警告；有违法所得的，没收违法所得；拒不改正的，对主要负责人、直接负责的主管人员和其他直接责任人员依法给予警告、降级的处分，（一）未按照使用计划将第一类疫苗分发到下级疾病预防控制机构、接种单位、乡级医疗卫生机构的；（二）设区的市级以上疾病预防控制机构违反本条例规定，直接向接种单位供应第二类疫苗的；（三）未依照规定建立并保存疫苗购进、分发、供应记录的。乡级医疗卫生机构未依照本条例规定将第一类疫苗分发到承担预防接种工作的村医疗卫生机构的，依照前款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疫苗流通和预防接种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p>
    <w:p>
      <w:pPr>
        <w:spacing w:line="240" w:lineRule="exact"/>
        <w:rPr>
          <w:rFonts w:ascii="宋体" w:hAnsi="宋体" w:cs="宋体"/>
        </w:rPr>
      </w:pPr>
      <w:r>
        <w:rPr>
          <w:rFonts w:hint="eastAsia" w:ascii="宋体" w:hAnsi="宋体" w:cs="宋体"/>
        </w:rPr>
        <w:t>表2-56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textAlignment w:val="center"/>
              <w:rPr>
                <w:rFonts w:ascii="宋体" w:hAnsi="宋体" w:cs="宋体"/>
                <w:kern w:val="0"/>
              </w:rPr>
            </w:pPr>
            <w:r>
              <w:rPr>
                <w:rFonts w:hint="eastAsia" w:ascii="宋体" w:hAnsi="宋体" w:cs="宋体"/>
                <w:color w:val="000000"/>
                <w:kern w:val="0"/>
              </w:rPr>
              <w:t>对疾病预防控制机构、接种单位违反本条例规定，未通过省级公共资源交易平台采购疫苗的；违反本条例规定，从疫苗生产企业、县级疾病预防控制机构以外的单位或者个人购进第二类疫苗的；接种疫苗未遵守预防接种工作规范、免疫程序、疫苗使用指导原则、接种方案的；发现预防接种异常反应或者疑似预防接种异常反应，未依照规定及时处理或者报告的；擅自进行群体性预防接种的；未依照规定对包装无法识别、超过有效期、脱离冷链、经检验不符合标准、来源不明的疫苗进行登记、报告，或者未依照规定记录销毁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疫苗流通与预防接种管理条例》第六十条：“疾病预防控制机构、接种单位有下列情形之一的，由县级以上地方人民政府卫生主管部门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一)违反本条例规定，未通过省级公共资源交易平台采购疫苗的；(二)违反本条例规定，从疫苗生产企业、县级疾病预防控制机构以外的单位或者个人购进第二类疫苗的；(三)接种疫苗未遵守预防接种工作规范、免疫程序、疫苗使用指导原则、接种方案的；(四)发现预防接种异常反应或者疑似预防接种异常反应，未依照规定及时处理或者报告的；(五)擅自进行群体性预防接种的；(六)未依照规定对包装无法识别、超过有效期、脱离冷链、经检验不符合标准、来源不明的疫苗进行登记、报告，或者未依照规定记录销毁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9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疫苗流通与预防接种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表2-57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对卫生主管部门、疾病预防控制机构、接种单位以外的单位或者个人违反《疫苗流通与预防接种管理条例》规定进行群体性预防接种的处罚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疫苗流通和预防接种管理条例》第六十九条：“卫生主管部门、疾病预防控制机构、接种单位以外的单位或者个人违反本条例规定进行群体性预防接种的，由县级以上人民政府卫生主管部门责令立即改正，没收违法持有的疫苗，并处违法持有的疫苗货值金额2倍以上5倍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疫苗流通与预防接种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表2-58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对三级、四级实验室未经批准从事某种高致病性病原微生物或者疑似高致病性病原微生物实验活动的处罚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病原微生物实验室生物安全管理条例》第五十六条：“三级、四级实验室未依照本条例的规定取得从事高致病性病原微生物实验活动的资格证书，或者已经取得相关资格证书但是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有资格证书的，应当吊销其资格证书；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8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病原微生物实验室生物安全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表2-59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实验室未依照规定在明显位置标示国务院卫生主管部门和兽医主管部门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工作人员未遵守实验室生物安全技术规范和操作规程的；未依照规定建立或者保存实验档案的；未依照规定制定实验室感染应急处置预案并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病原微生物实验室生物安全管理条例》第六十条：“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w:t>
            </w:r>
          </w:p>
          <w:p>
            <w:pPr>
              <w:spacing w:line="240" w:lineRule="exact"/>
              <w:rPr>
                <w:rFonts w:ascii="宋体" w:hAnsi="宋体" w:cs="宋体"/>
              </w:rPr>
            </w:pPr>
            <w:r>
              <w:rPr>
                <w:rFonts w:hint="eastAsia" w:ascii="宋体" w:hAnsi="宋体" w:cs="宋体"/>
              </w:rPr>
              <w:t>(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病原微生物实验室生物安全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表2-60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对经依法批准从事高致病性病原微生物相关实验活动的实验室的设立单位未建立健全安全保卫制度，或者未采取安全保卫措施，导致高致病性病原微生物菌（毒）种、样本被盗、被抢或者造成其他严重后果的处罚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病原微生物实验室生物安全管理条例》第六十一条：“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由原发证部门吊销该实验室从事高致病性病原微生物相关实验活动的资格证书；造成传染病传播、流行的，该实验室设立单位的主管部门还应当对该实验室的设立单位的直接负责的主管人员和其他直接责任人员，依法给予降级、撤职、开除的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0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病原微生物实验室生物安全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p>
    <w:p>
      <w:pPr>
        <w:spacing w:line="240" w:lineRule="exact"/>
        <w:rPr>
          <w:rFonts w:ascii="宋体" w:hAnsi="宋体" w:cs="宋体"/>
        </w:rPr>
      </w:pPr>
    </w:p>
    <w:p>
      <w:pPr>
        <w:spacing w:line="240" w:lineRule="exact"/>
        <w:rPr>
          <w:rFonts w:ascii="宋体" w:hAnsi="宋体" w:cs="宋体"/>
        </w:rPr>
      </w:pPr>
      <w:r>
        <w:rPr>
          <w:rFonts w:hint="eastAsia" w:ascii="宋体" w:hAnsi="宋体" w:cs="宋体"/>
        </w:rPr>
        <w:t>表2-61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4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病原微生物实验室生物安全管理条例》第六十二条：“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病原微生物实验室生物安全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p>
    <w:p>
      <w:pPr>
        <w:spacing w:line="240" w:lineRule="exact"/>
        <w:rPr>
          <w:rFonts w:ascii="宋体" w:hAnsi="宋体" w:cs="宋体"/>
        </w:rPr>
      </w:pPr>
      <w:r>
        <w:rPr>
          <w:rFonts w:hint="eastAsia" w:ascii="宋体" w:hAnsi="宋体" w:cs="宋体"/>
        </w:rPr>
        <w:t>表2-62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对拒绝接受卫生主管部门、兽医主管部门依法开展有关高致病性病原微生物扩散的调查取证、采集样品等活动或者依照本条例规定采取有关预防、控制措施的处罚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病原微生物实验室生物安全管理条例》第六十六条：“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2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病原微生物实验室生物安全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表2-63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医疗卫生机构未建立、健全医疗废物管理制度，或者未设置监控部门或者专（兼）职人员；医疗卫生机构未对有关人员进行相关法律和专业技术、安全防护以及紧急处理等知识的培训；医疗卫生机构未对从事医疗废物收集、运送、贮存、处置等工作的人员和管理人员采取职业卫生防护措施；医疗卫生机构未对医疗废物进行登记或者未保存登记资料；医疗卫生机构对使用后的医疗废物运送工具或者运送车辆未在指定地点及时进行消毒和清洁；医疗卫生机构未及时收集、运送医疗废物的；医疗卫生机构未定期对医疗废物处置设施的环境污染防治和卫生学效果进行检测、评价，或者未将检测、评价效果存档、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医疗废物管理条例》第四十五条规定：“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w:t>
            </w:r>
            <w:r>
              <w:rPr>
                <w:rFonts w:hint="eastAsia" w:ascii="宋体" w:hAnsi="宋体" w:cs="宋体"/>
                <w:spacing w:val="-6"/>
              </w:rPr>
              <w:t>（二）未对有关人员进行相关法律和专业技术、安全防护以及紧急处理等知识的培训的；</w:t>
            </w:r>
            <w:r>
              <w:rPr>
                <w:rFonts w:hint="eastAsia" w:ascii="宋体" w:hAnsi="宋体" w:cs="宋体"/>
              </w:rPr>
              <w:t>（三）未对从事医疗废物收集、运送、贮存、处置等工作的人员和管理人员采取职业卫生防护措施的；（四）未对医疗废物进行登记或者未保存登记资料的；</w:t>
            </w:r>
            <w:r>
              <w:rPr>
                <w:rFonts w:hint="eastAsia" w:ascii="宋体" w:hAnsi="宋体" w:cs="宋体"/>
                <w:spacing w:val="-6"/>
              </w:rPr>
              <w:t>（五）对使用后的医疗废物运送工具或者运送车辆未在指定地点及时进行消毒和清洁的；</w:t>
            </w:r>
            <w:r>
              <w:rPr>
                <w:rFonts w:hint="eastAsia" w:ascii="宋体" w:hAnsi="宋体" w:cs="宋体"/>
              </w:rPr>
              <w:t>（六）未及时收集、运送医疗废物的；（七）未定期对医疗废物处置设施的环境污染防治和卫生学效果进行检测、评价，或者未将检测、评价效果存档、报告的。”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0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废物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表2-64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医疗卫生机构贮存设施或者设备不符合环境保护、卫生要求；医疗卫生机构未将医疗废物按照类别分置于专用包装物或者容器；医疗卫生机构未使用符合标准的专用车辆运送医疗废物或者使用运送医疗废物的车辆运送其他物品；医疗卫生机构未安装污染物排放在线监控装置或者监控装置未经常处于正常运行状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废物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表2-65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医疗卫生机构在运送过程中丢弃医疗废物，在非贮存地点倾倒、堆放医疗废物或者将医疗废物混入其他废物和生活垃圾；医疗卫生机构未执行危险废物转移联单管理制度；医疗卫生机构将医疗废物交给未取得经营许可证的单位或者个人收集、运送、贮存、处置；医疗卫生机构对医疗废物的处置不符合国家规定的环境保护、卫生标准、规范；医疗卫生机构未按照规定对污水、传染病病人或者疑似传染病病人的排泄物，进行严格消毒，或者未达到国家规定的排放标准，排入污水处理系统；医疗卫生机构对收治的传染病病人或者疑似传染病病人产生的生活垃圾，未按照医疗废物进行管理和处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医疗废物管理条例》第四十七条规定：“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废物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表2-66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对医疗卫生机构将未达到国家规定标准的污水、传染病病人或者疑似传染病病人的排泄物排入城市排水管网的处罚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医疗废物管理条例》第四十八条：“医疗卫生机构违反本条例规定，将未达到国家规定标准的污水、传染病病人或者疑似传染病病人的排泄物排入城市排水管网的，由县级以上地方人民政府建设行政主管部门责令限期改正，给予警告，并处5000元以上１万元以下的罚款；逾期不改正的，处１万元以上3万元以下的罚款；造成传染病传播或者环境污染事故的，由原发证部门暂扣或者吊销执业许可证件；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9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废物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表2-67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对医疗卫生机构发生医疗废物流失、泄漏、扩散时，未采取紧急处理措施，或者未及时向卫生行政主管部门报告的处罚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医疗废物管理条例》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3万元以下的罚款；造成传染病传播或者环境污染事故的，由原发证部门暂扣或者吊销执业许可证件或者经营许可证件；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废物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表2-68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对医疗卫生机构无正当理由，阻碍卫生行政主管部门或者环境保护行政主管部门执法人员执行职务，拒绝执法人员进入现场，或者不配合执法部门的检查、监测、调查取证的处罚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spacing w:val="-4"/>
              </w:rPr>
              <w:t>《医疗废物管理条例》第五十条：“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9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废物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表2-69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cs="宋体"/>
                <w:kern w:val="0"/>
              </w:rPr>
            </w:pPr>
            <w:r>
              <w:rPr>
                <w:rFonts w:hint="eastAsia" w:ascii="宋体" w:hAnsi="宋体" w:cs="宋体"/>
                <w:color w:val="000000"/>
                <w:kern w:val="0"/>
              </w:rPr>
              <w:t>对疾病预防控制机构及有关责任人员未依法履行传染病监测职责；未依法履行传染病疫情报告、通报职责，或者隐瞒、谎报、缓报传染病疫情；未主动收集传染病疫情信息，或者对传染病疫情信息和疫情报告未及时进行分析、调查、核实；发现传染病疫情时，未依据职责及时采取本法规定的措施；故意泄露传染病病人、病原携带者、疑似传染病病人、密切接触者涉及个人隐私的有关信息、资料的；未按规定建立专门的流行病学调查队伍，进行传染病疫情的流行病学调查工作的；在接到传染病疫情报告后，未按规定派人进行现场调查的；未按规定上报疫情或报告突发公共卫生事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传染病防治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表2-70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医疗机构及有关责任人未按照规定承担本单位的传染病预防、控制工作、医院感染控制任务和责任区域内的传染病预防工作；医疗机构及有关责任人未按照规定报告传染病疫情，或隐瞒、谎报、缓报传染病疫情；医疗机构及有关责任人发现传染病疫情时，未按照规定对传染病病人、疑似传染病病人提供医疗救护、现场救援、接诊、转诊的，或者拒绝接受转诊；医疗机构及有关责任人未按照规定对本单位内被传染病病原体污染的场所、物品以及医疗废物实施消毒或者无害化处置；医疗机构及有关责任人未按照规定对医疗器械进行消毒，或者对按照规定一次使用的医疗器具未予销毁，再次使用；医疗机构及有关责任人在医疗救治过程中未按照规定保管医学记录资料；医疗机构及有关责任人故意泄露传染病病人、病原携带者、疑似传染病病人、密切接触者涉及个人隐私的有关信息、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1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传染病防治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表2-71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对采供血机构未按照规定报告传染病疫情，或者隐瞒、谎报、缓报传染病疫情，或者未执行国家有关规定，导致因输入血液引起经血液传播疾病发生的处罚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3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传染病防治法》第七十条：“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传染病防治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表2-72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用于传染病防治的消毒产品不符合国家卫生标准和卫生规范；出售、运输疫区中被传染病病原体污染或者可能被传染病病原体污染的物品，未进行消毒处理；生物制品生产单位生产的血液制品不符合国家质量标准，导致或者可能导致传染病传播、流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传染病防治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表2-73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疾病预防控制机构、医疗机构和从事病原微生物实验的单位，不符合国家规定的条件和技术标准，对传染病病原体样本未按照规定进行严格管理，造成实验室感染和病原微生物扩散；违反国家有关规定，采集、保藏、携带、运输和使用传染病菌种、毒种和传染病检测样本；疾病预防控制机构、医疗机构未执行国家有关规定，导致因输入血液、使用血液制品引起经血液传播疾病发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二）违反国家有关规定，采集、保藏、携带、运输和使用传染病菌种、毒种和传染病检测样本的；（三）疾病预防控制机构、医疗机构未执行国家有关规定，导致因输入血液、使用血液制品引起经血液传播疾病发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9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传染病防治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表2-74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被传染病病原体污染的污水、污物、粪便不按规定进行消毒处理；对被甲类和乙类传染病病人、病原携带者、疑似传染病病人污染的场所、物品未按照卫生防疫机构的要求实施必要的卫生处理；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6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传染病防治法实施办法》第六十六条：“有下列行为之一的，由县级以上政府卫生行政部门责令限期改正，可以处5000元以下的罚款；情节较严重的，可以处5000元以上2万元以下的罚款，对主管人员和直接责任人员由其所在单位或者上级机关给予行政处分，（四）对被传染病病原体污染的污水、污物、粪便不按规定进行消毒处理的；（五）对被甲类和乙类传染病病人、病原携带者、疑似传染病病人污染的场所、物品未按照卫生防疫机构的要求实施必要的卫生处理的；（六）造成传染病的医源性感染、医院内感染、实验室感染和致病性微生物扩散的；（七）生产、经营、使用消毒药剂和消毒器械、卫生用品、卫生材料、一次性医疗器材、隐形眼镜、人造器官等不符合国家卫生标准，可能造成传染病的传播、扩散或者造成传染病的传播、扩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8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传染病防治法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表2-75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9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医疗卫生机构未履行艾滋病监测职责；未按照规定免费提供咨询和初筛检测；对临时应急采集的血液未进行艾滋病检测，对临床用血艾滋病检测结果未进行核查，或者将艾滋病检测阳性的血液用于临床；未遵守标准防护原则，或者未执行操作规程和消毒管理制度，发生艾滋病医院感染或者医源性感染；未采取有效的卫生防护措施和医疗保健措施；推诿、拒绝治疗艾滋病病毒感染者或者艾滋病病人的其他疾病，或者对艾滋病病毒感染者、艾滋病病人未提供咨询、诊断和治疗服务；未对艾滋病病毒感染者或者艾滋病病人进行医学随访；未按照规定对感染艾滋病病毒的孕产妇及其婴儿提供预防艾滋病母婴传播技术指导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艾滋病防治条例》第五十五条：“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一）未履行艾滋病监测职责的；（二）未按照规定免费提供咨询和初筛检测的；（三）对临时应急采集的血液未进行艾滋病检测，对临床用血艾滋病检测结果未进行核查，或者将艾滋病检测阳性的血液用于临床的；（四）未遵守标准防护原则，或者未执行操作规程和消毒管理制度，发生艾滋病医院感染或者医源性感染的；（五）未采取有效的卫生防护措施和医疗保健措施的；（六）推诿、拒绝治疗艾滋病病毒感染者或者艾滋病病人的其他疾病，或者对艾滋病病毒感染者、艾滋病病人未提供咨询、诊断和治疗服务的；（七）未对艾滋病病毒感染者或者艾滋病病人进行医学随访的；（八）未按照规定对感染艾滋病病毒的孕产妇及其婴儿提供预防艾滋病母婴传播技术指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艾滋病防治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表2-76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血站、单采血浆站对采集的人体血液、血浆未进行艾滋病检测，或者发现艾滋病检测阳性的人体血液、血浆仍然采集；血站、单采血浆站将未经艾滋病检测的人体血液、血浆，或者艾滋病检测阳性的人体血液、血浆供应给医疗机构和血液制品生产单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艾滋病防治条例》第五十七条：“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二）将未经艾滋病检测的人体血液、血浆，或者艾滋病检测阳性的人体血液、血浆供应给医疗机构和血液制品生产单位的。区县级部门无此处罚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4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艾滋病防治条例》《血液制品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表2-77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cs="宋体"/>
                <w:kern w:val="0"/>
              </w:rPr>
            </w:pPr>
            <w:r>
              <w:rPr>
                <w:rFonts w:hint="eastAsia" w:ascii="宋体" w:hAnsi="宋体" w:cs="宋体"/>
                <w:color w:val="000000"/>
                <w:kern w:val="0"/>
              </w:rPr>
              <w:t>对采集或者使用未进行艾滋病检测或者艾滋病检测阳性的人体组织、器官、细胞、骨髓等的处罚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艾滋病防治条例》第五十八条:“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6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艾滋病防治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表2-78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对提供、使用未经出入境检验检疫机构检疫的进口人体血液、血浆、组织、器官、细胞、骨髓等的处罚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0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艾滋病防治条例》第五十九条第一款：“未经国务院卫生主管部门批准进口的人体血液、血浆、组织、器官、细胞、骨髓等，进口口岸出入境检验检疫机构应当禁止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艾滋病防治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表2-79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医疗卫生机构未建立消毒管理组织，制定消毒管理制度，执行国家有关规范、标准和规定，定期开展消毒与灭菌效果检测工作；医疗卫生机构工作人员未接受消毒技术培训、掌握消毒知识，不按规定严格执行消毒隔离制度；医疗卫生机构使用的进入人体组织或无菌器官的医疗用品未达到灭菌要求，各种注射、穿刺、采血器具未一人一用一灭菌，凡接触皮肤、粘膜的器械和用品未达到消毒要求；医疗卫生机构使用的一次性使用医疗用品用后未及时进行无害化处理；医疗卫生机构购进消毒产品未建立并执行进货检查验收制度；医疗卫生机构的环境、物品不符合国家有关规范、标准和规定，排放废弃的污水、污物未按照国家有关规定进行无害化处理，运送传染病病人及其污染物品的车辆、工具未随时进行消毒处理；医疗卫生机构发生感染性疾病暴发、流行时未及时报告当地卫生计生行政部门并采取有效消毒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1.《消毒管理办法》第四条：“医疗卫生机构应当建立消毒管理组织，制定消毒管理制度，执行国家有关规范、标准和规定，定期开展消毒与灭菌效果检测工作。”</w:t>
            </w:r>
          </w:p>
          <w:p>
            <w:pPr>
              <w:spacing w:line="260" w:lineRule="exact"/>
              <w:ind w:firstLine="420"/>
              <w:rPr>
                <w:rFonts w:ascii="宋体" w:hAnsi="宋体" w:cs="宋体"/>
              </w:rPr>
            </w:pPr>
            <w:r>
              <w:rPr>
                <w:rFonts w:hint="eastAsia" w:ascii="宋体" w:hAnsi="宋体" w:cs="宋体"/>
              </w:rPr>
              <w:t>2.《消毒管理办法》第五条：“医疗卫生机构工作人员应当接受消毒技术培训、掌握消毒知识，并按规定严格执行消毒隔离制度。”</w:t>
            </w:r>
          </w:p>
          <w:p>
            <w:pPr>
              <w:spacing w:line="260" w:lineRule="exact"/>
              <w:ind w:firstLine="420"/>
              <w:rPr>
                <w:rFonts w:ascii="宋体" w:hAnsi="宋体" w:cs="宋体"/>
              </w:rPr>
            </w:pPr>
            <w:r>
              <w:rPr>
                <w:rFonts w:hint="eastAsia" w:ascii="宋体" w:hAnsi="宋体" w:cs="宋体"/>
              </w:rPr>
              <w:t>3.《消毒管理办法》第六条：“医疗卫生机构使用的进入人体组织或无菌器官的医疗用品必须达到灭菌要求。各种注射、穿刺、采血器具应当一人一用一灭菌。凡接触皮肤、粘膜的器械和用品必须达到消毒要求。医疗卫生机构使用的一次性使用医疗用品用后应当及时进行无害化处理。”</w:t>
            </w:r>
          </w:p>
          <w:p>
            <w:pPr>
              <w:spacing w:line="260" w:lineRule="exact"/>
              <w:ind w:firstLine="420"/>
              <w:rPr>
                <w:rFonts w:ascii="宋体" w:hAnsi="宋体" w:cs="宋体"/>
              </w:rPr>
            </w:pPr>
            <w:r>
              <w:rPr>
                <w:rFonts w:hint="eastAsia" w:ascii="宋体" w:hAnsi="宋体" w:cs="宋体"/>
              </w:rPr>
              <w:t>4.《消毒管理办法》第七条：“医疗卫生机构购进消毒产品必须建立并执行进货检查验收制度。”</w:t>
            </w:r>
            <w:r>
              <w:rPr>
                <w:rFonts w:hint="eastAsia" w:ascii="宋体" w:hAnsi="宋体" w:cs="宋体"/>
              </w:rPr>
              <w:br w:type="textWrapping"/>
            </w:r>
            <w:r>
              <w:rPr>
                <w:rFonts w:hint="eastAsia" w:ascii="宋体" w:hAnsi="宋体" w:cs="宋体"/>
              </w:rPr>
              <w:t xml:space="preserve">    5.《消毒管理办法》第八条：“医疗卫生机构的环境、物品应当符合国家有关规范、标准和规定。排放废弃的污水、污物应当按照国家有关规定进行无害化处理。运送传染病病人及其污染物品的车辆、工具必须随时进行消毒处理。”</w:t>
            </w:r>
          </w:p>
          <w:p>
            <w:pPr>
              <w:spacing w:line="260" w:lineRule="exact"/>
              <w:ind w:firstLine="420"/>
              <w:rPr>
                <w:rFonts w:ascii="宋体" w:hAnsi="宋体" w:cs="宋体"/>
              </w:rPr>
            </w:pPr>
            <w:r>
              <w:rPr>
                <w:rFonts w:hint="eastAsia" w:ascii="宋体" w:hAnsi="宋体" w:cs="宋体"/>
              </w:rPr>
              <w:t>6.《消毒管理办法》第四十五条：“由县级以上地方卫生行政部门责令限期改正，可以处5000元以下罚款；造成感染性疾病暴发的，可以处5000元以上20000元以下罚款。”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消毒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表2-80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医疗机构未建立或者未落实医院感染管理的规章制度、工作规范；医疗机构未设立医院感染管理部门、分管部门以及指定专（兼）职人员负责医院感染预防与控制工作；医疗机构违反对医疗器械、器具的消毒工作技术规范；医疗机构违反无菌操作技术规范和隔离技术规范的；医疗机构未对消毒药械和一次性医疗器械、器具的相关证明进行审核；医疗机构未对医务人员职业暴露提供职业卫生防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w:t>
            </w:r>
            <w:r>
              <w:rPr>
                <w:rFonts w:hint="eastAsia" w:ascii="宋体" w:hAnsi="宋体" w:cs="宋体"/>
                <w:spacing w:val="-4"/>
              </w:rPr>
              <w:t>医院感染管理办法》第三十三条：“医疗机构违反本办法，有下列行为之一的，由县级以上地方人民政府卫生行政部门责令改正，逾期不改的，给予警告并通报批评；情节严重的，对主要负责人和直接责任人给予降级或者撤职的行政处分，（一）未建立或者未落实医院感染管理的规章制度、工作规范；（二）未设立医院感染管理部门、分管部门以及指定专（兼）职人员负责医院感染预防与控制工作；（三）违反对医疗器械、器具的消毒工作技术规范；（四）违反无菌操作技术规范和隔离技术规范；（五）未对消毒药械和一次性医疗器械、器具的相关证明进行审核；（六）未对医务人员职业暴露提供职业卫生防护。</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3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院感染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表2-81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cs="宋体"/>
                <w:kern w:val="0"/>
              </w:rPr>
            </w:pPr>
            <w:r>
              <w:rPr>
                <w:rFonts w:hint="eastAsia" w:ascii="宋体" w:hAnsi="宋体" w:cs="宋体"/>
                <w:color w:val="000000"/>
                <w:kern w:val="0"/>
              </w:rPr>
              <w:t>对医疗卫生服务机构和计划生育技术服务机构未执行国家有关消毒技术规范、标准和规定；托幼、养老机构未建立健全消毒管理制度，按照卫生行政部门的规定和要求，对室内空气、餐具、玩具及其他活动场所、物品进行定期消毒处理；致病微生物实验机构未遵守有关的消毒管理制度和操作规程，对实验的器材、污染物品等按照卫生行政部门的规定进行消毒处理，防止传染病感染和致病微生物的扩散；殡仪馆、火葬场和停放尸体的场所及运送尸体的车辆未建立经常性的消毒制度，按照卫生行政部门的规定及时进行消毒处理；传染病疫源地未按照国家有关法律法规和疫源地消毒技术规范和标准的要求实施消毒；经营洗涤衣物及租售旧衣物的单位和个人未按卫生行政部门要求对相关物品及场所进行消毒；学校、流动人口集中生活的单位和机构未按照卫生行政部门的规定，对学生宿舍（公寓）、流动人口生活场所及物品进行定期消毒处理；实施消毒未使用符合有关技术规范和标准的消毒产品和消毒方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四川省消毒管理条例》第五条：“医疗卫生服务机构和计划生育技术服务机构应当制定消毒管理制度，定期开展消毒效果监测，并遵守下列规定，（二）执行国家有关消毒技术规范、标准和规定；第十八条第一款：违反本条例第五条第（二）项、第六条、第七条规定的，由卫生行政部门责令限期改正，并可处五百元以上二千元以下的罚款。”</w:t>
            </w:r>
          </w:p>
          <w:p>
            <w:pPr>
              <w:spacing w:line="260" w:lineRule="exact"/>
              <w:ind w:firstLine="420"/>
              <w:rPr>
                <w:rFonts w:ascii="宋体" w:hAnsi="宋体" w:cs="宋体"/>
              </w:rPr>
            </w:pPr>
            <w:r>
              <w:rPr>
                <w:rFonts w:hint="eastAsia" w:ascii="宋体" w:hAnsi="宋体" w:cs="宋体"/>
              </w:rPr>
              <w:t>2.《四川省消毒管理条例》第六条：“（一）托幼、养老机构应当建立健全消毒管理制度，按照卫生行政部门的规定和要求，对室内空气、餐具、玩具及其他活动场所、物品进行定期消毒处理；第十八条第一款：违反本条例第五条（二）致病微生物实验机构应当遵守有关的消毒管理制度和操作规程，对实验的器材、污染物品等按照卫生行政部门的规定进行消毒处理，防止传染病感染和致病微生物的扩散；（三）殡仪馆、火葬场和停放尸体的场所及运送尸体的车辆应当建立经常性的消毒制度，按照卫生行政部门的规定及时进行消毒处理；（四）传染病疫源地应当按照国家有关法律法规和疫源地消毒技术规范和标准的要求实施消毒；（五）经营洗涤衣物及租售旧衣物的单位和个人，应按卫生行政部门要求对相关物品及场所进行消毒；（六）学校、流动人口集中生活的单位和机构，应当按照卫生行政部门的规定，对学生宿舍（公寓）、流动人口生活场所及物品进行定期消毒处理。”第十八条第一款：“违反本条例第五条第（二）项、第六条、第七条规定的，由卫生行政部门责令限期改正，并可处五百元以上二千元以下的罚款。”第十八条第一款：“违反本条例第五条第（二）项、第六条、第七条规定的，由卫生行政部门责令限期改正，并可处五百元以上二千元以下的罚款。”</w:t>
            </w:r>
          </w:p>
          <w:p>
            <w:pPr>
              <w:spacing w:line="260" w:lineRule="exact"/>
              <w:ind w:firstLine="420"/>
              <w:rPr>
                <w:rFonts w:ascii="宋体" w:hAnsi="宋体" w:cs="宋体"/>
              </w:rPr>
            </w:pPr>
            <w:r>
              <w:rPr>
                <w:rFonts w:hint="eastAsia" w:ascii="宋体" w:hAnsi="宋体" w:cs="宋体"/>
              </w:rPr>
              <w:t>3.《四川省消毒管理条例》第七条：“实施消毒应当使用符合有关技术规范和标准的消毒产品和消毒方法。”第十八条第一款：“违反本条例第五条第（二）项、第六条、第七条规定的，由卫生行政部门责令限期改正，并可处五百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2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消毒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表2-82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对非法为他人施行计划生育手术的；利用超声技术和其他技术手段为他人进行非医学需要的胎儿性别鉴定或者选择性别的人工终止妊娠的；进行假医学鉴定、出具假计划生育证明的处罚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4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人口与计划生育法》（2015修正）中华人民共和国主席令（第四十一号）第三十六条：“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三）进行假医学鉴定、出具假计划生育证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人口与计划生育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表2-83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kern w:val="0"/>
              </w:rPr>
            </w:pPr>
            <w:r>
              <w:rPr>
                <w:rFonts w:hint="eastAsia" w:ascii="宋体" w:hAnsi="宋体" w:cs="宋体"/>
              </w:rPr>
              <w:t>对伪造、变造、买卖计划生育证明的处罚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人口与计划生育法》（2015修正）中华人民共和国主席令（第四十一号）第三十七条：“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以不正当手段取得计划生育证明的，由计划生育行政部门取消其计划生育证明；出具证明的单位有过错的，对直接负责的主管人员和其他直接责任人员依法给予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1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人口与计划生育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表2-84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对计划生育技术服务机构或者医疗、保健机构以外的机构或者人员擅自从事计划生育技术服务的处罚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计划生育技术服务管理条例》（修订）2001年6月13日中华人民共和国国务院令第309号公布根据2004年12月10日《国务院关于修改＜计划生育技术服务管理条例＞的决定》修订第三十四条：“计划生育技术服务机构或者医疗、保健机构以外的机构或者人员违反本条例的规定，擅自从事计划生育技术服务的，由县级以上地方人民政府计划生育行政部门依据职权，责令改正，给予警告，没收违法所得和有关药品、医疗器械；违法所得5000元以上的，并处违法所得2倍以上5倍以下的罚款；没有违法所得或者违法所得不足5000元的，并处5000元以上2万元以下的罚款；造成严重后果，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计划生育技术服务管理条例》《国务院关于修改＜计划生育技术服务管理条例＞的决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表2-85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textAlignment w:val="baseline"/>
              <w:rPr>
                <w:rFonts w:ascii="宋体" w:hAnsi="宋体" w:cs="宋体"/>
                <w:kern w:val="0"/>
              </w:rPr>
            </w:pPr>
            <w:r>
              <w:rPr>
                <w:rFonts w:hint="eastAsia" w:ascii="宋体" w:hAnsi="宋体" w:cs="宋体"/>
              </w:rPr>
              <w:t>对拒不校验计划生育技术服务执业许可证明文件，继续从事计划生育技术服务的处罚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6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textAlignment w:val="baseline"/>
              <w:rPr>
                <w:rFonts w:ascii="宋体" w:hAnsi="宋体" w:cs="宋体"/>
              </w:rPr>
            </w:pPr>
            <w:r>
              <w:rPr>
                <w:rFonts w:hint="eastAsia" w:ascii="宋体" w:hAnsi="宋体" w:cs="宋体"/>
              </w:rPr>
              <w:t>《计划生育技术服务管理条例》（修订）2001年6月13日中华人民共和国国务院令第309号公布根据2004年12月10日《国务院关于修改＜计划生育技术服务管理条例＞的决定》修订第三十六条:“违法本规定，逾期不校验计划生育技术服务执业许可证明文件，继续从事计划生育技术服务的，由原发证部门责令限期补办校验手续；拒不校验的，由原发证部门吊销计划生育技术服务的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8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计划生育技术服务管理条例》《国务院关于修改＜计划生育技术服务管理条例＞的决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表2-86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baseline"/>
              <w:rPr>
                <w:rFonts w:ascii="宋体" w:hAnsi="宋体" w:cs="宋体"/>
                <w:kern w:val="0"/>
              </w:rPr>
            </w:pPr>
            <w:r>
              <w:rPr>
                <w:rFonts w:hint="eastAsia" w:ascii="宋体" w:hAnsi="宋体" w:cs="宋体"/>
              </w:rPr>
              <w:t>对买卖、出借、出租或者涂改、伪造计划生育技术服务执业许可证明文件的处罚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textAlignment w:val="baseline"/>
              <w:rPr>
                <w:rFonts w:ascii="宋体" w:hAnsi="宋体" w:cs="宋体"/>
              </w:rPr>
            </w:pPr>
            <w:r>
              <w:rPr>
                <w:rFonts w:hint="eastAsia" w:ascii="宋体" w:hAnsi="宋体" w:cs="宋体"/>
              </w:rPr>
              <w:t>《计划生育技术服务管理条例》（修订）2001年6月13日中华人民共和国国务院令第309号公布根据2004年12月10日《国务院关于修改＜计划生育技术服务管理条例＞的决定》修订第三十七条：“违反本条例的规定，买卖、出借、出租或者涂改、伪造计划生育技术服务执业许可证明文件的，由原发证部门责令改正，没收违法所得；违法所得3000元以上的，并处违法所得2倍以上5倍以下的罚款；没有违法所得或者违法所得不足3000元的，并处3000元以上5000元以下的罚款；情节严重的，并由原发证部门吊销相关的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计划生育技术服务管理条例》《国务院关于修改＜计划生育技术服务管理条例＞的决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表2-87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对从事计划生育技术服务的机构，未经批准擅自扩大计划生育技术服务项目的处罚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计划生育技术服务管理条例》（修订）2001年6月13日中华人民共和国国务院令第309号公布根据2004年12月10日《国务院关于修改＜计划生育技术服务管理条例＞的决定》修订第三十六条：“从事计划生育技术服务的机构违反本条例的规定，未经批准擅自扩大计划生育技术服务项目的，由原发证部门责令改正，给予警告，没收违法所得；违法所得5000元以上的，并处违法所得２倍以上５倍以下的罚款；没有违法所得或者违法所得不足5000元的，并处5000元以上２万元以下的罚款；情节严重的，并由原发证部门吊销计划生育技术服务的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8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3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3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3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3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3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3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3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计划生育技术服务管理条例》《国务院关于修改＜计划生育技术服务管理条例＞的决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12345</w:t>
            </w:r>
          </w:p>
        </w:tc>
      </w:tr>
    </w:tbl>
    <w:p>
      <w:pPr>
        <w:spacing w:line="230" w:lineRule="exact"/>
        <w:rPr>
          <w:rFonts w:ascii="宋体" w:hAnsi="宋体" w:cs="宋体"/>
        </w:rPr>
      </w:pPr>
      <w:r>
        <w:rPr>
          <w:rFonts w:hint="eastAsia" w:ascii="宋体" w:hAnsi="宋体" w:cs="宋体"/>
        </w:rPr>
        <w:t>表2-88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1470" w:firstLineChars="700"/>
              <w:textAlignment w:val="center"/>
              <w:rPr>
                <w:rFonts w:ascii="宋体" w:hAnsi="宋体" w:cs="宋体"/>
                <w:kern w:val="0"/>
              </w:rPr>
            </w:pPr>
            <w:r>
              <w:rPr>
                <w:rFonts w:hint="eastAsia" w:ascii="宋体" w:hAnsi="宋体" w:cs="宋体"/>
                <w:color w:val="000000"/>
                <w:kern w:val="0"/>
              </w:rPr>
              <w:t>对从事计划生育技术服务的机构出具虚假证明文件的处罚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rPr>
                <w:rFonts w:ascii="宋体" w:hAnsi="宋体" w:cs="宋体"/>
              </w:rPr>
            </w:pPr>
            <w:r>
              <w:rPr>
                <w:rFonts w:hint="eastAsia" w:ascii="宋体" w:hAnsi="宋体" w:cs="宋体"/>
              </w:rPr>
              <w:t>《计划生育技术服务管理条例实施细则》（国家计划生育委员会令第6号）第五十三条：“计划生育技术服务机构和从事计划生育技术服务的医疗、保健机构在开展计划生育技术服务时，出具虚假证明文件、做假手术的，由原发证部门依照条例第三十九条的规定进行处罚。从事计划生育技术服务的人员有以上行为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3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3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3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3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3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3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3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tcPr>
          <w:p>
            <w:pPr>
              <w:spacing w:line="23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计划生育技术服务管理条例实施细则》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12345</w:t>
            </w:r>
          </w:p>
        </w:tc>
      </w:tr>
    </w:tbl>
    <w:p>
      <w:pPr>
        <w:spacing w:line="230" w:lineRule="exact"/>
        <w:rPr>
          <w:rFonts w:ascii="宋体" w:hAnsi="宋体" w:cs="宋体"/>
        </w:rPr>
      </w:pPr>
      <w:r>
        <w:rPr>
          <w:rFonts w:hint="eastAsia" w:ascii="宋体" w:hAnsi="宋体" w:cs="宋体"/>
        </w:rPr>
        <w:t>表2-89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单采血浆站隐瞒、阻碍、拒绝卫生行政部门监督检查或者不如实提供有关资料的；对供血浆者未履行事先告知义务，未经供血浆者同意开展特殊免疫的；未按照规定建立供血浆者档案管理及屏蔽、淘汰制度的；未按照规定制订各项工作制度或者不落实的；工作人员未取得相关岗位执业资格或者未经执业注册从事采供血浆工作的；不按照规定记录或者保存工作记录的；未按照规定保存血浆标本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单采血浆站管理办法》第六十二条：“单采血浆站违反本办法有关规定，有下列行为之一的，由县级以上地方人民政府卫生行政部门予以警告，并处3万元以下的罚款，（一）隐瞒、阻碍、拒绝卫生行政部门监督检查或者不如实提供有关资料的；（二）对供血浆者未履行事先告知义务，未经供血浆者同意开展特殊免疫的；（三）未按照规定建立供血浆者档案管理及屏蔽、淘汰制度的；（四）未按照规定制订各项工作制度或者不落实的；（五）工作人员未取得相关岗位执业资格或者未经执业注册从事采供血浆工作的；（六）不按照规定记录或者保存工作记录的；（七）未按照规定保存血浆标本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8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kern w:val="0"/>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单采血浆站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表2-90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对未取得职业卫生技术服务资质认可擅自从事职业卫生技术服务的，或者医疗卫生机构未经批准擅自从事职业病诊断的处罚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中华人民共和国职业病防治法》(2018修正)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spacing w:line="260" w:lineRule="exact"/>
              <w:ind w:firstLine="420"/>
              <w:rPr>
                <w:rFonts w:ascii="宋体" w:hAnsi="宋体" w:cs="宋体"/>
              </w:rPr>
            </w:pPr>
            <w:r>
              <w:rPr>
                <w:rFonts w:hint="eastAsia" w:ascii="宋体" w:hAnsi="宋体" w:cs="宋体"/>
              </w:rPr>
              <w:t xml:space="preserve">2.《中华人民共和国职业病防治法》(2018修正)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 （一）超出资质认可或者诊疗项目登记范围从事职业卫生技术服务或者职业病诊断的。”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7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职业病防治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表2-91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630" w:firstLineChars="300"/>
              <w:textAlignment w:val="center"/>
              <w:rPr>
                <w:rFonts w:ascii="宋体" w:hAnsi="宋体" w:cs="宋体"/>
                <w:kern w:val="0"/>
              </w:rPr>
            </w:pPr>
            <w:r>
              <w:rPr>
                <w:rFonts w:hint="eastAsia" w:ascii="宋体" w:hAnsi="宋体" w:cs="宋体"/>
                <w:color w:val="000000"/>
                <w:kern w:val="0"/>
              </w:rPr>
              <w:t>对医疗机构工作场所职业病危害因素检测、评价结果没有存档、上报、公布的；未按照《职业病防治法》第二十条规定采取职业病防治管理措施的；未按照规定公布有关职业病防治的规章制度、操作规程、职业病危害事故应急救援措施的；未按照规定组织劳动者进行职业卫生培训，或者未对劳动者个人职业病防护采取指导、督促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color w:val="000000"/>
                <w:kern w:val="0"/>
              </w:rPr>
              <w:t>《中华人民共和国职业病防治法》</w:t>
            </w:r>
            <w:r>
              <w:rPr>
                <w:rFonts w:hint="eastAsia" w:ascii="宋体" w:hAnsi="宋体" w:cs="宋体"/>
              </w:rPr>
              <w:t>(2018修正)</w:t>
            </w:r>
            <w:r>
              <w:rPr>
                <w:rFonts w:hint="eastAsia" w:ascii="宋体" w:hAnsi="宋体" w:cs="宋体"/>
                <w:color w:val="000000"/>
                <w:kern w:val="0"/>
              </w:rPr>
              <w:t>第七十条：“违反本法规定，有下列行为之一的，由卫生行政部门给予警告，责令限期改正；逾期不改正的，处十万元以下的罚款，（一）工作场所职业病危害因素检测、评价结果没有存档、上报、公布的； （二）未采取本法第二十条规定的职业病防治管理措施的； （三）未按照规定公布有关职业病防治的规章制度、操作规程、职业病危害事故应急救援措施的； （四）未按照规定组织劳动者进行职业卫生培训，或者未对劳动者个人职业病防护采取指导、督促措施的。”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1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职业病防治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表2-92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医疗机构放射性职业病危害控制中订立或者变更劳动合同时，未告知劳动者职业病危害真实情况的；未按照规定组织职业健康检查、建立职业健康监护档案或者未将检查结果书面告知劳动者的；未依照本法规定在劳动者离开用人单位时提供职业健康监护档案复印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spacing w:val="-4"/>
              </w:rPr>
            </w:pPr>
            <w:r>
              <w:rPr>
                <w:rFonts w:hint="eastAsia" w:ascii="宋体" w:hAnsi="宋体" w:cs="宋体"/>
                <w:spacing w:val="-4"/>
              </w:rPr>
              <w:t>《中华人民共和国职业病防治法》(2018年12月修正版) 第七十一条:“用人单位违反本法规定，有下列行为之一的，由卫生行政部门责令限期改正，给予警告，可以并处五万元以上十万元以下的罚款，（一）未按照规定及时、如实向卫生行政部门申报产生职业病危害的项目的；（二）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9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kern w:val="0"/>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职业病防治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表2-93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textAlignment w:val="center"/>
              <w:rPr>
                <w:rFonts w:ascii="宋体" w:hAnsi="宋体" w:cs="宋体"/>
                <w:kern w:val="0"/>
              </w:rPr>
            </w:pPr>
            <w:r>
              <w:rPr>
                <w:rStyle w:val="39"/>
                <w:rFonts w:hint="default" w:cs="宋体"/>
                <w:sz w:val="21"/>
                <w:szCs w:val="21"/>
              </w:rPr>
              <w:t>对医疗机构未按照规定进行建设项目职业病危害预评价的；医疗机构可能产生放射性职业病危害的建设项目未按照规定提交职业病危害预评价报告，或者放射性职业病危害预评价报告未经卫生行政部门审核同意，开工建设的;医疗机构放射性职业病危害严重的建设项目的防护设施设计未经卫生行政部门审查同意擅自施工的;医疗机构未按照规定进行建设项目职业病危害控制效果评价的；医疗机构可能产生放射性职业病危害的建设项目竣工验收时，其放射性职业病防护设施未经卫生行政部门验收合格，投入使用建设项目的职业病防护设施设计不符合国家职业卫生标准和卫生要求，或者医疗机构放射性职业病危害严重的建设项目的防护设施设计未经卫生行政部门审查同意擅自施工的；未按照规定对职业病防护设施进行职业病危害控制效果评价的；建设项目竣工投入生产和使用前，职业病防护设施未按照规定验收合格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《中华人民共和国职业病防治法》(2018修正) 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 （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职业病防治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表2-94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医疗机构放射性职业病危害控制中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放射事件）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的；未按照规定承担职业病诊断、鉴定费用和职业病病人的医疗、生活保障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9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《中华人民共和国职业病防治法》(2018修正) 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 （三）对职业病防护设备、应急救援设施和个人使用的职业病防护用品未按照规定进行维护、检修、检测，或者不能保持正常运行、使用状态的；（四）未按照规定对工作场所职业病危害因素进行检测、评价的；（五）工作场所职业病危害因素经治理仍然达不到国家职业卫生标准和卫生要求时，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 （十一）未按照规定承担职业病诊断、鉴定费用和职业病病人的医疗、生活保障费用的。”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职业病防治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表2-95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840" w:firstLineChars="400"/>
              <w:rPr>
                <w:rFonts w:ascii="宋体" w:hAnsi="宋体" w:cs="宋体"/>
                <w:kern w:val="0"/>
              </w:rPr>
            </w:pPr>
            <w:r>
              <w:rPr>
                <w:rFonts w:hint="eastAsia" w:ascii="宋体" w:hAnsi="宋体" w:cs="宋体"/>
              </w:rPr>
              <w:t>对医疗卫生机构未按照规定报告职业病、疑似职业病的或弄虚作假的处罚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《中华人民共和国职业病防治法》(2018修正) 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6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职业病防治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表2-96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4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cs="宋体"/>
                <w:kern w:val="0"/>
              </w:rPr>
            </w:pPr>
            <w:r>
              <w:rPr>
                <w:rFonts w:hint="eastAsia" w:ascii="宋体" w:hAnsi="宋体" w:cs="宋体"/>
                <w:color w:val="000000"/>
                <w:kern w:val="0"/>
              </w:rPr>
              <w:t>对隐瞒本单位职业卫生真实情况的；可能发生急性职业损伤的有毒、有害工作场所、放射工作场所或者放射性同位素的运输、贮存不符合本法第二十五条规定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《中华人民共和国职业病防治法》(2018修正) 第七十五条：“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职业病防治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表2-97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1470" w:firstLineChars="700"/>
              <w:rPr>
                <w:rFonts w:ascii="宋体" w:hAnsi="宋体" w:cs="宋体"/>
                <w:kern w:val="0"/>
              </w:rPr>
            </w:pPr>
            <w:r>
              <w:rPr>
                <w:rFonts w:hint="eastAsia" w:ascii="宋体" w:hAnsi="宋体" w:cs="宋体"/>
              </w:rPr>
              <w:t>对未给从事放射工作的人员办理《放射工作人员证》的处罚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《放射工作人员职业健康管理办法》第三十九条：“ 放射工作单位违反本办法，未给从事放射工作的人员办理《放射工作人员证》的，由卫生行政部门责令限期改正，给予警告，并可处3万元以下的罚款。”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2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放射工作人员职业健康管理办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 xml:space="preserve"> 表2-98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840" w:firstLineChars="400"/>
              <w:rPr>
                <w:rFonts w:ascii="宋体" w:hAnsi="宋体" w:cs="宋体"/>
                <w:kern w:val="0"/>
              </w:rPr>
            </w:pPr>
            <w:r>
              <w:rPr>
                <w:rFonts w:hint="eastAsia" w:ascii="宋体" w:hAnsi="宋体" w:cs="宋体"/>
              </w:rPr>
              <w:t>在不符合相应生物安全要求的实验室从事病原微生物相关实验活动的处罚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《病原微生物实验室生物安全管理条例》第五十九条：“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5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病原微生物实验室生物安全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表2-99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《病原微生物实验室生物安全管理条例》第六十二条：“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1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病原微生物实验室生物安全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表2-100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疾病预防控制机构和医疗机构及其人员未依法履行疫情报告职责，隐瞒、缓报或者谎报的；拒绝服从卫生行政部门调遣的；未按照规定及时采取预防控制措施的；拒绝接诊病人或者疑似病人的；未按照规定履行监测职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spacing w:val="-4"/>
              </w:rPr>
            </w:pPr>
            <w:r>
              <w:rPr>
                <w:rFonts w:hint="eastAsia" w:ascii="宋体" w:hAnsi="宋体" w:cs="宋体"/>
                <w:spacing w:val="-4"/>
              </w:rPr>
              <w:t>《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一）未依法履行疫情报告职责，隐瞒、缓报或者谎报的；（二）拒绝服从卫生行政部门调遣的；（三）未按照规定及时采取预防控制措施的；（四）拒绝接诊病人或者疑似病人的；（五）未按照规定履行监测职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传染性非典型肺炎防治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p>
    <w:p>
      <w:pPr>
        <w:spacing w:line="240" w:lineRule="exact"/>
        <w:rPr>
          <w:rFonts w:ascii="宋体" w:hAnsi="宋体" w:cs="宋体"/>
        </w:rPr>
      </w:pPr>
    </w:p>
    <w:p>
      <w:pPr>
        <w:spacing w:line="240" w:lineRule="exact"/>
        <w:rPr>
          <w:rFonts w:ascii="宋体" w:hAnsi="宋体" w:cs="宋体"/>
        </w:rPr>
      </w:pPr>
      <w:r>
        <w:rPr>
          <w:rFonts w:hint="eastAsia" w:ascii="宋体" w:hAnsi="宋体" w:cs="宋体"/>
        </w:rPr>
        <w:t>表2-101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kern w:val="0"/>
              </w:rPr>
            </w:pPr>
            <w:r>
              <w:rPr>
                <w:rFonts w:hint="eastAsia" w:ascii="宋体" w:hAnsi="宋体" w:cs="宋体"/>
              </w:rPr>
              <w:t>对药师未按照规定调剂处方药品的处罚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《处方管理办法》第五十八条 ：“药师未按照规定调剂处方药品，情节严重的，由县级以上卫生行政部门责令改正、通报批评，给予警告;并由所在医疗机构或者其上级单位给予纪律处分。”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处方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表2-102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医务人员未经人体器官移植技术临床应用与伦理委员会审查同意摘取人体器官的；摘取活体器官前未依对照《人体器官移植条例》第十九条的规定履行说明、查验、确认义务的；对摘取器官完毕的尸体未进行符合伦理原则的医学处理，恢复尸体原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人体器官移植条例》第二十八条：“医务人员有下列情形之一的，依法给予处分；情节严重的，由县级以上地方人民政府卫生主管部门依照职责分工暂停其6个月以上1年以下执业活动；情节特别严重的，由原发证部门吊销其执业证书，（一）未经人体器官移植技术临床应用与伦理委员会审查同意摘取人体器官的；（二）摘取活体器官前未依照本条例第十九条的规定履行说明、查验、确认义务的；（三）对摘取器官完毕的尸体未进行符合伦理原则的医学处理，恢复尸体原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3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人体器官移植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表2-103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kern w:val="0"/>
              </w:rPr>
            </w:pPr>
            <w:r>
              <w:rPr>
                <w:rFonts w:hint="eastAsia" w:ascii="宋体" w:hAnsi="宋体" w:cs="宋体"/>
              </w:rPr>
              <w:t>对从事人体器官移植的医务人员参与尸体器官捐献人的死亡判定的处罚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《人体器官移植条例》第三十条 :“从事人体器官移植的医务人员参与尸体器官捐献人的死亡判定的，由县级以上地方人民政府卫生主管部门依照职责分工暂停其6个月以上1年以下执业活动；情节严重的，由原发证部门吊销其执业证书。”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4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人体器官移植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表2-104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对医疗机构违反《医疗机构临床用血管理办法》关于应急用血采血规定的处罚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医疗机构临床用血管理办法》第三十七条：“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0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机构临床用血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表2-105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的其他行为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0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医疗机构临床用血管理办法》第三十五条：“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kern w:val="0"/>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机构临床用血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表2-106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医疗机构使用未取得抗菌药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抗菌药物临床应用管理办法》第五十条：“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二）未对抗菌药物处方、医嘱实施适宜性审核，情节严重的；（三）非药学部门从事抗菌药物购销、调剂活动的；（四）将抗菌药物购销、临床应用情况与个人或者科室经济利益挂钩的；（五）在抗菌药物购销、临床应用中牟取不正当利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抗菌药物临床应用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rPr>
          <w:rFonts w:ascii="宋体" w:hAnsi="宋体" w:cs="宋体"/>
        </w:rPr>
      </w:pPr>
    </w:p>
    <w:p>
      <w:pPr>
        <w:spacing w:line="260" w:lineRule="exact"/>
        <w:rPr>
          <w:rFonts w:ascii="宋体" w:hAnsi="宋体" w:cs="宋体"/>
        </w:rPr>
      </w:pPr>
      <w:r>
        <w:rPr>
          <w:rFonts w:hint="eastAsia" w:ascii="宋体" w:hAnsi="宋体" w:cs="宋体"/>
        </w:rPr>
        <w:t>表2-107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医师未按照《抗菌药物临床应用管理办法》规定开具抗菌药物处方，造成严重后果的；使用未经国家药品监督管理部门批准的抗菌药物的；使用本机构抗菌药物供应目录以外的品种、品规，造成严重后果的；违反《抗菌药物临床应用管理办法》其他规定，造成严重后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抗菌药物临床应用管理办法》第五十二条：“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的；（二）使用未经国家药品监督管理部门批准的抗菌药物的；（三）使用本机构抗菌药物供应目录以外的品种、品规，造成严重后果的；（四）违反本办法其他规定，造成严重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2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抗菌药物临床应用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表2-108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对药师未按照规定审核、调剂抗菌药物处方，情节严重的；未按照规定私自增加抗菌药物品种或者品规的；违反《抗菌药物临床应用管理办法》其他规定的处罚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抗菌药物临床应用管理办法》(卫生部令第84号)第五十三条：“药师有下列情形之一的，由县级以上卫生行政部门责令限期改正，给予警告；构成犯罪的，依法追究刑事责任，(一)未按照规定审核、调剂抗菌药物处方，情节严重的；(二)未按照规定私自增加抗菌药物品种或者品规的；(三)违反本办法其他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9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抗菌药物临床应用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表2-109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对不符合《中华人民共和国精神卫生法》规定条件的医疗机构擅自从事精神障碍诊断、治疗的处罚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中华人民共和国精神卫生法》第七十三条：“不符合本法规定条件的医疗机构擅自从事精神障碍诊断、治疗的，由县级以上人民政府卫生行政部门责令停止相关诊疗活动，给予警告，并处5000元以上10000元以下罚款，有违法所得的，没收违法所得；对直接负责的主管人员和其他直接责任人员依法给予或者责令给予降低岗位等级或者撤职、开除的处分；对有关医务人员，吊销其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精神卫生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表2-110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对医疗机构及其工作人员拒绝对送诊的疑似精神障碍患者作出诊断的；对依照《中华人民共和国精神卫生法》第三十条第二款规定实施住院治疗的患者未及时进行检查评估或者未根据评估结果作出处理的处罚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中华人民共和国精神卫生法》第七十四条：“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1个月以上6个月以下执业活动，（一）拒绝对送诊的疑似精神障碍患者作出诊断的；（二）对依照本法第三十条第二款规定实施住院治疗的患者未及时进行检查评估或者未根据评估结果作出处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1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精神卫生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表2-111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医疗机构及其工作人员违反《精神卫生法》规定实施约束、隔离等保护性医疗措施的；违反《精神卫生法》规定，强迫精神障碍患者劳动的；违反《精神卫生法》规定对精神障碍患者实施外科手术或者实验性临床医疗的；违反《精神卫生法》规定，侵害精神障碍患者的通讯和会见探访者等权利的；违反精神障碍诊断标准，将非精神障碍患者诊断为精神障碍患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精神卫生法》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的；（二）违反本法规定，强迫精神障碍患者劳动的；（三）违反本法规定对精神障碍患者实施外科手术或者实验性临床医疗的；（四）违反本法规定，侵害精神障碍患者的通讯和会见探访者等权利的；（五）违反精神障碍诊断标准，将非精神障碍患者诊断为精神障碍患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7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精神卫生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表2-112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对职业病诊断机构未建立职业病诊断管理制度；不按照规定向劳动者公开职业病诊断程序；泄露劳动者涉及个人隐私的有关信息、资料的；其他违反《职业病诊断与鉴定管理办法》行为的处罚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职业病诊断与鉴定管理办法》第五十八条：“职业病诊断机构违反本办法规定，有下列情形之一的，由县级以上地方卫生行政部门责令限期改正；逾期不改正的，给予警告，并可以根据情节轻重处以二万元以下的罚款，（一）未建立职业病诊断管理制度；（二）不按照规定向劳动者公开职业病诊断程序；（三）泄露劳动者涉及个人隐私的有关信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职业病诊断与鉴定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p>
    <w:p>
      <w:pPr>
        <w:spacing w:line="240" w:lineRule="exact"/>
        <w:rPr>
          <w:rFonts w:ascii="宋体" w:hAnsi="宋体" w:cs="宋体"/>
        </w:rPr>
      </w:pPr>
      <w:r>
        <w:rPr>
          <w:rFonts w:hint="eastAsia" w:ascii="宋体" w:hAnsi="宋体" w:cs="宋体"/>
        </w:rPr>
        <w:t>表2-113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kern w:val="0"/>
              </w:rPr>
              <w:t>对学校教学建筑、环境噪声、室内微小气候、采光、照明等环境质量以及黑板、课桌椅的设置不符合国家有关标准；学校未按照有关规定为学生设置厕所和洗手设施；寄宿制学校未为学生提供相应的洗漱、洗澡等卫生设施；学校体育场地和器材不符合卫生和安全要求；学校运动项目和运动强度不适合学生的生理承受能力和体质健康状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中华人民共和国国家标准城市居住区规划设计规范（GB50180-93）》规定：“大城市住宅日照标准为大寒日≥2小时，冬至日≥1小时，老年人居住建筑不应低于冬至日日照2小时的标准；在原设计建筑外增加任何设施不应使相邻住宅原有日照标准降低；旧区改造的项目内新建住宅日照标准可酌情降低，但不应低于大寒日日照1小时的标准。”</w:t>
            </w:r>
          </w:p>
          <w:p>
            <w:pPr>
              <w:spacing w:line="240" w:lineRule="exact"/>
              <w:ind w:firstLine="420"/>
              <w:rPr>
                <w:rFonts w:ascii="宋体" w:hAnsi="宋体" w:cs="宋体"/>
              </w:rPr>
            </w:pPr>
            <w:r>
              <w:rPr>
                <w:rFonts w:hint="eastAsia" w:ascii="宋体" w:hAnsi="宋体" w:cs="宋体"/>
              </w:rPr>
              <w:t>2.《室内空气质量标准》，包括空气温度、空气湿度、空气流速和新风量四大物理指标。这些指标既保证了一定的热舒适性，又考虑到节约能源的要求。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bookmarkStart w:id="1" w:name="OLE_LINK13"/>
            <w:r>
              <w:rPr>
                <w:rFonts w:hint="eastAsia" w:ascii="宋体" w:hAnsi="宋体" w:cs="宋体"/>
              </w:rPr>
              <w:t>追责情形</w:t>
            </w:r>
            <w:bookmarkEnd w:id="1"/>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国家标准城市居住区规划设计规范（GB50180-93）》《室内空气质量标准》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表2-114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widowControl/>
              <w:spacing w:line="260" w:lineRule="exact"/>
              <w:ind w:firstLine="420" w:firstLineChars="200"/>
              <w:textAlignment w:val="center"/>
              <w:rPr>
                <w:rFonts w:ascii="宋体" w:hAnsi="宋体" w:cs="宋体"/>
                <w:kern w:val="0"/>
              </w:rPr>
            </w:pPr>
            <w:r>
              <w:rPr>
                <w:rFonts w:hint="eastAsia" w:ascii="宋体" w:hAnsi="宋体" w:cs="宋体"/>
                <w:color w:val="000000"/>
                <w:kern w:val="0"/>
              </w:rPr>
              <w:t>对涉水产品生产经营者未按照国家卫生规范进行生产的；生产、销售未取得卫生许可批准文件的涉水产品的；生产、销售不符合国家标准或者卫生规范涉水产品的；使用不符合国家标准或者卫生规范的原辅材料生产涉水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四川省生活饮用水卫生监督管理办法》第四十二条：“涉水产品生产经营者违反本办法规定，有下列行为之一的，由县级以上卫生行政部门责令限期改正，并处以1000元以上10000元以下罚款;情节严重的，处以10000元以上30000元以下的罚款。(一)未按照国家卫生规范进行生产的; (二)生产、销售未取得卫生许可批准文件的涉水产品的； (三)生产、销售不符合国家标准或者卫生规范涉水产品的； (四)使用不符合国家标准或者卫生规范的原(辅)材料生产涉水产品的。”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6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生活饮用水卫生监督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表2-115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widowControl/>
              <w:spacing w:line="260" w:lineRule="exact"/>
              <w:ind w:firstLine="411" w:firstLineChars="196"/>
              <w:textAlignment w:val="center"/>
              <w:rPr>
                <w:rFonts w:ascii="宋体" w:hAnsi="宋体" w:cs="宋体"/>
                <w:kern w:val="0"/>
              </w:rPr>
            </w:pPr>
            <w:r>
              <w:rPr>
                <w:rFonts w:hint="eastAsia" w:ascii="宋体" w:hAnsi="宋体" w:cs="宋体"/>
                <w:color w:val="000000"/>
                <w:kern w:val="0"/>
              </w:rPr>
              <w:t>对不符合中医医疗机构设置标准的；获得城镇职工基本医疗保险定点医疗机构资格，未按照规定向参保人员提供基本医疗服务的处罚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0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中医药条例》第三十二条：“中医医疗机构违反本条例的规定，有下列情形之一的，由县级以上地方人民政府负责中医药管理的部门责令限期改正；逾期不改正的，责令停业整顿，直至由原审批机关吊销其医疗机构执业许可证、取消其城镇职工基本医疗保险定点医疗机构资格，并对负有责任的主管人员和其他直接责任人员依法给予纪律处分，（一）不符合中医医疗机构设置标准的。（二）获得城镇职工基本医疗保险定点医疗机构资格，未按照规定向参保人员提供基本医疗服务的。”</w:t>
            </w:r>
          </w:p>
          <w:p>
            <w:pPr>
              <w:spacing w:line="260" w:lineRule="exact"/>
              <w:ind w:firstLine="420"/>
              <w:rPr>
                <w:rFonts w:ascii="宋体" w:hAnsi="宋体" w:cs="宋体"/>
              </w:rPr>
            </w:pPr>
            <w:r>
              <w:rPr>
                <w:rFonts w:hint="eastAsia" w:ascii="宋体" w:hAnsi="宋体" w:cs="宋体"/>
              </w:rPr>
              <w:t>2.《医疗机构管理条例》第十五条：“医疗机构执业，必须进行登记，领取《医疗机构执业许可证》。”</w:t>
            </w:r>
          </w:p>
          <w:p>
            <w:pPr>
              <w:spacing w:line="260" w:lineRule="exact"/>
              <w:ind w:firstLine="420"/>
              <w:rPr>
                <w:rFonts w:ascii="宋体" w:hAnsi="宋体" w:cs="宋体"/>
              </w:rPr>
            </w:pPr>
            <w:r>
              <w:rPr>
                <w:rFonts w:hint="eastAsia" w:ascii="宋体" w:hAnsi="宋体" w:cs="宋体"/>
              </w:rPr>
              <w:t>3.《医疗机构管理条例》第十七条第一款 ：“医疗机构的执业登记，由批准其设置的人民政府卫生行政部门办理。”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医药条例》《医疗机构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表2-116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widowControl/>
              <w:spacing w:line="260" w:lineRule="exact"/>
              <w:jc w:val="center"/>
              <w:textAlignment w:val="center"/>
              <w:rPr>
                <w:rFonts w:ascii="宋体" w:hAnsi="宋体" w:cs="宋体"/>
                <w:color w:val="FF0000"/>
                <w:kern w:val="0"/>
              </w:rPr>
            </w:pPr>
            <w:r>
              <w:rPr>
                <w:rFonts w:hint="eastAsia" w:ascii="宋体" w:hAnsi="宋体" w:cs="宋体"/>
              </w:rPr>
              <w:t>对承担单采血浆站技术评价、检测的技术机构出具虚假证明文件的处罚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单采血浆站管理办法》(卫生部令第58号)第六十七条：“承担单采血浆站技术评价、检测的技术机构出具虚假证明文件的，由卫生行政部门责令改正，给予警告，并可处2万元以下的罚款；对直接负责的主管人员和其他直接责任人员，依法给予处分；情节严重，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单采血浆站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表2-117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widowControl/>
              <w:spacing w:line="260" w:lineRule="exact"/>
              <w:ind w:firstLine="360" w:firstLineChars="200"/>
              <w:textAlignment w:val="center"/>
              <w:rPr>
                <w:rFonts w:ascii="宋体" w:hAnsi="宋体" w:cs="宋体"/>
                <w:kern w:val="0"/>
              </w:rPr>
            </w:pPr>
            <w:r>
              <w:rPr>
                <w:rStyle w:val="40"/>
                <w:rFonts w:hint="default" w:cs="宋体"/>
                <w:szCs w:val="21"/>
              </w:rPr>
              <w:t>对职业健康检查机构未指定主检医师或者指定的主检医师未取得职业病诊断资格的;未建立职业健康检查档案的;违反《职业健康检查管理办法》其他有关规定的处罚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职业健康检查管理办法》第二十六条：“职业健康检查机构有下列行为之一的，由县级以上地方卫生计生行政部门责令限期改正，并给予警告；逾期不改的，处五千元以上三万元以下罚款，（一）未指定主检医师或者指定的主检医师未取得职业病诊断资格的；（二）未建立职业健康检查档案的；（三）违反本办法其他有关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3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3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3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3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3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3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3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3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3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职业健康检查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12345</w:t>
            </w:r>
          </w:p>
        </w:tc>
      </w:tr>
    </w:tbl>
    <w:p>
      <w:pPr>
        <w:spacing w:line="230" w:lineRule="exact"/>
        <w:rPr>
          <w:rFonts w:ascii="宋体" w:hAnsi="宋体" w:cs="宋体"/>
        </w:rPr>
      </w:pPr>
    </w:p>
    <w:p>
      <w:pPr>
        <w:spacing w:line="230" w:lineRule="exact"/>
        <w:rPr>
          <w:rFonts w:ascii="宋体" w:hAnsi="宋体" w:cs="宋体"/>
        </w:rPr>
      </w:pPr>
      <w:r>
        <w:rPr>
          <w:rFonts w:hint="eastAsia" w:ascii="宋体" w:hAnsi="宋体" w:cs="宋体"/>
        </w:rPr>
        <w:t>表2-118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widowControl/>
              <w:spacing w:line="230" w:lineRule="exact"/>
              <w:ind w:firstLine="420" w:firstLineChars="200"/>
              <w:textAlignment w:val="center"/>
              <w:rPr>
                <w:rFonts w:ascii="宋体" w:hAnsi="宋体" w:cs="宋体"/>
                <w:color w:val="FF0000"/>
                <w:kern w:val="0"/>
              </w:rPr>
            </w:pPr>
            <w:r>
              <w:rPr>
                <w:rFonts w:hint="eastAsia" w:ascii="宋体" w:hAnsi="宋体" w:cs="宋体"/>
                <w:kern w:val="0"/>
              </w:rPr>
              <w:t>对经批准实施人工终止妊娠手术的机构未建立真实完整的终止妊娠药品购进记录，或者未按照规定为终止妊娠药品使用者建立完整用药档案的处罚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tcPr>
          <w:p>
            <w:pPr>
              <w:spacing w:line="230" w:lineRule="exact"/>
              <w:ind w:firstLine="420"/>
              <w:rPr>
                <w:rFonts w:ascii="宋体" w:hAnsi="宋体" w:cs="宋体"/>
              </w:rPr>
            </w:pPr>
            <w:r>
              <w:rPr>
                <w:rFonts w:hint="eastAsia" w:ascii="宋体" w:hAnsi="宋体" w:cs="宋体"/>
              </w:rPr>
              <w:t>《禁止非医学需要的胎儿性别鉴定和选择性别人工终止妊娠的规定》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6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3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3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3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3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3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3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3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3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禁止非医学需要的胎儿性别鉴定和选择性别人工终止妊娠的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表2-119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widowControl/>
              <w:spacing w:line="260" w:lineRule="exact"/>
              <w:jc w:val="center"/>
              <w:textAlignment w:val="center"/>
              <w:rPr>
                <w:rFonts w:ascii="宋体" w:hAnsi="宋体" w:cs="宋体"/>
                <w:kern w:val="0"/>
              </w:rPr>
            </w:pPr>
            <w:r>
              <w:rPr>
                <w:rFonts w:hint="eastAsia" w:ascii="宋体" w:hAnsi="宋体" w:cs="宋体"/>
                <w:kern w:val="0"/>
              </w:rPr>
              <w:t>对介绍、组织孕妇实施非医学需要的胎儿性别鉴定或者选择性别人工终止妊娠的处罚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禁止非医学需要的胎儿性别鉴定和选择性别人工终止妊娠的规定》第二十三条：“介绍、组织孕妇实施非医学需要的胎儿性别鉴定或者选择性别人工终止妊娠的，由县级以上卫生计生行政部门责令改正，给予警告；情节严重的，没收违法所得，并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禁止非医学需要的胎儿性别鉴定和选择性别人工终止妊娠的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表2-120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widowControl/>
              <w:spacing w:line="260" w:lineRule="exact"/>
              <w:ind w:firstLine="411" w:firstLineChars="196"/>
              <w:textAlignment w:val="center"/>
              <w:rPr>
                <w:rFonts w:ascii="宋体" w:hAnsi="宋体" w:cs="宋体"/>
                <w:kern w:val="0"/>
              </w:rPr>
            </w:pPr>
            <w:r>
              <w:rPr>
                <w:rFonts w:hint="eastAsia" w:ascii="宋体" w:hAnsi="宋体" w:cs="宋体"/>
                <w:color w:val="000000"/>
                <w:kern w:val="0"/>
              </w:rPr>
              <w:t>对未取得母婴保健技术许可的医疗卫生机构或者人员擅自从事终止妊娠手术的、从事母婴保健技术服务的人员出具虚假的医学需要的人工终止妊娠相关医学诊断意见书或者证明的处罚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禁止非医学需要的胎儿性别鉴定和选择性别人工终止妊娠的规定》第十九条：“对未取得母婴保健技术许可的医疗卫生机构或者人员擅自从事终止妊娠手术的、从事母婴保健技术服务的人员出具虚假的医学需要的人工终止妊娠相关医学诊断意见书或者证明的，由县级以上卫生计生行政部门依据《中华人民共和国母婴保健法》及其实施办法的有关规定进行处理；对医疗卫生机构的主要负责人、直接负责的主管人员和直接责任人员，依法给予处分。”</w:t>
            </w:r>
          </w:p>
          <w:p>
            <w:pPr>
              <w:spacing w:line="260" w:lineRule="exact"/>
              <w:ind w:firstLine="420"/>
              <w:rPr>
                <w:rFonts w:ascii="宋体" w:hAnsi="宋体" w:cs="宋体"/>
              </w:rPr>
            </w:pPr>
            <w:r>
              <w:rPr>
                <w:rFonts w:hint="eastAsia" w:ascii="宋体" w:hAnsi="宋体" w:cs="宋体"/>
              </w:rPr>
              <w:t>2.《中华人民共和国母婴保健法实施办法》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禁止非医学需要的胎儿性别鉴定和选择性别人工终止妊娠的规定》《中华人民共和国母婴保健法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表2-121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widowControl/>
              <w:spacing w:line="260" w:lineRule="exact"/>
              <w:ind w:firstLine="420" w:firstLineChars="200"/>
              <w:textAlignment w:val="center"/>
              <w:rPr>
                <w:rFonts w:ascii="宋体" w:hAnsi="宋体" w:cs="宋体"/>
                <w:kern w:val="0"/>
              </w:rPr>
            </w:pPr>
            <w:r>
              <w:rPr>
                <w:rFonts w:hint="eastAsia" w:ascii="宋体" w:hAnsi="宋体" w:cs="宋体"/>
                <w:color w:val="000000"/>
                <w:kern w:val="0"/>
              </w:rPr>
              <w:t>对餐具、饮具集中消毒服务单位拒绝、阻挠、干涉卫生计生行政部门及其工作人员依法开展监督检查的处罚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餐具、饮具集中消毒服务单位卫生监督工作规范》第九条：“餐具、饮具集中消毒服务单位拒绝、阻挠、干涉卫生计生行政部门及其工作人员依法开展监督检查的，依照《食品安全法》第一百三十三条的规定给予处罚。”</w:t>
            </w:r>
          </w:p>
          <w:p>
            <w:pPr>
              <w:spacing w:line="240" w:lineRule="exact"/>
              <w:ind w:firstLine="420"/>
              <w:rPr>
                <w:rFonts w:ascii="宋体" w:hAnsi="宋体" w:cs="宋体"/>
              </w:rPr>
            </w:pPr>
            <w:r>
              <w:rPr>
                <w:rFonts w:hint="eastAsia" w:ascii="宋体" w:hAnsi="宋体" w:cs="宋体"/>
              </w:rPr>
              <w:t>2.《中华人民共和国食品安全法》第一百三十三条：“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餐具、饮具集中消毒服务单位卫生监督工作规范》《中华人民共和国食品安全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表2-122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widowControl/>
              <w:spacing w:line="240" w:lineRule="exact"/>
              <w:ind w:firstLine="411" w:firstLineChars="196"/>
              <w:textAlignment w:val="center"/>
              <w:rPr>
                <w:rFonts w:ascii="宋体" w:hAnsi="宋体" w:cs="宋体"/>
                <w:kern w:val="0"/>
              </w:rPr>
            </w:pPr>
            <w:r>
              <w:rPr>
                <w:rFonts w:hint="eastAsia" w:ascii="宋体" w:hAnsi="宋体" w:cs="宋体"/>
                <w:color w:val="000000"/>
                <w:kern w:val="0"/>
              </w:rPr>
              <w:t>餐具、饮具集中消毒服务单位违反本法规定用水，使用洗涤剂、消毒剂，或者出厂的餐具、饮具未按规定检验合格并随附消毒合格证明，或者未按规定在独立包装上标注相关内容的处罚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中华人民共和国食品安全法》第一百二十六条第一款：“违反本法规定，有下列情形之一的，由县级以上人民政府食品药品监督管理部门责令改正，给予警告；拒不改正的，处五千元以上五万元以下罚款；情节严重的，责令停产停业，直至吊销许可证：第二款 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3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3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3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3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3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3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3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3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3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食品安全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12345</w:t>
            </w:r>
          </w:p>
        </w:tc>
      </w:tr>
    </w:tbl>
    <w:p>
      <w:pPr>
        <w:spacing w:line="230" w:lineRule="exact"/>
        <w:rPr>
          <w:rFonts w:ascii="宋体" w:hAnsi="宋体" w:cs="宋体"/>
        </w:rPr>
      </w:pPr>
      <w:r>
        <w:rPr>
          <w:rFonts w:hint="eastAsia" w:ascii="宋体" w:hAnsi="宋体" w:cs="宋体"/>
        </w:rPr>
        <w:t>表2-123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kern w:val="0"/>
              </w:rPr>
            </w:pPr>
            <w:r>
              <w:rPr>
                <w:rFonts w:hint="eastAsia" w:ascii="宋体" w:hAnsi="宋体" w:cs="宋体"/>
              </w:rPr>
              <w:t>对供学生使用的文具、娱乐器具、保健用品，不符合国家有关卫生标准的处罚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rPr>
                <w:rFonts w:ascii="宋体" w:hAnsi="宋体" w:cs="宋体"/>
              </w:rPr>
            </w:pPr>
            <w:r>
              <w:rPr>
                <w:rFonts w:hint="eastAsia" w:ascii="宋体" w:hAnsi="宋体" w:cs="宋体"/>
              </w:rPr>
              <w:t>《学校卫生工作条例》（国家教育委员会令第10号、卫生部令第1号）第三十三条：“违反本条例第二十七条规定的，由卫生行政部门对直接责任单位或者个人给予警告。情节严重的，可以会同工商行政部门没收其不符合国家有关卫生标准的物品，并处以非法所得两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widowControl/>
              <w:spacing w:line="23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widowControl/>
              <w:spacing w:line="23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widowControl/>
              <w:spacing w:line="23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spacing w:line="23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widowControl/>
              <w:spacing w:line="23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widowControl/>
              <w:spacing w:line="23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widowControl/>
              <w:spacing w:line="23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widowControl/>
              <w:spacing w:line="230" w:lineRule="exact"/>
              <w:ind w:firstLine="420"/>
              <w:rPr>
                <w:rFonts w:ascii="宋体" w:hAnsi="宋体" w:cs="宋体"/>
              </w:rPr>
            </w:pPr>
            <w:r>
              <w:rPr>
                <w:rFonts w:hint="eastAsia" w:ascii="宋体" w:hAnsi="宋体" w:cs="宋体"/>
              </w:rPr>
              <w:t>8.其他责任：法律法规规章文件规定应履行的其他责任。6.送达责任：</w:t>
            </w:r>
            <w:r>
              <w:rPr>
                <w:rFonts w:hint="eastAsia" w:ascii="宋体" w:hAnsi="宋体" w:cs="宋体"/>
                <w:spacing w:val="-4"/>
              </w:rPr>
              <w:t>《行政处罚法》第四十条 行政处罚决定书应当在宣告后当场交付当事人;当事人不在场的，行政机关应当在七日内依照民事诉讼法的有关规定，将行政处罚决定书送达当事人。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学校卫生工作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表2-124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kern w:val="0"/>
              </w:rPr>
            </w:pPr>
            <w:r>
              <w:rPr>
                <w:rFonts w:hint="eastAsia" w:ascii="宋体" w:hAnsi="宋体" w:cs="宋体"/>
              </w:rPr>
              <w:t>对拒绝或者妨碍学校卫生监督员实施卫生监督的处罚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tcPr>
          <w:p>
            <w:pPr>
              <w:spacing w:line="260" w:lineRule="exact"/>
              <w:ind w:firstLine="420" w:firstLineChars="200"/>
              <w:rPr>
                <w:rFonts w:ascii="宋体" w:hAnsi="宋体" w:cs="宋体"/>
              </w:rPr>
            </w:pPr>
            <w:r>
              <w:rPr>
                <w:rFonts w:hint="eastAsia" w:ascii="宋体" w:hAnsi="宋体" w:cs="宋体"/>
              </w:rPr>
              <w:t>《学校卫生工作条例》第三十六条：“拒绝或者妨碍学校卫生监督员依照本条例实施卫生监督的，由卫生行政部门对直接责任单位或者个人给予警告。情节严重的，可以建议教育行政部门给予行政处分或者处以二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学校卫生工作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表2-125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kern w:val="0"/>
              </w:rPr>
            </w:pPr>
            <w:r>
              <w:rPr>
                <w:rFonts w:hint="eastAsia" w:ascii="宋体" w:hAnsi="宋体" w:cs="宋体"/>
              </w:rPr>
              <w:t>对集中式供水单位安排未取得体检合格证的人员从事直接供、管水工作或安排患有有碍饮用水卫生疾病的或病原携带者从事直接供、管水工作的处罚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《生活饮用水卫生监督管理办法》第二十五条：“县级以上地方人民政府卫生行政部门应当责令限期改进，并可对供水单位处以下20元以上1000元以下的罚款。”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生活饮用水卫生监督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表2-126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kern w:val="0"/>
              </w:rPr>
            </w:pPr>
            <w:r>
              <w:rPr>
                <w:rFonts w:hint="eastAsia" w:ascii="宋体" w:hAnsi="宋体" w:cs="宋体"/>
              </w:rPr>
              <w:t>对在饮用水水源保护区修建危害水源水质卫生的设施或进行有碍水源水质卫生的作业的；新建、扩建、改建的饮用水供水项目未经卫生行政部门参加选址、设计审查和竣工验收而擅自供水的；供水单位未取得卫生许可证而擅自供水的；供水单位供应的饮用水不符合国家规定的生活饮用水卫生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388" w:firstLineChars="200"/>
              <w:rPr>
                <w:rFonts w:ascii="宋体" w:hAnsi="宋体" w:cs="宋体"/>
                <w:spacing w:val="-8"/>
              </w:rPr>
            </w:pPr>
            <w:r>
              <w:rPr>
                <w:rFonts w:hint="eastAsia" w:ascii="宋体" w:hAnsi="宋体" w:cs="宋体"/>
                <w:spacing w:val="-8"/>
              </w:rPr>
              <w:t>《生活饮用水卫生监督管理办法》第二十六条第（一）项 ：“违反本办法规定，有下列情况之一的，县级以上地方人民政府卫生行政部门应当责令限期改正，并可处20元以上5000元以下罚款，（一）在饮用水水源保护区修建危害水源水质卫生的设施或进行有碍水源水质卫生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1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r>
              <w:rPr>
                <w:rFonts w:hint="eastAsia" w:ascii="宋体" w:hAnsi="宋体" w:cs="宋体"/>
              </w:rPr>
              <w:br w:type="textWrapping"/>
            </w:r>
            <w:r>
              <w:rPr>
                <w:rFonts w:hint="eastAsia" w:ascii="宋体" w:hAnsi="宋体" w:cs="宋体"/>
              </w:rPr>
              <w:t xml:space="preserve">    2.调查责任：在调查或检查时，执法人员不得少于两人，并向当事人或有关人员出示证件，询问或检查应制作笔录；执法人员与当事人有直接利害关系的，应当回避。</w:t>
            </w:r>
            <w:r>
              <w:rPr>
                <w:rFonts w:hint="eastAsia" w:ascii="宋体" w:hAnsi="宋体" w:cs="宋体"/>
              </w:rPr>
              <w:br w:type="textWrapping"/>
            </w:r>
            <w:r>
              <w:rPr>
                <w:rFonts w:hint="eastAsia" w:ascii="宋体" w:hAnsi="宋体" w:cs="宋体"/>
              </w:rPr>
              <w:t xml:space="preserve">    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rPr>
              <w:br w:type="textWrapping"/>
            </w:r>
            <w:r>
              <w:rPr>
                <w:rFonts w:hint="eastAsia" w:ascii="宋体" w:hAnsi="宋体" w:cs="宋体"/>
              </w:rPr>
              <w:t xml:space="preserve">    4.告知责任：在作出处罚决定之前，应当告知当事人作出处罚决定的事由、理由及依据，并告知当事人依法享有的权利；当事人依法要求听证的，应组织听证。</w:t>
            </w:r>
            <w:r>
              <w:rPr>
                <w:rFonts w:hint="eastAsia" w:ascii="宋体" w:hAnsi="宋体" w:cs="宋体"/>
              </w:rPr>
              <w:br w:type="textWrapping"/>
            </w:r>
            <w:r>
              <w:rPr>
                <w:rFonts w:hint="eastAsia" w:ascii="宋体" w:hAnsi="宋体" w:cs="宋体"/>
              </w:rPr>
              <w:t xml:space="preserve">    5.决定责任：依法应当给予行政处罚的，制作盖有行政机关印章的行政处罚决定书，载明违法事实、证据、处罚种类和依据、权利救济途径等内容。</w:t>
            </w:r>
            <w:r>
              <w:rPr>
                <w:rFonts w:hint="eastAsia" w:ascii="宋体" w:hAnsi="宋体" w:cs="宋体"/>
              </w:rPr>
              <w:br w:type="textWrapping"/>
            </w:r>
            <w:r>
              <w:rPr>
                <w:rFonts w:hint="eastAsia" w:ascii="宋体" w:hAnsi="宋体" w:cs="宋体"/>
              </w:rPr>
              <w:t xml:space="preserve">    6.送达责任：行政处罚决定书在决定后七日内依照民事诉讼法的有关规定送达当事人。</w:t>
            </w:r>
            <w:r>
              <w:rPr>
                <w:rFonts w:hint="eastAsia" w:ascii="宋体" w:hAnsi="宋体" w:cs="宋体"/>
              </w:rPr>
              <w:br w:type="textWrapping"/>
            </w:r>
            <w:r>
              <w:rPr>
                <w:rFonts w:hint="eastAsia" w:ascii="宋体" w:hAnsi="宋体" w:cs="宋体"/>
              </w:rPr>
              <w:t xml:space="preserve">    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r>
              <w:rPr>
                <w:rFonts w:hint="eastAsia" w:ascii="宋体" w:hAnsi="宋体" w:cs="宋体"/>
              </w:rPr>
              <w:br w:type="textWrapping"/>
            </w:r>
            <w:r>
              <w:rPr>
                <w:rFonts w:hint="eastAsia" w:ascii="宋体" w:hAnsi="宋体" w:cs="宋体"/>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spacing w:val="-8"/>
              </w:rPr>
              <w:t>《生活饮用水卫生监督管理办法》</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表2-127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840" w:firstLineChars="400"/>
              <w:rPr>
                <w:rFonts w:ascii="宋体" w:hAnsi="宋体" w:cs="宋体"/>
                <w:kern w:val="0"/>
              </w:rPr>
            </w:pPr>
            <w:r>
              <w:rPr>
                <w:rFonts w:hint="eastAsia" w:ascii="宋体" w:hAnsi="宋体" w:cs="宋体"/>
              </w:rPr>
              <w:t>对生产或者销售无卫生许可批准文件的涉及饮用水卫生安全的产品的处罚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《生活饮用水卫生监督管理办法》第二十七条:“ 违反本办法规定，生产或者销售无卫生许可批准文件的涉及饮用水卫生安全的产品的，县级以上地方人民政府卫生行政部门应当责令改进，并可处以违法所得3倍以下的罚款，但最高不超过30000元，或处以500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8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r>
              <w:rPr>
                <w:rFonts w:hint="eastAsia" w:ascii="宋体" w:hAnsi="宋体" w:cs="宋体"/>
              </w:rPr>
              <w:br w:type="textWrapping"/>
            </w:r>
            <w:r>
              <w:rPr>
                <w:rFonts w:hint="eastAsia" w:ascii="宋体" w:hAnsi="宋体" w:cs="宋体"/>
              </w:rPr>
              <w:t xml:space="preserve">    2.调查责任：在调查或检查时，执法人员不得少于两人，并向当事人或有关人员出示证件，询问或检查应制作笔录；执法人员与当事人有直接利害关系的，应当回避。</w:t>
            </w:r>
            <w:r>
              <w:rPr>
                <w:rFonts w:hint="eastAsia" w:ascii="宋体" w:hAnsi="宋体" w:cs="宋体"/>
              </w:rPr>
              <w:br w:type="textWrapping"/>
            </w:r>
            <w:r>
              <w:rPr>
                <w:rFonts w:hint="eastAsia" w:ascii="宋体" w:hAnsi="宋体" w:cs="宋体"/>
              </w:rPr>
              <w:t xml:space="preserve">    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rPr>
              <w:br w:type="textWrapping"/>
            </w:r>
            <w:r>
              <w:rPr>
                <w:rFonts w:hint="eastAsia" w:ascii="宋体" w:hAnsi="宋体" w:cs="宋体"/>
              </w:rPr>
              <w:t xml:space="preserve">    4.告知责任：在作出处罚决定之前，应当告知当事人作出处罚决定的事由、理由及依据，并告知当事人依法享有的权利；当事人依法要求听证的，应组织听证。</w:t>
            </w:r>
            <w:r>
              <w:rPr>
                <w:rFonts w:hint="eastAsia" w:ascii="宋体" w:hAnsi="宋体" w:cs="宋体"/>
              </w:rPr>
              <w:br w:type="textWrapping"/>
            </w:r>
            <w:r>
              <w:rPr>
                <w:rFonts w:hint="eastAsia" w:ascii="宋体" w:hAnsi="宋体" w:cs="宋体"/>
              </w:rPr>
              <w:t xml:space="preserve">    5.决定责任：依法应当给予行政处罚的，制作盖有行政机关印章的行政处罚决定书，载明违法事实、证据、处罚种类和依据、权利救济途径等内容。</w:t>
            </w:r>
            <w:r>
              <w:rPr>
                <w:rFonts w:hint="eastAsia" w:ascii="宋体" w:hAnsi="宋体" w:cs="宋体"/>
              </w:rPr>
              <w:br w:type="textWrapping"/>
            </w:r>
            <w:r>
              <w:rPr>
                <w:rFonts w:hint="eastAsia" w:ascii="宋体" w:hAnsi="宋体" w:cs="宋体"/>
              </w:rPr>
              <w:t xml:space="preserve">    6.送达责任：行政处罚决定书在决定后七日内依照民事诉讼法的有关规定送达当事人。</w:t>
            </w:r>
            <w:r>
              <w:rPr>
                <w:rFonts w:hint="eastAsia" w:ascii="宋体" w:hAnsi="宋体" w:cs="宋体"/>
              </w:rPr>
              <w:br w:type="textWrapping"/>
            </w:r>
            <w:r>
              <w:rPr>
                <w:rFonts w:hint="eastAsia" w:ascii="宋体" w:hAnsi="宋体" w:cs="宋体"/>
              </w:rPr>
              <w:t xml:space="preserve">    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r>
              <w:rPr>
                <w:rFonts w:hint="eastAsia" w:ascii="宋体" w:hAnsi="宋体" w:cs="宋体"/>
              </w:rPr>
              <w:br w:type="textWrapping"/>
            </w:r>
            <w:r>
              <w:rPr>
                <w:rFonts w:hint="eastAsia" w:ascii="宋体" w:hAnsi="宋体" w:cs="宋体"/>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spacing w:val="-8"/>
              </w:rPr>
              <w:t>《生活饮用水卫生监督管理办法》</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表2-128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kern w:val="0"/>
              </w:rPr>
            </w:pPr>
            <w:r>
              <w:rPr>
                <w:rFonts w:hint="eastAsia" w:ascii="宋体" w:hAnsi="宋体" w:cs="宋体"/>
              </w:rPr>
              <w:t>对未依法取得公共场所卫生许可证擅自营业的处罚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公共场所卫生管理条例实施细则》第三十五条：“对未依法取得公共场所卫生许可证擅自营业的，由县级以上地方人民政府卫生行政部门责令限期改正，给予警告，并处以五百元以上五千元以下罚款；有下列情形之一的，处以五千元以上三万元以下罚款，（一）擅自营业曾受过卫生行政部门处罚的；（二）擅自营业时间在三个月以上的；（三）以涂改、转让、倒卖、伪造的卫生许可证擅自营业的。对涂改、转让、倒卖有效卫生许可证的，由原发证的卫生行政部门予以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7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r>
              <w:rPr>
                <w:rFonts w:hint="eastAsia" w:ascii="宋体" w:hAnsi="宋体" w:cs="宋体"/>
              </w:rPr>
              <w:br w:type="textWrapping"/>
            </w:r>
            <w:r>
              <w:rPr>
                <w:rFonts w:hint="eastAsia" w:ascii="宋体" w:hAnsi="宋体" w:cs="宋体"/>
              </w:rPr>
              <w:t xml:space="preserve">    2.调查责任：在调查或检查时，执法人员不得少于两人，并向当事人或有关人员出示证件，询问或检查应制作笔录；执法人员与当事人有直接利害关系的，应当回避。</w:t>
            </w:r>
            <w:r>
              <w:rPr>
                <w:rFonts w:hint="eastAsia" w:ascii="宋体" w:hAnsi="宋体" w:cs="宋体"/>
              </w:rPr>
              <w:br w:type="textWrapping"/>
            </w:r>
            <w:r>
              <w:rPr>
                <w:rFonts w:hint="eastAsia" w:ascii="宋体" w:hAnsi="宋体" w:cs="宋体"/>
              </w:rPr>
              <w:t xml:space="preserve">    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rPr>
              <w:br w:type="textWrapping"/>
            </w:r>
            <w:r>
              <w:rPr>
                <w:rFonts w:hint="eastAsia" w:ascii="宋体" w:hAnsi="宋体" w:cs="宋体"/>
              </w:rPr>
              <w:t xml:space="preserve">    4.告知责任：在作出处罚决定之前，应当告知当事人作出处罚决定的事由、理由及依据，并告知当事人依法享有的权利；当事人依法要求听证的，应组织听证。</w:t>
            </w:r>
            <w:r>
              <w:rPr>
                <w:rFonts w:hint="eastAsia" w:ascii="宋体" w:hAnsi="宋体" w:cs="宋体"/>
              </w:rPr>
              <w:br w:type="textWrapping"/>
            </w:r>
            <w:r>
              <w:rPr>
                <w:rFonts w:hint="eastAsia" w:ascii="宋体" w:hAnsi="宋体" w:cs="宋体"/>
              </w:rPr>
              <w:t xml:space="preserve">    5.决定责任：依法应当给予行政处罚的，制作盖有行政机关印章的行政处罚决定书，载明违法事实、证据、处罚种类和依据、权利救济途径等内容。</w:t>
            </w:r>
            <w:r>
              <w:rPr>
                <w:rFonts w:hint="eastAsia" w:ascii="宋体" w:hAnsi="宋体" w:cs="宋体"/>
              </w:rPr>
              <w:br w:type="textWrapping"/>
            </w:r>
            <w:r>
              <w:rPr>
                <w:rFonts w:hint="eastAsia" w:ascii="宋体" w:hAnsi="宋体" w:cs="宋体"/>
              </w:rPr>
              <w:t xml:space="preserve">    6.送达责任：行政处罚决定书在决定后七日内依照民事诉讼法的有关规定送达当事人。</w:t>
            </w:r>
            <w:r>
              <w:rPr>
                <w:rFonts w:hint="eastAsia" w:ascii="宋体" w:hAnsi="宋体" w:cs="宋体"/>
              </w:rPr>
              <w:br w:type="textWrapping"/>
            </w:r>
            <w:r>
              <w:rPr>
                <w:rFonts w:hint="eastAsia" w:ascii="宋体" w:hAnsi="宋体" w:cs="宋体"/>
              </w:rPr>
              <w:t xml:space="preserve">    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r>
              <w:rPr>
                <w:rFonts w:hint="eastAsia" w:ascii="宋体" w:hAnsi="宋体" w:cs="宋体"/>
              </w:rPr>
              <w:br w:type="textWrapping"/>
            </w:r>
            <w:r>
              <w:rPr>
                <w:rFonts w:hint="eastAsia" w:ascii="宋体" w:hAnsi="宋体" w:cs="宋体"/>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公共场所卫生管理条例实施细则》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表2-129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kern w:val="0"/>
              </w:rPr>
            </w:pPr>
            <w:r>
              <w:rPr>
                <w:rFonts w:hint="eastAsia" w:ascii="宋体" w:hAnsi="宋体" w:cs="宋体"/>
              </w:rPr>
              <w:t>对未按照规定对公共场所的空气、微小气候、水质、采光、照明、噪声、顾客用品用具等进行卫生检测的；未按照规定对顾客用品用具进行清洗、消毒、保洁，或者重复使用一次性用品用具的处罚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公共场所卫生管理条例实施细则》（2011年卫生部令第80号）第三十六条：“由县级以上地方人民政府卫生行政部门责令限期改正，给予警告，并可以处二千元以下的罚款；逾期不改正，造成公共场所卫生质量不符合卫生标准和要求的处以二千元以上二万元以下罚款；情节严重的可以依法责令营业整顿，直至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r>
              <w:rPr>
                <w:rFonts w:hint="eastAsia" w:ascii="宋体" w:hAnsi="宋体" w:cs="宋体"/>
              </w:rPr>
              <w:br w:type="textWrapping"/>
            </w:r>
            <w:r>
              <w:rPr>
                <w:rFonts w:hint="eastAsia" w:ascii="宋体" w:hAnsi="宋体" w:cs="宋体"/>
              </w:rPr>
              <w:t xml:space="preserve">    2.调查责任：在调查或检查时，执法人员不得少于两人，并向当事人或有关人员出示证件，询问或检查应制作笔录；执法人员与当事人有直接利害关系的，应当回避。</w:t>
            </w:r>
            <w:r>
              <w:rPr>
                <w:rFonts w:hint="eastAsia" w:ascii="宋体" w:hAnsi="宋体" w:cs="宋体"/>
              </w:rPr>
              <w:br w:type="textWrapping"/>
            </w:r>
            <w:r>
              <w:rPr>
                <w:rFonts w:hint="eastAsia" w:ascii="宋体" w:hAnsi="宋体" w:cs="宋体"/>
              </w:rPr>
              <w:t xml:space="preserve">    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rPr>
              <w:br w:type="textWrapping"/>
            </w:r>
            <w:r>
              <w:rPr>
                <w:rFonts w:hint="eastAsia" w:ascii="宋体" w:hAnsi="宋体" w:cs="宋体"/>
              </w:rPr>
              <w:t xml:space="preserve">    4.告知责任：在作出处罚决定之前，应当告知当事人作出处罚决定的事由、理由及依据，并告知当事人依法享有的权利；当事人依法要求听证的，应组织听证。</w:t>
            </w:r>
            <w:r>
              <w:rPr>
                <w:rFonts w:hint="eastAsia" w:ascii="宋体" w:hAnsi="宋体" w:cs="宋体"/>
              </w:rPr>
              <w:br w:type="textWrapping"/>
            </w:r>
            <w:r>
              <w:rPr>
                <w:rFonts w:hint="eastAsia" w:ascii="宋体" w:hAnsi="宋体" w:cs="宋体"/>
              </w:rPr>
              <w:t xml:space="preserve">    5.决定责任：依法应当给予行政处罚的，制作盖有行政机关印章的行政处罚决定书，载明违法事实、证据、处罚种类和依据、权利救济途径等内容。</w:t>
            </w:r>
            <w:r>
              <w:rPr>
                <w:rFonts w:hint="eastAsia" w:ascii="宋体" w:hAnsi="宋体" w:cs="宋体"/>
              </w:rPr>
              <w:br w:type="textWrapping"/>
            </w:r>
            <w:r>
              <w:rPr>
                <w:rFonts w:hint="eastAsia" w:ascii="宋体" w:hAnsi="宋体" w:cs="宋体"/>
              </w:rPr>
              <w:t xml:space="preserve">    6.送达责任：行政处罚决定书在决定后七日内依照民事诉讼法的有关规定送达当事人。</w:t>
            </w:r>
            <w:r>
              <w:rPr>
                <w:rFonts w:hint="eastAsia" w:ascii="宋体" w:hAnsi="宋体" w:cs="宋体"/>
              </w:rPr>
              <w:br w:type="textWrapping"/>
            </w:r>
            <w:r>
              <w:rPr>
                <w:rFonts w:hint="eastAsia" w:ascii="宋体" w:hAnsi="宋体" w:cs="宋体"/>
              </w:rPr>
              <w:t xml:space="preserve">    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r>
              <w:rPr>
                <w:rFonts w:hint="eastAsia" w:ascii="宋体" w:hAnsi="宋体" w:cs="宋体"/>
              </w:rPr>
              <w:br w:type="textWrapping"/>
            </w:r>
            <w:r>
              <w:rPr>
                <w:rFonts w:hint="eastAsia" w:ascii="宋体" w:hAnsi="宋体" w:cs="宋体"/>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公共场所卫生管理条例实施细则》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12345</w:t>
            </w:r>
          </w:p>
        </w:tc>
      </w:tr>
    </w:tbl>
    <w:p>
      <w:pPr>
        <w:spacing w:line="230" w:lineRule="exact"/>
        <w:rPr>
          <w:rFonts w:ascii="宋体" w:hAnsi="宋体" w:cs="宋体"/>
        </w:rPr>
      </w:pPr>
      <w:r>
        <w:rPr>
          <w:rFonts w:hint="eastAsia" w:ascii="宋体" w:hAnsi="宋体" w:cs="宋体"/>
        </w:rPr>
        <w:t>表2-130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firstLineChars="200"/>
              <w:rPr>
                <w:rFonts w:ascii="宋体" w:hAnsi="宋体" w:cs="宋体"/>
                <w:kern w:val="0"/>
              </w:rPr>
            </w:pPr>
            <w:r>
              <w:rPr>
                <w:rFonts w:hint="eastAsia" w:ascii="宋体" w:hAnsi="宋体" w:cs="宋体"/>
              </w:rPr>
              <w:t>对未按照规定建立卫生管理制度、设立卫生管理部门或者配备专（兼）职卫生管理人员，或者未建立卫生管理档案的；未按照规定组织从业人员进行相关卫生法律知识和公共场所卫生知识培训，或者安排未经相关卫生法律知识和公共场所卫生知识培训考核的从业人员上岗的；未按照规定设置与其经营规模、项目相适应的清洗消毒、保洁、盥洗等设施设备和公共卫生间，或者擅自停止使用、拆除上述设施设备，或者挪作他用的；未按照规定配备预防控制鼠、蚊、蝇、蟑螂和其他病媒生物的设施设备以及废弃物存放专用设施设备，或者擅自停止使用、拆除预防控制鼠、蚊、蝇、蟑螂和其他病媒生物的设施设备以及废弃物存放专用设施设备的；未按照规定索取公共卫生用品检验合格证明和其他相关资料的；未按照规定对公共场所新建、改建、扩建项目办理预防性卫生审查手续的；公共场所集中空调通风系统未经卫生检测或者评价不合格而投入使用的；未按照规定公示公共场所卫生许可证、卫生检测结果和卫生信誉度等级的；未按照规定办理公共场所卫生许可证复核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3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firstLineChars="200"/>
              <w:rPr>
                <w:rFonts w:ascii="宋体" w:hAnsi="宋体" w:cs="宋体"/>
              </w:rPr>
            </w:pPr>
            <w:r>
              <w:rPr>
                <w:rFonts w:hint="eastAsia" w:ascii="宋体" w:hAnsi="宋体" w:cs="宋体"/>
              </w:rPr>
              <w:t>《公共场所卫生管理条例实施细则》(卫生部发布，2011年5月1日施行）第三十七条第（一）项：“规定，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未按照规定索取公共卫生用品检验合格证明和其他相关资料的；（五）未按照规定对公共场所新建、改建、扩建项目办理预防性卫生审查手续的；（六）公共场所集中空调通风系统未经卫生检测或者评价不合格而投入使用的；（七）未按照规定公示公共场所卫生许可证、卫生检测结果和卫生信誉度等级的；（八）未按照规定办理公共场所卫生许可证复核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47"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r>
              <w:rPr>
                <w:rFonts w:hint="eastAsia" w:ascii="宋体" w:hAnsi="宋体" w:cs="宋体"/>
              </w:rPr>
              <w:br w:type="textWrapping"/>
            </w:r>
            <w:r>
              <w:rPr>
                <w:rFonts w:hint="eastAsia" w:ascii="宋体" w:hAnsi="宋体" w:cs="宋体"/>
              </w:rPr>
              <w:t xml:space="preserve">    2.调查责任：在调查或检查时，执法人员不得少于两人，并向当事人或有关人员出示证件，询问或检查应制作笔录；执法人员与当事人有直接利害关系的，应当回避。</w:t>
            </w:r>
            <w:r>
              <w:rPr>
                <w:rFonts w:hint="eastAsia" w:ascii="宋体" w:hAnsi="宋体" w:cs="宋体"/>
              </w:rPr>
              <w:br w:type="textWrapping"/>
            </w:r>
            <w:r>
              <w:rPr>
                <w:rFonts w:hint="eastAsia" w:ascii="宋体" w:hAnsi="宋体" w:cs="宋体"/>
              </w:rPr>
              <w:t xml:space="preserve">    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rPr>
              <w:br w:type="textWrapping"/>
            </w:r>
            <w:r>
              <w:rPr>
                <w:rFonts w:hint="eastAsia" w:ascii="宋体" w:hAnsi="宋体" w:cs="宋体"/>
              </w:rPr>
              <w:t xml:space="preserve">   4.告知责任：在作出处罚决定之前，应当告知当事人作出处罚决定的事由、理由及依据，并告知当事人依法享有的权利；当事人依法要求听证的，应组织听证。</w:t>
            </w:r>
            <w:r>
              <w:rPr>
                <w:rFonts w:hint="eastAsia" w:ascii="宋体" w:hAnsi="宋体" w:cs="宋体"/>
              </w:rPr>
              <w:br w:type="textWrapping"/>
            </w:r>
            <w:r>
              <w:rPr>
                <w:rFonts w:hint="eastAsia" w:ascii="宋体" w:hAnsi="宋体" w:cs="宋体"/>
              </w:rPr>
              <w:t xml:space="preserve">   5.决定责任：依法应当给予行政处罚的，制作盖有行政机关印章的行政处罚决定书，载明违法事实、证据、处罚种类和依据、权利救济途径等内容。</w:t>
            </w:r>
            <w:r>
              <w:rPr>
                <w:rFonts w:hint="eastAsia" w:ascii="宋体" w:hAnsi="宋体" w:cs="宋体"/>
              </w:rPr>
              <w:br w:type="textWrapping"/>
            </w:r>
            <w:r>
              <w:rPr>
                <w:rFonts w:hint="eastAsia" w:ascii="宋体" w:hAnsi="宋体" w:cs="宋体"/>
              </w:rPr>
              <w:t xml:space="preserve">   6.送达责任：行政处罚决定书在决定后七日内依照民事诉讼法的有关规定送达当事人。</w:t>
            </w:r>
            <w:r>
              <w:rPr>
                <w:rFonts w:hint="eastAsia" w:ascii="宋体" w:hAnsi="宋体" w:cs="宋体"/>
              </w:rPr>
              <w:br w:type="textWrapping"/>
            </w:r>
            <w:r>
              <w:rPr>
                <w:rFonts w:hint="eastAsia" w:ascii="宋体" w:hAnsi="宋体" w:cs="宋体"/>
              </w:rPr>
              <w:t xml:space="preserve">   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r>
              <w:rPr>
                <w:rFonts w:hint="eastAsia" w:ascii="宋体" w:hAnsi="宋体" w:cs="宋体"/>
              </w:rPr>
              <w:br w:type="textWrapping"/>
            </w:r>
            <w:r>
              <w:rPr>
                <w:rFonts w:hint="eastAsia" w:ascii="宋体" w:hAnsi="宋体" w:cs="宋体"/>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6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公共场所卫生管理条例实施细则》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表2-131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380" w:firstLineChars="200"/>
              <w:rPr>
                <w:rFonts w:ascii="宋体" w:hAnsi="宋体" w:cs="宋体"/>
                <w:spacing w:val="-10"/>
                <w:kern w:val="0"/>
              </w:rPr>
            </w:pPr>
            <w:r>
              <w:rPr>
                <w:rFonts w:hint="eastAsia" w:ascii="宋体" w:hAnsi="宋体" w:cs="宋体"/>
                <w:spacing w:val="-10"/>
              </w:rPr>
              <w:t>对公共场所经营者安排未获得有效健康合格证明的从业人员从事直接为顾客服务工作的处罚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3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公共场所卫生管理条例实施细则》(卫生部发布，2011年5月1日施行)第三十八条：“《公共场所卫生管理条例》第十四条第一款第（二）项，凡有下列行为之一的单位或者个人，卫生防疫机构可以根据情节轻重，给予警告、罚款、停业整顿、吊销“卫生许可证”的行政处罚，（二）未获得“健康合格证”，而从事直接为顾客服务的。”</w:t>
            </w:r>
          </w:p>
          <w:p>
            <w:pPr>
              <w:spacing w:line="260" w:lineRule="exact"/>
              <w:ind w:firstLine="420" w:firstLineChars="200"/>
              <w:rPr>
                <w:rFonts w:ascii="宋体" w:hAnsi="宋体" w:cs="宋体"/>
              </w:rPr>
            </w:pPr>
            <w:r>
              <w:rPr>
                <w:rFonts w:hint="eastAsia" w:ascii="宋体" w:hAnsi="宋体" w:cs="宋体"/>
              </w:rPr>
              <w:t>2.《公共场所卫生管理条例实施细则》第三十八条：“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r>
              <w:rPr>
                <w:rFonts w:hint="eastAsia" w:ascii="宋体" w:hAnsi="宋体" w:cs="宋体"/>
              </w:rPr>
              <w:br w:type="textWrapping"/>
            </w:r>
            <w:r>
              <w:rPr>
                <w:rFonts w:hint="eastAsia" w:ascii="宋体" w:hAnsi="宋体" w:cs="宋体"/>
              </w:rPr>
              <w:t xml:space="preserve">    2.调查责任：在调查或检查时，执法人员不得少于两人，并向当事人或有关人员出示证件，询问或检查应制作笔录；执法人员与当事人有直接利害关系的，应当回避。</w:t>
            </w:r>
            <w:r>
              <w:rPr>
                <w:rFonts w:hint="eastAsia" w:ascii="宋体" w:hAnsi="宋体" w:cs="宋体"/>
              </w:rPr>
              <w:br w:type="textWrapping"/>
            </w:r>
            <w:r>
              <w:rPr>
                <w:rFonts w:hint="eastAsia" w:ascii="宋体" w:hAnsi="宋体" w:cs="宋体"/>
              </w:rPr>
              <w:t xml:space="preserve">    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rPr>
              <w:br w:type="textWrapping"/>
            </w:r>
            <w:r>
              <w:rPr>
                <w:rFonts w:hint="eastAsia" w:ascii="宋体" w:hAnsi="宋体" w:cs="宋体"/>
              </w:rPr>
              <w:t xml:space="preserve">    4.告知责任：在作出处罚决定之前，应当告知当事人作出处罚决定的事由、理由及依据，并告知当事人依法享有的权利；当事人依法要求听证的，应组织听证。</w:t>
            </w:r>
            <w:r>
              <w:rPr>
                <w:rFonts w:hint="eastAsia" w:ascii="宋体" w:hAnsi="宋体" w:cs="宋体"/>
              </w:rPr>
              <w:br w:type="textWrapping"/>
            </w:r>
            <w:r>
              <w:rPr>
                <w:rFonts w:hint="eastAsia" w:ascii="宋体" w:hAnsi="宋体" w:cs="宋体"/>
              </w:rPr>
              <w:t xml:space="preserve">   5.决定责任：依法应当给予行政处罚的，制作盖有行政机关印章的行政处罚决定书，载明违法事实、证据、处罚种类和依据、权利救济途径等内容。</w:t>
            </w:r>
            <w:r>
              <w:rPr>
                <w:rFonts w:hint="eastAsia" w:ascii="宋体" w:hAnsi="宋体" w:cs="宋体"/>
              </w:rPr>
              <w:br w:type="textWrapping"/>
            </w:r>
            <w:r>
              <w:rPr>
                <w:rFonts w:hint="eastAsia" w:ascii="宋体" w:hAnsi="宋体" w:cs="宋体"/>
              </w:rPr>
              <w:t xml:space="preserve">    6.送达责任：行政处罚决定书在决定后七日内依照民事诉讼法的有关规定送达当事人。</w:t>
            </w:r>
            <w:r>
              <w:rPr>
                <w:rFonts w:hint="eastAsia" w:ascii="宋体" w:hAnsi="宋体" w:cs="宋体"/>
              </w:rPr>
              <w:br w:type="textWrapping"/>
            </w:r>
            <w:r>
              <w:rPr>
                <w:rFonts w:hint="eastAsia" w:ascii="宋体" w:hAnsi="宋体" w:cs="宋体"/>
              </w:rPr>
              <w:t xml:space="preserve">   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r>
              <w:rPr>
                <w:rFonts w:hint="eastAsia" w:ascii="宋体" w:hAnsi="宋体" w:cs="宋体"/>
              </w:rPr>
              <w:br w:type="textWrapping"/>
            </w:r>
            <w:r>
              <w:rPr>
                <w:rFonts w:hint="eastAsia" w:ascii="宋体" w:hAnsi="宋体" w:cs="宋体"/>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公共场所卫生管理条例实施细则》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表2-132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对公共场所经营者对发生的危害健康事故未立即采取处置措施，导致危害扩大，或者隐瞒、缓报、谎报的处罚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公共场所卫生管理条例实施细则》第三十九条:“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r>
              <w:rPr>
                <w:rFonts w:hint="eastAsia" w:ascii="宋体" w:hAnsi="宋体" w:cs="宋体"/>
              </w:rPr>
              <w:br w:type="textWrapping"/>
            </w:r>
            <w:r>
              <w:rPr>
                <w:rFonts w:hint="eastAsia" w:ascii="宋体" w:hAnsi="宋体" w:cs="宋体"/>
              </w:rPr>
              <w:t xml:space="preserve">    2.调查责任：在调查或检查时，执法人员不得少于两人，并向当事人或有关人员出示证件，询问或检查应制作笔录；执法人员与当事人有直接利害关系的，应当回避。</w:t>
            </w:r>
            <w:r>
              <w:rPr>
                <w:rFonts w:hint="eastAsia" w:ascii="宋体" w:hAnsi="宋体" w:cs="宋体"/>
              </w:rPr>
              <w:br w:type="textWrapping"/>
            </w:r>
            <w:r>
              <w:rPr>
                <w:rFonts w:hint="eastAsia" w:ascii="宋体" w:hAnsi="宋体" w:cs="宋体"/>
              </w:rPr>
              <w:t xml:space="preserve">    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rPr>
              <w:br w:type="textWrapping"/>
            </w:r>
            <w:r>
              <w:rPr>
                <w:rFonts w:hint="eastAsia" w:ascii="宋体" w:hAnsi="宋体" w:cs="宋体"/>
              </w:rPr>
              <w:t xml:space="preserve">    4.告知责任：在作出处罚决定之前，应当告知当事人作出处罚决定的事由、理由及依据，并告知当事人依法享有的权利；当事人依法要求听证的，应组织听证。</w:t>
            </w:r>
            <w:r>
              <w:rPr>
                <w:rFonts w:hint="eastAsia" w:ascii="宋体" w:hAnsi="宋体" w:cs="宋体"/>
              </w:rPr>
              <w:br w:type="textWrapping"/>
            </w:r>
            <w:r>
              <w:rPr>
                <w:rFonts w:hint="eastAsia" w:ascii="宋体" w:hAnsi="宋体" w:cs="宋体"/>
              </w:rPr>
              <w:t xml:space="preserve">    5.决定责任：依法应当给予行政处罚的，制作盖有行政机关印章的行政处罚决定书，载明违法事实、证据、处罚种类和依据、权利救济途径等内容。</w:t>
            </w:r>
            <w:r>
              <w:rPr>
                <w:rFonts w:hint="eastAsia" w:ascii="宋体" w:hAnsi="宋体" w:cs="宋体"/>
              </w:rPr>
              <w:br w:type="textWrapping"/>
            </w:r>
            <w:r>
              <w:rPr>
                <w:rFonts w:hint="eastAsia" w:ascii="宋体" w:hAnsi="宋体" w:cs="宋体"/>
              </w:rPr>
              <w:t xml:space="preserve">    6.送达责任：行政处罚决定书在决定后七日内依照民事诉讼法的有关规定送达当事人。</w:t>
            </w:r>
            <w:r>
              <w:rPr>
                <w:rFonts w:hint="eastAsia" w:ascii="宋体" w:hAnsi="宋体" w:cs="宋体"/>
              </w:rPr>
              <w:br w:type="textWrapping"/>
            </w:r>
            <w:r>
              <w:rPr>
                <w:rFonts w:hint="eastAsia" w:ascii="宋体" w:hAnsi="宋体" w:cs="宋体"/>
              </w:rPr>
              <w:t xml:space="preserve">    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r>
              <w:rPr>
                <w:rFonts w:hint="eastAsia" w:ascii="宋体" w:hAnsi="宋体" w:cs="宋体"/>
              </w:rPr>
              <w:br w:type="textWrapping"/>
            </w:r>
            <w:r>
              <w:rPr>
                <w:rFonts w:hint="eastAsia" w:ascii="宋体" w:hAnsi="宋体" w:cs="宋体"/>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公共场所卫生管理条例实施细则》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表2-133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kern w:val="0"/>
              </w:rPr>
            </w:pPr>
            <w:r>
              <w:rPr>
                <w:rFonts w:hint="eastAsia" w:ascii="宋体" w:hAnsi="宋体" w:cs="宋体"/>
              </w:rPr>
              <w:t>对公共场所未配备专（兼）职卫生管理人员的；未建立从业人员卫生管理制度和档案的；从业人员未取得健康合格证而从事直接为顾客服务工作的；从业人员未经卫生知识培训合格上岗的处罚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四川省公共场所卫生管理办法》第三十五条：“有下列行为之一的，由县级以上卫生行政部门责令限期改正，给予警告，可并处1000元以下罚款；逾期不改正者，处2000元以下罚款，（一）未配备专（兼）职卫生管理人员的；（二）未建立从业人员卫生管理制度和档案的；（三）从业人员未取得健康合格证而从事直接为顾客服务工作的；（四）从业人员未经卫生知识培训合格上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r>
              <w:rPr>
                <w:rFonts w:hint="eastAsia" w:ascii="宋体" w:hAnsi="宋体" w:cs="宋体"/>
              </w:rPr>
              <w:br w:type="textWrapping"/>
            </w:r>
            <w:r>
              <w:rPr>
                <w:rFonts w:hint="eastAsia" w:ascii="宋体" w:hAnsi="宋体" w:cs="宋体"/>
              </w:rPr>
              <w:t xml:space="preserve">    2.调查责任：在调查或检查时，执法人员不得少于两人，并向当事人或有关人员出示证件，询问或检查应制作笔录；执法人员与当事人有直接利害关系的，应当回避。</w:t>
            </w:r>
            <w:r>
              <w:rPr>
                <w:rFonts w:hint="eastAsia" w:ascii="宋体" w:hAnsi="宋体" w:cs="宋体"/>
              </w:rPr>
              <w:br w:type="textWrapping"/>
            </w:r>
            <w:r>
              <w:rPr>
                <w:rFonts w:hint="eastAsia" w:ascii="宋体" w:hAnsi="宋体" w:cs="宋体"/>
              </w:rPr>
              <w:t xml:space="preserve">    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rPr>
              <w:br w:type="textWrapping"/>
            </w:r>
            <w:r>
              <w:rPr>
                <w:rFonts w:hint="eastAsia" w:ascii="宋体" w:hAnsi="宋体" w:cs="宋体"/>
              </w:rPr>
              <w:t xml:space="preserve">    4.告知责任：在作出处罚决定之前，应当告知当事人作出处罚决定的事由、理由及依据，并告知当事人依法享有的权利；当事人依法要求听证的，应组织听证。</w:t>
            </w:r>
            <w:r>
              <w:rPr>
                <w:rFonts w:hint="eastAsia" w:ascii="宋体" w:hAnsi="宋体" w:cs="宋体"/>
              </w:rPr>
              <w:br w:type="textWrapping"/>
            </w:r>
            <w:r>
              <w:rPr>
                <w:rFonts w:hint="eastAsia" w:ascii="宋体" w:hAnsi="宋体" w:cs="宋体"/>
              </w:rPr>
              <w:t xml:space="preserve">    5.决定责任：依法应当给予行政处罚的，制作盖有行政机关印章的行政处罚决定书，载明违法事实、证据、处罚种类和依据、权利救济途径等内容。</w:t>
            </w:r>
            <w:r>
              <w:rPr>
                <w:rFonts w:hint="eastAsia" w:ascii="宋体" w:hAnsi="宋体" w:cs="宋体"/>
              </w:rPr>
              <w:br w:type="textWrapping"/>
            </w:r>
            <w:r>
              <w:rPr>
                <w:rFonts w:hint="eastAsia" w:ascii="宋体" w:hAnsi="宋体" w:cs="宋体"/>
              </w:rPr>
              <w:t xml:space="preserve">    6.送达责任：行政处罚决定书在决定后七日内依照民事诉讼法的有关规定送达当事人。</w:t>
            </w:r>
            <w:r>
              <w:rPr>
                <w:rFonts w:hint="eastAsia" w:ascii="宋体" w:hAnsi="宋体" w:cs="宋体"/>
              </w:rPr>
              <w:br w:type="textWrapping"/>
            </w:r>
            <w:r>
              <w:rPr>
                <w:rFonts w:hint="eastAsia" w:ascii="宋体" w:hAnsi="宋体" w:cs="宋体"/>
              </w:rPr>
              <w:t xml:space="preserve">    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r>
              <w:rPr>
                <w:rFonts w:hint="eastAsia" w:ascii="宋体" w:hAnsi="宋体" w:cs="宋体"/>
              </w:rPr>
              <w:br w:type="textWrapping"/>
            </w:r>
            <w:r>
              <w:rPr>
                <w:rFonts w:hint="eastAsia" w:ascii="宋体" w:hAnsi="宋体" w:cs="宋体"/>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公共场所卫生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表2-134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kern w:val="0"/>
              </w:rPr>
            </w:pPr>
            <w:r>
              <w:rPr>
                <w:rFonts w:hint="eastAsia" w:ascii="宋体" w:hAnsi="宋体" w:cs="宋体"/>
              </w:rPr>
              <w:t>对公共场所乙类场所卫生设施设备不符合卫生标准或规范要求的；公共场所卫生设施设备不能正常运行的；卫生设施设备被擅自拆除或挪作他用的；重复使用一次性公共用品、用具的或提供的用品用具不符合卫生标准要求的；卫生指标不符合规定标准或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396" w:firstLineChars="200"/>
              <w:rPr>
                <w:rFonts w:ascii="宋体" w:hAnsi="宋体" w:cs="宋体"/>
                <w:spacing w:val="-6"/>
              </w:rPr>
            </w:pPr>
            <w:r>
              <w:rPr>
                <w:rFonts w:hint="eastAsia" w:ascii="宋体" w:hAnsi="宋体" w:cs="宋体"/>
                <w:spacing w:val="-6"/>
              </w:rPr>
              <w:t>《四川省公共场所卫生管理办法》第三十六条：“有下列行为之一的，由县级以上卫生行政部门责令限期改正，给予警告，可并处2000元以下罚款；逾期不改正者，处1万元以下罚款，（一）乙类场所卫生设施设备不符合卫生标准或规范要求的；（二）卫生设施设备不能正常运行的；（三）卫生设施设备被擅自拆除或挪作他用的；（四）重复使用一次性公共用品、用具的或提供的用品用具不符合卫生标准要求的；（五）卫生指标不符合规定标准或规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r>
              <w:rPr>
                <w:rFonts w:hint="eastAsia" w:ascii="宋体" w:hAnsi="宋体" w:cs="宋体"/>
              </w:rPr>
              <w:br w:type="textWrapping"/>
            </w:r>
            <w:r>
              <w:rPr>
                <w:rFonts w:hint="eastAsia" w:ascii="宋体" w:hAnsi="宋体" w:cs="宋体"/>
              </w:rPr>
              <w:t xml:space="preserve">    2.调查责任：在调查或检查时，执法人员不得少于两人，并向当事人或有关人员出示证件，询问或检查应制作笔录；执法人员与当事人有直接利害关系的，应当回避。</w:t>
            </w:r>
            <w:r>
              <w:rPr>
                <w:rFonts w:hint="eastAsia" w:ascii="宋体" w:hAnsi="宋体" w:cs="宋体"/>
              </w:rPr>
              <w:br w:type="textWrapping"/>
            </w:r>
            <w:r>
              <w:rPr>
                <w:rFonts w:hint="eastAsia" w:ascii="宋体" w:hAnsi="宋体" w:cs="宋体"/>
              </w:rPr>
              <w:t xml:space="preserve">    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rPr>
              <w:br w:type="textWrapping"/>
            </w:r>
            <w:r>
              <w:rPr>
                <w:rFonts w:hint="eastAsia" w:ascii="宋体" w:hAnsi="宋体" w:cs="宋体"/>
              </w:rPr>
              <w:t xml:space="preserve">    4.告知责任：在作出处罚决定之前，应当告知当事人作出处罚决定的事由、理由及依据，并告知当事人依法享有的权利；当事人依法要求听证的，应组织听证。</w:t>
            </w:r>
            <w:r>
              <w:rPr>
                <w:rFonts w:hint="eastAsia" w:ascii="宋体" w:hAnsi="宋体" w:cs="宋体"/>
              </w:rPr>
              <w:br w:type="textWrapping"/>
            </w:r>
            <w:r>
              <w:rPr>
                <w:rFonts w:hint="eastAsia" w:ascii="宋体" w:hAnsi="宋体" w:cs="宋体"/>
              </w:rPr>
              <w:t xml:space="preserve">    5.决定责任：依法应当给予行政处罚的，制作盖有行政机关印章的行政处罚决定书，载明违法事实、证据、处罚种类和依据、权利救济途径等内容。</w:t>
            </w:r>
            <w:r>
              <w:rPr>
                <w:rFonts w:hint="eastAsia" w:ascii="宋体" w:hAnsi="宋体" w:cs="宋体"/>
              </w:rPr>
              <w:br w:type="textWrapping"/>
            </w:r>
            <w:r>
              <w:rPr>
                <w:rFonts w:hint="eastAsia" w:ascii="宋体" w:hAnsi="宋体" w:cs="宋体"/>
              </w:rPr>
              <w:t xml:space="preserve">    6.送达责任：行政处罚决定书在决定后七日内依照民事诉讼法的有关规定送达当事人。</w:t>
            </w:r>
            <w:r>
              <w:rPr>
                <w:rFonts w:hint="eastAsia" w:ascii="宋体" w:hAnsi="宋体" w:cs="宋体"/>
              </w:rPr>
              <w:br w:type="textWrapping"/>
            </w:r>
            <w:r>
              <w:rPr>
                <w:rFonts w:hint="eastAsia" w:ascii="宋体" w:hAnsi="宋体" w:cs="宋体"/>
              </w:rPr>
              <w:t xml:space="preserve">    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r>
              <w:rPr>
                <w:rFonts w:hint="eastAsia" w:ascii="宋体" w:hAnsi="宋体" w:cs="宋体"/>
              </w:rPr>
              <w:br w:type="textWrapping"/>
            </w:r>
            <w:r>
              <w:rPr>
                <w:rFonts w:hint="eastAsia" w:ascii="宋体" w:hAnsi="宋体" w:cs="宋体"/>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公共场所卫生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表2-135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kern w:val="0"/>
              </w:rPr>
            </w:pPr>
            <w:r>
              <w:rPr>
                <w:rFonts w:hint="eastAsia" w:ascii="宋体" w:hAnsi="宋体" w:cs="宋体"/>
              </w:rPr>
              <w:t>对集中空调通风系统卫生指标不符合国家卫生标准或规范的；集中空调通风系统未按规定设置卫生设施的；集中空调通风系统未按规定定期检查、清洗和维护的处罚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04" w:firstLineChars="200"/>
              <w:rPr>
                <w:rFonts w:ascii="宋体" w:hAnsi="宋体" w:cs="宋体"/>
                <w:spacing w:val="-4"/>
              </w:rPr>
            </w:pPr>
            <w:r>
              <w:rPr>
                <w:rFonts w:hint="eastAsia" w:ascii="宋体" w:hAnsi="宋体" w:cs="宋体"/>
                <w:spacing w:val="-4"/>
              </w:rPr>
              <w:t>《四川省公共场所卫生管理办法》第三十七条：“有下列行为之一的，由县级以上卫生行政部门责令限期改正，给予警告，可并处2000元以下罚款；逾期不改正者，处2万元以下罚款，（一）集中空调通风系统卫生指标不符合国家卫生标准或规范的；（二）集中空调通风系统未按规定设置卫生设施的；（三）集中空调通风系统未按规定定期检查、清洗和维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1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r>
              <w:rPr>
                <w:rFonts w:hint="eastAsia" w:ascii="宋体" w:hAnsi="宋体" w:cs="宋体"/>
              </w:rPr>
              <w:br w:type="textWrapping"/>
            </w:r>
            <w:r>
              <w:rPr>
                <w:rFonts w:hint="eastAsia" w:ascii="宋体" w:hAnsi="宋体" w:cs="宋体"/>
              </w:rPr>
              <w:t xml:space="preserve">    2.调查责任：在调查或检查时，执法人员不得少于两人，并向当事人或有关人员出示证件，询问或检查应制作笔录；执法人员与当事人有直接利害关系的，应当回避。</w:t>
            </w:r>
            <w:r>
              <w:rPr>
                <w:rFonts w:hint="eastAsia" w:ascii="宋体" w:hAnsi="宋体" w:cs="宋体"/>
              </w:rPr>
              <w:br w:type="textWrapping"/>
            </w:r>
            <w:r>
              <w:rPr>
                <w:rFonts w:hint="eastAsia" w:ascii="宋体" w:hAnsi="宋体" w:cs="宋体"/>
              </w:rPr>
              <w:t xml:space="preserve">    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rPr>
              <w:br w:type="textWrapping"/>
            </w:r>
            <w:r>
              <w:rPr>
                <w:rFonts w:hint="eastAsia" w:ascii="宋体" w:hAnsi="宋体" w:cs="宋体"/>
              </w:rPr>
              <w:t xml:space="preserve">    4.告知责任：在作出处罚决定之前，应当告知当事人作出处罚决定的事由、理由及依据，并告知当事人依法享有的权利；当事人依法要求听证的，应组织听证。</w:t>
            </w:r>
            <w:r>
              <w:rPr>
                <w:rFonts w:hint="eastAsia" w:ascii="宋体" w:hAnsi="宋体" w:cs="宋体"/>
              </w:rPr>
              <w:br w:type="textWrapping"/>
            </w:r>
            <w:r>
              <w:rPr>
                <w:rFonts w:hint="eastAsia" w:ascii="宋体" w:hAnsi="宋体" w:cs="宋体"/>
              </w:rPr>
              <w:t xml:space="preserve">    5.决定责任：依法应当给予行政处罚的，制作盖有行政机关印章的行政处罚决定书，载明违法事实、证据、处罚种类和依据、权利救济途径等内容。</w:t>
            </w:r>
            <w:r>
              <w:rPr>
                <w:rFonts w:hint="eastAsia" w:ascii="宋体" w:hAnsi="宋体" w:cs="宋体"/>
              </w:rPr>
              <w:br w:type="textWrapping"/>
            </w:r>
            <w:r>
              <w:rPr>
                <w:rFonts w:hint="eastAsia" w:ascii="宋体" w:hAnsi="宋体" w:cs="宋体"/>
              </w:rPr>
              <w:t xml:space="preserve">    6.送达责任：行政处罚决定书在决定后七日内依照民事诉讼法的有关规定送达当事人。</w:t>
            </w:r>
            <w:r>
              <w:rPr>
                <w:rFonts w:hint="eastAsia" w:ascii="宋体" w:hAnsi="宋体" w:cs="宋体"/>
              </w:rPr>
              <w:br w:type="textWrapping"/>
            </w:r>
            <w:r>
              <w:rPr>
                <w:rFonts w:hint="eastAsia" w:ascii="宋体" w:hAnsi="宋体" w:cs="宋体"/>
              </w:rPr>
              <w:t xml:space="preserve">    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r>
              <w:rPr>
                <w:rFonts w:hint="eastAsia" w:ascii="宋体" w:hAnsi="宋体" w:cs="宋体"/>
              </w:rPr>
              <w:br w:type="textWrapping"/>
            </w:r>
            <w:r>
              <w:rPr>
                <w:rFonts w:hint="eastAsia" w:ascii="宋体" w:hAnsi="宋体" w:cs="宋体"/>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公共场所卫生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表2-136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kern w:val="0"/>
              </w:rPr>
            </w:pPr>
            <w:r>
              <w:rPr>
                <w:rFonts w:hint="eastAsia" w:ascii="宋体" w:hAnsi="宋体" w:cs="宋体"/>
              </w:rPr>
              <w:t>对甲类场所未取得公共场所卫生许可证从事经营活动的；甲类场所涂改、倒卖、转让公共场所卫生许可证的处罚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四川省公共场所卫生管理办法》第三十八条：“甲类场所违反本办法第二十六条规定，有下列行为之一的，由县级以上卫生行政部门责令限期改正，给予警告，可并处1万元以下罚款；逾期不改正者，处2万元以下罚款，（一）未取得公共场所卫生许可证从事经营活动的；（二）涂改、倒卖、转让公共场所卫生许可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r>
              <w:rPr>
                <w:rFonts w:hint="eastAsia" w:ascii="宋体" w:hAnsi="宋体" w:cs="宋体"/>
              </w:rPr>
              <w:br w:type="textWrapping"/>
            </w:r>
            <w:r>
              <w:rPr>
                <w:rFonts w:hint="eastAsia" w:ascii="宋体" w:hAnsi="宋体" w:cs="宋体"/>
              </w:rPr>
              <w:t xml:space="preserve">    2.调查责任：在调查或检查时，执法人员不得少于两人，并向当事人或有关人员出示证件，询问或检查应制作笔录；执法人员与当事人有直接利害关系的，应当回避。</w:t>
            </w:r>
            <w:r>
              <w:rPr>
                <w:rFonts w:hint="eastAsia" w:ascii="宋体" w:hAnsi="宋体" w:cs="宋体"/>
              </w:rPr>
              <w:br w:type="textWrapping"/>
            </w:r>
            <w:r>
              <w:rPr>
                <w:rFonts w:hint="eastAsia" w:ascii="宋体" w:hAnsi="宋体" w:cs="宋体"/>
              </w:rPr>
              <w:t xml:space="preserve">    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rPr>
              <w:br w:type="textWrapping"/>
            </w:r>
            <w:r>
              <w:rPr>
                <w:rFonts w:hint="eastAsia" w:ascii="宋体" w:hAnsi="宋体" w:cs="宋体"/>
              </w:rPr>
              <w:t xml:space="preserve">    4.告知责任：在作出处罚决定之前，应当告知当事人作出处罚决定的事由、理由及依据，并告知当事人依法享有的权利；当事人依法要求听证的，应组织听证。</w:t>
            </w:r>
            <w:r>
              <w:rPr>
                <w:rFonts w:hint="eastAsia" w:ascii="宋体" w:hAnsi="宋体" w:cs="宋体"/>
              </w:rPr>
              <w:br w:type="textWrapping"/>
            </w:r>
            <w:r>
              <w:rPr>
                <w:rFonts w:hint="eastAsia" w:ascii="宋体" w:hAnsi="宋体" w:cs="宋体"/>
              </w:rPr>
              <w:t xml:space="preserve">    5.决定责任：依法应当给予行政处罚的，制作盖有行政机关印章的行政处罚决定书，载明违法事实、证据、处罚种类和依据、权利救济途径等内容。</w:t>
            </w:r>
            <w:r>
              <w:rPr>
                <w:rFonts w:hint="eastAsia" w:ascii="宋体" w:hAnsi="宋体" w:cs="宋体"/>
              </w:rPr>
              <w:br w:type="textWrapping"/>
            </w:r>
            <w:r>
              <w:rPr>
                <w:rFonts w:hint="eastAsia" w:ascii="宋体" w:hAnsi="宋体" w:cs="宋体"/>
              </w:rPr>
              <w:t xml:space="preserve">    6.送达责任：行政处罚决定书在决定后七日内依照民事诉讼法的有关规定送达当事人。</w:t>
            </w:r>
            <w:r>
              <w:rPr>
                <w:rFonts w:hint="eastAsia" w:ascii="宋体" w:hAnsi="宋体" w:cs="宋体"/>
              </w:rPr>
              <w:br w:type="textWrapping"/>
            </w:r>
            <w:r>
              <w:rPr>
                <w:rFonts w:hint="eastAsia" w:ascii="宋体" w:hAnsi="宋体" w:cs="宋体"/>
              </w:rPr>
              <w:t xml:space="preserve">    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r>
              <w:rPr>
                <w:rFonts w:hint="eastAsia" w:ascii="宋体" w:hAnsi="宋体" w:cs="宋体"/>
              </w:rPr>
              <w:br w:type="textWrapping"/>
            </w:r>
            <w:r>
              <w:rPr>
                <w:rFonts w:hint="eastAsia" w:ascii="宋体" w:hAnsi="宋体" w:cs="宋体"/>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公共场所卫生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p>
    <w:p>
      <w:pPr>
        <w:spacing w:line="240" w:lineRule="exact"/>
        <w:rPr>
          <w:rFonts w:ascii="宋体" w:hAnsi="宋体" w:cs="宋体"/>
        </w:rPr>
      </w:pPr>
      <w:r>
        <w:rPr>
          <w:rFonts w:hint="eastAsia" w:ascii="宋体" w:hAnsi="宋体" w:cs="宋体"/>
        </w:rPr>
        <w:t>表2-137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kern w:val="0"/>
              </w:rPr>
            </w:pPr>
            <w:r>
              <w:rPr>
                <w:rFonts w:hint="eastAsia" w:ascii="宋体" w:hAnsi="宋体" w:cs="宋体"/>
              </w:rPr>
              <w:t>对医疗机构公共场所违反规定未设置吸烟区（室）的；禁止吸烟场所未按规定设置禁烟标识或违反规定设置吸烟器具的；个人在禁止吸烟场所吸烟的处罚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11" w:firstLineChars="196"/>
              <w:rPr>
                <w:rFonts w:ascii="宋体" w:hAnsi="宋体" w:cs="宋体"/>
              </w:rPr>
            </w:pPr>
            <w:bookmarkStart w:id="2" w:name="OLE_LINK2"/>
            <w:r>
              <w:rPr>
                <w:rFonts w:hint="eastAsia" w:ascii="宋体" w:hAnsi="宋体" w:cs="宋体"/>
              </w:rPr>
              <w:t>1．《</w:t>
            </w:r>
            <w:bookmarkEnd w:id="2"/>
            <w:r>
              <w:rPr>
                <w:rFonts w:hint="eastAsia" w:ascii="宋体" w:hAnsi="宋体" w:cs="宋体"/>
              </w:rPr>
              <w:t>四川省公共场所卫生管理办法》第三十九条第一款第（一）项、第（二）项 ：“公共场所违反本办法第二十四条、第二十五条规定，有下列行为之一的，由本办法第二十二条规定的有关部门责令限期改正，给予警告，可并处1万元以下罚款；逾期不改正者，处2万元以下罚款，（一）本办法第二十四条第一款规定以外的公共场所未设置吸烟区（室）的；（二）禁止吸烟场所未按规定设置禁烟标识或违反规定设置吸烟器具的。”</w:t>
            </w:r>
          </w:p>
          <w:p>
            <w:pPr>
              <w:spacing w:line="240" w:lineRule="exact"/>
              <w:ind w:firstLine="411" w:firstLineChars="196"/>
              <w:rPr>
                <w:rFonts w:ascii="宋体" w:hAnsi="宋体" w:cs="宋体"/>
              </w:rPr>
            </w:pPr>
            <w:r>
              <w:rPr>
                <w:rFonts w:hint="eastAsia" w:ascii="宋体" w:hAnsi="宋体" w:cs="宋体"/>
              </w:rPr>
              <w:t>2．《四川省公共场所卫生管理办法》第三十九条第二款：“个人在禁止吸烟场所吸烟的，由本办法第二十二条规定的有关部门责令改正，并处以50元以上200元以下罚款。”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r>
              <w:rPr>
                <w:rFonts w:hint="eastAsia" w:ascii="宋体" w:hAnsi="宋体" w:cs="宋体"/>
              </w:rPr>
              <w:br w:type="textWrapping"/>
            </w:r>
            <w:r>
              <w:rPr>
                <w:rFonts w:hint="eastAsia" w:ascii="宋体" w:hAnsi="宋体" w:cs="宋体"/>
              </w:rPr>
              <w:t xml:space="preserve">    2.调查责任：在调查或检查时，执法人员不得少于两人，并向当事人或有关人员出示证件，询问或检查应制作笔录；执法人员与当事人有直接利害关系的，应当回避。</w:t>
            </w:r>
            <w:r>
              <w:rPr>
                <w:rFonts w:hint="eastAsia" w:ascii="宋体" w:hAnsi="宋体" w:cs="宋体"/>
              </w:rPr>
              <w:br w:type="textWrapping"/>
            </w:r>
            <w:r>
              <w:rPr>
                <w:rFonts w:hint="eastAsia" w:ascii="宋体" w:hAnsi="宋体" w:cs="宋体"/>
              </w:rPr>
              <w:t xml:space="preserve">    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rPr>
              <w:br w:type="textWrapping"/>
            </w:r>
            <w:r>
              <w:rPr>
                <w:rFonts w:hint="eastAsia" w:ascii="宋体" w:hAnsi="宋体" w:cs="宋体"/>
              </w:rPr>
              <w:t xml:space="preserve">    4.告知责任：在作出处罚决定之前，应当告知当事人作出处罚决定的事由、理由及依据，并告知当事人依法享有的权利；当事人依法要求听证的，应组织听证。</w:t>
            </w:r>
            <w:r>
              <w:rPr>
                <w:rFonts w:hint="eastAsia" w:ascii="宋体" w:hAnsi="宋体" w:cs="宋体"/>
              </w:rPr>
              <w:br w:type="textWrapping"/>
            </w:r>
            <w:r>
              <w:rPr>
                <w:rFonts w:hint="eastAsia" w:ascii="宋体" w:hAnsi="宋体" w:cs="宋体"/>
              </w:rPr>
              <w:t xml:space="preserve">    5.决定责任：依法应当给予行政处罚的，制作盖有行政机关印章的行政处罚决定书，载明违法事实、证据、处罚种类和依据、权利救济途径等内容。</w:t>
            </w:r>
            <w:r>
              <w:rPr>
                <w:rFonts w:hint="eastAsia" w:ascii="宋体" w:hAnsi="宋体" w:cs="宋体"/>
              </w:rPr>
              <w:br w:type="textWrapping"/>
            </w:r>
            <w:r>
              <w:rPr>
                <w:rFonts w:hint="eastAsia" w:ascii="宋体" w:hAnsi="宋体" w:cs="宋体"/>
              </w:rPr>
              <w:t xml:space="preserve">    6.送达责任：行政处罚决定书在决定后七日内依照民事诉讼法的有关规定送达当事人。</w:t>
            </w:r>
            <w:r>
              <w:rPr>
                <w:rFonts w:hint="eastAsia" w:ascii="宋体" w:hAnsi="宋体" w:cs="宋体"/>
              </w:rPr>
              <w:br w:type="textWrapping"/>
            </w:r>
            <w:r>
              <w:rPr>
                <w:rFonts w:hint="eastAsia" w:ascii="宋体" w:hAnsi="宋体" w:cs="宋体"/>
              </w:rPr>
              <w:t xml:space="preserve">    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r>
              <w:rPr>
                <w:rFonts w:hint="eastAsia" w:ascii="宋体" w:hAnsi="宋体" w:cs="宋体"/>
              </w:rPr>
              <w:br w:type="textWrapping"/>
            </w:r>
            <w:r>
              <w:rPr>
                <w:rFonts w:hint="eastAsia" w:ascii="宋体" w:hAnsi="宋体" w:cs="宋体"/>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公共场所卫生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表2-138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kern w:val="0"/>
              </w:rPr>
            </w:pPr>
            <w:r>
              <w:rPr>
                <w:rFonts w:hint="eastAsia" w:ascii="宋体" w:hAnsi="宋体" w:cs="宋体"/>
              </w:rPr>
              <w:t>对未经批准擅自开办医疗机构行医或者非医师行医的处罚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tcPr>
          <w:p>
            <w:pPr>
              <w:spacing w:line="260" w:lineRule="exact"/>
              <w:ind w:firstLine="420" w:firstLineChars="200"/>
              <w:rPr>
                <w:rFonts w:ascii="宋体" w:hAnsi="宋体" w:cs="宋体"/>
              </w:rPr>
            </w:pPr>
            <w:r>
              <w:rPr>
                <w:rFonts w:hint="eastAsia" w:ascii="宋体" w:hAnsi="宋体" w:cs="宋体"/>
              </w:rPr>
              <w:t>《中华人民共和国执业医师法》第三十九条：“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r>
              <w:rPr>
                <w:rFonts w:hint="eastAsia" w:ascii="宋体" w:hAnsi="宋体" w:cs="宋体"/>
              </w:rPr>
              <w:br w:type="textWrapping"/>
            </w:r>
            <w:r>
              <w:rPr>
                <w:rFonts w:hint="eastAsia" w:ascii="宋体" w:hAnsi="宋体" w:cs="宋体"/>
              </w:rPr>
              <w:t xml:space="preserve">    2.调查责任：在调查或检查时，执法人员不得少于两人，并向当事人或有关人员出示证件，询问或检查应制作笔录；执法人员与当事人有直接利害关系的，应当回避。</w:t>
            </w:r>
            <w:r>
              <w:rPr>
                <w:rFonts w:hint="eastAsia" w:ascii="宋体" w:hAnsi="宋体" w:cs="宋体"/>
              </w:rPr>
              <w:br w:type="textWrapping"/>
            </w:r>
            <w:r>
              <w:rPr>
                <w:rFonts w:hint="eastAsia" w:ascii="宋体" w:hAnsi="宋体" w:cs="宋体"/>
              </w:rPr>
              <w:t xml:space="preserve">    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cs="宋体"/>
              </w:rPr>
              <w:br w:type="textWrapping"/>
            </w:r>
            <w:r>
              <w:rPr>
                <w:rFonts w:hint="eastAsia" w:ascii="宋体" w:hAnsi="宋体" w:cs="宋体"/>
              </w:rPr>
              <w:t xml:space="preserve">    4.告知责任：在作出处罚决定之前，应当告知当事人作出处罚决定的事由、理由及依据，并告知当事人依法享有的权利；当事人依法要求听证的，应组织听证。</w:t>
            </w:r>
            <w:r>
              <w:rPr>
                <w:rFonts w:hint="eastAsia" w:ascii="宋体" w:hAnsi="宋体" w:cs="宋体"/>
              </w:rPr>
              <w:br w:type="textWrapping"/>
            </w:r>
            <w:r>
              <w:rPr>
                <w:rFonts w:hint="eastAsia" w:ascii="宋体" w:hAnsi="宋体" w:cs="宋体"/>
              </w:rPr>
              <w:t xml:space="preserve">    5.决定责任：依法应当给予行政处罚的，制作盖有行政机关印章的行政处罚决定书，载明违法事实、证据、处罚种类和依据、权利救济途径等内容。</w:t>
            </w:r>
            <w:r>
              <w:rPr>
                <w:rFonts w:hint="eastAsia" w:ascii="宋体" w:hAnsi="宋体" w:cs="宋体"/>
              </w:rPr>
              <w:br w:type="textWrapping"/>
            </w:r>
            <w:r>
              <w:rPr>
                <w:rFonts w:hint="eastAsia" w:ascii="宋体" w:hAnsi="宋体" w:cs="宋体"/>
              </w:rPr>
              <w:t xml:space="preserve">    6.送达责任：行政处罚决定书在决定后七日内依照民事诉讼法的有关规定送达当事人。</w:t>
            </w:r>
            <w:r>
              <w:rPr>
                <w:rFonts w:hint="eastAsia" w:ascii="宋体" w:hAnsi="宋体" w:cs="宋体"/>
              </w:rPr>
              <w:br w:type="textWrapping"/>
            </w:r>
            <w:r>
              <w:rPr>
                <w:rFonts w:hint="eastAsia" w:ascii="宋体" w:hAnsi="宋体" w:cs="宋体"/>
              </w:rPr>
              <w:t xml:space="preserve">    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r>
              <w:rPr>
                <w:rFonts w:hint="eastAsia" w:ascii="宋体" w:hAnsi="宋体" w:cs="宋体"/>
              </w:rPr>
              <w:br w:type="textWrapping"/>
            </w:r>
            <w:r>
              <w:rPr>
                <w:rFonts w:hint="eastAsia" w:ascii="宋体" w:hAnsi="宋体" w:cs="宋体"/>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执业医师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表2-139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kern w:val="0"/>
              </w:rPr>
            </w:pPr>
            <w:r>
              <w:rPr>
                <w:rFonts w:hint="eastAsia" w:ascii="宋体" w:hAnsi="宋体" w:cs="宋体"/>
              </w:rPr>
              <w:t>对医疗机构会诊邀请超出本单位诊疗科目或者本单位不具备相应资质的；医疗机构本单位的技术力量、设备、设施不能为会诊提供必要的医疗安全保障的；医疗机构会诊邀请超出被邀请医师执业范围的；医疗机构会诊邀请超出本单位诊疗科目或者本单位不具备相应资质而派出医师会诊的；邀请超出被邀请医师执业范围而医疗机构仍派其会诊的；邀请医疗机构不具备相应医疗救治条件而医疗机构仍派医师会诊的；会诊中涉及的会诊费用未按照邀请医疗机构所在地的规定执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医师外出会诊管理暂行规定》第十九条：“医疗机构违反本规定第六条、第八条、第十五条的，由县级以上卫生行政部门责令改正，给予警告；诊疗活动超出登记范围的，按照《医疗机构管理条例》第四十七条，诊疗活动超出登记范围的，由县级以上人民政府卫生行政部门予以警告、责令其改正，并可以根据情节处以3000元以下的罚款；情节严重的，吊销其《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师外出会诊管理暂行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表2-140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kern w:val="0"/>
              </w:rPr>
            </w:pPr>
            <w:r>
              <w:rPr>
                <w:rFonts w:hint="eastAsia" w:ascii="宋体" w:hAnsi="宋体" w:cs="宋体"/>
              </w:rPr>
              <w:t>未经批准擅自开展产前诊断技术的非医疗保健机构的处罚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1.《产前诊断技术管理办法》第二十九条:“违反本办法规定，未经批准擅自开展产前诊断技术的非医疗保健机构，按照《医疗机构管理条例》有关规定进行处罚。”</w:t>
            </w:r>
          </w:p>
          <w:p>
            <w:pPr>
              <w:spacing w:line="240" w:lineRule="exact"/>
              <w:ind w:firstLine="420" w:firstLineChars="200"/>
              <w:rPr>
                <w:rFonts w:ascii="宋体" w:hAnsi="宋体" w:cs="宋体"/>
              </w:rPr>
            </w:pPr>
            <w:r>
              <w:rPr>
                <w:rFonts w:hint="eastAsia" w:ascii="宋体" w:hAnsi="宋体" w:cs="宋体"/>
              </w:rPr>
              <w:t>2.《医疗机构管理条例》第四十四条：“违反本条例第二十四条规定，未取得《医疗机构执业许可证》擅自执业的，由县级以上人民政府卫生行政部门责令其停止执业活动，没收非法所得和药品、器械，并可以根据情节处以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8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产前诊断技术管理办法》《医疗机构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p>
    <w:p>
      <w:pPr>
        <w:spacing w:line="240" w:lineRule="exact"/>
        <w:rPr>
          <w:rFonts w:ascii="宋体" w:hAnsi="宋体" w:cs="宋体"/>
        </w:rPr>
      </w:pPr>
      <w:r>
        <w:rPr>
          <w:rFonts w:hint="eastAsia" w:ascii="宋体" w:hAnsi="宋体" w:cs="宋体"/>
        </w:rPr>
        <w:t>表2-141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护士的配备数量低于国务院卫生主管部门规定的护士配备标准的；允许未取得护士执业证书的人员或者未依照规定办理执业地点变更手续、延续执业注册有效期的护士在本机构从事诊疗技术规范规定的护理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护士条例》（中华人民共和国国务院令第517号）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二）允许未取得护士执业证书的人员或者允许未依照本条例规定办理执业地点变更手续、延续执业注册有效期的护士在本机构从事诊疗技术规范规定的护理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护士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表2-142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护士在执业活动中发现患者病情危急未立即通知医师的；护士在执业活动中发现医嘱违反法律、法规、规章或者诊疗技术规范的规定，未依规定提出或者报告的；护士在执业活动中泄露患者隐私的；护士在执业活动中，发生自然灾害、公共卫生事件等严重威胁公众生命健康的突发事件，不服从安排参加医疗救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color w:val="000000"/>
              </w:rPr>
            </w:pPr>
            <w:r>
              <w:rPr>
                <w:rFonts w:hint="eastAsia" w:ascii="宋体" w:hAnsi="宋体" w:cs="宋体"/>
                <w:color w:val="000000"/>
                <w:spacing w:val="-4"/>
              </w:rPr>
              <w:t>《</w:t>
            </w:r>
            <w:r>
              <w:fldChar w:fldCharType="begin"/>
            </w:r>
            <w:r>
              <w:instrText xml:space="preserve"> HYPERLINK "http://baike.baidu.com/view/1406716.htm" </w:instrText>
            </w:r>
            <w:r>
              <w:fldChar w:fldCharType="separate"/>
            </w:r>
            <w:r>
              <w:rPr>
                <w:rFonts w:hint="eastAsia" w:ascii="宋体" w:hAnsi="宋体" w:cs="宋体"/>
                <w:color w:val="000000"/>
                <w:spacing w:val="-4"/>
              </w:rPr>
              <w:t>护士条例</w:t>
            </w:r>
            <w:r>
              <w:rPr>
                <w:rFonts w:hint="eastAsia" w:ascii="宋体" w:hAnsi="宋体" w:cs="宋体"/>
                <w:color w:val="000000"/>
                <w:spacing w:val="-4"/>
              </w:rPr>
              <w:fldChar w:fldCharType="end"/>
            </w:r>
            <w:r>
              <w:rPr>
                <w:rFonts w:hint="eastAsia" w:ascii="宋体" w:hAnsi="宋体" w:cs="宋体"/>
                <w:color w:val="000000"/>
                <w:spacing w:val="-4"/>
              </w:rPr>
              <w:t>》第三十一条第一款：“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的；（二）发现医嘱违反法律、法规、规章或者诊疗技术规范的规定，未依照本条例第十七条的规定提出或者报告的；（三）泄露患者隐私的；（四）发生自然灾害、公共卫生事件等严重威胁公众生命健康的突发事件，不服从安排参加医疗救护的。</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color w:val="000000"/>
              </w:rPr>
              <w:t>《</w:t>
            </w:r>
            <w:r>
              <w:fldChar w:fldCharType="begin"/>
            </w:r>
            <w:r>
              <w:instrText xml:space="preserve"> HYPERLINK "http://baike.baidu.com/view/1406716.htm" </w:instrText>
            </w:r>
            <w:r>
              <w:fldChar w:fldCharType="separate"/>
            </w:r>
            <w:r>
              <w:rPr>
                <w:rFonts w:hint="eastAsia" w:ascii="宋体" w:hAnsi="宋体" w:cs="宋体"/>
                <w:color w:val="000000"/>
              </w:rPr>
              <w:t>护士条例</w:t>
            </w:r>
            <w:r>
              <w:rPr>
                <w:rFonts w:hint="eastAsia" w:ascii="宋体" w:hAnsi="宋体" w:cs="宋体"/>
                <w:color w:val="000000"/>
              </w:rPr>
              <w:fldChar w:fldCharType="end"/>
            </w:r>
            <w:r>
              <w:rPr>
                <w:rFonts w:hint="eastAsia" w:ascii="宋体" w:hAnsi="宋体" w:cs="宋体"/>
                <w:color w:val="000000"/>
              </w:rPr>
              <w:t>》</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表2-143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对未制定、实施本机构护士在职培训计划或者未保证护士接受培训的；未依照《护士条例》规定履行护士管理职责的处罚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w:t>
            </w:r>
            <w:r>
              <w:fldChar w:fldCharType="begin"/>
            </w:r>
            <w:r>
              <w:instrText xml:space="preserve"> HYPERLINK "http://baike.baidu.com/view/1406716.htm" </w:instrText>
            </w:r>
            <w:r>
              <w:fldChar w:fldCharType="separate"/>
            </w:r>
            <w:r>
              <w:rPr>
                <w:rFonts w:hint="eastAsia" w:ascii="宋体" w:hAnsi="宋体" w:cs="宋体"/>
              </w:rPr>
              <w:t>护士条例</w:t>
            </w:r>
            <w:r>
              <w:rPr>
                <w:rFonts w:hint="eastAsia" w:ascii="宋体" w:hAnsi="宋体" w:cs="宋体"/>
              </w:rPr>
              <w:fldChar w:fldCharType="end"/>
            </w:r>
            <w:r>
              <w:rPr>
                <w:rFonts w:hint="eastAsia" w:ascii="宋体" w:hAnsi="宋体" w:cs="宋体"/>
              </w:rPr>
              <w:t>》第三十条：“医疗卫生机构有下列情形之一的，由县级以上地方人民政府卫生主管部门依据职责分工责令限期改正，给予警告，（一）未制定、实施本机构护士在职培训计划或者未保证护士接受培训的；（二）未依照本条例规定履行护士管理职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color w:val="000000"/>
              </w:rPr>
              <w:t>《</w:t>
            </w:r>
            <w:r>
              <w:fldChar w:fldCharType="begin"/>
            </w:r>
            <w:r>
              <w:instrText xml:space="preserve"> HYPERLINK "http://baike.baidu.com/view/1406716.htm" </w:instrText>
            </w:r>
            <w:r>
              <w:fldChar w:fldCharType="separate"/>
            </w:r>
            <w:r>
              <w:rPr>
                <w:rFonts w:hint="eastAsia" w:ascii="宋体" w:hAnsi="宋体" w:cs="宋体"/>
                <w:color w:val="000000"/>
              </w:rPr>
              <w:t>护士条例</w:t>
            </w:r>
            <w:r>
              <w:rPr>
                <w:rFonts w:hint="eastAsia" w:ascii="宋体" w:hAnsi="宋体" w:cs="宋体"/>
                <w:color w:val="000000"/>
              </w:rPr>
              <w:fldChar w:fldCharType="end"/>
            </w:r>
            <w:r>
              <w:rPr>
                <w:rFonts w:hint="eastAsia" w:ascii="宋体" w:hAnsi="宋体" w:cs="宋体"/>
                <w:color w:val="000000"/>
              </w:rPr>
              <w:t>》</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表2-144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widowControl/>
              <w:spacing w:line="260" w:lineRule="exact"/>
              <w:ind w:firstLine="420" w:firstLineChars="200"/>
              <w:textAlignment w:val="center"/>
              <w:rPr>
                <w:rFonts w:ascii="宋体" w:hAnsi="宋体" w:cs="宋体"/>
                <w:kern w:val="0"/>
              </w:rPr>
            </w:pPr>
            <w:r>
              <w:rPr>
                <w:rFonts w:hint="eastAsia" w:ascii="宋体" w:hAnsi="宋体" w:cs="宋体"/>
                <w:color w:val="000000"/>
                <w:kern w:val="0"/>
              </w:rPr>
              <w:t>对饮用水供水单位供应的饮用水不符合国家卫生标准和卫生规范导致或者可能导致传染病传播、流行的处罚；涉及饮用水卫生安全的产品不符合国家卫生标准和卫生规范的导致或者可能导致传染病传播、流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生活饮用水卫生监督管理办法》第二十七条：“违反本办法规定，生产或者销售无卫生许可批准文件的涉及饮用水卫生安全的产品的，县级以上地方人民政府卫生行政部门应当责令改进，并可处以违法所得3倍以下的罚款，但最高不超过30000元，或处以500元以上10000元以下的罚款。”</w:t>
            </w:r>
          </w:p>
          <w:p>
            <w:pPr>
              <w:spacing w:line="260" w:lineRule="exact"/>
              <w:ind w:firstLine="420"/>
              <w:rPr>
                <w:rFonts w:ascii="宋体" w:hAnsi="宋体" w:cs="宋体"/>
              </w:rPr>
            </w:pPr>
            <w:r>
              <w:rPr>
                <w:rFonts w:hint="eastAsia" w:ascii="宋体" w:hAnsi="宋体" w:cs="宋体"/>
              </w:rPr>
              <w:t>2.《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一）饮用水供水单位供应的饮用水不符合国家卫生标准和卫生规范的；（二）涉及饮用水卫生安全的产品不符合国家卫生标准和卫生规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生活饮用水卫生监督管理办法》《传染病防治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表2-145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对在国家确认的自然疫源地兴建水利、交通、旅游、能源等大型建设项目，未经卫生调查进行施工的，或者未按照疾病预防控制机构的意见采取必要的传染病预防、控制措施的处罚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传染病防治法》第七十六条：“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8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传染病防治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表2-146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kern w:val="0"/>
              </w:rPr>
            </w:pPr>
            <w:r>
              <w:rPr>
                <w:rFonts w:hint="eastAsia" w:ascii="宋体" w:hAnsi="宋体" w:cs="宋体"/>
              </w:rPr>
              <w:t>对单位和个人非法经营、出售用于预防传染病菌苗、疫苗等生物制品的处罚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传染病防治法实施办法》第六十九条：“单位和个人非法经营、出售用于预防传染病菌苗、疫苗等生物制品的，县级以上政府卫生行政部门可以处相当出售金３倍以下的罚款，危害严重，出售金额不满5000元的，以5000元计算；对主管人员和直接责任人员由所在单位或者上级机关根据情节，可以给予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4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传染病防治法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 xml:space="preserve"> 表2-147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 xml:space="preserve">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公共场所的经营者未查验服务人员的健康合格证明或者允许未取得健康合格证明的人员从事服务工作，省、自治区、直辖市人民政府确定应放置安全套的公共场所的经营者未在公共场所内放置安全套或者设置安全套发售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艾滋病防治条例》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6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艾滋病防治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表2-148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对加工、出售、运输被传染病病原体污染或者来自疫区可能被传染病病原体污染的皮毛，未按国家有关规定进行消毒处理的处罚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消毒管理办法》第四十六条：“加工、出售、运输被传染病病原体污染或者来自疫区可能被传染病病原体污染的皮毛，未按国家有关规定进行消毒处理的，应当按照《传染病防治法实施办法》第六十八条的有关规定给予处罚。”</w:t>
            </w:r>
          </w:p>
          <w:p>
            <w:pPr>
              <w:spacing w:line="260" w:lineRule="exact"/>
              <w:ind w:firstLine="420"/>
              <w:rPr>
                <w:rFonts w:ascii="宋体" w:hAnsi="宋体" w:cs="宋体"/>
              </w:rPr>
            </w:pPr>
            <w:r>
              <w:rPr>
                <w:rFonts w:hint="eastAsia" w:ascii="宋体" w:hAnsi="宋体" w:cs="宋体"/>
              </w:rPr>
              <w:t>2.《中华人民共和国传染病防治法实施办法》第六十八条：“单位和个人出售、运输被传染病</w:t>
            </w:r>
            <w:r>
              <w:fldChar w:fldCharType="begin"/>
            </w:r>
            <w:r>
              <w:instrText xml:space="preserve"> HYPERLINK "http://baike.baidu.com/subview/11610408/11959292.htm" </w:instrText>
            </w:r>
            <w:r>
              <w:fldChar w:fldCharType="separate"/>
            </w:r>
            <w:r>
              <w:rPr>
                <w:rFonts w:hint="eastAsia" w:ascii="宋体" w:hAnsi="宋体" w:cs="宋体"/>
              </w:rPr>
              <w:t>病原体污染</w:t>
            </w:r>
            <w:r>
              <w:rPr>
                <w:rFonts w:hint="eastAsia" w:ascii="宋体" w:hAnsi="宋体" w:cs="宋体"/>
              </w:rPr>
              <w:fldChar w:fldCharType="end"/>
            </w:r>
            <w:r>
              <w:rPr>
                <w:rFonts w:hint="eastAsia" w:ascii="宋体" w:hAnsi="宋体" w:cs="宋体"/>
              </w:rPr>
              <w:t>和来自疫区可能被传染病病原体污染的皮毛、旧衣物及生活用品的，由县级以上政府卫生行政部门责令限期进行卫生处理，可以处出售金额1倍以下的罚款；造成</w:t>
            </w:r>
            <w:r>
              <w:fldChar w:fldCharType="begin"/>
            </w:r>
            <w:r>
              <w:instrText xml:space="preserve"> HYPERLINK "http://baike.baidu.com/subview/4436131/4436131.htm" </w:instrText>
            </w:r>
            <w:r>
              <w:fldChar w:fldCharType="separate"/>
            </w:r>
            <w:r>
              <w:rPr>
                <w:rFonts w:hint="eastAsia" w:ascii="宋体" w:hAnsi="宋体" w:cs="宋体"/>
              </w:rPr>
              <w:t>传染病流行</w:t>
            </w:r>
            <w:r>
              <w:rPr>
                <w:rFonts w:hint="eastAsia" w:ascii="宋体" w:hAnsi="宋体" w:cs="宋体"/>
              </w:rPr>
              <w:fldChar w:fldCharType="end"/>
            </w:r>
            <w:r>
              <w:rPr>
                <w:rFonts w:hint="eastAsia" w:ascii="宋体" w:hAnsi="宋体" w:cs="宋体"/>
              </w:rPr>
              <w:t>的，根据情节，可以处相当出售金额3倍以下的罚款，危害严重，出售金额不满2000元的，以2000元计算；对主管人员和直接责任人员由所在单位或者上级机关给予行政处分。”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1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消毒管理办法》《中华人民共和国传染病防治法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表2-149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70"/>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67"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67"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4"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67"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消毒产品的命名、标签（含说明书）不符合国家卫计委的有关规定的；消毒产品的标签（含说明书）和宣传内容不真实，出现或暗示对疾病的治疗效果的；生产经营无生产企业卫生许可证、产品备案凭证或卫生许可批件的消毒产品的；消毒产品卫生质量不符合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6"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67"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1．《消毒管理办法》第三十一条：“消毒产品的命名、标签（含说明书）应当符合国家卫生计生委的有关规定。 消毒产品的标签（含说明书）和宣传内容必须真实，不得出现或暗示对疾病的治疗效果。”</w:t>
            </w:r>
          </w:p>
          <w:p>
            <w:pPr>
              <w:spacing w:line="260" w:lineRule="exact"/>
              <w:ind w:firstLine="420" w:firstLineChars="200"/>
              <w:rPr>
                <w:rFonts w:ascii="宋体" w:hAnsi="宋体" w:cs="宋体"/>
              </w:rPr>
            </w:pPr>
            <w:r>
              <w:rPr>
                <w:rFonts w:hint="eastAsia" w:ascii="宋体" w:hAnsi="宋体" w:cs="宋体"/>
              </w:rPr>
              <w:t>2.《消毒管理办法》第三十二条：“禁止生产经营下列消毒产品，（一）无生产企业卫生许可证或新消毒产品卫生许可批准文件的；（二）产品卫生安全评价不合格或产品卫生质量不符合要求的。”</w:t>
            </w:r>
          </w:p>
          <w:p>
            <w:pPr>
              <w:spacing w:line="260" w:lineRule="exact"/>
              <w:ind w:firstLine="420"/>
              <w:rPr>
                <w:rFonts w:ascii="宋体" w:hAnsi="宋体" w:cs="宋体"/>
              </w:rPr>
            </w:pPr>
            <w:r>
              <w:rPr>
                <w:rFonts w:hint="eastAsia" w:ascii="宋体" w:hAnsi="宋体" w:cs="宋体"/>
              </w:rPr>
              <w:t>3.《消毒管理办法》第四十七条：“消毒产品生产经营单位违反本办法第三十三、三十四条规定的，由县级以上地方卫生行政部门责令其限期改正，可以处5000元以下罚款；造成感染性疾病暴发的，可以处5000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67"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82"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67"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6"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67"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消毒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67"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表2-150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70"/>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67"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67"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10"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67" w:type="dxa"/>
            <w:tcBorders>
              <w:top w:val="single" w:color="auto" w:sz="4" w:space="0"/>
              <w:left w:val="nil"/>
              <w:bottom w:val="single" w:color="auto" w:sz="4" w:space="0"/>
              <w:right w:val="single" w:color="auto" w:sz="4" w:space="0"/>
            </w:tcBorders>
            <w:vAlign w:val="center"/>
          </w:tcPr>
          <w:p>
            <w:pPr>
              <w:widowControl/>
              <w:spacing w:line="260" w:lineRule="exact"/>
              <w:ind w:firstLine="404" w:firstLineChars="200"/>
              <w:textAlignment w:val="center"/>
              <w:rPr>
                <w:rFonts w:ascii="宋体" w:hAnsi="宋体" w:cs="宋体"/>
                <w:spacing w:val="-4"/>
                <w:kern w:val="0"/>
              </w:rPr>
            </w:pPr>
            <w:r>
              <w:rPr>
                <w:rFonts w:hint="eastAsia" w:ascii="宋体" w:hAnsi="宋体" w:cs="宋体"/>
                <w:color w:val="000000"/>
                <w:spacing w:val="-4"/>
                <w:kern w:val="0"/>
              </w:rPr>
              <w:t>对集中式供水单位供应的饮用水不符合国家规定的《生活饮用水卫生标准》的；单位自备水源未经批准与城镇供水系统连接的；未按城市环境卫生设施标准修建公共卫生设施致使垃圾、粪便、污水不能进行无害化处理的；对被传染病病原体污染的污水、污物、粪便不按规定进行消毒处理的；对被甲类和乙类传染病病人、病原携带者、疑似传染病病人污染的场所、物品未按照卫生防疫机构的要求实施必要的卫生处理的；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准许或者纵容传染病病人、病原携带者和疑似传染病病人，从事国务院卫生行政部门规定禁止从事的易使该传染病扩散的工作的；传染病病人、病原携带者故意传播传染病，造成他人感染的；甲类传染病病人、病原携带者或者疑似传染病病人，乙类传染病中艾滋病、肺炭疽病人拒绝进行隔离治疗的；招用流动人员的用工单位，未向卫生防疫机构报告并未采取卫生措施，造成传染病传播、流行的；违章养犬或者拒绝、阻挠捕杀违章犬，造成咬伤他人或者导致人群中发生狂犬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7"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67"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spacing w:val="-4"/>
              </w:rPr>
            </w:pPr>
            <w:r>
              <w:rPr>
                <w:rFonts w:hint="eastAsia" w:ascii="宋体" w:hAnsi="宋体" w:cs="宋体"/>
                <w:spacing w:val="-4"/>
              </w:rPr>
              <w:t>《传染病防治法实施办法》第六十六条：“有下列行为之一的，由县级以上政府卫生行政部门责令限期改正，可以处5000元以下的罚款；情节较严重的，可以处5000元以上20000元以下的罚款，对主管人员和直接责任人员由其所在单位或者上级机关给予行政处分，（一）集中式供水单位供应的饮用水不符合国家规定的《生活饮用水卫生标准》的；（二）单位自备水源未经批准与城镇供水系统连接的；（三）未按城市环境卫生设施标准修建公共卫生设施致使垃圾、粪便、污水不能进行无害化处理的；（四）对被传染病病原体污染的污水、污物、粪便不按规定进行消毒处理的；（五）对被甲类和乙类传染病病人、病原携带者、疑似传染病病人污染的场所、物品未按照卫生防疫机构的要求实施必要的卫生处理的；（六）造成传染病的医源性感染、医院内感染、实验室感染和致病性微生物扩散的；（七）生产、经营、使用消毒药剂和消毒器械、卫生用品、卫生材料、一次性医疗器材、隐形眼镜、人造器官等不符合国家卫生标准，可能造成传染病的传播、扩散或者造成传染病的传播、扩散的；</w:t>
            </w:r>
          </w:p>
          <w:p>
            <w:pPr>
              <w:spacing w:line="240" w:lineRule="exact"/>
              <w:rPr>
                <w:rFonts w:ascii="宋体" w:hAnsi="宋体" w:cs="宋体"/>
              </w:rPr>
            </w:pPr>
            <w:r>
              <w:rPr>
                <w:rFonts w:hint="eastAsia" w:ascii="宋体" w:hAnsi="宋体" w:cs="宋体"/>
              </w:rPr>
              <w:t>（八）准许或者纵容传染病病人、病原携带者和疑似传染病病人，从事国务院卫生行政部门规定禁止从事的易使该传染病扩散的工作的；（九）传染病病人、病原携带者故意传播传染病，造成他人感染的；（十）甲类传染病病人、病原携带者或者疑似传染病病人，乙类传染病中艾滋病、肺炭疽病人拒绝进行隔离治疗的；（十一）招用流动人员的用工单位，未向卫行防疫机构报告并未采取卫生措施，造成传染传播、流行的；（十二）违章养犬或者拒绝、阻挠捕杀违章犬，造成咬伤他人或者导致人群中发生狂犬病的。前款所称情节较严重的，是指下列情形之一，（一）造成甲类传染病、艾滋病、肺炭疽传播危险的；（二）造成除艾滋病、肺炭疽上的乙、丙类传染病暴发、流行的；（三）造成传染病菌（毒）种扩散的；（四）造成病人残疾、死亡的；（五）拒绝执行《传染病防治法》及本办法的规定，屡经教育仍继续违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5"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67"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1"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67"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9"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67"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传染病防治法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4" w:hRule="atLeast"/>
        </w:trPr>
        <w:tc>
          <w:tcPr>
            <w:tcW w:w="57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67"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表2-151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kern w:val="0"/>
              </w:rPr>
            </w:pPr>
            <w:r>
              <w:rPr>
                <w:rFonts w:hint="eastAsia" w:ascii="宋体" w:hAnsi="宋体" w:cs="宋体"/>
              </w:rPr>
              <w:t>对消毒服务机构消毒后的物品未达到卫生标准和要求的处罚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消毒管理办法》第四十八条规定，消毒服务机构违反本办法：“有下列情形之一的，由县级以上卫生行政部门责令其限期改正，可以处5000元以下的罚款；造成感染性疾病发生的，可以处5000元以上20000元以下的罚款，（一）消毒后的物品未达到卫生标准和要求的；</w:t>
            </w:r>
          </w:p>
          <w:p>
            <w:pPr>
              <w:spacing w:line="260" w:lineRule="exact"/>
              <w:rPr>
                <w:rFonts w:ascii="宋体" w:hAnsi="宋体" w:cs="宋体"/>
              </w:rPr>
            </w:pPr>
            <w:r>
              <w:rPr>
                <w:rFonts w:hint="eastAsia" w:ascii="宋体" w:hAnsi="宋体" w:cs="宋体"/>
              </w:rPr>
              <w:t xml:space="preserve">（二）未取得卫生许可证从事消毒服务业务的。”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消毒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表2-152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医疗机构、疾病预防控制机构未依照规定开展血吸虫病防治工作的；未定期对其工作人员进行血吸虫病防治知识、技能培训和考核的；发现急性血吸虫病疫情或者接到急性血吸虫病暴发、流行报告时，未及时采取措施的；未对本行政区域内出售、外运的家畜或者植物进行血吸虫病检疫的；未对经检疫发现的患血吸虫病的家畜实施药物治疗，或者未对发现的携带钉螺的植物实施杀灭钉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tcPr>
          <w:p>
            <w:pPr>
              <w:spacing w:line="260" w:lineRule="exact"/>
              <w:ind w:firstLine="420"/>
              <w:rPr>
                <w:rFonts w:ascii="宋体" w:hAnsi="宋体" w:cs="宋体"/>
              </w:rPr>
            </w:pPr>
            <w:r>
              <w:rPr>
                <w:rFonts w:hint="eastAsia" w:ascii="宋体" w:hAnsi="宋体" w:cs="宋体"/>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一）未依照本条例规定开展血吸虫病防治工作的；（二）未定期对其工作人员进行血吸虫病防治知识、技能培训和考核的；（三）发现急性血吸虫病疫情或者接到急性血吸虫病暴发、流行报告时，未及时采取措施的；（四）未对本行政区域内出售、外运的家畜或者植物进行血吸虫病检疫的；（五）未对经检疫发现的患血吸虫病的家畜实施药物治疗，或者未对发现的携带钉螺的植物实施杀灭钉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血吸虫病防治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表2-153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建设单位在血吸虫病防治地区兴建水利、交通、旅游、能源等大型建设项目，未事先提请省级以上疾病预防控制机构进行卫生调查，或者未根据疾病预防控制机构的意见，采取必要的血吸虫病预防、控制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血吸虫病防治条例》第五十条：“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血吸虫病防治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表2-154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单位未依照规定对因生产、工作必须接触疫水的人员采取防护措施，或者未定期组织进行血吸虫病的专项体检的；对政府有关部门采取的预防、控制措施不予配合的；使用国家明令禁止使用的药物杀灭钉螺的；引种在有钉螺地带培育的芦苇等植物或者农作物的种子、种苗等繁殖材料的；在血吸虫病防治地区施用未经无害化处理粪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8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血吸虫病防治条例》第五十二条：“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一）单位未依照本条例的规定对因生产、工作必须接触疫水的人员采取防护措施，或者未定期组织进行血吸虫病的专项体检的；（二）对政府有关部门采取的预防、控制措施不予配合的；（三）使用国家明令禁止使用的药物杀灭钉螺的；（四）引种在有钉螺地带培育的芦苇等植物或者农作物的种子、种苗等繁殖材料的；</w:t>
            </w:r>
          </w:p>
          <w:p>
            <w:pPr>
              <w:spacing w:line="260" w:lineRule="exact"/>
              <w:rPr>
                <w:rFonts w:ascii="宋体" w:hAnsi="宋体" w:cs="宋体"/>
              </w:rPr>
            </w:pPr>
            <w:r>
              <w:rPr>
                <w:rFonts w:hint="eastAsia" w:ascii="宋体" w:hAnsi="宋体" w:cs="宋体"/>
              </w:rPr>
              <w:t>（五）在血吸虫病防治地区施用未经无害化处理粪便的。”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血吸虫病防治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表2-155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有关单位和人员对传染性非典型肺炎病原体污染的污水、污物、粪便不按规定进行消毒处理的；造成传染性非典型肺炎的医源性感染、医院内感染、实验室感染或者致病性微生物扩散的；生产、经营、使用消毒产品、隔离防护用品等不符合规定与标准，可能造成传染病的传播、扩散或者造成传染病的传播、扩散的处罚；对拒绝、阻碍或者不配合现场调查、资料收集、采样检验以及监督检查的；拒绝执行疾病预防控制机构提出的预防、控制措施的；病人或者疑似病人故意传播传染性非典型肺炎，造成他人感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传染性非典型肺炎防治管理办法》第三十八条：“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一）对传染性非典型肺炎病原体污染的污水、污物、粪便不按规定进行消毒处理的；（二）造成传染性非典型肺炎的医源性感染、医院内感染、实验室感染或者致病性微生物扩散的；（三）生产、经营、使用消毒产品、隔离防护用品等不符合规定与标准，可能造成传染病的传播、扩散或者造成传染病的传播、扩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传染性非典型肺炎防治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 xml:space="preserve"> 表2-156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kern w:val="0"/>
              </w:rPr>
              <w:t>对医疗卫生机构未依照规定履行突发公共卫生事件报告职责，隐瞒、缓报或者谎报的；医疗卫生机构未依照规定及时采取突发公共卫生事件控制措施的；医疗卫生机构未依照规定履行突发事件监测职责的；医疗卫生机构拒绝接诊病人的；医疗机构拒不服从突发事件应急处理指挥部调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突发公共卫生事件应急条例》第五十条：“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二)未依照本条例的规定及时采取控制措施的;(三)未依照本条例的规定履行突发事件监测职责的;(四)拒绝接诊病人的;(五)拒不服从突发事件应急处理指挥部调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5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突发公共卫生事件应急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 xml:space="preserve"> 表2-157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kern w:val="0"/>
              </w:rPr>
            </w:pPr>
            <w:r>
              <w:rPr>
                <w:rFonts w:hint="eastAsia" w:ascii="宋体" w:hAnsi="宋体" w:cs="宋体"/>
              </w:rPr>
              <w:t>对执行职务的医疗卫生人员瞒报、缓报、谎报传染病疫情的处罚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突发公共卫生事件应急条例》第五十一条：“在突发事件应急处理工作中，有关单位和个人未依照本条例的规定履行报告职责，隐瞒、缓报或者谎报，阻碍突发事件应急处理工作人员执行职务，拒绝国务院卫生行政主管部门或者其他有关部门指定的专业技术机构进入突发事件现场，或者不配合调查、采样、技术分析和检验的，对有关责任人员依法给予行政处分或者纪律处分；触犯《中华人民共和国治安管理处罚法》，构成违反治安管理行为的，由公安机关依法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突发公共卫生事件应急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表2-158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spacing w:val="-6"/>
                <w:kern w:val="0"/>
              </w:rPr>
            </w:pPr>
            <w:r>
              <w:rPr>
                <w:rFonts w:hint="eastAsia" w:ascii="宋体" w:hAnsi="宋体" w:cs="宋体"/>
                <w:spacing w:val="-6"/>
              </w:rPr>
              <w:t>对个体或私营医疗保健机构瞒报、缓报、谎报传染病疫情或突发性公共卫生事件的处罚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突发公共卫生事件应急条例》第五十一条：“在突发事件应急处理工作中，有关单位和个人未依照本条例的规定履行报告职责，隐瞒、缓报或者谎报，阻碍突发事件应急处理工作人员执行职务，拒绝国务院卫生行政主管部门或者其他有关部门指定的专业技术机构进入突发事件现场，或者不配合调查、采样、技术分析和检验的，对有关责任人员依法给予行政处分或者纪律处分；触犯《中华人民共和国治安管理处罚法》，构成违反治安管理行为的，由公安机关依法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突发公共卫生事件应急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 xml:space="preserve"> 表2-159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结核病防治机构和归口管理定点医疗机构以外的其他医疗机构诊治肺结核病人（除急救外）的；有关从业人员的工作单位，不组织有关人员进行预防性肺结核病体检的，或者准许、纵容未治愈的传染性肺结核病患者直接从事服务工作的；结核病防治机构、医疗机构对肺结核病人的排泄物或痰液等未进行消毒或卫生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地方性规章《四川省结核病防治管理办法》第二十三条第（二）项：“违反本办法规定，有下列行为之一的，由县级以上卫生行政部门予以警告，责令改正，可并处1000元以下罚款，情节较重的，可并处2万元以下罚款，（二）第十七条所列从业人员的工作单位，不组织有关人员进行预防性肺结核病体检的，或者准许、纵容未治愈的传染性肺结核病患者直接从事服务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结核病防治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表2-160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对未取得《消毒产品生产企业卫生许可证》生产消毒产品的；擅自变更企业名称、法人代表、生产类别、迁移厂址、另设生产与消毒产品有关分厂（车间）的，未重新申请办证的处罚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四川省消毒管理条例》第十九条：“违反本条例第九条规定的，由卫生行政部门责令其停止违法活动，没收违法产品和违法所得，并处违法生产、销售的产品（包括已售出和未售出的产品）货值金额一倍以上五倍以下罚款；没有违法所得的，处以二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9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消毒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表2-161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widowControl/>
              <w:spacing w:line="260" w:lineRule="exact"/>
              <w:ind w:firstLine="420" w:firstLineChars="200"/>
              <w:textAlignment w:val="center"/>
              <w:rPr>
                <w:rFonts w:ascii="宋体" w:hAnsi="宋体" w:cs="宋体"/>
                <w:kern w:val="0"/>
              </w:rPr>
            </w:pPr>
            <w:r>
              <w:rPr>
                <w:rFonts w:hint="eastAsia" w:ascii="宋体" w:hAnsi="宋体" w:cs="宋体"/>
                <w:color w:val="000000"/>
                <w:kern w:val="0"/>
              </w:rPr>
              <w:t>对消毒产品的标签、说明书和宣传内容不真实，不符合其产品质量要求，明示或暗示对疾病治疗效果的处罚；对消毒产品生产企业伪造、擅自修改产品配方的处罚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四川省消毒管理条例》第二十条:“违反本条例第十二条规定的，由卫生行政部门责令限期改正，并可处二千元以上一万元以下的罚款。情节严重者，吊销《消毒产品生产企业卫生许可证》。消毒产品明示或暗示疾病治疗效果的，由药品监督管理行政部门按《中华人民共和国药品管理法》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6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消毒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表2-162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消毒产品经营企业、消毒服务机构、医疗机构、计划生育技术服务机构、学校、托幼机构、养老机构等单位采购消毒产品时，未索取《消毒产品生产企业卫生许可证》复印件和消毒剂、消毒器械卫生许可证批件复印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四川省消毒管理条例》第二十二条：“违反本条例第十四条规定的，由卫生行政部门对该消毒产品予以暂扣并责令限期补证，逾期补证不全者，暂扣产品予以没收并进行销毁；已先行出售的，处违法所得一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1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消毒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表2-163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840" w:firstLineChars="400"/>
              <w:rPr>
                <w:rFonts w:ascii="宋体" w:hAnsi="宋体" w:cs="宋体"/>
                <w:kern w:val="0"/>
              </w:rPr>
            </w:pPr>
            <w:r>
              <w:rPr>
                <w:rFonts w:hint="eastAsia" w:ascii="宋体" w:hAnsi="宋体" w:cs="宋体"/>
              </w:rPr>
              <w:t>对出租、出借、转让和涂改《消毒产品生产企业卫生许可证》的处罚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《四川省消毒管理条例》第二十四条：“违反本条例第十六条规定的，由卫生行政部门吊销卫生许可证，没收违法所得，并可处违法所得一倍以上五倍以下罚款。”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2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消毒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表2-164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学校未根据学生的年龄，组织学生参加适当的劳动，并对参加劳动的学生，未进行安全教育，提供必要的安全和卫生防护措施，致使学生健康受到损害的；普通中小学校组织学生参加，让学生接触有毒有害物质或者从事不安全工种的作业，让学生参加夜班劳动，致使学生健康受到损害的；普通高等学校、中等专业学校、技工学校、农业中学、职业中学组织学生参加生产劳动，接触有毒有害物质的，按照国家有关规定，未提供保健待遇；学校未定期对他们进行体格检查，未加强卫生防护，致使学生健康受到损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《学校卫生工作条例》第三十四条：“违反本条例第十一条规定，致使学生健康受到损害的，由卫生行政部门对直接责任单位或者个人给予警告，责令限期改进。”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9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学校卫生工作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表2-165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托幼机构未按要求设立保健室、卫生室或者配备卫生保健人员的；托幼机构聘用未进行健康检查或者健康检查不合格的工作人员的；托幼机构未定期组织工作人员健康检查的；托幼机构招收未经健康检查或健康检查不合格的儿童入托幼机构的；托幼机构未严格按照《托儿所幼儿园卫生保健工作规范》开展卫生保健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托儿所、幼儿园卫生保健管理办法》第十九条：“托幼机构有下列情形之一的，由卫生行政部门责令限期改正，通报批评；逾期不改的，给予警告；情节严重的，由教育行政部门依法给予行政处罚，（一）未按要求设立保健室、卫生室或者配备卫生保健人员的；（二）聘用未进行健康检查或者健康检查不合格的工作人员的；（三）未定期组织工作人员健康检查的；（四）招收未经健康检查或健康检查不合格的儿童入托幼机构的；（五）未严格按照《托儿所幼儿园卫生保健工作规范》开展卫生保健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5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托儿所、幼儿园卫生保健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表2-166</w:t>
      </w:r>
    </w:p>
    <w:tbl>
      <w:tblPr>
        <w:tblStyle w:val="13"/>
        <w:tblW w:w="9043"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496"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496"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496" w:type="dxa"/>
            <w:tcBorders>
              <w:top w:val="single" w:color="auto" w:sz="4" w:space="0"/>
              <w:left w:val="nil"/>
              <w:bottom w:val="single" w:color="auto" w:sz="4" w:space="0"/>
              <w:right w:val="single" w:color="auto" w:sz="4" w:space="0"/>
            </w:tcBorders>
            <w:vAlign w:val="center"/>
          </w:tcPr>
          <w:p>
            <w:pPr>
              <w:widowControl/>
              <w:spacing w:line="260" w:lineRule="exact"/>
              <w:ind w:firstLine="420" w:firstLineChars="200"/>
              <w:textAlignment w:val="center"/>
              <w:rPr>
                <w:rFonts w:ascii="宋体" w:hAnsi="宋体" w:cs="宋体"/>
                <w:kern w:val="0"/>
              </w:rPr>
            </w:pPr>
            <w:r>
              <w:rPr>
                <w:rFonts w:hint="eastAsia" w:ascii="宋体" w:hAnsi="宋体" w:cs="宋体"/>
                <w:kern w:val="0"/>
              </w:rPr>
              <w:t>对依法应当取得许可证照而未取得许可证照从事生产经营活动的;对取得许可证照或者经过认证后，不按照法定条件、要求从事生产经营活动或者生产、销售不符合法定要求产品的;对生产经营者不再符合法定条件、要求继续从事生产经营活动的;对生产者生产产品不按照法律、行政法规的规定和国家强制性标准使用原料、辅料、添加剂、农业投入品的;对销售者没有建立并执行进货检查验收制度，并建立产品进货台账的;对生产企业和销售者发现其生产、销售的产品存在安全隐患，可能对人体健康和生命安全造成损害，不履行本规定的义务的;对生产经营者违反法律、行政法规和本规定的其他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496"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国务院关于加强食品等产品安全监督管理的特别规定》第十三条：“生产经营者有下列情形之一的，农业、卫生、质检、商务、工商、药品等监督管理部门应当依据各自职责采取措施，纠正违法行为，防止或者减少危害发生，并依照本规定予以处罚，(一)依法应当取得许可证照而未取得许可证照从事生产经营活动的；(二)取得许可证照或者经过认证后，不按照法定条件、要求从事生产经营活动或者生产、销售不符合法定要求产品的；(三)生产经营者不再符合法定条件、要求继续从事生产经营活动的；(四)生产者生产产品不按照法律、行政法规的规定和国家强制性标准使用原料、辅料、添加剂、农业投入品的；(五)销售者没有建立并执行进货检查验收制度，并建立产品进货台账的；(六)生产企业和销售者发现其生产、销售的产品存在安全隐患，可能对人体健康和生命安全造成损害，不履行本规定的义务的；(七)生产经营者违反法律、行政法规和本规定的其他有关规定的。农业、卫生、质检、商务、工商、药品等监督管理部门不履行前款规定职责、造成后果的，由监察机关或者任免机关对其主要负责人、直接负责的主管人员和其他直接责任人员给予记大过或者降级的处分；造成严重后果的，给予其主要负责人、直接负责的主管人员和其他直接责任人员撤职或者开除的处分；其主要负责人、直接负责的主管人员和其他直接责任人员构成渎职罪的，依法追究刑事责任。违反本规定，滥用职权或者有其他渎职行为的，由监察机关或者任免机关对其主要负责人、直接负责的主管人员和其他直接责任人员给予记过或者记大过的处分；造成严重后果的，给予其主要负责人、直接负责的主管人员和其他直接责任人员降级或者撤职的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496"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496"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496"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国务院关于加强食品等产品安全监督管理的特别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496"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表2-167</w:t>
      </w:r>
    </w:p>
    <w:tbl>
      <w:tblPr>
        <w:tblStyle w:val="13"/>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72"/>
        <w:gridCol w:w="8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6"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6"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9"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6" w:type="dxa"/>
            <w:tcBorders>
              <w:top w:val="single" w:color="auto" w:sz="4" w:space="0"/>
              <w:left w:val="nil"/>
              <w:bottom w:val="single" w:color="auto" w:sz="4" w:space="0"/>
              <w:right w:val="single" w:color="auto" w:sz="4" w:space="0"/>
            </w:tcBorders>
            <w:vAlign w:val="center"/>
          </w:tcPr>
          <w:p>
            <w:pPr>
              <w:widowControl/>
              <w:spacing w:line="260" w:lineRule="exact"/>
              <w:ind w:firstLine="420" w:firstLineChars="200"/>
              <w:jc w:val="left"/>
              <w:textAlignment w:val="center"/>
              <w:rPr>
                <w:rFonts w:ascii="宋体" w:hAnsi="宋体" w:cs="宋体"/>
                <w:kern w:val="0"/>
              </w:rPr>
            </w:pPr>
            <w:r>
              <w:rPr>
                <w:rFonts w:hint="eastAsia" w:ascii="宋体" w:hAnsi="宋体" w:cs="宋体"/>
                <w:color w:val="000000"/>
                <w:kern w:val="0"/>
              </w:rPr>
              <w:t>对生产企业发现其生产的产品存在安全隐患，可能对人体健康和生命安全造成损害，未向社会公布有关信息的；未通知销售者停止销售，告知消费者停止使用，主动召回产品，并向有关监督管理部门报告的；销售者未立即停止销售该产品。销售者发现其销售的产品存在安全隐患，可能对人体健康和生命安全造成损害的，未立即停止销售该产品，通知生产企业或者供货商，并向有关监督管理部门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63"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6"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国务院关于加强食品等产品安全监督管理的特别规定》第三条:“生产经营者应当对其生产、销售的产品安全负责，不得生产、销售不符合法定要求的产品。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生产经营者不再符合法定条件、要求，继续从事生产经营活动的，由原发证部门吊销许可证照，并在当地主要媒体上公告被吊销许可证照的生产经营者名单；依法应当取得许可证照而未取得许可证照从事生产经营活动的，没收违法所得、产品和用于违法生产的工具、设备、原材料等物品，货值金额不足1万元的，构成非法经营罪的，依法追究刑事责任。有关行业协会应当加强行业自律，监督生产经营者的生产经营活动；加强公众健康知识的普及、宣传，引导消费者选择合法生产经营者生产、销售的产品以及有合法标识的产品。”</w:t>
            </w:r>
          </w:p>
          <w:p>
            <w:pPr>
              <w:spacing w:line="260" w:lineRule="exact"/>
              <w:ind w:firstLine="420"/>
              <w:rPr>
                <w:rFonts w:ascii="宋体" w:hAnsi="宋体" w:cs="宋体"/>
              </w:rPr>
            </w:pPr>
            <w:r>
              <w:rPr>
                <w:rFonts w:hint="eastAsia" w:ascii="宋体" w:hAnsi="宋体" w:cs="宋体"/>
              </w:rPr>
              <w:t>2.《国务院关于加强食品等产品安全监督管理的特别规定》第四条：“生产者生产产品所使用的原料、辅料、添加剂、农业投入品，应当符合法律、行政法规的规定和国家强制性标准。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80" w:hRule="atLeast"/>
          <w:jc w:val="center"/>
        </w:trPr>
        <w:tc>
          <w:tcPr>
            <w:tcW w:w="672" w:type="dxa"/>
            <w:tcBorders>
              <w:top w:val="single" w:color="auto" w:sz="4" w:space="0"/>
              <w:left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6" w:type="dxa"/>
            <w:tcBorders>
              <w:top w:val="single" w:color="auto" w:sz="4" w:space="0"/>
              <w:left w:val="nil"/>
              <w:right w:val="single" w:color="auto" w:sz="4" w:space="0"/>
            </w:tcBorders>
          </w:tcPr>
          <w:p>
            <w:pPr>
              <w:spacing w:line="260" w:lineRule="exact"/>
              <w:ind w:firstLine="420"/>
              <w:rPr>
                <w:rFonts w:ascii="宋体" w:hAnsi="宋体" w:cs="宋体"/>
              </w:rPr>
            </w:pPr>
            <w:r>
              <w:rPr>
                <w:rFonts w:hint="eastAsia" w:ascii="宋体" w:hAnsi="宋体" w:cs="宋体"/>
              </w:rPr>
              <w:t>3.《国务院关于加强食品等产品安全监督管理的特别规定》第九条：“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p>
            <w:pPr>
              <w:spacing w:line="260" w:lineRule="exact"/>
              <w:ind w:firstLine="420"/>
              <w:rPr>
                <w:rFonts w:ascii="宋体" w:hAnsi="宋体" w:cs="宋体"/>
              </w:rPr>
            </w:pPr>
            <w:r>
              <w:rPr>
                <w:rFonts w:hint="eastAsia" w:ascii="宋体" w:hAnsi="宋体" w:cs="宋体"/>
              </w:rPr>
              <w:t>4.《国务院关于加强食品等产品安全监督管理的特别规定》第十三条第一款第（六）项:“生产经营者有下列情形之一的，农业、卫生、质检、商务、工商、药品等监督管理部门应当依据各自职责采取措施，纠正违法行为，防止或者减少危害发生，并依照本规定予以处罚，（六）生产企业和销售者发现其生产、销售的产品存在安全隐患，可能对人体健康和生命安全造成损害，不履行本规定的义务的。农业、卫生、质检、商务、工商、药品等监督管理部门不履行前款规定职责、造成后果的，由监察机关或者任免机关对其主要负责人、直接负责的主管人员和其他直接责任人员给予记大过或者降级的处分；造成严重后果的，给予其主要负责人、直接负责的主管人员和其他直接责任人员撤职或者开除的处分；其主要负责人、直接负责的主管人员和其他直接责任人员构成渎职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6"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90"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6"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0"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6"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国务院关于加强食品等产品安全监督管理的特别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6"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表2-168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2100" w:firstLineChars="1000"/>
              <w:rPr>
                <w:rFonts w:ascii="宋体" w:hAnsi="宋体" w:cs="宋体"/>
                <w:kern w:val="0"/>
              </w:rPr>
            </w:pPr>
            <w:r>
              <w:rPr>
                <w:rFonts w:hint="eastAsia" w:ascii="宋体" w:hAnsi="宋体" w:cs="宋体"/>
              </w:rPr>
              <w:t>对非医疗机构或非医师开展医疗气功活动的处罚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1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医疗气功管理暂行规定》第二十二条:“违反本规定，非医疗机构或非医师开展医疗气功活动的，按照《医疗机构管理条例》第四十四条和《执业医师法》第三十九条的规定进行处罚；构成犯罪的，依法追究刑事责任。”</w:t>
            </w:r>
          </w:p>
          <w:p>
            <w:pPr>
              <w:spacing w:line="260" w:lineRule="exact"/>
              <w:ind w:firstLine="420"/>
              <w:rPr>
                <w:rFonts w:ascii="宋体" w:hAnsi="宋体" w:cs="宋体"/>
              </w:rPr>
            </w:pPr>
            <w:r>
              <w:rPr>
                <w:rFonts w:hint="eastAsia" w:ascii="宋体" w:hAnsi="宋体" w:cs="宋体"/>
              </w:rPr>
              <w:t>2.《医疗机构管理条例》第四十四条 :“违反本条例第二十四条规定，未取得《医疗机构执业许可证》擅自执业的，由县级以上人民政府卫生行政部门责令其停止执业活动，没收非法所得和药品、器械，并可以根据情节处以1万元以下的罚款。”</w:t>
            </w:r>
          </w:p>
          <w:p>
            <w:pPr>
              <w:spacing w:line="260" w:lineRule="exact"/>
              <w:ind w:firstLine="420"/>
              <w:rPr>
                <w:rFonts w:ascii="宋体" w:hAnsi="宋体" w:cs="宋体"/>
              </w:rPr>
            </w:pPr>
            <w:r>
              <w:rPr>
                <w:rFonts w:hint="eastAsia" w:ascii="宋体" w:hAnsi="宋体" w:cs="宋体"/>
              </w:rPr>
              <w:t>3.《执业医师法》第三十九条：“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2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气功管理暂行规定》《医疗机构管理条例》《执业医师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表2-169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kern w:val="0"/>
              </w:rPr>
            </w:pPr>
            <w:r>
              <w:rPr>
                <w:rFonts w:hint="eastAsia" w:ascii="宋体" w:hAnsi="宋体" w:cs="宋体"/>
              </w:rPr>
              <w:t>对使用非医疗气功人员开展医疗气功活动的处罚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1.《医疗气功管理暂行规定》第二十四条：“违反本规定，使用非医疗气功人员开展医疗气功活动的，按照《医疗机构管理条例实施细则》第八十一条的规定进行处罚。</w:t>
            </w:r>
            <w:r>
              <w:rPr>
                <w:rFonts w:ascii="宋体" w:hAnsi="宋体" w:cs="宋体"/>
                <w:color w:val="000000"/>
              </w:rPr>
              <w:t>”</w:t>
            </w:r>
            <w:r>
              <w:rPr>
                <w:rFonts w:hint="eastAsia" w:ascii="宋体" w:hAnsi="宋体" w:cs="宋体"/>
                <w:color w:val="000000"/>
              </w:rPr>
              <w:t xml:space="preserve"> </w:t>
            </w:r>
          </w:p>
          <w:p>
            <w:pPr>
              <w:spacing w:line="260" w:lineRule="exact"/>
              <w:ind w:firstLine="420" w:firstLineChars="200"/>
              <w:rPr>
                <w:rFonts w:ascii="宋体" w:hAnsi="宋体" w:cs="宋体"/>
              </w:rPr>
            </w:pPr>
            <w:r>
              <w:rPr>
                <w:rFonts w:hint="eastAsia" w:ascii="宋体" w:hAnsi="宋体" w:cs="宋体"/>
              </w:rPr>
              <w:t>2.《医疗机构管理条例实施细则》第八十一条：“任用非卫生技术人员从事医疗卫生技术工作的，责令其立即改正，并可处以三千元以下罚款；有下列情形之一的，处以三千元以上五千元以下罚款，并可以吊销其《医疗机构执业许可证》，(一)任用两名以上非卫生技术人员从事诊疗活动；(二)任用的非卫生技术人员给患者造成伤害。医疗机构使用卫生技术人员从事本专业以外的诊疗活动的，按使用非卫生技术人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气功管理暂行规定》《医疗机构管理条例实施细则》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表2-170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kern w:val="0"/>
              </w:rPr>
            </w:pPr>
            <w:r>
              <w:rPr>
                <w:rFonts w:hint="eastAsia" w:ascii="宋体" w:hAnsi="宋体" w:cs="宋体"/>
              </w:rPr>
              <w:t>对医疗机构未经批准擅自开展医疗气功活动的处罚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1.《医疗气功管理暂行规定》第二十三条：“违反本规定，医疗机构未经批准擅自开展医疗气功活动的，按照《医疗机构管理条例》第四十七条的规定进行处罚。”</w:t>
            </w:r>
          </w:p>
          <w:p>
            <w:pPr>
              <w:spacing w:line="240" w:lineRule="exact"/>
              <w:ind w:firstLine="420"/>
              <w:rPr>
                <w:rFonts w:ascii="宋体" w:hAnsi="宋体" w:cs="宋体"/>
              </w:rPr>
            </w:pPr>
            <w:r>
              <w:rPr>
                <w:rFonts w:hint="eastAsia" w:ascii="宋体" w:hAnsi="宋体" w:cs="宋体"/>
              </w:rPr>
              <w:t>2.《医疗机构管理条例》第四十七条:“违反本条例第二十七条规定，诊疗活动超出登记范围的，由县级以上人民政府卫生行政部门予以警告、责令其改正，并可以根据情节处以3000元以下的罚款；情节严重的，吊销其《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2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气功管理暂行规定》《医疗机构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表2-171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对医疗气功人员在医疗气功活动中违反医学常规或医疗气功基本操作规范，造成严重后果的处罚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tcPr>
          <w:p>
            <w:pPr>
              <w:spacing w:line="260" w:lineRule="exact"/>
              <w:ind w:firstLine="420"/>
              <w:rPr>
                <w:rFonts w:ascii="宋体" w:hAnsi="宋体" w:cs="宋体"/>
              </w:rPr>
            </w:pPr>
            <w:r>
              <w:rPr>
                <w:rFonts w:hint="eastAsia" w:ascii="宋体" w:hAnsi="宋体" w:cs="宋体"/>
              </w:rPr>
              <w:t>1.《医疗气功管理暂行规定》第二十五条:“违反本规定，医疗气功人员在医疗气功活动中违反医学常规或医疗气功基本操作规范，造成严重后果的，按照《执业医师法》第三十七条的规定进行处罚；构成犯罪的，依法追究刑事责任。”</w:t>
            </w:r>
          </w:p>
          <w:p>
            <w:pPr>
              <w:spacing w:line="260" w:lineRule="exact"/>
              <w:ind w:firstLine="420"/>
              <w:rPr>
                <w:rFonts w:ascii="宋体" w:hAnsi="宋体" w:cs="宋体"/>
              </w:rPr>
            </w:pPr>
            <w:r>
              <w:rPr>
                <w:rFonts w:hint="eastAsia" w:ascii="宋体" w:hAnsi="宋体" w:cs="宋体"/>
              </w:rPr>
              <w:t>2.《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1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气功管理暂行规定》《执业医师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表2-172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widowControl/>
              <w:spacing w:line="260" w:lineRule="exact"/>
              <w:ind w:firstLine="365" w:firstLineChars="174"/>
              <w:textAlignment w:val="center"/>
              <w:rPr>
                <w:rFonts w:ascii="宋体" w:hAnsi="宋体" w:cs="宋体"/>
                <w:kern w:val="0"/>
              </w:rPr>
            </w:pPr>
            <w:r>
              <w:rPr>
                <w:rFonts w:hint="eastAsia" w:ascii="宋体" w:hAnsi="宋体" w:cs="宋体"/>
                <w:color w:val="000000"/>
                <w:kern w:val="0"/>
              </w:rPr>
              <w:t>对医疗气功人员在注册的执业地点以外开展医疗气功活动的处罚；对借医疗气功之名损害公民身心健康、宣扬迷信、骗人敛财的处罚；对非医疗气功人员开展医疗气功活动的处罚；对制造、使用、经营、散发宣称具有医疗气功效力物品的处罚；对未经批准擅自组织开展大型医疗气功讲座、大型现场性医疗气功活动，或未经批准擅自开展国家中医药管理局规定必须严格管理的其它医疗气功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color w:val="FF0000"/>
              </w:rPr>
            </w:pPr>
            <w:r>
              <w:rPr>
                <w:rFonts w:hint="eastAsia" w:ascii="宋体" w:hAnsi="宋体" w:cs="宋体"/>
              </w:rPr>
              <w:t>《医疗气功管理暂行规定》第二十六条第（一）项：“违反本规定，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的；（二）借医疗气功之名损害公民身心健康、宣扬迷信、骗人敛财的；（三）非医疗气功人员开展医疗气功活动的；（四）制造、使用、经营、散发宣称具有医疗气功效力物品的；（五）未经批准擅自组织开展大型医疗气功讲座、大型现场性医疗气功活动，或未经批准擅自开展国家中医药管理局规定必须严格管理的其它医疗气功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p>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气功管理暂行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表2-173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widowControl/>
              <w:spacing w:line="260" w:lineRule="exact"/>
              <w:ind w:firstLine="420" w:firstLineChars="200"/>
              <w:textAlignment w:val="center"/>
              <w:rPr>
                <w:rFonts w:ascii="宋体" w:hAnsi="宋体" w:cs="宋体"/>
                <w:kern w:val="0"/>
              </w:rPr>
            </w:pPr>
            <w:r>
              <w:rPr>
                <w:rFonts w:hint="eastAsia" w:ascii="宋体" w:hAnsi="宋体" w:cs="宋体"/>
                <w:color w:val="000000"/>
                <w:kern w:val="0"/>
              </w:rPr>
              <w:t>对心理咨询人员从事心理治疗或者精神障碍的诊断、治疗的；从事心理治疗的人员在医疗机构以外开展心理治疗活动的；专门从事心理治疗的人员从事精神障碍的诊断的处罚；对专门从事心理治疗的人员为精神障碍患者开具处方或者提供外科治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tcPr>
          <w:p>
            <w:pPr>
              <w:spacing w:line="260" w:lineRule="exact"/>
              <w:ind w:firstLine="420"/>
              <w:rPr>
                <w:rFonts w:ascii="宋体" w:hAnsi="宋体" w:cs="宋体"/>
                <w:color w:val="FF0000"/>
              </w:rPr>
            </w:pPr>
            <w:r>
              <w:rPr>
                <w:rFonts w:hint="eastAsia" w:ascii="宋体" w:hAnsi="宋体" w:cs="宋体"/>
              </w:rPr>
              <w:t>《精神卫生法》第七十六条：“有下列情形之一的，由县级以上人民政府卫生行政部门、工商行政管理部门依据各自职责责令改正，给予警告，并处5000元以上10000元以下罚款，有违法所得的，没收违法所得；造成严重后果的，责令暂停6个月以上1年以下执业活动，直至</w:t>
            </w:r>
            <w:r>
              <w:fldChar w:fldCharType="begin"/>
            </w:r>
            <w:r>
              <w:instrText xml:space="preserve"> HYPERLINK "http://baike.baidu.com/view/3495363.htm" </w:instrText>
            </w:r>
            <w:r>
              <w:fldChar w:fldCharType="separate"/>
            </w:r>
            <w:r>
              <w:rPr>
                <w:rFonts w:hint="eastAsia" w:ascii="宋体" w:hAnsi="宋体" w:cs="宋体"/>
              </w:rPr>
              <w:t>吊销</w:t>
            </w:r>
            <w:r>
              <w:rPr>
                <w:rFonts w:hint="eastAsia" w:ascii="宋体" w:hAnsi="宋体" w:cs="宋体"/>
              </w:rPr>
              <w:fldChar w:fldCharType="end"/>
            </w:r>
            <w:r>
              <w:rPr>
                <w:rFonts w:hint="eastAsia" w:ascii="宋体" w:hAnsi="宋体" w:cs="宋体"/>
              </w:rPr>
              <w:t>执业证书或者</w:t>
            </w:r>
            <w:r>
              <w:fldChar w:fldCharType="begin"/>
            </w:r>
            <w:r>
              <w:instrText xml:space="preserve"> HYPERLINK "http://baike.baidu.com/view/586133.htm" </w:instrText>
            </w:r>
            <w:r>
              <w:fldChar w:fldCharType="separate"/>
            </w:r>
            <w:r>
              <w:rPr>
                <w:rFonts w:hint="eastAsia" w:ascii="宋体" w:hAnsi="宋体" w:cs="宋体"/>
              </w:rPr>
              <w:t>营业执照</w:t>
            </w:r>
            <w:r>
              <w:rPr>
                <w:rFonts w:hint="eastAsia" w:ascii="宋体" w:hAnsi="宋体" w:cs="宋体"/>
              </w:rPr>
              <w:fldChar w:fldCharType="end"/>
            </w:r>
            <w:r>
              <w:rPr>
                <w:rFonts w:hint="eastAsia" w:ascii="宋体" w:hAnsi="宋体" w:cs="宋体"/>
              </w:rPr>
              <w:t>，（一）心理咨询人员从事心理治疗或者精神障碍的诊断、治疗的；（二）从事心理治疗的人员在医疗机构以外开展心理治疗活动的；（三）专门从事心理治疗的人员从事精神障碍的诊断的。（四）专门从事心理治疗的人员为精神障碍患者开具处方或者提供外科治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精神卫生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 xml:space="preserve"> 表2-174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对道路运输经营者、水路运输经营者对在车船上发现的检疫传染病病人、疑似检疫传染病病人，未按有关规定采取相应措施的处罚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突发公共卫生事件交通应急规定》第四十四条：“道路运输经营者、水路运输经营者违反本规定，对在车船上发现的检疫传染病病人、疑似检疫传染病病人，未按有关规定采取相应措施的，由县级以上地方人民政府卫生行政主管部门责令改正，给予警告，并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2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突发公共卫生事件交通应急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表2-175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widowControl/>
              <w:spacing w:line="260" w:lineRule="exact"/>
              <w:ind w:firstLine="420" w:firstLineChars="200"/>
              <w:textAlignment w:val="center"/>
              <w:rPr>
                <w:rFonts w:ascii="宋体" w:hAnsi="宋体" w:cs="宋体"/>
                <w:kern w:val="0"/>
              </w:rPr>
            </w:pPr>
            <w:r>
              <w:rPr>
                <w:rFonts w:hint="eastAsia" w:ascii="宋体" w:hAnsi="宋体" w:cs="宋体"/>
                <w:color w:val="000000"/>
                <w:kern w:val="0"/>
              </w:rPr>
              <w:t>对检疫传染病病人、病原携带者、疑似检疫传染病病人和与其密切接触者隐瞒真实情况、逃避交通卫生检疫的，或拒绝接受查验和卫生处理的处罚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国内交通卫生检疫条例》第十三条：“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5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国内交通卫生检疫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表2-176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对未建立职业病诊断管理制度的；对不按照规定向劳动者公开职业病诊断程序的；对泄露劳动者涉及个人隐私的有关信息、资料的；对其他违反《职业病诊断与鉴定管理办法》的行为的处罚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职业病诊断与鉴定管理办法》第五十八条：“职业病诊断机构违反本办法规定，有下列情形之一的，由县级以上地方卫生行政部门责令限期改正；逾期不改正的，给予警告，并可以根据情节轻重处以二万元以下的罚款，（一）未建立职业病诊断管理制度；（二）不按照规定向劳动者公开职业病诊断程序；（三）泄露劳动者涉及个人隐私的有关信息、资料；（四）其他违反本办法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8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职业病诊断与鉴定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表2-177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widowControl/>
              <w:spacing w:line="260" w:lineRule="exact"/>
              <w:ind w:firstLine="420" w:firstLineChars="200"/>
              <w:textAlignment w:val="center"/>
              <w:rPr>
                <w:rFonts w:ascii="宋体" w:hAnsi="宋体" w:cs="宋体"/>
                <w:kern w:val="0"/>
              </w:rPr>
            </w:pPr>
            <w:r>
              <w:rPr>
                <w:rFonts w:hint="eastAsia" w:ascii="宋体" w:hAnsi="宋体" w:cs="宋体"/>
                <w:color w:val="000000"/>
                <w:kern w:val="0"/>
              </w:rPr>
              <w:t>对医疗卫生服务机构和计划生育技术服务机构重复使用一次性无菌医疗用品的；对医疗卫生服务机构和计划生育技术服务机构发生、发现感染性疾病传播、暴发、流行时，未按规定报告和未及时采取有效消毒措施进行处理，减轻危害的；对医疗卫生服务机构和计划生育技术服务机构未按国家和省卫生行政部门有关规定处理污水、污物，并达到国家有关卫生标准的。对医疗卫生服务机构和计划生育技术服务机构出售、转让和赠送医疗废物的；对医疗卫生服务机构和计划生育技术服务机构新建、改建、扩建有关科室不符合省卫生行政部门有关预防院内感染的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tcPr>
          <w:p>
            <w:pPr>
              <w:spacing w:line="260" w:lineRule="exact"/>
              <w:ind w:firstLine="420"/>
              <w:rPr>
                <w:rFonts w:ascii="宋体" w:hAnsi="宋体" w:cs="宋体"/>
              </w:rPr>
            </w:pPr>
            <w:r>
              <w:rPr>
                <w:rFonts w:hint="eastAsia" w:ascii="宋体" w:hAnsi="宋体" w:cs="宋体"/>
              </w:rPr>
              <w:t>《四川省消毒管理条例》第五条：“医疗卫生服务机构和计划生育技术服务机构应当制定消毒管理制度，定期开展消毒效果监测，并遵守下列规定，（六）新建、改建、扩建有关科室应当符合省卫生行政部门有关预防院内感染的规定。”《四川省消毒管理条例》第十八条第二款：“违反本条例第五条第（三）项、第（四）项、第（五）项、第（六）项规定的，由卫生行政部门责令限期改正，并可处二千元以上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8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消毒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表2-178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医疗机构未建立抗菌药物管理组织机构或者未指定专（兼）职技术人员负责具体管理工作的；未建立抗菌药物管理规章制度的；抗菌药物临床应用管理混乱的；未按照本办法规定执行抗菌药物分级管理、医师抗菌药物处方权限管理、药师抗菌药物调剂资格管理或者未配备相关专业技术人员的；其他违反《抗菌药物临床应用管理办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8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365" w:firstLineChars="174"/>
              <w:rPr>
                <w:rFonts w:ascii="宋体" w:hAnsi="宋体" w:cs="宋体"/>
              </w:rPr>
            </w:pPr>
            <w:r>
              <w:rPr>
                <w:rFonts w:hint="eastAsia" w:ascii="宋体" w:hAnsi="宋体" w:cs="宋体"/>
              </w:rPr>
              <w:t>《抗菌药物临床应用管理办法》第四十九条：“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二）未建立抗菌药物管理规章制度的；（三）抗菌药物临床应用管理混乱的；（四）未按照本办法规定执行抗菌药物分级管理、医师抗菌药物处方权限管理、药师抗菌药物调剂资格管理或者未配备相关专业技术人员的；（五）其他违反本办法规定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抗菌药物临床应用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表2-179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对医疗机构的负责人、药品采购人员、医师等有关人员索取、收受药品生产企业、药品经营企业或者其代理人给予的财物或者通过开具抗菌药物牟取不正当利益的处罚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《抗菌药物临床应用管理办法》(2012年4月24日 卫生部令第84号发布) 第五十一条 ：“医疗机构的负责人、药品采购人员、医师等有关人员索取、收受药品生产企业、药品经营企业或者其代理人给予的财物或者通过开具抗菌药物牟取不正当利益的，由县级以上地方卫生行政部门依据国家有关法律法规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rPr>
                <w:rFonts w:ascii="宋体" w:hAnsi="宋体" w:cs="宋体"/>
              </w:rPr>
            </w:pPr>
          </w:p>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抗菌药物临床应用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表2-180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对村卫生室、诊所、社区卫生服务站擅自使用抗菌药物开展静脉输注活动的处罚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抗菌药物临床应用管理办法》第五十四条：“未经县级卫生行政部门核准，村卫生室、诊所、社区卫生服务站擅自使用抗菌药物开展静脉输注活动的，由县级以上地方卫生行政部门责令限期改正，给予警告；逾期不改的，可根据情节轻重处以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抗菌药物临床应用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表2-181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rPr>
            </w:pPr>
            <w:r>
              <w:rPr>
                <w:rFonts w:hint="eastAsia" w:ascii="宋体" w:hAnsi="宋体" w:cs="宋体"/>
              </w:rPr>
              <w:t>对医疗机构使用未经卫生行政部门指定的血站供应的血液的处罚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tcPr>
          <w:p>
            <w:pPr>
              <w:spacing w:line="240" w:lineRule="exact"/>
              <w:ind w:firstLine="420" w:firstLineChars="200"/>
              <w:rPr>
                <w:rFonts w:ascii="宋体" w:hAnsi="宋体" w:cs="宋体"/>
              </w:rPr>
            </w:pPr>
            <w:r>
              <w:rPr>
                <w:rFonts w:hint="eastAsia" w:ascii="宋体" w:hAnsi="宋体" w:cs="宋体"/>
              </w:rPr>
              <w:t>《医疗机构临床用血管理办法》第三十六条：“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机构临床用血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表2-182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left"/>
              <w:rPr>
                <w:rFonts w:ascii="宋体" w:hAnsi="宋体" w:cs="宋体"/>
                <w:kern w:val="0"/>
              </w:rPr>
            </w:pPr>
            <w:r>
              <w:rPr>
                <w:rFonts w:hint="eastAsia" w:ascii="宋体" w:hAnsi="宋体" w:cs="宋体"/>
              </w:rPr>
              <w:t>对未制定饮用水污染事件应急预案或者未按照规定建立和保存卫生管理档案的；安排未取得健康合格证明的人员从事直接供水、管水工作的；未按规定报送水质检测资料的；未按规定清洗、消毒供水设施的；现制现售水设备安装使用不符合规定，或者未按照要求公示信息或者公示虚假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tcPr>
          <w:p>
            <w:pPr>
              <w:spacing w:line="240" w:lineRule="exact"/>
              <w:ind w:firstLine="420" w:firstLineChars="200"/>
              <w:rPr>
                <w:rFonts w:ascii="宋体" w:hAnsi="宋体" w:cs="宋体"/>
              </w:rPr>
            </w:pPr>
            <w:r>
              <w:rPr>
                <w:rFonts w:hint="eastAsia" w:ascii="宋体" w:hAnsi="宋体" w:cs="宋体"/>
              </w:rPr>
              <w:t>《四川省生活饮用水卫生监督管理办法》第三十九条：“供水单位违反本办法规定，有下列行为之一的，由县级以上卫生行政部门给予警告，责令限期改正，并处500元以上5000元以下罚款；逾期不改的，处以5000元以上10000元以下罚款，（一）未制定饮用水污染事件应急预案或者未按照规定建立和保存卫生管理档案的；（二）安排未取得健康合格证明的人员从事直接供水、管水工作的；（三）未按规定报送水质检测资料的；（四）未按规定清洗、消毒供水设施的；（五）现制现售水设备安装使用不符合规定，或者未按照要求公示信息或者公示虚假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生活饮用水卫生监督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表2-183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对水质净化、消毒设施设备缺失或者未正常运转的；供水设施及其周围环境不清洁、出现有碍水质卫生的浮游生物、植物、污物的；供水管道与非饮用水管网直接连接的；未按规定开展水质检测的处罚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四川省生活饮用水卫生监督管理办法》第四十条：“供水单位违反本办法规定，有下列行为之一的，由县级以上卫生行政部门给予警告，责令限期改正，并处1000元以上10000元以下罚款；逾期不改的，处以10000元以上20000元以下罚款，（一）水质净化、消毒设施设备缺失或者未正常运转的；（二）供水设施及其周围环境不清洁、出现有碍水质卫生的浮游生物、植物、污物的；（三）供水管道与非饮用水管网直接连接的；（四）未按规定开展水质检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生活饮用水卫生监督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表2-184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left"/>
              <w:rPr>
                <w:rFonts w:ascii="宋体" w:hAnsi="宋体" w:cs="宋体"/>
                <w:kern w:val="0"/>
              </w:rPr>
            </w:pPr>
            <w:r>
              <w:rPr>
                <w:rFonts w:hint="eastAsia" w:ascii="宋体" w:hAnsi="宋体" w:cs="宋体"/>
              </w:rPr>
              <w:t>对未取得卫生许可证而擅自供水的；生产供应饮用水不符合国家规定的卫生标准的；使用无卫生许可批准文件、不符合国家标准或卫生规范涉水产品的；未及时采取措施导致饮用水污染事态扩大的；隐瞒、缓报、谎报饮用水污染事件的；拒不执行卫生行政部门提出的暂停供水、清洗、消毒等措施的；拒绝、阻挠、干涉卫生监督监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tcPr>
          <w:p>
            <w:pPr>
              <w:spacing w:line="260" w:lineRule="exact"/>
              <w:ind w:firstLine="420" w:firstLineChars="200"/>
              <w:rPr>
                <w:rFonts w:ascii="宋体" w:hAnsi="宋体" w:cs="宋体"/>
              </w:rPr>
            </w:pPr>
            <w:r>
              <w:rPr>
                <w:rFonts w:hint="eastAsia" w:ascii="宋体" w:hAnsi="宋体" w:cs="宋体"/>
              </w:rPr>
              <w:t>《四川省生活饮用水卫生监督管理办法》第四十一条：“供水单位违反本办法规定，有下列行为之一的，由县级以上卫生行政部门给予警告，责令限期改正，并处以2000元以上20000元以下罚款；情节严重的，处以20000元以上30000元以下的罚款，（一）未取得卫生许可证而擅自供水的；（二）生产供应饮用水不符合国家规定的卫生标准的；（三）使用无卫生许可批准文件、不符合国家标准或卫生规范涉水产品的；（四）未及时采取措施导致饮用水污染事态扩大的；（五）隐瞒、缓报、谎报饮用水污染事件的；（六）拒不执行卫生行政部门提出的暂停供水、清洗、消毒等措施的；（七）拒绝、阻挠、干涉卫生监督监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1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生活饮用水卫生监督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表2-185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left"/>
              <w:rPr>
                <w:rFonts w:ascii="宋体" w:hAnsi="宋体" w:cs="宋体"/>
                <w:kern w:val="0"/>
              </w:rPr>
            </w:pPr>
            <w:r>
              <w:rPr>
                <w:rFonts w:hint="eastAsia" w:ascii="宋体" w:hAnsi="宋体" w:cs="宋体"/>
              </w:rPr>
              <w:t>对疾病预防控制机构、接种单位未在规定的冷藏条件下储存、运输疫苗造成严重后果的处罚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5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疫苗流通与预防接种管理条例》第六十六条：“疾病预防控制机构、接种单位、疫苗生产企业、接受委托配送疫苗的企业未在规定的冷藏条件下储存、运输疫苗的，由药品监督管理部门责令改正，给予警告，对所储存、运输的疫苗予以销毁；由卫生主管部门对疾病预防控制机构、接种单位的主要负责人、直接负责的主管人员和其他直接责任人员依法给予警告至撤职的处分，造成严重后果的，依法给予开除的处分，并吊销接种单位的接种资格；由药品监督管理部门依法责令疫苗生产企业、接受委托配送疫苗的企业停产、停业整顿，并处违反规定储存、运输的疫苗货值金额2倍以上5倍以下的罚款，造成严重后果的，依法吊销疫苗生产资格或者撤销疫苗进口批准证明文件，其直接负责的主管人员和其他直接责任人员10年内不得从事药品生产经营活动；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疫苗流通与预防接种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表2-186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left"/>
              <w:rPr>
                <w:rFonts w:ascii="宋体" w:hAnsi="宋体" w:cs="宋体"/>
                <w:kern w:val="0"/>
              </w:rPr>
            </w:pPr>
            <w:r>
              <w:rPr>
                <w:rFonts w:hint="eastAsia" w:ascii="宋体" w:hAnsi="宋体" w:cs="宋体"/>
              </w:rPr>
              <w:t>医疗保健机构未取得产前诊断执业许可或超越许可范围，擅自从事产前诊断的处罚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产前诊断技术管理办法》第三十条：“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情节严重的, 依据《医疗机构管理条例》依法吊销医疗机构执业许可证。”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4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产前诊断技术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表2-187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对未取得产前诊断类母婴保健技术考核合格证书的个人，擅自从事产前诊断或超越许可范围的处罚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产前诊断技术管理办法》(卫生部令第68号)第三十一条：“对未取得产前诊断类母婴保健技术考核合格证书的个人，擅自从事产前诊断或超越许可范围的，由县级以上人民政府卫生行政部门给予警告或者责令暂停六个月以上一年以下执业活动；情节严重的，按照《中华人民共和国执业医师法》吊销其医师执业证书。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产前诊断技术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表2-188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left"/>
              <w:rPr>
                <w:rFonts w:ascii="宋体" w:hAnsi="宋体" w:cs="宋体"/>
                <w:kern w:val="0"/>
              </w:rPr>
            </w:pPr>
            <w:r>
              <w:rPr>
                <w:rFonts w:hint="eastAsia" w:ascii="宋体" w:hAnsi="宋体" w:cs="宋体"/>
              </w:rPr>
              <w:t>医师未取得处方权或者被取消处方权后开具药品处方的；医师未按照《处方管理办法》规定开具药品处方的；医师违反《处方管理办法》其他规定的处罚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中华人民共和国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w:t>
            </w:r>
          </w:p>
          <w:p>
            <w:pPr>
              <w:spacing w:line="260" w:lineRule="exact"/>
              <w:ind w:firstLine="420" w:firstLineChars="200"/>
              <w:rPr>
                <w:rFonts w:ascii="宋体" w:hAnsi="宋体" w:cs="宋体"/>
              </w:rPr>
            </w:pPr>
            <w:r>
              <w:rPr>
                <w:rFonts w:hint="eastAsia" w:ascii="宋体" w:hAnsi="宋体" w:cs="宋体"/>
              </w:rPr>
              <w:t>2.《处方管理办法》第五十七条：“医师出现下列情形之一的，按照《中华人民共和国执业医师法》第三十七条的规定，由县级以上卫生行政部门给予警告或者责令暂停六个月以上一年以下执业活动；情节严重的，吊销其执业证书，（一）未取得处方权或者被取消处方权后开具药品处方的；（二）未按照本办法规定开具药品处方的；（三）违反本办法其他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9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执业医师法》《处方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表2-189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left"/>
              <w:rPr>
                <w:rFonts w:ascii="宋体" w:hAnsi="宋体" w:cs="宋体"/>
                <w:kern w:val="0"/>
              </w:rPr>
            </w:pPr>
            <w:r>
              <w:rPr>
                <w:rFonts w:hint="eastAsia" w:ascii="宋体" w:hAnsi="宋体" w:cs="宋体"/>
              </w:rPr>
              <w:t>不具备集中处置医疗废物条件的农村，医疗卫生机构未按照《医疗废物管理条例》的要求处置医疗废物的处罚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医疗废物管理条例》（2003年6月16日中华人民共和国国务院令第380号公布2011年1月8日国务院令第588号修订自公布之日起施行）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一千元以上五千元以下的罚款；造成传染病传播或者环境污染事故的，由原发证部门暂扣或者吊销执业许可证件；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废物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表2-190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left"/>
              <w:rPr>
                <w:rFonts w:ascii="宋体" w:hAnsi="宋体" w:cs="宋体"/>
                <w:kern w:val="0"/>
              </w:rPr>
            </w:pPr>
            <w:r>
              <w:rPr>
                <w:rFonts w:hint="eastAsia" w:ascii="宋体" w:hAnsi="宋体" w:cs="宋体"/>
              </w:rPr>
              <w:t>对违反规定利用相关技术为他人实施非医学需要的胎儿性别鉴定或者选择性别人工终止妊娠的处罚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禁止非医学需要的胎儿性别鉴定和选择性别人工终止妊娠的规定》第十八条：“违反规定利用相关技术为他人实施非医学需要的胎儿性别鉴定或者选择性别人工终止妊娠的，由县级以上卫生计生行政部门依据《中华人民共和国人口与计划生育法》等有关法律法规进行处理；对医疗卫生机构的主要负责人、直接负责的主管人员和直接责任人员，依法给予处分。”</w:t>
            </w:r>
          </w:p>
          <w:p>
            <w:pPr>
              <w:spacing w:line="260" w:lineRule="exact"/>
              <w:ind w:firstLine="420" w:firstLineChars="200"/>
              <w:rPr>
                <w:rFonts w:ascii="宋体" w:hAnsi="宋体" w:cs="宋体"/>
              </w:rPr>
            </w:pPr>
            <w:r>
              <w:rPr>
                <w:rFonts w:hint="eastAsia" w:ascii="宋体" w:hAnsi="宋体" w:cs="宋体"/>
              </w:rPr>
              <w:t>2.《中华人民共和国人口与计划生育法》第三十六条第一款第二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二）利用超声技术和其他技术手段为他人进行非医学需要的胎儿性别鉴定或者选择性别的人工终止妊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0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禁止非医学需要的胎儿性别鉴定和选择性别人工终止妊娠的规定》《中华人民共和国人口与计划生育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表2-191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rPr>
              <w:t>对医疗、预防、保健机构未依照《中华人民共和国执业医师法》第十六条的规定履行报告职责，导致严重后果的处罚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中华人民共和国执业医师法》第四十一条：“医疗、预防、保健机构未依照本法第十六条的规定履行报告职责，导致严重后果的，由县级以上人民政府卫生行政部门给予警告；并对该机构的行政负责人依法给予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4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执业医师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表2-192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对违反《疫苗流通与预防接种管理条例》规定发布接种第二类疫苗的建议信息的处罚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疫苗流通与预防接种管理条例》第六十七条：“违反本条例规定发布接种第二类疫苗的建议信息的，由所在地或者行为发生地的县级人民政府卫生主管部门责令通过大众媒体消除影响，给予警告；有违法所得的，没收违法所得，并处违法所得1倍以上3倍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疫苗流通与预防接种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表2-193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kern w:val="0"/>
              </w:rPr>
            </w:pPr>
            <w:r>
              <w:rPr>
                <w:rFonts w:hint="eastAsia" w:ascii="宋体" w:hAnsi="宋体" w:cs="宋体"/>
              </w:rPr>
              <w:t>对未经卫生主管部门依法指定擅自从事接种工作的处罚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疫苗流通和预防接种管理条例》第六十八条：“未经卫生主管部门依法指定擅自从事接种工作的，由所在地或者行为发生地的县级人民政府卫生主管部门责令改正，给予警告；有违法持有的疫苗的，没收违法持有的疫苗；有违法所得的，没收违法所得；拒不改正的，对主要负责人、直接负责的主管人员和其他直接责任人员依法给予警告、降级的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疫苗流通与预防接种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表2-194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kern w:val="0"/>
              </w:rPr>
            </w:pPr>
            <w:r>
              <w:rPr>
                <w:rFonts w:hint="eastAsia" w:ascii="宋体" w:hAnsi="宋体" w:cs="宋体"/>
              </w:rPr>
              <w:t>对涂改、伪造、转让《供血浆证》的处罚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血液制品管理条例》第三十七条：“涂改、伪造、转让《供血许可证》的，由县级人民政府卫生行政部门收缴《供血浆证》，没收违法所得，并处违法所得3倍以上5倍以下的罚款，没有违法所得的，并处1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血液制品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表2-195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rPr>
              <w:t>对发生病原微生物被盗、被抢、丢失、泄漏，承运单位、护送人、保藏机构和实验室的设立单位未依照《病原微生物实验室生物安全管理条例》的规定报告的处罚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病原微生物实验室生物安全管理条例》第六十七条：“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5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病原微生物实验室生物安全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表2-196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kern w:val="0"/>
              </w:rPr>
            </w:pPr>
            <w:r>
              <w:rPr>
                <w:rFonts w:hint="eastAsia" w:ascii="宋体" w:hAnsi="宋体" w:cs="宋体"/>
              </w:rPr>
              <w:t>对未经注册在村医疗卫生机构从事医疗活动的处罚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乡村医生从业管理条例》第四十二条：“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2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乡村医生从业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表2-197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2"/>
              <w:rPr>
                <w:rFonts w:ascii="宋体" w:hAnsi="宋体" w:cs="宋体"/>
                <w:kern w:val="0"/>
              </w:rPr>
            </w:pPr>
            <w:r>
              <w:rPr>
                <w:rFonts w:hint="eastAsia" w:ascii="宋体" w:hAnsi="宋体" w:cs="宋体"/>
              </w:rPr>
              <w:t>乡村医生变更执业的村医疗卫生机构，未办理变更执业注册手续的，或以不正当手段取得乡村医生执业证书的处罚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jc w:val="left"/>
              <w:rPr>
                <w:rFonts w:ascii="宋体" w:hAnsi="宋体" w:cs="宋体"/>
              </w:rPr>
            </w:pPr>
            <w:r>
              <w:rPr>
                <w:rFonts w:hint="eastAsia" w:ascii="宋体" w:hAnsi="宋体" w:cs="宋体"/>
              </w:rPr>
              <w:t xml:space="preserve">1.《乡村医生从业管理条例》第三十八条第（一）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                                       </w:t>
            </w:r>
          </w:p>
          <w:p>
            <w:pPr>
              <w:spacing w:line="260" w:lineRule="exact"/>
              <w:ind w:firstLine="420" w:firstLineChars="200"/>
              <w:jc w:val="left"/>
              <w:rPr>
                <w:rFonts w:ascii="宋体" w:hAnsi="宋体" w:cs="宋体"/>
              </w:rPr>
            </w:pPr>
            <w:r>
              <w:rPr>
                <w:rFonts w:hint="eastAsia" w:ascii="宋体" w:hAnsi="宋体" w:cs="宋体"/>
              </w:rPr>
              <w:t>2.《乡村医生从业管理条例》第四十条：“乡村医生变更执业的村医疗卫生机构，未办理变更执业注册手续的，由县级人民政府卫生行政主管部门给予警告，责令限期办理变更注册手续。”</w:t>
            </w:r>
          </w:p>
          <w:p>
            <w:pPr>
              <w:spacing w:line="260" w:lineRule="exact"/>
              <w:ind w:firstLine="420"/>
              <w:jc w:val="left"/>
              <w:rPr>
                <w:rFonts w:ascii="宋体" w:hAnsi="宋体" w:cs="宋体"/>
              </w:rPr>
            </w:pPr>
            <w:r>
              <w:rPr>
                <w:rFonts w:hint="eastAsia" w:ascii="宋体" w:hAnsi="宋体" w:cs="宋体"/>
              </w:rPr>
              <w:t>3.《乡村医生从业管理条例》第四十一条：“以不正当手段取得乡村医生执业证书的，由发证部门收缴乡村医生执业证书；造成患者人身损害的，依法承担民事赔偿责任；构成犯罪的，依法追究刑事责任。”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32"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2"/>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乡村医生从业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表2-198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9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365" w:firstLineChars="174"/>
              <w:rPr>
                <w:rFonts w:ascii="宋体" w:hAnsi="宋体" w:cs="宋体"/>
                <w:kern w:val="0"/>
              </w:rPr>
            </w:pPr>
            <w:r>
              <w:rPr>
                <w:rFonts w:hint="eastAsia" w:ascii="宋体" w:hAnsi="宋体" w:cs="宋体"/>
                <w:kern w:val="0"/>
              </w:rPr>
              <w:t>对接种单位接收或者购进疫苗时未依照规定索要温度监测记录，接收、购进不符合要求的疫苗，或者未依照规定报告的；未依照规定建立并保存真实、完整的疫苗接收或者购进记录的；未在其接种场所的显著位置公示第一类疫苗的品种和接种方法的；医疗卫生人员在接种前，未依照本条例规定告知、询问受种者或者其监护人有关情况的；实施预防接种的医疗卫生人员未依照规定填写并保存接种记录的；未依照规定对接种疫苗的情况进行登记并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365" w:firstLineChars="174"/>
              <w:rPr>
                <w:rFonts w:ascii="宋体" w:hAnsi="宋体" w:cs="宋体"/>
              </w:rPr>
            </w:pPr>
            <w:r>
              <w:rPr>
                <w:rFonts w:hint="eastAsia" w:ascii="宋体" w:hAnsi="宋体" w:cs="宋体"/>
              </w:rPr>
              <w:t xml:space="preserve">《疫苗流通和预防接种管理条例》（国务院令第434号，2016年4月13日国务院第129次常务会议修订）第五十九条：“接种单位有下列情形之一的，由所在地的县级人民政府卫生主管部门责令改正，给予警告；拒不改正的，对主要负责人、直接负责的主管人员依法给予警告至降级的处分，对负有责任的医疗卫生人员责令暂停3个月以上6个月以下的执业活动，(一)接收或者购进疫苗时未依照规定索要温度监测记录，接收、购进不符合要求的疫苗，或者未依照规定报告的；(二)未依照规定建立并保存真实、完整的疫苗接收或者购进记录的；(三)未在其接种场所的显著位置公示第一类疫苗的品种和接种方法的；(四)医疗卫生人员在接种前，未依照本条例规定告知、询问受种者或者其监护人有关情况的；(五)实施预防接种的医疗卫生人员未依照规定填写并保存接种记录的；(六)未依照规定对接种疫苗的情况进行登记并报告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1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疫苗流通和预防接种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表2-199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155" w:firstLineChars="74"/>
              <w:jc w:val="center"/>
              <w:rPr>
                <w:rFonts w:ascii="宋体" w:hAnsi="宋体" w:cs="宋体"/>
                <w:kern w:val="0"/>
              </w:rPr>
            </w:pPr>
            <w:r>
              <w:rPr>
                <w:rFonts w:hint="eastAsia" w:ascii="宋体" w:hAnsi="宋体" w:cs="宋体"/>
                <w:kern w:val="0"/>
              </w:rPr>
              <w:t>对个体行医人员在执行职务时，不报、漏报、迟报传染病疫情的处罚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中华人民共和国传染病防治法实施办法》(卫生部令第17号)第七十一条第二款：“个体行医人员在执行职务时，不报、漏报、迟报传染病疫情的，由县级以上政府卫生行政部门责令限期改正，限期内不改的，可以处100元以上500元以下罚款；对造成传染病传播流行的，可以处200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传染病防治法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表2-200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kern w:val="0"/>
              </w:rPr>
            </w:pPr>
            <w:r>
              <w:rPr>
                <w:rFonts w:hint="eastAsia" w:ascii="宋体" w:hAnsi="宋体" w:cs="宋体"/>
                <w:kern w:val="0"/>
              </w:rPr>
              <w:t>对从事计划生育技术服务的机构，向农村实行计划生育的育龄夫妻提供避孕、节育技术服务，收取费用的处罚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计划生育技术服务管理条例》第三十八条：“从事计划生育技术服务的机构违反本条例第三条第三款的规定，向农村实行计划生育的育龄夫妻提供避孕、节育技术服务，收取费用的，由县级地方人民政府计划生育行政部门责令退还所收费用，给予警告，并处所收费用2倍以上5倍以下的罚款；情节严重的，并对该机构的正职负责人、直接负责的主管人员和其他直接责任人员给予降级或者撤职的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计划生育技术服务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表2-201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kern w:val="0"/>
              </w:rPr>
            </w:pPr>
            <w:r>
              <w:rPr>
                <w:rFonts w:hint="eastAsia" w:ascii="宋体" w:hAnsi="宋体" w:cs="宋体"/>
                <w:kern w:val="0"/>
              </w:rPr>
              <w:t>对乡村医生执业活动超出规定的执业范围，或者未按照规定进行转诊的：违反规定使用乡村医生基本用药目录以外的处方药品的；违反规定出具医学证明，或者伪造卫生统计资料的；发现传染病疫情、中毒事件不按规定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《乡村医生从业管理条例》 三十八条：“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0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乡村医生从业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表2-202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kern w:val="0"/>
              </w:rPr>
            </w:pPr>
            <w:r>
              <w:rPr>
                <w:rFonts w:hint="eastAsia" w:ascii="宋体" w:hAnsi="宋体" w:cs="宋体"/>
                <w:kern w:val="0"/>
              </w:rPr>
              <w:t>对乡村医生在执业活动中，违反规定进行实验性临床医疗活动，或者重复使用一次性医疗器械和卫生材料的处罚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 xml:space="preserve">《乡村医生从业管理条例》第三十九条：“乡村医生在执业活动中，违反规定进行实验性临床医疗活动，或者重复使用一次性医疗器械和卫生材料的，由县级人民政府卫生行政主管部门责令停止违法行为，给予警告，可以并处1０００元以下的罚款；情节严重的，由原发证部门暂扣或者吊销乡村医生执业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3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乡村医生从业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表2-203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kern w:val="0"/>
              </w:rPr>
            </w:pPr>
            <w:r>
              <w:rPr>
                <w:rFonts w:hint="eastAsia" w:ascii="宋体" w:hAnsi="宋体" w:cs="宋体"/>
                <w:kern w:val="0"/>
              </w:rPr>
              <w:t>对托幼机构未取得《医疗机构执业许可证》擅自设立卫生室进行诊疗活动的处罚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1.《托儿所、幼儿园卫生保健管理办法》第二十条:“托幼机构未取得《医疗机构执业许可证》擅自设立卫生室，进行诊疗活动的，按照《医疗机构管理条例》的有关规定进行处罚。”</w:t>
            </w:r>
          </w:p>
          <w:p>
            <w:pPr>
              <w:spacing w:line="260" w:lineRule="exact"/>
              <w:ind w:firstLine="420" w:firstLineChars="200"/>
              <w:rPr>
                <w:rFonts w:ascii="宋体" w:hAnsi="宋体" w:cs="宋体"/>
              </w:rPr>
            </w:pPr>
            <w:r>
              <w:rPr>
                <w:rFonts w:hint="eastAsia" w:ascii="宋体" w:hAnsi="宋体" w:cs="宋体"/>
              </w:rPr>
              <w:t xml:space="preserve">2.《医疗机构管理条例》第四十四条：“违反本条例第二十四条规定，未取得《医疗机构执业许可证》擅自执业的，由县级以上人民政府卫生行政部门责令其停止执业活动，没收非法所得和药品、器械，并可以根据情节处以1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8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托儿所、幼儿园卫生保健管理办法》《医疗机构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表2-204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kern w:val="0"/>
              </w:rPr>
            </w:pPr>
            <w:r>
              <w:rPr>
                <w:rFonts w:hint="eastAsia" w:ascii="宋体" w:hAnsi="宋体" w:cs="宋体"/>
                <w:kern w:val="0"/>
              </w:rPr>
              <w:t>医疗机构未办理人体器官移植诊疗科目登记，擅自从事人体器官移植的处罚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1.《人体器官移植条例》第二十七条：“医疗机构未办理人体器官移植诊疗科目登记，擅自从事人体器官移植的，依照《医疗机构管理条例》的规定予以处罚。”</w:t>
            </w:r>
          </w:p>
          <w:p>
            <w:pPr>
              <w:spacing w:line="260" w:lineRule="exact"/>
              <w:ind w:firstLine="420" w:firstLineChars="200"/>
              <w:rPr>
                <w:rFonts w:ascii="宋体" w:hAnsi="宋体" w:cs="宋体"/>
              </w:rPr>
            </w:pPr>
            <w:r>
              <w:rPr>
                <w:rFonts w:hint="eastAsia" w:ascii="宋体" w:hAnsi="宋体" w:cs="宋体"/>
              </w:rPr>
              <w:t>2.《医疗机构管理条例》第四十七条：“诊疗活动超出登记的诊疗科目范围的，县级以上卫生行政部门予以警告、责令其改正，并可以根据情节处以3000元以下的罚款；情节严重的，吊销其《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8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人体器官移植条例》《医疗机构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表2-205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rPr>
                <w:rFonts w:ascii="宋体" w:hAnsi="宋体" w:cs="宋体"/>
                <w:kern w:val="0"/>
              </w:rPr>
            </w:pPr>
            <w:r>
              <w:rPr>
                <w:rFonts w:hint="eastAsia" w:ascii="宋体" w:hAnsi="宋体" w:cs="宋体"/>
                <w:kern w:val="0"/>
              </w:rPr>
              <w:t>医务人员泄露人体器官捐献人、接受人或者申请人体器官移植手术患者个人资料的处罚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3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人体器官移植条例》第二十七条第三款：“从事人体器官移植的医务人员违反本条例规定，泄露人体器官捐献人、接受人或者申请人体器官移植手术患者个人资料的，依照《执业医师法》或者国家有关护士管理的规定予以处罚。第四款违反本条例规定，给他人造成损害的，应当依法承担民事责任。”</w:t>
            </w:r>
          </w:p>
          <w:p>
            <w:pPr>
              <w:spacing w:line="260" w:lineRule="exact"/>
              <w:ind w:firstLine="420" w:firstLineChars="200"/>
              <w:rPr>
                <w:rFonts w:ascii="宋体" w:hAnsi="宋体" w:cs="宋体"/>
              </w:rPr>
            </w:pPr>
            <w:r>
              <w:rPr>
                <w:rFonts w:hint="eastAsia" w:ascii="宋体" w:hAnsi="宋体" w:cs="宋体"/>
              </w:rPr>
              <w:t>2.《执业医师法》第三十七条第一款第九项：“医师在执业活动中，违反本法规定，有下列行为之一的，由县级以上人民政府卫生行政部门给予警告或者责令暂停六个月以上一年以下执业活动；情节严重的，吊销其执业证书；构成犯罪的，依法追究刑事责任，（九）泄露患者隐私，造成严重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2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人体器官移植条例》《执业医师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表2-206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kern w:val="0"/>
              </w:rPr>
            </w:pPr>
            <w:r>
              <w:rPr>
                <w:rFonts w:hint="eastAsia" w:ascii="宋体" w:hAnsi="宋体" w:cs="宋体"/>
                <w:kern w:val="0"/>
              </w:rPr>
              <w:t>医疗机构不再具备《人体器官移植条例》第十一条规定条件，仍从事人体器官移植的；未经人体器官移植技术临床应用与伦理委员会审查同意，做出摘取人体器官的决定，或胁迫医务人员违反本条例规定摘取人体器官的；有《人体器官移植条例》第二十八条第（二）项、第（三）项列举的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人体器官移植条例》第二十九条：“医疗机构有下列情形之一的，对负有责任的主管人员和其他直接责任人员依法给予处分；情节严重的，由原登记部门撤销该医疗机构人体器官移植诊疗科目登记，该医疗机构３年内不得再申请人体器官移植诊疗科目登记，（一）不再具备本条例第十一条规定条件，仍从事人体器官移植的；（二）未经人体器官移植技术临床应用与伦理委员会审查同意，做出摘取人体器官的决定，或者胁迫医务人员违反本条例规定摘取人体器官的；（三）有本条例第二十八条第（二）项、第（三）项列举的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人体器官移植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表2-207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kern w:val="0"/>
              </w:rPr>
            </w:pPr>
            <w:r>
              <w:rPr>
                <w:rFonts w:hint="eastAsia" w:ascii="宋体" w:hAnsi="宋体" w:cs="宋体"/>
                <w:kern w:val="0"/>
              </w:rPr>
              <w:t>医疗机构未经省、自治区、直辖市人民政府卫生行政部门指定擅自开展新生儿遗传代谢病筛查实验室检测的处罚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新生儿疾病筛查管理办法》第十六条：“医疗机构未经省、自治区、直辖市人民政府卫生行政部门指定擅自开展新生儿遗传代谢病筛查实验室检测的，按照《医疗机构管理条例》第四十七条的规定予以处罚。”</w:t>
            </w:r>
          </w:p>
          <w:p>
            <w:pPr>
              <w:spacing w:line="260" w:lineRule="exact"/>
              <w:ind w:firstLine="420" w:firstLineChars="200"/>
              <w:rPr>
                <w:rFonts w:ascii="宋体" w:hAnsi="宋体" w:cs="宋体"/>
              </w:rPr>
            </w:pPr>
            <w:r>
              <w:rPr>
                <w:rFonts w:hint="eastAsia" w:ascii="宋体" w:hAnsi="宋体" w:cs="宋体"/>
              </w:rPr>
              <w:t>2.《医疗机构管理条例》第四十七条：“违反本条例第二十七条规定，诊疗活动超出登记范围的，由县级以上人民政府卫生行政部门予以警告、责令其改正，并可以根据情节处以3000元以下的罚款;情节严重的，吊销其《医疗机构执业许可证》。第二十七条 医疗机构必须按照核准登记的诊疗科目开展诊疗活动。”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新生儿疾病筛查管理办法》《医疗机构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表2-208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kern w:val="0"/>
              </w:rPr>
            </w:pPr>
            <w:r>
              <w:rPr>
                <w:rFonts w:hint="eastAsia" w:ascii="宋体" w:hAnsi="宋体" w:cs="宋体"/>
                <w:kern w:val="0"/>
              </w:rPr>
              <w:t>开展新生儿疾病筛查的医疗机构违反《新生儿疾病筛查技术规范》；未履行告知程序擅自进行新生儿疾病筛查的；未按规定进行实验室质量监测、检查的；违反《新生儿疾病筛查管理办法》其他规定的处罚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新生儿疾病筛查管理办法》第十七条：“开展新生儿疾病筛查的医疗机构违反本办法规定，有下列行为之一的，由县级以上地方人民政府卫生行政部门责令改正，通报批评，给予警告，（一）违反《新生儿疾病筛查技术规范》的；（二）未履行告知程序擅自进行新生儿疾病筛查的；（三）未按规定进行实验室质量监测、检查的；（四）违反本办法其他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8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新生儿疾病筛查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表2-209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jc w:val="center"/>
              <w:rPr>
                <w:rFonts w:ascii="宋体" w:hAnsi="宋体" w:cs="宋体"/>
                <w:kern w:val="0"/>
              </w:rPr>
            </w:pPr>
            <w:r>
              <w:rPr>
                <w:rFonts w:hint="eastAsia" w:ascii="宋体" w:hAnsi="宋体" w:cs="宋体"/>
                <w:kern w:val="0"/>
              </w:rPr>
              <w:t>对违反《中华人民共和国中医药条例》规定的中医药教育机构的处罚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中华人民共和国中医药条例》第三十四条：“中医药教育机构违反本条例的规定，有下列情形之一的，由县级以上地方人民政府负责中医药管理的部门责令限期改正；逾期不改正的，由原审批机关予以撤销，（一）不符合规定的设置标准的；（二）没有建立符合规定标准的临床教学基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6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中医药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表2-210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kern w:val="0"/>
              </w:rPr>
            </w:pPr>
            <w:r>
              <w:rPr>
                <w:rFonts w:hint="eastAsia" w:ascii="宋体" w:hAnsi="宋体" w:cs="宋体"/>
                <w:kern w:val="0"/>
              </w:rPr>
              <w:t>对未建立医疗质量管理部门或者未指定专（兼）职人员负责医疗质量管理工作的；未建立医疗质量管理相关规章制度的；医疗质量管理制度不落实或者落实不到位，导致医疗质量管理混乱的；发生重大医疗质量安全事件隐匿不报的；未按照规定报送医疗质量安全相关信息的；其他违反《医疗质量管理办法》规定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4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 xml:space="preserve">《医疗质量管理办法》第四十四条：“医疗机构有下列情形之一的，由县级以上卫生计生行政部门责令限期改正；逾期不改的，给予警告，并处三万元以下罚款；对公立医疗机构负有责任的主管人员和其他直接责任人员，依法给予处分，（一）未建立医疗质量管理部门或者未指定专（兼）职人员负责医疗质量管理工作的； （二）未建立医疗质量管理相关规章制度的； （三）医疗质量管理制度不落实或者落实不到位，导致医疗质量管理混乱的； （四）发生重大医疗质量安全事件隐匿不报的； （五）未按照规定报送医疗质量安全相关信息的； （六）其他违反本办法规定的行为。”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质量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表2-211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kern w:val="0"/>
              </w:rPr>
            </w:pPr>
            <w:r>
              <w:rPr>
                <w:rFonts w:hint="eastAsia" w:ascii="宋体" w:hAnsi="宋体" w:cs="宋体"/>
                <w:kern w:val="0"/>
              </w:rPr>
              <w:t>对中医诊所超出备案范围开展医疗活动的；医疗机构聘用上述不得从事管理工作的人员从事管理工作的处罚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365" w:firstLineChars="174"/>
              <w:rPr>
                <w:rFonts w:ascii="宋体" w:hAnsi="宋体" w:cs="宋体"/>
              </w:rPr>
            </w:pPr>
            <w:r>
              <w:rPr>
                <w:rFonts w:hint="eastAsia" w:ascii="宋体" w:hAnsi="宋体" w:cs="宋体"/>
              </w:rPr>
              <w:t>1.《中华人民共和国中医药法》第五十四条：“违反本法规定，中医诊所超出备案范围开展医疗活动的，由所在地县级人民政府中医药主管部门责令改正，没收违法所得，并处一万元以上三万元以下罚款；情节严重的，责令停止执业活动。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pPr>
              <w:spacing w:line="260" w:lineRule="exact"/>
              <w:ind w:firstLine="420" w:firstLineChars="200"/>
              <w:rPr>
                <w:rFonts w:ascii="宋体" w:hAnsi="宋体" w:cs="宋体"/>
              </w:rPr>
            </w:pPr>
            <w:r>
              <w:rPr>
                <w:rFonts w:hint="eastAsia" w:ascii="宋体" w:hAnsi="宋体" w:cs="宋体"/>
              </w:rPr>
              <w:t>2.《中医诊所备案管理暂行办法》第二十四条：“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一）因超出备案范围开展医疗活动曾受过行政处罚的；（二）超出备案范围从事医疗活动给患者造成伤害的；（三）违反本办法规定造成其他严重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中医药法《中医诊所备案管理暂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表2-212</w:t>
      </w:r>
    </w:p>
    <w:tbl>
      <w:tblPr>
        <w:tblStyle w:val="13"/>
        <w:tblW w:w="8908"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18"/>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6" w:hRule="atLeast"/>
        </w:trPr>
        <w:tc>
          <w:tcPr>
            <w:tcW w:w="6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2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4" w:hRule="atLeast"/>
        </w:trPr>
        <w:tc>
          <w:tcPr>
            <w:tcW w:w="6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2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6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29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kern w:val="0"/>
              </w:rPr>
            </w:pPr>
            <w:r>
              <w:rPr>
                <w:rFonts w:hint="eastAsia" w:ascii="宋体" w:hAnsi="宋体" w:cs="宋体"/>
                <w:kern w:val="0"/>
              </w:rPr>
              <w:t>对经考核取得医师资格的中医医师超出注册的执业范围从事医疗活动的处罚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1" w:hRule="atLeast"/>
        </w:trPr>
        <w:tc>
          <w:tcPr>
            <w:tcW w:w="6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2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中华人民共和国中医药法》（2016年12月25日国家主席令第59号公布，自2017年7月1日起施行）第五十五条：“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6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2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trPr>
        <w:tc>
          <w:tcPr>
            <w:tcW w:w="6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2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0" w:hRule="atLeast"/>
        </w:trPr>
        <w:tc>
          <w:tcPr>
            <w:tcW w:w="6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290"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中医药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trPr>
        <w:tc>
          <w:tcPr>
            <w:tcW w:w="6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2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表2-213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kern w:val="0"/>
              </w:rPr>
            </w:pPr>
            <w:r>
              <w:rPr>
                <w:rFonts w:hint="eastAsia" w:ascii="宋体" w:hAnsi="宋体" w:cs="宋体"/>
                <w:kern w:val="0"/>
              </w:rPr>
              <w:t>对举办中医诊所应当备案而未备案，或者备案时提供虚假材料的处罚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中华人民共和国中医药法》第五十六条第一款：“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中医药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表2-214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kern w:val="0"/>
              </w:rPr>
            </w:pPr>
            <w:r>
              <w:rPr>
                <w:rFonts w:hint="eastAsia" w:ascii="宋体" w:hAnsi="宋体" w:cs="宋体"/>
                <w:kern w:val="0"/>
              </w:rPr>
              <w:t>对未经县级中医药主管部门备案擅自执业的处罚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中医诊所备案管理暂行办法》第二十条：“违反本办法规定，未经县级中医药主管部门备案擅自执业的，由县级中医药主管部门责令改正，没收违法所得，并处三万元以下罚款，向社会公告相关信息；拒不改正的，责令其停止执业活动，其直接责任人员自处罚决定作出之日起五年内不得从事中医药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8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医诊所备案管理暂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表2-215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kern w:val="0"/>
              </w:rPr>
            </w:pPr>
            <w:r>
              <w:rPr>
                <w:rFonts w:hint="eastAsia" w:ascii="宋体" w:hAnsi="宋体" w:cs="宋体"/>
                <w:kern w:val="0"/>
              </w:rPr>
              <w:t>对提交虚假备案材料取得《中医诊所备案证》的处罚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 xml:space="preserve">《中医诊所备案管理暂行办法》第二十一条：“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7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医诊所备案管理暂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表2-216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对中医诊所擅自更改设置未经备案或者实际设置与取得的《中医诊所备案证》记载事项不一致，擅自开展诊疗活动的处罚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 xml:space="preserve">《中医诊所备案管理暂行办法》第二十二条：“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医诊所备案管理暂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表2-217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rPr>
            </w:pPr>
            <w:r>
              <w:rPr>
                <w:rFonts w:hint="eastAsia" w:ascii="宋体" w:hAnsi="宋体" w:cs="宋体"/>
                <w:kern w:val="0"/>
              </w:rPr>
              <w:t>对出卖、转让、出借《中医诊所备案证》的处罚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 xml:space="preserve">《中医诊所备案管理暂行办法》第二十三条：“违反本办法第十一条规定，出卖、转让、出借《中医诊所备案证》的，由县级中医药主管部门责令改正，给予警告，可以并处一万元以上三万元以下罚款；情节严重的，应当责令其停止执业活动，注销《中医诊所备案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8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医诊所备案管理暂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 xml:space="preserve"> 表2-218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kern w:val="0"/>
              </w:rPr>
            </w:pPr>
            <w:r>
              <w:rPr>
                <w:rFonts w:hint="eastAsia" w:ascii="宋体" w:hAnsi="宋体" w:cs="宋体"/>
                <w:kern w:val="0"/>
              </w:rPr>
              <w:t>对中医诊所超出备案范围开展医疗活动的处罚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 xml:space="preserve">《中医诊所备案管理暂行办法》第二十四条：“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一）因超出备案范围开展医疗活动曾受过行政处罚的；（二）超出备案范围从事医疗活动给患者造成伤害的；（三）违反本办法规定造成其他严重后果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0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医诊所备案管理暂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表2-219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对推荐中医医术确有专长人员的中医医师、以师承方式学习中医的医术确有专长人员的指导老师，违反《中医医术确有专长人员医师资格考核注册管理暂行办法》有关规定，在推荐中弄虚作假、徇私舞弊的处罚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kern w:val="0"/>
              </w:rPr>
              <w:t>《中医医术确有专长人员医师资格考核注册管理暂行办法》 第三十六条：“ 推荐中医医术确有专长人员的中医医师、以师承方式学习中医的医术确有专长人员的指导老师，违反本办法有关规定，在推荐中弄虚作假、徇私舞弊的，由县级以上中医药主管部门依法责令暂停6个月以上1年以下执业活动；情节严重的，吊销其医师执业证书；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4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kern w:val="0"/>
              </w:rPr>
              <w:t>《中医医术确有专长人员医师资格考核注册管理暂行办法》</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表2-220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kern w:val="0"/>
              </w:rPr>
            </w:pPr>
            <w:r>
              <w:rPr>
                <w:rFonts w:hint="eastAsia" w:ascii="宋体" w:hAnsi="宋体" w:cs="宋体"/>
                <w:kern w:val="0"/>
              </w:rPr>
              <w:t>对中医（专长）医师在执业中超出注册的执业范围从事医疗活动的处罚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kern w:val="0"/>
              </w:rPr>
              <w:t>《中医医术确有专长人员医师资格考核注册管理暂行办法》第三十七条：“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kern w:val="0"/>
              </w:rPr>
              <w:t>《中医医术确有专长人员医师资格考核注册管理暂行办法》</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表2-221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kern w:val="0"/>
              </w:rPr>
            </w:pPr>
            <w:r>
              <w:rPr>
                <w:rFonts w:hint="eastAsia" w:ascii="宋体" w:hAnsi="宋体" w:cs="宋体"/>
                <w:kern w:val="0"/>
              </w:rPr>
              <w:t>对未经卫生行政部门许可新建、改建、扩建校舍的处罚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学校卫生工作条例》第三十二条：“违反本条例第六条第二款规定，新建、改建、扩建校舍，其选址、设计应当符合国家的卫生标准，并取得当地卫生行政部门的许可。竣工验收应当有当地卫生行政部门参加。未经卫生行政部门许可新建、改建、扩建校舍的，由卫生行政部门对直接责任单位或者个人给予警告、责令停止施工或者限期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学校卫生工作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表2-222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kern w:val="0"/>
              </w:rPr>
            </w:pPr>
            <w:r>
              <w:rPr>
                <w:rFonts w:hint="eastAsia" w:ascii="宋体" w:hAnsi="宋体" w:cs="宋体"/>
                <w:kern w:val="0"/>
              </w:rPr>
              <w:t>对未经许可擅自配置使用大型医用设备的处罚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1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医疗器械监督管理条例》第六十三条第三款：“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器械监督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表2-223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630" w:firstLineChars="300"/>
              <w:rPr>
                <w:rFonts w:ascii="宋体" w:hAnsi="宋体" w:cs="宋体"/>
                <w:kern w:val="0"/>
              </w:rPr>
            </w:pPr>
            <w:r>
              <w:rPr>
                <w:rFonts w:hint="eastAsia" w:ascii="宋体" w:hAnsi="宋体" w:cs="宋体"/>
                <w:kern w:val="0"/>
              </w:rPr>
              <w:t>对医疗器械使用单位违规使用大型医用设备，不能保障医疗质量安全的处罚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大型医用设备配置与使用管理办法（试行）》第四十五条：“医疗器械使用单位不按照操作规程、诊疗规范合理使用，聘用不具有相应资质、能力的人员使用大型医用设备，不能保障医疗质量安全的，由县级以上卫生健康行政部门依法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0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4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4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4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4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4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大型医用设备配置与使用管理办法（试行）》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表2-224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kern w:val="0"/>
              </w:rPr>
            </w:pPr>
            <w:r>
              <w:rPr>
                <w:rFonts w:hint="eastAsia" w:ascii="宋体" w:hAnsi="宋体" w:cs="宋体"/>
                <w:kern w:val="0"/>
              </w:rPr>
              <w:t>对医疗机构违反《广告法》规定发布医疗广告情节严重的处罚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医疗广告管理办法》第二十条第一款：“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6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广告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表2-225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kern w:val="0"/>
              </w:rPr>
            </w:pPr>
            <w:r>
              <w:rPr>
                <w:rFonts w:hint="eastAsia" w:ascii="宋体" w:hAnsi="宋体" w:cs="宋体"/>
                <w:kern w:val="0"/>
              </w:rPr>
              <w:t>对医疗机构聘用未经大陆短期行医执业注册的台湾医师从事诊疗活动的处罚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台湾地区医师在大陆短期行医管理规定》（卫生部令第63号）第十七条:“医疗机构聘用未经大陆短期行医执业注册的台湾医师从事诊疗活动,视为聘用非卫生技术人员,按照《医疗机构管理条例》第四十八条规定处理。”</w:t>
            </w:r>
          </w:p>
          <w:p>
            <w:pPr>
              <w:spacing w:line="260" w:lineRule="exact"/>
              <w:ind w:firstLine="420" w:firstLineChars="200"/>
              <w:rPr>
                <w:rFonts w:ascii="宋体" w:hAnsi="宋体" w:cs="宋体"/>
              </w:rPr>
            </w:pPr>
            <w:r>
              <w:rPr>
                <w:rFonts w:hint="eastAsia" w:ascii="宋体" w:hAnsi="宋体" w:cs="宋体"/>
              </w:rPr>
              <w:t>2.《医疗机构管理条例》（国务院令第149号）第四十八条：“违反本条例第二十八条规定，使用非卫生技术人员从事医疗卫生技术工作的，由县级以上人民政府卫生行政部门责令其限期改正，并可以处以5000元以下的罚款；情节严重的，吊销其《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4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台湾地区医师在大陆短期行医管理规定》《医疗机构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表2-226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对台湾医师未取得《台湾医师短期行医执业证书》行医或者未按照注册的有效期从事诊疗活动的处罚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1.《台湾地区医师在大陆短期行医管理规定》第十七条：“医疗机构聘用未经大陆短期行医执业注册的台湾医师从事诊疗活动,视为聘用非卫生技术人员,按照《医疗机构管理条例》第四十八条规定处理。”</w:t>
            </w:r>
          </w:p>
          <w:p>
            <w:pPr>
              <w:spacing w:line="260" w:lineRule="exact"/>
              <w:ind w:firstLine="420" w:firstLineChars="200"/>
              <w:rPr>
                <w:rFonts w:ascii="宋体" w:hAnsi="宋体" w:cs="宋体"/>
              </w:rPr>
            </w:pPr>
            <w:r>
              <w:rPr>
                <w:rFonts w:hint="eastAsia" w:ascii="宋体" w:hAnsi="宋体" w:cs="宋体"/>
              </w:rPr>
              <w:t xml:space="preserve">2.《医疗机构管理条例》第四十八条：“违反本条例第二十八条规定，使用非卫生技术人员从事医疗卫生技术工作的，由县级以上人民政府卫生行政部门责令其限期改正，并可以处以5000元以下的罚款；情节严重的，吊销其《医疗机构执业许可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8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台湾地区医师在大陆短期行医管理规定》《医疗机构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表2-227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kern w:val="0"/>
              </w:rPr>
            </w:pPr>
            <w:r>
              <w:rPr>
                <w:rFonts w:hint="eastAsia" w:ascii="宋体" w:hAnsi="宋体" w:cs="宋体"/>
                <w:kern w:val="0"/>
              </w:rPr>
              <w:t>对台湾医师未按照注册的执业地点、执业类别、执业范围从事诊疗活动的处罚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《台湾地区医师在大陆短期行医管理规定》(2008年3月12日 卫生部令第63号发布)  第十九条：“台湾医师未按照注册的执业地点、执业类别、执业范围从事诊疗活动的,由县级以上人民政府卫生行政部门责令改正,并给予警告;逾期不改的,按照《执业医师法》第三十七条第(一)项规定处理。”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8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8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8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8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8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8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8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8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8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台湾地区医师在大陆短期行医管理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80" w:lineRule="exact"/>
              <w:ind w:firstLine="420"/>
              <w:jc w:val="center"/>
              <w:rPr>
                <w:rFonts w:ascii="宋体" w:hAnsi="宋体" w:cs="宋体"/>
              </w:rPr>
            </w:pPr>
            <w:r>
              <w:rPr>
                <w:rFonts w:hint="eastAsia" w:ascii="宋体" w:hAnsi="宋体" w:cs="宋体"/>
              </w:rPr>
              <w:t>12345</w:t>
            </w:r>
          </w:p>
        </w:tc>
      </w:tr>
    </w:tbl>
    <w:p>
      <w:pPr>
        <w:spacing w:line="280" w:lineRule="exact"/>
        <w:rPr>
          <w:rFonts w:ascii="宋体" w:hAnsi="宋体" w:cs="宋体"/>
        </w:rPr>
      </w:pPr>
      <w:r>
        <w:rPr>
          <w:rFonts w:hint="eastAsia" w:ascii="宋体" w:hAnsi="宋体" w:cs="宋体"/>
        </w:rPr>
        <w:t>表2-228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80" w:lineRule="exact"/>
              <w:ind w:firstLine="420"/>
              <w:jc w:val="center"/>
              <w:rPr>
                <w:rFonts w:ascii="宋体" w:hAnsi="宋体" w:cs="宋体"/>
              </w:rPr>
            </w:pPr>
            <w:r>
              <w:rPr>
                <w:rFonts w:hint="eastAsia" w:ascii="宋体" w:hAnsi="宋体" w:cs="宋体"/>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8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s="宋体"/>
                <w:kern w:val="0"/>
              </w:rPr>
            </w:pPr>
            <w:r>
              <w:rPr>
                <w:rFonts w:hint="eastAsia" w:ascii="宋体" w:hAnsi="宋体" w:cs="宋体"/>
                <w:kern w:val="0"/>
              </w:rPr>
              <w:t>对从事母婴保健工作的人员和其他人员违反规定，出具有关虚假医学证明的处罚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80" w:lineRule="exact"/>
              <w:ind w:firstLine="420" w:firstLineChars="200"/>
              <w:rPr>
                <w:rFonts w:ascii="宋体" w:hAnsi="宋体" w:cs="宋体"/>
              </w:rPr>
            </w:pPr>
            <w:r>
              <w:rPr>
                <w:rFonts w:hint="eastAsia" w:ascii="宋体" w:hAnsi="宋体" w:cs="宋体"/>
              </w:rPr>
              <w:t>《母婴保健法》第三十七条：“从事母婴保健工作的人员违反本法规定，出具有关虚假医学证明或者进行胎儿性别鉴定的，由医疗保健机构或者卫生行政部门根据情节给予行政处分；情节严重的，依法取消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8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9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8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8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8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8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8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8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8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8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8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母婴保健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80" w:lineRule="exact"/>
              <w:ind w:firstLine="420"/>
              <w:jc w:val="center"/>
              <w:rPr>
                <w:rFonts w:ascii="宋体" w:hAnsi="宋体" w:cs="宋体"/>
              </w:rPr>
            </w:pPr>
            <w:r>
              <w:rPr>
                <w:rFonts w:hint="eastAsia" w:ascii="宋体" w:hAnsi="宋体" w:cs="宋体"/>
              </w:rPr>
              <w:t>12345</w:t>
            </w:r>
          </w:p>
        </w:tc>
      </w:tr>
    </w:tbl>
    <w:p>
      <w:pPr>
        <w:spacing w:line="280" w:lineRule="exact"/>
        <w:rPr>
          <w:rFonts w:ascii="宋体" w:hAnsi="宋体" w:cs="宋体"/>
        </w:rPr>
      </w:pPr>
      <w:r>
        <w:rPr>
          <w:rFonts w:hint="eastAsia" w:ascii="宋体" w:hAnsi="宋体" w:cs="宋体"/>
        </w:rPr>
        <w:t>表2-229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80" w:lineRule="exact"/>
              <w:ind w:firstLine="420"/>
              <w:jc w:val="center"/>
              <w:rPr>
                <w:rFonts w:ascii="宋体" w:hAnsi="宋体" w:cs="宋体"/>
              </w:rPr>
            </w:pPr>
            <w:r>
              <w:rPr>
                <w:rFonts w:hint="eastAsia" w:ascii="宋体" w:hAnsi="宋体" w:cs="宋体"/>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8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s="宋体"/>
                <w:kern w:val="0"/>
              </w:rPr>
            </w:pPr>
            <w:r>
              <w:rPr>
                <w:rFonts w:hint="eastAsia" w:ascii="宋体" w:hAnsi="宋体" w:cs="宋体"/>
                <w:kern w:val="0"/>
              </w:rPr>
              <w:t>对机构或个人未取得许可证或合格证，擅自从事婚前医学检查的处罚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tcPr>
          <w:p>
            <w:pPr>
              <w:spacing w:line="280" w:lineRule="exact"/>
              <w:ind w:firstLine="420" w:firstLineChars="200"/>
              <w:rPr>
                <w:rFonts w:ascii="宋体" w:hAnsi="宋体" w:cs="宋体"/>
              </w:rPr>
            </w:pPr>
            <w:r>
              <w:rPr>
                <w:rFonts w:hint="eastAsia" w:ascii="宋体" w:hAnsi="宋体" w:cs="宋体"/>
              </w:rPr>
              <w:t>1.《母婴保健法》第三十五条第一款：“未取得国家颁发的有关合格证书的，有下列行为之一，县级以上地方人民政府卫生行政部门应当予以制止，并可以根据情节给予警告或者处以罚款，（一）从事婚前医学检查、遗传病诊断、产前诊断或者医学技术鉴定的；（二）施行终止妊娠手术的；（三）出具本法规定的有关医学证明的。”</w:t>
            </w:r>
          </w:p>
          <w:p>
            <w:pPr>
              <w:spacing w:line="280" w:lineRule="exact"/>
              <w:ind w:firstLine="420" w:firstLineChars="200"/>
              <w:rPr>
                <w:rFonts w:ascii="宋体" w:hAnsi="宋体" w:cs="宋体"/>
              </w:rPr>
            </w:pPr>
            <w:r>
              <w:rPr>
                <w:rFonts w:hint="eastAsia" w:ascii="宋体" w:hAnsi="宋体" w:cs="宋体"/>
              </w:rPr>
              <w:t>2.《母婴保健法实施办法》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8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11" w:firstLineChars="196"/>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母婴保健法》《母婴保健法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表2-230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对违反《四川省婚前医学检查管理办法》擅自增加婚前医学检查项目的；故意出具虚假的婚前医学检查证明的；泄漏接受婚前医学检查的男女双方隐私的处罚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四川省婚前医学检查管理办法》第二十二条：“有下列行为之一的，由县级以上卫生行政部门予以制止，视其情节轻重给予批评、警告，可以并处3000元以上10000元以下的罚款；情节严重的，吊销婚前医学检查许可证及其有关医务人员的合格证，（一）违反本办法擅自增加婚前医学检查项目；（二）故意出具虚假的婚前医学检查证明；（三）泄漏接受婚前医学检查的男女双方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9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婚前医学检查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表2-231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对在自然疫源地和可能是自然疫源地的地区兴建大型建设项目未经卫生调查即进行施工的处罚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中华人民共和国传染病防治法实施办法》第六十七条：“在自然疫源地和可能是自然疫源地的地区兴建大型建设项目未经卫生调查即进行施工的，由县级以上政府卫生行政部门责令限期改正，可以处2000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1.立案责任：对依据监督检查职权或者通过举报、投诉、其他部门移送、上级部门交办等途径发现的违法行为线索，决定是否立案。</w:t>
            </w:r>
          </w:p>
          <w:p>
            <w:pPr>
              <w:spacing w:line="260" w:lineRule="exact"/>
              <w:ind w:firstLine="420"/>
              <w:rPr>
                <w:rFonts w:ascii="宋体" w:hAnsi="宋体" w:cs="宋体"/>
              </w:rPr>
            </w:pPr>
            <w:r>
              <w:rPr>
                <w:rFonts w:hint="eastAsia" w:ascii="宋体" w:hAnsi="宋体" w:cs="宋体"/>
              </w:rPr>
              <w:t>2.调查责任：在调查或检查时，执法人员不得少于两人，并向当事人或有关人员出示证件，询问或检查应制作笔录；执法人员与当事人有直接利害关系的，应当回避。</w:t>
            </w:r>
          </w:p>
          <w:p>
            <w:pPr>
              <w:spacing w:line="260" w:lineRule="exact"/>
              <w:ind w:firstLine="420"/>
              <w:rPr>
                <w:rFonts w:ascii="宋体" w:hAnsi="宋体" w:cs="宋体"/>
              </w:rPr>
            </w:pPr>
            <w:r>
              <w:rPr>
                <w:rFonts w:hint="eastAsia" w:ascii="宋体" w:hAnsi="宋体" w:cs="宋体"/>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60" w:lineRule="exact"/>
              <w:ind w:firstLine="420"/>
              <w:rPr>
                <w:rFonts w:ascii="宋体" w:hAnsi="宋体" w:cs="宋体"/>
              </w:rPr>
            </w:pPr>
            <w:r>
              <w:rPr>
                <w:rFonts w:hint="eastAsia" w:ascii="宋体" w:hAnsi="宋体" w:cs="宋体"/>
              </w:rPr>
              <w:t>4.告知责任：在作出处罚决定之前，应当告知当事人作出处罚决定的事由、理由及依据，并告知当事人依法享有的权利；当事人依法要求听证的，应组织听证。</w:t>
            </w:r>
          </w:p>
          <w:p>
            <w:pPr>
              <w:spacing w:line="260" w:lineRule="exact"/>
              <w:ind w:firstLine="420"/>
              <w:rPr>
                <w:rFonts w:ascii="宋体" w:hAnsi="宋体" w:cs="宋体"/>
              </w:rPr>
            </w:pPr>
            <w:r>
              <w:rPr>
                <w:rFonts w:hint="eastAsia" w:ascii="宋体" w:hAnsi="宋体" w:cs="宋体"/>
              </w:rPr>
              <w:t>5.决定责任：依法应当给予行政处罚的，制作盖有行政机关印章的行政处罚决定书，载明违法事实、证据、处罚种类和依据、权利救济途径等内容。</w:t>
            </w:r>
          </w:p>
          <w:p>
            <w:pPr>
              <w:spacing w:line="260" w:lineRule="exact"/>
              <w:ind w:firstLine="420"/>
              <w:rPr>
                <w:rFonts w:ascii="宋体" w:hAnsi="宋体" w:cs="宋体"/>
              </w:rPr>
            </w:pPr>
            <w:r>
              <w:rPr>
                <w:rFonts w:hint="eastAsia" w:ascii="宋体" w:hAnsi="宋体" w:cs="宋体"/>
              </w:rPr>
              <w:t>6.送达责任：行政处罚决定书在决定后七日内依照民事诉讼法的有关规定送达当事人。</w:t>
            </w:r>
          </w:p>
          <w:p>
            <w:pPr>
              <w:spacing w:line="260" w:lineRule="exact"/>
              <w:ind w:firstLine="420"/>
              <w:rPr>
                <w:rFonts w:ascii="宋体" w:hAnsi="宋体" w:cs="宋体"/>
              </w:rPr>
            </w:pPr>
            <w:r>
              <w:rPr>
                <w:rFonts w:hint="eastAsia" w:ascii="宋体" w:hAnsi="宋体" w:cs="宋体"/>
              </w:rPr>
              <w:t>7.执行责任：督促当事人履行生效的行政处罚决定，对逾期不履行的，依照</w:t>
            </w:r>
            <w:r>
              <w:rPr>
                <w:rFonts w:hint="eastAsia" w:ascii="宋体" w:hAnsi="宋体" w:cs="宋体"/>
                <w:lang w:eastAsia="zh-CN"/>
              </w:rPr>
              <w:t>《中华人民共和国行政强制法》</w:t>
            </w:r>
            <w:r>
              <w:rPr>
                <w:rFonts w:hint="eastAsia" w:ascii="宋体" w:hAnsi="宋体" w:cs="宋体"/>
              </w:rPr>
              <w:t>的规定执行。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传染病防治法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表2-232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1680" w:firstLineChars="800"/>
              <w:rPr>
                <w:rFonts w:ascii="宋体" w:hAnsi="宋体" w:cs="宋体"/>
                <w:kern w:val="0"/>
              </w:rPr>
            </w:pPr>
            <w:r>
              <w:rPr>
                <w:rFonts w:hint="eastAsia" w:ascii="宋体" w:hAnsi="宋体" w:cs="宋体"/>
                <w:kern w:val="0"/>
              </w:rPr>
              <w:t>对未按照规定进行职业病危害预评价的处罚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0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《中华人民共和国职业病防治法》(2018修正) 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0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1.立案责任：发现建设项目未按照规定进行职业病危害预评价的，予以审查，决定是否立案。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职业病防治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表2-233</w:t>
      </w:r>
    </w:p>
    <w:tbl>
      <w:tblPr>
        <w:tblStyle w:val="1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3"/>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62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485"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3" w:hRule="atLeast"/>
          <w:jc w:val="center"/>
        </w:trPr>
        <w:tc>
          <w:tcPr>
            <w:tcW w:w="62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48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1" w:hRule="atLeast"/>
          <w:jc w:val="center"/>
        </w:trPr>
        <w:tc>
          <w:tcPr>
            <w:tcW w:w="62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485" w:type="dxa"/>
            <w:vAlign w:val="center"/>
          </w:tcPr>
          <w:p>
            <w:pPr>
              <w:spacing w:line="260" w:lineRule="exact"/>
              <w:ind w:firstLine="420" w:firstLineChars="200"/>
              <w:textAlignment w:val="center"/>
              <w:rPr>
                <w:color w:val="000000"/>
                <w:shd w:val="clear" w:color="auto" w:fill="FFFFFF"/>
              </w:rPr>
            </w:pPr>
            <w:r>
              <w:rPr>
                <w:rFonts w:hAnsi="宋体"/>
                <w:color w:val="000000"/>
                <w:shd w:val="clear" w:color="auto" w:fill="FFFFFF"/>
              </w:rPr>
              <w:t>对</w:t>
            </w:r>
            <w:r>
              <w:rPr>
                <w:rFonts w:hAnsi="宋体"/>
                <w:color w:val="000000"/>
                <w:kern w:val="0"/>
                <w:shd w:val="clear" w:color="auto" w:fill="FFFFFF"/>
              </w:rPr>
              <w:t>建设项目的职业病防护设施未按照规定与主体工程同时设计、同时施工、同时投入生产和使用</w:t>
            </w:r>
            <w:r>
              <w:rPr>
                <w:rFonts w:hAnsi="宋体"/>
                <w:color w:val="000000"/>
                <w:shd w:val="clear" w:color="auto" w:fill="FFFFFF"/>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46" w:hRule="atLeast"/>
          <w:jc w:val="center"/>
        </w:trPr>
        <w:tc>
          <w:tcPr>
            <w:tcW w:w="62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485" w:type="dxa"/>
            <w:vAlign w:val="center"/>
          </w:tcPr>
          <w:p>
            <w:pPr>
              <w:spacing w:line="260" w:lineRule="exact"/>
              <w:ind w:firstLine="420" w:firstLineChars="200"/>
              <w:textAlignment w:val="center"/>
              <w:rPr>
                <w:color w:val="000000"/>
                <w:shd w:val="clear" w:color="auto" w:fill="FFFFFF"/>
              </w:rPr>
            </w:pPr>
            <w:r>
              <w:rPr>
                <w:rFonts w:hint="eastAsia" w:ascii="宋体" w:hAnsi="宋体" w:cs="宋体"/>
              </w:rPr>
              <w:t>《中华人民共和国职业病防治法》(2018修正) 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 （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5" w:hRule="exact"/>
          <w:jc w:val="center"/>
        </w:trPr>
        <w:tc>
          <w:tcPr>
            <w:tcW w:w="62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485" w:type="dxa"/>
            <w:vAlign w:val="center"/>
          </w:tcPr>
          <w:p>
            <w:pPr>
              <w:spacing w:line="260" w:lineRule="exact"/>
              <w:jc w:val="center"/>
              <w:textAlignment w:val="center"/>
              <w:rPr>
                <w:color w:val="000000"/>
                <w:shd w:val="clear" w:color="auto" w:fill="FFFFFF"/>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0" w:hRule="atLeast"/>
          <w:jc w:val="center"/>
        </w:trPr>
        <w:tc>
          <w:tcPr>
            <w:tcW w:w="623"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责任事项</w:t>
            </w:r>
          </w:p>
        </w:tc>
        <w:tc>
          <w:tcPr>
            <w:tcW w:w="8485" w:type="dxa"/>
            <w:vAlign w:val="center"/>
          </w:tcPr>
          <w:p>
            <w:pPr>
              <w:spacing w:line="24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4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4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4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4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4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4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4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8" w:hRule="atLeast"/>
          <w:jc w:val="center"/>
        </w:trPr>
        <w:tc>
          <w:tcPr>
            <w:tcW w:w="623"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追责情形</w:t>
            </w:r>
          </w:p>
        </w:tc>
        <w:tc>
          <w:tcPr>
            <w:tcW w:w="8485" w:type="dxa"/>
            <w:vAlign w:val="center"/>
          </w:tcPr>
          <w:p>
            <w:pPr>
              <w:spacing w:line="24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623"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监督电话</w:t>
            </w:r>
          </w:p>
        </w:tc>
        <w:tc>
          <w:tcPr>
            <w:tcW w:w="8485" w:type="dxa"/>
            <w:vAlign w:val="center"/>
          </w:tcPr>
          <w:p>
            <w:pPr>
              <w:spacing w:line="240" w:lineRule="exact"/>
              <w:jc w:val="center"/>
              <w:textAlignment w:val="center"/>
              <w:rPr>
                <w:color w:val="000000"/>
                <w:shd w:val="clear" w:color="auto" w:fill="FFFFFF"/>
              </w:rPr>
            </w:pPr>
            <w:r>
              <w:rPr>
                <w:color w:val="000000"/>
                <w:shd w:val="clear" w:color="auto" w:fill="FFFFFF"/>
              </w:rPr>
              <w:t>12345</w:t>
            </w:r>
          </w:p>
        </w:tc>
      </w:tr>
    </w:tbl>
    <w:p>
      <w:pPr>
        <w:spacing w:line="24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-234</w:t>
      </w:r>
    </w:p>
    <w:tbl>
      <w:tblPr>
        <w:tblStyle w:val="13"/>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7"/>
        <w:gridCol w:w="8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647"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序号</w:t>
            </w:r>
          </w:p>
        </w:tc>
        <w:tc>
          <w:tcPr>
            <w:tcW w:w="8435" w:type="dxa"/>
            <w:vAlign w:val="center"/>
          </w:tcPr>
          <w:p>
            <w:pPr>
              <w:spacing w:line="240" w:lineRule="exact"/>
              <w:jc w:val="center"/>
              <w:textAlignment w:val="center"/>
              <w:rPr>
                <w:color w:val="000000"/>
                <w:shd w:val="clear" w:color="auto" w:fill="FFFFFF"/>
              </w:rPr>
            </w:pPr>
            <w:r>
              <w:rPr>
                <w:rFonts w:hint="eastAsia"/>
                <w:color w:val="000000"/>
                <w:shd w:val="clear" w:color="auto" w:fill="FFFFFF"/>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647"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权力类型</w:t>
            </w:r>
          </w:p>
        </w:tc>
        <w:tc>
          <w:tcPr>
            <w:tcW w:w="8435"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7" w:hRule="atLeast"/>
          <w:jc w:val="center"/>
        </w:trPr>
        <w:tc>
          <w:tcPr>
            <w:tcW w:w="647"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权力项目名称</w:t>
            </w:r>
          </w:p>
        </w:tc>
        <w:tc>
          <w:tcPr>
            <w:tcW w:w="8435" w:type="dxa"/>
            <w:vAlign w:val="center"/>
          </w:tcPr>
          <w:p>
            <w:pPr>
              <w:spacing w:line="240" w:lineRule="exact"/>
              <w:ind w:firstLine="420" w:firstLineChars="200"/>
              <w:textAlignment w:val="center"/>
              <w:rPr>
                <w:color w:val="000000"/>
                <w:shd w:val="clear" w:color="auto" w:fill="FFFFFF"/>
              </w:rPr>
            </w:pPr>
            <w:r>
              <w:rPr>
                <w:rFonts w:hint="eastAsia" w:hAnsi="宋体"/>
                <w:color w:val="000000"/>
                <w:shd w:val="clear" w:color="auto" w:fill="FFFFFF"/>
              </w:rPr>
              <w:t>对建设项目的职业病防护设施设计不符合国家职业卫生标准和卫生要求的处罚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60" w:hRule="atLeast"/>
          <w:jc w:val="center"/>
        </w:trPr>
        <w:tc>
          <w:tcPr>
            <w:tcW w:w="647"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实施依据</w:t>
            </w:r>
          </w:p>
        </w:tc>
        <w:tc>
          <w:tcPr>
            <w:tcW w:w="8435" w:type="dxa"/>
            <w:vAlign w:val="center"/>
          </w:tcPr>
          <w:p>
            <w:pPr>
              <w:spacing w:line="240" w:lineRule="exact"/>
              <w:ind w:firstLine="420" w:firstLineChars="200"/>
              <w:textAlignment w:val="center"/>
              <w:rPr>
                <w:color w:val="000000"/>
                <w:shd w:val="clear" w:color="auto" w:fill="FFFFFF"/>
              </w:rPr>
            </w:pPr>
            <w:r>
              <w:rPr>
                <w:rFonts w:hint="eastAsia" w:ascii="宋体" w:hAnsi="宋体" w:cs="宋体"/>
              </w:rPr>
              <w:t>《中华人民共和国职业病防治法》(2018修正) 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 （二）医疗机构可能产生放射性职业病危害的建设项目未按照规定提交放射性职业病危害预评价报告，或者放射性职业病危害预评价报告未经卫生行政部门审核同意，开工建设的； （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8" w:hRule="atLeast"/>
          <w:jc w:val="center"/>
        </w:trPr>
        <w:tc>
          <w:tcPr>
            <w:tcW w:w="647"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责任主体</w:t>
            </w:r>
          </w:p>
        </w:tc>
        <w:tc>
          <w:tcPr>
            <w:tcW w:w="8435" w:type="dxa"/>
            <w:vAlign w:val="center"/>
          </w:tcPr>
          <w:p>
            <w:pPr>
              <w:spacing w:line="240" w:lineRule="exact"/>
              <w:jc w:val="center"/>
              <w:textAlignment w:val="center"/>
              <w:rPr>
                <w:color w:val="000000"/>
                <w:shd w:val="clear" w:color="auto" w:fill="FFFFFF"/>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87" w:hRule="atLeast"/>
          <w:jc w:val="center"/>
        </w:trPr>
        <w:tc>
          <w:tcPr>
            <w:tcW w:w="647"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责任事项</w:t>
            </w:r>
          </w:p>
        </w:tc>
        <w:tc>
          <w:tcPr>
            <w:tcW w:w="8435" w:type="dxa"/>
            <w:vAlign w:val="center"/>
          </w:tcPr>
          <w:p>
            <w:pPr>
              <w:spacing w:line="24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4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4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4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4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4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4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4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2" w:hRule="atLeast"/>
          <w:jc w:val="center"/>
        </w:trPr>
        <w:tc>
          <w:tcPr>
            <w:tcW w:w="647"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追责情形</w:t>
            </w:r>
          </w:p>
        </w:tc>
        <w:tc>
          <w:tcPr>
            <w:tcW w:w="8435" w:type="dxa"/>
            <w:vAlign w:val="center"/>
          </w:tcPr>
          <w:p>
            <w:pPr>
              <w:spacing w:line="24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64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435"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-235</w:t>
      </w:r>
    </w:p>
    <w:tbl>
      <w:tblPr>
        <w:tblStyle w:val="13"/>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7"/>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exact"/>
          <w:jc w:val="center"/>
        </w:trPr>
        <w:tc>
          <w:tcPr>
            <w:tcW w:w="58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w:t>
            </w:r>
            <w:r>
              <w:rPr>
                <w:rFonts w:hint="eastAsia" w:hAnsi="宋体"/>
                <w:color w:val="000000"/>
                <w:shd w:val="clear" w:color="auto" w:fill="FFFFFF"/>
              </w:rPr>
              <w:t xml:space="preserve">号  </w:t>
            </w:r>
          </w:p>
        </w:tc>
        <w:tc>
          <w:tcPr>
            <w:tcW w:w="8520" w:type="dxa"/>
            <w:vAlign w:val="center"/>
          </w:tcPr>
          <w:p>
            <w:pPr>
              <w:tabs>
                <w:tab w:val="left" w:pos="2070"/>
              </w:tabs>
              <w:spacing w:line="260" w:lineRule="exact"/>
              <w:jc w:val="center"/>
              <w:textAlignment w:val="center"/>
              <w:rPr>
                <w:color w:val="000000"/>
                <w:shd w:val="clear" w:color="auto" w:fill="FFFFFF"/>
              </w:rPr>
            </w:pPr>
            <w:r>
              <w:rPr>
                <w:rFonts w:hint="eastAsia"/>
                <w:color w:val="000000"/>
                <w:shd w:val="clear" w:color="auto" w:fill="FFFFFF"/>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9" w:hRule="exact"/>
          <w:jc w:val="center"/>
        </w:trPr>
        <w:tc>
          <w:tcPr>
            <w:tcW w:w="58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520" w:type="dxa"/>
            <w:vAlign w:val="center"/>
          </w:tcPr>
          <w:p>
            <w:pPr>
              <w:tabs>
                <w:tab w:val="left" w:pos="2070"/>
              </w:tabs>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7" w:hRule="atLeast"/>
          <w:jc w:val="center"/>
        </w:trPr>
        <w:tc>
          <w:tcPr>
            <w:tcW w:w="58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520" w:type="dxa"/>
            <w:vAlign w:val="center"/>
          </w:tcPr>
          <w:p>
            <w:pPr>
              <w:tabs>
                <w:tab w:val="left" w:pos="2070"/>
              </w:tabs>
              <w:spacing w:line="260" w:lineRule="exact"/>
              <w:jc w:val="center"/>
              <w:textAlignment w:val="center"/>
              <w:rPr>
                <w:color w:val="000000"/>
                <w:shd w:val="clear" w:color="auto" w:fill="FFFFFF"/>
              </w:rPr>
            </w:pPr>
            <w:r>
              <w:rPr>
                <w:rFonts w:hint="eastAsia" w:hAnsi="宋体"/>
                <w:color w:val="000000"/>
                <w:kern w:val="0"/>
                <w:shd w:val="clear" w:color="auto" w:fill="FFFFFF"/>
              </w:rPr>
              <w:t>对未按照规定对职业病防护设施进行职业病危害控制效果评价的处罚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37" w:hRule="atLeast"/>
          <w:jc w:val="center"/>
        </w:trPr>
        <w:tc>
          <w:tcPr>
            <w:tcW w:w="587" w:type="dxa"/>
            <w:vAlign w:val="center"/>
          </w:tcPr>
          <w:p>
            <w:pPr>
              <w:tabs>
                <w:tab w:val="left" w:pos="2070"/>
              </w:tabs>
              <w:spacing w:line="260" w:lineRule="exact"/>
              <w:jc w:val="left"/>
              <w:textAlignment w:val="center"/>
              <w:rPr>
                <w:color w:val="000000"/>
                <w:kern w:val="0"/>
                <w:shd w:val="clear" w:color="auto" w:fill="FFFFFF"/>
              </w:rPr>
            </w:pPr>
            <w:r>
              <w:rPr>
                <w:rFonts w:hAnsi="宋体"/>
                <w:color w:val="000000"/>
                <w:kern w:val="0"/>
                <w:shd w:val="clear" w:color="auto" w:fill="FFFFFF"/>
              </w:rPr>
              <w:t>实施依据</w:t>
            </w:r>
          </w:p>
        </w:tc>
        <w:tc>
          <w:tcPr>
            <w:tcW w:w="8520" w:type="dxa"/>
            <w:vAlign w:val="center"/>
          </w:tcPr>
          <w:p>
            <w:pPr>
              <w:tabs>
                <w:tab w:val="left" w:pos="2070"/>
              </w:tabs>
              <w:spacing w:line="260" w:lineRule="exact"/>
              <w:ind w:firstLine="420" w:firstLineChars="200"/>
              <w:jc w:val="left"/>
              <w:textAlignment w:val="center"/>
              <w:rPr>
                <w:color w:val="000000"/>
                <w:kern w:val="0"/>
                <w:shd w:val="clear" w:color="auto" w:fill="FFFFFF"/>
              </w:rPr>
            </w:pPr>
            <w:r>
              <w:rPr>
                <w:rFonts w:hint="eastAsia" w:ascii="宋体" w:hAnsi="宋体" w:cs="宋体"/>
              </w:rPr>
              <w:t>《中华人民共和国职业病防治法》(2018修正) 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 （二）医疗机构可能产生放射性职业病危害的建设项目未按照规定提交放射性职业病危害预评价报告，或者放射性职业病危害预评价报告未经卫生行政部门审核同意，开工建设的； （三）建设项目的职业病防护设施未按照规定与主体工程同时设计、同时施工、同时投入生产和使用的； （四）建设项目的职业病防护设施设计不符合国家职业卫生标准和卫生要求，或者医疗机构放射性职业病危害严重的建设项目的防护设施设计未经卫生行政部门审查同意擅自施工的； （五）未按照规定对职业病防护设施进行职业病危害控制效果评价的。”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3" w:hRule="exact"/>
          <w:jc w:val="center"/>
        </w:trPr>
        <w:tc>
          <w:tcPr>
            <w:tcW w:w="58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520" w:type="dxa"/>
            <w:vAlign w:val="center"/>
          </w:tcPr>
          <w:p>
            <w:pPr>
              <w:tabs>
                <w:tab w:val="left" w:pos="2070"/>
              </w:tabs>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23" w:hRule="atLeast"/>
          <w:jc w:val="center"/>
        </w:trPr>
        <w:tc>
          <w:tcPr>
            <w:tcW w:w="58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520" w:type="dxa"/>
            <w:vAlign w:val="center"/>
          </w:tcPr>
          <w:p>
            <w:pPr>
              <w:tabs>
                <w:tab w:val="left" w:pos="2070"/>
              </w:tabs>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tabs>
                <w:tab w:val="left" w:pos="2070"/>
              </w:tabs>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tabs>
                <w:tab w:val="left" w:pos="2070"/>
              </w:tabs>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tabs>
                <w:tab w:val="left" w:pos="2070"/>
              </w:tabs>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tabs>
                <w:tab w:val="left" w:pos="2070"/>
              </w:tabs>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tabs>
                <w:tab w:val="left" w:pos="2070"/>
              </w:tabs>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tabs>
                <w:tab w:val="left" w:pos="2070"/>
              </w:tabs>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tabs>
                <w:tab w:val="left" w:pos="2070"/>
              </w:tabs>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8" w:hRule="atLeast"/>
          <w:jc w:val="center"/>
        </w:trPr>
        <w:tc>
          <w:tcPr>
            <w:tcW w:w="58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520" w:type="dxa"/>
            <w:vAlign w:val="center"/>
          </w:tcPr>
          <w:p>
            <w:pPr>
              <w:tabs>
                <w:tab w:val="left" w:pos="2070"/>
              </w:tabs>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58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520"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-236</w:t>
      </w:r>
    </w:p>
    <w:tbl>
      <w:tblPr>
        <w:tblStyle w:val="13"/>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7"/>
        <w:gridCol w:w="8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64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429" w:type="dxa"/>
            <w:vAlign w:val="center"/>
          </w:tcPr>
          <w:p>
            <w:pPr>
              <w:tabs>
                <w:tab w:val="left" w:pos="2070"/>
              </w:tabs>
              <w:spacing w:line="260" w:lineRule="exact"/>
              <w:jc w:val="center"/>
              <w:textAlignment w:val="center"/>
              <w:rPr>
                <w:color w:val="000000"/>
                <w:shd w:val="clear" w:color="auto" w:fill="FFFFFF"/>
              </w:rPr>
            </w:pPr>
            <w:r>
              <w:rPr>
                <w:rFonts w:hint="eastAsia"/>
                <w:color w:val="000000"/>
                <w:shd w:val="clear" w:color="auto" w:fill="FFFFFF"/>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0" w:hRule="atLeast"/>
          <w:jc w:val="center"/>
        </w:trPr>
        <w:tc>
          <w:tcPr>
            <w:tcW w:w="64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429" w:type="dxa"/>
            <w:vAlign w:val="center"/>
          </w:tcPr>
          <w:p>
            <w:pPr>
              <w:tabs>
                <w:tab w:val="left" w:pos="2070"/>
              </w:tabs>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jc w:val="center"/>
        </w:trPr>
        <w:tc>
          <w:tcPr>
            <w:tcW w:w="64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429" w:type="dxa"/>
            <w:vAlign w:val="center"/>
          </w:tcPr>
          <w:p>
            <w:pPr>
              <w:tabs>
                <w:tab w:val="left" w:pos="2070"/>
              </w:tabs>
              <w:spacing w:line="260" w:lineRule="exact"/>
              <w:jc w:val="center"/>
              <w:textAlignment w:val="center"/>
              <w:rPr>
                <w:color w:val="000000"/>
                <w:shd w:val="clear" w:color="auto" w:fill="FFFFFF"/>
              </w:rPr>
            </w:pPr>
            <w:r>
              <w:rPr>
                <w:rFonts w:hint="eastAsia" w:hAnsi="宋体"/>
                <w:color w:val="000000"/>
                <w:kern w:val="0"/>
                <w:shd w:val="clear" w:color="auto" w:fill="FFFFFF"/>
              </w:rPr>
              <w:t>对建设项目竣工投入生产和使用前，职业病防护设施未按照规定验收合格的处罚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46" w:hRule="atLeast"/>
          <w:jc w:val="center"/>
        </w:trPr>
        <w:tc>
          <w:tcPr>
            <w:tcW w:w="647" w:type="dxa"/>
            <w:vAlign w:val="center"/>
          </w:tcPr>
          <w:p>
            <w:pPr>
              <w:tabs>
                <w:tab w:val="left" w:pos="2070"/>
              </w:tabs>
              <w:spacing w:line="260" w:lineRule="exact"/>
              <w:jc w:val="center"/>
              <w:textAlignment w:val="center"/>
              <w:rPr>
                <w:color w:val="000000"/>
                <w:kern w:val="0"/>
                <w:shd w:val="clear" w:color="auto" w:fill="FFFFFF"/>
              </w:rPr>
            </w:pPr>
            <w:r>
              <w:rPr>
                <w:rFonts w:hAnsi="宋体"/>
                <w:color w:val="000000"/>
                <w:kern w:val="0"/>
                <w:shd w:val="clear" w:color="auto" w:fill="FFFFFF"/>
              </w:rPr>
              <w:t>实施依据</w:t>
            </w:r>
          </w:p>
        </w:tc>
        <w:tc>
          <w:tcPr>
            <w:tcW w:w="8429" w:type="dxa"/>
            <w:vAlign w:val="center"/>
          </w:tcPr>
          <w:p>
            <w:pPr>
              <w:tabs>
                <w:tab w:val="left" w:pos="2070"/>
              </w:tabs>
              <w:spacing w:line="260" w:lineRule="exact"/>
              <w:ind w:firstLine="420" w:firstLineChars="200"/>
              <w:jc w:val="left"/>
              <w:textAlignment w:val="center"/>
              <w:rPr>
                <w:color w:val="000000"/>
                <w:kern w:val="0"/>
                <w:shd w:val="clear" w:color="auto" w:fill="FFFFFF"/>
              </w:rPr>
            </w:pPr>
            <w:r>
              <w:rPr>
                <w:rFonts w:hint="eastAsia" w:ascii="宋体" w:hAnsi="宋体" w:cs="宋体"/>
              </w:rPr>
              <w:t>《中华人民共和国职业病防治法》(2018修正) 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 （二）医疗机构可能产生放射性职业病危害的建设项目未按照规定提交放射性职业病危害预评价报告，或者放射性职业病危害预评价报告未经卫生行政部门审核同意，开工建设的； （三）建设项目的职业病防护设施未按照规定与主体工程同时设计、同时施工、同时投入生产和使用的； （四）建设项目的职业病防护设施设计不符合国家职业卫生标准和卫生要求，或者医疗机构放射性职业病危害严重的建设项目的防护设施设计未经卫生行政部门审查同意擅自施工的； （五）未按照规定对职业病防护设施进行职业病危害控制效果评价的；（六）建设项目竣工投入生产和使用前，职业病防护设施未按照规定验收合格的。”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9" w:hRule="exact"/>
          <w:jc w:val="center"/>
        </w:trPr>
        <w:tc>
          <w:tcPr>
            <w:tcW w:w="64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429" w:type="dxa"/>
            <w:vAlign w:val="center"/>
          </w:tcPr>
          <w:p>
            <w:pPr>
              <w:tabs>
                <w:tab w:val="left" w:pos="2070"/>
              </w:tabs>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4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429" w:type="dxa"/>
            <w:vAlign w:val="center"/>
          </w:tcPr>
          <w:p>
            <w:pPr>
              <w:tabs>
                <w:tab w:val="left" w:pos="2070"/>
              </w:tabs>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tabs>
                <w:tab w:val="left" w:pos="2070"/>
              </w:tabs>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tabs>
                <w:tab w:val="left" w:pos="2070"/>
              </w:tabs>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tabs>
                <w:tab w:val="left" w:pos="2070"/>
              </w:tabs>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tabs>
                <w:tab w:val="left" w:pos="2070"/>
              </w:tabs>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tabs>
                <w:tab w:val="left" w:pos="2070"/>
              </w:tabs>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tabs>
                <w:tab w:val="left" w:pos="2070"/>
              </w:tabs>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tabs>
                <w:tab w:val="left" w:pos="2070"/>
              </w:tabs>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8" w:hRule="atLeast"/>
          <w:jc w:val="center"/>
        </w:trPr>
        <w:tc>
          <w:tcPr>
            <w:tcW w:w="64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429" w:type="dxa"/>
            <w:vAlign w:val="center"/>
          </w:tcPr>
          <w:p>
            <w:pPr>
              <w:tabs>
                <w:tab w:val="left" w:pos="2070"/>
              </w:tabs>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exact"/>
          <w:jc w:val="center"/>
        </w:trPr>
        <w:tc>
          <w:tcPr>
            <w:tcW w:w="64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429"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-237</w:t>
      </w:r>
    </w:p>
    <w:tbl>
      <w:tblPr>
        <w:tblStyle w:val="13"/>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2"/>
        <w:gridCol w:w="8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0" w:hRule="exact"/>
          <w:jc w:val="center"/>
        </w:trPr>
        <w:tc>
          <w:tcPr>
            <w:tcW w:w="62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467"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9" w:hRule="exact"/>
          <w:jc w:val="center"/>
        </w:trPr>
        <w:tc>
          <w:tcPr>
            <w:tcW w:w="62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46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2" w:hRule="exact"/>
          <w:jc w:val="center"/>
        </w:trPr>
        <w:tc>
          <w:tcPr>
            <w:tcW w:w="62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467"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对未采取《</w:t>
            </w:r>
            <w:r>
              <w:rPr>
                <w:rFonts w:hint="eastAsia" w:ascii="宋体" w:hAnsi="宋体" w:cs="宋体"/>
              </w:rPr>
              <w:t>中华人民共和国职业病防治法</w:t>
            </w:r>
            <w:r>
              <w:rPr>
                <w:rFonts w:hint="eastAsia" w:hAnsi="宋体"/>
                <w:color w:val="000000"/>
                <w:shd w:val="clear" w:color="auto" w:fill="FFFFFF"/>
              </w:rPr>
              <w:t>》第二十条规定的职业病防治管理措施的处罚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9" w:hRule="atLeast"/>
          <w:jc w:val="center"/>
        </w:trPr>
        <w:tc>
          <w:tcPr>
            <w:tcW w:w="62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467" w:type="dxa"/>
            <w:vAlign w:val="center"/>
          </w:tcPr>
          <w:p>
            <w:pPr>
              <w:spacing w:line="260" w:lineRule="exact"/>
              <w:ind w:firstLine="420" w:firstLineChars="200"/>
              <w:textAlignment w:val="center"/>
              <w:rPr>
                <w:color w:val="000000"/>
                <w:shd w:val="clear" w:color="auto" w:fill="FFFFFF"/>
              </w:rPr>
            </w:pPr>
            <w:r>
              <w:rPr>
                <w:rFonts w:hint="eastAsia" w:ascii="宋体" w:hAnsi="宋体" w:cs="宋体"/>
              </w:rPr>
              <w:t>《中华人民共和国职业病防治法》(2018修正)</w:t>
            </w:r>
            <w:r>
              <w:rPr>
                <w:rFonts w:hint="eastAsia"/>
                <w:color w:val="000000"/>
                <w:shd w:val="clear" w:color="auto" w:fill="FFFFFF"/>
              </w:rPr>
              <w:t>第七十条：“违反本法规定，有下列行为之一的，由卫生行政部门给予警告，责令限期改正；逾期不改正的，处十万元以下的罚款，</w:t>
            </w:r>
            <w:r>
              <w:rPr>
                <w:rFonts w:hint="eastAsia" w:ascii="宋体" w:hAnsi="宋体" w:cs="宋体"/>
              </w:rPr>
              <w:t>（一）工作场所职业病危害因素检测、评价结果没有存档、上报、公布的；</w:t>
            </w:r>
            <w:r>
              <w:rPr>
                <w:rFonts w:hint="eastAsia"/>
                <w:color w:val="000000"/>
                <w:shd w:val="clear" w:color="auto" w:fill="FFFFFF"/>
              </w:rPr>
              <w:t xml:space="preserve">（二）未采取本法第二十条规定的职业病防治管理措施的。”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exact"/>
          <w:jc w:val="center"/>
        </w:trPr>
        <w:tc>
          <w:tcPr>
            <w:tcW w:w="62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467" w:type="dxa"/>
            <w:vAlign w:val="center"/>
          </w:tcPr>
          <w:p>
            <w:pPr>
              <w:spacing w:line="260" w:lineRule="exact"/>
              <w:jc w:val="center"/>
              <w:textAlignment w:val="center"/>
              <w:rPr>
                <w:color w:val="000000"/>
                <w:shd w:val="clear" w:color="auto" w:fill="FFFFFF"/>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3" w:hRule="atLeast"/>
          <w:jc w:val="center"/>
        </w:trPr>
        <w:tc>
          <w:tcPr>
            <w:tcW w:w="62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467" w:type="dxa"/>
            <w:vAlign w:val="center"/>
          </w:tcPr>
          <w:p>
            <w:pPr>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22" w:type="dxa"/>
            <w:vAlign w:val="center"/>
          </w:tcPr>
          <w:p>
            <w:pPr>
              <w:spacing w:line="260" w:lineRule="exact"/>
              <w:jc w:val="center"/>
              <w:textAlignment w:val="center"/>
              <w:rPr>
                <w:rFonts w:hAnsi="宋体"/>
                <w:color w:val="000000"/>
                <w:shd w:val="clear" w:color="auto" w:fill="FFFFFF"/>
              </w:rPr>
            </w:pPr>
            <w:r>
              <w:rPr>
                <w:rFonts w:hAnsi="宋体"/>
                <w:color w:val="000000"/>
                <w:shd w:val="clear" w:color="auto" w:fill="FFFFFF"/>
              </w:rPr>
              <w:t>追责情形</w:t>
            </w:r>
          </w:p>
        </w:tc>
        <w:tc>
          <w:tcPr>
            <w:tcW w:w="8467"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7" w:hRule="exact"/>
          <w:jc w:val="center"/>
        </w:trPr>
        <w:tc>
          <w:tcPr>
            <w:tcW w:w="622" w:type="dxa"/>
            <w:vAlign w:val="center"/>
          </w:tcPr>
          <w:p>
            <w:pPr>
              <w:spacing w:line="260" w:lineRule="exact"/>
              <w:jc w:val="center"/>
              <w:textAlignment w:val="center"/>
              <w:rPr>
                <w:rFonts w:hAnsi="宋体"/>
                <w:color w:val="000000"/>
                <w:shd w:val="clear" w:color="auto" w:fill="FFFFFF"/>
              </w:rPr>
            </w:pPr>
            <w:r>
              <w:rPr>
                <w:rFonts w:hAnsi="宋体"/>
                <w:color w:val="000000"/>
                <w:shd w:val="clear" w:color="auto" w:fill="FFFFFF"/>
              </w:rPr>
              <w:t>监督电话</w:t>
            </w:r>
          </w:p>
        </w:tc>
        <w:tc>
          <w:tcPr>
            <w:tcW w:w="8467"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-238</w:t>
      </w: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1"/>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66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399"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4" w:hRule="exact"/>
          <w:jc w:val="center"/>
        </w:trPr>
        <w:tc>
          <w:tcPr>
            <w:tcW w:w="66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39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7" w:hRule="atLeast"/>
          <w:jc w:val="center"/>
        </w:trPr>
        <w:tc>
          <w:tcPr>
            <w:tcW w:w="66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399"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对未按照规定公布有关职业病防治的规章制度、操作规程、职业病危害事故应急救援措施的处罚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51" w:hRule="atLeast"/>
          <w:jc w:val="center"/>
        </w:trPr>
        <w:tc>
          <w:tcPr>
            <w:tcW w:w="66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399" w:type="dxa"/>
            <w:vAlign w:val="center"/>
          </w:tcPr>
          <w:p>
            <w:pPr>
              <w:spacing w:line="260" w:lineRule="exact"/>
              <w:ind w:firstLine="420" w:firstLineChars="200"/>
              <w:textAlignment w:val="center"/>
              <w:rPr>
                <w:color w:val="000000"/>
                <w:shd w:val="clear" w:color="auto" w:fill="FFFFFF"/>
              </w:rPr>
            </w:pPr>
            <w:r>
              <w:rPr>
                <w:rFonts w:hint="eastAsia" w:ascii="宋体" w:hAnsi="宋体" w:cs="宋体"/>
              </w:rPr>
              <w:t>《中华人民共和国职业病防治法》(2018修正) 第七十条：“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8" w:hRule="atLeast"/>
          <w:jc w:val="center"/>
        </w:trPr>
        <w:tc>
          <w:tcPr>
            <w:tcW w:w="66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399"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7" w:hRule="atLeast"/>
          <w:jc w:val="center"/>
        </w:trPr>
        <w:tc>
          <w:tcPr>
            <w:tcW w:w="661"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责任事项</w:t>
            </w:r>
          </w:p>
        </w:tc>
        <w:tc>
          <w:tcPr>
            <w:tcW w:w="8399" w:type="dxa"/>
            <w:vAlign w:val="center"/>
          </w:tcPr>
          <w:p>
            <w:pPr>
              <w:spacing w:line="24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4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4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4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4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4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4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4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1" w:hRule="atLeast"/>
          <w:jc w:val="center"/>
        </w:trPr>
        <w:tc>
          <w:tcPr>
            <w:tcW w:w="661"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追责情形</w:t>
            </w:r>
          </w:p>
        </w:tc>
        <w:tc>
          <w:tcPr>
            <w:tcW w:w="8399" w:type="dxa"/>
            <w:vAlign w:val="center"/>
          </w:tcPr>
          <w:p>
            <w:pPr>
              <w:spacing w:line="24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0" w:hRule="exact"/>
          <w:jc w:val="center"/>
        </w:trPr>
        <w:tc>
          <w:tcPr>
            <w:tcW w:w="661"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监督电话</w:t>
            </w:r>
          </w:p>
        </w:tc>
        <w:tc>
          <w:tcPr>
            <w:tcW w:w="8399" w:type="dxa"/>
            <w:vAlign w:val="center"/>
          </w:tcPr>
          <w:p>
            <w:pPr>
              <w:spacing w:line="240" w:lineRule="exact"/>
              <w:jc w:val="center"/>
              <w:textAlignment w:val="center"/>
              <w:rPr>
                <w:color w:val="000000"/>
                <w:shd w:val="clear" w:color="auto" w:fill="FFFFFF"/>
              </w:rPr>
            </w:pPr>
            <w:r>
              <w:rPr>
                <w:color w:val="000000"/>
                <w:shd w:val="clear" w:color="auto" w:fill="FFFFFF"/>
              </w:rPr>
              <w:t>12345</w:t>
            </w:r>
          </w:p>
        </w:tc>
      </w:tr>
    </w:tbl>
    <w:p>
      <w:pPr>
        <w:spacing w:line="24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-239</w:t>
      </w:r>
    </w:p>
    <w:tbl>
      <w:tblPr>
        <w:tblStyle w:val="13"/>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8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exact"/>
          <w:jc w:val="center"/>
        </w:trPr>
        <w:tc>
          <w:tcPr>
            <w:tcW w:w="567"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序号</w:t>
            </w:r>
          </w:p>
        </w:tc>
        <w:tc>
          <w:tcPr>
            <w:tcW w:w="8519" w:type="dxa"/>
            <w:vAlign w:val="center"/>
          </w:tcPr>
          <w:p>
            <w:pPr>
              <w:spacing w:line="240" w:lineRule="exact"/>
              <w:jc w:val="center"/>
              <w:textAlignment w:val="center"/>
              <w:rPr>
                <w:color w:val="000000"/>
                <w:shd w:val="clear" w:color="auto" w:fill="FFFFFF"/>
              </w:rPr>
            </w:pPr>
            <w:r>
              <w:rPr>
                <w:rFonts w:hint="eastAsia"/>
                <w:color w:val="000000"/>
                <w:shd w:val="clear" w:color="auto" w:fill="FFFFFF"/>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9" w:hRule="exact"/>
          <w:jc w:val="center"/>
        </w:trPr>
        <w:tc>
          <w:tcPr>
            <w:tcW w:w="567"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权力类型</w:t>
            </w:r>
          </w:p>
        </w:tc>
        <w:tc>
          <w:tcPr>
            <w:tcW w:w="8519"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1" w:hRule="atLeast"/>
          <w:jc w:val="center"/>
        </w:trPr>
        <w:tc>
          <w:tcPr>
            <w:tcW w:w="567"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权力项目名称</w:t>
            </w:r>
          </w:p>
        </w:tc>
        <w:tc>
          <w:tcPr>
            <w:tcW w:w="8519" w:type="dxa"/>
            <w:vAlign w:val="center"/>
          </w:tcPr>
          <w:p>
            <w:pPr>
              <w:spacing w:line="240" w:lineRule="exact"/>
              <w:ind w:firstLine="420" w:firstLineChars="200"/>
              <w:textAlignment w:val="center"/>
              <w:rPr>
                <w:color w:val="000000"/>
                <w:shd w:val="clear" w:color="auto" w:fill="FFFFFF"/>
              </w:rPr>
            </w:pPr>
            <w:r>
              <w:rPr>
                <w:rFonts w:hint="eastAsia" w:hAnsi="宋体"/>
                <w:color w:val="000000"/>
                <w:shd w:val="clear" w:color="auto" w:fill="FFFFFF"/>
              </w:rPr>
              <w:t>对未按照规定组织劳动者进行职业卫生培训，或者未对劳动者个人职业病防护采取指导、督促措施的处罚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4" w:hRule="atLeast"/>
          <w:jc w:val="center"/>
        </w:trPr>
        <w:tc>
          <w:tcPr>
            <w:tcW w:w="567"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实施依据</w:t>
            </w:r>
          </w:p>
        </w:tc>
        <w:tc>
          <w:tcPr>
            <w:tcW w:w="8519" w:type="dxa"/>
            <w:vAlign w:val="center"/>
          </w:tcPr>
          <w:p>
            <w:pPr>
              <w:spacing w:line="240" w:lineRule="exact"/>
              <w:ind w:firstLine="420" w:firstLineChars="200"/>
              <w:textAlignment w:val="center"/>
              <w:rPr>
                <w:color w:val="000000"/>
                <w:shd w:val="clear" w:color="auto" w:fill="FFFFFF"/>
              </w:rPr>
            </w:pPr>
            <w:r>
              <w:rPr>
                <w:rFonts w:hint="eastAsia" w:ascii="宋体" w:hAnsi="宋体" w:cs="宋体"/>
              </w:rPr>
              <w:t>《中华人民共和国职业病防治法》(2018修正) 第七十条：“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4" w:hRule="exact"/>
          <w:jc w:val="center"/>
        </w:trPr>
        <w:tc>
          <w:tcPr>
            <w:tcW w:w="567"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责任主体</w:t>
            </w:r>
          </w:p>
        </w:tc>
        <w:tc>
          <w:tcPr>
            <w:tcW w:w="8519" w:type="dxa"/>
            <w:vAlign w:val="center"/>
          </w:tcPr>
          <w:p>
            <w:pPr>
              <w:spacing w:line="24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93" w:hRule="atLeast"/>
          <w:jc w:val="center"/>
        </w:trPr>
        <w:tc>
          <w:tcPr>
            <w:tcW w:w="567"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责任事项</w:t>
            </w:r>
          </w:p>
        </w:tc>
        <w:tc>
          <w:tcPr>
            <w:tcW w:w="8519" w:type="dxa"/>
            <w:vAlign w:val="center"/>
          </w:tcPr>
          <w:p>
            <w:pPr>
              <w:spacing w:line="24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4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4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4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4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4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4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4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9" w:hRule="atLeast"/>
          <w:jc w:val="center"/>
        </w:trPr>
        <w:tc>
          <w:tcPr>
            <w:tcW w:w="56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519"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5" w:hRule="exact"/>
          <w:jc w:val="center"/>
        </w:trPr>
        <w:tc>
          <w:tcPr>
            <w:tcW w:w="56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519"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-240</w:t>
      </w:r>
    </w:p>
    <w:tbl>
      <w:tblPr>
        <w:tblStyle w:val="1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5"/>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393"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6" w:hRule="exac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39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4"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393"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对国内首次使用或者首次进口与职业病危害有关的化学材料，未按照规定报送毒性鉴定资料以及经有关部门登记注册或者批准进口的文件的处罚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07"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393" w:type="dxa"/>
            <w:vAlign w:val="center"/>
          </w:tcPr>
          <w:p>
            <w:pPr>
              <w:spacing w:line="260" w:lineRule="exact"/>
              <w:ind w:firstLine="420" w:firstLineChars="200"/>
              <w:textAlignment w:val="center"/>
              <w:rPr>
                <w:color w:val="000000"/>
                <w:spacing w:val="-4"/>
                <w:shd w:val="clear" w:color="auto" w:fill="FFFFFF"/>
              </w:rPr>
            </w:pPr>
            <w:r>
              <w:rPr>
                <w:rFonts w:hint="eastAsia" w:ascii="宋体" w:hAnsi="宋体" w:cs="宋体"/>
              </w:rPr>
              <w:t>《中华人民共和国职业病防治法》(2018修正) 第七十条：“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4" w:hRule="exac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393"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393" w:type="dxa"/>
            <w:vAlign w:val="center"/>
          </w:tcPr>
          <w:p>
            <w:pPr>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08"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393"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5" w:hRule="exac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393"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pacing w:val="-10"/>
          <w:shd w:val="clear" w:color="auto" w:fill="FFFFFF"/>
        </w:rPr>
        <w:t>表</w:t>
      </w:r>
      <w:r>
        <w:rPr>
          <w:color w:val="000000"/>
          <w:spacing w:val="-10"/>
          <w:shd w:val="clear" w:color="auto" w:fill="FFFFFF"/>
        </w:rPr>
        <w:t>2</w:t>
      </w:r>
      <w:r>
        <w:rPr>
          <w:rFonts w:hint="eastAsia" w:ascii="宋体" w:hAnsi="宋体" w:cs="宋体"/>
        </w:rPr>
        <w:t>-241</w:t>
      </w:r>
    </w:p>
    <w:tbl>
      <w:tblPr>
        <w:tblStyle w:val="13"/>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9"/>
        <w:gridCol w:w="8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487"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8" w:hRule="exac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48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exac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487"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对未按照规定及时、如实向卫生行政部门申报产生职业病危害的项目的处罚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10" w:hRule="atLeas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487" w:type="dxa"/>
            <w:vAlign w:val="center"/>
          </w:tcPr>
          <w:p>
            <w:pPr>
              <w:spacing w:line="260" w:lineRule="exact"/>
              <w:ind w:firstLine="420" w:firstLineChars="200"/>
              <w:textAlignment w:val="center"/>
              <w:rPr>
                <w:color w:val="000000"/>
                <w:shd w:val="clear" w:color="auto" w:fill="FFFFFF"/>
              </w:rPr>
            </w:pPr>
            <w:r>
              <w:rPr>
                <w:rFonts w:hint="eastAsia" w:ascii="宋体" w:hAnsi="宋体" w:cs="宋体"/>
              </w:rPr>
              <w:t xml:space="preserve">《中华人民共和国职业病防治法》(2018修正) </w:t>
            </w:r>
            <w:r>
              <w:rPr>
                <w:color w:val="000000"/>
                <w:shd w:val="clear" w:color="auto" w:fill="FFFFFF"/>
              </w:rPr>
              <w:t>第七十一条</w:t>
            </w:r>
            <w:r>
              <w:rPr>
                <w:rFonts w:hint="eastAsia"/>
                <w:color w:val="000000"/>
                <w:shd w:val="clear" w:color="auto" w:fill="FFFFFF"/>
              </w:rPr>
              <w:t>：“</w:t>
            </w:r>
            <w:r>
              <w:rPr>
                <w:color w:val="000000"/>
                <w:shd w:val="clear" w:color="auto" w:fill="FFFFFF"/>
              </w:rPr>
              <w:t>用人单位违反本法规定，有下列行为之一的，由卫生行政部门责令限期改正，给予警告，可以并处五万元以上十万元以下的罚款</w:t>
            </w:r>
            <w:r>
              <w:rPr>
                <w:rFonts w:hint="eastAsia"/>
                <w:color w:val="000000"/>
                <w:shd w:val="clear" w:color="auto" w:fill="FFFFFF"/>
              </w:rPr>
              <w:t>，</w:t>
            </w:r>
            <w:r>
              <w:rPr>
                <w:color w:val="000000"/>
                <w:shd w:val="clear" w:color="auto" w:fill="FFFFFF"/>
              </w:rPr>
              <w:t>（一）未按照规定及时、如实向卫生行政部门申报产生职业病危害的项目的； （二）未实施由专人负责的职业病危害因素日常监测，或者监测系统不能正常监测的； （三）订立或者变更劳动合同时，未告知劳动者职业病危害真实情况的； （四）未按照规定组织职业健康检查、建立职业健康监护档案或者未将检查结果书面告知劳动者的； （五）未依照本法规定在劳动者离开用人单位时提供职业健康监护档案复印件的。</w:t>
            </w:r>
            <w:r>
              <w:rPr>
                <w:rFonts w:hint="eastAsia"/>
                <w:color w:val="00000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1" w:hRule="exac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487"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79" w:hRule="atLeas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487" w:type="dxa"/>
            <w:vAlign w:val="center"/>
          </w:tcPr>
          <w:p>
            <w:pPr>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2" w:hRule="atLeas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487"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487"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-242</w:t>
      </w:r>
    </w:p>
    <w:tbl>
      <w:tblPr>
        <w:tblStyle w:val="13"/>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5"/>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310"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8" w:hRule="exac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310"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9" w:hRule="exac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310"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对未实施由专人负责的职业病危害因素日常监测，或者监测系统不能正常监测的处罚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6"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310" w:type="dxa"/>
            <w:vAlign w:val="center"/>
          </w:tcPr>
          <w:p>
            <w:pPr>
              <w:spacing w:line="260" w:lineRule="exact"/>
              <w:ind w:firstLine="420" w:firstLineChars="200"/>
              <w:textAlignment w:val="center"/>
              <w:rPr>
                <w:color w:val="000000"/>
                <w:shd w:val="clear" w:color="auto" w:fill="FFFFFF"/>
              </w:rPr>
            </w:pPr>
            <w:r>
              <w:rPr>
                <w:rFonts w:hint="eastAsia" w:ascii="宋体" w:hAnsi="宋体" w:cs="宋体"/>
              </w:rPr>
              <w:t xml:space="preserve">《中华人民共和国职业病防治法》(2018修正) </w:t>
            </w:r>
            <w:r>
              <w:rPr>
                <w:color w:val="000000"/>
                <w:shd w:val="clear" w:color="auto" w:fill="FFFFFF"/>
              </w:rPr>
              <w:t>第七十一条</w:t>
            </w:r>
            <w:r>
              <w:rPr>
                <w:rFonts w:hint="eastAsia"/>
                <w:color w:val="000000"/>
                <w:shd w:val="clear" w:color="auto" w:fill="FFFFFF"/>
              </w:rPr>
              <w:t>：“</w:t>
            </w:r>
            <w:r>
              <w:rPr>
                <w:color w:val="000000"/>
                <w:shd w:val="clear" w:color="auto" w:fill="FFFFFF"/>
              </w:rPr>
              <w:t>用人单位违反本法规定，有下列行为之一的，由卫生行政部门责令限期改正，给予警告，可以并处五万元以上十万元以下的罚款</w:t>
            </w:r>
            <w:r>
              <w:rPr>
                <w:rFonts w:hint="eastAsia"/>
                <w:color w:val="000000"/>
                <w:shd w:val="clear" w:color="auto" w:fill="FFFFFF"/>
              </w:rPr>
              <w:t>，</w:t>
            </w:r>
            <w:r>
              <w:rPr>
                <w:color w:val="000000"/>
                <w:shd w:val="clear" w:color="auto" w:fill="FFFFFF"/>
              </w:rPr>
              <w:t>（一）未按照规定及时、如实向卫生行政部门申报产生职业病危害的项目的； （二）未实施由专人负责的职业病危害因素日常监测，或者监测系统不能正常监测的； （三）订立或者变更劳动合同时，未告知劳动者职业病危害真实情况的； （四）未按照规定组织职业健康检查、建立职业健康监护档案或者未将检查结果书面告知劳动者的； （五）未依照本法规定在劳动者离开用人单位时提供职业健康监护档案复印件的。</w:t>
            </w:r>
            <w:r>
              <w:rPr>
                <w:rFonts w:hint="eastAsia"/>
                <w:color w:val="00000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1" w:hRule="exac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310"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2"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310" w:type="dxa"/>
            <w:vAlign w:val="center"/>
          </w:tcPr>
          <w:p>
            <w:pPr>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1"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310"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310"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-243</w:t>
      </w:r>
    </w:p>
    <w:tbl>
      <w:tblPr>
        <w:tblStyle w:val="13"/>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1"/>
        <w:gridCol w:w="8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6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427"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jc w:val="center"/>
        </w:trPr>
        <w:tc>
          <w:tcPr>
            <w:tcW w:w="66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42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jc w:val="center"/>
        </w:trPr>
        <w:tc>
          <w:tcPr>
            <w:tcW w:w="66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427"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对订立或者变更劳动合同时，未告知劳动者职业病危害真实情况的处罚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1" w:hRule="atLeast"/>
          <w:jc w:val="center"/>
        </w:trPr>
        <w:tc>
          <w:tcPr>
            <w:tcW w:w="66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427" w:type="dxa"/>
            <w:vAlign w:val="center"/>
          </w:tcPr>
          <w:p>
            <w:pPr>
              <w:spacing w:line="260" w:lineRule="exact"/>
              <w:ind w:firstLine="420" w:firstLineChars="200"/>
              <w:textAlignment w:val="center"/>
              <w:rPr>
                <w:color w:val="000000"/>
                <w:shd w:val="clear" w:color="auto" w:fill="FFFFFF"/>
              </w:rPr>
            </w:pPr>
            <w:r>
              <w:rPr>
                <w:rFonts w:hint="eastAsia" w:ascii="宋体" w:hAnsi="宋体" w:cs="宋体"/>
              </w:rPr>
              <w:t xml:space="preserve">《中华人民共和国职业病防治法》(2018修正) </w:t>
            </w:r>
            <w:r>
              <w:rPr>
                <w:color w:val="000000"/>
                <w:shd w:val="clear" w:color="auto" w:fill="FFFFFF"/>
              </w:rPr>
              <w:t>第七十一条</w:t>
            </w:r>
            <w:r>
              <w:rPr>
                <w:rFonts w:hint="eastAsia"/>
                <w:color w:val="000000"/>
                <w:shd w:val="clear" w:color="auto" w:fill="FFFFFF"/>
              </w:rPr>
              <w:t>：“</w:t>
            </w:r>
            <w:r>
              <w:rPr>
                <w:color w:val="000000"/>
                <w:shd w:val="clear" w:color="auto" w:fill="FFFFFF"/>
              </w:rPr>
              <w:t>用人单位违反本法规定，有下列行为之一的，由卫生行政部门责令限期改正，给予警告，可以并处五万元以上十万元以下的罚款</w:t>
            </w:r>
            <w:r>
              <w:rPr>
                <w:rFonts w:hint="eastAsia"/>
                <w:color w:val="000000"/>
                <w:shd w:val="clear" w:color="auto" w:fill="FFFFFF"/>
              </w:rPr>
              <w:t>，</w:t>
            </w:r>
            <w:r>
              <w:rPr>
                <w:color w:val="000000"/>
                <w:shd w:val="clear" w:color="auto" w:fill="FFFFFF"/>
              </w:rPr>
              <w:t>（一）未按照规定及时、如实向卫生行政部门申报产生职业病危害的项目的； （二）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r>
              <w:rPr>
                <w:rFonts w:hint="eastAsia"/>
                <w:color w:val="00000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1" w:hRule="exact"/>
          <w:jc w:val="center"/>
        </w:trPr>
        <w:tc>
          <w:tcPr>
            <w:tcW w:w="66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427"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35" w:hRule="atLeast"/>
          <w:jc w:val="center"/>
        </w:trPr>
        <w:tc>
          <w:tcPr>
            <w:tcW w:w="66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427" w:type="dxa"/>
            <w:vAlign w:val="center"/>
          </w:tcPr>
          <w:p>
            <w:pPr>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8" w:hRule="atLeast"/>
          <w:jc w:val="center"/>
        </w:trPr>
        <w:tc>
          <w:tcPr>
            <w:tcW w:w="66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427"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3" w:hRule="exact"/>
          <w:jc w:val="center"/>
        </w:trPr>
        <w:tc>
          <w:tcPr>
            <w:tcW w:w="66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427"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-244</w:t>
      </w:r>
    </w:p>
    <w:tbl>
      <w:tblPr>
        <w:tblStyle w:val="13"/>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1"/>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59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505"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59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50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4" w:hRule="atLeast"/>
          <w:jc w:val="center"/>
        </w:trPr>
        <w:tc>
          <w:tcPr>
            <w:tcW w:w="59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505"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对未按照规定组织职业健康检查、建立职业健康监护档案或者未将检查结果书面告知劳动者的处罚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5" w:hRule="atLeast"/>
          <w:jc w:val="center"/>
        </w:trPr>
        <w:tc>
          <w:tcPr>
            <w:tcW w:w="59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505" w:type="dxa"/>
            <w:vAlign w:val="center"/>
          </w:tcPr>
          <w:p>
            <w:pPr>
              <w:spacing w:line="260" w:lineRule="exact"/>
              <w:ind w:firstLine="420" w:firstLineChars="200"/>
              <w:textAlignment w:val="center"/>
              <w:rPr>
                <w:color w:val="000000"/>
                <w:shd w:val="clear" w:color="auto" w:fill="FFFFFF"/>
              </w:rPr>
            </w:pPr>
            <w:r>
              <w:rPr>
                <w:rFonts w:hint="eastAsia" w:ascii="宋体" w:hAnsi="宋体" w:cs="宋体"/>
              </w:rPr>
              <w:t xml:space="preserve">《中华人民共和国职业病防治法》(2018修正) </w:t>
            </w:r>
            <w:r>
              <w:rPr>
                <w:color w:val="000000"/>
                <w:shd w:val="clear" w:color="auto" w:fill="FFFFFF"/>
              </w:rPr>
              <w:t>第七十一条</w:t>
            </w:r>
            <w:r>
              <w:rPr>
                <w:rFonts w:hint="eastAsia"/>
                <w:color w:val="000000"/>
                <w:shd w:val="clear" w:color="auto" w:fill="FFFFFF"/>
              </w:rPr>
              <w:t>：“</w:t>
            </w:r>
            <w:r>
              <w:rPr>
                <w:color w:val="000000"/>
                <w:shd w:val="clear" w:color="auto" w:fill="FFFFFF"/>
              </w:rPr>
              <w:t>用人单位违反本法规定，有下列行为之一的，由卫生行政部门责令限期改正，给予警告，可以并处五万元以上十万元以下的罚款</w:t>
            </w:r>
            <w:r>
              <w:rPr>
                <w:rFonts w:hint="eastAsia"/>
                <w:color w:val="000000"/>
                <w:shd w:val="clear" w:color="auto" w:fill="FFFFFF"/>
              </w:rPr>
              <w:t>，</w:t>
            </w:r>
            <w:r>
              <w:rPr>
                <w:color w:val="000000"/>
                <w:shd w:val="clear" w:color="auto" w:fill="FFFFFF"/>
              </w:rPr>
              <w:t>（一）未按照规定及时、如实向卫生行政部门申报产生职业病危害的项目的； （二）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r>
              <w:rPr>
                <w:rFonts w:hint="eastAsia"/>
                <w:color w:val="00000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7" w:hRule="atLeast"/>
          <w:jc w:val="center"/>
        </w:trPr>
        <w:tc>
          <w:tcPr>
            <w:tcW w:w="59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505"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41" w:hRule="atLeast"/>
          <w:jc w:val="center"/>
        </w:trPr>
        <w:tc>
          <w:tcPr>
            <w:tcW w:w="59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505" w:type="dxa"/>
            <w:vAlign w:val="center"/>
          </w:tcPr>
          <w:p>
            <w:pPr>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6" w:hRule="atLeast"/>
          <w:jc w:val="center"/>
        </w:trPr>
        <w:tc>
          <w:tcPr>
            <w:tcW w:w="59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505"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3" w:hRule="exact"/>
          <w:jc w:val="center"/>
        </w:trPr>
        <w:tc>
          <w:tcPr>
            <w:tcW w:w="59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505" w:type="dxa"/>
            <w:vAlign w:val="center"/>
          </w:tcPr>
          <w:p>
            <w:pPr>
              <w:spacing w:line="260" w:lineRule="exact"/>
              <w:jc w:val="center"/>
              <w:textAlignment w:val="center"/>
              <w:rPr>
                <w:color w:val="000000"/>
                <w:shd w:val="clear" w:color="auto" w:fill="FFFFFF"/>
              </w:rPr>
            </w:pPr>
            <w:r>
              <w:rPr>
                <w:color w:val="000000"/>
                <w:shd w:val="clear" w:color="auto" w:fill="FFFFFF"/>
              </w:rPr>
              <w:t>0817--33</w:t>
            </w:r>
            <w:r>
              <w:rPr>
                <w:rFonts w:hint="eastAsia"/>
                <w:color w:val="000000"/>
                <w:shd w:val="clear" w:color="auto" w:fill="FFFFFF"/>
              </w:rPr>
              <w:t>33171</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-245</w:t>
      </w:r>
    </w:p>
    <w:tbl>
      <w:tblPr>
        <w:tblStyle w:val="13"/>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9"/>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56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523"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6" w:hRule="exact"/>
          <w:jc w:val="center"/>
        </w:trPr>
        <w:tc>
          <w:tcPr>
            <w:tcW w:w="56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52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exact"/>
          <w:jc w:val="center"/>
        </w:trPr>
        <w:tc>
          <w:tcPr>
            <w:tcW w:w="56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523"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对未依照规定在劳动者离开用人单位时提供职业健康监护档案复印件的处罚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3" w:hRule="atLeast"/>
          <w:jc w:val="center"/>
        </w:trPr>
        <w:tc>
          <w:tcPr>
            <w:tcW w:w="56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523" w:type="dxa"/>
            <w:vAlign w:val="center"/>
          </w:tcPr>
          <w:p>
            <w:pPr>
              <w:spacing w:line="260" w:lineRule="exact"/>
              <w:ind w:firstLine="420" w:firstLineChars="200"/>
              <w:textAlignment w:val="center"/>
              <w:rPr>
                <w:color w:val="000000"/>
                <w:shd w:val="clear" w:color="auto" w:fill="FFFFFF"/>
              </w:rPr>
            </w:pPr>
            <w:r>
              <w:rPr>
                <w:rFonts w:hint="eastAsia" w:ascii="宋体" w:hAnsi="宋体" w:cs="宋体"/>
              </w:rPr>
              <w:t xml:space="preserve">《中华人民共和国职业病防治法》(2018修正) </w:t>
            </w:r>
            <w:r>
              <w:rPr>
                <w:color w:val="000000"/>
                <w:shd w:val="clear" w:color="auto" w:fill="FFFFFF"/>
              </w:rPr>
              <w:t>第七十一条</w:t>
            </w:r>
            <w:r>
              <w:rPr>
                <w:rFonts w:hint="eastAsia"/>
                <w:color w:val="000000"/>
                <w:shd w:val="clear" w:color="auto" w:fill="FFFFFF"/>
              </w:rPr>
              <w:t>：“</w:t>
            </w:r>
            <w:r>
              <w:rPr>
                <w:color w:val="000000"/>
                <w:shd w:val="clear" w:color="auto" w:fill="FFFFFF"/>
              </w:rPr>
              <w:t>用人单位违反本法规定，有下列行为之一的，由卫生行政部门责令限期改正，给予警告，可以并处五万元以上十万元以下的罚款</w:t>
            </w:r>
            <w:r>
              <w:rPr>
                <w:rFonts w:hint="eastAsia"/>
                <w:color w:val="000000"/>
                <w:shd w:val="clear" w:color="auto" w:fill="FFFFFF"/>
              </w:rPr>
              <w:t>，</w:t>
            </w:r>
            <w:r>
              <w:rPr>
                <w:color w:val="000000"/>
                <w:shd w:val="clear" w:color="auto" w:fill="FFFFFF"/>
              </w:rPr>
              <w:t>（一）未按照规定及时、如实向卫生行政部门申报产生职业病危害的项目的； （二）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r>
              <w:rPr>
                <w:rFonts w:hint="eastAsia"/>
                <w:color w:val="00000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1" w:hRule="exact"/>
          <w:jc w:val="center"/>
        </w:trPr>
        <w:tc>
          <w:tcPr>
            <w:tcW w:w="56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523"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37" w:hRule="atLeast"/>
          <w:jc w:val="center"/>
        </w:trPr>
        <w:tc>
          <w:tcPr>
            <w:tcW w:w="56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523" w:type="dxa"/>
            <w:vAlign w:val="center"/>
          </w:tcPr>
          <w:p>
            <w:pPr>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1" w:hRule="atLeast"/>
          <w:jc w:val="center"/>
        </w:trPr>
        <w:tc>
          <w:tcPr>
            <w:tcW w:w="56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523"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exact"/>
          <w:jc w:val="center"/>
        </w:trPr>
        <w:tc>
          <w:tcPr>
            <w:tcW w:w="56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523"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-246</w:t>
      </w: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0"/>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540"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520"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8" w:hRule="exact"/>
          <w:jc w:val="center"/>
        </w:trPr>
        <w:tc>
          <w:tcPr>
            <w:tcW w:w="540"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520"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4" w:hRule="exact"/>
          <w:jc w:val="center"/>
        </w:trPr>
        <w:tc>
          <w:tcPr>
            <w:tcW w:w="540"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520"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对工作场所职业病危害因素的强度或者浓度超过国家职业卫生标准的处罚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5" w:hRule="atLeast"/>
          <w:jc w:val="center"/>
        </w:trPr>
        <w:tc>
          <w:tcPr>
            <w:tcW w:w="540"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520" w:type="dxa"/>
            <w:vAlign w:val="center"/>
          </w:tcPr>
          <w:p>
            <w:pPr>
              <w:spacing w:line="260" w:lineRule="exact"/>
              <w:ind w:firstLine="420" w:firstLineChars="200"/>
              <w:jc w:val="center"/>
              <w:textAlignment w:val="center"/>
              <w:rPr>
                <w:color w:val="000000"/>
                <w:shd w:val="clear" w:color="auto" w:fill="FFFFFF"/>
              </w:rPr>
            </w:pPr>
            <w:r>
              <w:rPr>
                <w:rFonts w:hAnsi="宋体"/>
                <w:color w:val="000000"/>
                <w:shd w:val="clear" w:color="auto" w:fill="FFFFFF"/>
              </w:rPr>
              <w:t>《中华人民共和国职业病防治法》</w:t>
            </w:r>
            <w:r>
              <w:rPr>
                <w:rFonts w:hint="eastAsia" w:ascii="宋体" w:hAnsi="宋体" w:cs="宋体"/>
              </w:rPr>
              <w:t xml:space="preserve">(2018修正) </w:t>
            </w:r>
            <w:r>
              <w:rPr>
                <w:rFonts w:hint="eastAsia" w:hAnsi="宋体"/>
                <w:color w:val="000000"/>
                <w:shd w:val="clear" w:color="auto" w:fill="FFFFFF"/>
              </w:rPr>
              <w:t>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 （二）未提供职业病防护设施和个人使用的职业病防护用品，或者提供的职业病防护设施和个人使用的职业病防护用品不符合国家职业卫生标准和卫生要求的。”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2" w:hRule="exact"/>
          <w:jc w:val="center"/>
        </w:trPr>
        <w:tc>
          <w:tcPr>
            <w:tcW w:w="540"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520"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7" w:hRule="atLeast"/>
          <w:jc w:val="center"/>
        </w:trPr>
        <w:tc>
          <w:tcPr>
            <w:tcW w:w="540"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520" w:type="dxa"/>
            <w:vAlign w:val="center"/>
          </w:tcPr>
          <w:p>
            <w:pPr>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6" w:hRule="atLeast"/>
          <w:jc w:val="center"/>
        </w:trPr>
        <w:tc>
          <w:tcPr>
            <w:tcW w:w="540"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520"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0" w:hRule="exact"/>
          <w:jc w:val="center"/>
        </w:trPr>
        <w:tc>
          <w:tcPr>
            <w:tcW w:w="540"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520"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-247</w:t>
      </w:r>
    </w:p>
    <w:tbl>
      <w:tblPr>
        <w:tblStyle w:val="13"/>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5"/>
        <w:gridCol w:w="8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4" w:hRule="exact"/>
          <w:jc w:val="center"/>
        </w:trPr>
        <w:tc>
          <w:tcPr>
            <w:tcW w:w="60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489"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5" w:hRule="atLeast"/>
          <w:jc w:val="center"/>
        </w:trPr>
        <w:tc>
          <w:tcPr>
            <w:tcW w:w="60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48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60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489"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对未提供职业病防护设施和个人使用的职业病防护用品，或者提供的职业病防护设施和个人使用的职业病防护用品不符合国家职业卫生标准和卫生要求的处罚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2" w:hRule="atLeast"/>
          <w:jc w:val="center"/>
        </w:trPr>
        <w:tc>
          <w:tcPr>
            <w:tcW w:w="60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489" w:type="dxa"/>
            <w:vAlign w:val="center"/>
          </w:tcPr>
          <w:p>
            <w:pPr>
              <w:spacing w:line="260" w:lineRule="exact"/>
              <w:ind w:firstLine="420" w:firstLineChars="200"/>
              <w:textAlignment w:val="center"/>
              <w:rPr>
                <w:color w:val="000000"/>
                <w:shd w:val="clear" w:color="auto" w:fill="FFFFFF"/>
              </w:rPr>
            </w:pPr>
            <w:r>
              <w:rPr>
                <w:rFonts w:hAnsi="宋体"/>
                <w:color w:val="000000"/>
                <w:shd w:val="clear" w:color="auto" w:fill="FFFFFF"/>
              </w:rPr>
              <w:t>《中华人民共和国职业病防治法》</w:t>
            </w:r>
            <w:r>
              <w:rPr>
                <w:rFonts w:hint="eastAsia" w:ascii="宋体" w:hAnsi="宋体" w:cs="宋体"/>
              </w:rPr>
              <w:t xml:space="preserve">(2018修正) </w:t>
            </w:r>
            <w:r>
              <w:rPr>
                <w:rFonts w:hint="eastAsia" w:hAnsi="宋体"/>
                <w:color w:val="000000"/>
                <w:shd w:val="clear" w:color="auto" w:fill="FFFFFF"/>
              </w:rPr>
              <w:t>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 （二）未提供职业病防护设施和个人使用的职业病防护用品，或者提供的职业病防护设施和个人使用的职业病防护用品不符合国家职业卫生标准和卫生要求的。”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4" w:hRule="exact"/>
          <w:jc w:val="center"/>
        </w:trPr>
        <w:tc>
          <w:tcPr>
            <w:tcW w:w="605"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责任主体</w:t>
            </w:r>
          </w:p>
        </w:tc>
        <w:tc>
          <w:tcPr>
            <w:tcW w:w="8489" w:type="dxa"/>
            <w:vAlign w:val="center"/>
          </w:tcPr>
          <w:p>
            <w:pPr>
              <w:spacing w:line="24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1" w:hRule="atLeast"/>
          <w:jc w:val="center"/>
        </w:trPr>
        <w:tc>
          <w:tcPr>
            <w:tcW w:w="605"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责任事项</w:t>
            </w:r>
          </w:p>
        </w:tc>
        <w:tc>
          <w:tcPr>
            <w:tcW w:w="8489" w:type="dxa"/>
            <w:vAlign w:val="center"/>
          </w:tcPr>
          <w:p>
            <w:pPr>
              <w:spacing w:line="24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4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4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4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4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4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4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4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5" w:hRule="atLeast"/>
          <w:jc w:val="center"/>
        </w:trPr>
        <w:tc>
          <w:tcPr>
            <w:tcW w:w="605"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追责情形</w:t>
            </w:r>
          </w:p>
        </w:tc>
        <w:tc>
          <w:tcPr>
            <w:tcW w:w="8489" w:type="dxa"/>
            <w:vAlign w:val="center"/>
          </w:tcPr>
          <w:p>
            <w:pPr>
              <w:spacing w:line="24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3" w:hRule="exact"/>
          <w:jc w:val="center"/>
        </w:trPr>
        <w:tc>
          <w:tcPr>
            <w:tcW w:w="605"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监督电话</w:t>
            </w:r>
          </w:p>
        </w:tc>
        <w:tc>
          <w:tcPr>
            <w:tcW w:w="8489" w:type="dxa"/>
            <w:vAlign w:val="center"/>
          </w:tcPr>
          <w:p>
            <w:pPr>
              <w:spacing w:line="240" w:lineRule="exact"/>
              <w:jc w:val="center"/>
              <w:textAlignment w:val="center"/>
              <w:rPr>
                <w:color w:val="000000"/>
                <w:shd w:val="clear" w:color="auto" w:fill="FFFFFF"/>
              </w:rPr>
            </w:pPr>
            <w:r>
              <w:rPr>
                <w:color w:val="000000"/>
                <w:shd w:val="clear" w:color="auto" w:fill="FFFFFF"/>
              </w:rPr>
              <w:t>12345</w:t>
            </w:r>
          </w:p>
        </w:tc>
      </w:tr>
    </w:tbl>
    <w:p>
      <w:pPr>
        <w:spacing w:line="24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-248</w:t>
      </w:r>
      <w:r>
        <w:rPr>
          <w:color w:val="000000"/>
          <w:shd w:val="clear" w:color="auto" w:fill="FFFFFF"/>
        </w:rPr>
        <w:tab/>
      </w:r>
    </w:p>
    <w:tbl>
      <w:tblPr>
        <w:tblStyle w:val="13"/>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8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exact"/>
          <w:jc w:val="center"/>
        </w:trPr>
        <w:tc>
          <w:tcPr>
            <w:tcW w:w="567"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序号</w:t>
            </w:r>
          </w:p>
        </w:tc>
        <w:tc>
          <w:tcPr>
            <w:tcW w:w="8514" w:type="dxa"/>
            <w:vAlign w:val="center"/>
          </w:tcPr>
          <w:p>
            <w:pPr>
              <w:spacing w:line="240" w:lineRule="exact"/>
              <w:jc w:val="center"/>
              <w:textAlignment w:val="center"/>
              <w:rPr>
                <w:color w:val="000000"/>
                <w:shd w:val="clear" w:color="auto" w:fill="FFFFFF"/>
              </w:rPr>
            </w:pPr>
            <w:r>
              <w:rPr>
                <w:rFonts w:hint="eastAsia"/>
                <w:color w:val="000000"/>
                <w:shd w:val="clear" w:color="auto" w:fill="FFFFFF"/>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8" w:hRule="exact"/>
          <w:jc w:val="center"/>
        </w:trPr>
        <w:tc>
          <w:tcPr>
            <w:tcW w:w="567"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权力类型</w:t>
            </w:r>
          </w:p>
        </w:tc>
        <w:tc>
          <w:tcPr>
            <w:tcW w:w="8514"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4" w:hRule="atLeast"/>
          <w:jc w:val="center"/>
        </w:trPr>
        <w:tc>
          <w:tcPr>
            <w:tcW w:w="567"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权力项目名称</w:t>
            </w:r>
          </w:p>
        </w:tc>
        <w:tc>
          <w:tcPr>
            <w:tcW w:w="8514" w:type="dxa"/>
            <w:vAlign w:val="center"/>
          </w:tcPr>
          <w:p>
            <w:pPr>
              <w:spacing w:line="240" w:lineRule="exact"/>
              <w:ind w:firstLine="420" w:firstLineChars="200"/>
              <w:textAlignment w:val="center"/>
              <w:rPr>
                <w:color w:val="000000"/>
                <w:shd w:val="clear" w:color="auto" w:fill="FFFFFF"/>
              </w:rPr>
            </w:pPr>
            <w:r>
              <w:rPr>
                <w:rFonts w:hint="eastAsia" w:hAnsi="宋体"/>
                <w:color w:val="000000"/>
                <w:shd w:val="clear" w:color="auto" w:fill="FFFFFF"/>
              </w:rPr>
              <w:t>对职业病防护设备、应急救援设施和个人使用的职业病防护用品未按照规定进行维护、检修、检测，或者不能保持正常运行、使用状态的处罚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5" w:hRule="atLeast"/>
          <w:jc w:val="center"/>
        </w:trPr>
        <w:tc>
          <w:tcPr>
            <w:tcW w:w="567"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实施依据</w:t>
            </w:r>
          </w:p>
        </w:tc>
        <w:tc>
          <w:tcPr>
            <w:tcW w:w="8514" w:type="dxa"/>
            <w:vAlign w:val="center"/>
          </w:tcPr>
          <w:p>
            <w:pPr>
              <w:spacing w:line="240" w:lineRule="exact"/>
              <w:ind w:firstLine="420" w:firstLineChars="200"/>
              <w:textAlignment w:val="center"/>
              <w:rPr>
                <w:color w:val="000000"/>
                <w:kern w:val="0"/>
                <w:shd w:val="clear" w:color="auto" w:fill="FFFFFF"/>
              </w:rPr>
            </w:pPr>
            <w:r>
              <w:rPr>
                <w:rFonts w:hAnsi="宋体"/>
                <w:color w:val="000000"/>
                <w:shd w:val="clear" w:color="auto" w:fill="FFFFFF"/>
              </w:rPr>
              <w:t>《中华人民共和国职业病防治法》</w:t>
            </w:r>
            <w:r>
              <w:rPr>
                <w:rFonts w:hint="eastAsia" w:ascii="宋体" w:hAnsi="宋体" w:cs="宋体"/>
              </w:rPr>
              <w:t xml:space="preserve">(2018修正) </w:t>
            </w:r>
            <w:r>
              <w:rPr>
                <w:rFonts w:hint="eastAsia" w:hAnsi="宋体"/>
                <w:color w:val="000000"/>
                <w:shd w:val="clear" w:color="auto" w:fill="FFFFFF"/>
              </w:rPr>
              <w:t>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 （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或者不能保持正常运行、使用状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67"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责任主体</w:t>
            </w:r>
          </w:p>
        </w:tc>
        <w:tc>
          <w:tcPr>
            <w:tcW w:w="8514" w:type="dxa"/>
            <w:vAlign w:val="center"/>
          </w:tcPr>
          <w:p>
            <w:pPr>
              <w:spacing w:line="24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22" w:hRule="atLeast"/>
          <w:jc w:val="center"/>
        </w:trPr>
        <w:tc>
          <w:tcPr>
            <w:tcW w:w="567"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责任事项</w:t>
            </w:r>
          </w:p>
        </w:tc>
        <w:tc>
          <w:tcPr>
            <w:tcW w:w="8514" w:type="dxa"/>
            <w:vAlign w:val="center"/>
          </w:tcPr>
          <w:p>
            <w:pPr>
              <w:spacing w:line="24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4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4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4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4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4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4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4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atLeast"/>
          <w:jc w:val="center"/>
        </w:trPr>
        <w:tc>
          <w:tcPr>
            <w:tcW w:w="56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514"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1" w:hRule="atLeast"/>
          <w:jc w:val="center"/>
        </w:trPr>
        <w:tc>
          <w:tcPr>
            <w:tcW w:w="56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514"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-249</w:t>
      </w:r>
    </w:p>
    <w:tbl>
      <w:tblPr>
        <w:tblStyle w:val="13"/>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1"/>
        <w:gridCol w:w="8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6" w:hRule="exact"/>
          <w:jc w:val="center"/>
        </w:trPr>
        <w:tc>
          <w:tcPr>
            <w:tcW w:w="65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445"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exact"/>
          <w:jc w:val="center"/>
        </w:trPr>
        <w:tc>
          <w:tcPr>
            <w:tcW w:w="65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44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9" w:hRule="exact"/>
          <w:jc w:val="center"/>
        </w:trPr>
        <w:tc>
          <w:tcPr>
            <w:tcW w:w="65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445"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对未按照规定对工作场所职业病危害因素进行检测、评价的处罚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9" w:hRule="atLeast"/>
          <w:jc w:val="center"/>
        </w:trPr>
        <w:tc>
          <w:tcPr>
            <w:tcW w:w="65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445" w:type="dxa"/>
            <w:vAlign w:val="center"/>
          </w:tcPr>
          <w:p>
            <w:pPr>
              <w:spacing w:line="260" w:lineRule="exact"/>
              <w:ind w:firstLine="420" w:firstLineChars="200"/>
              <w:textAlignment w:val="center"/>
              <w:rPr>
                <w:color w:val="000000"/>
                <w:shd w:val="clear" w:color="auto" w:fill="FFFFFF"/>
              </w:rPr>
            </w:pPr>
            <w:r>
              <w:rPr>
                <w:rFonts w:hAnsi="宋体"/>
                <w:color w:val="000000"/>
                <w:shd w:val="clear" w:color="auto" w:fill="FFFFFF"/>
              </w:rPr>
              <w:t>《中华人民共和国职业病防治法》</w:t>
            </w:r>
            <w:r>
              <w:rPr>
                <w:rFonts w:hint="eastAsia" w:ascii="宋体" w:hAnsi="宋体" w:cs="宋体"/>
              </w:rPr>
              <w:t xml:space="preserve">(2018修正) </w:t>
            </w:r>
            <w:r>
              <w:rPr>
                <w:rFonts w:hint="eastAsia" w:hAnsi="宋体"/>
                <w:color w:val="000000"/>
                <w:shd w:val="clear" w:color="auto" w:fill="FFFFFF"/>
              </w:rPr>
              <w:t>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对职业病防护设备、应急救援设施和个人使用的职业病防护用品未按照规定进行维护、检修、检测，或者不能保持正常运行、使用状态的；（四）未按照规定对工作场所职业病危害因素进行检测、评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exact"/>
          <w:jc w:val="center"/>
        </w:trPr>
        <w:tc>
          <w:tcPr>
            <w:tcW w:w="65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445"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98" w:hRule="atLeast"/>
          <w:jc w:val="center"/>
        </w:trPr>
        <w:tc>
          <w:tcPr>
            <w:tcW w:w="65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445" w:type="dxa"/>
            <w:vAlign w:val="center"/>
          </w:tcPr>
          <w:p>
            <w:pPr>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2" w:hRule="atLeast"/>
          <w:jc w:val="center"/>
        </w:trPr>
        <w:tc>
          <w:tcPr>
            <w:tcW w:w="65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445"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8" w:hRule="atLeast"/>
          <w:jc w:val="center"/>
        </w:trPr>
        <w:tc>
          <w:tcPr>
            <w:tcW w:w="65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445"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-250</w:t>
      </w:r>
    </w:p>
    <w:tbl>
      <w:tblPr>
        <w:tblStyle w:val="13"/>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2"/>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53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460"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8" w:hRule="exact"/>
          <w:jc w:val="center"/>
        </w:trPr>
        <w:tc>
          <w:tcPr>
            <w:tcW w:w="53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460"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7" w:hRule="atLeast"/>
          <w:jc w:val="center"/>
        </w:trPr>
        <w:tc>
          <w:tcPr>
            <w:tcW w:w="53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460"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对工作场所职业病危害因素经治理仍然达不到国家职业卫生标准和卫生要求时，未停止存在职业病危害因素的作业的处罚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97" w:hRule="atLeast"/>
          <w:jc w:val="center"/>
        </w:trPr>
        <w:tc>
          <w:tcPr>
            <w:tcW w:w="53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460" w:type="dxa"/>
            <w:vAlign w:val="center"/>
          </w:tcPr>
          <w:p>
            <w:pPr>
              <w:spacing w:line="260" w:lineRule="exact"/>
              <w:ind w:firstLine="420" w:firstLineChars="200"/>
              <w:textAlignment w:val="center"/>
              <w:rPr>
                <w:color w:val="000000"/>
                <w:shd w:val="clear" w:color="auto" w:fill="FFFFFF"/>
              </w:rPr>
            </w:pPr>
            <w:r>
              <w:rPr>
                <w:rFonts w:hAnsi="宋体"/>
                <w:color w:val="000000"/>
                <w:shd w:val="clear" w:color="auto" w:fill="FFFFFF"/>
              </w:rPr>
              <w:t>《中华人民共和国职业病防治法》</w:t>
            </w:r>
            <w:r>
              <w:rPr>
                <w:rFonts w:hint="eastAsia" w:ascii="宋体" w:hAnsi="宋体" w:cs="宋体"/>
              </w:rPr>
              <w:t xml:space="preserve">(2018修正) </w:t>
            </w:r>
            <w:r>
              <w:rPr>
                <w:rFonts w:hint="eastAsia" w:hAnsi="宋体"/>
                <w:color w:val="000000"/>
                <w:shd w:val="clear" w:color="auto" w:fill="FFFFFF"/>
              </w:rPr>
              <w:t>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对职业病防护设备、应急救援设施和个人使用的职业病防护用品未按照规定进行维护、检修、检测，或者不能保持正常运行、使用状态的；（四）未按照规定对工作场所职业病危害因素进行检测、评价的;（五）工作场所职业病危害因素经治理仍然达不到国家职业卫生标准和卫生要求时，未停止存在职业病危害因素的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exact"/>
          <w:jc w:val="center"/>
        </w:trPr>
        <w:tc>
          <w:tcPr>
            <w:tcW w:w="53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460"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30" w:hRule="atLeast"/>
          <w:jc w:val="center"/>
        </w:trPr>
        <w:tc>
          <w:tcPr>
            <w:tcW w:w="53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460" w:type="dxa"/>
            <w:vAlign w:val="center"/>
          </w:tcPr>
          <w:p>
            <w:pPr>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6" w:hRule="atLeast"/>
          <w:jc w:val="center"/>
        </w:trPr>
        <w:tc>
          <w:tcPr>
            <w:tcW w:w="53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460"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exact"/>
          <w:jc w:val="center"/>
        </w:trPr>
        <w:tc>
          <w:tcPr>
            <w:tcW w:w="53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460"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-251</w:t>
      </w:r>
    </w:p>
    <w:tbl>
      <w:tblPr>
        <w:tblStyle w:val="13"/>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4"/>
        <w:gridCol w:w="8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634"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408"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3" w:hRule="exact"/>
          <w:jc w:val="center"/>
        </w:trPr>
        <w:tc>
          <w:tcPr>
            <w:tcW w:w="634"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408"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9" w:hRule="exact"/>
          <w:jc w:val="center"/>
        </w:trPr>
        <w:tc>
          <w:tcPr>
            <w:tcW w:w="634"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408"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对未按照规定安排职业病病人、疑似职业病病人进行诊治的处罚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3" w:hRule="atLeast"/>
          <w:jc w:val="center"/>
        </w:trPr>
        <w:tc>
          <w:tcPr>
            <w:tcW w:w="634"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408" w:type="dxa"/>
            <w:vAlign w:val="center"/>
          </w:tcPr>
          <w:p>
            <w:pPr>
              <w:spacing w:line="260" w:lineRule="exact"/>
              <w:ind w:firstLine="420" w:firstLineChars="200"/>
              <w:textAlignment w:val="center"/>
              <w:rPr>
                <w:color w:val="000000"/>
                <w:kern w:val="0"/>
                <w:shd w:val="clear" w:color="auto" w:fill="FFFFFF"/>
              </w:rPr>
            </w:pPr>
            <w:r>
              <w:rPr>
                <w:rFonts w:hAnsi="宋体"/>
                <w:color w:val="000000"/>
                <w:shd w:val="clear" w:color="auto" w:fill="FFFFFF"/>
              </w:rPr>
              <w:t>《中华人民共和国职业病防治法》</w:t>
            </w:r>
            <w:r>
              <w:rPr>
                <w:rFonts w:hint="eastAsia" w:ascii="宋体" w:hAnsi="宋体" w:cs="宋体"/>
              </w:rPr>
              <w:t xml:space="preserve">(2018修正) </w:t>
            </w:r>
            <w:r>
              <w:rPr>
                <w:rFonts w:hint="eastAsia" w:hAnsi="宋体"/>
                <w:color w:val="000000"/>
                <w:shd w:val="clear" w:color="auto" w:fill="FFFFFF"/>
              </w:rPr>
              <w:t>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的；（六）未按照规定安排职业病病人、疑似职业病病人进行诊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1" w:hRule="exact"/>
          <w:jc w:val="center"/>
        </w:trPr>
        <w:tc>
          <w:tcPr>
            <w:tcW w:w="634"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责任主体</w:t>
            </w:r>
          </w:p>
        </w:tc>
        <w:tc>
          <w:tcPr>
            <w:tcW w:w="8408" w:type="dxa"/>
            <w:vAlign w:val="center"/>
          </w:tcPr>
          <w:p>
            <w:pPr>
              <w:spacing w:line="24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3" w:hRule="atLeast"/>
          <w:jc w:val="center"/>
        </w:trPr>
        <w:tc>
          <w:tcPr>
            <w:tcW w:w="634"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责任事项</w:t>
            </w:r>
          </w:p>
        </w:tc>
        <w:tc>
          <w:tcPr>
            <w:tcW w:w="8408" w:type="dxa"/>
            <w:vAlign w:val="center"/>
          </w:tcPr>
          <w:p>
            <w:pPr>
              <w:spacing w:line="24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4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4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4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4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4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4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4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2" w:hRule="atLeast"/>
          <w:jc w:val="center"/>
        </w:trPr>
        <w:tc>
          <w:tcPr>
            <w:tcW w:w="634"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追责情形</w:t>
            </w:r>
          </w:p>
        </w:tc>
        <w:tc>
          <w:tcPr>
            <w:tcW w:w="8408" w:type="dxa"/>
            <w:vAlign w:val="center"/>
          </w:tcPr>
          <w:p>
            <w:pPr>
              <w:spacing w:line="24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2" w:hRule="atLeast"/>
          <w:jc w:val="center"/>
        </w:trPr>
        <w:tc>
          <w:tcPr>
            <w:tcW w:w="634"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监督电话</w:t>
            </w:r>
          </w:p>
        </w:tc>
        <w:tc>
          <w:tcPr>
            <w:tcW w:w="8408" w:type="dxa"/>
            <w:vAlign w:val="center"/>
          </w:tcPr>
          <w:p>
            <w:pPr>
              <w:spacing w:line="240" w:lineRule="exact"/>
              <w:jc w:val="center"/>
              <w:textAlignment w:val="center"/>
              <w:rPr>
                <w:color w:val="000000"/>
                <w:shd w:val="clear" w:color="auto" w:fill="FFFFFF"/>
              </w:rPr>
            </w:pPr>
            <w:r>
              <w:rPr>
                <w:color w:val="000000"/>
                <w:shd w:val="clear" w:color="auto" w:fill="FFFFFF"/>
              </w:rPr>
              <w:t>12345</w:t>
            </w:r>
          </w:p>
        </w:tc>
      </w:tr>
    </w:tbl>
    <w:p>
      <w:pPr>
        <w:spacing w:line="24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-252</w:t>
      </w:r>
    </w:p>
    <w:tbl>
      <w:tblPr>
        <w:tblStyle w:val="13"/>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5"/>
        <w:gridCol w:w="8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605"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序号</w:t>
            </w:r>
          </w:p>
        </w:tc>
        <w:tc>
          <w:tcPr>
            <w:tcW w:w="8482" w:type="dxa"/>
            <w:vAlign w:val="center"/>
          </w:tcPr>
          <w:p>
            <w:pPr>
              <w:spacing w:line="240" w:lineRule="exact"/>
              <w:jc w:val="center"/>
              <w:textAlignment w:val="center"/>
              <w:rPr>
                <w:color w:val="000000"/>
                <w:shd w:val="clear" w:color="auto" w:fill="FFFFFF"/>
              </w:rPr>
            </w:pPr>
            <w:r>
              <w:rPr>
                <w:rFonts w:hint="eastAsia"/>
                <w:color w:val="000000"/>
                <w:shd w:val="clear" w:color="auto" w:fill="FFFFFF"/>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exact"/>
          <w:jc w:val="center"/>
        </w:trPr>
        <w:tc>
          <w:tcPr>
            <w:tcW w:w="605"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权力类型</w:t>
            </w:r>
          </w:p>
        </w:tc>
        <w:tc>
          <w:tcPr>
            <w:tcW w:w="8482"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8" w:hRule="atLeast"/>
          <w:jc w:val="center"/>
        </w:trPr>
        <w:tc>
          <w:tcPr>
            <w:tcW w:w="605"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权力项目名称</w:t>
            </w:r>
          </w:p>
        </w:tc>
        <w:tc>
          <w:tcPr>
            <w:tcW w:w="8482" w:type="dxa"/>
            <w:vAlign w:val="center"/>
          </w:tcPr>
          <w:p>
            <w:pPr>
              <w:spacing w:line="240" w:lineRule="exact"/>
              <w:ind w:firstLine="420" w:firstLineChars="200"/>
              <w:textAlignment w:val="center"/>
              <w:rPr>
                <w:color w:val="000000"/>
                <w:shd w:val="clear" w:color="auto" w:fill="FFFFFF"/>
              </w:rPr>
            </w:pPr>
            <w:r>
              <w:rPr>
                <w:rFonts w:hint="eastAsia" w:hAnsi="宋体"/>
                <w:color w:val="000000"/>
                <w:shd w:val="clear" w:color="auto" w:fill="FFFFFF"/>
              </w:rPr>
              <w:t>对发生或者可能发生急性职业病危害事故时，未立即采取应急救援和控制措施或者未按照规定及时报告的处罚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605"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实施依据</w:t>
            </w:r>
          </w:p>
        </w:tc>
        <w:tc>
          <w:tcPr>
            <w:tcW w:w="8482" w:type="dxa"/>
            <w:vAlign w:val="center"/>
          </w:tcPr>
          <w:p>
            <w:pPr>
              <w:spacing w:line="240" w:lineRule="exact"/>
              <w:ind w:firstLine="420" w:firstLineChars="200"/>
              <w:textAlignment w:val="center"/>
              <w:rPr>
                <w:color w:val="000000"/>
                <w:kern w:val="0"/>
                <w:shd w:val="clear" w:color="auto" w:fill="FFFFFF"/>
              </w:rPr>
            </w:pPr>
            <w:r>
              <w:rPr>
                <w:rFonts w:hAnsi="宋体"/>
                <w:color w:val="000000"/>
                <w:shd w:val="clear" w:color="auto" w:fill="FFFFFF"/>
              </w:rPr>
              <w:t>《中华人民共和国职业病防治法》</w:t>
            </w:r>
            <w:r>
              <w:rPr>
                <w:rFonts w:hint="eastAsia" w:ascii="宋体" w:hAnsi="宋体" w:cs="宋体"/>
              </w:rPr>
              <w:t xml:space="preserve">(2018修正) </w:t>
            </w:r>
            <w:r>
              <w:rPr>
                <w:rFonts w:hint="eastAsia" w:hAnsi="宋体"/>
                <w:color w:val="000000"/>
                <w:shd w:val="clear" w:color="auto" w:fill="FFFFFF"/>
              </w:rPr>
              <w:t>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未按照规定安排职业病病人、疑似职业病病人进行诊治的；（七）发生或者可能发生急性职业病危害事故时，未立即采取应急救援和控制措施或者未按照规定及时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5" w:hRule="exact"/>
          <w:jc w:val="center"/>
        </w:trPr>
        <w:tc>
          <w:tcPr>
            <w:tcW w:w="605"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责任主体</w:t>
            </w:r>
          </w:p>
        </w:tc>
        <w:tc>
          <w:tcPr>
            <w:tcW w:w="8482" w:type="dxa"/>
            <w:vAlign w:val="center"/>
          </w:tcPr>
          <w:p>
            <w:pPr>
              <w:spacing w:line="24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25" w:hRule="atLeast"/>
          <w:jc w:val="center"/>
        </w:trPr>
        <w:tc>
          <w:tcPr>
            <w:tcW w:w="605"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责任事项</w:t>
            </w:r>
          </w:p>
        </w:tc>
        <w:tc>
          <w:tcPr>
            <w:tcW w:w="8482" w:type="dxa"/>
            <w:vAlign w:val="center"/>
          </w:tcPr>
          <w:p>
            <w:pPr>
              <w:spacing w:line="24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4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4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4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4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4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4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4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jc w:val="center"/>
        </w:trPr>
        <w:tc>
          <w:tcPr>
            <w:tcW w:w="605"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追责情形</w:t>
            </w:r>
          </w:p>
        </w:tc>
        <w:tc>
          <w:tcPr>
            <w:tcW w:w="8482" w:type="dxa"/>
            <w:vAlign w:val="center"/>
          </w:tcPr>
          <w:p>
            <w:pPr>
              <w:spacing w:line="24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60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482"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pacing w:val="-10"/>
          <w:shd w:val="clear" w:color="auto" w:fill="FFFFFF"/>
        </w:rPr>
        <w:t>表</w:t>
      </w:r>
      <w:r>
        <w:rPr>
          <w:color w:val="000000"/>
          <w:spacing w:val="-10"/>
          <w:shd w:val="clear" w:color="auto" w:fill="FFFFFF"/>
        </w:rPr>
        <w:t>2</w:t>
      </w:r>
      <w:r>
        <w:rPr>
          <w:rFonts w:hint="eastAsia" w:ascii="宋体" w:hAnsi="宋体" w:cs="宋体"/>
        </w:rPr>
        <w:t>-253</w:t>
      </w:r>
    </w:p>
    <w:tbl>
      <w:tblPr>
        <w:tblStyle w:val="13"/>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2"/>
        <w:gridCol w:w="8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60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498"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6" w:hRule="exact"/>
          <w:jc w:val="center"/>
        </w:trPr>
        <w:tc>
          <w:tcPr>
            <w:tcW w:w="60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498"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atLeast"/>
          <w:jc w:val="center"/>
        </w:trPr>
        <w:tc>
          <w:tcPr>
            <w:tcW w:w="60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498" w:type="dxa"/>
            <w:vAlign w:val="center"/>
          </w:tcPr>
          <w:p>
            <w:pPr>
              <w:spacing w:line="260" w:lineRule="exact"/>
              <w:textAlignment w:val="center"/>
              <w:rPr>
                <w:color w:val="000000"/>
                <w:shd w:val="clear" w:color="auto" w:fill="FFFFFF"/>
              </w:rPr>
            </w:pPr>
            <w:r>
              <w:rPr>
                <w:color w:val="000000"/>
                <w:shd w:val="clear" w:color="auto" w:fill="FFFFFF"/>
              </w:rPr>
              <w:t xml:space="preserve">  </w:t>
            </w:r>
            <w:r>
              <w:rPr>
                <w:rFonts w:hint="eastAsia"/>
                <w:color w:val="000000"/>
                <w:shd w:val="clear" w:color="auto" w:fill="FFFFFF"/>
              </w:rPr>
              <w:t xml:space="preserve">  对未按照规定在产生严重职业病危害的作业岗位醒目位置设置警示标识和中文警示说明的处罚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2" w:hRule="atLeast"/>
          <w:jc w:val="center"/>
        </w:trPr>
        <w:tc>
          <w:tcPr>
            <w:tcW w:w="60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498" w:type="dxa"/>
            <w:vAlign w:val="center"/>
          </w:tcPr>
          <w:p>
            <w:pPr>
              <w:spacing w:line="260" w:lineRule="exact"/>
              <w:ind w:firstLine="420" w:firstLineChars="200"/>
              <w:textAlignment w:val="center"/>
              <w:rPr>
                <w:color w:val="000000"/>
                <w:kern w:val="0"/>
                <w:shd w:val="clear" w:color="auto" w:fill="FFFFFF"/>
              </w:rPr>
            </w:pPr>
            <w:r>
              <w:rPr>
                <w:rFonts w:hAnsi="宋体"/>
                <w:color w:val="000000"/>
                <w:shd w:val="clear" w:color="auto" w:fill="FFFFFF"/>
              </w:rPr>
              <w:t>《中华人民共和国职业病防治法》</w:t>
            </w:r>
            <w:r>
              <w:rPr>
                <w:rFonts w:hint="eastAsia" w:ascii="宋体" w:hAnsi="宋体" w:cs="宋体"/>
              </w:rPr>
              <w:t xml:space="preserve">(2018修正) </w:t>
            </w:r>
            <w:r>
              <w:rPr>
                <w:rFonts w:hint="eastAsia" w:hAnsi="宋体"/>
                <w:color w:val="000000"/>
                <w:shd w:val="clear" w:color="auto" w:fill="FFFFFF"/>
              </w:rPr>
              <w:t>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1" w:hRule="exact"/>
          <w:jc w:val="center"/>
        </w:trPr>
        <w:tc>
          <w:tcPr>
            <w:tcW w:w="60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498"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6" w:hRule="atLeast"/>
          <w:jc w:val="center"/>
        </w:trPr>
        <w:tc>
          <w:tcPr>
            <w:tcW w:w="60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498" w:type="dxa"/>
            <w:vAlign w:val="center"/>
          </w:tcPr>
          <w:p>
            <w:pPr>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1" w:hRule="atLeast"/>
          <w:jc w:val="center"/>
        </w:trPr>
        <w:tc>
          <w:tcPr>
            <w:tcW w:w="60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498"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exact"/>
          <w:jc w:val="center"/>
        </w:trPr>
        <w:tc>
          <w:tcPr>
            <w:tcW w:w="602"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498"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-254</w:t>
      </w:r>
    </w:p>
    <w:tbl>
      <w:tblPr>
        <w:tblStyle w:val="13"/>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3"/>
        <w:gridCol w:w="8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53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413"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6" w:hRule="exact"/>
          <w:jc w:val="center"/>
        </w:trPr>
        <w:tc>
          <w:tcPr>
            <w:tcW w:w="53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41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exact"/>
          <w:jc w:val="center"/>
        </w:trPr>
        <w:tc>
          <w:tcPr>
            <w:tcW w:w="53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413"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对拒绝职业卫生监督管理部门监督检查的处罚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0" w:hRule="atLeast"/>
          <w:jc w:val="center"/>
        </w:trPr>
        <w:tc>
          <w:tcPr>
            <w:tcW w:w="53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413" w:type="dxa"/>
            <w:vAlign w:val="center"/>
          </w:tcPr>
          <w:p>
            <w:pPr>
              <w:spacing w:line="260" w:lineRule="exact"/>
              <w:ind w:firstLine="420" w:firstLineChars="200"/>
              <w:textAlignment w:val="center"/>
              <w:rPr>
                <w:color w:val="000000"/>
                <w:kern w:val="0"/>
                <w:shd w:val="clear" w:color="auto" w:fill="FFFFFF"/>
              </w:rPr>
            </w:pPr>
            <w:r>
              <w:rPr>
                <w:rFonts w:hAnsi="宋体"/>
                <w:color w:val="000000"/>
                <w:shd w:val="clear" w:color="auto" w:fill="FFFFFF"/>
              </w:rPr>
              <w:t>《中华人民共和国职业病防治法》</w:t>
            </w:r>
            <w:r>
              <w:rPr>
                <w:rFonts w:hint="eastAsia" w:ascii="宋体" w:hAnsi="宋体" w:cs="宋体"/>
              </w:rPr>
              <w:t xml:space="preserve">(2018修正) </w:t>
            </w:r>
            <w:r>
              <w:rPr>
                <w:rFonts w:hint="eastAsia" w:hAnsi="宋体"/>
                <w:color w:val="000000"/>
                <w:shd w:val="clear" w:color="auto" w:fill="FFFFFF"/>
              </w:rPr>
              <w:t>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未按照规定在产生严重职业病危害的作业岗位醒目位置设置警示标识和中文警示说明的；（九）拒绝职业卫生监督管理部门监督检查的。</w:t>
            </w:r>
            <w:r>
              <w:rPr>
                <w:rFonts w:hAnsi="宋体"/>
                <w:color w:val="00000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exact"/>
          <w:jc w:val="center"/>
        </w:trPr>
        <w:tc>
          <w:tcPr>
            <w:tcW w:w="53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413"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35" w:hRule="atLeast"/>
          <w:jc w:val="center"/>
        </w:trPr>
        <w:tc>
          <w:tcPr>
            <w:tcW w:w="53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413" w:type="dxa"/>
            <w:vAlign w:val="center"/>
          </w:tcPr>
          <w:p>
            <w:pPr>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1" w:hRule="atLeast"/>
          <w:jc w:val="center"/>
        </w:trPr>
        <w:tc>
          <w:tcPr>
            <w:tcW w:w="53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413"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53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413"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-255</w:t>
      </w:r>
    </w:p>
    <w:tbl>
      <w:tblPr>
        <w:tblStyle w:val="13"/>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5"/>
        <w:gridCol w:w="8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exac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428"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8" w:hRule="exac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428"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3"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428"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对隐瞒、伪造、篡改、毁损职业健康监护档案、工作场所职业病危害因素检测评价结果等相关资料，或者拒不提供职业病诊断、鉴定所需资料的处罚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23"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428" w:type="dxa"/>
            <w:vAlign w:val="center"/>
          </w:tcPr>
          <w:p>
            <w:pPr>
              <w:spacing w:line="260" w:lineRule="exact"/>
              <w:ind w:firstLine="420" w:firstLineChars="200"/>
              <w:textAlignment w:val="center"/>
              <w:rPr>
                <w:color w:val="000000"/>
                <w:kern w:val="0"/>
                <w:shd w:val="clear" w:color="auto" w:fill="FFFFFF"/>
              </w:rPr>
            </w:pPr>
            <w:r>
              <w:rPr>
                <w:rFonts w:hAnsi="宋体"/>
                <w:color w:val="000000"/>
                <w:shd w:val="clear" w:color="auto" w:fill="FFFFFF"/>
              </w:rPr>
              <w:t>《中华人民共和国职业病防治法》</w:t>
            </w:r>
            <w:r>
              <w:rPr>
                <w:rFonts w:hint="eastAsia" w:ascii="宋体" w:hAnsi="宋体" w:cs="宋体"/>
              </w:rPr>
              <w:t xml:space="preserve">(2018修正) </w:t>
            </w:r>
            <w:r>
              <w:rPr>
                <w:rFonts w:hint="eastAsia" w:hAnsi="宋体"/>
                <w:color w:val="000000"/>
                <w:shd w:val="clear" w:color="auto" w:fill="FFFFFF"/>
              </w:rPr>
              <w:t>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w:t>
            </w:r>
            <w:r>
              <w:rPr>
                <w:rFonts w:hAnsi="宋体"/>
                <w:color w:val="00000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1" w:hRule="exac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428"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4"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428" w:type="dxa"/>
            <w:vAlign w:val="center"/>
          </w:tcPr>
          <w:p>
            <w:pPr>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7"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428"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0" w:hRule="exac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428"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-256</w:t>
      </w:r>
    </w:p>
    <w:tbl>
      <w:tblPr>
        <w:tblStyle w:val="13"/>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3"/>
        <w:gridCol w:w="8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exact"/>
          <w:jc w:val="center"/>
        </w:trPr>
        <w:tc>
          <w:tcPr>
            <w:tcW w:w="63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430"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3" w:hRule="exact"/>
          <w:jc w:val="center"/>
        </w:trPr>
        <w:tc>
          <w:tcPr>
            <w:tcW w:w="63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430"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4" w:hRule="exact"/>
          <w:jc w:val="center"/>
        </w:trPr>
        <w:tc>
          <w:tcPr>
            <w:tcW w:w="63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430"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对未按照规定承担职业病诊断、鉴定费用和职业病病人的医疗、生活保障费用的处罚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46" w:hRule="atLeast"/>
          <w:jc w:val="center"/>
        </w:trPr>
        <w:tc>
          <w:tcPr>
            <w:tcW w:w="63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430" w:type="dxa"/>
            <w:vAlign w:val="center"/>
          </w:tcPr>
          <w:p>
            <w:pPr>
              <w:spacing w:line="260" w:lineRule="exact"/>
              <w:ind w:firstLine="420" w:firstLineChars="200"/>
              <w:textAlignment w:val="center"/>
              <w:rPr>
                <w:color w:val="000000"/>
                <w:kern w:val="0"/>
                <w:shd w:val="clear" w:color="auto" w:fill="FFFFFF"/>
              </w:rPr>
            </w:pPr>
            <w:r>
              <w:rPr>
                <w:rFonts w:hAnsi="宋体"/>
                <w:color w:val="000000"/>
                <w:shd w:val="clear" w:color="auto" w:fill="FFFFFF"/>
              </w:rPr>
              <w:t>《中华人民共和国职业病防治法》</w:t>
            </w:r>
            <w:r>
              <w:rPr>
                <w:rFonts w:hint="eastAsia" w:ascii="宋体" w:hAnsi="宋体" w:cs="宋体"/>
              </w:rPr>
              <w:t xml:space="preserve">(2018修正) </w:t>
            </w:r>
            <w:r>
              <w:rPr>
                <w:rFonts w:hint="eastAsia" w:hAnsi="宋体"/>
                <w:color w:val="000000"/>
                <w:shd w:val="clear" w:color="auto" w:fill="FFFFFF"/>
              </w:rPr>
              <w:t>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r>
              <w:rPr>
                <w:rFonts w:hAnsi="宋体"/>
                <w:color w:val="00000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9" w:hRule="exact"/>
          <w:jc w:val="center"/>
        </w:trPr>
        <w:tc>
          <w:tcPr>
            <w:tcW w:w="63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430"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25" w:hRule="atLeast"/>
          <w:jc w:val="center"/>
        </w:trPr>
        <w:tc>
          <w:tcPr>
            <w:tcW w:w="63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430" w:type="dxa"/>
            <w:vAlign w:val="center"/>
          </w:tcPr>
          <w:p>
            <w:pPr>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3" w:hRule="atLeast"/>
          <w:jc w:val="center"/>
        </w:trPr>
        <w:tc>
          <w:tcPr>
            <w:tcW w:w="63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430"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63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430"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pacing w:val="-10"/>
          <w:shd w:val="clear" w:color="auto" w:fill="FFFFFF"/>
        </w:rPr>
        <w:t>表</w:t>
      </w:r>
      <w:r>
        <w:rPr>
          <w:color w:val="000000"/>
          <w:spacing w:val="-10"/>
          <w:shd w:val="clear" w:color="auto" w:fill="FFFFFF"/>
        </w:rPr>
        <w:t>2</w:t>
      </w:r>
      <w:r>
        <w:rPr>
          <w:rFonts w:hint="eastAsia" w:ascii="宋体" w:hAnsi="宋体" w:cs="宋体"/>
        </w:rPr>
        <w:t>-257</w:t>
      </w:r>
    </w:p>
    <w:tbl>
      <w:tblPr>
        <w:tblStyle w:val="13"/>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5"/>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6"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393"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39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8"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393"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对向用人单位提供可能产生职业病危害的设备、材料，未按照规定提供中文说明书或者设置警示标识和中文警示说明的处罚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7"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393" w:type="dxa"/>
            <w:vAlign w:val="center"/>
          </w:tcPr>
          <w:p>
            <w:pPr>
              <w:spacing w:line="260" w:lineRule="exact"/>
              <w:ind w:firstLine="420" w:firstLineChars="200"/>
              <w:textAlignment w:val="center"/>
              <w:rPr>
                <w:color w:val="000000"/>
                <w:shd w:val="clear" w:color="auto" w:fill="FFFFFF"/>
              </w:rPr>
            </w:pPr>
            <w:r>
              <w:rPr>
                <w:rFonts w:hAnsi="宋体"/>
                <w:color w:val="000000"/>
                <w:shd w:val="clear" w:color="auto" w:fill="FFFFFF"/>
              </w:rPr>
              <w:t>《中华人民共和国职业病防治法》</w:t>
            </w:r>
            <w:r>
              <w:rPr>
                <w:rFonts w:hint="eastAsia" w:ascii="宋体" w:hAnsi="宋体" w:cs="宋体"/>
              </w:rPr>
              <w:t xml:space="preserve">(2018修正) </w:t>
            </w:r>
            <w:r>
              <w:rPr>
                <w:rFonts w:hint="eastAsia"/>
                <w:color w:val="000000"/>
                <w:shd w:val="clear" w:color="auto" w:fill="FFFFFF"/>
              </w:rPr>
              <w:t>第七十三条:“向用人单位提供可能产生职业病危害的设备、材料，未按照规定提供中文说明书或者设置警示标识和中文警示说明的，由卫生行政部门责令限期改正，给予警告，并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7" w:hRule="exac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393"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3"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393" w:type="dxa"/>
            <w:vAlign w:val="center"/>
          </w:tcPr>
          <w:p>
            <w:pPr>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393"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3" w:hRule="exac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393"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rFonts w:hAnsi="宋体"/>
          <w:color w:val="000000"/>
          <w:shd w:val="clear" w:color="auto" w:fill="FFFFFF"/>
        </w:rPr>
      </w:pPr>
      <w:r>
        <w:rPr>
          <w:color w:val="000000"/>
          <w:shd w:val="clear" w:color="auto" w:fill="FFFFFF"/>
        </w:rPr>
        <w:t>表</w:t>
      </w:r>
      <w:r>
        <w:rPr>
          <w:rFonts w:hint="eastAsia"/>
          <w:color w:val="000000"/>
          <w:shd w:val="clear" w:color="auto" w:fill="FFFFFF"/>
        </w:rPr>
        <w:t>2</w:t>
      </w:r>
      <w:r>
        <w:rPr>
          <w:rFonts w:hint="eastAsia" w:ascii="宋体" w:hAnsi="宋体" w:cs="宋体"/>
        </w:rPr>
        <w:t>-258</w:t>
      </w:r>
    </w:p>
    <w:tbl>
      <w:tblPr>
        <w:tblStyle w:val="13"/>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3"/>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jc w:val="center"/>
        </w:trPr>
        <w:tc>
          <w:tcPr>
            <w:tcW w:w="563" w:type="dxa"/>
            <w:vAlign w:val="center"/>
          </w:tcPr>
          <w:p>
            <w:pPr>
              <w:spacing w:line="260" w:lineRule="exact"/>
              <w:jc w:val="center"/>
              <w:textAlignment w:val="center"/>
              <w:rPr>
                <w:color w:val="000000"/>
                <w:shd w:val="clear" w:color="auto" w:fill="FFFFFF"/>
              </w:rPr>
            </w:pPr>
            <w:r>
              <w:rPr>
                <w:color w:val="000000"/>
                <w:shd w:val="clear" w:color="auto" w:fill="FFFFFF"/>
              </w:rPr>
              <w:t>序号</w:t>
            </w:r>
          </w:p>
        </w:tc>
        <w:tc>
          <w:tcPr>
            <w:tcW w:w="8563"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jc w:val="center"/>
        </w:trPr>
        <w:tc>
          <w:tcPr>
            <w:tcW w:w="563" w:type="dxa"/>
            <w:vAlign w:val="center"/>
          </w:tcPr>
          <w:p>
            <w:pPr>
              <w:spacing w:line="260" w:lineRule="exact"/>
              <w:jc w:val="center"/>
              <w:textAlignment w:val="center"/>
              <w:rPr>
                <w:color w:val="000000"/>
                <w:shd w:val="clear" w:color="auto" w:fill="FFFFFF"/>
              </w:rPr>
            </w:pPr>
            <w:r>
              <w:rPr>
                <w:color w:val="000000"/>
                <w:shd w:val="clear" w:color="auto" w:fill="FFFFFF"/>
              </w:rPr>
              <w:t>权力类型</w:t>
            </w:r>
          </w:p>
        </w:tc>
        <w:tc>
          <w:tcPr>
            <w:tcW w:w="8563" w:type="dxa"/>
            <w:vAlign w:val="center"/>
          </w:tcPr>
          <w:p>
            <w:pPr>
              <w:spacing w:line="260" w:lineRule="exact"/>
              <w:jc w:val="center"/>
              <w:textAlignment w:val="center"/>
              <w:rPr>
                <w:color w:val="000000"/>
                <w:shd w:val="clear" w:color="auto" w:fill="FFFFFF"/>
              </w:rPr>
            </w:pPr>
            <w:r>
              <w:rPr>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9" w:hRule="exact"/>
          <w:jc w:val="center"/>
        </w:trPr>
        <w:tc>
          <w:tcPr>
            <w:tcW w:w="563" w:type="dxa"/>
            <w:vAlign w:val="center"/>
          </w:tcPr>
          <w:p>
            <w:pPr>
              <w:spacing w:line="260" w:lineRule="exact"/>
              <w:jc w:val="center"/>
              <w:textAlignment w:val="center"/>
              <w:rPr>
                <w:color w:val="000000"/>
                <w:shd w:val="clear" w:color="auto" w:fill="FFFFFF"/>
              </w:rPr>
            </w:pPr>
            <w:r>
              <w:rPr>
                <w:color w:val="000000"/>
                <w:shd w:val="clear" w:color="auto" w:fill="FFFFFF"/>
              </w:rPr>
              <w:t>权力项目名称</w:t>
            </w:r>
          </w:p>
        </w:tc>
        <w:tc>
          <w:tcPr>
            <w:tcW w:w="8563" w:type="dxa"/>
            <w:vAlign w:val="center"/>
          </w:tcPr>
          <w:p>
            <w:pPr>
              <w:spacing w:line="260" w:lineRule="exact"/>
              <w:jc w:val="center"/>
              <w:textAlignment w:val="center"/>
              <w:rPr>
                <w:color w:val="000000"/>
                <w:kern w:val="0"/>
                <w:shd w:val="clear" w:color="auto" w:fill="FFFFFF"/>
              </w:rPr>
            </w:pPr>
            <w:r>
              <w:rPr>
                <w:rFonts w:hint="eastAsia"/>
                <w:color w:val="000000"/>
                <w:kern w:val="0"/>
                <w:shd w:val="clear" w:color="auto" w:fill="FFFFFF"/>
              </w:rPr>
              <w:t>对用人单位和医疗卫生机构未按照规定报告职业病、疑似职业病的处罚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6" w:hRule="atLeast"/>
          <w:jc w:val="center"/>
        </w:trPr>
        <w:tc>
          <w:tcPr>
            <w:tcW w:w="563" w:type="dxa"/>
            <w:vAlign w:val="center"/>
          </w:tcPr>
          <w:p>
            <w:pPr>
              <w:spacing w:line="260" w:lineRule="exact"/>
              <w:jc w:val="center"/>
              <w:textAlignment w:val="center"/>
              <w:rPr>
                <w:color w:val="000000"/>
                <w:shd w:val="clear" w:color="auto" w:fill="FFFFFF"/>
              </w:rPr>
            </w:pPr>
            <w:r>
              <w:rPr>
                <w:color w:val="000000"/>
                <w:shd w:val="clear" w:color="auto" w:fill="FFFFFF"/>
              </w:rPr>
              <w:t>实施依据</w:t>
            </w:r>
          </w:p>
        </w:tc>
        <w:tc>
          <w:tcPr>
            <w:tcW w:w="8563" w:type="dxa"/>
            <w:vAlign w:val="center"/>
          </w:tcPr>
          <w:p>
            <w:pPr>
              <w:spacing w:line="260" w:lineRule="exact"/>
              <w:ind w:firstLine="420" w:firstLineChars="200"/>
              <w:textAlignment w:val="center"/>
              <w:rPr>
                <w:color w:val="000000"/>
                <w:kern w:val="0"/>
                <w:shd w:val="clear" w:color="auto" w:fill="FFFFFF"/>
              </w:rPr>
            </w:pPr>
            <w:r>
              <w:rPr>
                <w:rFonts w:hAnsi="宋体"/>
                <w:color w:val="000000"/>
                <w:shd w:val="clear" w:color="auto" w:fill="FFFFFF"/>
              </w:rPr>
              <w:t>《中华人民共和国职业病防治法》</w:t>
            </w:r>
            <w:r>
              <w:rPr>
                <w:rFonts w:hint="eastAsia" w:ascii="宋体" w:hAnsi="宋体" w:cs="宋体"/>
              </w:rPr>
              <w:t xml:space="preserve">(2018修正) </w:t>
            </w:r>
            <w:r>
              <w:rPr>
                <w:rFonts w:hint="eastAsia"/>
                <w:color w:val="000000"/>
                <w:kern w:val="0"/>
                <w:shd w:val="clear" w:color="auto" w:fill="FFFFFF"/>
              </w:rPr>
              <w:t>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8" w:hRule="exact"/>
          <w:jc w:val="center"/>
        </w:trPr>
        <w:tc>
          <w:tcPr>
            <w:tcW w:w="563" w:type="dxa"/>
            <w:vAlign w:val="center"/>
          </w:tcPr>
          <w:p>
            <w:pPr>
              <w:spacing w:line="260" w:lineRule="exact"/>
              <w:jc w:val="center"/>
              <w:textAlignment w:val="center"/>
              <w:rPr>
                <w:color w:val="000000"/>
                <w:shd w:val="clear" w:color="auto" w:fill="FFFFFF"/>
              </w:rPr>
            </w:pPr>
            <w:r>
              <w:rPr>
                <w:color w:val="000000"/>
                <w:shd w:val="clear" w:color="auto" w:fill="FFFFFF"/>
              </w:rPr>
              <w:t>责任主体</w:t>
            </w:r>
          </w:p>
        </w:tc>
        <w:tc>
          <w:tcPr>
            <w:tcW w:w="8563"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6" w:hRule="atLeast"/>
          <w:jc w:val="center"/>
        </w:trPr>
        <w:tc>
          <w:tcPr>
            <w:tcW w:w="563" w:type="dxa"/>
            <w:vAlign w:val="center"/>
          </w:tcPr>
          <w:p>
            <w:pPr>
              <w:spacing w:line="260" w:lineRule="exact"/>
              <w:jc w:val="center"/>
              <w:textAlignment w:val="center"/>
              <w:rPr>
                <w:color w:val="000000"/>
                <w:shd w:val="clear" w:color="auto" w:fill="FFFFFF"/>
              </w:rPr>
            </w:pPr>
            <w:r>
              <w:rPr>
                <w:color w:val="000000"/>
                <w:shd w:val="clear" w:color="auto" w:fill="FFFFFF"/>
              </w:rPr>
              <w:t>责任事项</w:t>
            </w:r>
          </w:p>
        </w:tc>
        <w:tc>
          <w:tcPr>
            <w:tcW w:w="8563" w:type="dxa"/>
            <w:vAlign w:val="center"/>
          </w:tcPr>
          <w:p>
            <w:pPr>
              <w:spacing w:line="260" w:lineRule="exact"/>
              <w:ind w:firstLine="420" w:firstLineChars="200"/>
              <w:textAlignment w:val="center"/>
              <w:rPr>
                <w:color w:val="000000"/>
                <w:shd w:val="clear" w:color="auto" w:fill="FFFFFF"/>
              </w:rPr>
            </w:pPr>
            <w:r>
              <w:rPr>
                <w:color w:val="000000"/>
                <w:shd w:val="clear" w:color="auto" w:fill="FFFFFF"/>
              </w:rPr>
              <w:t>1．立案责任：根据违法事实，法律法规规定决定是否立案。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8" w:hRule="atLeast"/>
          <w:jc w:val="center"/>
        </w:trPr>
        <w:tc>
          <w:tcPr>
            <w:tcW w:w="563" w:type="dxa"/>
            <w:vAlign w:val="center"/>
          </w:tcPr>
          <w:p>
            <w:pPr>
              <w:spacing w:line="260" w:lineRule="exact"/>
              <w:jc w:val="center"/>
              <w:textAlignment w:val="center"/>
              <w:rPr>
                <w:color w:val="000000"/>
                <w:shd w:val="clear" w:color="auto" w:fill="FFFFFF"/>
              </w:rPr>
            </w:pPr>
            <w:r>
              <w:rPr>
                <w:color w:val="000000"/>
                <w:shd w:val="clear" w:color="auto" w:fill="FFFFFF"/>
              </w:rPr>
              <w:t>追责情形</w:t>
            </w:r>
          </w:p>
        </w:tc>
        <w:tc>
          <w:tcPr>
            <w:tcW w:w="8563"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exact"/>
          <w:jc w:val="center"/>
        </w:trPr>
        <w:tc>
          <w:tcPr>
            <w:tcW w:w="563" w:type="dxa"/>
            <w:vAlign w:val="center"/>
          </w:tcPr>
          <w:p>
            <w:pPr>
              <w:spacing w:line="260" w:lineRule="exact"/>
              <w:jc w:val="center"/>
              <w:textAlignment w:val="center"/>
              <w:rPr>
                <w:color w:val="000000"/>
                <w:shd w:val="clear" w:color="auto" w:fill="FFFFFF"/>
              </w:rPr>
            </w:pPr>
            <w:r>
              <w:rPr>
                <w:color w:val="000000"/>
                <w:shd w:val="clear" w:color="auto" w:fill="FFFFFF"/>
              </w:rPr>
              <w:t>监督电话</w:t>
            </w:r>
          </w:p>
        </w:tc>
        <w:tc>
          <w:tcPr>
            <w:tcW w:w="8563"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-259</w:t>
      </w:r>
    </w:p>
    <w:tbl>
      <w:tblPr>
        <w:tblStyle w:val="13"/>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3"/>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49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583"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49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58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exact"/>
          <w:jc w:val="center"/>
        </w:trPr>
        <w:tc>
          <w:tcPr>
            <w:tcW w:w="49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583"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对隐瞒技术、工艺、设备、材料所产生的职业病危害而采用的处罚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7" w:hRule="atLeast"/>
          <w:jc w:val="center"/>
        </w:trPr>
        <w:tc>
          <w:tcPr>
            <w:tcW w:w="49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583" w:type="dxa"/>
            <w:vAlign w:val="center"/>
          </w:tcPr>
          <w:p>
            <w:pPr>
              <w:spacing w:line="260" w:lineRule="exact"/>
              <w:ind w:firstLine="404" w:firstLineChars="200"/>
              <w:textAlignment w:val="center"/>
              <w:rPr>
                <w:color w:val="000000"/>
                <w:spacing w:val="-4"/>
                <w:shd w:val="clear" w:color="auto" w:fill="FFFFFF"/>
              </w:rPr>
            </w:pPr>
            <w:r>
              <w:rPr>
                <w:rFonts w:hAnsi="宋体"/>
                <w:color w:val="000000"/>
                <w:spacing w:val="-4"/>
                <w:shd w:val="clear" w:color="auto" w:fill="FFFFFF"/>
              </w:rPr>
              <w:t>《中华人民共和国职业病防治法》</w:t>
            </w:r>
            <w:r>
              <w:rPr>
                <w:rFonts w:hint="eastAsia" w:ascii="宋体" w:hAnsi="宋体" w:cs="宋体"/>
                <w:spacing w:val="-4"/>
              </w:rPr>
              <w:t xml:space="preserve">(2018修正) </w:t>
            </w:r>
            <w:r>
              <w:rPr>
                <w:rFonts w:hint="eastAsia"/>
                <w:color w:val="000000"/>
                <w:spacing w:val="-4"/>
                <w:shd w:val="clear" w:color="auto" w:fill="FFFFFF"/>
              </w:rPr>
              <w:t>第七十五条：“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 （二）隐瞒本单位职业卫生真实情况的； （三）可能发生急性职业损伤的有毒、有害工作场所、放射工作场所或者放射性同位素的运输、贮存不符合本法第二十五条规定的； （四）使用国家明令禁止使用的可能产生职业病危害的设备或者材料的； （五）将产生职业病危害的作业转移给没有职业病防护条件的单位和个人，或者没有职业病防护条件的单位和个人接受产生职业病危害的作业的； （六）擅自拆除、停止使用职业病防护设备或者应急救援设施的； （七）安排未经职业健康检查的劳动者、有职业禁忌的劳动者、未成年工或者孕期、哺乳期女职工从事接触职业病危害的作业或者禁忌作业的； （八）违章指挥和强令劳动者进行没有职业病防护措施的作业的。”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5" w:hRule="exact"/>
          <w:jc w:val="center"/>
        </w:trPr>
        <w:tc>
          <w:tcPr>
            <w:tcW w:w="49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583"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37" w:hRule="atLeast"/>
          <w:jc w:val="center"/>
        </w:trPr>
        <w:tc>
          <w:tcPr>
            <w:tcW w:w="49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583" w:type="dxa"/>
            <w:vAlign w:val="center"/>
          </w:tcPr>
          <w:p>
            <w:pPr>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7" w:hRule="atLeast"/>
          <w:jc w:val="center"/>
        </w:trPr>
        <w:tc>
          <w:tcPr>
            <w:tcW w:w="49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583"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9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583"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rFonts w:hint="eastAsia" w:ascii="宋体" w:hAnsi="宋体" w:cs="宋体"/>
        </w:rPr>
        <w:t>-260</w:t>
      </w:r>
    </w:p>
    <w:tbl>
      <w:tblPr>
        <w:tblStyle w:val="13"/>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5"/>
        <w:gridCol w:w="8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60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541"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4" w:hRule="exact"/>
          <w:jc w:val="center"/>
        </w:trPr>
        <w:tc>
          <w:tcPr>
            <w:tcW w:w="60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54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0" w:hRule="atLeast"/>
          <w:jc w:val="center"/>
        </w:trPr>
        <w:tc>
          <w:tcPr>
            <w:tcW w:w="60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541"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对可能发生急性职业损伤的有毒、有害工作场所、放射工作场所或者放射性同位素的运输、贮存不符合相关规定的处罚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95" w:hRule="atLeast"/>
          <w:jc w:val="center"/>
        </w:trPr>
        <w:tc>
          <w:tcPr>
            <w:tcW w:w="60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541" w:type="dxa"/>
            <w:vAlign w:val="center"/>
          </w:tcPr>
          <w:p>
            <w:pPr>
              <w:spacing w:line="260" w:lineRule="exact"/>
              <w:ind w:firstLine="420" w:firstLineChars="200"/>
              <w:textAlignment w:val="center"/>
              <w:rPr>
                <w:color w:val="000000"/>
                <w:shd w:val="clear" w:color="auto" w:fill="FFFFFF"/>
              </w:rPr>
            </w:pPr>
            <w:r>
              <w:rPr>
                <w:rFonts w:hAnsi="宋体"/>
                <w:color w:val="000000"/>
                <w:shd w:val="clear" w:color="auto" w:fill="FFFFFF"/>
              </w:rPr>
              <w:t>《中华人民共和国职业病防治法》</w:t>
            </w:r>
            <w:r>
              <w:rPr>
                <w:rFonts w:hint="eastAsia" w:ascii="宋体" w:hAnsi="宋体" w:cs="宋体"/>
              </w:rPr>
              <w:t xml:space="preserve">(2018修正) </w:t>
            </w:r>
            <w:r>
              <w:rPr>
                <w:rFonts w:hint="eastAsia"/>
                <w:color w:val="000000"/>
                <w:shd w:val="clear" w:color="auto" w:fill="FFFFFF"/>
              </w:rPr>
              <w:t>第七十五条：“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3" w:hRule="atLeast"/>
          <w:jc w:val="center"/>
        </w:trPr>
        <w:tc>
          <w:tcPr>
            <w:tcW w:w="60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541"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53" w:hRule="atLeast"/>
          <w:jc w:val="center"/>
        </w:trPr>
        <w:tc>
          <w:tcPr>
            <w:tcW w:w="60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541"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1</w:t>
            </w:r>
            <w:r>
              <w:rPr>
                <w:rFonts w:hAnsi="宋体"/>
                <w:color w:val="000000"/>
                <w:shd w:val="clear" w:color="auto" w:fill="FFFFFF"/>
              </w:rPr>
              <w:t>．立案责任：根据违法事实，法律法规规定决定是否立案。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2" w:hRule="atLeast"/>
          <w:jc w:val="center"/>
        </w:trPr>
        <w:tc>
          <w:tcPr>
            <w:tcW w:w="60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541"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60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541"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-261</w:t>
      </w:r>
    </w:p>
    <w:tbl>
      <w:tblPr>
        <w:tblStyle w:val="13"/>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5"/>
        <w:gridCol w:w="8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429"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4" w:hRule="exac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42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1" w:hRule="exac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429"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对使用国家明令禁止使用的可能产生职业病危害的设备或者材料的处罚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63"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429" w:type="dxa"/>
            <w:vAlign w:val="center"/>
          </w:tcPr>
          <w:p>
            <w:pPr>
              <w:spacing w:line="260" w:lineRule="exact"/>
              <w:ind w:firstLine="420" w:firstLineChars="200"/>
              <w:textAlignment w:val="center"/>
              <w:rPr>
                <w:color w:val="000000"/>
                <w:shd w:val="clear" w:color="auto" w:fill="FFFFFF"/>
              </w:rPr>
            </w:pPr>
            <w:r>
              <w:rPr>
                <w:rFonts w:hAnsi="宋体"/>
                <w:color w:val="000000"/>
                <w:shd w:val="clear" w:color="auto" w:fill="FFFFFF"/>
              </w:rPr>
              <w:t>《中华人民共和国职业病防治法》</w:t>
            </w:r>
            <w:r>
              <w:rPr>
                <w:rFonts w:hint="eastAsia" w:ascii="宋体" w:hAnsi="宋体" w:cs="宋体"/>
              </w:rPr>
              <w:t xml:space="preserve">(2018修正) </w:t>
            </w:r>
            <w:r>
              <w:rPr>
                <w:rFonts w:hint="eastAsia"/>
                <w:color w:val="000000"/>
                <w:shd w:val="clear" w:color="auto" w:fill="FFFFFF"/>
              </w:rPr>
              <w:t>第七十五条：“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exac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429"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56" w:hRule="atLeast"/>
          <w:jc w:val="center"/>
        </w:trPr>
        <w:tc>
          <w:tcPr>
            <w:tcW w:w="675"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责任事项</w:t>
            </w:r>
          </w:p>
        </w:tc>
        <w:tc>
          <w:tcPr>
            <w:tcW w:w="8429" w:type="dxa"/>
            <w:vAlign w:val="center"/>
          </w:tcPr>
          <w:p>
            <w:pPr>
              <w:spacing w:line="24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4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4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4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4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4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4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4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4" w:hRule="atLeast"/>
          <w:jc w:val="center"/>
        </w:trPr>
        <w:tc>
          <w:tcPr>
            <w:tcW w:w="675"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追责情形</w:t>
            </w:r>
          </w:p>
        </w:tc>
        <w:tc>
          <w:tcPr>
            <w:tcW w:w="8429" w:type="dxa"/>
            <w:vAlign w:val="center"/>
          </w:tcPr>
          <w:p>
            <w:pPr>
              <w:spacing w:line="24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Ansi="宋体"/>
                <w:color w:val="000000"/>
                <w:shd w:val="clear" w:color="auto" w:fill="FFFFFF"/>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6" w:hRule="exact"/>
          <w:jc w:val="center"/>
        </w:trPr>
        <w:tc>
          <w:tcPr>
            <w:tcW w:w="675"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监督电话</w:t>
            </w:r>
          </w:p>
        </w:tc>
        <w:tc>
          <w:tcPr>
            <w:tcW w:w="8429" w:type="dxa"/>
            <w:vAlign w:val="center"/>
          </w:tcPr>
          <w:p>
            <w:pPr>
              <w:spacing w:line="240" w:lineRule="exact"/>
              <w:jc w:val="center"/>
              <w:textAlignment w:val="center"/>
              <w:rPr>
                <w:color w:val="000000"/>
                <w:shd w:val="clear" w:color="auto" w:fill="FFFFFF"/>
              </w:rPr>
            </w:pPr>
            <w:r>
              <w:rPr>
                <w:color w:val="000000"/>
                <w:shd w:val="clear" w:color="auto" w:fill="FFFFFF"/>
              </w:rPr>
              <w:t>12345</w:t>
            </w:r>
          </w:p>
        </w:tc>
      </w:tr>
    </w:tbl>
    <w:p>
      <w:pPr>
        <w:spacing w:line="24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-262</w:t>
      </w:r>
    </w:p>
    <w:tbl>
      <w:tblPr>
        <w:tblStyle w:val="13"/>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1"/>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561"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序号</w:t>
            </w:r>
          </w:p>
        </w:tc>
        <w:tc>
          <w:tcPr>
            <w:tcW w:w="8521" w:type="dxa"/>
            <w:vAlign w:val="center"/>
          </w:tcPr>
          <w:p>
            <w:pPr>
              <w:spacing w:line="240" w:lineRule="exact"/>
              <w:jc w:val="center"/>
              <w:textAlignment w:val="center"/>
              <w:rPr>
                <w:color w:val="000000"/>
                <w:shd w:val="clear" w:color="auto" w:fill="FFFFFF"/>
              </w:rPr>
            </w:pPr>
            <w:r>
              <w:rPr>
                <w:rFonts w:hint="eastAsia"/>
                <w:color w:val="000000"/>
                <w:shd w:val="clear" w:color="auto" w:fill="FFFFFF"/>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6" w:hRule="exact"/>
          <w:jc w:val="center"/>
        </w:trPr>
        <w:tc>
          <w:tcPr>
            <w:tcW w:w="561"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权力类型</w:t>
            </w:r>
          </w:p>
        </w:tc>
        <w:tc>
          <w:tcPr>
            <w:tcW w:w="8521"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atLeast"/>
          <w:jc w:val="center"/>
        </w:trPr>
        <w:tc>
          <w:tcPr>
            <w:tcW w:w="561"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权力项目名称</w:t>
            </w:r>
          </w:p>
        </w:tc>
        <w:tc>
          <w:tcPr>
            <w:tcW w:w="8521" w:type="dxa"/>
            <w:vAlign w:val="center"/>
          </w:tcPr>
          <w:p>
            <w:pPr>
              <w:spacing w:line="240" w:lineRule="exact"/>
              <w:ind w:firstLine="420" w:firstLineChars="200"/>
              <w:textAlignment w:val="center"/>
              <w:rPr>
                <w:color w:val="000000"/>
                <w:shd w:val="clear" w:color="auto" w:fill="FFFFFF"/>
              </w:rPr>
            </w:pPr>
            <w:r>
              <w:rPr>
                <w:rFonts w:hint="eastAsia" w:hAnsi="宋体"/>
                <w:color w:val="000000"/>
                <w:shd w:val="clear" w:color="auto" w:fill="FFFFFF"/>
              </w:rPr>
              <w:t>对将产生职业病危害的作业转移给没有职业病防护条件的单位和个人，或者没有职业病防护条件的单位和个人接受产生职业病危害的作业的处罚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76" w:hRule="atLeast"/>
          <w:jc w:val="center"/>
        </w:trPr>
        <w:tc>
          <w:tcPr>
            <w:tcW w:w="561"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实施依据</w:t>
            </w:r>
          </w:p>
        </w:tc>
        <w:tc>
          <w:tcPr>
            <w:tcW w:w="8521" w:type="dxa"/>
            <w:vAlign w:val="center"/>
          </w:tcPr>
          <w:p>
            <w:pPr>
              <w:spacing w:line="240" w:lineRule="exact"/>
              <w:ind w:firstLine="420" w:firstLineChars="200"/>
              <w:textAlignment w:val="center"/>
              <w:rPr>
                <w:color w:val="000000"/>
                <w:shd w:val="clear" w:color="auto" w:fill="FFFFFF"/>
              </w:rPr>
            </w:pPr>
            <w:r>
              <w:rPr>
                <w:rFonts w:hint="eastAsia"/>
                <w:color w:val="000000"/>
                <w:shd w:val="clear" w:color="auto" w:fill="FFFFFF"/>
              </w:rPr>
              <w:t>《中华人民共和国职业病防治法》(2018修正) 第七十五条：“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561"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责任主体</w:t>
            </w:r>
          </w:p>
        </w:tc>
        <w:tc>
          <w:tcPr>
            <w:tcW w:w="8521" w:type="dxa"/>
            <w:vAlign w:val="center"/>
          </w:tcPr>
          <w:p>
            <w:pPr>
              <w:spacing w:line="24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49" w:hRule="atLeast"/>
          <w:jc w:val="center"/>
        </w:trPr>
        <w:tc>
          <w:tcPr>
            <w:tcW w:w="561"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责任事项</w:t>
            </w:r>
          </w:p>
        </w:tc>
        <w:tc>
          <w:tcPr>
            <w:tcW w:w="8521" w:type="dxa"/>
            <w:vAlign w:val="center"/>
          </w:tcPr>
          <w:p>
            <w:pPr>
              <w:spacing w:line="24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4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4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4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4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4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4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4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4" w:hRule="atLeast"/>
          <w:jc w:val="center"/>
        </w:trPr>
        <w:tc>
          <w:tcPr>
            <w:tcW w:w="56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521"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Ansi="宋体"/>
                <w:color w:val="000000"/>
                <w:shd w:val="clear" w:color="auto" w:fill="FFFFFF"/>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4" w:hRule="atLeast"/>
          <w:jc w:val="center"/>
        </w:trPr>
        <w:tc>
          <w:tcPr>
            <w:tcW w:w="56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521"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-263</w:t>
      </w:r>
    </w:p>
    <w:tbl>
      <w:tblPr>
        <w:tblStyle w:val="13"/>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9"/>
        <w:gridCol w:w="8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0" w:hRule="atLeas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443"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443"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443"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对擅自拆除、停止使用职业病防护设备或者应急救援设施的处罚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5" w:hRule="atLeas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443" w:type="dxa"/>
            <w:vAlign w:val="center"/>
          </w:tcPr>
          <w:p>
            <w:pPr>
              <w:spacing w:line="260" w:lineRule="exact"/>
              <w:ind w:firstLine="420" w:firstLineChars="200"/>
              <w:textAlignment w:val="center"/>
              <w:rPr>
                <w:color w:val="000000"/>
                <w:shd w:val="clear" w:color="auto" w:fill="FFFFFF"/>
              </w:rPr>
            </w:pPr>
            <w:r>
              <w:rPr>
                <w:rFonts w:hint="eastAsia"/>
                <w:color w:val="000000"/>
                <w:shd w:val="clear" w:color="auto" w:fill="FFFFFF"/>
              </w:rPr>
              <w:t>《中华人民共和国职业病防治法》(2018修正) 第七十五条：“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 （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5" w:hRule="exac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443"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55" w:hRule="atLeas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443" w:type="dxa"/>
            <w:vAlign w:val="center"/>
          </w:tcPr>
          <w:p>
            <w:pPr>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4" w:hRule="atLeas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443"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Ansi="宋体"/>
                <w:color w:val="000000"/>
                <w:shd w:val="clear" w:color="auto" w:fill="FFFFFF"/>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443"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-264</w:t>
      </w:r>
    </w:p>
    <w:tbl>
      <w:tblPr>
        <w:tblStyle w:val="13"/>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6"/>
        <w:gridCol w:w="8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616"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446"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6" w:hRule="exact"/>
          <w:jc w:val="center"/>
        </w:trPr>
        <w:tc>
          <w:tcPr>
            <w:tcW w:w="616"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446"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atLeast"/>
          <w:jc w:val="center"/>
        </w:trPr>
        <w:tc>
          <w:tcPr>
            <w:tcW w:w="616"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446"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对安排未经职业健康检查的劳动者、有职业禁忌的劳动者、未成年工或者孕期、哺乳期女职工从事接触职业病危害的作业或者禁忌作业的处罚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6" w:hRule="atLeast"/>
          <w:jc w:val="center"/>
        </w:trPr>
        <w:tc>
          <w:tcPr>
            <w:tcW w:w="616"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446" w:type="dxa"/>
            <w:vAlign w:val="center"/>
          </w:tcPr>
          <w:p>
            <w:pPr>
              <w:spacing w:line="260" w:lineRule="exact"/>
              <w:ind w:firstLine="420" w:firstLineChars="200"/>
              <w:textAlignment w:val="center"/>
              <w:rPr>
                <w:color w:val="000000"/>
                <w:shd w:val="clear" w:color="auto" w:fill="FFFFFF"/>
              </w:rPr>
            </w:pPr>
            <w:r>
              <w:rPr>
                <w:rFonts w:hint="eastAsia"/>
                <w:color w:val="000000"/>
                <w:shd w:val="clear" w:color="auto" w:fill="FFFFFF"/>
              </w:rPr>
              <w:t>《中华人民共和国职业病防治法》(2018修正) 第七十五条：“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 （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616"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446"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05" w:hRule="atLeast"/>
          <w:jc w:val="center"/>
        </w:trPr>
        <w:tc>
          <w:tcPr>
            <w:tcW w:w="616"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446" w:type="dxa"/>
            <w:vAlign w:val="center"/>
          </w:tcPr>
          <w:p>
            <w:pPr>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7" w:hRule="atLeast"/>
          <w:jc w:val="center"/>
        </w:trPr>
        <w:tc>
          <w:tcPr>
            <w:tcW w:w="616"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446"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Ansi="宋体"/>
                <w:color w:val="000000"/>
                <w:shd w:val="clear" w:color="auto" w:fill="FFFFFF"/>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 w:hRule="atLeast"/>
          <w:jc w:val="center"/>
        </w:trPr>
        <w:tc>
          <w:tcPr>
            <w:tcW w:w="616"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446"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-265</w:t>
      </w:r>
    </w:p>
    <w:tbl>
      <w:tblPr>
        <w:tblStyle w:val="13"/>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7"/>
        <w:gridCol w:w="8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64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436"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0" w:hRule="atLeast"/>
          <w:jc w:val="center"/>
        </w:trPr>
        <w:tc>
          <w:tcPr>
            <w:tcW w:w="64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436"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8" w:hRule="exact"/>
          <w:jc w:val="center"/>
        </w:trPr>
        <w:tc>
          <w:tcPr>
            <w:tcW w:w="64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436"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对违章指挥和强令劳动者进行没有职业病防护措施的作业的处罚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4" w:hRule="atLeast"/>
          <w:jc w:val="center"/>
        </w:trPr>
        <w:tc>
          <w:tcPr>
            <w:tcW w:w="64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436" w:type="dxa"/>
            <w:vAlign w:val="center"/>
          </w:tcPr>
          <w:p>
            <w:pPr>
              <w:spacing w:line="260" w:lineRule="exact"/>
              <w:ind w:firstLine="420" w:firstLineChars="200"/>
              <w:textAlignment w:val="center"/>
              <w:rPr>
                <w:color w:val="000000"/>
                <w:shd w:val="clear" w:color="auto" w:fill="FFFFFF"/>
              </w:rPr>
            </w:pPr>
            <w:r>
              <w:rPr>
                <w:rFonts w:hint="eastAsia"/>
                <w:color w:val="000000"/>
                <w:shd w:val="clear" w:color="auto" w:fill="FFFFFF"/>
              </w:rPr>
              <w:t>《中华人民共和国职业病防治法》(2018修正) 第七十五条：“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 （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9" w:hRule="exact"/>
          <w:jc w:val="center"/>
        </w:trPr>
        <w:tc>
          <w:tcPr>
            <w:tcW w:w="64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436"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55" w:hRule="atLeast"/>
          <w:jc w:val="center"/>
        </w:trPr>
        <w:tc>
          <w:tcPr>
            <w:tcW w:w="64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436" w:type="dxa"/>
            <w:vAlign w:val="center"/>
          </w:tcPr>
          <w:p>
            <w:pPr>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4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436"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Ansi="宋体"/>
                <w:color w:val="000000"/>
                <w:shd w:val="clear" w:color="auto" w:fill="FFFFFF"/>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7"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436"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pacing w:val="-10"/>
          <w:shd w:val="clear" w:color="auto" w:fill="FFFFFF"/>
        </w:rPr>
        <w:t>表</w:t>
      </w:r>
      <w:r>
        <w:rPr>
          <w:color w:val="000000"/>
          <w:spacing w:val="-10"/>
          <w:shd w:val="clear" w:color="auto" w:fill="FFFFFF"/>
        </w:rPr>
        <w:t>2</w:t>
      </w:r>
      <w:r>
        <w:rPr>
          <w:rFonts w:hint="eastAsia" w:ascii="宋体" w:hAnsi="宋体" w:cs="宋体"/>
        </w:rPr>
        <w:t>-266</w:t>
      </w:r>
    </w:p>
    <w:tbl>
      <w:tblPr>
        <w:tblStyle w:val="13"/>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4"/>
        <w:gridCol w:w="8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624"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439"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exact"/>
          <w:jc w:val="center"/>
        </w:trPr>
        <w:tc>
          <w:tcPr>
            <w:tcW w:w="624"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43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1" w:hRule="exact"/>
          <w:jc w:val="center"/>
        </w:trPr>
        <w:tc>
          <w:tcPr>
            <w:tcW w:w="624"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439"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对生产、经营或者进口国家明令禁止使用的可能产生职业病危害的设备或者材料的处罚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3" w:hRule="atLeast"/>
          <w:jc w:val="center"/>
        </w:trPr>
        <w:tc>
          <w:tcPr>
            <w:tcW w:w="624"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439" w:type="dxa"/>
            <w:vAlign w:val="center"/>
          </w:tcPr>
          <w:p>
            <w:pPr>
              <w:spacing w:line="260" w:lineRule="exact"/>
              <w:ind w:firstLine="420" w:firstLineChars="200"/>
              <w:textAlignment w:val="center"/>
              <w:rPr>
                <w:color w:val="000000"/>
                <w:shd w:val="clear" w:color="auto" w:fill="FFFFFF"/>
              </w:rPr>
            </w:pPr>
            <w:r>
              <w:rPr>
                <w:rFonts w:hint="eastAsia"/>
                <w:color w:val="000000"/>
                <w:shd w:val="clear" w:color="auto" w:fill="FFFFFF"/>
              </w:rPr>
              <w:t>《中华人民共和国职业病防治法》(2018修正) 第七十六条：“生产、经营或者进口国家明令禁止使用的可能产生职业病危害的设备或者材料的，依照有关法律、行政法规的规定给予处罚”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624"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责任主体</w:t>
            </w:r>
          </w:p>
        </w:tc>
        <w:tc>
          <w:tcPr>
            <w:tcW w:w="8439" w:type="dxa"/>
            <w:vAlign w:val="center"/>
          </w:tcPr>
          <w:p>
            <w:pPr>
              <w:spacing w:line="24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59" w:hRule="atLeast"/>
          <w:jc w:val="center"/>
        </w:trPr>
        <w:tc>
          <w:tcPr>
            <w:tcW w:w="624"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责任事项</w:t>
            </w:r>
          </w:p>
        </w:tc>
        <w:tc>
          <w:tcPr>
            <w:tcW w:w="8439" w:type="dxa"/>
            <w:vAlign w:val="center"/>
          </w:tcPr>
          <w:p>
            <w:pPr>
              <w:spacing w:line="240" w:lineRule="exact"/>
              <w:ind w:firstLine="420" w:firstLineChars="200"/>
              <w:textAlignment w:val="center"/>
              <w:rPr>
                <w:color w:val="000000"/>
                <w:shd w:val="clear" w:color="auto" w:fill="FFFFFF"/>
              </w:rPr>
            </w:pPr>
            <w:r>
              <w:rPr>
                <w:rFonts w:hint="eastAsia"/>
                <w:color w:val="000000"/>
                <w:shd w:val="clear" w:color="auto" w:fill="FFFFFF"/>
              </w:rPr>
              <w:t>1.立案责任：发现生产、经营或者进口国家明令禁止使用的可能产生职业病危害的设备或者材料的，予以审查，决定是否立案。</w:t>
            </w:r>
          </w:p>
          <w:p>
            <w:pPr>
              <w:spacing w:line="240" w:lineRule="exact"/>
              <w:ind w:firstLine="420" w:firstLineChars="200"/>
              <w:textAlignment w:val="center"/>
              <w:rPr>
                <w:color w:val="000000"/>
                <w:shd w:val="clear" w:color="auto" w:fill="FFFFFF"/>
              </w:rPr>
            </w:pPr>
            <w:r>
              <w:rPr>
                <w:rFonts w:hint="eastAsia"/>
                <w:color w:val="000000"/>
                <w:shd w:val="clear" w:color="auto" w:fill="FFFFFF"/>
              </w:rPr>
              <w:t>2.调查责任：对立案的案件及时组织调查取证，与当事人有直接利害关系的应当回避。执法人员不得少于两人，询问或者检查应当制作笔录，允许当事人辩解。</w:t>
            </w:r>
          </w:p>
          <w:p>
            <w:pPr>
              <w:spacing w:line="240" w:lineRule="exact"/>
              <w:ind w:firstLine="420" w:firstLineChars="200"/>
              <w:textAlignment w:val="center"/>
              <w:rPr>
                <w:color w:val="000000"/>
                <w:shd w:val="clear" w:color="auto" w:fill="FFFFFF"/>
              </w:rPr>
            </w:pPr>
            <w:r>
              <w:rPr>
                <w:rFonts w:hint="eastAsia"/>
                <w:color w:val="000000"/>
                <w:shd w:val="clear" w:color="auto" w:fill="FFFFFF"/>
              </w:rPr>
              <w:t>3.审查责任：对案件违法事实、证据、调查取证程序、法律适用、处罚种类和幅度、当事人陈述和申辩等进行审查，提出处理意见。</w:t>
            </w:r>
          </w:p>
          <w:p>
            <w:pPr>
              <w:spacing w:line="240" w:lineRule="exact"/>
              <w:ind w:firstLine="420" w:firstLineChars="200"/>
              <w:textAlignment w:val="center"/>
              <w:rPr>
                <w:color w:val="000000"/>
                <w:shd w:val="clear" w:color="auto" w:fill="FFFFFF"/>
              </w:rPr>
            </w:pPr>
            <w:r>
              <w:rPr>
                <w:rFonts w:hint="eastAsia"/>
                <w:color w:val="000000"/>
                <w:shd w:val="clear" w:color="auto" w:fill="FFFFFF"/>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firstLineChars="200"/>
              <w:textAlignment w:val="center"/>
              <w:rPr>
                <w:color w:val="000000"/>
                <w:shd w:val="clear" w:color="auto" w:fill="FFFFFF"/>
              </w:rPr>
            </w:pPr>
            <w:r>
              <w:rPr>
                <w:rFonts w:hint="eastAsia"/>
                <w:color w:val="000000"/>
                <w:shd w:val="clear" w:color="auto" w:fill="FFFFFF"/>
              </w:rPr>
              <w:t>5.决定责任：作出行政处罚决定，制作《行政处罚决定书》，并载明行政处罚告知、当事人陈述申辩或者听证情况等内容。</w:t>
            </w:r>
          </w:p>
          <w:p>
            <w:pPr>
              <w:spacing w:line="240" w:lineRule="exact"/>
              <w:ind w:firstLine="420" w:firstLineChars="200"/>
              <w:textAlignment w:val="center"/>
              <w:rPr>
                <w:color w:val="000000"/>
                <w:shd w:val="clear" w:color="auto" w:fill="FFFFFF"/>
              </w:rPr>
            </w:pPr>
            <w:r>
              <w:rPr>
                <w:rFonts w:hint="eastAsia"/>
                <w:color w:val="000000"/>
                <w:shd w:val="clear" w:color="auto" w:fill="FFFFFF"/>
              </w:rPr>
              <w:t>6.送达责任：按照法律法规规定的方式和时限，将《行政处罚决定书》送达当事人。</w:t>
            </w:r>
          </w:p>
          <w:p>
            <w:pPr>
              <w:spacing w:line="240" w:lineRule="exact"/>
              <w:ind w:firstLine="420" w:firstLineChars="200"/>
              <w:textAlignment w:val="center"/>
              <w:rPr>
                <w:color w:val="000000"/>
                <w:shd w:val="clear" w:color="auto" w:fill="FFFFFF"/>
              </w:rPr>
            </w:pPr>
            <w:r>
              <w:rPr>
                <w:rFonts w:hint="eastAsia"/>
                <w:color w:val="000000"/>
                <w:shd w:val="clear" w:color="auto" w:fill="FFFFFF"/>
              </w:rPr>
              <w:t>7.执行责任：依照生效的行政处罚决定执行。</w:t>
            </w:r>
          </w:p>
          <w:p>
            <w:pPr>
              <w:spacing w:line="240" w:lineRule="exact"/>
              <w:ind w:firstLine="420" w:firstLineChars="200"/>
              <w:textAlignment w:val="center"/>
              <w:rPr>
                <w:color w:val="000000"/>
                <w:shd w:val="clear" w:color="auto" w:fill="FFFFFF"/>
              </w:rPr>
            </w:pPr>
            <w:r>
              <w:rPr>
                <w:rFonts w:hint="eastAsia"/>
                <w:color w:val="000000"/>
                <w:shd w:val="clear" w:color="auto" w:fill="FFFFFF"/>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624"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追责情形</w:t>
            </w:r>
          </w:p>
        </w:tc>
        <w:tc>
          <w:tcPr>
            <w:tcW w:w="8439" w:type="dxa"/>
            <w:vAlign w:val="center"/>
          </w:tcPr>
          <w:p>
            <w:pPr>
              <w:spacing w:line="240" w:lineRule="exact"/>
              <w:ind w:firstLine="420" w:firstLineChars="200"/>
              <w:textAlignment w:val="center"/>
              <w:rPr>
                <w:color w:val="000000"/>
                <w:shd w:val="clear" w:color="auto" w:fill="FFFFFF"/>
              </w:rPr>
            </w:pPr>
            <w:r>
              <w:rPr>
                <w:rFonts w:hint="eastAsia"/>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Ansi="宋体"/>
                <w:color w:val="000000"/>
                <w:shd w:val="clear" w:color="auto" w:fill="FFFFFF"/>
              </w:rPr>
              <w:t>《中华人民共和国职业病防治法》</w:t>
            </w:r>
            <w:r>
              <w:rPr>
                <w:rFonts w:hint="eastAsia"/>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624"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监督电话</w:t>
            </w:r>
          </w:p>
        </w:tc>
        <w:tc>
          <w:tcPr>
            <w:tcW w:w="8439" w:type="dxa"/>
            <w:vAlign w:val="center"/>
          </w:tcPr>
          <w:p>
            <w:pPr>
              <w:spacing w:line="240" w:lineRule="exact"/>
              <w:jc w:val="center"/>
              <w:textAlignment w:val="center"/>
              <w:rPr>
                <w:color w:val="000000"/>
                <w:shd w:val="clear" w:color="auto" w:fill="FFFFFF"/>
              </w:rPr>
            </w:pPr>
            <w:r>
              <w:rPr>
                <w:color w:val="000000"/>
                <w:shd w:val="clear" w:color="auto" w:fill="FFFFFF"/>
              </w:rPr>
              <w:t>12345</w:t>
            </w:r>
          </w:p>
        </w:tc>
      </w:tr>
    </w:tbl>
    <w:p>
      <w:pPr>
        <w:spacing w:line="240" w:lineRule="exact"/>
        <w:rPr>
          <w:color w:val="000000"/>
          <w:spacing w:val="-10"/>
          <w:shd w:val="clear" w:color="auto" w:fill="FFFFFF"/>
        </w:rPr>
      </w:pPr>
      <w:r>
        <w:rPr>
          <w:rFonts w:hAnsi="宋体"/>
          <w:color w:val="000000"/>
          <w:spacing w:val="-10"/>
          <w:shd w:val="clear" w:color="auto" w:fill="FFFFFF"/>
        </w:rPr>
        <w:t>表</w:t>
      </w:r>
      <w:r>
        <w:rPr>
          <w:color w:val="000000"/>
          <w:spacing w:val="-10"/>
          <w:shd w:val="clear" w:color="auto" w:fill="FFFFFF"/>
        </w:rPr>
        <w:t>2</w:t>
      </w:r>
      <w:r>
        <w:rPr>
          <w:rFonts w:hint="eastAsia" w:ascii="宋体" w:hAnsi="宋体" w:cs="宋体"/>
        </w:rPr>
        <w:t>-267</w:t>
      </w:r>
    </w:p>
    <w:tbl>
      <w:tblPr>
        <w:tblStyle w:val="13"/>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4"/>
        <w:gridCol w:w="8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624"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序号</w:t>
            </w:r>
          </w:p>
        </w:tc>
        <w:tc>
          <w:tcPr>
            <w:tcW w:w="8439" w:type="dxa"/>
            <w:vAlign w:val="center"/>
          </w:tcPr>
          <w:p>
            <w:pPr>
              <w:spacing w:line="240" w:lineRule="exact"/>
              <w:jc w:val="center"/>
              <w:textAlignment w:val="center"/>
              <w:rPr>
                <w:color w:val="000000"/>
                <w:shd w:val="clear" w:color="auto" w:fill="FFFFFF"/>
              </w:rPr>
            </w:pPr>
            <w:r>
              <w:rPr>
                <w:rFonts w:hint="eastAsia"/>
                <w:color w:val="000000"/>
                <w:shd w:val="clear" w:color="auto" w:fill="FFFFFF"/>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5" w:hRule="exact"/>
          <w:jc w:val="center"/>
        </w:trPr>
        <w:tc>
          <w:tcPr>
            <w:tcW w:w="624"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权力类型</w:t>
            </w:r>
          </w:p>
        </w:tc>
        <w:tc>
          <w:tcPr>
            <w:tcW w:w="8439"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6" w:hRule="exact"/>
          <w:jc w:val="center"/>
        </w:trPr>
        <w:tc>
          <w:tcPr>
            <w:tcW w:w="624"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权力项目名称</w:t>
            </w:r>
          </w:p>
        </w:tc>
        <w:tc>
          <w:tcPr>
            <w:tcW w:w="8439" w:type="dxa"/>
            <w:vAlign w:val="center"/>
          </w:tcPr>
          <w:p>
            <w:pPr>
              <w:spacing w:line="240" w:lineRule="exact"/>
              <w:jc w:val="center"/>
              <w:textAlignment w:val="center"/>
              <w:rPr>
                <w:color w:val="000000"/>
                <w:shd w:val="clear" w:color="auto" w:fill="FFFFFF"/>
              </w:rPr>
            </w:pPr>
            <w:r>
              <w:rPr>
                <w:rFonts w:hint="eastAsia" w:hAnsi="宋体"/>
                <w:color w:val="000000"/>
                <w:shd w:val="clear" w:color="auto" w:fill="FFFFFF"/>
              </w:rPr>
              <w:t>对用人单位违反《职业病防治法》规定，已经对劳动者生命健康造成严重损害的处罚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1" w:hRule="atLeast"/>
          <w:jc w:val="center"/>
        </w:trPr>
        <w:tc>
          <w:tcPr>
            <w:tcW w:w="624"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实施依据</w:t>
            </w:r>
          </w:p>
        </w:tc>
        <w:tc>
          <w:tcPr>
            <w:tcW w:w="8439" w:type="dxa"/>
            <w:vAlign w:val="center"/>
          </w:tcPr>
          <w:p>
            <w:pPr>
              <w:spacing w:line="240" w:lineRule="exact"/>
              <w:ind w:firstLine="420" w:firstLineChars="200"/>
              <w:textAlignment w:val="center"/>
              <w:rPr>
                <w:color w:val="000000"/>
                <w:shd w:val="clear" w:color="auto" w:fill="FFFFFF"/>
              </w:rPr>
            </w:pPr>
            <w:r>
              <w:rPr>
                <w:rFonts w:hint="eastAsia"/>
                <w:color w:val="000000"/>
                <w:shd w:val="clear" w:color="auto" w:fill="FFFFFF"/>
              </w:rPr>
              <w:t>《中华人民共和国职业病防治法》(2018修正) 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624"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责任主体</w:t>
            </w:r>
          </w:p>
        </w:tc>
        <w:tc>
          <w:tcPr>
            <w:tcW w:w="8439" w:type="dxa"/>
            <w:vAlign w:val="center"/>
          </w:tcPr>
          <w:p>
            <w:pPr>
              <w:spacing w:line="24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4" w:hRule="atLeast"/>
          <w:jc w:val="center"/>
        </w:trPr>
        <w:tc>
          <w:tcPr>
            <w:tcW w:w="624" w:type="dxa"/>
            <w:vAlign w:val="center"/>
          </w:tcPr>
          <w:p>
            <w:pPr>
              <w:spacing w:line="240" w:lineRule="exact"/>
              <w:jc w:val="center"/>
              <w:textAlignment w:val="center"/>
              <w:rPr>
                <w:color w:val="000000"/>
                <w:shd w:val="clear" w:color="auto" w:fill="FFFFFF"/>
              </w:rPr>
            </w:pPr>
            <w:r>
              <w:rPr>
                <w:rFonts w:hAnsi="宋体"/>
                <w:color w:val="000000"/>
                <w:shd w:val="clear" w:color="auto" w:fill="FFFFFF"/>
              </w:rPr>
              <w:t>责任事项</w:t>
            </w:r>
          </w:p>
        </w:tc>
        <w:tc>
          <w:tcPr>
            <w:tcW w:w="8439" w:type="dxa"/>
            <w:vAlign w:val="center"/>
          </w:tcPr>
          <w:p>
            <w:pPr>
              <w:spacing w:line="24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4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4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4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4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4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4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4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8" w:hRule="atLeast"/>
          <w:jc w:val="center"/>
        </w:trPr>
        <w:tc>
          <w:tcPr>
            <w:tcW w:w="624"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439"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Ansi="宋体"/>
                <w:color w:val="000000"/>
                <w:shd w:val="clear" w:color="auto" w:fill="FFFFFF"/>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8" w:hRule="atLeast"/>
          <w:jc w:val="center"/>
        </w:trPr>
        <w:tc>
          <w:tcPr>
            <w:tcW w:w="624"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439"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hd w:val="clear" w:color="auto" w:fill="FFFFFF"/>
        </w:rPr>
        <w:t>表</w:t>
      </w:r>
      <w:r>
        <w:rPr>
          <w:color w:val="000000"/>
          <w:shd w:val="clear" w:color="auto" w:fill="FFFFFF"/>
        </w:rPr>
        <w:t>2</w:t>
      </w:r>
      <w:r>
        <w:rPr>
          <w:rFonts w:hint="eastAsia" w:ascii="宋体" w:hAnsi="宋体" w:cs="宋体"/>
        </w:rPr>
        <w:t>-268</w:t>
      </w:r>
    </w:p>
    <w:tbl>
      <w:tblPr>
        <w:tblStyle w:val="13"/>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9"/>
        <w:gridCol w:w="8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470"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6" w:hRule="exac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470"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8" w:hRule="exac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470"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对未取得职业卫生技术服务资质认可擅自从事职业卫生技术服务的处罚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8" w:hRule="atLeas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470" w:type="dxa"/>
            <w:vAlign w:val="center"/>
          </w:tcPr>
          <w:p>
            <w:pPr>
              <w:pStyle w:val="41"/>
              <w:widowControl w:val="0"/>
              <w:spacing w:line="260" w:lineRule="exact"/>
              <w:ind w:firstLine="420" w:firstLineChars="200"/>
              <w:textAlignment w:val="center"/>
              <w:rPr>
                <w:color w:val="000000"/>
                <w:shd w:val="clear" w:color="auto" w:fill="FFFFFF"/>
              </w:rPr>
            </w:pPr>
            <w:r>
              <w:rPr>
                <w:rFonts w:hint="eastAsia"/>
                <w:color w:val="000000"/>
                <w:shd w:val="clear" w:color="auto" w:fill="FFFFFF"/>
              </w:rPr>
              <w:t>《中华人民共和国职业病防治法》(2018修正) 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5" w:hRule="exac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470"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80" w:hRule="atLeas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470" w:type="dxa"/>
            <w:vAlign w:val="center"/>
          </w:tcPr>
          <w:p>
            <w:pPr>
              <w:spacing w:line="260" w:lineRule="exact"/>
              <w:ind w:firstLine="420" w:firstLineChars="200"/>
              <w:textAlignment w:val="center"/>
              <w:rPr>
                <w:color w:val="000000"/>
                <w:shd w:val="clear" w:color="auto" w:fill="FFFFFF"/>
              </w:rPr>
            </w:pPr>
            <w:r>
              <w:rPr>
                <w:color w:val="000000"/>
                <w:shd w:val="clear" w:color="auto" w:fill="FFFFFF"/>
              </w:rPr>
              <w:t>1</w:t>
            </w:r>
            <w:r>
              <w:rPr>
                <w:rFonts w:hAnsi="宋体"/>
                <w:color w:val="000000"/>
                <w:shd w:val="clear" w:color="auto" w:fill="FFFFFF"/>
              </w:rPr>
              <w:t>．立案责任：根据违法事实，法律法规规定决定是否立案。</w:t>
            </w:r>
          </w:p>
          <w:p>
            <w:pPr>
              <w:spacing w:line="260" w:lineRule="exact"/>
              <w:ind w:firstLine="420" w:firstLineChars="200"/>
              <w:textAlignment w:val="center"/>
              <w:rPr>
                <w:color w:val="000000"/>
                <w:shd w:val="clear" w:color="auto" w:fill="FFFFFF"/>
              </w:rPr>
            </w:pPr>
            <w:r>
              <w:rPr>
                <w:color w:val="000000"/>
                <w:shd w:val="clear" w:color="auto" w:fill="FFFFFF"/>
              </w:rPr>
              <w:t>2</w:t>
            </w:r>
            <w:r>
              <w:rPr>
                <w:rFonts w:hAnsi="宋体"/>
                <w:color w:val="000000"/>
                <w:shd w:val="clear" w:color="auto" w:fill="FFFFFF"/>
              </w:rPr>
              <w:t>．调查责任：对违法行为进行调查并形成相关证据。</w:t>
            </w:r>
          </w:p>
          <w:p>
            <w:pPr>
              <w:spacing w:line="260" w:lineRule="exact"/>
              <w:ind w:firstLine="420" w:firstLineChars="200"/>
              <w:textAlignment w:val="center"/>
              <w:rPr>
                <w:color w:val="000000"/>
                <w:shd w:val="clear" w:color="auto" w:fill="FFFFFF"/>
              </w:rPr>
            </w:pPr>
            <w:r>
              <w:rPr>
                <w:color w:val="000000"/>
                <w:shd w:val="clear" w:color="auto" w:fill="FFFFFF"/>
              </w:rPr>
              <w:t>3</w:t>
            </w:r>
            <w:r>
              <w:rPr>
                <w:rFonts w:hAnsi="宋体"/>
                <w:color w:val="000000"/>
                <w:shd w:val="clear" w:color="auto" w:fill="FFFFFF"/>
              </w:rPr>
              <w:t>．审查责任：对已收集的证据进行审查是否事实清楚，证据是否确凿，是否形成闭合的证据链。</w:t>
            </w:r>
          </w:p>
          <w:p>
            <w:pPr>
              <w:spacing w:line="260" w:lineRule="exact"/>
              <w:ind w:firstLine="420" w:firstLineChars="200"/>
              <w:textAlignment w:val="center"/>
              <w:rPr>
                <w:color w:val="000000"/>
                <w:shd w:val="clear" w:color="auto" w:fill="FFFFFF"/>
              </w:rPr>
            </w:pPr>
            <w:r>
              <w:rPr>
                <w:color w:val="000000"/>
                <w:shd w:val="clear" w:color="auto" w:fill="FFFFFF"/>
              </w:rPr>
              <w:t>4</w:t>
            </w:r>
            <w:r>
              <w:rPr>
                <w:rFonts w:hAnsi="宋体"/>
                <w:color w:val="000000"/>
                <w:shd w:val="clear" w:color="auto" w:fill="FFFFFF"/>
              </w:rPr>
              <w:t>．告知责任：告知行政相对人违法事实、处罚依据、法律法规条款，告知相对人享有申辩、陈述权利。</w:t>
            </w:r>
          </w:p>
          <w:p>
            <w:pPr>
              <w:spacing w:line="260" w:lineRule="exact"/>
              <w:ind w:firstLine="420" w:firstLineChars="200"/>
              <w:textAlignment w:val="center"/>
              <w:rPr>
                <w:color w:val="000000"/>
                <w:shd w:val="clear" w:color="auto" w:fill="FFFFFF"/>
              </w:rPr>
            </w:pPr>
            <w:r>
              <w:rPr>
                <w:color w:val="000000"/>
                <w:shd w:val="clear" w:color="auto" w:fill="FFFFFF"/>
              </w:rPr>
              <w:t>5</w:t>
            </w:r>
            <w:r>
              <w:rPr>
                <w:rFonts w:hAnsi="宋体"/>
                <w:color w:val="000000"/>
                <w:shd w:val="clear" w:color="auto" w:fill="FFFFFF"/>
              </w:rPr>
              <w:t>．决定责任：根据违法事实，按照法律法规规定决定行政处罚种类，制作处罚决定书。</w:t>
            </w:r>
          </w:p>
          <w:p>
            <w:pPr>
              <w:spacing w:line="260" w:lineRule="exact"/>
              <w:ind w:firstLine="420" w:firstLineChars="200"/>
              <w:textAlignment w:val="center"/>
              <w:rPr>
                <w:color w:val="000000"/>
                <w:shd w:val="clear" w:color="auto" w:fill="FFFFFF"/>
              </w:rPr>
            </w:pPr>
            <w:r>
              <w:rPr>
                <w:color w:val="000000"/>
                <w:shd w:val="clear" w:color="auto" w:fill="FFFFFF"/>
              </w:rPr>
              <w:t>6</w:t>
            </w:r>
            <w:r>
              <w:rPr>
                <w:rFonts w:hAnsi="宋体"/>
                <w:color w:val="000000"/>
                <w:shd w:val="clear" w:color="auto" w:fill="FFFFFF"/>
              </w:rPr>
              <w:t>．送达责任：由两名以上行政执法人员将处罚决定书采取挂号邮寄、留置送达等方式送达行政相对人。</w:t>
            </w:r>
          </w:p>
          <w:p>
            <w:pPr>
              <w:spacing w:line="260" w:lineRule="exact"/>
              <w:ind w:firstLine="420" w:firstLineChars="200"/>
              <w:textAlignment w:val="center"/>
              <w:rPr>
                <w:color w:val="000000"/>
                <w:shd w:val="clear" w:color="auto" w:fill="FFFFFF"/>
              </w:rPr>
            </w:pPr>
            <w:r>
              <w:rPr>
                <w:color w:val="000000"/>
                <w:shd w:val="clear" w:color="auto" w:fill="FFFFFF"/>
              </w:rPr>
              <w:t>7</w:t>
            </w:r>
            <w:r>
              <w:rPr>
                <w:rFonts w:hAnsi="宋体"/>
                <w:color w:val="000000"/>
                <w:shd w:val="clear" w:color="auto" w:fill="FFFFFF"/>
              </w:rPr>
              <w:t>．执行责任：按照处罚决定书对行政相对人进行行政处罚。</w:t>
            </w:r>
          </w:p>
          <w:p>
            <w:pPr>
              <w:spacing w:line="260" w:lineRule="exact"/>
              <w:ind w:firstLine="420" w:firstLineChars="200"/>
              <w:textAlignment w:val="center"/>
              <w:rPr>
                <w:color w:val="000000"/>
                <w:shd w:val="clear" w:color="auto" w:fill="FFFFFF"/>
              </w:rPr>
            </w:pPr>
            <w:r>
              <w:rPr>
                <w:color w:val="000000"/>
                <w:shd w:val="clear" w:color="auto" w:fill="FFFFFF"/>
              </w:rPr>
              <w:t>8</w:t>
            </w:r>
            <w:r>
              <w:rPr>
                <w:rFonts w:hAnsi="宋体"/>
                <w:color w:val="00000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7" w:hRule="atLeas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470"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Ansi="宋体"/>
                <w:color w:val="000000"/>
                <w:shd w:val="clear" w:color="auto" w:fill="FFFFFF"/>
              </w:rPr>
              <w:t>《中华人民共和国职业病防治法》</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1" w:hRule="atLeast"/>
          <w:jc w:val="center"/>
        </w:trPr>
        <w:tc>
          <w:tcPr>
            <w:tcW w:w="619"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470"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color w:val="000000"/>
          <w:spacing w:val="-10"/>
          <w:shd w:val="clear" w:color="auto" w:fill="FFFFFF"/>
        </w:rPr>
      </w:pPr>
      <w:r>
        <w:rPr>
          <w:rFonts w:hAnsi="宋体"/>
          <w:color w:val="000000"/>
          <w:spacing w:val="-10"/>
          <w:shd w:val="clear" w:color="auto" w:fill="FFFFFF"/>
        </w:rPr>
        <w:t>表</w:t>
      </w:r>
      <w:r>
        <w:rPr>
          <w:color w:val="000000"/>
          <w:spacing w:val="-10"/>
          <w:shd w:val="clear" w:color="auto" w:fill="FFFFFF"/>
        </w:rPr>
        <w:t>2</w:t>
      </w:r>
      <w:r>
        <w:rPr>
          <w:rFonts w:hint="eastAsia" w:ascii="宋体" w:hAnsi="宋体" w:cs="宋体"/>
        </w:rPr>
        <w:t>-269</w:t>
      </w:r>
    </w:p>
    <w:tbl>
      <w:tblPr>
        <w:tblStyle w:val="13"/>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5"/>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381"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6"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38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381" w:type="dxa"/>
            <w:vAlign w:val="center"/>
          </w:tcPr>
          <w:p>
            <w:pPr>
              <w:spacing w:line="260" w:lineRule="exact"/>
              <w:ind w:firstLine="1100" w:firstLineChars="500"/>
              <w:textAlignment w:val="center"/>
              <w:rPr>
                <w:color w:val="000000"/>
                <w:shd w:val="clear" w:color="auto" w:fill="FFFFFF"/>
              </w:rPr>
            </w:pPr>
            <w:r>
              <w:rPr>
                <w:rFonts w:hint="eastAsia" w:ascii="宋体" w:hAnsi="宋体" w:cs="宋体"/>
                <w:kern w:val="0"/>
                <w:sz w:val="22"/>
              </w:rPr>
              <w:t>对高毒作业场所未按照规定设置撤离通道和泄险区的处罚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8"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381" w:type="dxa"/>
            <w:vAlign w:val="center"/>
          </w:tcPr>
          <w:p>
            <w:pPr>
              <w:pStyle w:val="41"/>
              <w:widowControl w:val="0"/>
              <w:spacing w:line="260" w:lineRule="exact"/>
              <w:ind w:firstLine="420" w:firstLineChars="200"/>
              <w:textAlignment w:val="center"/>
              <w:rPr>
                <w:color w:val="000000"/>
                <w:shd w:val="clear" w:color="auto" w:fill="FFFFFF"/>
              </w:rPr>
            </w:pPr>
            <w:r>
              <w:rPr>
                <w:rFonts w:hint="eastAsia"/>
                <w:color w:val="000000"/>
                <w:shd w:val="clear" w:color="auto" w:fill="FFFFFF"/>
              </w:rPr>
              <w:t>《使用有毒物品作业场所劳动保护条例》（国务院令第352号）第五十九条第四项：“用人单位违反本条例的规定，有下列情形之一的，由卫生健康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四)高毒作业场所未按照规定设置撤离通道和泄险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5" w:hRule="exac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责任主体</w:t>
            </w:r>
          </w:p>
        </w:tc>
        <w:tc>
          <w:tcPr>
            <w:tcW w:w="8381" w:type="dxa"/>
            <w:vAlign w:val="center"/>
          </w:tcPr>
          <w:p>
            <w:pPr>
              <w:spacing w:line="26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6"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责任事项</w:t>
            </w:r>
          </w:p>
        </w:tc>
        <w:tc>
          <w:tcPr>
            <w:tcW w:w="8381" w:type="dxa"/>
            <w:vAlign w:val="center"/>
          </w:tcPr>
          <w:p>
            <w:pPr>
              <w:spacing w:line="260" w:lineRule="exact"/>
              <w:ind w:firstLine="420" w:firstLineChars="200"/>
              <w:textAlignment w:val="center"/>
              <w:rPr>
                <w:color w:val="000000"/>
                <w:shd w:val="clear" w:color="auto" w:fill="FFFFFF"/>
              </w:rPr>
            </w:pPr>
            <w:r>
              <w:rPr>
                <w:rFonts w:hint="eastAsia"/>
                <w:color w:val="000000"/>
                <w:shd w:val="clear" w:color="auto" w:fill="FFFFFF"/>
              </w:rPr>
              <w:t>1.立案责任：发现高毒作业场所未按照规定设置撤离通道和泄险区的，予以审查，决定是否立案。</w:t>
            </w:r>
          </w:p>
          <w:p>
            <w:pPr>
              <w:spacing w:line="260" w:lineRule="exact"/>
              <w:ind w:firstLine="420" w:firstLineChars="200"/>
              <w:textAlignment w:val="center"/>
              <w:rPr>
                <w:color w:val="000000"/>
                <w:shd w:val="clear" w:color="auto" w:fill="FFFFFF"/>
              </w:rPr>
            </w:pPr>
            <w:r>
              <w:rPr>
                <w:rFonts w:hint="eastAsia"/>
                <w:color w:val="000000"/>
                <w:shd w:val="clear" w:color="auto" w:fill="FFFFFF"/>
              </w:rPr>
              <w:t>2.调查责任：对立案的案件及时组织调查取证，与当事人有直接利害关系的应当回避。执法人员不得少于两人，询问或者检查应当制作笔录，允许当事人辩解。</w:t>
            </w:r>
          </w:p>
          <w:p>
            <w:pPr>
              <w:spacing w:line="260" w:lineRule="exact"/>
              <w:ind w:firstLine="420" w:firstLineChars="200"/>
              <w:textAlignment w:val="center"/>
              <w:rPr>
                <w:color w:val="000000"/>
                <w:shd w:val="clear" w:color="auto" w:fill="FFFFFF"/>
              </w:rPr>
            </w:pPr>
            <w:r>
              <w:rPr>
                <w:rFonts w:hint="eastAsia"/>
                <w:color w:val="000000"/>
                <w:shd w:val="clear" w:color="auto" w:fill="FFFFFF"/>
              </w:rPr>
              <w:t>3.审查责任：对案件违法事实、证据、调查取证程序、法律适用、处罚种类和幅度、当事人陈述和申辩等进行审查，提出处理意见。</w:t>
            </w:r>
          </w:p>
          <w:p>
            <w:pPr>
              <w:spacing w:line="260" w:lineRule="exact"/>
              <w:ind w:firstLine="420" w:firstLineChars="200"/>
              <w:textAlignment w:val="center"/>
              <w:rPr>
                <w:color w:val="000000"/>
                <w:shd w:val="clear" w:color="auto" w:fill="FFFFFF"/>
              </w:rPr>
            </w:pPr>
            <w:r>
              <w:rPr>
                <w:rFonts w:hint="eastAsia"/>
                <w:color w:val="000000"/>
                <w:shd w:val="clear" w:color="auto" w:fill="FFFFFF"/>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firstLineChars="200"/>
              <w:textAlignment w:val="center"/>
              <w:rPr>
                <w:color w:val="000000"/>
                <w:shd w:val="clear" w:color="auto" w:fill="FFFFFF"/>
              </w:rPr>
            </w:pPr>
            <w:r>
              <w:rPr>
                <w:rFonts w:hint="eastAsia"/>
                <w:color w:val="000000"/>
                <w:shd w:val="clear" w:color="auto" w:fill="FFFFFF"/>
              </w:rPr>
              <w:t>5.决定责任：作出行政处罚决定，制作《行政处罚决定书》，并载明行政处罚告知、当事人陈述申辩或者听证情况等内容。</w:t>
            </w:r>
          </w:p>
          <w:p>
            <w:pPr>
              <w:spacing w:line="260" w:lineRule="exact"/>
              <w:ind w:firstLine="420" w:firstLineChars="200"/>
              <w:textAlignment w:val="center"/>
              <w:rPr>
                <w:color w:val="000000"/>
                <w:shd w:val="clear" w:color="auto" w:fill="FFFFFF"/>
              </w:rPr>
            </w:pPr>
            <w:r>
              <w:rPr>
                <w:rFonts w:hint="eastAsia"/>
                <w:color w:val="000000"/>
                <w:shd w:val="clear" w:color="auto" w:fill="FFFFFF"/>
              </w:rPr>
              <w:t>6.送达责任：按照法律法规规定的方式和时限，将《行政处罚决定书》送达当事人。</w:t>
            </w:r>
          </w:p>
          <w:p>
            <w:pPr>
              <w:spacing w:line="260" w:lineRule="exact"/>
              <w:ind w:firstLine="420" w:firstLineChars="200"/>
              <w:textAlignment w:val="center"/>
              <w:rPr>
                <w:color w:val="000000"/>
                <w:shd w:val="clear" w:color="auto" w:fill="FFFFFF"/>
              </w:rPr>
            </w:pPr>
            <w:r>
              <w:rPr>
                <w:rFonts w:hint="eastAsia"/>
                <w:color w:val="000000"/>
                <w:shd w:val="clear" w:color="auto" w:fill="FFFFFF"/>
              </w:rPr>
              <w:t>7.执行责任：依照生效的行政处罚决定执行。</w:t>
            </w:r>
          </w:p>
          <w:p>
            <w:pPr>
              <w:spacing w:line="260" w:lineRule="exact"/>
              <w:ind w:firstLine="420" w:firstLineChars="200"/>
              <w:textAlignment w:val="center"/>
              <w:rPr>
                <w:color w:val="000000"/>
                <w:shd w:val="clear" w:color="auto" w:fill="FFFFFF"/>
              </w:rPr>
            </w:pPr>
            <w:r>
              <w:rPr>
                <w:rFonts w:hint="eastAsia"/>
                <w:color w:val="000000"/>
                <w:shd w:val="clear" w:color="auto" w:fill="FFFFFF"/>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4"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追责情形</w:t>
            </w:r>
          </w:p>
        </w:tc>
        <w:tc>
          <w:tcPr>
            <w:tcW w:w="8381" w:type="dxa"/>
            <w:vAlign w:val="center"/>
          </w:tcPr>
          <w:p>
            <w:pPr>
              <w:spacing w:line="26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监督电话</w:t>
            </w:r>
          </w:p>
        </w:tc>
        <w:tc>
          <w:tcPr>
            <w:tcW w:w="8381" w:type="dxa"/>
            <w:vAlign w:val="center"/>
          </w:tcPr>
          <w:p>
            <w:pPr>
              <w:spacing w:line="260" w:lineRule="exact"/>
              <w:jc w:val="center"/>
              <w:textAlignment w:val="center"/>
              <w:rPr>
                <w:color w:val="000000"/>
                <w:shd w:val="clear" w:color="auto" w:fill="FFFFFF"/>
              </w:rPr>
            </w:pPr>
            <w:r>
              <w:rPr>
                <w:color w:val="000000"/>
                <w:shd w:val="clear" w:color="auto" w:fill="FFFFFF"/>
              </w:rPr>
              <w:t>12345</w:t>
            </w:r>
          </w:p>
        </w:tc>
      </w:tr>
    </w:tbl>
    <w:p>
      <w:pPr>
        <w:spacing w:line="260" w:lineRule="exact"/>
        <w:rPr>
          <w:rFonts w:hAnsi="宋体"/>
          <w:color w:val="000000"/>
          <w:spacing w:val="-10"/>
          <w:shd w:val="clear" w:color="auto" w:fill="FFFFFF"/>
        </w:rPr>
      </w:pPr>
    </w:p>
    <w:p>
      <w:pPr>
        <w:spacing w:line="260" w:lineRule="exact"/>
        <w:rPr>
          <w:color w:val="000000"/>
          <w:spacing w:val="-10"/>
          <w:shd w:val="clear" w:color="auto" w:fill="FFFFFF"/>
        </w:rPr>
      </w:pPr>
      <w:r>
        <w:rPr>
          <w:rFonts w:hAnsi="宋体"/>
          <w:color w:val="000000"/>
          <w:spacing w:val="-10"/>
          <w:shd w:val="clear" w:color="auto" w:fill="FFFFFF"/>
        </w:rPr>
        <w:t>表</w:t>
      </w:r>
      <w:r>
        <w:rPr>
          <w:color w:val="000000"/>
          <w:spacing w:val="-10"/>
          <w:shd w:val="clear" w:color="auto" w:fill="FFFFFF"/>
        </w:rPr>
        <w:t>2</w:t>
      </w:r>
      <w:r>
        <w:rPr>
          <w:rFonts w:hint="eastAsia" w:ascii="宋体" w:hAnsi="宋体" w:cs="宋体"/>
        </w:rPr>
        <w:t>-270</w:t>
      </w:r>
    </w:p>
    <w:tbl>
      <w:tblPr>
        <w:tblStyle w:val="13"/>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5"/>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序号</w:t>
            </w:r>
          </w:p>
        </w:tc>
        <w:tc>
          <w:tcPr>
            <w:tcW w:w="8381" w:type="dxa"/>
            <w:vAlign w:val="center"/>
          </w:tcPr>
          <w:p>
            <w:pPr>
              <w:spacing w:line="260" w:lineRule="exact"/>
              <w:jc w:val="center"/>
              <w:textAlignment w:val="center"/>
              <w:rPr>
                <w:color w:val="000000"/>
                <w:shd w:val="clear" w:color="auto" w:fill="FFFFFF"/>
              </w:rPr>
            </w:pPr>
            <w:r>
              <w:rPr>
                <w:rFonts w:hint="eastAsia"/>
                <w:color w:val="000000"/>
                <w:shd w:val="clear" w:color="auto" w:fill="FFFFFF"/>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6"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权力类型</w:t>
            </w:r>
          </w:p>
        </w:tc>
        <w:tc>
          <w:tcPr>
            <w:tcW w:w="8381"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权力项目名称</w:t>
            </w:r>
          </w:p>
        </w:tc>
        <w:tc>
          <w:tcPr>
            <w:tcW w:w="8381" w:type="dxa"/>
            <w:vAlign w:val="center"/>
          </w:tcPr>
          <w:p>
            <w:pPr>
              <w:spacing w:line="260" w:lineRule="exact"/>
              <w:ind w:firstLine="1680" w:firstLineChars="800"/>
              <w:textAlignment w:val="center"/>
              <w:rPr>
                <w:color w:val="000000"/>
                <w:shd w:val="clear" w:color="auto" w:fill="FFFFFF"/>
              </w:rPr>
            </w:pPr>
            <w:r>
              <w:rPr>
                <w:rFonts w:hint="eastAsia" w:hAnsi="宋体"/>
                <w:color w:val="000000"/>
                <w:shd w:val="clear" w:color="auto" w:fill="FFFFFF"/>
              </w:rPr>
              <w:t>对高毒作业场所未按照规定设置警示线的处罚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4" w:hRule="atLeast"/>
          <w:jc w:val="center"/>
        </w:trPr>
        <w:tc>
          <w:tcPr>
            <w:tcW w:w="675" w:type="dxa"/>
            <w:vAlign w:val="center"/>
          </w:tcPr>
          <w:p>
            <w:pPr>
              <w:spacing w:line="260" w:lineRule="exact"/>
              <w:jc w:val="center"/>
              <w:textAlignment w:val="center"/>
              <w:rPr>
                <w:color w:val="000000"/>
                <w:shd w:val="clear" w:color="auto" w:fill="FFFFFF"/>
              </w:rPr>
            </w:pPr>
            <w:r>
              <w:rPr>
                <w:rFonts w:hAnsi="宋体"/>
                <w:color w:val="000000"/>
                <w:shd w:val="clear" w:color="auto" w:fill="FFFFFF"/>
              </w:rPr>
              <w:t>实施依据</w:t>
            </w:r>
          </w:p>
        </w:tc>
        <w:tc>
          <w:tcPr>
            <w:tcW w:w="8381" w:type="dxa"/>
            <w:vAlign w:val="center"/>
          </w:tcPr>
          <w:p>
            <w:pPr>
              <w:pStyle w:val="41"/>
              <w:widowControl w:val="0"/>
              <w:spacing w:line="260" w:lineRule="exact"/>
              <w:ind w:firstLine="420" w:firstLineChars="200"/>
              <w:textAlignment w:val="center"/>
              <w:rPr>
                <w:color w:val="000000"/>
                <w:shd w:val="clear" w:color="auto" w:fill="FFFFFF"/>
              </w:rPr>
            </w:pPr>
            <w:r>
              <w:rPr>
                <w:rFonts w:hint="eastAsia"/>
                <w:color w:val="000000"/>
                <w:shd w:val="clear" w:color="auto" w:fill="FFFFFF"/>
              </w:rPr>
              <w:t>《使用有毒物品作业场所劳动保护条例》（国务院令第352号）第五十九条第五项：“用人单位违反本条例的规定，有下列情形之一的，由卫生健康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五)高毒作业场所未按照规定设置警示线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exact"/>
          <w:jc w:val="center"/>
        </w:trPr>
        <w:tc>
          <w:tcPr>
            <w:tcW w:w="675" w:type="dxa"/>
            <w:vAlign w:val="center"/>
          </w:tcPr>
          <w:p>
            <w:pPr>
              <w:spacing w:line="230" w:lineRule="exact"/>
              <w:jc w:val="center"/>
              <w:textAlignment w:val="center"/>
              <w:rPr>
                <w:color w:val="000000"/>
                <w:shd w:val="clear" w:color="auto" w:fill="FFFFFF"/>
              </w:rPr>
            </w:pPr>
            <w:r>
              <w:rPr>
                <w:rFonts w:hAnsi="宋体"/>
                <w:color w:val="000000"/>
                <w:shd w:val="clear" w:color="auto" w:fill="FFFFFF"/>
              </w:rPr>
              <w:t>责任主体</w:t>
            </w:r>
          </w:p>
        </w:tc>
        <w:tc>
          <w:tcPr>
            <w:tcW w:w="8381" w:type="dxa"/>
            <w:vAlign w:val="center"/>
          </w:tcPr>
          <w:p>
            <w:pPr>
              <w:spacing w:line="230" w:lineRule="exact"/>
              <w:jc w:val="center"/>
              <w:textAlignment w:val="center"/>
              <w:rPr>
                <w:color w:val="000000"/>
                <w:shd w:val="clear" w:color="auto" w:fill="FFFFFF"/>
              </w:rPr>
            </w:pPr>
            <w:r>
              <w:rPr>
                <w:rFonts w:hint="eastAsia" w:hAnsi="宋体"/>
                <w:color w:val="000000"/>
                <w:shd w:val="clear" w:color="auto" w:fill="FFFFFF"/>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42" w:hRule="atLeast"/>
          <w:jc w:val="center"/>
        </w:trPr>
        <w:tc>
          <w:tcPr>
            <w:tcW w:w="675" w:type="dxa"/>
            <w:vAlign w:val="center"/>
          </w:tcPr>
          <w:p>
            <w:pPr>
              <w:spacing w:line="230" w:lineRule="exact"/>
              <w:jc w:val="center"/>
              <w:textAlignment w:val="center"/>
              <w:rPr>
                <w:color w:val="000000"/>
                <w:shd w:val="clear" w:color="auto" w:fill="FFFFFF"/>
              </w:rPr>
            </w:pPr>
            <w:r>
              <w:rPr>
                <w:rFonts w:hAnsi="宋体"/>
                <w:color w:val="000000"/>
                <w:shd w:val="clear" w:color="auto" w:fill="FFFFFF"/>
              </w:rPr>
              <w:t>责任事项</w:t>
            </w:r>
          </w:p>
        </w:tc>
        <w:tc>
          <w:tcPr>
            <w:tcW w:w="8381" w:type="dxa"/>
            <w:vAlign w:val="center"/>
          </w:tcPr>
          <w:p>
            <w:pPr>
              <w:spacing w:line="230" w:lineRule="exact"/>
              <w:ind w:firstLine="420" w:firstLineChars="200"/>
              <w:textAlignment w:val="center"/>
              <w:rPr>
                <w:color w:val="000000"/>
                <w:shd w:val="clear" w:color="auto" w:fill="FFFFFF"/>
              </w:rPr>
            </w:pPr>
            <w:r>
              <w:rPr>
                <w:rFonts w:hint="eastAsia"/>
                <w:color w:val="000000"/>
                <w:shd w:val="clear" w:color="auto" w:fill="FFFFFF"/>
              </w:rPr>
              <w:t>1.立案责任：发现高毒作业场所未按照规定设置警示线的，予以审查，决定是否立案。</w:t>
            </w:r>
          </w:p>
          <w:p>
            <w:pPr>
              <w:spacing w:line="230" w:lineRule="exact"/>
              <w:ind w:firstLine="420" w:firstLineChars="200"/>
              <w:textAlignment w:val="center"/>
              <w:rPr>
                <w:color w:val="000000"/>
                <w:shd w:val="clear" w:color="auto" w:fill="FFFFFF"/>
              </w:rPr>
            </w:pPr>
            <w:r>
              <w:rPr>
                <w:rFonts w:hint="eastAsia"/>
                <w:color w:val="000000"/>
                <w:shd w:val="clear" w:color="auto" w:fill="FFFFFF"/>
              </w:rPr>
              <w:t>2.调查责任：对立案的案件及时组织调查取证，与当事人有直接利害关系的应当回避。执法人员不得少于两人，询问或者检查应当制作笔录，允许当事人辩解。</w:t>
            </w:r>
          </w:p>
          <w:p>
            <w:pPr>
              <w:spacing w:line="230" w:lineRule="exact"/>
              <w:ind w:firstLine="420" w:firstLineChars="200"/>
              <w:textAlignment w:val="center"/>
              <w:rPr>
                <w:color w:val="000000"/>
                <w:shd w:val="clear" w:color="auto" w:fill="FFFFFF"/>
              </w:rPr>
            </w:pPr>
            <w:r>
              <w:rPr>
                <w:rFonts w:hint="eastAsia"/>
                <w:color w:val="000000"/>
                <w:shd w:val="clear" w:color="auto" w:fill="FFFFFF"/>
              </w:rPr>
              <w:t>3.审查责任：对案件违法事实、证据、调查取证程序、法律适用、处罚种类和幅度、当事人陈述和申辩等进行审查，提出处理意见。</w:t>
            </w:r>
          </w:p>
          <w:p>
            <w:pPr>
              <w:spacing w:line="230" w:lineRule="exact"/>
              <w:ind w:firstLine="420" w:firstLineChars="200"/>
              <w:textAlignment w:val="center"/>
              <w:rPr>
                <w:color w:val="000000"/>
                <w:shd w:val="clear" w:color="auto" w:fill="FFFFFF"/>
              </w:rPr>
            </w:pPr>
            <w:r>
              <w:rPr>
                <w:rFonts w:hint="eastAsia"/>
                <w:color w:val="000000"/>
                <w:shd w:val="clear" w:color="auto" w:fill="FFFFFF"/>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30" w:lineRule="exact"/>
              <w:ind w:firstLine="420" w:firstLineChars="200"/>
              <w:textAlignment w:val="center"/>
              <w:rPr>
                <w:color w:val="000000"/>
                <w:shd w:val="clear" w:color="auto" w:fill="FFFFFF"/>
              </w:rPr>
            </w:pPr>
            <w:r>
              <w:rPr>
                <w:rFonts w:hint="eastAsia"/>
                <w:color w:val="000000"/>
                <w:shd w:val="clear" w:color="auto" w:fill="FFFFFF"/>
              </w:rPr>
              <w:t>5.决定责任：作出行政处罚决定，制作《行政处罚决定书》，并载明行政处罚告知、当事人陈述申辩或者听证情况等内容。</w:t>
            </w:r>
          </w:p>
          <w:p>
            <w:pPr>
              <w:spacing w:line="230" w:lineRule="exact"/>
              <w:ind w:firstLine="420" w:firstLineChars="200"/>
              <w:textAlignment w:val="center"/>
              <w:rPr>
                <w:color w:val="000000"/>
                <w:shd w:val="clear" w:color="auto" w:fill="FFFFFF"/>
              </w:rPr>
            </w:pPr>
            <w:r>
              <w:rPr>
                <w:rFonts w:hint="eastAsia"/>
                <w:color w:val="000000"/>
                <w:shd w:val="clear" w:color="auto" w:fill="FFFFFF"/>
              </w:rPr>
              <w:t>6.送达责任：按照法律法规规定的方式和时限，将《行政处罚决定书》送达当事人。</w:t>
            </w:r>
          </w:p>
          <w:p>
            <w:pPr>
              <w:spacing w:line="230" w:lineRule="exact"/>
              <w:ind w:firstLine="420" w:firstLineChars="200"/>
              <w:textAlignment w:val="center"/>
              <w:rPr>
                <w:color w:val="000000"/>
                <w:shd w:val="clear" w:color="auto" w:fill="FFFFFF"/>
              </w:rPr>
            </w:pPr>
            <w:r>
              <w:rPr>
                <w:rFonts w:hint="eastAsia"/>
                <w:color w:val="000000"/>
                <w:shd w:val="clear" w:color="auto" w:fill="FFFFFF"/>
              </w:rPr>
              <w:t>7.执行责任：依照生效的行政处罚决定执行。</w:t>
            </w:r>
          </w:p>
          <w:p>
            <w:pPr>
              <w:spacing w:line="230" w:lineRule="exact"/>
              <w:ind w:firstLine="420" w:firstLineChars="200"/>
              <w:textAlignment w:val="center"/>
              <w:rPr>
                <w:color w:val="000000"/>
                <w:shd w:val="clear" w:color="auto" w:fill="FFFFFF"/>
              </w:rPr>
            </w:pPr>
            <w:r>
              <w:rPr>
                <w:rFonts w:hint="eastAsia"/>
                <w:color w:val="000000"/>
                <w:shd w:val="clear" w:color="auto" w:fill="FFFFFF"/>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7" w:hRule="atLeast"/>
          <w:jc w:val="center"/>
        </w:trPr>
        <w:tc>
          <w:tcPr>
            <w:tcW w:w="675" w:type="dxa"/>
            <w:vAlign w:val="center"/>
          </w:tcPr>
          <w:p>
            <w:pPr>
              <w:spacing w:line="230" w:lineRule="exact"/>
              <w:jc w:val="center"/>
              <w:textAlignment w:val="center"/>
              <w:rPr>
                <w:color w:val="000000"/>
                <w:shd w:val="clear" w:color="auto" w:fill="FFFFFF"/>
              </w:rPr>
            </w:pPr>
            <w:r>
              <w:rPr>
                <w:rFonts w:hAnsi="宋体"/>
                <w:color w:val="000000"/>
                <w:shd w:val="clear" w:color="auto" w:fill="FFFFFF"/>
              </w:rPr>
              <w:t>追责情形</w:t>
            </w:r>
          </w:p>
        </w:tc>
        <w:tc>
          <w:tcPr>
            <w:tcW w:w="8381" w:type="dxa"/>
            <w:vAlign w:val="center"/>
          </w:tcPr>
          <w:p>
            <w:pPr>
              <w:spacing w:line="230" w:lineRule="exact"/>
              <w:ind w:firstLine="420" w:firstLineChars="200"/>
              <w:textAlignment w:val="center"/>
              <w:rPr>
                <w:color w:val="000000"/>
                <w:shd w:val="clear" w:color="auto" w:fill="FFFFFF"/>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675" w:type="dxa"/>
            <w:vAlign w:val="center"/>
          </w:tcPr>
          <w:p>
            <w:pPr>
              <w:spacing w:line="230" w:lineRule="exact"/>
              <w:jc w:val="center"/>
              <w:textAlignment w:val="center"/>
              <w:rPr>
                <w:color w:val="000000"/>
                <w:shd w:val="clear" w:color="auto" w:fill="FFFFFF"/>
              </w:rPr>
            </w:pPr>
            <w:r>
              <w:rPr>
                <w:rFonts w:hAnsi="宋体"/>
                <w:color w:val="000000"/>
                <w:shd w:val="clear" w:color="auto" w:fill="FFFFFF"/>
              </w:rPr>
              <w:t>监督电话</w:t>
            </w:r>
          </w:p>
        </w:tc>
        <w:tc>
          <w:tcPr>
            <w:tcW w:w="8381" w:type="dxa"/>
            <w:vAlign w:val="center"/>
          </w:tcPr>
          <w:p>
            <w:pPr>
              <w:spacing w:line="230" w:lineRule="exact"/>
              <w:jc w:val="center"/>
              <w:textAlignment w:val="center"/>
              <w:rPr>
                <w:color w:val="000000"/>
                <w:shd w:val="clear" w:color="auto" w:fill="FFFFFF"/>
              </w:rPr>
            </w:pPr>
            <w:r>
              <w:rPr>
                <w:color w:val="000000"/>
                <w:shd w:val="clear" w:color="auto" w:fill="FFFFFF"/>
              </w:rPr>
              <w:t>12345</w:t>
            </w:r>
          </w:p>
        </w:tc>
      </w:tr>
    </w:tbl>
    <w:p>
      <w:pPr>
        <w:spacing w:line="230" w:lineRule="exact"/>
        <w:rPr>
          <w:color w:val="000000"/>
          <w:spacing w:val="-10"/>
          <w:shd w:val="clear" w:color="auto" w:fill="FFFFFF"/>
        </w:rPr>
      </w:pPr>
      <w:r>
        <w:rPr>
          <w:rFonts w:hAnsi="宋体"/>
          <w:color w:val="000000"/>
          <w:spacing w:val="-10"/>
          <w:shd w:val="clear" w:color="auto" w:fill="FFFFFF"/>
        </w:rPr>
        <w:t>表</w:t>
      </w:r>
      <w:r>
        <w:rPr>
          <w:color w:val="000000"/>
          <w:spacing w:val="-10"/>
          <w:shd w:val="clear" w:color="auto" w:fill="FFFFFF"/>
        </w:rPr>
        <w:t>2</w:t>
      </w:r>
      <w:r>
        <w:rPr>
          <w:rFonts w:hint="eastAsia" w:ascii="宋体" w:hAnsi="宋体" w:cs="宋体"/>
        </w:rPr>
        <w:t>-271</w:t>
      </w:r>
    </w:p>
    <w:tbl>
      <w:tblPr>
        <w:tblStyle w:val="13"/>
        <w:tblW w:w="9108"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4"/>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734"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0" w:hRule="atLeast"/>
        </w:trPr>
        <w:tc>
          <w:tcPr>
            <w:tcW w:w="734"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734"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30" w:lineRule="exact"/>
              <w:ind w:firstLine="420"/>
              <w:rPr>
                <w:rFonts w:ascii="宋体" w:hAnsi="宋体" w:cs="宋体"/>
                <w:kern w:val="0"/>
              </w:rPr>
            </w:pPr>
            <w:r>
              <w:rPr>
                <w:rFonts w:hint="eastAsia" w:ascii="宋体" w:hAnsi="宋体" w:cs="宋体"/>
                <w:kern w:val="0"/>
              </w:rPr>
              <w:t>对未向从事使用有毒物品作业的劳动者提供符合国家职业卫生标准的防护用品，或者未保证劳动者正确使用的处罚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trPr>
        <w:tc>
          <w:tcPr>
            <w:tcW w:w="734"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30" w:lineRule="exact"/>
              <w:ind w:firstLine="420" w:firstLineChars="200"/>
              <w:rPr>
                <w:rFonts w:ascii="宋体" w:hAnsi="宋体" w:cs="宋体"/>
              </w:rPr>
            </w:pPr>
            <w:r>
              <w:rPr>
                <w:rFonts w:hint="eastAsia" w:ascii="宋体" w:hAnsi="宋体" w:cs="宋体"/>
              </w:rPr>
              <w:t>《使用有毒物品作业场所劳动保护条例》（国务院令第352号）第五十九条第六项：“用人单位违反本条例的规定，有下列情形之一的，由卫生健康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六)未向从事使用有毒物品作业的劳动者提供符合国家职业卫生标准的防护用品，或者未保证劳动者正确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atLeast"/>
        </w:trPr>
        <w:tc>
          <w:tcPr>
            <w:tcW w:w="734" w:type="dxa"/>
            <w:tcBorders>
              <w:top w:val="single" w:color="auto" w:sz="4" w:space="0"/>
              <w:left w:val="single" w:color="auto" w:sz="4" w:space="0"/>
              <w:bottom w:val="single" w:color="auto" w:sz="4" w:space="0"/>
              <w:right w:val="single" w:color="auto" w:sz="4" w:space="0"/>
            </w:tcBorders>
            <w:vAlign w:val="center"/>
          </w:tcPr>
          <w:p>
            <w:pPr>
              <w:spacing w:line="23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3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53" w:hRule="atLeast"/>
        </w:trPr>
        <w:tc>
          <w:tcPr>
            <w:tcW w:w="7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1.立案责任：发现未向从事使用有毒物品作业的劳动者提供符合国家职业卫生标准的防护用品，或者未保证劳动者正确使用的，予以审查，决定是否立案。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9" w:hRule="atLeast"/>
        </w:trPr>
        <w:tc>
          <w:tcPr>
            <w:tcW w:w="7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trPr>
        <w:tc>
          <w:tcPr>
            <w:tcW w:w="73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hAnsi="宋体"/>
          <w:color w:val="000000"/>
          <w:spacing w:val="-10"/>
          <w:shd w:val="clear" w:color="auto" w:fill="FFFFFF"/>
        </w:rPr>
      </w:pPr>
    </w:p>
    <w:p>
      <w:pPr>
        <w:spacing w:line="260" w:lineRule="exact"/>
        <w:rPr>
          <w:color w:val="000000"/>
          <w:spacing w:val="-10"/>
          <w:shd w:val="clear" w:color="auto" w:fill="FFFFFF"/>
        </w:rPr>
      </w:pPr>
      <w:r>
        <w:rPr>
          <w:rFonts w:hAnsi="宋体"/>
          <w:color w:val="000000"/>
          <w:spacing w:val="-10"/>
          <w:shd w:val="clear" w:color="auto" w:fill="FFFFFF"/>
        </w:rPr>
        <w:t>表</w:t>
      </w:r>
      <w:r>
        <w:rPr>
          <w:color w:val="000000"/>
          <w:spacing w:val="-10"/>
          <w:shd w:val="clear" w:color="auto" w:fill="FFFFFF"/>
        </w:rPr>
        <w:t>2</w:t>
      </w:r>
      <w:r>
        <w:rPr>
          <w:rFonts w:hint="eastAsia" w:ascii="宋体" w:hAnsi="宋体" w:cs="宋体"/>
        </w:rPr>
        <w:t>-272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对使用有毒物品作业场所未设置有效通风装置的，或者可能突然泄漏大量有毒物品或者易造成急性中毒的作业场所未设置自动报警装置或者事故通风设施的处罚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使用有毒物品作业场所劳动保护条例》（国务院令第352号）第六十条第一项：“用人单位违反本条例的规定，有下列情形之一的，由卫生健康行政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一)使用有毒物品作业场所未设置有效通风装置的，或者可能突然泄漏大量有毒物品或者易造成急性中毒的作业场所未设置自动报警装置或者事故通风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6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1.立案责任：发现使用有毒物品作业场所未设置有效通风装置的，或者可能突然泄漏大量有毒物品或者易造成急性中毒的作业场所未设置自动报警装置或者事故通风设施的，予以审查，决定是否立案。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hAnsi="宋体"/>
          <w:color w:val="000000"/>
          <w:spacing w:val="-10"/>
          <w:shd w:val="clear" w:color="auto" w:fill="FFFFFF"/>
        </w:rPr>
      </w:pPr>
    </w:p>
    <w:p>
      <w:pPr>
        <w:spacing w:line="260" w:lineRule="exact"/>
        <w:rPr>
          <w:rFonts w:ascii="宋体" w:hAnsi="宋体" w:cs="宋体"/>
        </w:rPr>
      </w:pPr>
      <w:r>
        <w:rPr>
          <w:rFonts w:hAnsi="宋体"/>
          <w:color w:val="000000"/>
          <w:spacing w:val="-10"/>
          <w:shd w:val="clear" w:color="auto" w:fill="FFFFFF"/>
        </w:rPr>
        <w:t>表</w:t>
      </w:r>
      <w:r>
        <w:rPr>
          <w:color w:val="000000"/>
          <w:spacing w:val="-10"/>
          <w:shd w:val="clear" w:color="auto" w:fill="FFFFFF"/>
        </w:rPr>
        <w:t>2</w:t>
      </w:r>
      <w:r>
        <w:rPr>
          <w:rFonts w:hint="eastAsia" w:ascii="宋体" w:hAnsi="宋体" w:cs="宋体"/>
        </w:rPr>
        <w:t>-273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对职业卫生防护设备、应急救援设施、通讯报警装置处于不正常状态而不停止作业，或者擅自拆除或者停止运行职业卫生防护设备、应急救援设施、通讯报警装置的处罚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使用有毒物品作业场所劳动保护条例》（国务院令第352号）第六十条第二项：“用人单位违反本条例的规定，有下列情形之一的，由卫生健康行政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重大责任事故罪、重大劳动安全事故罪或者其他罪的规定，依法追究刑事责任，(二)职业卫生防护设备、应急救援设施、通讯报警装置处于不正常状态而不停止作业，或者擅自拆除或者停止运行职业卫生防护设备、应急救援设施、通讯报警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1.立案责任：发现职业卫生防护设备、应急救援设施、通讯报警装置处于不正常状态而不停止作业，或者擅自拆除或者停止运行职业卫生防护设备、应急救援设施、通讯报警装置的，予以审查，决定是否立案。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hAnsi="宋体"/>
                <w:color w:val="000000"/>
                <w:shd w:val="clear" w:color="auto" w:fill="FFFFFF"/>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hAnsi="宋体"/>
                <w:color w:val="000000"/>
                <w:shd w:val="clear" w:color="auto" w:fill="FFFFFF"/>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表2-274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对作业场所职业中毒危害因素不符合国家职业卫生标准和卫生要求而不立即停止高毒作业并采取相应的治理措施的，或者职业中毒危害因素治理不符合国家职业卫生标准和卫生要求重新作业的处罚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使用有毒物品作业场所劳动保护条例》（国务院令第352号）第六十一条第一项：“从事使用高毒物品作业的用人单位违反本条例的规定，有下列行为之一的，由卫生健康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一)作业场所职业中毒危害因素不符合国家职业卫生标准和卫生要求而不立即停止高毒作业并采取相应的治理措施的，或者职业中毒危害因素治理不符合国家职业卫生标准和卫生要求重新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作业场所职业中毒危害因素不符合国家职业卫生标准和卫生要求而不立即停止高毒作业并采取相应的治理措施的，或者职业中毒危害因素治理不符合国家职业卫生标准和卫生要求重新作业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表2-275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1050" w:firstLineChars="500"/>
              <w:rPr>
                <w:rFonts w:ascii="宋体" w:hAnsi="宋体" w:cs="宋体"/>
                <w:kern w:val="0"/>
              </w:rPr>
            </w:pPr>
            <w:r>
              <w:rPr>
                <w:rFonts w:hint="eastAsia" w:ascii="宋体" w:hAnsi="宋体" w:cs="宋体"/>
                <w:kern w:val="0"/>
              </w:rPr>
              <w:t>对未依照相关规定维护、检修存在高毒物品的生产装置的处罚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使用有毒物品作业场所劳动保护条例》（国务院令第352号）第六十一条第二项：“从事使用高毒物品作业的用人单位违反本条例的规定，有下列行为之一的，由卫生健康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二)未依照本条例的规定维护、检修存在高毒物品的生产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1.立案责任：发现未依照相关规定维护、检修存在高毒物品的生产装置的，予以审查，决定是否立案。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表2-276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对未采取相关规定的措施，安排劳动者进入存在高毒物品的设备、容器或者狭窄封闭场所作业的处罚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使用有毒物品作业场所劳动保护条例》（国务院令第352号）第六十一条第三项：“从事使用高毒物品作业的用人单位违反本条例的规定，有下列行为之一的，由卫生健康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责任事故罪或者其他罪的规定，依法追究刑事责任，(三)未采取本条例规定的措施，安排劳动者进入存在高毒物品的设备、容器或者狭窄封闭场所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1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1.立案责任：发现未采取相关规定的措施，安排劳动者进入存在高毒物品的设备、容器或者狭窄封闭场所作业的，予以审查，决定是否立案。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表2-277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kern w:val="0"/>
              </w:rPr>
              <w:t>对在作业场所使用国家明令禁止使用的有毒物品或者使用不符合国家标准的有毒物品的处罚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使用有毒物品作业场所劳动保护条例》（国务院令第352号）第六十二条:“在作业场所使用国家明令禁止使用的有毒物品或者使用不符合国家标准的有毒物品的，由卫生健康行政部门责令立即停止使用，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危险物品肇事罪、重大责任事故罪或者其他罪的规定，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7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1.立案责任：发现在作业场所使用国家明令禁止使用的有毒物品或者使用不符合国家标准的有毒物品的，予以审查，决定是否立案。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表2-278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1470" w:firstLineChars="700"/>
              <w:rPr>
                <w:rFonts w:ascii="宋体" w:hAnsi="宋体" w:cs="宋体"/>
                <w:kern w:val="0"/>
              </w:rPr>
            </w:pPr>
            <w:r>
              <w:rPr>
                <w:rFonts w:hint="eastAsia" w:ascii="宋体" w:hAnsi="宋体" w:cs="宋体"/>
                <w:kern w:val="0"/>
              </w:rPr>
              <w:t>对使用未经培训考核合格的劳动者从事高毒作业的处罚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使用有毒物品作业场所劳动保护条例》（国务院令第352号）第六十三条第一项：“用人单位违反本条例的规定，有下列行为之一的，由卫生健康行政部门给予警告，责令限期改正；逾期不改正的，处5万元以上30万元以下的罚款；造成严重职业中毒危害或者导致职业中毒事故发生的，对负有责任的主管人员和其他直接责任人员依照刑法关于重大责任事故罪或者其他罪的规定，依法追究刑事责任，(一)使用未经培训考核合格的劳动者从事高毒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6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1.立案责任：发现使用未经培训考核合格的劳动者从事高毒作业的，予以审查，决定是否立案。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表2-279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kern w:val="0"/>
              </w:rPr>
              <w:t>对发现有职业禁忌或者有与所从事职业相关的健康损害的劳动者，未及时调离原工作岗位，并妥善安置的处罚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使用有毒物品作业场所劳动保护条例》（国务院令第352号）第六十三条第三项：“用人单位违反本条例的规定，有下列行为之一的，由卫生健康行政部门给予警告，责令限期改正；逾期不改正的，处5万元以上30万元以下的罚款；造成严重职业中毒危害或者导致职业中毒事故发生的，对负有责任的主管人员和其他直接责任人员依照刑法关于重大责任事故罪或者其他罪的规定，依法追究刑事责任，（三）发现有职业禁忌或者有与所从事职业相关的健康损害的劳动者，未及时调离原工作岗位，并妥善安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1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1.立案责任：发现有职业禁忌或者有与所从事职业相关的健康损害的劳动者，未及时调离原工作岗位，并妥善安置的，予以审查，决定是否立案。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表2-280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1680" w:firstLineChars="800"/>
              <w:rPr>
                <w:rFonts w:ascii="宋体" w:hAnsi="宋体" w:cs="宋体"/>
                <w:kern w:val="0"/>
              </w:rPr>
            </w:pPr>
            <w:r>
              <w:rPr>
                <w:rFonts w:hint="eastAsia" w:ascii="宋体" w:hAnsi="宋体" w:cs="宋体"/>
                <w:kern w:val="0"/>
              </w:rPr>
              <w:t>对未经许可，擅自从事使用有毒物品作业的处罚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使用有毒物品作业场所劳动保护条例》（国务院令第352号）第六十四条:“违反本条例的规定，未经许可，擅自从事使用有毒物品作业的，由工商行政管理部门、卫生健康行政部门依据各自职权予以取缔；造成职业中毒事故的，依照刑法关于危险物品肇事罪或者其他罪的规定，依法追究刑事责任；尚不够刑事处罚的，由卫生健康行政部门没收经营所得，并处经营所得3倍以上5倍以下的罚款；对劳动者造成人身伤害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1.立案责任：发现未经许可，擅自从事使用有毒物品作业的，予以审查，决定是否立案。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p>
    <w:p>
      <w:pPr>
        <w:spacing w:line="260" w:lineRule="exact"/>
        <w:rPr>
          <w:rFonts w:ascii="宋体" w:hAnsi="宋体" w:cs="宋体"/>
        </w:rPr>
      </w:pPr>
      <w:r>
        <w:rPr>
          <w:rFonts w:hint="eastAsia" w:ascii="宋体" w:hAnsi="宋体" w:cs="宋体"/>
        </w:rPr>
        <w:t>表2-281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对在转产、停产、停业或者解散、破产时未采取有效措施，妥善处理留存或者残留高毒物品的设备、包装物和容器的处罚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使用有毒物品作业场所劳动保护条例》（国务院令第352号）第六十五条:“从事使用有毒物品作业的用人单位违反本条例的规定，在转产、停产、停业或者解散、破产时未采取有效措施，妥善处理留存或者残留高毒物品的设备、包装物和容器的，由卫生健康行政部门责令改正，处2万元以上10万元以下的罚款；触犯刑律的，对负有责任的主管人员和其他直接责任人员依照刑法关于重大环境污染事故罪、危险物品肇事罪或者其他罪的规定,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0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1.立案责任：发现在转产、停产、停业或者解散、破产时未采取有效措施，妥善处理留存或者残留高毒物品的设备、包装物和容器的，予以审查，决定是否立案。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表2-282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840" w:firstLineChars="400"/>
              <w:rPr>
                <w:rFonts w:ascii="宋体" w:hAnsi="宋体" w:cs="宋体"/>
                <w:kern w:val="0"/>
              </w:rPr>
            </w:pPr>
            <w:r>
              <w:rPr>
                <w:rFonts w:hint="eastAsia" w:ascii="宋体" w:hAnsi="宋体" w:cs="宋体"/>
                <w:kern w:val="0"/>
              </w:rPr>
              <w:t>对使用有毒物品作业场所未与生活场所分开或者在作业场所住人的处罚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使用有毒物品作业场所劳动保护条例》（国务院令第352号）第六十六条第一项：“用人单位违反本条例的规定，有下列情形之一的，由卫生健康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一)使用有毒物品作业场所未与生活场所分开或者在作业场所住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1.立案责任：发现使用有毒物品作业场所未与生活场所分开或者在作业场所住人的，予以审查，决定是否立案。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表2-283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2100" w:firstLineChars="1000"/>
              <w:rPr>
                <w:rFonts w:ascii="宋体" w:hAnsi="宋体" w:cs="宋体"/>
                <w:kern w:val="0"/>
              </w:rPr>
            </w:pPr>
            <w:r>
              <w:rPr>
                <w:rFonts w:hint="eastAsia" w:ascii="宋体" w:hAnsi="宋体" w:cs="宋体"/>
                <w:kern w:val="0"/>
              </w:rPr>
              <w:t>对未将有害作业与无害作业分开的处罚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使用有毒物品作业场所劳动保护条例》（国务院令第352号）第六十六条第二项：“用人单位违反本条例的规定，有下列情形之一的，由卫生健康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二)未将有害作业与无害作业分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1.立案责任：发现未将有害作业与无害作业分开的，予以审查，决定是否立案。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表2-284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1680" w:firstLineChars="800"/>
              <w:rPr>
                <w:rFonts w:ascii="宋体" w:hAnsi="宋体" w:cs="宋体"/>
                <w:kern w:val="0"/>
              </w:rPr>
            </w:pPr>
            <w:r>
              <w:rPr>
                <w:rFonts w:hint="eastAsia" w:ascii="宋体" w:hAnsi="宋体" w:cs="宋体"/>
                <w:kern w:val="0"/>
              </w:rPr>
              <w:t>对高毒作业场所未与其他作业场所有效隔离的处罚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使用有毒物品作业场所劳动保护条例》（国务院令第352号）第六十六条第三项：“用人单位违反本条例的规定，有下列情形之一的，由卫生健康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三)高毒作业场所未与其他作业场所有效隔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3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1.立案责任：发现高毒作业场所未与其他作业场所有效隔离的，予以审查，决定是否立案。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表2-285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对从事高毒作业未按照规定配备应急救援设施或者制定事故应急救援预案的处罚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使用有毒物品作业场所劳动保护条例》（国务院令第352号）第六十六条第四项：“用人单位违反本条例的规定，有下列情形之一的，由卫生健康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重大劳动安全事故罪、危险物品肇事罪或者其他罪的规定，依法追究刑事责任，(四)从事高毒作业未按照规定配备应急救援设施或者制定事故应急救援预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1.立案责任：发现从事高毒作业未按照规定配备应急救援设施或者制定事故应急救援预案的，予以审查，决定是否立案。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表2-286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2100" w:firstLineChars="1000"/>
              <w:rPr>
                <w:rFonts w:ascii="宋体" w:hAnsi="宋体" w:cs="宋体"/>
                <w:kern w:val="0"/>
              </w:rPr>
            </w:pPr>
            <w:r>
              <w:rPr>
                <w:rFonts w:hint="eastAsia" w:ascii="宋体" w:hAnsi="宋体" w:cs="宋体"/>
                <w:kern w:val="0"/>
              </w:rPr>
              <w:t>对未按照规定申报高毒作业项目的处罚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使用有毒物品作业场所劳动保护条例》（国务院令第352号）第六十七条第一项：“用人单位违反本条例的规定，有下列情形之一的，由卫生健康行政部门给予警告，责令限期改正，处２万元以上５万元以下的罚款；逾期不改正的，提请有关人民政府按照国务院规定的权限予以关闭，（一）未按照规定向卫生健康行政部门申报高毒作业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1.立案责任：发现未按照规定申报高毒作业项目的，予以审查，决定是否立案。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表2-287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kern w:val="0"/>
              </w:rPr>
              <w:t>对变更使用高毒物品品种，未按照规定向原受理申报的卫生行政部门重新申报，或者申报不及时、有虚假的处罚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使用有毒物品作业场所劳动保护条例》（国务院令第352号）第六十七条第二项：“用人单位违反本条例的规定，有下列情形之一的，由卫生健康行政部门给予警告，责令限期改正，处２万元以上５万元以下的罚款；逾期不改正的，提请有关人民政府按照国务院规定的权限予以关闭，（二）变更使用高毒物品品种，未按照规定向原受理申报的卫生健康行政部门重新申报，或者申报不及时、有虚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1.立案责任：发现变更使用高毒物品品种，未按照规定向原受理申报的卫生健康行政部门重新申报，或者申报不及时、有虚假的，予以审查，决定是否立案。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表2-288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对未组织从事使用有毒物品作业的劳动者进行上岗前职业健康检查，安排未经上岗前职业健康检查的劳动者从事使用有毒物品作业的处罚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使用有毒物品作业场所劳动保护条例》（国务院令第352号）第六十八条第一项：“用人单位违反本条例的规定，有下列行为之一的，由卫生健康行政部门给予警告，责令限期改正，处2万元以上5万元以下的罚款；逾期不改正的，责令停止使用有毒物品作业，或者提请有关人民政府按照国务院规定的权限予以关闭，(一)未组织从事使用有毒物品作业的劳动者进行上岗前职业健康检查，安排未经上岗前职业健康检查的劳动者从事使用有毒物品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1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1.立案责任：发现未组织从事使用有毒物品作业的劳动者进行上岗前职业健康检查，安排未经上岗前职业健康检查的劳动者从事使用有毒物品作业的，予以审查，决定是否立案。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表2-289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840" w:firstLineChars="400"/>
              <w:rPr>
                <w:rFonts w:ascii="宋体" w:hAnsi="宋体" w:cs="宋体"/>
                <w:kern w:val="0"/>
              </w:rPr>
            </w:pPr>
            <w:r>
              <w:rPr>
                <w:rFonts w:hint="eastAsia" w:ascii="宋体" w:hAnsi="宋体" w:cs="宋体"/>
                <w:kern w:val="0"/>
              </w:rPr>
              <w:t>对未组织从事使用有毒物品作业的劳动者进行定期职业健康检查的处罚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使用有毒物品作业场所劳动保护条例》（国务院令第352号）第六十八条第二项：“用人单位违反本条例的规定，有下列行为之一的，由卫生健康行政部门给予警告，责令限期改正，处2万元以上5万元以下的罚款；逾期不改正的，责令停止使用有毒物品作业，或者提请有关人民政府按照国务院规定的权限予以关闭，(二)未组织从事使用有毒物品作业的劳动者进行定期职业健康检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4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1.立案责任：发现未组织从事使用有毒物品作业的劳动者进行定期职业健康检查的，予以审查，决定是否立案。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表2-290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840" w:firstLineChars="400"/>
              <w:rPr>
                <w:rFonts w:ascii="宋体" w:hAnsi="宋体" w:cs="宋体"/>
                <w:kern w:val="0"/>
              </w:rPr>
            </w:pPr>
            <w:r>
              <w:rPr>
                <w:rFonts w:hint="eastAsia" w:ascii="宋体" w:hAnsi="宋体" w:cs="宋体"/>
                <w:kern w:val="0"/>
              </w:rPr>
              <w:t>对未组织从事使用有毒物品作业的劳动者进行离岗职业健康检查的处罚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使用有毒物品作业场所劳动保护条例》（国务院令第352号）第六十八条第三项：“用人单位违反本条例的规定，有下列行为之一的，由卫生健康行政部门给予警告，责令限期改正，处2万元以上5万元以下的罚款；逾期不改正的，责令停止使用有毒物品作业，或者提请有关人民政府按照国务院规定的权限予以关闭，(三)未组织从事使用有毒物品作业的劳动者进行离岗职业健康检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8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1.立案责任：发现未组织从事使用有毒物品作业的劳动者进行离岗职业健康检查的，予以审查，决定是否立案。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表2-291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对未进行离岗职业健康检查的劳动者，生产经营单位解除或者终止与其订立的劳动合同的处罚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使用有毒物品作业场所劳动保护条例》（国务院令第352号）第六十八条第四项：“用人单位违反本条例的规定，有下列行为之一的，由卫生健康行政部门给予警告，责令限期改正，处2万元以上5万元以下的罚款；逾期不改正的，责令停止使用有毒物品作业，或者提请有关人民政府按照国务院规定的权限予以关闭，(四)对未进行离岗职业健康检查的劳动者，解除或者终止与其订立的劳动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1.立案责任：发现未进行离岗职业健康检查的劳动者，生产经营单位解除或者终止与其订立的劳动合同的，予以审查，决定是否立案。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表2-292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kern w:val="0"/>
              </w:rPr>
              <w:t>对发生分立、合并、解散、破产情形，生产经营单位未对从事使用有毒物品作业的劳动者进行健康检查，并按照国家有关规定妥善安置职业病病人的处罚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使用有毒物品作业场所劳动保护条例》（国务院令第352号）第六十八条第五项：“用人单位违反本条例的规定，有下列行为之一的，由卫生健康行政部门给予警告，责令限期改正，处2万元以上5万元以下的罚款；逾期不改正的，责令停止使用有毒物品作业，或者提请有关人民政府按照国务院规定的权限予以关闭，(五)发生分立、合并、解散、破产情形，未对从事使用有毒物品作业的劳动者进行健康检查，并按照国家有关规定妥善安置职业病病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1.立案责任：发现发生分立、合并、解散、破产情形，生产经营单位未对从事使用有毒物品作业的劳动者进行健康检查，并按照国家有关规定妥善安置职业病病人的，予以审查，决定是否立案。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表2-293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对受到或者可能受到急性职业中毒危害的劳动者，生产经营单位未及时组织进行健康检查和医学观察的处罚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使用有毒物品作业场所劳动保护条例》（国务院令第352号）第六十八条第六项：“用人单位违反本条例的规定，有下列行为之一的，由卫生健康行政部门给予警告，责令限期改正，处2万元以上5万元以下的罚款；逾期不改正的，责令停止使用有毒物品作业，或者提请有关人民政府按照国务院规定的权限予以关闭，(六)对受到或者可能受到急性职业中毒危害的劳动者，未及时组织进行健康检查和医学观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4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1.立案责任：发现受到或者可能受到急性职业中毒危害的劳动者，生产经营单位未及时组织进行健康检查和医学观察的，予以审查，决定是否立案。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表2-294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对未依照相关规定将工作过程中可能产生的职业中毒危害及其后果、有关职业卫生防护措施和待遇等如实告知劳动者并在劳动合同中写明的处罚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使用有毒物品作业场所劳动保护条例》（国务院令第352号）第六十八条第九项：“用人单位违反本条例的规定，有下列行为之一的，由卫生健康行政部门给予警告，责令限期改正，处2万元以上5万元以下的罚款；逾期不改正的，责令停止使用有毒物品作业，或者提请有关人民政府按照国务院规定的权限予以关闭，(九)未依照职业病防治法和本条例的规定将工作过程中可能产生的职业中毒危害及其后果、有关职业卫生防护措施和待遇等如实告知劳动者并在劳动合同中写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9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1.立案责任：发现未依照相关规定将工作过程中可能产生的职业中毒危害及其后果、有关职业卫生防护措施和待遇等如实告知劳动者并在劳动合同中写明的，予以审查，决定是否立案。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表2-295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对劳动者在存在威胁生命、健康危险的情况下，从危险现场中撤离，而被生产经营单位取消或者减少应当享有的待遇的处罚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使用有毒物品作业场所劳动保护条例》（国务院令第352号）第六十八条第十项：“用人单位违反本条例的规定，有下列行为之一的，由卫生健康行政部门给予警告，责令限期改正，处2万元以上5万元以下的罚款；逾期不改正的，责令停止使用有毒物品作业，或者提请有关人民政府按照国务院规定的权限予以关闭，(十)劳动者在存在威胁生命、健康危险的情况下，从危险现场中撤离，而被取消或者减少应当享有的待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1.立案责任：发现劳动者在存在威胁生命、健康危险的情况下，从危险现场中撤离，而被生产经营单位取消或者减少应当享有的待遇的，予以审查，决定是否立案。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表2-296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对从事使用有毒物品作业的用人单位未按照规定配备或者聘请职业卫生医师和护士的处罚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使用有毒物品作业场所劳动保护条例》（国务院令第352号）第六十九条第一项：“用人单位违反本条例的规定，有下列行为之一的，由卫生健康行政部门给予警告，责令限期改正，处5000元以上2万元以下的罚款；逾期不改正的，责令停止使用有毒物品作业，或者提请有关人民政府按照国务院规定的权限予以关闭，(一)未按照规定配备或者聘请职业卫生医师和护士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1.立案责任：发现从事使用有毒物品作业的用人单位未按照规定配备或者聘请职业卫生医师和护士的，予以审查，决定是否立案。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表2-297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kern w:val="0"/>
              </w:rPr>
              <w:t>对未为从事使用高毒物品作业的劳动者设置淋浴间、更衣室或者未设置清洗、存放和处理工作服、工作鞋帽等物品的专用间，或者不能正常使用的处罚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使用有毒物品作业场所劳动保护条例》（国务院令第352号）第六十九条第二项：“用人单位违反本条例的规定，有下列行为之一的，由卫生健康行政部门给予警告，责令限期改正，处5000元以上2万元以下的罚款；逾期不改正的，责令停止使用有毒物品作业，或者提请有关人民政府按照国务院规定的权限予以关闭，(二)未为从事使用高毒物品作业的劳动者设置淋浴间、更衣室或者未设置清洗、存放和处理工作服、工作鞋帽等物品的专用间，或者不能正常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1.立案责任：发现未为从事使用高毒物品作业的劳动者设置淋浴间、更衣室或者未设置清洗、存放和处理工作服、工作鞋帽等物品的专用间，或者不能正常使用的，予以审查，决定是否立案。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表2-298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840" w:firstLineChars="400"/>
              <w:rPr>
                <w:rFonts w:ascii="宋体" w:hAnsi="宋体" w:cs="宋体"/>
                <w:kern w:val="0"/>
              </w:rPr>
            </w:pPr>
            <w:r>
              <w:rPr>
                <w:rFonts w:hint="eastAsia" w:ascii="宋体" w:hAnsi="宋体" w:cs="宋体"/>
                <w:kern w:val="0"/>
              </w:rPr>
              <w:t>对未安排从事使用高毒物品作业一定年限的劳动者进行岗位轮换的处罚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使用有毒物品作业场所劳动保护条例》（国务院令第352号）第六十九条第三项：“用人单位违反本条例的规定，有下列行为之一的，由卫生健康行政部门给予警告，责令限期改正，处5000元以上2万元以下的罚款；逾期不改正的，责令停止使用有毒物品作业，或者提请有关人民政府按照国务院规定的权限予以关闭，(三)未安排从事使用高毒物品作业一定年限的劳动者进行岗位轮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1.立案责任：发现未安排从事使用高毒物品作业一定年限的劳动者进行岗位轮换的，予以审查，决定是否立案。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color w:val="000000"/>
                <w:shd w:val="clear" w:color="auto" w:fill="FFFFFF"/>
              </w:rPr>
              <w:t>《使用有毒物品作业场所劳动保护条例》</w:t>
            </w:r>
            <w:r>
              <w:rPr>
                <w:rFonts w:hint="eastAsia" w:ascii="宋体" w:hAnsi="宋体" w:cs="宋体"/>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表2-299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对高低温作业、粉尘及有毒有害气体作业、放射性作业等可能造成职业危害的场所未采用有效的职业病防治技术、工艺、原材料，并为从业人员配备符合规定的个人防护用品的处罚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1.《四川省安全生产条例》第六十九条：“生产经营单位违反本条例第十六条、第二十一条第一款、第二十三条、第二十四条第一款、第三十二条、第三十四条第一款规定的，责令限期改正，可并处5000元以上2万元以下的罚款；逾期未改正的，责令停产停业整顿。”</w:t>
            </w:r>
          </w:p>
          <w:p>
            <w:pPr>
              <w:spacing w:line="260" w:lineRule="exact"/>
              <w:ind w:firstLine="420" w:firstLineChars="200"/>
              <w:rPr>
                <w:rFonts w:ascii="宋体" w:hAnsi="宋体" w:cs="宋体"/>
              </w:rPr>
            </w:pPr>
            <w:r>
              <w:rPr>
                <w:rFonts w:hint="eastAsia" w:ascii="宋体" w:hAnsi="宋体" w:cs="宋体"/>
              </w:rPr>
              <w:t>2.《四川省安全生产条例》第三十二条第一款“高低温作业、粉尘及有毒有害气体作业、放射性作业等可能造成职业危害的场所应当采用有效的职业病防治技术、工艺、原材料，并为从业人员配备符合规定的个人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高低温作业、粉尘及有毒有害气体作业、放射性作业等可能造成职业危害的场所未采用有效的职业病防治技术、工艺、原材料，并为从业人员配备符合规定的个人防护用品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四川省安全生产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表2-300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对用人单位未按照规定实行有害作业与无害作业分开、工作场所与生活场所分开的处罚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工作场所职业卫生监督管理规定》（国家安全监管总局令第47号）第四十八条第一项:“用人单位有下列情形之一的，给予警告，责令限期改正，可以并处5千元以上2万元以下的罚款,（一）未按照规定实行有害作业与无害作业分开、工作场所与生活场所分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9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1.立案责任：发现对用人单位未按照规定实行有害作业与无害作业分开、工作场所与生活场所分开的，予以审查，决定是否立案。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工作场所职业卫生监督管理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表2-301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630" w:firstLineChars="300"/>
              <w:rPr>
                <w:rFonts w:ascii="宋体" w:hAnsi="宋体" w:cs="宋体"/>
                <w:kern w:val="0"/>
              </w:rPr>
            </w:pPr>
            <w:r>
              <w:rPr>
                <w:rFonts w:hint="eastAsia" w:ascii="宋体" w:hAnsi="宋体" w:cs="宋体"/>
                <w:kern w:val="0"/>
              </w:rPr>
              <w:t>对用人单位的主要负责人、职业卫生管理人员未接受职业卫生培训的处罚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工作场所职业卫生监督管理规定》（国家安全监管总局令第47号）第四十八条第二项:“用人单位有下列情形之一的，给予警告，责令限期改正，可以并处5千元以上2万元以下的罚款,（二）用人单位的主要负责人、职业卫生管理人员未接受职业卫生培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1.立案责任：发现对用人单位的主要负责人、职业卫生管理人员未接受职业卫生培训的，予以审查，决定是否立案。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工作场所职业卫生监督管理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表2-302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1260" w:firstLineChars="600"/>
              <w:rPr>
                <w:rFonts w:ascii="宋体" w:hAnsi="宋体" w:cs="宋体"/>
                <w:kern w:val="0"/>
              </w:rPr>
            </w:pPr>
            <w:r>
              <w:rPr>
                <w:rFonts w:hint="eastAsia" w:ascii="宋体" w:hAnsi="宋体" w:cs="宋体"/>
                <w:kern w:val="0"/>
              </w:rPr>
              <w:t>对用人单位未按照规定制定职业病防治计划和实施方案的处罚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工作场所职业卫生监督管理规定》（国家安全监管总局令第47号）第四十九条第一项:“用人单位有下列情形之一的，给予警告，责令限期改正；逾期未改正的，处10万元以下的罚款,（一）未按照规定制定职业病防治计划和实施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0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1.立案责任：发现对用人单位未按照规定制定职业病防治计划和实施方案的，予以审查，决定是否立案。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工作场所职业卫生监督管理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表2-303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对用人单位未按照规定设置或者指定职业卫生管理机构或者组织，或者未配备专职或者兼职的职业卫生管理人员的处罚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工作场所职业卫生监督管理规定》（国家安全监管总局令第47号）第四十九条第二项:“用人单位有下列情形之一的，给予警告，责令限期改正；逾期未改正的，处10万元以下的罚款,（二）未按照规定设置或者指定职业卫生管理机构或者组织，或者未配备专职或者兼职的职业卫生管理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1.立案责任：发现对用人单位未按照规定设置或者指定职业卫生管理机构或者组织，或者未配备专职或者兼职的职业卫生管理人员的，予以审查，决定是否立案。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工作场所职业卫生监督管理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表2-304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对用人单位未按照规定建立、健全职业卫生管理制度和操作规程的处罚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工作场所职业卫生监督管理规定》（总局令第47号）第四十九条第三项:“用人单位有下列情形之一的，给予警告，责令限期改正；逾期未改正的，处10万元以下的罚款,（三）未按照规定建立、健全职业卫生管理制度和操作规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1.立案责任：发现对用人单位未按照规定建立、健全职业卫生管理制度和操作规程的，予以审查，决定是否立案。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工作场所职业卫生监督管理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表2-305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sz w:val="22"/>
              </w:rPr>
              <w:t>对用人单位未按照规定建立、健全职业卫生档案和劳动者健康监护档案的处罚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工作场所职业卫生监督管理规定》（国家安全监管总局令第47号）第四十九条第四项;“用人单位有下列情形之一的，给予警告，责令限期改正；逾期未改正的，处10万元以下的罚款,（四）未按照规定建立、健全职业卫生档案和劳动者健康监护档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4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1.立案责任：发现对用人单位未按照规定建立、健全职业卫生档案和劳动者健康监护档案的，予以审查，决定是否立案。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工作场所职业卫生监督管理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表2-306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840" w:firstLineChars="400"/>
              <w:rPr>
                <w:rFonts w:ascii="宋体" w:hAnsi="宋体" w:cs="宋体"/>
                <w:kern w:val="0"/>
              </w:rPr>
            </w:pPr>
            <w:r>
              <w:rPr>
                <w:rFonts w:hint="eastAsia" w:ascii="宋体" w:hAnsi="宋体" w:cs="宋体"/>
                <w:kern w:val="0"/>
              </w:rPr>
              <w:t>对用人单位未建立、健全工作场所职业病危害因素监测及评价制度的处罚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工作场所职业卫生监督管理规定》（国家安全监管总局令第47号）第四十九条第五项:“用人单位有下列情形之一的，给予警告，责令限期改正；逾期未改正的，处10万元以下的罚款,（五）未建立、健全工作场所职业病危害因素监测及评价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1.立案责任：发现对用人单位未建立、健全工作场所职业病危害因素监测及评价制度的，予以审查，决定是否立案。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工作场所职业卫生监督管理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表2-307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kern w:val="0"/>
              </w:rPr>
              <w:t>对可能发生急性职业损伤的有毒、有害工作场所或者放射工作场所不符合相关规定的处罚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1.《工作场所职业卫生监督管理规定》（国家安全监管总局令第47号）第五十二条第三项:“用人单位有下列情形之一的，责令限期改正，并处5万元以上30万元以下的罚款；情节严重的，责令停止产生职业病危害的作业，或者提请有关人民政府按照国务院规定的权限责令关闭,（三）可能发生急性职业损伤的有毒、有害工作场所或者放射工作场所不符合本规定第十七条规定的；”</w:t>
            </w:r>
          </w:p>
          <w:p>
            <w:pPr>
              <w:spacing w:line="240" w:lineRule="exact"/>
              <w:ind w:firstLine="420" w:firstLineChars="200"/>
              <w:rPr>
                <w:rFonts w:ascii="宋体" w:hAnsi="宋体" w:cs="宋体"/>
              </w:rPr>
            </w:pPr>
            <w:r>
              <w:rPr>
                <w:rFonts w:hint="eastAsia" w:ascii="宋体" w:hAnsi="宋体" w:cs="宋体"/>
              </w:rPr>
              <w:t>2.《工作场所职业卫生监督管理规定》（国家安全监管总局令第47号）第十七条第一款:“在可能发生急性职业损伤的有毒、有害工作场所，用人单位应当设置报警装置，配置现场急救用品、冲洗设备、应急撤离通道和必要的泄险区。”</w:t>
            </w:r>
          </w:p>
          <w:p>
            <w:pPr>
              <w:spacing w:line="240" w:lineRule="exact"/>
              <w:ind w:firstLine="420" w:firstLineChars="200"/>
              <w:rPr>
                <w:rFonts w:ascii="宋体" w:hAnsi="宋体" w:cs="宋体"/>
              </w:rPr>
            </w:pPr>
            <w:r>
              <w:rPr>
                <w:rFonts w:hint="eastAsia" w:ascii="宋体" w:hAnsi="宋体" w:cs="宋体"/>
              </w:rPr>
              <w:t>3.《工作场所职业卫生监督管理规定》（国家安全监管总局令第47号）第十七条第二款:“现场急救用品、冲洗设备等应当设在可能发生急性职业损伤的工作场所或者临近地点，并在醒目位置设置清晰的标识。”</w:t>
            </w:r>
          </w:p>
          <w:p>
            <w:pPr>
              <w:spacing w:line="240" w:lineRule="exact"/>
              <w:ind w:firstLine="420" w:firstLineChars="200"/>
              <w:rPr>
                <w:rFonts w:ascii="宋体" w:hAnsi="宋体" w:cs="宋体"/>
              </w:rPr>
            </w:pPr>
            <w:r>
              <w:rPr>
                <w:rFonts w:hint="eastAsia" w:ascii="宋体" w:hAnsi="宋体" w:cs="宋体"/>
              </w:rPr>
              <w:t>4.《工作场所职业卫生监督管理规定》（国家安全监管总局令第47号）第十七条第三款:“在可能突然泄漏或者逸出大量有害物质的密闭或者半密闭工作场所，除遵守本条第一款、第二款规定外，用人单位还应当安装事故通风装置以及与事故排风系统相连锁的泄漏报警装置。”</w:t>
            </w:r>
          </w:p>
          <w:p>
            <w:pPr>
              <w:spacing w:line="240" w:lineRule="exact"/>
              <w:ind w:firstLine="420" w:firstLineChars="200"/>
              <w:rPr>
                <w:rFonts w:ascii="宋体" w:hAnsi="宋体" w:cs="宋体"/>
              </w:rPr>
            </w:pPr>
            <w:r>
              <w:rPr>
                <w:rFonts w:hint="eastAsia" w:ascii="宋体" w:hAnsi="宋体" w:cs="宋体"/>
              </w:rPr>
              <w:t>5.《工作场所职业卫生监督管理规定》（国家安全监管总局令第47号）第十七条第四款:“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放射性装置的生产调试和使用场所，应当具有防止误操作、防止工作人员受到意外照射的安全措施。用人单位必须配备与辐射类型和辐射水平相适应的防护用品和监测仪器，包括个人剂量测量报警、固定式和便携式辐射监测、表面污染监测、流出物监测等设备，并保证可能接触放射线的工作人员佩戴个人剂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0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1.立案责任：发现对可能发生急性职业损伤的有毒、有害工作场所或者放射工作场所不符合相关规定的，予以审查，决定是否立案。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工作场所职业卫生监督管理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表2-308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对用人单位有关事项发生重大变化，未按照《职业病危害项目申报办法》的规定申报变更职业病危害项目内容的处罚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职业病危害项目申报办法》（国家安全监管总局令第48号）第十五条:“用人单位有关事项发生重大变化，未按照本办法的规定申报变更职业病危害项目内容的，责令限期改正，可以并处5000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1.立案责任：发现对用人单位有关事项发生重大变化，未按照《职业病危害项目申报办法》的规定申报变更职业病危害项目内容的，予以审查，决定是否立案。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职业病危害项目申报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表2-309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1470" w:firstLineChars="700"/>
              <w:rPr>
                <w:rFonts w:ascii="宋体" w:hAnsi="宋体" w:cs="宋体"/>
                <w:kern w:val="0"/>
              </w:rPr>
            </w:pPr>
            <w:r>
              <w:rPr>
                <w:rFonts w:hint="eastAsia" w:ascii="宋体" w:hAnsi="宋体" w:cs="宋体"/>
                <w:kern w:val="0"/>
              </w:rPr>
              <w:t>对用人单位未建立或者落实职业健康监护制度的处罚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用人单位职业健康监护监督管理办法》（国家安全监管总局令第49号）第二十六条第一项:“用人单位有下列行为之一的，给予警告，责令限期改正，可以并处3万元以下的罚款,（一）未建立或者落实职业健康监护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2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1.立案责任：发现对用人单位未建立或者落实职业健康监护制度的，予以审查，决定是否立案。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用人单位职业健康监护监督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表2-310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840" w:firstLineChars="400"/>
              <w:rPr>
                <w:rFonts w:ascii="宋体" w:hAnsi="宋体" w:cs="宋体"/>
                <w:kern w:val="0"/>
              </w:rPr>
            </w:pPr>
            <w:r>
              <w:rPr>
                <w:rFonts w:hint="eastAsia" w:ascii="宋体" w:hAnsi="宋体" w:cs="宋体"/>
                <w:kern w:val="0"/>
              </w:rPr>
              <w:t>对用人单位未按照规定制定职业健康监护计划和落实专项经费的处罚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用人单位职业健康监护监督管理办法》（国家安全监管总局令第49号）第二十六条第二项:“用人单位有下列行为之一的，给予警告，责令限期改正，可以并处3万元以下的罚款,（二）未按照规定制定职业健康监护计划和落实专项经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1.立案责任：发现烟花爆竹生产企业改建、扩建烟花爆竹生产（含储存）设施未办理安全生产许可证变更手续的，予以审查，决定是否立案。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用人单位职业健康监护监督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表2-311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1050" w:firstLineChars="500"/>
              <w:rPr>
                <w:rFonts w:ascii="宋体" w:hAnsi="宋体" w:cs="宋体"/>
                <w:kern w:val="0"/>
              </w:rPr>
            </w:pPr>
            <w:r>
              <w:rPr>
                <w:rFonts w:hint="eastAsia" w:ascii="宋体" w:hAnsi="宋体" w:cs="宋体"/>
                <w:kern w:val="0"/>
              </w:rPr>
              <w:t>对用人单位弄虚作假，指使他人冒名顶替参加职业健康检查的处罚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用人单位职业健康监护监督管理办法》（国家安全监管总局令第49号）第二十六条第三项:“用人单位有下列行为之一的，给予警告，责令限期改正，可以并处3万元以下的罚款,（三）弄虚作假，指使他人冒名顶替参加职业健康检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1.立案责任：发现对用人单位弄虚作假，指使他人冒名顶替参加职业健康检查的，予以审查，决定是否立案。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用人单位职业健康监护监督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表2-312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840" w:firstLineChars="400"/>
              <w:rPr>
                <w:rFonts w:ascii="宋体" w:hAnsi="宋体" w:cs="宋体"/>
                <w:kern w:val="0"/>
              </w:rPr>
            </w:pPr>
            <w:r>
              <w:rPr>
                <w:rFonts w:hint="eastAsia" w:ascii="宋体" w:hAnsi="宋体" w:cs="宋体"/>
                <w:kern w:val="0"/>
              </w:rPr>
              <w:t>对用人单位未如实提供职业健康检查所需要的文件、资料的处罚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用人单位职业健康监护监督管理办法》（国家安全监管总局令第49号）第二十六条第四项:“用人单位有下列行为之一的，给予警告，责令限期改正，可以并处3万元以下的罚款,（四）未如实提供职业健康检查所需要的文件、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0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1.立案责任：发现对用人单位未如实提供职业健康检查所需要的文件、资料的，予以审查，决定是否立案。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用人单位职业健康监护监督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表2-313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1260" w:firstLineChars="600"/>
              <w:rPr>
                <w:rFonts w:ascii="宋体" w:hAnsi="宋体" w:cs="宋体"/>
                <w:kern w:val="0"/>
              </w:rPr>
            </w:pPr>
            <w:r>
              <w:rPr>
                <w:rFonts w:hint="eastAsia" w:ascii="宋体" w:hAnsi="宋体" w:cs="宋体"/>
                <w:kern w:val="0"/>
              </w:rPr>
              <w:t>对用人单位未根据职业健康检查情况采取相应措施的处罚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用人单位职业健康监护监督管理办法》（国家安全监管总局令第49号）第二十六条第五项:“用人单位有下列行为之一的，给予警告，责令限期改正，可以并处3万元以下的罚款,（五）未根据职业健康检查情况采取相应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1.立案责任：发现对用人单位未根据职业健康检查情况采取相应措施的，予以审查，决定是否立案。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用人单位职业健康监护监督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表2-314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2100" w:firstLineChars="1000"/>
              <w:rPr>
                <w:rFonts w:ascii="宋体" w:hAnsi="宋体" w:cs="宋体"/>
                <w:kern w:val="0"/>
              </w:rPr>
            </w:pPr>
            <w:r>
              <w:rPr>
                <w:rFonts w:hint="eastAsia" w:ascii="宋体" w:hAnsi="宋体" w:cs="宋体"/>
                <w:kern w:val="0"/>
              </w:rPr>
              <w:t>对用人单位不承担职业健康检查费用的处罚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用人单位职业健康监护监督管理办法》（国家安全监管总局令第49号）第二十六条第六项:“用人单位有下列行为之一的，给予警告，责令限期改正，可以并处3万元以下的罚款,（六）不承担职业健康检查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1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1.立案责任：发现对用人单位不承担职业健康检查费用的，予以审查，决定是否立案。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用人单位职业健康监护监督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表2-315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对未按照规定，对职业病危害预评价报告、职业病防护设施设计、职业病危害控制效果评价报告进行评审的处罚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建设项目职业病防护设施“三同时”监督管理办法》（国家安全监管总局令第90号）第四十条第一项:“建设单位有下列行为之一的，由安全生产监督管理部门给予警告，责令限期改正；逾期不改正的，处5000元以上3万元以下的罚款,（一）未按照本办法规定，对职业病危害预评价报告、职业病防护设施设计、职业病危害控制效果评价报告进行评审或者组织职业病防护设施验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1.立案责任：发现职业卫生技术服务机构在申请资质、资质延续、接受监督检查时，采取弄虚作假等不正当手段的，予以审查，决定是否立案。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建设项目职业病防护设施“三同时”监督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表2-316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对建设项目的选址、生产规模、工艺、职业病危害因素的种类、职业病防护设施发生重大变更时，未对变更内容重新进行职业病危害预评价或者未重新进行职业病防护设施设计并办理有关手续，进行施工的处罚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建设项目职业病防护设施“三同时”监督管理办法》（国家安全监管总局令第90号）第四十条第三项:“建设单位有下列行为之一的，由安全生产监督管理部门给予警告，责令限期改正；逾期不改正的，处5000元以上3万元以下的罚款,（三）建设项目的生产规模、工艺等发生变更导致职业病危害风险发生重大变化的，建设单位未对变更内容重新进行职业病危害预评价和评审，或者未对变更内容重新进行职业病防护设施设计和评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5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1.立案责任：发现职业卫生技术服务机构在申请资质、资质延续、接受监督检查时，采取弄虚作假等不正当手段的，予以审查，决定是否立案。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建设项目职业病防护设施“三同时”监督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表2-317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1050" w:firstLineChars="500"/>
              <w:rPr>
                <w:rFonts w:ascii="宋体" w:hAnsi="宋体" w:cs="宋体"/>
                <w:kern w:val="0"/>
              </w:rPr>
            </w:pPr>
            <w:r>
              <w:rPr>
                <w:rFonts w:hint="eastAsia" w:ascii="宋体" w:hAnsi="宋体" w:cs="宋体"/>
                <w:kern w:val="0"/>
              </w:rPr>
              <w:t>对需要试运行的职业病防护设施未与主体工程同时试运行的处罚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建设项目职业病防护设施“三同时”监督管理办法》（国家安全监管总局令第90号）第四十条第四项:“建设单位有下列行为之一的，由安全生产监督管理部门给予警告，责令限期改正；逾期不改正的，处5000元以上3万元以下的罚款,（四）需要试运行的职业病防护设施未与主体工程同时试运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7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1.立案责任：发现需要试运行的职业病防护设施未与主体工程同时试运行的，予以审查，决定是否立案。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建设项目职业病防护设施“三同时”监督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表2-318</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对建设单位在职业病危害预评价报告、职业病防护设施设计、职业病危害控制效果评价报告评审以及职业病防护设施验收中弄虚作假的处罚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建设项目职业病防护设施“三同时”监督管理办法》（国家安全监管总局令第90号）第四十一条:“建设单位在职业病危害预评价报告、职业病防护设施设计、职业病危害控制效果评价报告编制、评审以及职业病防护设施验收等过程中弄虚作假的，由安全生产监督管理部门责令限期改正，给予警告，可以并处5000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1.立案责任：发现建设单位在职业病危害预评价报告、职业病防护设施设计、职业病危害控制效果评价报告评审以及职业病防护设施验收中弄虚作假的，予以审查，决定是否立案。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建设项目职业病防护设施“三同时”监督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表2-319</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rPr>
                <w:rFonts w:ascii="宋体" w:hAnsi="宋体" w:cs="宋体"/>
                <w:kern w:val="0"/>
              </w:rPr>
            </w:pPr>
            <w:r>
              <w:rPr>
                <w:rFonts w:hint="eastAsia" w:ascii="宋体" w:hAnsi="宋体" w:cs="宋体"/>
                <w:kern w:val="0"/>
              </w:rPr>
              <w:t>对提供虚假资料或者采取其他欺骗手段取得大型医用设备配置许可证等许可证件的处罚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2017年5月4日国务院关于修改《医疗器械监督管理条例》的决定（第680号）第六十四条：“提供虚假资料或者采取其他欺骗手段取得医疗器械注册证、医疗器械生产许可证、医疗器械经营许可证、大型医用设备配置许可证、广告批准文件等许可证件的，由原发证部门撤销已经取得的许可证件，并处5万元以上10万元以下罚款，5年内不受理相关责任人及单位提出的医疗器械许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93"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1.立案责任：提供虚假资料或者采取其他欺骗手段取得大型医用设备配置许可证等许可证件的，予以审查，决定是否立案。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器械监督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表2-320</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1470" w:firstLineChars="700"/>
              <w:rPr>
                <w:rFonts w:ascii="宋体" w:hAnsi="宋体" w:cs="宋体"/>
                <w:kern w:val="0"/>
              </w:rPr>
            </w:pPr>
            <w:r>
              <w:rPr>
                <w:rFonts w:hint="eastAsia" w:ascii="宋体" w:hAnsi="宋体" w:cs="宋体"/>
                <w:kern w:val="0"/>
              </w:rPr>
              <w:t>对医疗机构篡改、伪造、隐匿、毁灭病历资料的处罚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2018年颁布《医疗纠纷预防和处理条例》（中华人民共和国国务院令第701号）第四十五条：“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1.立案责任：对医疗机构篡改、伪造、隐匿、毁灭病历资料的违法行为，予以审查，决定是否立案。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纠纷预防和处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表2-321</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840" w:firstLineChars="400"/>
              <w:rPr>
                <w:rFonts w:ascii="宋体" w:hAnsi="宋体" w:cs="宋体"/>
                <w:kern w:val="0"/>
              </w:rPr>
            </w:pPr>
            <w:r>
              <w:rPr>
                <w:rFonts w:hint="eastAsia" w:ascii="宋体" w:hAnsi="宋体" w:cs="宋体"/>
                <w:kern w:val="0"/>
              </w:rPr>
              <w:t>对医疗机构将未通过技术评估和伦理审查的医疗新技术应用于临床的处罚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8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2018年颁布《医疗纠纷预防和处理条例》（中华人民共和国国务院令第701号）第四十六条：“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5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1.立案责任：对医疗机构将未通过技术评估和伦理审查的医疗新技术应用于临床的，予以审查，决定是否立案。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纠纷预防和处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表2-322</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kern w:val="0"/>
              </w:rPr>
              <w:t>对医疗机构未按规定制定和实施医疗质量安全管理制度；未按规定告知患者病情、医疗措施、医疗风险、替代医疗方案等；开展具有较高医疗风险的诊疗活动，末提前预备应对方案防范突发风险；未按规定填写、保管病历资料，或者未按规定补记抢救病历；拒绝为患者提供查阅、复制病历资料服务；未建立投诉接待制度、设置统一投诉管理部门或者配备专（兼）职人员；未按规定封存、保管、启封病历资料和现场实物；未按规定向卫生主管部门报告重大医疗纠纷；其他未履行（医疗纠纷预防和处理条例）规定义务的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4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2018年颁布《医疗纠纷预防和处理条例》（中华人民共和国国务院令第701号）第四十七条：“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二）未按规定告知患者病情、医疗措施、医疗风险、替代医疗方案等；（三）开展具有较高医疗风险的诊疗活动，末提前预备应对方案防范突发风险；（四）未按规定填写、保管病历资料，或者未按规定补记抢救病历；（五）拒绝为患者提供查阅、复制病历资料服务；（六）未建立投诉接待制度、设置统一投诉管理部门或者配备专（兼）职人员；（七）未按规定封存、保管、启封病历资料和现场实物；（八）未按规定向卫生主管部门报告重大医疗纠纷；（九）其他未履行本条例规定义务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3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医疗机构未按规定制定和实施医疗质量安全管理制度；未按规定告知患者病情、医疗措施、医疗风险、替代医疗方案等；开展具有较高医疗风险的诊疗活动，末提前预备应对方案防范突发风险；未按规定填写、保管病历资料，或者未按规定补记抢救病历；拒绝为患者提供查阅、复制病历资料服务；未建立投诉接待制度、设置统一投诉管理部门或者配备专（兼）职人员；未按规定封存、保管、启封病历资料和现场实物；未按规定向卫生主管部门报告重大医疗纠纷；其他未履行（医疗纠纷预防和处理条例）规定义务的情形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纠纷预防和处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表2-323</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2310" w:firstLineChars="1100"/>
              <w:rPr>
                <w:rFonts w:ascii="宋体" w:hAnsi="宋体" w:cs="宋体"/>
                <w:kern w:val="0"/>
              </w:rPr>
            </w:pPr>
            <w:r>
              <w:rPr>
                <w:rFonts w:hint="eastAsia" w:ascii="宋体" w:hAnsi="宋体" w:cs="宋体"/>
                <w:kern w:val="0"/>
              </w:rPr>
              <w:t>对医学会出具虚假医疗损害鉴定意见的处罚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9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2018年发布中华人民共和国国务院令第701号《医疗纠纷预防和处理条例》 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4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1.立案责任：对医学会出具虚假医疗损害鉴定意见的，予以审查，决定是否立案。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纠纷预防和处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表2-324</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2730" w:firstLineChars="1300"/>
              <w:rPr>
                <w:rFonts w:ascii="宋体" w:hAnsi="宋体" w:cs="宋体"/>
                <w:kern w:val="0"/>
              </w:rPr>
            </w:pPr>
            <w:r>
              <w:rPr>
                <w:rFonts w:hint="eastAsia" w:ascii="宋体" w:hAnsi="宋体" w:cs="宋体"/>
                <w:kern w:val="0"/>
              </w:rPr>
              <w:t>对尸检机构出具虚假尸检报告的处罚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2018年发布中华人民共和国国务院令第701号《医疗纠纷预防和处理条例》第四十九条：“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0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1.立案责任：对尸检机构出具虚假尸检报告的，予以审查，决定是否立案。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纠纷预防和处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12345</w:t>
            </w:r>
          </w:p>
        </w:tc>
      </w:tr>
    </w:tbl>
    <w:p>
      <w:pPr>
        <w:spacing w:line="240" w:lineRule="exact"/>
        <w:rPr>
          <w:rFonts w:ascii="宋体" w:hAnsi="宋体" w:cs="宋体"/>
        </w:rPr>
      </w:pPr>
      <w:r>
        <w:rPr>
          <w:rFonts w:hint="eastAsia" w:ascii="宋体" w:hAnsi="宋体" w:cs="宋体"/>
        </w:rPr>
        <w:t>表2-325</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kern w:val="0"/>
              </w:rPr>
            </w:pPr>
            <w:r>
              <w:rPr>
                <w:rFonts w:hint="eastAsia" w:ascii="宋体" w:hAnsi="宋体" w:cs="宋体"/>
                <w:kern w:val="0"/>
              </w:rPr>
              <w:t>对医疗机构未建立医疗技术临床应用管理专门组织或者未指定专（兼）职人员负责具体管理工作的；未建立医疗技术临床应用管理相关规章制度的；医疗技术临床应用管理混乱，存在医疗质量和医疗安全隐患的；未按照要求向卫生行政部门进行医疗技术临床应用备案的；未按照要求报告或者报告不实信息的；未按照要求向国家和省级医疗技术临床应用信息化管理平台报送相关信息；未将相关信息纳入院务公开范围向社会公开的；未按要求保障医务人员接受医疗技术临床应用规范化培训权益</w:t>
            </w:r>
            <w:r>
              <w:rPr>
                <w:rFonts w:hint="eastAsia" w:ascii="宋体" w:hAnsi="宋体" w:cs="宋体"/>
                <w:kern w:val="0"/>
                <w:lang w:eastAsia="zh-CN"/>
              </w:rPr>
              <w:t>的</w:t>
            </w:r>
            <w:r>
              <w:rPr>
                <w:rFonts w:hint="eastAsia" w:ascii="宋体" w:hAnsi="宋体" w:cs="宋体"/>
                <w:kern w:val="0"/>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国家卫生健康委2018年9月14日颁布的《医疗技术临床应用管理办法》（中华人民共和国国家卫生健康委员会令 第 1 号）第四十一条：“医疗机构违反本办法规定，有下列情形之一的，由县级以上地方卫生健康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二）未建立医疗技术临床应用管理相关规章制度的；（三）医疗技术临床应用管理混乱，存在医疗质量和医疗安全隐患的；（四）未按照要求向卫生健康行政部门进行医疗技术临床应用备案的；（五）未按照要求报告或者报告不实信息的；（六）未按照要求向国家和省级医疗技术临床应用信息化管理平台报送相关信息的；（七）未将相关信息纳入院务公开范围向社会公开的；（八）未按要求保障医务人员接受医疗技术临床应用规范化培训权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26"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rPr>
                <w:rFonts w:ascii="宋体" w:hAnsi="宋体" w:cs="宋体"/>
              </w:rPr>
            </w:pPr>
            <w:r>
              <w:rPr>
                <w:rFonts w:hint="eastAsia" w:ascii="宋体" w:hAnsi="宋体" w:cs="宋体"/>
              </w:rPr>
              <w:t>1.立案责任：对医疗机构未建立医疗技术临床应用管理专门组织或者未指定专（兼）职人员负责具体管理工作的；未建立医疗技术临床应用管理相关规章制度的；医疗技术临床应用管理混乱，存在医疗质量和医疗安全隐患的；未按照要求向卫生健康行政部门进行医疗技术临床应用备案的；未按照要求报告或者报告不实信息的；未按照要求向国家和省级医疗技术临床应用信息化管理平台报送相关信息；未将相关信息纳入院务公开范围向社会公开的；未按要求保障医务人员接受医疗技术临床应用规范化培训权益的，予以审查，决定是否立案。</w:t>
            </w:r>
          </w:p>
          <w:p>
            <w:pPr>
              <w:spacing w:line="24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4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4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4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4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40" w:lineRule="exact"/>
              <w:ind w:firstLine="420"/>
              <w:rPr>
                <w:rFonts w:ascii="宋体" w:hAnsi="宋体" w:cs="宋体"/>
              </w:rPr>
            </w:pPr>
            <w:r>
              <w:rPr>
                <w:rFonts w:hint="eastAsia" w:ascii="宋体" w:hAnsi="宋体" w:cs="宋体"/>
              </w:rPr>
              <w:t>7.执行责任：依照生效的行政处罚决定执行。</w:t>
            </w:r>
          </w:p>
          <w:p>
            <w:pPr>
              <w:spacing w:line="24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4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技术临床应用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1"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表2-326</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7"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对医疗机构开展相关医疗技术与登记的诊疗科目不相符的；开展禁止类技术临床应用的；不符合医疗技术临床应用管理规范要求擅自开展相关医疗技术的处罚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国家卫生健康委2018年9月14日颁布的《医疗技术临床应用管理办法》（中华人民共和国国家卫生健康委员会令 第 1 号）第四十三条：“医疗机构有下列情形之一的，由县级以上地方卫生健康行政部门依据《医疗机构管理条例》第四十七条的规定进行处理；情节严重的，还应当对医疗机构主要负责人和其他直接责任人员依法给予处分，（一）开展相关医疗技术与登记的诊疗科目不相符的；（二）开展禁止类技术临床应用的；（三）不符合医疗技术临床应用管理规范要求擅自开展相关医疗技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1.立案责任：对医疗机构开展相关医疗技术与登记的诊疗科目不相符的；开展禁止类技术临床应用的；不符合医疗技术临床应用管理规范要求擅自开展相关医疗技术的，予以审查，决定是否立案。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技术临床应用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rPr>
      </w:pPr>
      <w:r>
        <w:rPr>
          <w:rFonts w:hint="eastAsia" w:ascii="宋体" w:hAnsi="宋体" w:cs="宋体"/>
        </w:rPr>
        <w:t>表2-327</w:t>
      </w:r>
    </w:p>
    <w:tbl>
      <w:tblPr>
        <w:tblStyle w:val="13"/>
        <w:tblW w:w="893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3"/>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序号</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权力类型</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2"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权力项目名称</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kern w:val="0"/>
              </w:rPr>
            </w:pPr>
            <w:r>
              <w:rPr>
                <w:rFonts w:hint="eastAsia" w:ascii="宋体" w:hAnsi="宋体" w:cs="宋体"/>
                <w:kern w:val="0"/>
              </w:rPr>
              <w:t>对医疗机构管理混乱导致医疗技术临床应用造成严重不良后果，并产生重大社会影响的处罚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实施依据</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国家卫生健康委2018年9月14日颁布的《医疗技术临床应用管理办法》（中华人民共和国国家卫生健康委员会令第1号）第四十四条：“医疗机构管理混乱导致医疗技术临床应用造成严重不良后果，并产生重大社会影响的，由县级以上地方卫生健康行政部门责令限期整改，并给予警告；逾期不改的，给予三万元以下罚款，并对医疗机构主要负责人、负有责任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责任主体</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58"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责任事项</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rPr>
            </w:pPr>
            <w:r>
              <w:rPr>
                <w:rFonts w:hint="eastAsia" w:ascii="宋体" w:hAnsi="宋体" w:cs="宋体"/>
              </w:rPr>
              <w:t>1.立案责任：对医疗机构管理混乱导致医疗技术临床应用造成严重不良后果，并产生重大社会影响的，予以审查，决定是否立案。</w:t>
            </w:r>
          </w:p>
          <w:p>
            <w:pPr>
              <w:spacing w:line="260" w:lineRule="exact"/>
              <w:ind w:firstLine="420"/>
              <w:rPr>
                <w:rFonts w:ascii="宋体" w:hAnsi="宋体" w:cs="宋体"/>
              </w:rPr>
            </w:pPr>
            <w:r>
              <w:rPr>
                <w:rFonts w:hint="eastAsia" w:ascii="宋体" w:hAnsi="宋体" w:cs="宋体"/>
              </w:rPr>
              <w:t>2.调查责任：对立案的案件及时组织调查取证，与当事人有直接利害关系的应当回避。执法人员不得少于两人，询问或者检查应当制作笔录，允许当事人辩解。</w:t>
            </w:r>
          </w:p>
          <w:p>
            <w:pPr>
              <w:spacing w:line="260" w:lineRule="exact"/>
              <w:ind w:firstLine="420"/>
              <w:rPr>
                <w:rFonts w:ascii="宋体" w:hAnsi="宋体" w:cs="宋体"/>
              </w:rPr>
            </w:pPr>
            <w:r>
              <w:rPr>
                <w:rFonts w:hint="eastAsia" w:ascii="宋体" w:hAnsi="宋体" w:cs="宋体"/>
              </w:rPr>
              <w:t>3.审查责任：对案件违法事实、证据、调查取证程序、法律适用、处罚种类和幅度、当事人陈述和申辩等进行审查，提出处理意见。</w:t>
            </w:r>
          </w:p>
          <w:p>
            <w:pPr>
              <w:spacing w:line="260" w:lineRule="exact"/>
              <w:ind w:firstLine="420"/>
              <w:rPr>
                <w:rFonts w:ascii="宋体" w:hAnsi="宋体" w:cs="宋体"/>
              </w:rPr>
            </w:pPr>
            <w:r>
              <w:rPr>
                <w:rFonts w:hint="eastAsia" w:ascii="宋体" w:hAnsi="宋体" w:cs="宋体"/>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260" w:lineRule="exact"/>
              <w:ind w:firstLine="420"/>
              <w:rPr>
                <w:rFonts w:ascii="宋体" w:hAnsi="宋体" w:cs="宋体"/>
              </w:rPr>
            </w:pPr>
            <w:r>
              <w:rPr>
                <w:rFonts w:hint="eastAsia" w:ascii="宋体" w:hAnsi="宋体" w:cs="宋体"/>
              </w:rPr>
              <w:t>5.决定责任：作出行政处罚决定，制作《行政处罚决定书》，并载明行政处罚告知、当事人陈述申辩或者听证情况等内容。</w:t>
            </w:r>
          </w:p>
          <w:p>
            <w:pPr>
              <w:spacing w:line="260" w:lineRule="exact"/>
              <w:ind w:firstLine="420"/>
              <w:rPr>
                <w:rFonts w:ascii="宋体" w:hAnsi="宋体" w:cs="宋体"/>
              </w:rPr>
            </w:pPr>
            <w:r>
              <w:rPr>
                <w:rFonts w:hint="eastAsia" w:ascii="宋体" w:hAnsi="宋体" w:cs="宋体"/>
              </w:rPr>
              <w:t>6.送达责任：按照法律法规规定的方式和时限，将《行政处罚决定书》送达当事人。</w:t>
            </w:r>
          </w:p>
          <w:p>
            <w:pPr>
              <w:spacing w:line="260" w:lineRule="exact"/>
              <w:ind w:firstLine="420"/>
              <w:rPr>
                <w:rFonts w:ascii="宋体" w:hAnsi="宋体" w:cs="宋体"/>
              </w:rPr>
            </w:pPr>
            <w:r>
              <w:rPr>
                <w:rFonts w:hint="eastAsia" w:ascii="宋体" w:hAnsi="宋体" w:cs="宋体"/>
              </w:rPr>
              <w:t>7.执行责任：依照生效的行政处罚决定执行。</w:t>
            </w:r>
          </w:p>
          <w:p>
            <w:pPr>
              <w:spacing w:line="260" w:lineRule="exact"/>
              <w:ind w:firstLine="420"/>
              <w:rPr>
                <w:rFonts w:ascii="宋体" w:hAnsi="宋体" w:cs="宋体"/>
              </w:rPr>
            </w:pPr>
            <w:r>
              <w:rPr>
                <w:rFonts w:hint="eastAsia" w:ascii="宋体" w:hAnsi="宋体" w:cs="宋体"/>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追责情形</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firstLineChars="200"/>
              <w:rPr>
                <w:rFonts w:ascii="宋体" w:hAnsi="宋体" w:cs="宋体"/>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技术临床应用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5" w:hRule="atLeast"/>
        </w:trPr>
        <w:tc>
          <w:tcPr>
            <w:tcW w:w="56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rPr>
            </w:pPr>
            <w:r>
              <w:rPr>
                <w:rFonts w:hint="eastAsia" w:ascii="宋体" w:hAnsi="宋体" w:cs="宋体"/>
              </w:rPr>
              <w:t>监督电话</w:t>
            </w:r>
          </w:p>
        </w:tc>
        <w:tc>
          <w:tcPr>
            <w:tcW w:w="8374"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rPr>
            </w:pPr>
            <w:r>
              <w:rPr>
                <w:rFonts w:hint="eastAsia" w:ascii="宋体" w:hAnsi="宋体" w:cs="宋体"/>
              </w:rPr>
              <w:t>12345</w:t>
            </w:r>
          </w:p>
        </w:tc>
      </w:tr>
    </w:tbl>
    <w:p>
      <w:pPr>
        <w:spacing w:line="260" w:lineRule="exact"/>
        <w:rPr>
          <w:rFonts w:ascii="宋体" w:hAnsi="宋体" w:cs="宋体"/>
          <w:color w:val="000000"/>
        </w:rPr>
      </w:pPr>
      <w:r>
        <w:rPr>
          <w:rFonts w:hint="eastAsia" w:ascii="宋体" w:hAnsi="宋体" w:cs="宋体"/>
          <w:color w:val="000000"/>
        </w:rPr>
        <w:t>表2-328</w:t>
      </w:r>
    </w:p>
    <w:tbl>
      <w:tblPr>
        <w:tblStyle w:val="13"/>
        <w:tblW w:w="8937" w:type="dxa"/>
        <w:tblInd w:w="51" w:type="dxa"/>
        <w:tblLayout w:type="fixed"/>
        <w:tblCellMar>
          <w:top w:w="0" w:type="dxa"/>
          <w:left w:w="57" w:type="dxa"/>
          <w:bottom w:w="0" w:type="dxa"/>
          <w:right w:w="57" w:type="dxa"/>
        </w:tblCellMar>
      </w:tblPr>
      <w:tblGrid>
        <w:gridCol w:w="547"/>
        <w:gridCol w:w="8390"/>
      </w:tblGrid>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color w:val="000000"/>
              </w:rPr>
            </w:pPr>
            <w:r>
              <w:rPr>
                <w:rFonts w:hint="eastAsia" w:ascii="宋体" w:hAnsi="宋体" w:cs="宋体"/>
                <w:color w:val="000000"/>
              </w:rPr>
              <w:t>1</w:t>
            </w:r>
          </w:p>
        </w:tc>
      </w:tr>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color w:val="000000"/>
              </w:rPr>
            </w:pPr>
            <w:r>
              <w:rPr>
                <w:rFonts w:hint="eastAsia" w:ascii="宋体" w:hAnsi="宋体" w:cs="宋体"/>
                <w:color w:val="000000"/>
              </w:rPr>
              <w:t>行政征收</w:t>
            </w:r>
          </w:p>
        </w:tc>
      </w:tr>
      <w:tr>
        <w:tblPrEx>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1470" w:firstLineChars="700"/>
              <w:rPr>
                <w:rFonts w:ascii="宋体" w:hAnsi="宋体" w:cs="宋体"/>
                <w:color w:val="000000"/>
              </w:rPr>
            </w:pPr>
            <w:r>
              <w:rPr>
                <w:rFonts w:hint="eastAsia" w:ascii="宋体" w:hAnsi="宋体" w:cs="宋体"/>
                <w:color w:val="000000"/>
                <w:kern w:val="0"/>
              </w:rPr>
              <w:t>对不符合法律法规规定生育的公民征收社会抚养费</w:t>
            </w:r>
          </w:p>
        </w:tc>
      </w:tr>
      <w:tr>
        <w:tblPrEx>
          <w:tblCellMar>
            <w:top w:w="0" w:type="dxa"/>
            <w:left w:w="57" w:type="dxa"/>
            <w:bottom w:w="0" w:type="dxa"/>
            <w:right w:w="57" w:type="dxa"/>
          </w:tblCellMar>
        </w:tblPrEx>
        <w:trPr>
          <w:trHeight w:val="92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left"/>
              <w:rPr>
                <w:rFonts w:ascii="宋体" w:hAnsi="宋体" w:cs="宋体"/>
                <w:color w:val="000000"/>
              </w:rPr>
            </w:pPr>
            <w:r>
              <w:rPr>
                <w:rFonts w:hint="eastAsia" w:ascii="宋体" w:hAnsi="宋体" w:cs="宋体"/>
                <w:color w:val="000000"/>
              </w:rPr>
              <w:t>《四川省社会抚养费征收管理实施办法》第五条：“社会抚养费的征收，由县级人民政府计划生育行政部门作出书面征收决定；县级人民政府计划生育行政部门可以委托乡（镇）人民政府或街道办事处作出书面征收决定。”</w:t>
            </w:r>
          </w:p>
        </w:tc>
      </w:tr>
      <w:tr>
        <w:tblPrEx>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color w:val="000000"/>
              </w:rPr>
            </w:pPr>
            <w:r>
              <w:rPr>
                <w:rFonts w:hint="eastAsia" w:ascii="宋体" w:hAnsi="宋体" w:cs="宋体"/>
                <w:color w:val="000000"/>
              </w:rPr>
              <w:t>政策法规与综合监督股</w:t>
            </w:r>
          </w:p>
        </w:tc>
      </w:tr>
      <w:tr>
        <w:tblPrEx>
          <w:tblCellMar>
            <w:top w:w="0" w:type="dxa"/>
            <w:left w:w="57" w:type="dxa"/>
            <w:bottom w:w="0" w:type="dxa"/>
            <w:right w:w="57" w:type="dxa"/>
          </w:tblCellMar>
        </w:tblPrEx>
        <w:trPr>
          <w:trHeight w:val="232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jc w:val="left"/>
              <w:rPr>
                <w:rFonts w:ascii="宋体" w:hAnsi="宋体" w:cs="宋体"/>
                <w:color w:val="000000"/>
              </w:rPr>
            </w:pPr>
            <w:r>
              <w:rPr>
                <w:rFonts w:hint="eastAsia" w:ascii="宋体" w:hAnsi="宋体" w:cs="宋体"/>
                <w:color w:val="000000"/>
              </w:rPr>
              <w:t>1.受理责任：社会抚养费的征收，由县级人民政府计划生育行政部门作出书面征收决定；县级人民政府计划生育行政部门可以委托乡（镇）人民政府或街道办事处作出书面征收决定。</w:t>
            </w:r>
          </w:p>
          <w:p>
            <w:pPr>
              <w:spacing w:line="260" w:lineRule="exact"/>
              <w:ind w:firstLine="420" w:firstLineChars="200"/>
              <w:jc w:val="left"/>
              <w:rPr>
                <w:rFonts w:ascii="宋体" w:hAnsi="宋体" w:cs="宋体"/>
                <w:color w:val="000000"/>
              </w:rPr>
            </w:pPr>
            <w:r>
              <w:rPr>
                <w:rFonts w:hint="eastAsia" w:ascii="宋体" w:hAnsi="宋体" w:cs="宋体"/>
                <w:color w:val="000000"/>
              </w:rPr>
              <w:t>2.审核责任：乡（镇）人民政府或街道办事处卫计办。</w:t>
            </w:r>
          </w:p>
          <w:p>
            <w:pPr>
              <w:spacing w:line="260" w:lineRule="exact"/>
              <w:ind w:firstLine="420" w:firstLineChars="200"/>
              <w:jc w:val="left"/>
              <w:rPr>
                <w:rFonts w:ascii="宋体" w:hAnsi="宋体" w:cs="宋体"/>
                <w:color w:val="000000"/>
              </w:rPr>
            </w:pPr>
            <w:r>
              <w:rPr>
                <w:rFonts w:hint="eastAsia" w:ascii="宋体" w:hAnsi="宋体" w:cs="宋体"/>
                <w:color w:val="000000"/>
              </w:rPr>
              <w:t xml:space="preserve">3.决定责任：乡（镇）人民政府或街道办事处卫计办。     </w:t>
            </w:r>
          </w:p>
          <w:p>
            <w:pPr>
              <w:spacing w:line="260" w:lineRule="exact"/>
              <w:ind w:firstLine="420" w:firstLineChars="200"/>
              <w:jc w:val="left"/>
              <w:rPr>
                <w:rFonts w:ascii="宋体" w:hAnsi="宋体" w:cs="宋体"/>
                <w:color w:val="000000"/>
              </w:rPr>
            </w:pPr>
            <w:r>
              <w:rPr>
                <w:rFonts w:hint="eastAsia" w:ascii="宋体" w:hAnsi="宋体" w:cs="宋体"/>
                <w:color w:val="000000"/>
              </w:rPr>
              <w:t>4.事后监管责任：县级人民政府计划生育行政部门。有下列行为之一的，由县级以上人民政府计划生育行政部门责令改正。（一）增加或者减少社会抚养费征收数额的；（二）以征收社会抚养费为目的，故意放弃监管造成违反法律法规规定生育的；（三）伪造、变造、转让社会抚养费专用收据的。</w:t>
            </w:r>
          </w:p>
          <w:p>
            <w:pPr>
              <w:spacing w:line="260" w:lineRule="exact"/>
              <w:ind w:firstLine="420" w:firstLineChars="200"/>
              <w:jc w:val="left"/>
              <w:rPr>
                <w:rFonts w:ascii="宋体" w:hAnsi="宋体" w:cs="宋体"/>
                <w:color w:val="000000"/>
              </w:rPr>
            </w:pPr>
            <w:r>
              <w:rPr>
                <w:rFonts w:hint="eastAsia" w:ascii="宋体" w:hAnsi="宋体" w:cs="宋体"/>
                <w:color w:val="000000"/>
              </w:rPr>
              <w:t>5.其他责任：法律法规规章文件规定应履行的其他责任。</w:t>
            </w:r>
          </w:p>
        </w:tc>
      </w:tr>
      <w:tr>
        <w:tblPrEx>
          <w:tblCellMar>
            <w:top w:w="0" w:type="dxa"/>
            <w:left w:w="57" w:type="dxa"/>
            <w:bottom w:w="0" w:type="dxa"/>
            <w:right w:w="57" w:type="dxa"/>
          </w:tblCellMar>
        </w:tblPrEx>
        <w:trPr>
          <w:trHeight w:val="1205"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kern w:val="0"/>
              </w:rPr>
            </w:pPr>
            <w:r>
              <w:rPr>
                <w:rFonts w:hint="eastAsia" w:ascii="宋体" w:hAnsi="宋体" w:cs="宋体"/>
                <w:color w:val="000000"/>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rPr>
                <w:rFonts w:ascii="宋体" w:hAnsi="宋体" w:cs="宋体"/>
                <w:color w:val="000000"/>
              </w:rPr>
            </w:pPr>
            <w:r>
              <w:rPr>
                <w:rFonts w:hint="eastAsia" w:ascii="宋体" w:hAnsi="宋体" w:cs="宋体"/>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color w:val="000000"/>
              </w:rPr>
              <w:t>《四川省社会抚养费征收管理实施办法》</w:t>
            </w:r>
            <w:r>
              <w:rPr>
                <w:rFonts w:hint="eastAsia" w:ascii="宋体" w:hAnsi="宋体" w:cs="宋体"/>
              </w:rPr>
              <w:t>等法律法规规章的相关规定追究相应的责任。</w:t>
            </w:r>
          </w:p>
        </w:tc>
      </w:tr>
      <w:tr>
        <w:tblPrEx>
          <w:tblCellMar>
            <w:top w:w="0" w:type="dxa"/>
            <w:left w:w="57" w:type="dxa"/>
            <w:bottom w:w="0" w:type="dxa"/>
            <w:right w:w="57" w:type="dxa"/>
          </w:tblCellMar>
        </w:tblPrEx>
        <w:trPr>
          <w:trHeight w:val="55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color w:val="000000"/>
              </w:rPr>
            </w:pPr>
            <w:r>
              <w:rPr>
                <w:rFonts w:hint="eastAsia" w:ascii="宋体" w:hAnsi="宋体" w:cs="宋体"/>
                <w:color w:val="000000"/>
              </w:rPr>
              <w:t>0817-3337816</w:t>
            </w:r>
          </w:p>
        </w:tc>
      </w:tr>
    </w:tbl>
    <w:p>
      <w:pPr>
        <w:widowControl/>
        <w:spacing w:line="260" w:lineRule="exact"/>
        <w:jc w:val="left"/>
        <w:rPr>
          <w:rFonts w:ascii="宋体" w:hAnsi="宋体" w:cs="宋体"/>
          <w:color w:val="000000"/>
        </w:rPr>
      </w:pPr>
      <w:r>
        <w:rPr>
          <w:rFonts w:hint="eastAsia" w:ascii="宋体" w:hAnsi="宋体" w:cs="宋体"/>
          <w:color w:val="000000"/>
        </w:rPr>
        <w:t>表2-329</w:t>
      </w:r>
    </w:p>
    <w:tbl>
      <w:tblPr>
        <w:tblStyle w:val="13"/>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noWrap/>
            <w:vAlign w:val="center"/>
          </w:tcPr>
          <w:p>
            <w:pPr>
              <w:spacing w:line="260" w:lineRule="exact"/>
              <w:ind w:firstLine="420"/>
              <w:rPr>
                <w:rFonts w:ascii="宋体" w:hAnsi="宋体" w:cs="宋体"/>
                <w:color w:val="000000"/>
              </w:rPr>
            </w:pPr>
            <w:r>
              <w:rPr>
                <w:rFonts w:hint="eastAsia" w:ascii="宋体" w:hAnsi="宋体" w:cs="宋体"/>
                <w:color w:val="000000"/>
                <w:kern w:val="0"/>
              </w:rPr>
              <w:t>查封或者暂扣涉嫌违反《医疗废物管理条例》的规定的场所、设备、运输工具和物品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7"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noWrap/>
            <w:vAlign w:val="center"/>
          </w:tcPr>
          <w:p>
            <w:pPr>
              <w:spacing w:line="260" w:lineRule="exact"/>
              <w:ind w:firstLine="420"/>
              <w:rPr>
                <w:rFonts w:ascii="宋体" w:hAnsi="宋体" w:cs="宋体"/>
                <w:color w:val="000000"/>
              </w:rPr>
            </w:pPr>
            <w:r>
              <w:rPr>
                <w:rFonts w:hint="eastAsia" w:ascii="宋体" w:hAnsi="宋体" w:cs="宋体"/>
                <w:color w:val="000000"/>
              </w:rPr>
              <w:t>《医疗废物管理条例》(国务院令第380号)第三十九条：“卫生行政主管部门、环境保护行政主管部门履行监督检查职责时，有权采取下列措施，（一）对有关单位进行实地检查，了解情况，现场监测，调查取证；（二）查阅或者复制医疗废物管理的有关资料，采集样品；（三）责令违反本条例规定的单位和个人停止违法行为；（四）查封或者暂扣涉嫌违反本条例规定的场所、设备、运输工具和物品；（五）对违反本条例规定的行为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9"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441" w:type="dxa"/>
            <w:noWrap/>
            <w:vAlign w:val="center"/>
          </w:tcPr>
          <w:p>
            <w:pPr>
              <w:spacing w:line="260" w:lineRule="exact"/>
              <w:ind w:firstLine="411" w:firstLineChars="196"/>
              <w:rPr>
                <w:rFonts w:ascii="宋体" w:hAnsi="宋体" w:cs="宋体"/>
                <w:color w:val="000000"/>
              </w:rPr>
            </w:pPr>
            <w:r>
              <w:rPr>
                <w:rFonts w:hint="eastAsia" w:ascii="宋体" w:hAnsi="宋体" w:cs="宋体"/>
                <w:color w:val="000000"/>
              </w:rPr>
              <w:t>1.催告责任：</w:t>
            </w:r>
            <w:r>
              <w:rPr>
                <w:rFonts w:hint="eastAsia" w:ascii="宋体" w:hAnsi="宋体" w:cs="宋体"/>
                <w:color w:val="000000"/>
                <w:shd w:val="clear" w:color="auto" w:fill="FFFFFF"/>
              </w:rPr>
              <w:t>县级以上地方人民政府卫生行政部门具体负责组织实施突发事件的调查、处理。</w:t>
            </w:r>
          </w:p>
          <w:p>
            <w:pPr>
              <w:spacing w:line="260" w:lineRule="exact"/>
              <w:ind w:firstLine="411" w:firstLineChars="196"/>
              <w:rPr>
                <w:rFonts w:ascii="宋体" w:hAnsi="宋体" w:cs="宋体"/>
                <w:color w:val="000000"/>
              </w:rPr>
            </w:pPr>
            <w:r>
              <w:rPr>
                <w:rFonts w:hint="eastAsia" w:ascii="宋体" w:hAnsi="宋体" w:cs="宋体"/>
                <w:color w:val="000000"/>
              </w:rPr>
              <w:t>2.决定责任：</w:t>
            </w:r>
            <w:r>
              <w:rPr>
                <w:rFonts w:hint="eastAsia" w:ascii="宋体" w:hAnsi="宋体" w:cs="宋体"/>
                <w:color w:val="000000"/>
                <w:shd w:val="clear" w:color="auto" w:fill="FFFFFF"/>
              </w:rPr>
              <w:t>县级以上地方人民政府卫生行政部门</w:t>
            </w:r>
            <w:r>
              <w:rPr>
                <w:rFonts w:hint="eastAsia" w:ascii="宋体" w:hAnsi="宋体" w:cs="宋体"/>
                <w:color w:val="000000"/>
              </w:rPr>
              <w:t>依照规定组织力量对报告事项调查核实、确证。</w:t>
            </w:r>
          </w:p>
          <w:p>
            <w:pPr>
              <w:spacing w:line="260" w:lineRule="exact"/>
              <w:ind w:firstLine="411" w:firstLineChars="196"/>
              <w:rPr>
                <w:rFonts w:ascii="宋体" w:hAnsi="宋体" w:cs="宋体"/>
                <w:color w:val="000000"/>
              </w:rPr>
            </w:pPr>
            <w:r>
              <w:rPr>
                <w:rFonts w:hint="eastAsia" w:ascii="宋体" w:hAnsi="宋体" w:cs="宋体"/>
                <w:color w:val="000000"/>
              </w:rPr>
              <w:t>3.执行责任：</w:t>
            </w:r>
            <w:r>
              <w:rPr>
                <w:rFonts w:hint="eastAsia" w:ascii="宋体" w:hAnsi="宋体" w:cs="宋体"/>
                <w:color w:val="000000"/>
                <w:shd w:val="clear" w:color="auto" w:fill="FFFFFF"/>
              </w:rPr>
              <w:t>县级以上地方人民政府卫生行政部门</w:t>
            </w:r>
            <w:r>
              <w:rPr>
                <w:rFonts w:hint="eastAsia" w:ascii="宋体" w:hAnsi="宋体" w:cs="宋体"/>
                <w:color w:val="000000"/>
              </w:rPr>
              <w:t>应当对突发事件现场等采取控制措施。</w:t>
            </w:r>
          </w:p>
          <w:p>
            <w:pPr>
              <w:spacing w:line="260" w:lineRule="exact"/>
              <w:ind w:firstLine="411" w:firstLineChars="196"/>
              <w:rPr>
                <w:rFonts w:ascii="宋体" w:hAnsi="宋体" w:cs="宋体"/>
                <w:color w:val="000000"/>
              </w:rPr>
            </w:pPr>
            <w:r>
              <w:rPr>
                <w:rFonts w:hint="eastAsia" w:ascii="宋体" w:hAnsi="宋体" w:cs="宋体"/>
                <w:color w:val="000000"/>
              </w:rPr>
              <w:t>4.事后监管责任：</w:t>
            </w:r>
            <w:r>
              <w:rPr>
                <w:rFonts w:hint="eastAsia" w:ascii="宋体" w:hAnsi="宋体" w:cs="宋体"/>
                <w:color w:val="000000"/>
                <w:shd w:val="clear" w:color="auto" w:fill="FFFFFF"/>
              </w:rPr>
              <w:t>县级以上地方人民政府卫生行政部门进行监督管理。</w:t>
            </w:r>
          </w:p>
          <w:p>
            <w:pPr>
              <w:spacing w:line="260" w:lineRule="exact"/>
              <w:ind w:firstLine="411" w:firstLineChars="196"/>
              <w:rPr>
                <w:rFonts w:ascii="宋体" w:hAnsi="宋体" w:cs="宋体"/>
                <w:color w:val="000000"/>
              </w:rPr>
            </w:pPr>
            <w:r>
              <w:rPr>
                <w:rFonts w:hint="eastAsia" w:ascii="宋体" w:hAnsi="宋体" w:cs="宋体"/>
                <w:color w:val="000000"/>
              </w:rPr>
              <w:t>5.其他责任：法律法规规章文件规定履行的其他责任。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追责情形</w:t>
            </w:r>
          </w:p>
        </w:tc>
        <w:tc>
          <w:tcPr>
            <w:tcW w:w="8441" w:type="dxa"/>
            <w:noWrap/>
            <w:vAlign w:val="center"/>
          </w:tcPr>
          <w:p>
            <w:pPr>
              <w:spacing w:line="26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废物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12345</w:t>
            </w:r>
          </w:p>
        </w:tc>
      </w:tr>
    </w:tbl>
    <w:p>
      <w:pPr>
        <w:widowControl/>
        <w:spacing w:line="260" w:lineRule="exact"/>
        <w:jc w:val="left"/>
        <w:rPr>
          <w:rFonts w:ascii="宋体" w:hAnsi="宋体" w:cs="宋体"/>
          <w:color w:val="000000"/>
        </w:rPr>
      </w:pPr>
      <w:r>
        <w:rPr>
          <w:rFonts w:hint="eastAsia" w:ascii="宋体" w:hAnsi="宋体" w:cs="宋体"/>
          <w:color w:val="000000"/>
        </w:rPr>
        <w:t>表2-330</w:t>
      </w:r>
    </w:p>
    <w:tbl>
      <w:tblPr>
        <w:tblStyle w:val="13"/>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noWrap/>
            <w:vAlign w:val="center"/>
          </w:tcPr>
          <w:p>
            <w:pPr>
              <w:spacing w:line="260" w:lineRule="exact"/>
              <w:ind w:firstLine="420"/>
              <w:rPr>
                <w:rFonts w:ascii="宋体" w:hAnsi="宋体" w:cs="宋体"/>
                <w:color w:val="000000"/>
              </w:rPr>
            </w:pPr>
            <w:r>
              <w:rPr>
                <w:rFonts w:hint="eastAsia" w:ascii="宋体" w:hAnsi="宋体" w:cs="宋体"/>
                <w:color w:val="000000"/>
                <w:kern w:val="0"/>
              </w:rPr>
              <w:t>封闭被传染病病原体污染的公共饮用水源、封存传染病病原体污染的食品以及相关物品或者暂停销售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82"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noWrap/>
            <w:vAlign w:val="center"/>
          </w:tcPr>
          <w:p>
            <w:pPr>
              <w:spacing w:line="260" w:lineRule="exact"/>
              <w:ind w:firstLine="420"/>
              <w:rPr>
                <w:rFonts w:ascii="宋体" w:hAnsi="宋体" w:cs="宋体"/>
                <w:color w:val="000000"/>
              </w:rPr>
            </w:pPr>
            <w:r>
              <w:rPr>
                <w:rFonts w:hint="eastAsia" w:ascii="宋体" w:hAnsi="宋体" w:cs="宋体"/>
                <w:color w:val="000000"/>
                <w:shd w:val="clear" w:color="auto" w:fill="FFFFFF"/>
              </w:rPr>
              <w:t>《中华人民共和国传染病防治法》第五十五条：“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441" w:type="dxa"/>
            <w:noWrap/>
            <w:vAlign w:val="center"/>
          </w:tcPr>
          <w:p>
            <w:pPr>
              <w:spacing w:line="260" w:lineRule="exact"/>
              <w:ind w:firstLine="411" w:firstLineChars="196"/>
              <w:rPr>
                <w:rFonts w:ascii="宋体" w:hAnsi="宋体" w:cs="宋体"/>
                <w:color w:val="000000"/>
              </w:rPr>
            </w:pPr>
            <w:r>
              <w:rPr>
                <w:rFonts w:hint="eastAsia" w:ascii="宋体" w:hAnsi="宋体" w:cs="宋体"/>
                <w:color w:val="000000"/>
              </w:rPr>
              <w:t>1.催告责任：</w:t>
            </w:r>
            <w:r>
              <w:rPr>
                <w:rFonts w:hint="eastAsia" w:ascii="宋体" w:hAnsi="宋体" w:cs="宋体"/>
                <w:color w:val="000000"/>
                <w:shd w:val="clear" w:color="auto" w:fill="FFFFFF"/>
              </w:rPr>
              <w:t>县级以上地方人民政府卫生行政部门具体负责组织实施突发事件的调查、处理。</w:t>
            </w:r>
          </w:p>
          <w:p>
            <w:pPr>
              <w:spacing w:line="260" w:lineRule="exact"/>
              <w:ind w:firstLine="411" w:firstLineChars="196"/>
              <w:rPr>
                <w:rFonts w:ascii="宋体" w:hAnsi="宋体" w:cs="宋体"/>
                <w:color w:val="000000"/>
              </w:rPr>
            </w:pPr>
            <w:r>
              <w:rPr>
                <w:rFonts w:hint="eastAsia" w:ascii="宋体" w:hAnsi="宋体" w:cs="宋体"/>
                <w:color w:val="000000"/>
              </w:rPr>
              <w:t>2.决定责任：</w:t>
            </w:r>
            <w:r>
              <w:rPr>
                <w:rFonts w:hint="eastAsia" w:ascii="宋体" w:hAnsi="宋体" w:cs="宋体"/>
                <w:color w:val="000000"/>
                <w:shd w:val="clear" w:color="auto" w:fill="FFFFFF"/>
              </w:rPr>
              <w:t>县级以上地方人民政府卫生行政部门</w:t>
            </w:r>
            <w:r>
              <w:rPr>
                <w:rFonts w:hint="eastAsia" w:ascii="宋体" w:hAnsi="宋体" w:cs="宋体"/>
                <w:color w:val="000000"/>
              </w:rPr>
              <w:t>依照规定组织力量对报告事项调查核实、确证。</w:t>
            </w:r>
          </w:p>
          <w:p>
            <w:pPr>
              <w:spacing w:line="260" w:lineRule="exact"/>
              <w:ind w:firstLine="411" w:firstLineChars="196"/>
              <w:rPr>
                <w:rFonts w:ascii="宋体" w:hAnsi="宋体" w:cs="宋体"/>
                <w:color w:val="000000"/>
              </w:rPr>
            </w:pPr>
            <w:r>
              <w:rPr>
                <w:rFonts w:hint="eastAsia" w:ascii="宋体" w:hAnsi="宋体" w:cs="宋体"/>
                <w:color w:val="000000"/>
              </w:rPr>
              <w:t>3.执行责任：</w:t>
            </w:r>
            <w:r>
              <w:rPr>
                <w:rFonts w:hint="eastAsia" w:ascii="宋体" w:hAnsi="宋体" w:cs="宋体"/>
                <w:color w:val="000000"/>
                <w:shd w:val="clear" w:color="auto" w:fill="FFFFFF"/>
              </w:rPr>
              <w:t>县级以上地方人民政府卫生行政部门</w:t>
            </w:r>
            <w:r>
              <w:rPr>
                <w:rFonts w:hint="eastAsia" w:ascii="宋体" w:hAnsi="宋体" w:cs="宋体"/>
                <w:color w:val="000000"/>
              </w:rPr>
              <w:t>应当对突发事件现场等采取控制措施。</w:t>
            </w:r>
          </w:p>
          <w:p>
            <w:pPr>
              <w:spacing w:line="260" w:lineRule="exact"/>
              <w:ind w:firstLine="411" w:firstLineChars="196"/>
              <w:rPr>
                <w:rFonts w:ascii="宋体" w:hAnsi="宋体" w:cs="宋体"/>
                <w:color w:val="000000"/>
              </w:rPr>
            </w:pPr>
            <w:r>
              <w:rPr>
                <w:rFonts w:hint="eastAsia" w:ascii="宋体" w:hAnsi="宋体" w:cs="宋体"/>
                <w:color w:val="000000"/>
              </w:rPr>
              <w:t>4.事后监管责任：</w:t>
            </w:r>
            <w:r>
              <w:rPr>
                <w:rFonts w:hint="eastAsia" w:ascii="宋体" w:hAnsi="宋体" w:cs="宋体"/>
                <w:color w:val="000000"/>
                <w:shd w:val="clear" w:color="auto" w:fill="FFFFFF"/>
              </w:rPr>
              <w:t>县级以上地方人民政府卫生行政部门进行监督管理。</w:t>
            </w:r>
          </w:p>
          <w:p>
            <w:pPr>
              <w:spacing w:line="260" w:lineRule="exact"/>
              <w:ind w:firstLine="411" w:firstLineChars="196"/>
              <w:rPr>
                <w:rFonts w:ascii="宋体" w:hAnsi="宋体" w:cs="宋体"/>
                <w:color w:val="000000"/>
              </w:rPr>
            </w:pPr>
            <w:r>
              <w:rPr>
                <w:rFonts w:hint="eastAsia" w:ascii="宋体" w:hAnsi="宋体" w:cs="宋体"/>
                <w:color w:val="000000"/>
              </w:rPr>
              <w:t>5.其他责任：法律法规规章文件规定履行的其他责任。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1"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追责情形</w:t>
            </w:r>
          </w:p>
        </w:tc>
        <w:tc>
          <w:tcPr>
            <w:tcW w:w="8441" w:type="dxa"/>
            <w:noWrap/>
            <w:vAlign w:val="center"/>
          </w:tcPr>
          <w:p>
            <w:pPr>
              <w:spacing w:line="26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color w:val="000000"/>
                <w:shd w:val="clear" w:color="auto" w:fill="FFFFFF"/>
              </w:rPr>
              <w:t>《中华人民共和国传染病防治法》</w:t>
            </w:r>
            <w:r>
              <w:rPr>
                <w:rFonts w:hint="eastAsia" w:ascii="宋体" w:hAnsi="宋体" w:cs="宋体"/>
                <w:color w:val="000000"/>
              </w:rPr>
              <w:t>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12345</w:t>
            </w:r>
          </w:p>
        </w:tc>
      </w:tr>
    </w:tbl>
    <w:p>
      <w:pPr>
        <w:spacing w:line="260" w:lineRule="exact"/>
        <w:rPr>
          <w:rFonts w:ascii="宋体" w:hAnsi="宋体" w:cs="宋体"/>
          <w:color w:val="000000"/>
        </w:rPr>
      </w:pPr>
      <w:r>
        <w:rPr>
          <w:rFonts w:hint="eastAsia" w:ascii="宋体" w:hAnsi="宋体" w:cs="宋体"/>
          <w:color w:val="000000"/>
        </w:rPr>
        <w:t>表2-331</w:t>
      </w:r>
    </w:p>
    <w:tbl>
      <w:tblPr>
        <w:tblStyle w:val="13"/>
        <w:tblW w:w="8988" w:type="dxa"/>
        <w:tblInd w:w="0" w:type="dxa"/>
        <w:tblLayout w:type="fixed"/>
        <w:tblCellMar>
          <w:top w:w="0" w:type="dxa"/>
          <w:left w:w="57" w:type="dxa"/>
          <w:bottom w:w="0" w:type="dxa"/>
          <w:right w:w="57" w:type="dxa"/>
        </w:tblCellMar>
      </w:tblPr>
      <w:tblGrid>
        <w:gridCol w:w="547"/>
        <w:gridCol w:w="8441"/>
      </w:tblGrid>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jc w:val="center"/>
              <w:rPr>
                <w:rFonts w:ascii="宋体" w:hAnsi="宋体" w:cs="宋体"/>
                <w:color w:val="000000"/>
              </w:rPr>
            </w:pPr>
            <w:r>
              <w:rPr>
                <w:rFonts w:hint="eastAsia" w:ascii="宋体" w:hAnsi="宋体" w:cs="宋体"/>
                <w:color w:val="000000"/>
              </w:rPr>
              <w:t>3</w:t>
            </w:r>
          </w:p>
        </w:tc>
      </w:tr>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jc w:val="center"/>
              <w:rPr>
                <w:rFonts w:ascii="宋体" w:hAnsi="宋体" w:cs="宋体"/>
                <w:color w:val="000000"/>
              </w:rPr>
            </w:pPr>
            <w:r>
              <w:rPr>
                <w:rFonts w:hint="eastAsia" w:ascii="宋体" w:hAnsi="宋体" w:cs="宋体"/>
                <w:color w:val="000000"/>
              </w:rPr>
              <w:t>行政强制</w:t>
            </w:r>
          </w:p>
        </w:tc>
      </w:tr>
      <w:tr>
        <w:tblPrEx>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jc w:val="center"/>
              <w:rPr>
                <w:rFonts w:ascii="宋体" w:hAnsi="宋体" w:cs="宋体"/>
                <w:color w:val="000000"/>
              </w:rPr>
            </w:pPr>
            <w:r>
              <w:rPr>
                <w:rFonts w:hint="eastAsia" w:ascii="宋体" w:hAnsi="宋体" w:cs="宋体"/>
                <w:color w:val="000000"/>
              </w:rPr>
              <w:t>根据突发事件应急处理的需要对食物和水源采取控制措施</w:t>
            </w:r>
          </w:p>
        </w:tc>
      </w:tr>
      <w:tr>
        <w:tblPrEx>
          <w:tblCellMar>
            <w:top w:w="0" w:type="dxa"/>
            <w:left w:w="57" w:type="dxa"/>
            <w:bottom w:w="0" w:type="dxa"/>
            <w:right w:w="57" w:type="dxa"/>
          </w:tblCellMar>
        </w:tblPrEx>
        <w:trPr>
          <w:trHeight w:val="1132"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rPr>
                <w:rFonts w:ascii="宋体" w:hAnsi="宋体" w:cs="宋体"/>
                <w:color w:val="000000"/>
              </w:rPr>
            </w:pPr>
            <w:r>
              <w:rPr>
                <w:rFonts w:hint="eastAsia" w:ascii="宋体" w:hAnsi="宋体" w:cs="宋体"/>
                <w:color w:val="000000"/>
              </w:rPr>
              <w:t>《突发公共卫生事件应急条例》第三十四条：“突发事件应急处理指挥部根据突发事件应急处理的需要，可以对食物和水源采取控制措施。县级以上地方人民政府卫生行政主管部门应当对突发事件现场等采取控制措施，宣传突发事件防治知识，及时对易受感染的人群和其他易受损害的人群采取应急接种、预防性投药、群体防护等措施。”</w:t>
            </w:r>
          </w:p>
        </w:tc>
      </w:tr>
      <w:tr>
        <w:tblPrEx>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jc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57" w:type="dxa"/>
            <w:bottom w:w="0" w:type="dxa"/>
            <w:right w:w="57" w:type="dxa"/>
          </w:tblCellMar>
        </w:tblPrEx>
        <w:trPr>
          <w:trHeight w:val="1111"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11" w:firstLineChars="196"/>
              <w:rPr>
                <w:rFonts w:ascii="宋体" w:hAnsi="宋体" w:cs="宋体"/>
                <w:color w:val="000000"/>
              </w:rPr>
            </w:pPr>
            <w:r>
              <w:rPr>
                <w:rFonts w:hint="eastAsia" w:ascii="宋体" w:hAnsi="宋体" w:cs="宋体"/>
                <w:color w:val="000000"/>
              </w:rPr>
              <w:t>1.催告责任：</w:t>
            </w:r>
            <w:r>
              <w:rPr>
                <w:rFonts w:hint="eastAsia" w:ascii="宋体" w:hAnsi="宋体" w:cs="宋体"/>
                <w:color w:val="000000"/>
                <w:shd w:val="clear" w:color="auto" w:fill="FFFFFF"/>
              </w:rPr>
              <w:t>县级以上地方人民政府卫生行政部门具体负责组织实施突发事件的调查、处理</w:t>
            </w:r>
            <w:r>
              <w:rPr>
                <w:rFonts w:hint="eastAsia" w:ascii="宋体" w:hAnsi="宋体" w:cs="宋体"/>
                <w:color w:val="000000"/>
              </w:rPr>
              <w:t>。</w:t>
            </w:r>
          </w:p>
          <w:p>
            <w:pPr>
              <w:spacing w:line="260" w:lineRule="exact"/>
              <w:ind w:firstLine="411" w:firstLineChars="196"/>
              <w:rPr>
                <w:rFonts w:ascii="宋体" w:hAnsi="宋体" w:cs="宋体"/>
                <w:color w:val="000000"/>
              </w:rPr>
            </w:pPr>
            <w:r>
              <w:rPr>
                <w:rFonts w:hint="eastAsia" w:ascii="宋体" w:hAnsi="宋体" w:cs="宋体"/>
                <w:color w:val="000000"/>
              </w:rPr>
              <w:t>2.决定责任：</w:t>
            </w:r>
            <w:r>
              <w:rPr>
                <w:rFonts w:hint="eastAsia" w:ascii="宋体" w:hAnsi="宋体" w:cs="宋体"/>
                <w:color w:val="000000"/>
                <w:shd w:val="clear" w:color="auto" w:fill="FFFFFF"/>
              </w:rPr>
              <w:t>县级以上地方人民政府卫生行政部门</w:t>
            </w:r>
            <w:r>
              <w:rPr>
                <w:rFonts w:hint="eastAsia" w:ascii="宋体" w:hAnsi="宋体" w:cs="宋体"/>
                <w:color w:val="000000"/>
              </w:rPr>
              <w:t>依照本条例规定组织力量对报告事项调查核实、确证。</w:t>
            </w:r>
          </w:p>
          <w:p>
            <w:pPr>
              <w:spacing w:line="260" w:lineRule="exact"/>
              <w:ind w:firstLine="411" w:firstLineChars="196"/>
              <w:rPr>
                <w:rFonts w:ascii="宋体" w:hAnsi="宋体" w:cs="宋体"/>
                <w:color w:val="000000"/>
              </w:rPr>
            </w:pPr>
            <w:r>
              <w:rPr>
                <w:rFonts w:hint="eastAsia" w:ascii="宋体" w:hAnsi="宋体" w:cs="宋体"/>
                <w:color w:val="000000"/>
              </w:rPr>
              <w:t>3.执行责任：</w:t>
            </w:r>
            <w:r>
              <w:rPr>
                <w:rFonts w:hint="eastAsia" w:ascii="宋体" w:hAnsi="宋体" w:cs="宋体"/>
                <w:color w:val="000000"/>
                <w:shd w:val="clear" w:color="auto" w:fill="FFFFFF"/>
              </w:rPr>
              <w:t>县级以上地方人民政府卫生行政部门</w:t>
            </w:r>
            <w:r>
              <w:rPr>
                <w:rFonts w:hint="eastAsia" w:ascii="宋体" w:hAnsi="宋体" w:cs="宋体"/>
                <w:color w:val="000000"/>
              </w:rPr>
              <w:t>应当对突发事件现场等采取控制措施。</w:t>
            </w:r>
          </w:p>
          <w:p>
            <w:pPr>
              <w:spacing w:line="260" w:lineRule="exact"/>
              <w:ind w:firstLine="411" w:firstLineChars="196"/>
              <w:rPr>
                <w:rFonts w:ascii="宋体" w:hAnsi="宋体" w:cs="宋体"/>
                <w:color w:val="000000"/>
              </w:rPr>
            </w:pPr>
            <w:r>
              <w:rPr>
                <w:rFonts w:hint="eastAsia" w:ascii="宋体" w:hAnsi="宋体" w:cs="宋体"/>
                <w:color w:val="000000"/>
              </w:rPr>
              <w:t>4.事后监管责任：</w:t>
            </w:r>
            <w:r>
              <w:rPr>
                <w:rFonts w:hint="eastAsia" w:ascii="宋体" w:hAnsi="宋体" w:cs="宋体"/>
                <w:color w:val="000000"/>
                <w:shd w:val="clear" w:color="auto" w:fill="FFFFFF"/>
              </w:rPr>
              <w:t>县级以上地方人民政府卫生行政部门应建立和完善突发事件监测和预警系统。</w:t>
            </w:r>
          </w:p>
          <w:p>
            <w:pPr>
              <w:spacing w:line="260" w:lineRule="exact"/>
              <w:ind w:firstLine="420"/>
              <w:rPr>
                <w:rFonts w:ascii="宋体" w:hAnsi="宋体" w:cs="宋体"/>
                <w:color w:val="000000"/>
              </w:rPr>
            </w:pPr>
            <w:r>
              <w:rPr>
                <w:rFonts w:hint="eastAsia" w:ascii="宋体" w:hAnsi="宋体" w:cs="宋体"/>
                <w:color w:val="000000"/>
              </w:rPr>
              <w:t>5.其他责任：法律法规规章文件规定履行的其他责任。</w:t>
            </w:r>
          </w:p>
        </w:tc>
      </w:tr>
      <w:tr>
        <w:tblPrEx>
          <w:tblCellMar>
            <w:top w:w="0" w:type="dxa"/>
            <w:left w:w="57" w:type="dxa"/>
            <w:bottom w:w="0" w:type="dxa"/>
            <w:right w:w="57" w:type="dxa"/>
          </w:tblCellMar>
        </w:tblPrEx>
        <w:trPr>
          <w:trHeight w:val="1445"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追责情形</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突发公共卫生事件应急条例》等法律法规规章的相关规定追究相应的责任。</w:t>
            </w:r>
          </w:p>
        </w:tc>
      </w:tr>
      <w:tr>
        <w:tblPrEx>
          <w:tblCellMar>
            <w:top w:w="0" w:type="dxa"/>
            <w:left w:w="57" w:type="dxa"/>
            <w:bottom w:w="0" w:type="dxa"/>
            <w:right w:w="57" w:type="dxa"/>
          </w:tblCellMar>
        </w:tblPrEx>
        <w:trPr>
          <w:trHeight w:val="698"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jc w:val="center"/>
              <w:rPr>
                <w:rFonts w:ascii="宋体" w:hAnsi="宋体" w:cs="宋体"/>
                <w:color w:val="000000"/>
              </w:rPr>
            </w:pPr>
            <w:r>
              <w:rPr>
                <w:rFonts w:hint="eastAsia" w:ascii="宋体" w:hAnsi="宋体" w:cs="宋体"/>
                <w:color w:val="000000"/>
              </w:rPr>
              <w:t>12345</w:t>
            </w:r>
          </w:p>
        </w:tc>
      </w:tr>
    </w:tbl>
    <w:p>
      <w:pPr>
        <w:spacing w:line="260" w:lineRule="exact"/>
        <w:rPr>
          <w:rFonts w:ascii="宋体" w:hAnsi="宋体" w:cs="宋体"/>
          <w:color w:val="000000"/>
        </w:rPr>
      </w:pPr>
    </w:p>
    <w:p>
      <w:pPr>
        <w:spacing w:line="260" w:lineRule="exact"/>
        <w:rPr>
          <w:rFonts w:ascii="宋体" w:hAnsi="宋体" w:cs="宋体"/>
          <w:color w:val="000000"/>
        </w:rPr>
      </w:pPr>
      <w:r>
        <w:rPr>
          <w:rFonts w:hint="eastAsia" w:ascii="宋体" w:hAnsi="宋体" w:cs="宋体"/>
          <w:color w:val="000000"/>
        </w:rPr>
        <w:t>表2-332</w:t>
      </w:r>
    </w:p>
    <w:tbl>
      <w:tblPr>
        <w:tblStyle w:val="13"/>
        <w:tblW w:w="8988" w:type="dxa"/>
        <w:tblInd w:w="0" w:type="dxa"/>
        <w:tblLayout w:type="fixed"/>
        <w:tblCellMar>
          <w:top w:w="0" w:type="dxa"/>
          <w:left w:w="57" w:type="dxa"/>
          <w:bottom w:w="0" w:type="dxa"/>
          <w:right w:w="57" w:type="dxa"/>
        </w:tblCellMar>
      </w:tblPr>
      <w:tblGrid>
        <w:gridCol w:w="547"/>
        <w:gridCol w:w="8441"/>
      </w:tblGrid>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jc w:val="center"/>
              <w:rPr>
                <w:rFonts w:ascii="宋体" w:hAnsi="宋体" w:cs="宋体"/>
                <w:color w:val="000000"/>
              </w:rPr>
            </w:pPr>
            <w:r>
              <w:rPr>
                <w:rFonts w:hint="eastAsia" w:ascii="宋体" w:hAnsi="宋体" w:cs="宋体"/>
                <w:color w:val="000000"/>
              </w:rPr>
              <w:t>4</w:t>
            </w:r>
          </w:p>
        </w:tc>
      </w:tr>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jc w:val="center"/>
              <w:rPr>
                <w:rFonts w:ascii="宋体" w:hAnsi="宋体" w:cs="宋体"/>
                <w:color w:val="000000"/>
              </w:rPr>
            </w:pPr>
            <w:r>
              <w:rPr>
                <w:rFonts w:hint="eastAsia" w:ascii="宋体" w:hAnsi="宋体" w:cs="宋体"/>
                <w:color w:val="000000"/>
              </w:rPr>
              <w:t>行政强制</w:t>
            </w:r>
          </w:p>
        </w:tc>
      </w:tr>
      <w:tr>
        <w:tblPrEx>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jc w:val="left"/>
              <w:rPr>
                <w:rFonts w:ascii="宋体" w:hAnsi="宋体" w:cs="宋体"/>
                <w:color w:val="000000"/>
              </w:rPr>
            </w:pPr>
            <w:r>
              <w:rPr>
                <w:rFonts w:hint="eastAsia" w:ascii="宋体" w:hAnsi="宋体" w:cs="宋体"/>
                <w:color w:val="000000"/>
              </w:rPr>
              <w:t>高致病性病原微生物菌（毒）种或者样本在运输、储存中被盗、被抢、丢失、泄漏而采取必要的控制措施</w:t>
            </w:r>
          </w:p>
        </w:tc>
      </w:tr>
      <w:tr>
        <w:tblPrEx>
          <w:tblCellMar>
            <w:top w:w="0" w:type="dxa"/>
            <w:left w:w="57" w:type="dxa"/>
            <w:bottom w:w="0" w:type="dxa"/>
            <w:right w:w="57" w:type="dxa"/>
          </w:tblCellMar>
        </w:tblPrEx>
        <w:trPr>
          <w:trHeight w:val="909"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rPr>
                <w:rFonts w:ascii="宋体" w:hAnsi="宋体" w:cs="宋体"/>
                <w:color w:val="000000"/>
              </w:rPr>
            </w:pPr>
            <w:r>
              <w:rPr>
                <w:rFonts w:hint="eastAsia" w:ascii="宋体" w:hAnsi="宋体" w:cs="宋体"/>
                <w:color w:val="000000"/>
              </w:rPr>
              <w:t>《病原微生物实验室生物安全管理条例》第十七条第三款:“任何单位和个人发现高致病性病原微生物菌（毒）种或者样本的容器或者包装材料，应当及时向附近的卫生主管部门或者兽医主管部门报告；接到报告的卫生主管部门或者兽医主管部门应当及时组织调查核实，并依法采取必要的控制措施。”</w:t>
            </w:r>
          </w:p>
        </w:tc>
      </w:tr>
      <w:tr>
        <w:tblPrEx>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jc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57" w:type="dxa"/>
            <w:bottom w:w="0" w:type="dxa"/>
            <w:right w:w="57" w:type="dxa"/>
          </w:tblCellMar>
        </w:tblPrEx>
        <w:trPr>
          <w:trHeight w:val="1791"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rPr>
                <w:rFonts w:ascii="宋体" w:hAnsi="宋体" w:cs="宋体"/>
                <w:color w:val="000000"/>
              </w:rPr>
            </w:pPr>
            <w:r>
              <w:rPr>
                <w:rFonts w:hint="eastAsia" w:ascii="宋体" w:hAnsi="宋体" w:cs="宋体"/>
                <w:color w:val="000000"/>
              </w:rPr>
              <w:t>1.催告责任：县级以上地方人民政府卫生计生行政部门具体负责组织实施突发事件的调查、处理；</w:t>
            </w:r>
          </w:p>
          <w:p>
            <w:pPr>
              <w:spacing w:line="260" w:lineRule="exact"/>
              <w:ind w:firstLine="420"/>
              <w:rPr>
                <w:rFonts w:ascii="宋体" w:hAnsi="宋体" w:cs="宋体"/>
                <w:color w:val="000000"/>
              </w:rPr>
            </w:pPr>
            <w:r>
              <w:rPr>
                <w:rFonts w:hint="eastAsia" w:ascii="宋体" w:hAnsi="宋体" w:cs="宋体"/>
                <w:color w:val="000000"/>
              </w:rPr>
              <w:t>2.决定责任：地方人民政府、卫生计生行政主管部门依照本条例规定组织力量对报告事项调查核实、确证。</w:t>
            </w:r>
          </w:p>
          <w:p>
            <w:pPr>
              <w:spacing w:line="260" w:lineRule="exact"/>
              <w:ind w:firstLine="420"/>
              <w:rPr>
                <w:rFonts w:ascii="宋体" w:hAnsi="宋体" w:cs="宋体"/>
                <w:color w:val="000000"/>
              </w:rPr>
            </w:pPr>
            <w:r>
              <w:rPr>
                <w:rFonts w:hint="eastAsia" w:ascii="宋体" w:hAnsi="宋体" w:cs="宋体"/>
                <w:color w:val="000000"/>
              </w:rPr>
              <w:t>3.执行责任：县级以上地方人民政府卫生计生行政主管部门应当对突发事件现场等采取控制措施；</w:t>
            </w:r>
          </w:p>
          <w:p>
            <w:pPr>
              <w:spacing w:line="260" w:lineRule="exact"/>
              <w:ind w:firstLine="420"/>
              <w:rPr>
                <w:rFonts w:ascii="宋体" w:hAnsi="宋体" w:cs="宋体"/>
                <w:color w:val="000000"/>
              </w:rPr>
            </w:pPr>
            <w:r>
              <w:rPr>
                <w:rFonts w:hint="eastAsia" w:ascii="宋体" w:hAnsi="宋体" w:cs="宋体"/>
                <w:color w:val="000000"/>
              </w:rPr>
              <w:t>4.事后监管责任：县级以上地方人民政府应当建立和完善突发事件监测与预警系统。</w:t>
            </w:r>
          </w:p>
          <w:p>
            <w:pPr>
              <w:spacing w:line="260" w:lineRule="exact"/>
              <w:ind w:firstLine="420"/>
              <w:rPr>
                <w:rFonts w:ascii="宋体" w:hAnsi="宋体" w:cs="宋体"/>
                <w:color w:val="000000"/>
              </w:rPr>
            </w:pPr>
            <w:r>
              <w:rPr>
                <w:rFonts w:hint="eastAsia" w:ascii="宋体" w:hAnsi="宋体" w:cs="宋体"/>
                <w:color w:val="000000"/>
              </w:rPr>
              <w:t>5.其他责任：法律法规规章文件规定应履行的责任。</w:t>
            </w:r>
          </w:p>
        </w:tc>
      </w:tr>
      <w:tr>
        <w:tblPrEx>
          <w:tblCellMar>
            <w:top w:w="0" w:type="dxa"/>
            <w:left w:w="57" w:type="dxa"/>
            <w:bottom w:w="0" w:type="dxa"/>
            <w:right w:w="57" w:type="dxa"/>
          </w:tblCellMar>
        </w:tblPrEx>
        <w:trPr>
          <w:trHeight w:val="655"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追责情形</w:t>
            </w:r>
          </w:p>
        </w:tc>
        <w:tc>
          <w:tcPr>
            <w:tcW w:w="8441" w:type="dxa"/>
            <w:tcBorders>
              <w:top w:val="single" w:color="auto" w:sz="4" w:space="0"/>
              <w:left w:val="nil"/>
              <w:bottom w:val="single" w:color="auto" w:sz="4" w:space="0"/>
              <w:right w:val="single" w:color="auto" w:sz="4" w:space="0"/>
            </w:tcBorders>
            <w:noWrap/>
            <w:vAlign w:val="center"/>
          </w:tcPr>
          <w:p>
            <w:pPr>
              <w:spacing w:line="24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病原微生物实验室生物安全管理条例》等法律法规规章的相关规定追究相应的责任。</w:t>
            </w:r>
          </w:p>
        </w:tc>
      </w:tr>
      <w:tr>
        <w:tblPrEx>
          <w:tblCellMar>
            <w:top w:w="0" w:type="dxa"/>
            <w:left w:w="57" w:type="dxa"/>
            <w:bottom w:w="0" w:type="dxa"/>
            <w:right w:w="57" w:type="dxa"/>
          </w:tblCellMar>
        </w:tblPrEx>
        <w:trPr>
          <w:trHeight w:val="698"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监督电话</w:t>
            </w:r>
          </w:p>
        </w:tc>
        <w:tc>
          <w:tcPr>
            <w:tcW w:w="8441" w:type="dxa"/>
            <w:tcBorders>
              <w:top w:val="single" w:color="auto" w:sz="4" w:space="0"/>
              <w:left w:val="nil"/>
              <w:bottom w:val="single" w:color="auto" w:sz="4" w:space="0"/>
              <w:right w:val="single" w:color="auto" w:sz="4" w:space="0"/>
            </w:tcBorders>
            <w:noWrap/>
            <w:vAlign w:val="center"/>
          </w:tcPr>
          <w:p>
            <w:pPr>
              <w:spacing w:line="240" w:lineRule="exact"/>
              <w:ind w:firstLine="420"/>
              <w:jc w:val="center"/>
              <w:rPr>
                <w:rFonts w:ascii="宋体" w:hAnsi="宋体" w:cs="宋体"/>
                <w:color w:val="000000"/>
              </w:rPr>
            </w:pPr>
            <w:r>
              <w:rPr>
                <w:rFonts w:hint="eastAsia" w:ascii="宋体" w:hAnsi="宋体" w:cs="宋体"/>
                <w:color w:val="000000"/>
              </w:rPr>
              <w:t>12345</w:t>
            </w:r>
          </w:p>
        </w:tc>
      </w:tr>
    </w:tbl>
    <w:p>
      <w:pPr>
        <w:spacing w:line="240" w:lineRule="exact"/>
        <w:rPr>
          <w:rFonts w:ascii="宋体" w:hAnsi="宋体" w:cs="宋体"/>
          <w:color w:val="000000"/>
        </w:rPr>
      </w:pPr>
      <w:r>
        <w:rPr>
          <w:rFonts w:hint="eastAsia" w:ascii="宋体" w:hAnsi="宋体" w:cs="宋体"/>
          <w:color w:val="000000"/>
        </w:rPr>
        <w:t>表2-333</w:t>
      </w:r>
    </w:p>
    <w:tbl>
      <w:tblPr>
        <w:tblStyle w:val="13"/>
        <w:tblW w:w="8988" w:type="dxa"/>
        <w:tblInd w:w="0" w:type="dxa"/>
        <w:tblLayout w:type="fixed"/>
        <w:tblCellMar>
          <w:top w:w="0" w:type="dxa"/>
          <w:left w:w="57" w:type="dxa"/>
          <w:bottom w:w="0" w:type="dxa"/>
          <w:right w:w="57" w:type="dxa"/>
        </w:tblCellMar>
      </w:tblPr>
      <w:tblGrid>
        <w:gridCol w:w="547"/>
        <w:gridCol w:w="8441"/>
      </w:tblGrid>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序号</w:t>
            </w:r>
          </w:p>
        </w:tc>
        <w:tc>
          <w:tcPr>
            <w:tcW w:w="8441" w:type="dxa"/>
            <w:tcBorders>
              <w:top w:val="single" w:color="auto" w:sz="4" w:space="0"/>
              <w:left w:val="nil"/>
              <w:bottom w:val="single" w:color="auto" w:sz="4" w:space="0"/>
              <w:right w:val="single" w:color="auto" w:sz="4" w:space="0"/>
            </w:tcBorders>
            <w:noWrap/>
            <w:vAlign w:val="center"/>
          </w:tcPr>
          <w:p>
            <w:pPr>
              <w:spacing w:line="240" w:lineRule="exact"/>
              <w:ind w:firstLine="420"/>
              <w:jc w:val="center"/>
              <w:rPr>
                <w:rFonts w:ascii="宋体" w:hAnsi="宋体" w:cs="宋体"/>
                <w:color w:val="000000"/>
              </w:rPr>
            </w:pPr>
            <w:r>
              <w:rPr>
                <w:rFonts w:hint="eastAsia" w:ascii="宋体" w:hAnsi="宋体" w:cs="宋体"/>
                <w:color w:val="000000"/>
              </w:rPr>
              <w:t>5</w:t>
            </w:r>
          </w:p>
        </w:tc>
      </w:tr>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tcBorders>
              <w:top w:val="single" w:color="auto" w:sz="4" w:space="0"/>
              <w:left w:val="nil"/>
              <w:bottom w:val="single" w:color="auto" w:sz="4" w:space="0"/>
              <w:right w:val="single" w:color="auto" w:sz="4" w:space="0"/>
            </w:tcBorders>
            <w:noWrap/>
            <w:vAlign w:val="center"/>
          </w:tcPr>
          <w:p>
            <w:pPr>
              <w:spacing w:line="240" w:lineRule="exact"/>
              <w:ind w:firstLine="420"/>
              <w:jc w:val="center"/>
              <w:rPr>
                <w:rFonts w:ascii="宋体" w:hAnsi="宋体" w:cs="宋体"/>
                <w:color w:val="000000"/>
              </w:rPr>
            </w:pPr>
            <w:r>
              <w:rPr>
                <w:rFonts w:hint="eastAsia" w:ascii="宋体" w:hAnsi="宋体" w:cs="宋体"/>
                <w:color w:val="000000"/>
              </w:rPr>
              <w:t>行政强制</w:t>
            </w:r>
          </w:p>
        </w:tc>
      </w:tr>
      <w:tr>
        <w:tblPrEx>
          <w:tblCellMar>
            <w:top w:w="0" w:type="dxa"/>
            <w:left w:w="57" w:type="dxa"/>
            <w:bottom w:w="0" w:type="dxa"/>
            <w:right w:w="57" w:type="dxa"/>
          </w:tblCellMar>
        </w:tblPrEx>
        <w:trPr>
          <w:trHeight w:val="803"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tcBorders>
              <w:top w:val="single" w:color="auto" w:sz="4" w:space="0"/>
              <w:left w:val="nil"/>
              <w:bottom w:val="single" w:color="auto" w:sz="4" w:space="0"/>
              <w:right w:val="single" w:color="auto" w:sz="4" w:space="0"/>
            </w:tcBorders>
            <w:noWrap/>
            <w:vAlign w:val="center"/>
          </w:tcPr>
          <w:p>
            <w:pPr>
              <w:spacing w:line="240" w:lineRule="exact"/>
              <w:ind w:firstLine="420"/>
              <w:rPr>
                <w:rFonts w:ascii="宋体" w:hAnsi="宋体" w:cs="宋体"/>
                <w:color w:val="000000"/>
              </w:rPr>
            </w:pPr>
            <w:r>
              <w:rPr>
                <w:rFonts w:hint="eastAsia" w:ascii="宋体" w:hAnsi="宋体" w:cs="宋体"/>
                <w:color w:val="000000"/>
                <w:kern w:val="0"/>
              </w:rPr>
              <w:t>在突发事件中需要接受隔离治疗、医学观察措施的病人、疑似病人和传染病病人密切接触者而采取</w:t>
            </w:r>
            <w:r>
              <w:rPr>
                <w:rFonts w:hint="eastAsia" w:ascii="宋体" w:hAnsi="宋体" w:cs="宋体"/>
                <w:color w:val="000000"/>
                <w:kern w:val="0"/>
                <w:lang w:eastAsia="zh-CN"/>
              </w:rPr>
              <w:t>的</w:t>
            </w:r>
            <w:r>
              <w:rPr>
                <w:rFonts w:hint="eastAsia" w:ascii="宋体" w:hAnsi="宋体" w:cs="宋体"/>
                <w:color w:val="000000"/>
                <w:kern w:val="0"/>
              </w:rPr>
              <w:t>医学隔离强制措施</w:t>
            </w:r>
          </w:p>
        </w:tc>
      </w:tr>
      <w:tr>
        <w:tblPrEx>
          <w:tblCellMar>
            <w:top w:w="0" w:type="dxa"/>
            <w:left w:w="57" w:type="dxa"/>
            <w:bottom w:w="0" w:type="dxa"/>
            <w:right w:w="57" w:type="dxa"/>
          </w:tblCellMar>
        </w:tblPrEx>
        <w:trPr>
          <w:trHeight w:val="800"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tcBorders>
              <w:top w:val="single" w:color="auto" w:sz="4" w:space="0"/>
              <w:left w:val="nil"/>
              <w:bottom w:val="single" w:color="auto" w:sz="4" w:space="0"/>
              <w:right w:val="single" w:color="auto" w:sz="4" w:space="0"/>
            </w:tcBorders>
            <w:noWrap/>
            <w:vAlign w:val="center"/>
          </w:tcPr>
          <w:p>
            <w:pPr>
              <w:spacing w:line="240" w:lineRule="exact"/>
              <w:ind w:firstLine="420"/>
              <w:rPr>
                <w:rFonts w:ascii="宋体" w:hAnsi="宋体" w:cs="宋体"/>
                <w:color w:val="000000"/>
              </w:rPr>
            </w:pPr>
            <w:r>
              <w:rPr>
                <w:rFonts w:hint="eastAsia" w:ascii="宋体" w:hAnsi="宋体" w:cs="宋体"/>
                <w:color w:val="000000"/>
                <w:shd w:val="clear" w:color="auto" w:fill="FFFFFF"/>
              </w:rPr>
              <w:t>《中华人民共和国传染病防治法》规定的甲类传染病，并采取甲类传染病的预防、控制措施。</w:t>
            </w:r>
          </w:p>
        </w:tc>
      </w:tr>
      <w:tr>
        <w:tblPrEx>
          <w:tblCellMar>
            <w:top w:w="0" w:type="dxa"/>
            <w:left w:w="57" w:type="dxa"/>
            <w:bottom w:w="0" w:type="dxa"/>
            <w:right w:w="57" w:type="dxa"/>
          </w:tblCellMar>
        </w:tblPrEx>
        <w:trPr>
          <w:trHeight w:val="607"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tcBorders>
              <w:top w:val="single" w:color="auto" w:sz="4" w:space="0"/>
              <w:left w:val="nil"/>
              <w:bottom w:val="single" w:color="auto" w:sz="4" w:space="0"/>
              <w:right w:val="single" w:color="auto" w:sz="4" w:space="0"/>
            </w:tcBorders>
            <w:noWrap/>
            <w:vAlign w:val="center"/>
          </w:tcPr>
          <w:p>
            <w:pPr>
              <w:spacing w:line="240" w:lineRule="exact"/>
              <w:ind w:firstLine="420"/>
              <w:jc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57" w:type="dxa"/>
            <w:bottom w:w="0" w:type="dxa"/>
            <w:right w:w="57" w:type="dxa"/>
          </w:tblCellMar>
        </w:tblPrEx>
        <w:trPr>
          <w:trHeight w:val="2012"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责任事项</w:t>
            </w:r>
          </w:p>
        </w:tc>
        <w:tc>
          <w:tcPr>
            <w:tcW w:w="8441" w:type="dxa"/>
            <w:tcBorders>
              <w:top w:val="single" w:color="auto" w:sz="4" w:space="0"/>
              <w:left w:val="nil"/>
              <w:bottom w:val="single" w:color="auto" w:sz="4" w:space="0"/>
              <w:right w:val="single" w:color="auto" w:sz="4" w:space="0"/>
            </w:tcBorders>
            <w:noWrap/>
            <w:vAlign w:val="center"/>
          </w:tcPr>
          <w:p>
            <w:pPr>
              <w:spacing w:line="240" w:lineRule="exact"/>
              <w:ind w:firstLine="420"/>
              <w:rPr>
                <w:rFonts w:ascii="宋体" w:hAnsi="宋体" w:cs="宋体"/>
                <w:color w:val="000000"/>
              </w:rPr>
            </w:pPr>
            <w:r>
              <w:rPr>
                <w:rFonts w:hint="eastAsia" w:ascii="宋体" w:hAnsi="宋体" w:cs="宋体"/>
                <w:color w:val="000000"/>
              </w:rPr>
              <w:t>1.催告责任：县级以上地方人民政府卫生计生行政部门具体负责组织实施突发事件的调查、处理；</w:t>
            </w:r>
          </w:p>
          <w:p>
            <w:pPr>
              <w:spacing w:line="240" w:lineRule="exact"/>
              <w:ind w:firstLine="420"/>
              <w:rPr>
                <w:rFonts w:ascii="宋体" w:hAnsi="宋体" w:cs="宋体"/>
                <w:color w:val="000000"/>
              </w:rPr>
            </w:pPr>
            <w:r>
              <w:rPr>
                <w:rFonts w:hint="eastAsia" w:ascii="宋体" w:hAnsi="宋体" w:cs="宋体"/>
                <w:color w:val="000000"/>
              </w:rPr>
              <w:t>2.决定责任：地方人民政府、卫生计生行政主管部门依照本条例规定组织力量对报告事项调查核实、确证。</w:t>
            </w:r>
          </w:p>
          <w:p>
            <w:pPr>
              <w:spacing w:line="240" w:lineRule="exact"/>
              <w:ind w:firstLine="420"/>
              <w:rPr>
                <w:rFonts w:ascii="宋体" w:hAnsi="宋体" w:cs="宋体"/>
                <w:color w:val="000000"/>
              </w:rPr>
            </w:pPr>
            <w:r>
              <w:rPr>
                <w:rFonts w:hint="eastAsia" w:ascii="宋体" w:hAnsi="宋体" w:cs="宋体"/>
                <w:color w:val="000000"/>
              </w:rPr>
              <w:t>3.执行责任：县级以上地方人民政府卫生计生行政主管部门应当对突发事件现场等采取控制措施；</w:t>
            </w:r>
          </w:p>
          <w:p>
            <w:pPr>
              <w:spacing w:line="240" w:lineRule="exact"/>
              <w:ind w:firstLine="420"/>
              <w:rPr>
                <w:rFonts w:ascii="宋体" w:hAnsi="宋体" w:cs="宋体"/>
                <w:color w:val="000000"/>
              </w:rPr>
            </w:pPr>
            <w:r>
              <w:rPr>
                <w:rFonts w:hint="eastAsia" w:ascii="宋体" w:hAnsi="宋体" w:cs="宋体"/>
                <w:color w:val="000000"/>
              </w:rPr>
              <w:t>4.事后监管责任：县级以上地方人民政府应当建立和完善突发事件监测与预警系统。</w:t>
            </w:r>
          </w:p>
          <w:p>
            <w:pPr>
              <w:spacing w:line="240" w:lineRule="exact"/>
              <w:ind w:firstLine="420"/>
              <w:rPr>
                <w:rFonts w:ascii="宋体" w:hAnsi="宋体" w:cs="宋体"/>
                <w:color w:val="000000"/>
              </w:rPr>
            </w:pPr>
            <w:r>
              <w:rPr>
                <w:rFonts w:hint="eastAsia" w:ascii="宋体" w:hAnsi="宋体" w:cs="宋体"/>
                <w:color w:val="000000"/>
              </w:rPr>
              <w:t>5.其他责任：法律法规规章文件规定应履行的责任。</w:t>
            </w:r>
          </w:p>
        </w:tc>
      </w:tr>
      <w:tr>
        <w:tblPrEx>
          <w:tblCellMar>
            <w:top w:w="0" w:type="dxa"/>
            <w:left w:w="57" w:type="dxa"/>
            <w:bottom w:w="0" w:type="dxa"/>
            <w:right w:w="57" w:type="dxa"/>
          </w:tblCellMar>
        </w:tblPrEx>
        <w:trPr>
          <w:trHeight w:val="919"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追责情形</w:t>
            </w:r>
          </w:p>
        </w:tc>
        <w:tc>
          <w:tcPr>
            <w:tcW w:w="8441" w:type="dxa"/>
            <w:tcBorders>
              <w:top w:val="single" w:color="auto" w:sz="4" w:space="0"/>
              <w:left w:val="nil"/>
              <w:bottom w:val="single" w:color="auto" w:sz="4" w:space="0"/>
              <w:right w:val="single" w:color="auto" w:sz="4" w:space="0"/>
            </w:tcBorders>
            <w:noWrap/>
            <w:vAlign w:val="center"/>
          </w:tcPr>
          <w:p>
            <w:pPr>
              <w:spacing w:line="24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color w:val="000000"/>
                <w:shd w:val="clear" w:color="auto" w:fill="FFFFFF"/>
              </w:rPr>
              <w:t>《中华人民共和国传染病防治法》</w:t>
            </w:r>
            <w:r>
              <w:rPr>
                <w:rFonts w:hint="eastAsia" w:ascii="宋体" w:hAnsi="宋体" w:cs="宋体"/>
                <w:color w:val="000000"/>
              </w:rPr>
              <w:t>等法律法规规章的相关规定追究相应的责任。</w:t>
            </w:r>
          </w:p>
        </w:tc>
      </w:tr>
      <w:tr>
        <w:tblPrEx>
          <w:tblCellMar>
            <w:top w:w="0" w:type="dxa"/>
            <w:left w:w="57" w:type="dxa"/>
            <w:bottom w:w="0" w:type="dxa"/>
            <w:right w:w="57" w:type="dxa"/>
          </w:tblCellMar>
        </w:tblPrEx>
        <w:trPr>
          <w:trHeight w:val="557"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监督电话</w:t>
            </w:r>
          </w:p>
        </w:tc>
        <w:tc>
          <w:tcPr>
            <w:tcW w:w="8441" w:type="dxa"/>
            <w:tcBorders>
              <w:top w:val="single" w:color="auto" w:sz="4" w:space="0"/>
              <w:left w:val="nil"/>
              <w:bottom w:val="single" w:color="auto" w:sz="4" w:space="0"/>
              <w:right w:val="single" w:color="auto" w:sz="4" w:space="0"/>
            </w:tcBorders>
            <w:noWrap/>
            <w:vAlign w:val="center"/>
          </w:tcPr>
          <w:p>
            <w:pPr>
              <w:spacing w:line="240" w:lineRule="exact"/>
              <w:ind w:firstLine="420"/>
              <w:jc w:val="center"/>
              <w:rPr>
                <w:rFonts w:ascii="宋体" w:hAnsi="宋体" w:cs="宋体"/>
                <w:color w:val="000000"/>
              </w:rPr>
            </w:pPr>
            <w:r>
              <w:rPr>
                <w:rFonts w:hint="eastAsia" w:ascii="宋体" w:hAnsi="宋体" w:cs="宋体"/>
                <w:color w:val="000000"/>
              </w:rPr>
              <w:t>12345</w:t>
            </w:r>
          </w:p>
        </w:tc>
      </w:tr>
    </w:tbl>
    <w:p>
      <w:pPr>
        <w:spacing w:line="240" w:lineRule="exact"/>
        <w:rPr>
          <w:rFonts w:ascii="宋体" w:hAnsi="宋体" w:cs="宋体"/>
          <w:color w:val="000000"/>
        </w:rPr>
      </w:pPr>
      <w:r>
        <w:rPr>
          <w:rFonts w:hint="eastAsia" w:ascii="宋体" w:hAnsi="宋体" w:cs="宋体"/>
          <w:color w:val="000000"/>
        </w:rPr>
        <w:t>表2-334</w:t>
      </w:r>
    </w:p>
    <w:tbl>
      <w:tblPr>
        <w:tblStyle w:val="13"/>
        <w:tblW w:w="8988" w:type="dxa"/>
        <w:tblInd w:w="0" w:type="dxa"/>
        <w:tblLayout w:type="fixed"/>
        <w:tblCellMar>
          <w:top w:w="0" w:type="dxa"/>
          <w:left w:w="57" w:type="dxa"/>
          <w:bottom w:w="0" w:type="dxa"/>
          <w:right w:w="57" w:type="dxa"/>
        </w:tblCellMar>
      </w:tblPr>
      <w:tblGrid>
        <w:gridCol w:w="547"/>
        <w:gridCol w:w="8441"/>
      </w:tblGrid>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序号</w:t>
            </w:r>
          </w:p>
        </w:tc>
        <w:tc>
          <w:tcPr>
            <w:tcW w:w="8441" w:type="dxa"/>
            <w:tcBorders>
              <w:top w:val="single" w:color="auto" w:sz="4" w:space="0"/>
              <w:left w:val="nil"/>
              <w:bottom w:val="single" w:color="auto" w:sz="4" w:space="0"/>
              <w:right w:val="single" w:color="auto" w:sz="4" w:space="0"/>
            </w:tcBorders>
            <w:noWrap/>
            <w:vAlign w:val="center"/>
          </w:tcPr>
          <w:p>
            <w:pPr>
              <w:spacing w:line="240" w:lineRule="exact"/>
              <w:ind w:firstLine="420"/>
              <w:jc w:val="center"/>
              <w:rPr>
                <w:rFonts w:ascii="宋体" w:hAnsi="宋体" w:cs="宋体"/>
                <w:color w:val="000000"/>
              </w:rPr>
            </w:pPr>
            <w:r>
              <w:rPr>
                <w:rFonts w:hint="eastAsia" w:ascii="宋体" w:hAnsi="宋体" w:cs="宋体"/>
                <w:color w:val="000000"/>
              </w:rPr>
              <w:t>6</w:t>
            </w:r>
          </w:p>
        </w:tc>
      </w:tr>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tcBorders>
              <w:top w:val="single" w:color="auto" w:sz="4" w:space="0"/>
              <w:left w:val="nil"/>
              <w:bottom w:val="single" w:color="auto" w:sz="4" w:space="0"/>
              <w:right w:val="single" w:color="auto" w:sz="4" w:space="0"/>
            </w:tcBorders>
            <w:noWrap/>
            <w:vAlign w:val="center"/>
          </w:tcPr>
          <w:p>
            <w:pPr>
              <w:spacing w:line="240" w:lineRule="exact"/>
              <w:ind w:firstLine="420"/>
              <w:jc w:val="center"/>
              <w:rPr>
                <w:rFonts w:ascii="宋体" w:hAnsi="宋体" w:cs="宋体"/>
                <w:color w:val="000000"/>
              </w:rPr>
            </w:pPr>
            <w:r>
              <w:rPr>
                <w:rFonts w:hint="eastAsia" w:ascii="宋体" w:hAnsi="宋体" w:cs="宋体"/>
                <w:color w:val="000000"/>
              </w:rPr>
              <w:t>行政强制</w:t>
            </w:r>
          </w:p>
        </w:tc>
      </w:tr>
      <w:tr>
        <w:tblPrEx>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tcBorders>
              <w:top w:val="single" w:color="auto" w:sz="4" w:space="0"/>
              <w:left w:val="nil"/>
              <w:bottom w:val="single" w:color="auto" w:sz="4" w:space="0"/>
              <w:right w:val="single" w:color="auto" w:sz="4" w:space="0"/>
            </w:tcBorders>
            <w:noWrap/>
            <w:vAlign w:val="center"/>
          </w:tcPr>
          <w:p>
            <w:pPr>
              <w:spacing w:line="240" w:lineRule="exact"/>
              <w:ind w:firstLine="420"/>
              <w:rPr>
                <w:rFonts w:ascii="宋体" w:hAnsi="宋体" w:cs="宋体"/>
                <w:color w:val="000000"/>
              </w:rPr>
            </w:pPr>
            <w:r>
              <w:rPr>
                <w:rFonts w:hint="eastAsia" w:ascii="宋体" w:hAnsi="宋体" w:cs="宋体"/>
                <w:color w:val="000000"/>
              </w:rPr>
              <w:t>对拒绝隔离、治疗、留验的检疫传染病病人、病原携带者、疑似检疫传染病病人和与其密切接触者，以及拒绝检查和卫生处理的可能传播检疫传染病的交通工具、停靠场所及物资而采取的强制措施</w:t>
            </w:r>
          </w:p>
        </w:tc>
      </w:tr>
      <w:tr>
        <w:tblPrEx>
          <w:tblCellMar>
            <w:top w:w="0" w:type="dxa"/>
            <w:left w:w="57" w:type="dxa"/>
            <w:bottom w:w="0" w:type="dxa"/>
            <w:right w:w="57" w:type="dxa"/>
          </w:tblCellMar>
        </w:tblPrEx>
        <w:trPr>
          <w:trHeight w:val="1449"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tcBorders>
              <w:top w:val="single" w:color="auto" w:sz="4" w:space="0"/>
              <w:left w:val="nil"/>
              <w:bottom w:val="single" w:color="auto" w:sz="4" w:space="0"/>
              <w:right w:val="single" w:color="auto" w:sz="4" w:space="0"/>
            </w:tcBorders>
            <w:noWrap/>
            <w:vAlign w:val="center"/>
          </w:tcPr>
          <w:p>
            <w:pPr>
              <w:spacing w:line="240" w:lineRule="exact"/>
              <w:ind w:firstLine="420"/>
              <w:rPr>
                <w:rFonts w:ascii="宋体" w:hAnsi="宋体" w:cs="宋体"/>
                <w:color w:val="000000"/>
              </w:rPr>
            </w:pPr>
            <w:r>
              <w:rPr>
                <w:rFonts w:hint="eastAsia" w:ascii="宋体" w:hAnsi="宋体" w:cs="宋体"/>
                <w:color w:val="000000"/>
              </w:rPr>
              <w:t>《国内交通卫生检疫条例》第十条：“对拒绝隔离、治疗、留验的检疫传染病病人、病原携带者、疑似检疫传染病病人和与其密切接触者，以及拒绝检查和卫生处理的可能传播检疫传染病的交通工具、停靠场所及物资，县级以上地方人民政府卫生行政部门采取强制检疫措施。”</w:t>
            </w:r>
          </w:p>
        </w:tc>
      </w:tr>
      <w:tr>
        <w:tblPrEx>
          <w:tblCellMar>
            <w:top w:w="0" w:type="dxa"/>
            <w:left w:w="57" w:type="dxa"/>
            <w:bottom w:w="0" w:type="dxa"/>
            <w:right w:w="57" w:type="dxa"/>
          </w:tblCellMar>
        </w:tblPrEx>
        <w:trPr>
          <w:trHeight w:val="550"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tcBorders>
              <w:top w:val="single" w:color="auto" w:sz="4" w:space="0"/>
              <w:left w:val="nil"/>
              <w:bottom w:val="single" w:color="auto" w:sz="4" w:space="0"/>
              <w:right w:val="single" w:color="auto" w:sz="4" w:space="0"/>
            </w:tcBorders>
            <w:noWrap/>
            <w:vAlign w:val="center"/>
          </w:tcPr>
          <w:p>
            <w:pPr>
              <w:spacing w:line="240" w:lineRule="exact"/>
              <w:ind w:firstLine="420"/>
              <w:jc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57" w:type="dxa"/>
            <w:bottom w:w="0" w:type="dxa"/>
            <w:right w:w="57" w:type="dxa"/>
          </w:tblCellMar>
        </w:tblPrEx>
        <w:trPr>
          <w:trHeight w:val="2044"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责任事项</w:t>
            </w:r>
          </w:p>
        </w:tc>
        <w:tc>
          <w:tcPr>
            <w:tcW w:w="8441" w:type="dxa"/>
            <w:tcBorders>
              <w:top w:val="single" w:color="auto" w:sz="4" w:space="0"/>
              <w:left w:val="nil"/>
              <w:bottom w:val="single" w:color="auto" w:sz="4" w:space="0"/>
              <w:right w:val="single" w:color="auto" w:sz="4" w:space="0"/>
            </w:tcBorders>
            <w:noWrap/>
            <w:vAlign w:val="center"/>
          </w:tcPr>
          <w:p>
            <w:pPr>
              <w:spacing w:line="240" w:lineRule="exact"/>
              <w:ind w:firstLine="420"/>
              <w:rPr>
                <w:rFonts w:ascii="宋体" w:hAnsi="宋体" w:cs="宋体"/>
                <w:color w:val="000000"/>
              </w:rPr>
            </w:pPr>
            <w:r>
              <w:rPr>
                <w:rFonts w:hint="eastAsia" w:ascii="宋体" w:hAnsi="宋体" w:cs="宋体"/>
                <w:color w:val="000000"/>
              </w:rPr>
              <w:t>1.催告责任：县级以上地方人民政府卫生计生行政部门具体负责组织实施突发事件的调查、处理；</w:t>
            </w:r>
          </w:p>
          <w:p>
            <w:pPr>
              <w:spacing w:line="240" w:lineRule="exact"/>
              <w:ind w:firstLine="420"/>
              <w:rPr>
                <w:rFonts w:ascii="宋体" w:hAnsi="宋体" w:cs="宋体"/>
                <w:color w:val="000000"/>
              </w:rPr>
            </w:pPr>
            <w:r>
              <w:rPr>
                <w:rFonts w:hint="eastAsia" w:ascii="宋体" w:hAnsi="宋体" w:cs="宋体"/>
                <w:color w:val="000000"/>
              </w:rPr>
              <w:t>2.决定责任：地方人民政府、卫生计生行政主管部门依照本条例规定组织力量对报告事项调查核实、确证。</w:t>
            </w:r>
          </w:p>
          <w:p>
            <w:pPr>
              <w:spacing w:line="240" w:lineRule="exact"/>
              <w:ind w:firstLine="420"/>
              <w:rPr>
                <w:rFonts w:ascii="宋体" w:hAnsi="宋体" w:cs="宋体"/>
                <w:color w:val="000000"/>
              </w:rPr>
            </w:pPr>
            <w:r>
              <w:rPr>
                <w:rFonts w:hint="eastAsia" w:ascii="宋体" w:hAnsi="宋体" w:cs="宋体"/>
                <w:color w:val="000000"/>
              </w:rPr>
              <w:t xml:space="preserve">3.执行责任：县级以上地方人民政府卫生计生行政主管部门应当对突发事件现场等采取控制措施；     </w:t>
            </w:r>
          </w:p>
          <w:p>
            <w:pPr>
              <w:spacing w:line="240" w:lineRule="exact"/>
              <w:ind w:firstLine="420"/>
              <w:rPr>
                <w:rFonts w:ascii="宋体" w:hAnsi="宋体" w:cs="宋体"/>
                <w:color w:val="000000"/>
              </w:rPr>
            </w:pPr>
            <w:r>
              <w:rPr>
                <w:rFonts w:hint="eastAsia" w:ascii="宋体" w:hAnsi="宋体" w:cs="宋体"/>
                <w:color w:val="000000"/>
              </w:rPr>
              <w:t>4.事后监管责任：县级以上地方人民政府应当建立和完善突发事件监测与预警系统。</w:t>
            </w:r>
          </w:p>
          <w:p>
            <w:pPr>
              <w:spacing w:line="240" w:lineRule="exact"/>
              <w:ind w:firstLine="420"/>
              <w:rPr>
                <w:rFonts w:ascii="宋体" w:hAnsi="宋体" w:cs="宋体"/>
                <w:color w:val="000000"/>
              </w:rPr>
            </w:pPr>
            <w:r>
              <w:rPr>
                <w:rFonts w:hint="eastAsia" w:ascii="宋体" w:hAnsi="宋体" w:cs="宋体"/>
                <w:color w:val="000000"/>
              </w:rPr>
              <w:t>5.其他责任：法律法规规章文件规定应履行的责任。</w:t>
            </w:r>
          </w:p>
        </w:tc>
      </w:tr>
      <w:tr>
        <w:tblPrEx>
          <w:tblCellMar>
            <w:top w:w="0" w:type="dxa"/>
            <w:left w:w="57" w:type="dxa"/>
            <w:bottom w:w="0" w:type="dxa"/>
            <w:right w:w="57" w:type="dxa"/>
          </w:tblCellMar>
        </w:tblPrEx>
        <w:trPr>
          <w:trHeight w:val="956"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追责情形</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国内交通卫生检疫条例》等法律法规规章的相关规定追究相应的责任。</w:t>
            </w:r>
          </w:p>
        </w:tc>
      </w:tr>
      <w:tr>
        <w:tblPrEx>
          <w:tblCellMar>
            <w:top w:w="0" w:type="dxa"/>
            <w:left w:w="57" w:type="dxa"/>
            <w:bottom w:w="0" w:type="dxa"/>
            <w:right w:w="57" w:type="dxa"/>
          </w:tblCellMar>
        </w:tblPrEx>
        <w:trPr>
          <w:trHeight w:val="556"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jc w:val="center"/>
              <w:rPr>
                <w:rFonts w:ascii="宋体" w:hAnsi="宋体" w:cs="宋体"/>
                <w:color w:val="000000"/>
              </w:rPr>
            </w:pPr>
            <w:r>
              <w:rPr>
                <w:rFonts w:hint="eastAsia" w:ascii="宋体" w:hAnsi="宋体" w:cs="宋体"/>
                <w:color w:val="000000"/>
              </w:rPr>
              <w:t>12345</w:t>
            </w:r>
          </w:p>
        </w:tc>
      </w:tr>
    </w:tbl>
    <w:p>
      <w:pPr>
        <w:spacing w:line="260" w:lineRule="exact"/>
        <w:rPr>
          <w:rFonts w:ascii="宋体" w:hAnsi="宋体" w:cs="宋体"/>
          <w:color w:val="000000"/>
        </w:rPr>
      </w:pPr>
      <w:r>
        <w:rPr>
          <w:rFonts w:hint="eastAsia" w:ascii="宋体" w:hAnsi="宋体" w:cs="宋体"/>
          <w:color w:val="000000"/>
        </w:rPr>
        <w:t>表2-335</w:t>
      </w:r>
    </w:p>
    <w:tbl>
      <w:tblPr>
        <w:tblStyle w:val="13"/>
        <w:tblW w:w="8988" w:type="dxa"/>
        <w:tblInd w:w="0" w:type="dxa"/>
        <w:tblLayout w:type="fixed"/>
        <w:tblCellMar>
          <w:top w:w="0" w:type="dxa"/>
          <w:left w:w="57" w:type="dxa"/>
          <w:bottom w:w="0" w:type="dxa"/>
          <w:right w:w="57" w:type="dxa"/>
        </w:tblCellMar>
      </w:tblPr>
      <w:tblGrid>
        <w:gridCol w:w="547"/>
        <w:gridCol w:w="8441"/>
      </w:tblGrid>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jc w:val="center"/>
              <w:rPr>
                <w:rFonts w:ascii="宋体" w:hAnsi="宋体" w:cs="宋体"/>
                <w:color w:val="000000"/>
              </w:rPr>
            </w:pPr>
            <w:r>
              <w:rPr>
                <w:rFonts w:hint="eastAsia" w:ascii="宋体" w:hAnsi="宋体" w:cs="宋体"/>
                <w:color w:val="000000"/>
              </w:rPr>
              <w:t>7</w:t>
            </w:r>
          </w:p>
        </w:tc>
      </w:tr>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jc w:val="center"/>
              <w:rPr>
                <w:rFonts w:ascii="宋体" w:hAnsi="宋体" w:cs="宋体"/>
                <w:color w:val="000000"/>
              </w:rPr>
            </w:pPr>
            <w:r>
              <w:rPr>
                <w:rFonts w:hint="eastAsia" w:ascii="宋体" w:hAnsi="宋体" w:cs="宋体"/>
                <w:color w:val="000000"/>
              </w:rPr>
              <w:t>行政强制</w:t>
            </w:r>
          </w:p>
        </w:tc>
      </w:tr>
      <w:tr>
        <w:tblPrEx>
          <w:tblCellMar>
            <w:top w:w="0" w:type="dxa"/>
            <w:left w:w="57" w:type="dxa"/>
            <w:bottom w:w="0" w:type="dxa"/>
            <w:right w:w="57" w:type="dxa"/>
          </w:tblCellMar>
        </w:tblPrEx>
        <w:trPr>
          <w:trHeight w:val="1059"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rPr>
                <w:rFonts w:ascii="宋体" w:hAnsi="宋体" w:cs="宋体"/>
                <w:color w:val="000000"/>
              </w:rPr>
            </w:pPr>
            <w:r>
              <w:rPr>
                <w:rFonts w:hint="eastAsia" w:ascii="宋体" w:hAnsi="宋体" w:cs="宋体"/>
                <w:color w:val="000000"/>
              </w:rPr>
              <w:t>对发生危害健康事故的公共场所，可以依法采取封闭场所、封存相关物品等临时控制措施</w:t>
            </w:r>
          </w:p>
        </w:tc>
      </w:tr>
      <w:tr>
        <w:tblPrEx>
          <w:tblCellMar>
            <w:top w:w="0" w:type="dxa"/>
            <w:left w:w="57" w:type="dxa"/>
            <w:bottom w:w="0" w:type="dxa"/>
            <w:right w:w="57" w:type="dxa"/>
          </w:tblCellMar>
        </w:tblPrEx>
        <w:trPr>
          <w:trHeight w:val="845"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rPr>
                <w:rFonts w:ascii="宋体" w:hAnsi="宋体" w:cs="宋体"/>
                <w:color w:val="000000"/>
              </w:rPr>
            </w:pPr>
            <w:r>
              <w:rPr>
                <w:rFonts w:hint="eastAsia" w:ascii="宋体" w:hAnsi="宋体" w:cs="宋体"/>
                <w:color w:val="000000"/>
              </w:rPr>
              <w:t>《公共场所卫生管理条例实施细则》第三十三条：“县级以上地方人民政府卫生行政部门对发生危害健康事故的公共场所，可以依法采取封闭场所、封存相关物品等临时控制措施。”</w:t>
            </w:r>
          </w:p>
        </w:tc>
      </w:tr>
      <w:tr>
        <w:tblPrEx>
          <w:tblCellMar>
            <w:top w:w="0" w:type="dxa"/>
            <w:left w:w="57" w:type="dxa"/>
            <w:bottom w:w="0" w:type="dxa"/>
            <w:right w:w="57" w:type="dxa"/>
          </w:tblCellMar>
        </w:tblPrEx>
        <w:trPr>
          <w:trHeight w:val="558"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jc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57" w:type="dxa"/>
            <w:bottom w:w="0" w:type="dxa"/>
            <w:right w:w="57" w:type="dxa"/>
          </w:tblCellMar>
        </w:tblPrEx>
        <w:trPr>
          <w:trHeight w:val="1897"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rPr>
                <w:rFonts w:ascii="宋体" w:hAnsi="宋体" w:cs="宋体"/>
                <w:color w:val="000000"/>
              </w:rPr>
            </w:pPr>
            <w:r>
              <w:rPr>
                <w:rFonts w:hint="eastAsia" w:ascii="宋体" w:hAnsi="宋体" w:cs="宋体"/>
                <w:color w:val="000000"/>
              </w:rPr>
              <w:t>1.催告责任：县级以上地方人民政府卫生计生行政部门具体负责组织实施突发事件的调查、处理；</w:t>
            </w:r>
          </w:p>
          <w:p>
            <w:pPr>
              <w:spacing w:line="260" w:lineRule="exact"/>
              <w:ind w:firstLine="420"/>
              <w:rPr>
                <w:rFonts w:ascii="宋体" w:hAnsi="宋体" w:cs="宋体"/>
                <w:color w:val="000000"/>
              </w:rPr>
            </w:pPr>
            <w:r>
              <w:rPr>
                <w:rFonts w:hint="eastAsia" w:ascii="宋体" w:hAnsi="宋体" w:cs="宋体"/>
                <w:color w:val="000000"/>
              </w:rPr>
              <w:t>2.决定责任：地方人民政府、卫生计生行政主管部门依照本条例规定组织力量对报告事项调查核实、确证。</w:t>
            </w:r>
          </w:p>
          <w:p>
            <w:pPr>
              <w:spacing w:line="260" w:lineRule="exact"/>
              <w:ind w:firstLine="420"/>
              <w:rPr>
                <w:rFonts w:ascii="宋体" w:hAnsi="宋体" w:cs="宋体"/>
                <w:color w:val="000000"/>
              </w:rPr>
            </w:pPr>
            <w:r>
              <w:rPr>
                <w:rFonts w:hint="eastAsia" w:ascii="宋体" w:hAnsi="宋体" w:cs="宋体"/>
                <w:color w:val="000000"/>
              </w:rPr>
              <w:t xml:space="preserve">3.执行责任：县级以上地方人民政府卫生计生行政主管部门应当对突发事件现场等采取控制措施；     </w:t>
            </w:r>
          </w:p>
          <w:p>
            <w:pPr>
              <w:spacing w:line="260" w:lineRule="exact"/>
              <w:ind w:firstLine="420"/>
              <w:rPr>
                <w:rFonts w:ascii="宋体" w:hAnsi="宋体" w:cs="宋体"/>
                <w:color w:val="000000"/>
              </w:rPr>
            </w:pPr>
            <w:r>
              <w:rPr>
                <w:rFonts w:hint="eastAsia" w:ascii="宋体" w:hAnsi="宋体" w:cs="宋体"/>
                <w:color w:val="000000"/>
              </w:rPr>
              <w:t>4.事后监管责任：县级以上地方人民政府应当建立和完善突发事件监测与预警系统。</w:t>
            </w:r>
          </w:p>
          <w:p>
            <w:pPr>
              <w:spacing w:line="260" w:lineRule="exact"/>
              <w:ind w:firstLine="420"/>
              <w:rPr>
                <w:rFonts w:ascii="宋体" w:hAnsi="宋体" w:cs="宋体"/>
                <w:color w:val="000000"/>
              </w:rPr>
            </w:pPr>
            <w:r>
              <w:rPr>
                <w:rFonts w:hint="eastAsia" w:ascii="宋体" w:hAnsi="宋体" w:cs="宋体"/>
                <w:color w:val="000000"/>
              </w:rPr>
              <w:t>5.其他责任：法律法规规章文件规定应履行的责任。</w:t>
            </w:r>
          </w:p>
        </w:tc>
      </w:tr>
      <w:tr>
        <w:tblPrEx>
          <w:tblCellMar>
            <w:top w:w="0" w:type="dxa"/>
            <w:left w:w="57" w:type="dxa"/>
            <w:bottom w:w="0" w:type="dxa"/>
            <w:right w:w="57" w:type="dxa"/>
          </w:tblCellMar>
        </w:tblPrEx>
        <w:trPr>
          <w:trHeight w:val="1302"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追责情形</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公共场所卫生管理条例实施细则》等法律法规规章的相关规定追究相应的责任。</w:t>
            </w:r>
          </w:p>
        </w:tc>
      </w:tr>
      <w:tr>
        <w:tblPrEx>
          <w:tblCellMar>
            <w:top w:w="0" w:type="dxa"/>
            <w:left w:w="57" w:type="dxa"/>
            <w:bottom w:w="0" w:type="dxa"/>
            <w:right w:w="57" w:type="dxa"/>
          </w:tblCellMar>
        </w:tblPrEx>
        <w:trPr>
          <w:trHeight w:val="698"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jc w:val="center"/>
              <w:rPr>
                <w:rFonts w:ascii="宋体" w:hAnsi="宋体" w:cs="宋体"/>
                <w:color w:val="000000"/>
              </w:rPr>
            </w:pPr>
            <w:r>
              <w:rPr>
                <w:rFonts w:hint="eastAsia" w:ascii="宋体" w:hAnsi="宋体" w:cs="宋体"/>
                <w:color w:val="000000"/>
              </w:rPr>
              <w:t>12345</w:t>
            </w:r>
          </w:p>
        </w:tc>
      </w:tr>
    </w:tbl>
    <w:p>
      <w:pPr>
        <w:spacing w:line="260" w:lineRule="exact"/>
        <w:rPr>
          <w:rFonts w:ascii="宋体" w:hAnsi="宋体" w:cs="宋体"/>
          <w:color w:val="000000"/>
        </w:rPr>
      </w:pPr>
      <w:r>
        <w:rPr>
          <w:rFonts w:hint="eastAsia" w:ascii="宋体" w:hAnsi="宋体" w:cs="宋体"/>
          <w:color w:val="000000"/>
        </w:rPr>
        <w:t>表2-336</w:t>
      </w:r>
    </w:p>
    <w:tbl>
      <w:tblPr>
        <w:tblStyle w:val="13"/>
        <w:tblW w:w="8988" w:type="dxa"/>
        <w:tblInd w:w="0" w:type="dxa"/>
        <w:tblLayout w:type="fixed"/>
        <w:tblCellMar>
          <w:top w:w="0" w:type="dxa"/>
          <w:left w:w="57" w:type="dxa"/>
          <w:bottom w:w="0" w:type="dxa"/>
          <w:right w:w="57" w:type="dxa"/>
        </w:tblCellMar>
      </w:tblPr>
      <w:tblGrid>
        <w:gridCol w:w="547"/>
        <w:gridCol w:w="8441"/>
      </w:tblGrid>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jc w:val="center"/>
              <w:rPr>
                <w:rFonts w:ascii="宋体" w:hAnsi="宋体" w:cs="宋体"/>
                <w:color w:val="000000"/>
              </w:rPr>
            </w:pPr>
            <w:r>
              <w:rPr>
                <w:rFonts w:hint="eastAsia" w:ascii="宋体" w:hAnsi="宋体" w:cs="宋体"/>
                <w:color w:val="000000"/>
              </w:rPr>
              <w:t>8</w:t>
            </w:r>
          </w:p>
        </w:tc>
      </w:tr>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jc w:val="center"/>
              <w:rPr>
                <w:rFonts w:ascii="宋体" w:hAnsi="宋体" w:cs="宋体"/>
                <w:color w:val="000000"/>
              </w:rPr>
            </w:pPr>
            <w:r>
              <w:rPr>
                <w:rFonts w:hint="eastAsia" w:ascii="宋体" w:hAnsi="宋体" w:cs="宋体"/>
              </w:rPr>
              <w:t>行政强制</w:t>
            </w:r>
          </w:p>
        </w:tc>
      </w:tr>
      <w:tr>
        <w:tblPrEx>
          <w:tblCellMar>
            <w:top w:w="0" w:type="dxa"/>
            <w:left w:w="57" w:type="dxa"/>
            <w:bottom w:w="0" w:type="dxa"/>
            <w:right w:w="57" w:type="dxa"/>
          </w:tblCellMar>
        </w:tblPrEx>
        <w:trPr>
          <w:trHeight w:val="1145"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rPr>
                <w:rFonts w:ascii="宋体" w:hAnsi="宋体" w:cs="宋体"/>
                <w:color w:val="000000"/>
              </w:rPr>
            </w:pPr>
            <w:r>
              <w:rPr>
                <w:rFonts w:hint="eastAsia" w:ascii="宋体" w:hAnsi="宋体" w:cs="宋体"/>
                <w:color w:val="000000"/>
              </w:rPr>
              <w:t>对医疗机构发生放射性职业病危害事故或者有证据证明危害状态可能导致放射性职业病危害事故发生时，采取责令暂停导致放射性职业病危害事故的作业、封存造成放射性职业病危害事故或者可能导致放射性职业病危害事故发生的材料和设备的临时控制措施</w:t>
            </w:r>
          </w:p>
        </w:tc>
      </w:tr>
      <w:tr>
        <w:tblPrEx>
          <w:tblCellMar>
            <w:top w:w="0" w:type="dxa"/>
            <w:left w:w="57" w:type="dxa"/>
            <w:bottom w:w="0" w:type="dxa"/>
            <w:right w:w="57" w:type="dxa"/>
          </w:tblCellMar>
        </w:tblPrEx>
        <w:trPr>
          <w:trHeight w:val="1891"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rPr>
                <w:rFonts w:ascii="宋体" w:hAnsi="宋体" w:cs="宋体"/>
                <w:color w:val="000000"/>
              </w:rPr>
            </w:pPr>
            <w:r>
              <w:rPr>
                <w:rFonts w:hint="eastAsia" w:ascii="宋体" w:hAnsi="宋体" w:cs="宋体"/>
                <w:color w:val="000000"/>
              </w:rPr>
              <w:t>1.《中华人民共和国职业病防治法》（2011年修正）第六十五条：“发生职业病危害事故或者有证据证明危害状态可能导致职业病危害事故发生时，安全生产监督管理部门可以采取下列临时控制措施,(一)责令暂停导致职业病危害事故的作业；(二)封存造成职业病危害事故或者可能导致职业病危害事故发生的材料和设备；(三)组织控制职业病危害事故现场。 在职业病危害事故或者危害状态得到有效控制后，安全生产监督管理部门应当及时解除控制措施。”</w:t>
            </w:r>
          </w:p>
          <w:p>
            <w:pPr>
              <w:spacing w:line="260" w:lineRule="exact"/>
              <w:ind w:firstLine="420" w:firstLineChars="200"/>
              <w:rPr>
                <w:rFonts w:ascii="宋体" w:hAnsi="宋体" w:cs="宋体"/>
                <w:color w:val="000000"/>
              </w:rPr>
            </w:pPr>
            <w:r>
              <w:rPr>
                <w:rFonts w:hint="eastAsia" w:ascii="宋体" w:hAnsi="宋体" w:cs="宋体"/>
                <w:color w:val="000000"/>
              </w:rPr>
              <w:t>2.《中华人民共和国职业病防治法》（2011年修正） 第八十九条：“对医疗机构放射性职业病危害控制的监督管理，由卫生行政部门依照本法的规定实施。”</w:t>
            </w:r>
          </w:p>
        </w:tc>
      </w:tr>
      <w:tr>
        <w:tblPrEx>
          <w:tblCellMar>
            <w:top w:w="0" w:type="dxa"/>
            <w:left w:w="57" w:type="dxa"/>
            <w:bottom w:w="0" w:type="dxa"/>
            <w:right w:w="57" w:type="dxa"/>
          </w:tblCellMar>
        </w:tblPrEx>
        <w:trPr>
          <w:trHeight w:val="862"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jc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57" w:type="dxa"/>
            <w:bottom w:w="0" w:type="dxa"/>
            <w:right w:w="57" w:type="dxa"/>
          </w:tblCellMar>
        </w:tblPrEx>
        <w:trPr>
          <w:trHeight w:val="1794"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rPr>
                <w:rFonts w:ascii="宋体" w:hAnsi="宋体" w:cs="宋体"/>
                <w:color w:val="000000"/>
              </w:rPr>
            </w:pPr>
            <w:r>
              <w:rPr>
                <w:rFonts w:hint="eastAsia" w:ascii="宋体" w:hAnsi="宋体" w:cs="宋体"/>
                <w:color w:val="000000"/>
              </w:rPr>
              <w:t>1.催告责任：县级以上地方人民政府卫生计生行政部门具体负责组织实施突发事件的调查、处理；</w:t>
            </w:r>
          </w:p>
          <w:p>
            <w:pPr>
              <w:spacing w:line="260" w:lineRule="exact"/>
              <w:ind w:firstLine="420"/>
              <w:rPr>
                <w:rFonts w:ascii="宋体" w:hAnsi="宋体" w:cs="宋体"/>
                <w:color w:val="000000"/>
              </w:rPr>
            </w:pPr>
            <w:r>
              <w:rPr>
                <w:rFonts w:hint="eastAsia" w:ascii="宋体" w:hAnsi="宋体" w:cs="宋体"/>
                <w:color w:val="000000"/>
              </w:rPr>
              <w:t>2.决定责任：地方人民政府、卫生计生行政主管部门依照本条例规定组织力量对报告事项调查核实、确证。</w:t>
            </w:r>
          </w:p>
          <w:p>
            <w:pPr>
              <w:spacing w:line="260" w:lineRule="exact"/>
              <w:ind w:firstLine="420"/>
              <w:rPr>
                <w:rFonts w:ascii="宋体" w:hAnsi="宋体" w:cs="宋体"/>
                <w:color w:val="000000"/>
              </w:rPr>
            </w:pPr>
            <w:r>
              <w:rPr>
                <w:rFonts w:hint="eastAsia" w:ascii="宋体" w:hAnsi="宋体" w:cs="宋体"/>
                <w:color w:val="000000"/>
              </w:rPr>
              <w:t xml:space="preserve">3.执行责任：县级以上地方人民政府卫生计生行政主管部门应当对突发事件现场等采取控制措施；     </w:t>
            </w:r>
          </w:p>
          <w:p>
            <w:pPr>
              <w:spacing w:line="260" w:lineRule="exact"/>
              <w:ind w:firstLine="420"/>
              <w:rPr>
                <w:rFonts w:ascii="宋体" w:hAnsi="宋体" w:cs="宋体"/>
                <w:color w:val="000000"/>
              </w:rPr>
            </w:pPr>
            <w:r>
              <w:rPr>
                <w:rFonts w:hint="eastAsia" w:ascii="宋体" w:hAnsi="宋体" w:cs="宋体"/>
                <w:color w:val="000000"/>
              </w:rPr>
              <w:t>4.事后监管责任：县级以上地方人民政府应当建立和完善突发事件监测与预警系统。</w:t>
            </w:r>
          </w:p>
          <w:p>
            <w:pPr>
              <w:spacing w:line="260" w:lineRule="exact"/>
              <w:ind w:firstLine="420"/>
              <w:rPr>
                <w:rFonts w:ascii="宋体" w:hAnsi="宋体" w:cs="宋体"/>
                <w:color w:val="000000"/>
              </w:rPr>
            </w:pPr>
            <w:r>
              <w:rPr>
                <w:rFonts w:hint="eastAsia" w:ascii="宋体" w:hAnsi="宋体" w:cs="宋体"/>
                <w:color w:val="000000"/>
              </w:rPr>
              <w:t>5.其他责任：法律法规规章文件规定应履行的责任。</w:t>
            </w:r>
          </w:p>
        </w:tc>
      </w:tr>
      <w:tr>
        <w:tblPrEx>
          <w:tblCellMar>
            <w:top w:w="0" w:type="dxa"/>
            <w:left w:w="57" w:type="dxa"/>
            <w:bottom w:w="0" w:type="dxa"/>
            <w:right w:w="57" w:type="dxa"/>
          </w:tblCellMar>
        </w:tblPrEx>
        <w:trPr>
          <w:trHeight w:val="1197"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追责情形</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职业病防治法》等法律法规规章的相关规定追究相应的责任。</w:t>
            </w:r>
          </w:p>
        </w:tc>
      </w:tr>
      <w:tr>
        <w:tblPrEx>
          <w:tblCellMar>
            <w:top w:w="0" w:type="dxa"/>
            <w:left w:w="57" w:type="dxa"/>
            <w:bottom w:w="0" w:type="dxa"/>
            <w:right w:w="57" w:type="dxa"/>
          </w:tblCellMar>
        </w:tblPrEx>
        <w:trPr>
          <w:trHeight w:val="556" w:hRule="atLeast"/>
        </w:trPr>
        <w:tc>
          <w:tcPr>
            <w:tcW w:w="547"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441" w:type="dxa"/>
            <w:tcBorders>
              <w:top w:val="single" w:color="auto" w:sz="4" w:space="0"/>
              <w:left w:val="nil"/>
              <w:bottom w:val="single" w:color="auto" w:sz="4" w:space="0"/>
              <w:right w:val="single" w:color="auto" w:sz="4" w:space="0"/>
            </w:tcBorders>
            <w:noWrap/>
            <w:vAlign w:val="center"/>
          </w:tcPr>
          <w:p>
            <w:pPr>
              <w:spacing w:line="260" w:lineRule="exact"/>
              <w:ind w:firstLine="420"/>
              <w:jc w:val="center"/>
              <w:rPr>
                <w:rFonts w:ascii="宋体" w:hAnsi="宋体" w:cs="宋体"/>
                <w:color w:val="000000"/>
              </w:rPr>
            </w:pPr>
            <w:r>
              <w:rPr>
                <w:rFonts w:hint="eastAsia" w:ascii="宋体" w:hAnsi="宋体" w:cs="宋体"/>
                <w:color w:val="000000"/>
              </w:rPr>
              <w:t>12345</w:t>
            </w:r>
          </w:p>
        </w:tc>
      </w:tr>
    </w:tbl>
    <w:p>
      <w:pPr>
        <w:widowControl/>
        <w:spacing w:line="260" w:lineRule="exact"/>
        <w:jc w:val="left"/>
        <w:rPr>
          <w:rFonts w:ascii="宋体" w:hAnsi="宋体" w:cs="宋体"/>
          <w:color w:val="000000"/>
        </w:rPr>
      </w:pPr>
    </w:p>
    <w:p>
      <w:pPr>
        <w:widowControl/>
        <w:spacing w:line="260" w:lineRule="exact"/>
        <w:jc w:val="left"/>
        <w:rPr>
          <w:rFonts w:ascii="宋体" w:hAnsi="宋体" w:cs="宋体"/>
          <w:color w:val="000000"/>
        </w:rPr>
      </w:pPr>
      <w:r>
        <w:rPr>
          <w:rFonts w:hint="eastAsia" w:ascii="宋体" w:hAnsi="宋体" w:cs="宋体"/>
          <w:color w:val="000000"/>
        </w:rPr>
        <w:t>表2-337</w:t>
      </w:r>
    </w:p>
    <w:tbl>
      <w:tblPr>
        <w:tblStyle w:val="13"/>
        <w:tblW w:w="9043" w:type="dxa"/>
        <w:jc w:val="center"/>
        <w:tblLayout w:type="fixed"/>
        <w:tblCellMar>
          <w:top w:w="0" w:type="dxa"/>
          <w:left w:w="28" w:type="dxa"/>
          <w:bottom w:w="0" w:type="dxa"/>
          <w:right w:w="28" w:type="dxa"/>
        </w:tblCellMar>
      </w:tblPr>
      <w:tblGrid>
        <w:gridCol w:w="581"/>
        <w:gridCol w:w="8462"/>
      </w:tblGrid>
      <w:tr>
        <w:tblPrEx>
          <w:tblCellMar>
            <w:top w:w="0" w:type="dxa"/>
            <w:left w:w="28" w:type="dxa"/>
            <w:bottom w:w="0" w:type="dxa"/>
            <w:right w:w="28" w:type="dxa"/>
          </w:tblCellMar>
        </w:tblPrEx>
        <w:trPr>
          <w:trHeight w:val="45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462" w:type="dxa"/>
            <w:tcBorders>
              <w:top w:val="single" w:color="auto" w:sz="4" w:space="0"/>
              <w:left w:val="nil"/>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1</w:t>
            </w:r>
          </w:p>
        </w:tc>
      </w:tr>
      <w:tr>
        <w:tblPrEx>
          <w:tblCellMar>
            <w:top w:w="0" w:type="dxa"/>
            <w:left w:w="28" w:type="dxa"/>
            <w:bottom w:w="0" w:type="dxa"/>
            <w:right w:w="28" w:type="dxa"/>
          </w:tblCellMar>
        </w:tblPrEx>
        <w:trPr>
          <w:trHeight w:val="283"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462" w:type="dxa"/>
            <w:tcBorders>
              <w:top w:val="single" w:color="auto" w:sz="4" w:space="0"/>
              <w:left w:val="nil"/>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行政确认</w:t>
            </w:r>
          </w:p>
        </w:tc>
      </w:tr>
      <w:tr>
        <w:tblPrEx>
          <w:tblCellMar>
            <w:top w:w="0" w:type="dxa"/>
            <w:left w:w="28" w:type="dxa"/>
            <w:bottom w:w="0" w:type="dxa"/>
            <w:right w:w="28" w:type="dxa"/>
          </w:tblCellMar>
        </w:tblPrEx>
        <w:trPr>
          <w:trHeight w:val="397"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462" w:type="dxa"/>
            <w:tcBorders>
              <w:top w:val="single" w:color="auto" w:sz="4" w:space="0"/>
              <w:left w:val="nil"/>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医院评审</w:t>
            </w:r>
          </w:p>
        </w:tc>
      </w:tr>
      <w:tr>
        <w:tblPrEx>
          <w:tblCellMar>
            <w:top w:w="0" w:type="dxa"/>
            <w:left w:w="28" w:type="dxa"/>
            <w:bottom w:w="0" w:type="dxa"/>
            <w:right w:w="28" w:type="dxa"/>
          </w:tblCellMar>
        </w:tblPrEx>
        <w:trPr>
          <w:trHeight w:val="3628"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462" w:type="dxa"/>
            <w:tcBorders>
              <w:top w:val="single" w:color="auto" w:sz="4" w:space="0"/>
              <w:left w:val="nil"/>
              <w:bottom w:val="single" w:color="auto" w:sz="4" w:space="0"/>
              <w:right w:val="single" w:color="auto" w:sz="4" w:space="0"/>
            </w:tcBorders>
            <w:vAlign w:val="center"/>
          </w:tcPr>
          <w:p>
            <w:pPr>
              <w:adjustRightInd w:val="0"/>
              <w:snapToGrid w:val="0"/>
              <w:spacing w:line="260" w:lineRule="exact"/>
              <w:ind w:firstLine="420" w:firstLineChars="200"/>
              <w:rPr>
                <w:rFonts w:ascii="宋体" w:hAnsi="宋体" w:cs="宋体"/>
                <w:color w:val="000000"/>
              </w:rPr>
            </w:pPr>
            <w:r>
              <w:rPr>
                <w:rFonts w:hint="eastAsia" w:ascii="宋体" w:hAnsi="宋体" w:cs="宋体"/>
                <w:color w:val="000000"/>
              </w:rPr>
              <w:t>1.《医疗机构管理条例》第四十一条:“国家实行医疗机构评审制度，由专家组成的评审委员会按照医疗机构评审办法和评审标准，对医疗机构的执业活动、医疗服务质量等进行综合评价。”第四十三条：“县级以上地方人民政府卫生行政部门根据评审委员会的评审意见，对达到评审标准的医疗机构，发给评审合格证书；对未达到评审标准的医疗机构，提出处理意见。”</w:t>
            </w:r>
          </w:p>
          <w:p>
            <w:pPr>
              <w:adjustRightInd w:val="0"/>
              <w:snapToGrid w:val="0"/>
              <w:spacing w:line="260" w:lineRule="exact"/>
              <w:ind w:firstLine="420" w:firstLineChars="200"/>
              <w:rPr>
                <w:rFonts w:ascii="宋体" w:hAnsi="宋体" w:cs="宋体"/>
                <w:color w:val="000000"/>
              </w:rPr>
            </w:pPr>
            <w:r>
              <w:rPr>
                <w:rFonts w:hint="eastAsia" w:ascii="宋体" w:hAnsi="宋体" w:cs="宋体"/>
                <w:color w:val="000000"/>
              </w:rPr>
              <w:t>2.《四川省医疗机构管理条例》第四十六条：“实行医疗机构评审制度。由评审委员会按照国务院卫生行政部门制定的医疗机构评审办法和标准，对医疗机构的执业活动、医疗质量等进行综合评价。”第四十八条：“县级以上地方人民政府卫生行政部门根据评审委员会的评审意见，对达到评审标准的医疗机构发给评审合格证书，对未达到评审标准的医疗机构作出处理决定”。</w:t>
            </w:r>
          </w:p>
          <w:p>
            <w:pPr>
              <w:adjustRightInd w:val="0"/>
              <w:snapToGrid w:val="0"/>
              <w:spacing w:line="260" w:lineRule="exact"/>
              <w:ind w:firstLine="420" w:firstLineChars="200"/>
              <w:rPr>
                <w:rFonts w:ascii="宋体" w:hAnsi="宋体" w:cs="宋体"/>
                <w:color w:val="000000"/>
              </w:rPr>
            </w:pPr>
            <w:r>
              <w:rPr>
                <w:rFonts w:hint="eastAsia" w:ascii="宋体" w:hAnsi="宋体" w:cs="宋体"/>
                <w:color w:val="000000"/>
              </w:rPr>
              <w:t>3.《四川省医院评审管理办法》第八条：“市、州卫生行政部门负责二级乙等及其以下医院等次的评审工作”。</w:t>
            </w:r>
          </w:p>
          <w:p>
            <w:pPr>
              <w:adjustRightInd w:val="0"/>
              <w:snapToGrid w:val="0"/>
              <w:spacing w:line="260" w:lineRule="exact"/>
              <w:ind w:firstLine="420" w:firstLineChars="200"/>
              <w:rPr>
                <w:rFonts w:ascii="宋体" w:hAnsi="宋体" w:cs="宋体"/>
                <w:color w:val="000000"/>
              </w:rPr>
            </w:pPr>
            <w:r>
              <w:rPr>
                <w:rFonts w:hint="eastAsia" w:ascii="宋体" w:hAnsi="宋体" w:cs="宋体"/>
                <w:color w:val="000000"/>
              </w:rPr>
              <w:t>4. 《四川省医院评审实施细则（2017年修订）》（川卫发〔2017〕140号）第六条：“二级乙等及以下医院等级评审工作由市（州）卫生计生行政部门负责。”</w:t>
            </w:r>
          </w:p>
          <w:p>
            <w:pPr>
              <w:adjustRightInd w:val="0"/>
              <w:snapToGrid w:val="0"/>
              <w:spacing w:line="260" w:lineRule="exact"/>
              <w:ind w:firstLine="420" w:firstLineChars="200"/>
              <w:rPr>
                <w:rFonts w:ascii="宋体" w:hAnsi="宋体" w:cs="宋体"/>
                <w:color w:val="000000"/>
              </w:rPr>
            </w:pPr>
            <w:r>
              <w:rPr>
                <w:rFonts w:hint="eastAsia" w:ascii="宋体" w:hAnsi="宋体" w:cs="宋体"/>
                <w:color w:val="000000"/>
              </w:rPr>
              <w:t>5. 《南充市医院等级评审管理办法》（南卫发〔2013〕310号）。</w:t>
            </w:r>
          </w:p>
        </w:tc>
      </w:tr>
      <w:tr>
        <w:tblPrEx>
          <w:tblCellMar>
            <w:top w:w="0" w:type="dxa"/>
            <w:left w:w="28" w:type="dxa"/>
            <w:bottom w:w="0" w:type="dxa"/>
            <w:right w:w="28" w:type="dxa"/>
          </w:tblCellMar>
        </w:tblPrEx>
        <w:trPr>
          <w:trHeight w:val="57"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462" w:type="dxa"/>
            <w:tcBorders>
              <w:top w:val="single" w:color="auto" w:sz="4" w:space="0"/>
              <w:left w:val="nil"/>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医政药政股（中医股）</w:t>
            </w:r>
          </w:p>
        </w:tc>
      </w:tr>
      <w:tr>
        <w:tblPrEx>
          <w:tblCellMar>
            <w:top w:w="0" w:type="dxa"/>
            <w:left w:w="28" w:type="dxa"/>
            <w:bottom w:w="0" w:type="dxa"/>
            <w:right w:w="28" w:type="dxa"/>
          </w:tblCellMar>
        </w:tblPrEx>
        <w:trPr>
          <w:trHeight w:val="3515"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462" w:type="dxa"/>
            <w:tcBorders>
              <w:top w:val="single" w:color="auto" w:sz="4" w:space="0"/>
              <w:left w:val="nil"/>
              <w:bottom w:val="single" w:color="auto" w:sz="4" w:space="0"/>
              <w:right w:val="single" w:color="auto" w:sz="4" w:space="0"/>
            </w:tcBorders>
            <w:vAlign w:val="center"/>
          </w:tcPr>
          <w:p>
            <w:pPr>
              <w:widowControl/>
              <w:spacing w:line="260" w:lineRule="exact"/>
              <w:ind w:firstLine="420" w:firstLineChars="200"/>
              <w:rPr>
                <w:rFonts w:ascii="宋体" w:hAnsi="宋体" w:cs="宋体"/>
                <w:color w:val="000000"/>
              </w:rPr>
            </w:pPr>
            <w:r>
              <w:rPr>
                <w:rFonts w:hint="eastAsia" w:ascii="宋体" w:hAnsi="宋体" w:cs="宋体"/>
                <w:color w:val="000000"/>
              </w:rPr>
              <w:t>1.受理责任：公示应当提交的材料，一次性告知补正材料，依法受理或不予受理（不予受理应当告知理由）。申请材料不齐全或不符合法定形式的，出具“申请材料补正通知书”，一次性告知申请单位需要补正的全部内容。</w:t>
            </w:r>
          </w:p>
          <w:p>
            <w:pPr>
              <w:widowControl/>
              <w:spacing w:line="260" w:lineRule="exact"/>
              <w:ind w:firstLine="420" w:firstLineChars="200"/>
              <w:rPr>
                <w:rFonts w:ascii="宋体" w:hAnsi="宋体" w:cs="宋体"/>
                <w:color w:val="000000"/>
              </w:rPr>
            </w:pPr>
            <w:r>
              <w:rPr>
                <w:rFonts w:hint="eastAsia" w:ascii="宋体" w:hAnsi="宋体" w:cs="宋体"/>
                <w:color w:val="000000"/>
              </w:rPr>
              <w:t>2.审查责任：根据有关法律、法规、规章的规定，对书面申请材料进行审查，提出是否同意的审核意见，组织现场检查验收，告知申请人、利害相关人享有听证权利；涉及公共利益的重大许可，向社会公告并举行听证。</w:t>
            </w:r>
          </w:p>
          <w:p>
            <w:pPr>
              <w:widowControl/>
              <w:spacing w:line="260" w:lineRule="exact"/>
              <w:ind w:firstLine="420" w:firstLineChars="200"/>
              <w:rPr>
                <w:rFonts w:ascii="宋体" w:hAnsi="宋体" w:cs="宋体"/>
                <w:color w:val="000000"/>
              </w:rPr>
            </w:pPr>
            <w:r>
              <w:rPr>
                <w:rFonts w:hint="eastAsia" w:ascii="宋体" w:hAnsi="宋体" w:cs="宋体"/>
                <w:color w:val="000000"/>
              </w:rPr>
              <w:t>3.决定责任：作出行政确认或者不予行政确认决定，法定告知（不予确认的应当书面告知理由）。</w:t>
            </w:r>
          </w:p>
          <w:p>
            <w:pPr>
              <w:widowControl/>
              <w:spacing w:line="260" w:lineRule="exact"/>
              <w:ind w:firstLine="420" w:firstLineChars="200"/>
              <w:rPr>
                <w:rFonts w:ascii="宋体" w:hAnsi="宋体" w:cs="宋体"/>
                <w:color w:val="000000"/>
              </w:rPr>
            </w:pPr>
            <w:r>
              <w:rPr>
                <w:rFonts w:hint="eastAsia" w:ascii="宋体" w:hAnsi="宋体" w:cs="宋体"/>
                <w:color w:val="000000"/>
              </w:rPr>
              <w:t>4.送达责任：卫生行政部门将评审结果送达申请人处。</w:t>
            </w:r>
          </w:p>
          <w:p>
            <w:pPr>
              <w:widowControl/>
              <w:spacing w:line="260" w:lineRule="exact"/>
              <w:ind w:firstLine="420" w:firstLineChars="200"/>
              <w:rPr>
                <w:rFonts w:ascii="宋体" w:hAnsi="宋体" w:cs="宋体"/>
                <w:color w:val="000000"/>
              </w:rPr>
            </w:pPr>
            <w:r>
              <w:rPr>
                <w:rFonts w:hint="eastAsia" w:ascii="宋体" w:hAnsi="宋体" w:cs="宋体"/>
                <w:color w:val="000000"/>
              </w:rPr>
              <w:t>5.事后监管责任：建立实施监督检查的运行机制和管理制度，开展定期和不定期检查，依法采取相关处置措施。</w:t>
            </w:r>
          </w:p>
          <w:p>
            <w:pPr>
              <w:widowControl/>
              <w:spacing w:line="260" w:lineRule="exact"/>
              <w:ind w:firstLine="420" w:firstLineChars="200"/>
              <w:rPr>
                <w:rFonts w:ascii="宋体" w:hAnsi="宋体" w:cs="宋体"/>
                <w:color w:val="000000"/>
              </w:rPr>
            </w:pPr>
            <w:r>
              <w:rPr>
                <w:rFonts w:hint="eastAsia" w:ascii="宋体" w:hAnsi="宋体" w:cs="宋体"/>
                <w:color w:val="000000"/>
              </w:rPr>
              <w:t>6.其他责任：法律法规规章文件规定应履行的其他责任。</w:t>
            </w:r>
          </w:p>
        </w:tc>
      </w:tr>
      <w:tr>
        <w:tblPrEx>
          <w:tblCellMar>
            <w:top w:w="0" w:type="dxa"/>
            <w:left w:w="28" w:type="dxa"/>
            <w:bottom w:w="0" w:type="dxa"/>
            <w:right w:w="28" w:type="dxa"/>
          </w:tblCellMar>
        </w:tblPrEx>
        <w:trPr>
          <w:trHeight w:val="1020"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追责情形</w:t>
            </w:r>
          </w:p>
        </w:tc>
        <w:tc>
          <w:tcPr>
            <w:tcW w:w="8462"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机构管理条例》《四川省医疗机构管理条例》《四川省医院评审管理办法》《四川省医院评审实施细则（2017年修订）》《南充市医院等级评审管理办法》等法律法规规章的相关规定追究相应的责任。</w:t>
            </w:r>
          </w:p>
        </w:tc>
      </w:tr>
      <w:tr>
        <w:tblPrEx>
          <w:tblCellMar>
            <w:top w:w="0" w:type="dxa"/>
            <w:left w:w="28" w:type="dxa"/>
            <w:bottom w:w="0" w:type="dxa"/>
            <w:right w:w="28" w:type="dxa"/>
          </w:tblCellMar>
        </w:tblPrEx>
        <w:trPr>
          <w:trHeight w:val="735"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462" w:type="dxa"/>
            <w:tcBorders>
              <w:top w:val="single" w:color="auto" w:sz="4" w:space="0"/>
              <w:left w:val="nil"/>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12345</w:t>
            </w:r>
          </w:p>
        </w:tc>
      </w:tr>
    </w:tbl>
    <w:p>
      <w:pPr>
        <w:spacing w:line="260" w:lineRule="exact"/>
        <w:rPr>
          <w:rFonts w:ascii="宋体" w:hAnsi="宋体" w:cs="宋体"/>
          <w:color w:val="000000"/>
        </w:rPr>
      </w:pPr>
      <w:r>
        <w:rPr>
          <w:rFonts w:hint="eastAsia" w:ascii="宋体" w:hAnsi="宋体" w:cs="宋体"/>
          <w:color w:val="000000"/>
        </w:rPr>
        <w:t>表2-338</w:t>
      </w:r>
    </w:p>
    <w:tbl>
      <w:tblPr>
        <w:tblStyle w:val="13"/>
        <w:tblW w:w="8937" w:type="dxa"/>
        <w:tblInd w:w="51" w:type="dxa"/>
        <w:tblLayout w:type="fixed"/>
        <w:tblCellMar>
          <w:top w:w="0" w:type="dxa"/>
          <w:left w:w="57" w:type="dxa"/>
          <w:bottom w:w="0" w:type="dxa"/>
          <w:right w:w="57" w:type="dxa"/>
        </w:tblCellMar>
      </w:tblPr>
      <w:tblGrid>
        <w:gridCol w:w="547"/>
        <w:gridCol w:w="8390"/>
      </w:tblGrid>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color w:val="000000"/>
              </w:rPr>
            </w:pPr>
            <w:r>
              <w:rPr>
                <w:rFonts w:hint="eastAsia" w:ascii="宋体" w:hAnsi="宋体" w:cs="宋体"/>
                <w:color w:val="000000"/>
              </w:rPr>
              <w:t>2</w:t>
            </w:r>
          </w:p>
        </w:tc>
      </w:tr>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行政确认</w:t>
            </w:r>
          </w:p>
        </w:tc>
      </w:tr>
      <w:tr>
        <w:tblPrEx>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jc w:val="center"/>
              <w:textAlignment w:val="center"/>
              <w:rPr>
                <w:rFonts w:ascii="宋体" w:hAnsi="宋体" w:cs="宋体"/>
                <w:color w:val="000000"/>
              </w:rPr>
            </w:pPr>
            <w:r>
              <w:rPr>
                <w:rFonts w:hint="eastAsia" w:ascii="宋体" w:hAnsi="宋体" w:cs="宋体"/>
                <w:color w:val="000000"/>
              </w:rPr>
              <w:t>对符合法律法规规定申请再生育的审批</w:t>
            </w:r>
          </w:p>
        </w:tc>
      </w:tr>
      <w:tr>
        <w:tblPrEx>
          <w:tblCellMar>
            <w:top w:w="0" w:type="dxa"/>
            <w:left w:w="57" w:type="dxa"/>
            <w:bottom w:w="0" w:type="dxa"/>
            <w:right w:w="57" w:type="dxa"/>
          </w:tblCellMar>
        </w:tblPrEx>
        <w:trPr>
          <w:trHeight w:val="137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textAlignment w:val="center"/>
              <w:rPr>
                <w:rFonts w:ascii="宋体" w:hAnsi="宋体" w:cs="宋体"/>
                <w:color w:val="000000"/>
              </w:rPr>
            </w:pPr>
            <w:r>
              <w:rPr>
                <w:rFonts w:hint="eastAsia" w:ascii="宋体" w:hAnsi="宋体" w:cs="宋体"/>
                <w:color w:val="000000"/>
              </w:rPr>
              <w:t>1.《中华人民共和国人口与计划生育法》第十八条：“国家提倡一对夫妻生育两个孩子。符合法律、法规规定条件的，可以安排再生育子女。”</w:t>
            </w:r>
          </w:p>
          <w:p>
            <w:pPr>
              <w:spacing w:line="260" w:lineRule="exact"/>
              <w:ind w:firstLine="420"/>
              <w:jc w:val="left"/>
              <w:textAlignment w:val="center"/>
              <w:rPr>
                <w:rFonts w:ascii="宋体" w:hAnsi="宋体" w:cs="宋体"/>
                <w:color w:val="000000"/>
              </w:rPr>
            </w:pPr>
            <w:r>
              <w:rPr>
                <w:rFonts w:hint="eastAsia" w:ascii="宋体" w:hAnsi="宋体" w:cs="宋体"/>
                <w:color w:val="000000"/>
              </w:rPr>
              <w:t>2.《四川省人口与计划生育条例》第十三条：“提倡一对夫妻生育两个子女。已有两个子女的夫妻，符合下列条件之一的，可以申请再生育一个子女，（一）有子女为病残儿，不能成长为正常劳动力，但医学上认为可再生育的：（二）夫妻一方为五级残疾的。”</w:t>
            </w:r>
          </w:p>
        </w:tc>
      </w:tr>
      <w:tr>
        <w:tblPrEx>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textAlignment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57" w:type="dxa"/>
            <w:bottom w:w="0" w:type="dxa"/>
            <w:right w:w="57" w:type="dxa"/>
          </w:tblCellMar>
        </w:tblPrEx>
        <w:trPr>
          <w:trHeight w:val="101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textAlignment w:val="center"/>
              <w:rPr>
                <w:rFonts w:ascii="宋体" w:hAnsi="宋体" w:cs="宋体"/>
                <w:color w:val="000000"/>
              </w:rPr>
            </w:pPr>
            <w:r>
              <w:rPr>
                <w:rFonts w:hint="eastAsia" w:ascii="宋体" w:hAnsi="宋体" w:cs="宋体"/>
                <w:color w:val="000000"/>
              </w:rPr>
              <w:t>1.受理责任。公示应当提交的材料，一次性告知补正材料，依法受理或不予受理（不予受理应当告知理由）</w:t>
            </w:r>
          </w:p>
          <w:p>
            <w:pPr>
              <w:spacing w:line="260" w:lineRule="exact"/>
              <w:ind w:firstLine="420"/>
              <w:textAlignment w:val="center"/>
              <w:rPr>
                <w:rFonts w:ascii="宋体" w:hAnsi="宋体" w:cs="宋体"/>
                <w:color w:val="000000"/>
              </w:rPr>
            </w:pPr>
            <w:r>
              <w:rPr>
                <w:rFonts w:hint="eastAsia" w:ascii="宋体" w:hAnsi="宋体" w:cs="宋体"/>
                <w:color w:val="000000"/>
              </w:rPr>
              <w:t>2.审查责任。按照相关法律和政策，对书面申请材料进行审查提出是否同意受理和不受理的审查意见，告知申请人、利害相关人享有的权利。</w:t>
            </w:r>
          </w:p>
          <w:p>
            <w:pPr>
              <w:spacing w:line="260" w:lineRule="exact"/>
              <w:ind w:firstLine="420"/>
              <w:textAlignment w:val="center"/>
              <w:rPr>
                <w:rFonts w:ascii="宋体" w:hAnsi="宋体" w:cs="宋体"/>
                <w:color w:val="000000"/>
              </w:rPr>
            </w:pPr>
            <w:r>
              <w:rPr>
                <w:rFonts w:hint="eastAsia" w:ascii="宋体" w:hAnsi="宋体" w:cs="宋体"/>
                <w:color w:val="000000"/>
              </w:rPr>
              <w:t>3.决定责任。作出行政确认或者不予确认</w:t>
            </w:r>
            <w:r>
              <w:rPr>
                <w:rFonts w:hint="eastAsia" w:ascii="宋体" w:hAnsi="宋体" w:cs="宋体"/>
                <w:color w:val="000000"/>
                <w:lang w:eastAsia="zh-CN"/>
              </w:rPr>
              <w:t>的</w:t>
            </w:r>
            <w:r>
              <w:rPr>
                <w:rFonts w:hint="eastAsia" w:ascii="宋体" w:hAnsi="宋体" w:cs="宋体"/>
                <w:color w:val="000000"/>
              </w:rPr>
              <w:t>决定。法定告知（不予确认的应当书面告知理由）。</w:t>
            </w:r>
          </w:p>
          <w:p>
            <w:pPr>
              <w:spacing w:line="260" w:lineRule="exact"/>
              <w:ind w:firstLine="420"/>
              <w:textAlignment w:val="center"/>
              <w:rPr>
                <w:rFonts w:ascii="宋体" w:hAnsi="宋体" w:cs="宋体"/>
                <w:color w:val="000000"/>
              </w:rPr>
            </w:pPr>
            <w:r>
              <w:rPr>
                <w:rFonts w:hint="eastAsia" w:ascii="宋体" w:hAnsi="宋体" w:cs="宋体"/>
                <w:color w:val="000000"/>
              </w:rPr>
              <w:t>4.送达责任：县级卫生计生部门将审批结果通知申请人。</w:t>
            </w:r>
          </w:p>
          <w:p>
            <w:pPr>
              <w:spacing w:line="260" w:lineRule="exact"/>
              <w:ind w:firstLine="420"/>
              <w:textAlignment w:val="center"/>
              <w:rPr>
                <w:rFonts w:ascii="宋体" w:hAnsi="宋体" w:cs="宋体"/>
                <w:color w:val="000000"/>
              </w:rPr>
            </w:pPr>
            <w:r>
              <w:rPr>
                <w:rFonts w:hint="eastAsia" w:ascii="宋体" w:hAnsi="宋体" w:cs="宋体"/>
                <w:color w:val="000000"/>
              </w:rPr>
              <w:t>5.事后监管责任。建立实施监督检查的运行机制和管理制度，开展定期和不定期检查，依法采取相关处置措施.</w:t>
            </w:r>
          </w:p>
          <w:p>
            <w:pPr>
              <w:spacing w:line="260" w:lineRule="exact"/>
              <w:ind w:firstLine="420"/>
              <w:textAlignment w:val="center"/>
              <w:rPr>
                <w:rFonts w:ascii="宋体" w:hAnsi="宋体" w:cs="宋体"/>
                <w:color w:val="000000"/>
              </w:rPr>
            </w:pPr>
            <w:r>
              <w:rPr>
                <w:rFonts w:hint="eastAsia" w:ascii="宋体" w:hAnsi="宋体" w:cs="宋体"/>
                <w:color w:val="000000"/>
              </w:rPr>
              <w:t>6.其他责任：法律法规规章文件规定应履行的其他责任。</w:t>
            </w:r>
          </w:p>
        </w:tc>
      </w:tr>
      <w:tr>
        <w:tblPrEx>
          <w:tblCellMar>
            <w:top w:w="0" w:type="dxa"/>
            <w:left w:w="57" w:type="dxa"/>
            <w:bottom w:w="0" w:type="dxa"/>
            <w:right w:w="57" w:type="dxa"/>
          </w:tblCellMar>
        </w:tblPrEx>
        <w:trPr>
          <w:trHeight w:val="80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kern w:val="0"/>
              </w:rPr>
            </w:pPr>
            <w:r>
              <w:rPr>
                <w:rFonts w:hint="eastAsia" w:ascii="宋体" w:hAnsi="宋体" w:cs="宋体"/>
                <w:color w:val="000000"/>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人口与计划生育法》《四川省人口与计划生育条例》等法律法规规章的相关规定追究相应的责任。</w:t>
            </w:r>
          </w:p>
        </w:tc>
      </w:tr>
      <w:tr>
        <w:tblPrEx>
          <w:tblCellMar>
            <w:top w:w="0" w:type="dxa"/>
            <w:left w:w="57" w:type="dxa"/>
            <w:bottom w:w="0" w:type="dxa"/>
            <w:right w:w="57" w:type="dxa"/>
          </w:tblCellMar>
        </w:tblPrEx>
        <w:trPr>
          <w:trHeight w:val="69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12345</w:t>
            </w:r>
          </w:p>
        </w:tc>
      </w:tr>
    </w:tbl>
    <w:p>
      <w:pPr>
        <w:spacing w:line="260" w:lineRule="exact"/>
        <w:rPr>
          <w:rFonts w:ascii="宋体" w:hAnsi="宋体" w:cs="宋体"/>
          <w:color w:val="000000"/>
        </w:rPr>
      </w:pPr>
      <w:r>
        <w:rPr>
          <w:rFonts w:hint="eastAsia" w:ascii="宋体" w:hAnsi="宋体" w:cs="宋体"/>
          <w:color w:val="000000"/>
        </w:rPr>
        <w:t>表2-339</w:t>
      </w:r>
    </w:p>
    <w:tbl>
      <w:tblPr>
        <w:tblStyle w:val="13"/>
        <w:tblW w:w="8937" w:type="dxa"/>
        <w:tblInd w:w="51" w:type="dxa"/>
        <w:tblLayout w:type="fixed"/>
        <w:tblCellMar>
          <w:top w:w="0" w:type="dxa"/>
          <w:left w:w="57" w:type="dxa"/>
          <w:bottom w:w="0" w:type="dxa"/>
          <w:right w:w="57" w:type="dxa"/>
        </w:tblCellMar>
      </w:tblPr>
      <w:tblGrid>
        <w:gridCol w:w="547"/>
        <w:gridCol w:w="8390"/>
      </w:tblGrid>
      <w:tr>
        <w:tblPrEx>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color w:val="000000"/>
              </w:rPr>
            </w:pPr>
            <w:r>
              <w:rPr>
                <w:rFonts w:hint="eastAsia" w:ascii="宋体" w:hAnsi="宋体" w:cs="宋体"/>
                <w:color w:val="000000"/>
              </w:rPr>
              <w:t>1</w:t>
            </w:r>
          </w:p>
        </w:tc>
      </w:tr>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color w:val="000000"/>
                <w:u w:color="000000"/>
              </w:rPr>
            </w:pPr>
            <w:r>
              <w:rPr>
                <w:rFonts w:hint="eastAsia" w:ascii="宋体" w:hAnsi="宋体" w:cs="宋体"/>
                <w:color w:val="000000"/>
              </w:rPr>
              <w:t>行政给付</w:t>
            </w:r>
          </w:p>
        </w:tc>
      </w:tr>
      <w:tr>
        <w:tblPrEx>
          <w:tblCellMar>
            <w:top w:w="0" w:type="dxa"/>
            <w:left w:w="57" w:type="dxa"/>
            <w:bottom w:w="0" w:type="dxa"/>
            <w:right w:w="57" w:type="dxa"/>
          </w:tblCellMar>
        </w:tblPrEx>
        <w:trPr>
          <w:trHeight w:val="90"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color w:val="000000"/>
                <w:u w:color="000000"/>
              </w:rPr>
            </w:pPr>
            <w:r>
              <w:rPr>
                <w:rFonts w:hint="eastAsia" w:ascii="宋体" w:hAnsi="宋体" w:cs="宋体"/>
                <w:color w:val="000000"/>
                <w:kern w:val="0"/>
              </w:rPr>
              <w:t>农村部分计划生育家庭奖励扶助</w:t>
            </w:r>
          </w:p>
        </w:tc>
      </w:tr>
      <w:tr>
        <w:tblPrEx>
          <w:tblCellMar>
            <w:top w:w="0" w:type="dxa"/>
            <w:left w:w="57" w:type="dxa"/>
            <w:bottom w:w="0" w:type="dxa"/>
            <w:right w:w="57" w:type="dxa"/>
          </w:tblCellMar>
        </w:tblPrEx>
        <w:trPr>
          <w:trHeight w:val="49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jc w:val="left"/>
              <w:rPr>
                <w:rFonts w:ascii="宋体" w:hAnsi="宋体" w:cs="宋体"/>
                <w:color w:val="000000"/>
                <w:u w:color="000000"/>
              </w:rPr>
            </w:pPr>
            <w:r>
              <w:rPr>
                <w:rFonts w:hint="eastAsia" w:ascii="宋体" w:hAnsi="宋体" w:cs="宋体"/>
                <w:color w:val="000000"/>
              </w:rPr>
              <w:t>1.《中共中央、国务院关于全面加强人口和计划生育工作统筹解决人口问题的决定》（中发〔2006〕22号）</w:t>
            </w:r>
          </w:p>
        </w:tc>
      </w:tr>
      <w:tr>
        <w:tblPrEx>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2940" w:firstLineChars="1400"/>
              <w:rPr>
                <w:rFonts w:ascii="宋体" w:hAnsi="宋体" w:cs="宋体"/>
                <w:color w:val="000000"/>
              </w:rPr>
            </w:pPr>
            <w:r>
              <w:rPr>
                <w:rFonts w:hint="eastAsia" w:ascii="宋体" w:hAnsi="宋体" w:cs="宋体"/>
                <w:color w:val="000000"/>
              </w:rPr>
              <w:t>人口监测与家庭发展股</w:t>
            </w:r>
          </w:p>
        </w:tc>
      </w:tr>
      <w:tr>
        <w:tblPrEx>
          <w:tblCellMar>
            <w:top w:w="0" w:type="dxa"/>
            <w:left w:w="57" w:type="dxa"/>
            <w:bottom w:w="0" w:type="dxa"/>
            <w:right w:w="57" w:type="dxa"/>
          </w:tblCellMar>
        </w:tblPrEx>
        <w:trPr>
          <w:trHeight w:val="162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firstLineChars="200"/>
              <w:jc w:val="left"/>
              <w:rPr>
                <w:rFonts w:ascii="宋体" w:hAnsi="宋体" w:cs="宋体"/>
                <w:color w:val="000000"/>
              </w:rPr>
            </w:pPr>
            <w:r>
              <w:rPr>
                <w:rFonts w:hint="eastAsia" w:ascii="宋体" w:hAnsi="宋体" w:cs="宋体"/>
                <w:color w:val="000000"/>
              </w:rPr>
              <w:t>1.受理责任：公示应当提交的材料，一次性告知补正材料，依法受理或不予受理（不予受理应当告知理由）。</w:t>
            </w:r>
          </w:p>
          <w:p>
            <w:pPr>
              <w:spacing w:line="260" w:lineRule="exact"/>
              <w:ind w:firstLine="420" w:firstLineChars="200"/>
              <w:jc w:val="left"/>
              <w:rPr>
                <w:rFonts w:ascii="宋体" w:hAnsi="宋体" w:cs="宋体"/>
                <w:color w:val="000000"/>
              </w:rPr>
            </w:pPr>
            <w:r>
              <w:rPr>
                <w:rFonts w:hint="eastAsia" w:ascii="宋体" w:hAnsi="宋体" w:cs="宋体"/>
                <w:color w:val="000000"/>
              </w:rPr>
              <w:t>2.审查责任：按照政策规定，对书面申请材料进行审查，提出是否同意的审核意见。</w:t>
            </w:r>
          </w:p>
          <w:p>
            <w:pPr>
              <w:spacing w:line="260" w:lineRule="exact"/>
              <w:ind w:firstLine="420" w:firstLineChars="200"/>
              <w:jc w:val="left"/>
              <w:rPr>
                <w:rFonts w:ascii="宋体" w:hAnsi="宋体" w:cs="宋体"/>
                <w:color w:val="000000"/>
              </w:rPr>
            </w:pPr>
            <w:r>
              <w:rPr>
                <w:rFonts w:hint="eastAsia" w:ascii="宋体" w:hAnsi="宋体" w:cs="宋体"/>
                <w:color w:val="000000"/>
              </w:rPr>
              <w:t>3.决定责任：作出行政给付或者不予行政给付决定，法定告知（不符合的应当书面告知理由）。</w:t>
            </w:r>
          </w:p>
          <w:p>
            <w:pPr>
              <w:spacing w:line="260" w:lineRule="exact"/>
              <w:ind w:firstLine="420" w:firstLineChars="200"/>
              <w:jc w:val="left"/>
              <w:rPr>
                <w:rFonts w:ascii="宋体" w:hAnsi="宋体" w:cs="宋体"/>
                <w:color w:val="000000"/>
              </w:rPr>
            </w:pPr>
            <w:r>
              <w:rPr>
                <w:rFonts w:hint="eastAsia" w:ascii="宋体" w:hAnsi="宋体" w:cs="宋体"/>
                <w:color w:val="000000"/>
              </w:rPr>
              <w:t>4.事后监管责任：加强监督检查，做好申请对象资格核查和资金到位情况的检查。</w:t>
            </w:r>
          </w:p>
          <w:p>
            <w:pPr>
              <w:spacing w:line="260" w:lineRule="exact"/>
              <w:ind w:firstLine="420" w:firstLineChars="200"/>
              <w:jc w:val="left"/>
              <w:rPr>
                <w:rFonts w:ascii="宋体" w:hAnsi="宋体" w:cs="宋体"/>
                <w:color w:val="000000"/>
              </w:rPr>
            </w:pPr>
            <w:r>
              <w:rPr>
                <w:rFonts w:hint="eastAsia" w:ascii="宋体" w:hAnsi="宋体" w:cs="宋体"/>
                <w:color w:val="000000"/>
              </w:rPr>
              <w:t>5.其他责任：法律法规规章文件规定应履行的其他责任。</w:t>
            </w:r>
          </w:p>
        </w:tc>
      </w:tr>
      <w:tr>
        <w:tblPrEx>
          <w:tblCellMar>
            <w:top w:w="0" w:type="dxa"/>
            <w:left w:w="57" w:type="dxa"/>
            <w:bottom w:w="0" w:type="dxa"/>
            <w:right w:w="57" w:type="dxa"/>
          </w:tblCellMar>
        </w:tblPrEx>
        <w:trPr>
          <w:trHeight w:val="6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kern w:val="0"/>
              </w:rPr>
            </w:pPr>
            <w:r>
              <w:rPr>
                <w:rFonts w:hint="eastAsia" w:ascii="宋体" w:hAnsi="宋体" w:cs="宋体"/>
                <w:color w:val="000000"/>
              </w:rPr>
              <w:t>追责情形</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left"/>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共中央、国务院关于全面加强人口和计划生育工作统筹解决人口问题的决定》等法律法规规章的相关规定追究相应的责任。</w:t>
            </w:r>
          </w:p>
        </w:tc>
      </w:tr>
      <w:tr>
        <w:tblPrEx>
          <w:tblCellMar>
            <w:top w:w="0" w:type="dxa"/>
            <w:left w:w="57" w:type="dxa"/>
            <w:bottom w:w="0" w:type="dxa"/>
            <w:right w:w="57" w:type="dxa"/>
          </w:tblCellMar>
        </w:tblPrEx>
        <w:trPr>
          <w:trHeight w:val="69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390" w:type="dxa"/>
            <w:tcBorders>
              <w:top w:val="single" w:color="auto" w:sz="4" w:space="0"/>
              <w:left w:val="nil"/>
              <w:bottom w:val="single" w:color="auto" w:sz="4" w:space="0"/>
              <w:right w:val="single" w:color="auto" w:sz="4" w:space="0"/>
            </w:tcBorders>
            <w:vAlign w:val="center"/>
          </w:tcPr>
          <w:p>
            <w:pPr>
              <w:spacing w:line="260" w:lineRule="exact"/>
              <w:ind w:firstLine="420"/>
              <w:jc w:val="center"/>
              <w:rPr>
                <w:rFonts w:ascii="宋体" w:hAnsi="宋体" w:cs="宋体"/>
                <w:color w:val="000000"/>
                <w:u w:color="000000"/>
              </w:rPr>
            </w:pPr>
            <w:r>
              <w:rPr>
                <w:rFonts w:hint="eastAsia" w:ascii="宋体" w:hAnsi="宋体" w:cs="宋体"/>
                <w:color w:val="000000"/>
              </w:rPr>
              <w:t>08117-3333171</w:t>
            </w:r>
          </w:p>
        </w:tc>
      </w:tr>
    </w:tbl>
    <w:p>
      <w:pPr>
        <w:spacing w:line="260" w:lineRule="exact"/>
        <w:rPr>
          <w:rFonts w:ascii="宋体" w:hAnsi="宋体" w:cs="宋体"/>
          <w:color w:val="000000"/>
        </w:rPr>
      </w:pPr>
      <w:r>
        <w:rPr>
          <w:rFonts w:hint="eastAsia" w:ascii="宋体" w:hAnsi="宋体" w:cs="宋体"/>
          <w:color w:val="000000"/>
        </w:rPr>
        <w:t>表2-340</w:t>
      </w:r>
    </w:p>
    <w:tbl>
      <w:tblPr>
        <w:tblStyle w:val="13"/>
        <w:tblW w:w="8937" w:type="dxa"/>
        <w:tblInd w:w="51" w:type="dxa"/>
        <w:tblLayout w:type="fixed"/>
        <w:tblCellMar>
          <w:top w:w="0" w:type="dxa"/>
          <w:left w:w="57" w:type="dxa"/>
          <w:bottom w:w="0" w:type="dxa"/>
          <w:right w:w="57" w:type="dxa"/>
        </w:tblCellMar>
      </w:tblPr>
      <w:tblGrid>
        <w:gridCol w:w="547"/>
        <w:gridCol w:w="8390"/>
      </w:tblGrid>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000000"/>
              </w:rPr>
            </w:pPr>
            <w:r>
              <w:rPr>
                <w:rFonts w:hint="eastAsia" w:ascii="宋体" w:hAnsi="宋体" w:cs="宋体"/>
                <w:color w:val="000000"/>
              </w:rPr>
              <w:t>序号</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color w:val="000000"/>
              </w:rPr>
            </w:pPr>
            <w:r>
              <w:rPr>
                <w:rFonts w:hint="eastAsia" w:ascii="宋体" w:hAnsi="宋体" w:cs="宋体"/>
                <w:color w:val="000000"/>
              </w:rPr>
              <w:t>2</w:t>
            </w:r>
          </w:p>
        </w:tc>
      </w:tr>
      <w:tr>
        <w:tblPrEx>
          <w:tblCellMar>
            <w:top w:w="0" w:type="dxa"/>
            <w:left w:w="57" w:type="dxa"/>
            <w:bottom w:w="0" w:type="dxa"/>
            <w:right w:w="57" w:type="dxa"/>
          </w:tblCellMar>
        </w:tblPrEx>
        <w:trPr>
          <w:trHeight w:val="603"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000000"/>
              </w:rPr>
            </w:pPr>
            <w:r>
              <w:rPr>
                <w:rFonts w:hint="eastAsia" w:ascii="宋体" w:hAnsi="宋体" w:cs="宋体"/>
                <w:color w:val="000000"/>
              </w:rPr>
              <w:t>权力类型</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color w:val="000000"/>
                <w:u w:color="000000"/>
              </w:rPr>
            </w:pPr>
            <w:r>
              <w:rPr>
                <w:rFonts w:hint="eastAsia" w:ascii="宋体" w:hAnsi="宋体" w:cs="宋体"/>
                <w:color w:val="000000"/>
              </w:rPr>
              <w:t>行政给付</w:t>
            </w:r>
          </w:p>
        </w:tc>
      </w:tr>
      <w:tr>
        <w:tblPrEx>
          <w:tblCellMar>
            <w:top w:w="0" w:type="dxa"/>
            <w:left w:w="57" w:type="dxa"/>
            <w:bottom w:w="0" w:type="dxa"/>
            <w:right w:w="57" w:type="dxa"/>
          </w:tblCellMar>
        </w:tblPrEx>
        <w:trPr>
          <w:trHeight w:val="629"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000000"/>
              </w:rPr>
            </w:pPr>
            <w:r>
              <w:rPr>
                <w:rFonts w:hint="eastAsia" w:ascii="宋体" w:hAnsi="宋体" w:cs="宋体"/>
                <w:color w:val="000000"/>
              </w:rPr>
              <w:t>权力项目名称</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color w:val="000000"/>
                <w:u w:color="000000"/>
              </w:rPr>
            </w:pPr>
            <w:r>
              <w:rPr>
                <w:rFonts w:hint="eastAsia" w:ascii="宋体" w:hAnsi="宋体" w:cs="宋体"/>
                <w:color w:val="000000"/>
                <w:kern w:val="0"/>
              </w:rPr>
              <w:t>计划生育家庭特别扶助</w:t>
            </w:r>
          </w:p>
        </w:tc>
      </w:tr>
      <w:tr>
        <w:tblPrEx>
          <w:tblCellMar>
            <w:top w:w="0" w:type="dxa"/>
            <w:left w:w="57" w:type="dxa"/>
            <w:bottom w:w="0" w:type="dxa"/>
            <w:right w:w="57" w:type="dxa"/>
          </w:tblCellMar>
        </w:tblPrEx>
        <w:trPr>
          <w:trHeight w:val="914"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000000"/>
              </w:rPr>
            </w:pPr>
            <w:r>
              <w:rPr>
                <w:rFonts w:hint="eastAsia" w:ascii="宋体" w:hAnsi="宋体" w:cs="宋体"/>
                <w:color w:val="000000"/>
              </w:rPr>
              <w:t>实施依据</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jc w:val="left"/>
              <w:rPr>
                <w:rFonts w:ascii="宋体" w:hAnsi="宋体" w:cs="宋体"/>
                <w:color w:val="000000"/>
                <w:u w:color="000000"/>
              </w:rPr>
            </w:pPr>
            <w:r>
              <w:rPr>
                <w:rFonts w:hint="eastAsia" w:ascii="宋体" w:hAnsi="宋体" w:cs="宋体"/>
                <w:color w:val="000000"/>
              </w:rPr>
              <w:t>《中共中央、国务院关于全面加强人口和计划生育工作统筹解决人口问题的决定》（中发〔2006〕22号）</w:t>
            </w:r>
          </w:p>
        </w:tc>
      </w:tr>
      <w:tr>
        <w:tblPrEx>
          <w:tblCellMar>
            <w:top w:w="0" w:type="dxa"/>
            <w:left w:w="57" w:type="dxa"/>
            <w:bottom w:w="0" w:type="dxa"/>
            <w:right w:w="57" w:type="dxa"/>
          </w:tblCellMar>
        </w:tblPrEx>
        <w:trPr>
          <w:trHeight w:val="487"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责任主体</w:t>
            </w:r>
          </w:p>
        </w:tc>
        <w:tc>
          <w:tcPr>
            <w:tcW w:w="839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color w:val="000000"/>
              </w:rPr>
            </w:pPr>
            <w:r>
              <w:rPr>
                <w:rFonts w:hint="eastAsia" w:ascii="宋体" w:hAnsi="宋体" w:cs="宋体"/>
                <w:color w:val="000000"/>
              </w:rPr>
              <w:t>人口监测与家庭发展股</w:t>
            </w:r>
          </w:p>
        </w:tc>
      </w:tr>
      <w:tr>
        <w:tblPrEx>
          <w:tblCellMar>
            <w:top w:w="0" w:type="dxa"/>
            <w:left w:w="57" w:type="dxa"/>
            <w:bottom w:w="0" w:type="dxa"/>
            <w:right w:w="57" w:type="dxa"/>
          </w:tblCellMar>
        </w:tblPrEx>
        <w:trPr>
          <w:trHeight w:val="1418"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责任事项</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firstLineChars="200"/>
              <w:jc w:val="left"/>
              <w:rPr>
                <w:rFonts w:ascii="宋体" w:hAnsi="宋体" w:cs="宋体"/>
                <w:color w:val="000000"/>
              </w:rPr>
            </w:pPr>
            <w:r>
              <w:rPr>
                <w:rFonts w:hint="eastAsia" w:ascii="宋体" w:hAnsi="宋体" w:cs="宋体"/>
                <w:color w:val="000000"/>
              </w:rPr>
              <w:t>1.受理责任：公示应当提交的材料，一次性告知补正材料，依法受理或不予受理（不予受理应当告知理由）。</w:t>
            </w:r>
          </w:p>
          <w:p>
            <w:pPr>
              <w:spacing w:line="240" w:lineRule="exact"/>
              <w:ind w:firstLine="420" w:firstLineChars="200"/>
              <w:jc w:val="left"/>
              <w:rPr>
                <w:rFonts w:ascii="宋体" w:hAnsi="宋体" w:cs="宋体"/>
                <w:color w:val="000000"/>
              </w:rPr>
            </w:pPr>
            <w:r>
              <w:rPr>
                <w:rFonts w:hint="eastAsia" w:ascii="宋体" w:hAnsi="宋体" w:cs="宋体"/>
                <w:color w:val="000000"/>
              </w:rPr>
              <w:t>2.审查责任：按照政策规定，对书面申请材料进行审查，提出是否同意的审核意见。</w:t>
            </w:r>
          </w:p>
          <w:p>
            <w:pPr>
              <w:spacing w:line="240" w:lineRule="exact"/>
              <w:ind w:firstLine="420" w:firstLineChars="200"/>
              <w:jc w:val="left"/>
              <w:rPr>
                <w:rFonts w:ascii="宋体" w:hAnsi="宋体" w:cs="宋体"/>
                <w:color w:val="000000"/>
              </w:rPr>
            </w:pPr>
            <w:r>
              <w:rPr>
                <w:rFonts w:hint="eastAsia" w:ascii="宋体" w:hAnsi="宋体" w:cs="宋体"/>
                <w:color w:val="000000"/>
              </w:rPr>
              <w:t>3.决定责任：作出行政给付或者不予行政给付决定，法定告知（不符合的应当书面告知理由）。</w:t>
            </w:r>
          </w:p>
          <w:p>
            <w:pPr>
              <w:spacing w:line="240" w:lineRule="exact"/>
              <w:ind w:firstLine="420" w:firstLineChars="200"/>
              <w:jc w:val="left"/>
              <w:rPr>
                <w:rFonts w:ascii="宋体" w:hAnsi="宋体" w:cs="宋体"/>
                <w:color w:val="000000"/>
              </w:rPr>
            </w:pPr>
            <w:r>
              <w:rPr>
                <w:rFonts w:hint="eastAsia" w:ascii="宋体" w:hAnsi="宋体" w:cs="宋体"/>
                <w:color w:val="000000"/>
              </w:rPr>
              <w:t>4.事后监管责任：加强监督检查，做好申请对象资格核查和资金到位情况的检查。</w:t>
            </w:r>
          </w:p>
          <w:p>
            <w:pPr>
              <w:spacing w:line="240" w:lineRule="exact"/>
              <w:ind w:firstLine="420" w:firstLineChars="200"/>
              <w:jc w:val="left"/>
              <w:rPr>
                <w:rFonts w:ascii="宋体" w:hAnsi="宋体" w:cs="宋体"/>
                <w:color w:val="000000"/>
              </w:rPr>
            </w:pPr>
            <w:r>
              <w:rPr>
                <w:rFonts w:hint="eastAsia" w:ascii="宋体" w:hAnsi="宋体" w:cs="宋体"/>
                <w:color w:val="000000"/>
              </w:rPr>
              <w:t>5.其他责任：法律法规规章文件规定应履行的其他责任。</w:t>
            </w:r>
          </w:p>
        </w:tc>
      </w:tr>
      <w:tr>
        <w:tblPrEx>
          <w:tblCellMar>
            <w:top w:w="0" w:type="dxa"/>
            <w:left w:w="57" w:type="dxa"/>
            <w:bottom w:w="0" w:type="dxa"/>
            <w:right w:w="57" w:type="dxa"/>
          </w:tblCellMar>
        </w:tblPrEx>
        <w:trPr>
          <w:trHeight w:val="1141"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000000"/>
                <w:kern w:val="0"/>
              </w:rPr>
            </w:pPr>
            <w:r>
              <w:rPr>
                <w:rFonts w:hint="eastAsia" w:ascii="宋体" w:hAnsi="宋体" w:cs="宋体"/>
                <w:color w:val="000000"/>
              </w:rPr>
              <w:t>追责情形</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left"/>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共中央、国务院关于全面加强人口和计划生育工作统筹解决人口问题的决定》等法律法规规章的相关规定追究相应的责任。</w:t>
            </w:r>
          </w:p>
        </w:tc>
      </w:tr>
      <w:tr>
        <w:tblPrEx>
          <w:tblCellMar>
            <w:top w:w="0" w:type="dxa"/>
            <w:left w:w="57" w:type="dxa"/>
            <w:bottom w:w="0" w:type="dxa"/>
            <w:right w:w="57" w:type="dxa"/>
          </w:tblCellMar>
        </w:tblPrEx>
        <w:trPr>
          <w:trHeight w:val="556" w:hRule="atLeast"/>
        </w:trPr>
        <w:tc>
          <w:tcPr>
            <w:tcW w:w="5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color w:val="000000"/>
              </w:rPr>
            </w:pPr>
            <w:r>
              <w:rPr>
                <w:rFonts w:hint="eastAsia" w:ascii="宋体" w:hAnsi="宋体" w:cs="宋体"/>
                <w:color w:val="000000"/>
              </w:rPr>
              <w:t>监督电话</w:t>
            </w:r>
          </w:p>
        </w:tc>
        <w:tc>
          <w:tcPr>
            <w:tcW w:w="8390" w:type="dxa"/>
            <w:tcBorders>
              <w:top w:val="single" w:color="auto" w:sz="4" w:space="0"/>
              <w:left w:val="nil"/>
              <w:bottom w:val="single" w:color="auto" w:sz="4" w:space="0"/>
              <w:right w:val="single" w:color="auto" w:sz="4" w:space="0"/>
            </w:tcBorders>
            <w:vAlign w:val="center"/>
          </w:tcPr>
          <w:p>
            <w:pPr>
              <w:spacing w:line="240" w:lineRule="exact"/>
              <w:ind w:firstLine="420"/>
              <w:jc w:val="center"/>
              <w:rPr>
                <w:rFonts w:ascii="宋体" w:hAnsi="宋体" w:cs="宋体"/>
                <w:color w:val="000000"/>
                <w:u w:color="000000"/>
              </w:rPr>
            </w:pPr>
            <w:r>
              <w:rPr>
                <w:rFonts w:hint="eastAsia" w:ascii="宋体" w:hAnsi="宋体" w:cs="宋体"/>
                <w:color w:val="000000"/>
                <w:u w:color="000000"/>
              </w:rPr>
              <w:t>12345</w:t>
            </w:r>
          </w:p>
        </w:tc>
      </w:tr>
    </w:tbl>
    <w:p>
      <w:pPr>
        <w:spacing w:line="240" w:lineRule="exact"/>
        <w:rPr>
          <w:rFonts w:ascii="宋体" w:hAnsi="宋体" w:cs="宋体"/>
          <w:color w:val="000000"/>
        </w:rPr>
      </w:pPr>
      <w:r>
        <w:rPr>
          <w:rFonts w:hint="eastAsia" w:ascii="宋体" w:hAnsi="宋体" w:cs="宋体"/>
          <w:color w:val="000000"/>
        </w:rPr>
        <w:t>表2-341</w:t>
      </w:r>
    </w:p>
    <w:tbl>
      <w:tblPr>
        <w:tblStyle w:val="13"/>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序号</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kern w:val="0"/>
              </w:rPr>
              <w:t>对采供血机构的行政检查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noWrap/>
            <w:vAlign w:val="center"/>
          </w:tcPr>
          <w:p>
            <w:pPr>
              <w:spacing w:line="240" w:lineRule="exact"/>
              <w:ind w:firstLine="420"/>
              <w:rPr>
                <w:rFonts w:ascii="宋体" w:hAnsi="宋体" w:cs="宋体"/>
                <w:color w:val="000000"/>
              </w:rPr>
            </w:pPr>
            <w:r>
              <w:rPr>
                <w:rFonts w:hint="eastAsia" w:ascii="宋体" w:hAnsi="宋体" w:cs="宋体"/>
                <w:color w:val="000000"/>
              </w:rPr>
              <w:t>1.《血液制品管理条例》（1996年12月30日国务院令第208号公布，自1996年12月30日起施行）第三十条：“省、自治区、直辖市人民政府卫生行政部门依照本条例的规定负责本行政区域内的血液制品生产单位的监督管理。”</w:t>
            </w:r>
          </w:p>
          <w:p>
            <w:pPr>
              <w:spacing w:line="240" w:lineRule="exact"/>
              <w:ind w:firstLine="420"/>
              <w:rPr>
                <w:rFonts w:ascii="宋体" w:hAnsi="宋体" w:cs="宋体"/>
                <w:color w:val="000000"/>
              </w:rPr>
            </w:pPr>
            <w:r>
              <w:rPr>
                <w:rFonts w:hint="eastAsia" w:ascii="宋体" w:hAnsi="宋体" w:cs="宋体"/>
                <w:color w:val="000000"/>
              </w:rPr>
              <w:t>2.《血站管理办法》（2005年卫生部令第44号发布,自2006年3月1日起施行）第五条 ：“省、自治区、直辖市人民政府卫生行政部门结合本行政区域人口、医疗资源、临床用血需求等实际情况和当地区域卫生发展规划，制定本行政区域血站设置规划，报同级人民政府批准，并报卫生部备案。”第六条：“县级以上地方人民政府卫生行政部门负责本行政区域内血站的监督管理工作。”</w:t>
            </w:r>
          </w:p>
          <w:p>
            <w:pPr>
              <w:spacing w:line="240" w:lineRule="exact"/>
              <w:ind w:firstLine="420"/>
              <w:rPr>
                <w:rFonts w:ascii="宋体" w:hAnsi="宋体" w:cs="宋体"/>
                <w:color w:val="000000"/>
              </w:rPr>
            </w:pPr>
            <w:r>
              <w:rPr>
                <w:rFonts w:hint="eastAsia" w:ascii="宋体" w:hAnsi="宋体" w:cs="宋体"/>
                <w:color w:val="000000"/>
              </w:rPr>
              <w:t>3.《单采血浆站管理办法》（2008年卫生部令第58号发布，自2008年3月1日起施行）第五条：“县级以上地方人民政府卫生行政部门负责本行政区域内单采血浆站的监督管理工作。”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rPr>
              <w:t>政策法规与综合监督股、医政股、区卫生健康综合行政执法大队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6"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责任事项</w:t>
            </w:r>
          </w:p>
        </w:tc>
        <w:tc>
          <w:tcPr>
            <w:tcW w:w="8441" w:type="dxa"/>
            <w:noWrap/>
            <w:vAlign w:val="center"/>
          </w:tcPr>
          <w:p>
            <w:pPr>
              <w:spacing w:line="240" w:lineRule="exact"/>
              <w:ind w:firstLine="411" w:firstLineChars="196"/>
              <w:rPr>
                <w:rFonts w:ascii="宋体" w:hAnsi="宋体" w:cs="宋体"/>
                <w:color w:val="000000"/>
              </w:rPr>
            </w:pPr>
            <w:r>
              <w:rPr>
                <w:rFonts w:hint="eastAsia" w:ascii="宋体" w:hAnsi="宋体" w:cs="宋体"/>
                <w:color w:val="000000"/>
              </w:rPr>
              <w:t>1.检查责任：对采供血机构各项工作开展定期不定期的监督检查。</w:t>
            </w:r>
          </w:p>
          <w:p>
            <w:pPr>
              <w:spacing w:line="240" w:lineRule="exact"/>
              <w:ind w:firstLine="411" w:firstLineChars="196"/>
              <w:rPr>
                <w:rFonts w:ascii="宋体" w:hAnsi="宋体" w:cs="宋体"/>
                <w:color w:val="000000"/>
              </w:rPr>
            </w:pPr>
            <w:r>
              <w:rPr>
                <w:rFonts w:hint="eastAsia" w:ascii="宋体" w:hAnsi="宋体" w:cs="宋体"/>
                <w:color w:val="000000"/>
              </w:rPr>
              <w:t>2.处置责任：根据检查情况，依法采取相应的处置措施。</w:t>
            </w:r>
          </w:p>
          <w:p>
            <w:pPr>
              <w:spacing w:line="240" w:lineRule="exact"/>
              <w:ind w:firstLine="411" w:firstLineChars="196"/>
              <w:rPr>
                <w:rFonts w:ascii="宋体" w:hAnsi="宋体" w:cs="宋体"/>
                <w:color w:val="000000"/>
              </w:rPr>
            </w:pPr>
            <w:r>
              <w:rPr>
                <w:rFonts w:hint="eastAsia" w:ascii="宋体" w:hAnsi="宋体" w:cs="宋体"/>
                <w:color w:val="000000"/>
              </w:rPr>
              <w:t>3.信息公开责任：按照相关规定办理信息公开事项。</w:t>
            </w:r>
          </w:p>
          <w:p>
            <w:pPr>
              <w:spacing w:line="240" w:lineRule="exact"/>
              <w:ind w:firstLine="420" w:firstLineChars="200"/>
              <w:rPr>
                <w:rFonts w:ascii="宋体" w:hAnsi="宋体" w:cs="宋体"/>
                <w:color w:val="000000"/>
              </w:rPr>
            </w:pPr>
            <w:r>
              <w:rPr>
                <w:rFonts w:hint="eastAsia" w:ascii="宋体" w:hAnsi="宋体" w:cs="宋体"/>
                <w:color w:val="000000"/>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9"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追责情形</w:t>
            </w:r>
          </w:p>
        </w:tc>
        <w:tc>
          <w:tcPr>
            <w:tcW w:w="8441" w:type="dxa"/>
            <w:noWrap/>
            <w:vAlign w:val="center"/>
          </w:tcPr>
          <w:p>
            <w:pPr>
              <w:spacing w:line="24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血液制品管理条例》《血站管理办法》《单采血浆站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12345</w:t>
            </w:r>
          </w:p>
        </w:tc>
      </w:tr>
    </w:tbl>
    <w:p>
      <w:pPr>
        <w:spacing w:line="260" w:lineRule="exact"/>
        <w:rPr>
          <w:rFonts w:ascii="宋体" w:hAnsi="宋体" w:cs="宋体"/>
          <w:color w:val="000000"/>
        </w:rPr>
      </w:pPr>
    </w:p>
    <w:p>
      <w:pPr>
        <w:spacing w:line="260" w:lineRule="exact"/>
        <w:rPr>
          <w:rFonts w:ascii="宋体" w:hAnsi="宋体" w:cs="宋体"/>
          <w:color w:val="000000"/>
        </w:rPr>
      </w:pPr>
      <w:r>
        <w:rPr>
          <w:rFonts w:hint="eastAsia" w:ascii="宋体" w:hAnsi="宋体" w:cs="宋体"/>
          <w:color w:val="000000"/>
        </w:rPr>
        <w:t>表2-342</w:t>
      </w:r>
    </w:p>
    <w:tbl>
      <w:tblPr>
        <w:tblStyle w:val="13"/>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noWrap/>
            <w:vAlign w:val="center"/>
          </w:tcPr>
          <w:p>
            <w:pPr>
              <w:spacing w:line="260" w:lineRule="exact"/>
              <w:ind w:firstLine="1470" w:firstLineChars="700"/>
              <w:rPr>
                <w:rFonts w:ascii="宋体" w:hAnsi="宋体" w:cs="宋体"/>
                <w:color w:val="000000"/>
              </w:rPr>
            </w:pPr>
            <w:r>
              <w:rPr>
                <w:rFonts w:hint="eastAsia" w:ascii="宋体" w:hAnsi="宋体" w:cs="宋体"/>
                <w:color w:val="000000"/>
                <w:kern w:val="0"/>
              </w:rPr>
              <w:t>对本行政区域内开展放射诊疗活动的医疗机构进行监督检查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7"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noWrap/>
            <w:vAlign w:val="center"/>
          </w:tcPr>
          <w:p>
            <w:pPr>
              <w:spacing w:line="260" w:lineRule="exact"/>
              <w:ind w:firstLine="420"/>
              <w:rPr>
                <w:rFonts w:ascii="宋体" w:hAnsi="宋体" w:cs="宋体"/>
                <w:color w:val="000000"/>
              </w:rPr>
            </w:pPr>
            <w:r>
              <w:rPr>
                <w:rFonts w:hint="eastAsia" w:ascii="宋体" w:hAnsi="宋体" w:cs="宋体"/>
                <w:color w:val="000000"/>
              </w:rPr>
              <w:t>1.《中华人民共和国职业病防治法》（2001年10月27日国家主席令第60号公布，自2002年5月1日起施行，2011年修正）第八十九条：“对医疗机构放射性职业病危害控制的监督管理，由卫生行政部门依照本法的规定实施。”</w:t>
            </w:r>
          </w:p>
          <w:p>
            <w:pPr>
              <w:spacing w:line="260" w:lineRule="exact"/>
              <w:ind w:firstLine="420"/>
              <w:rPr>
                <w:rFonts w:ascii="宋体" w:hAnsi="宋体" w:cs="宋体"/>
                <w:color w:val="000000"/>
              </w:rPr>
            </w:pPr>
            <w:r>
              <w:rPr>
                <w:rFonts w:hint="eastAsia" w:ascii="宋体" w:hAnsi="宋体" w:cs="宋体"/>
                <w:color w:val="000000"/>
              </w:rPr>
              <w:t>2.《放射诊疗管理规定》（2006年1月24日卫生部令第46号公布，自2006年3月1日起施行）第三条 ：“卫生部负责全国放射诊疗工作的监督管理。县级以上地方人民政府卫生行政部门负责本行政区域内放射诊疗工作的监督管理。”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441" w:type="dxa"/>
            <w:noWrap/>
            <w:vAlign w:val="center"/>
          </w:tcPr>
          <w:p>
            <w:pPr>
              <w:spacing w:line="260" w:lineRule="exact"/>
              <w:ind w:firstLine="411" w:firstLineChars="196"/>
              <w:rPr>
                <w:rFonts w:ascii="宋体" w:hAnsi="宋体" w:cs="宋体"/>
                <w:color w:val="000000"/>
              </w:rPr>
            </w:pPr>
            <w:r>
              <w:rPr>
                <w:rFonts w:hint="eastAsia" w:ascii="宋体" w:hAnsi="宋体" w:cs="宋体"/>
                <w:color w:val="000000"/>
              </w:rPr>
              <w:t>1.检查责任：对本行政区域内开展放射诊疗活动的医疗机构开展定期不定期的监督检查。</w:t>
            </w:r>
          </w:p>
          <w:p>
            <w:pPr>
              <w:spacing w:line="260" w:lineRule="exact"/>
              <w:ind w:firstLine="411" w:firstLineChars="196"/>
              <w:rPr>
                <w:rFonts w:ascii="宋体" w:hAnsi="宋体" w:cs="宋体"/>
                <w:color w:val="000000"/>
              </w:rPr>
            </w:pPr>
            <w:r>
              <w:rPr>
                <w:rFonts w:hint="eastAsia" w:ascii="宋体" w:hAnsi="宋体" w:cs="宋体"/>
                <w:color w:val="000000"/>
              </w:rPr>
              <w:t>2.处置责任：根据检查情况，依法采取相应的处置措施。</w:t>
            </w:r>
          </w:p>
          <w:p>
            <w:pPr>
              <w:spacing w:line="260" w:lineRule="exact"/>
              <w:ind w:firstLine="411" w:firstLineChars="196"/>
              <w:rPr>
                <w:rFonts w:ascii="宋体" w:hAnsi="宋体" w:cs="宋体"/>
                <w:color w:val="000000"/>
              </w:rPr>
            </w:pPr>
            <w:r>
              <w:rPr>
                <w:rFonts w:hint="eastAsia" w:ascii="宋体" w:hAnsi="宋体" w:cs="宋体"/>
                <w:color w:val="000000"/>
              </w:rPr>
              <w:t>3.信息公开责任：按照相关规定办理信息公开事项。</w:t>
            </w:r>
          </w:p>
          <w:p>
            <w:pPr>
              <w:spacing w:line="260" w:lineRule="exact"/>
              <w:ind w:firstLine="411" w:firstLineChars="196"/>
              <w:rPr>
                <w:rFonts w:ascii="宋体" w:hAnsi="宋体" w:cs="宋体"/>
                <w:color w:val="000000"/>
              </w:rPr>
            </w:pPr>
            <w:r>
              <w:rPr>
                <w:rFonts w:hint="eastAsia" w:ascii="宋体" w:hAnsi="宋体" w:cs="宋体"/>
                <w:color w:val="000000"/>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8"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追责情形</w:t>
            </w:r>
          </w:p>
        </w:tc>
        <w:tc>
          <w:tcPr>
            <w:tcW w:w="8441" w:type="dxa"/>
            <w:noWrap/>
            <w:vAlign w:val="center"/>
          </w:tcPr>
          <w:p>
            <w:pPr>
              <w:spacing w:line="26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职业病防治法》《放射诊疗管理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12345</w:t>
            </w:r>
          </w:p>
        </w:tc>
      </w:tr>
    </w:tbl>
    <w:p>
      <w:pPr>
        <w:spacing w:line="260" w:lineRule="exact"/>
        <w:rPr>
          <w:rFonts w:ascii="宋体" w:hAnsi="宋体" w:cs="宋体"/>
          <w:color w:val="000000"/>
        </w:rPr>
      </w:pPr>
    </w:p>
    <w:p>
      <w:pPr>
        <w:spacing w:line="260" w:lineRule="exact"/>
        <w:rPr>
          <w:rFonts w:ascii="宋体" w:hAnsi="宋体" w:cs="宋体"/>
          <w:color w:val="000000"/>
        </w:rPr>
      </w:pPr>
      <w:r>
        <w:rPr>
          <w:rFonts w:hint="eastAsia" w:ascii="宋体" w:hAnsi="宋体" w:cs="宋体"/>
          <w:color w:val="000000"/>
        </w:rPr>
        <w:t>表2-343</w:t>
      </w:r>
    </w:p>
    <w:tbl>
      <w:tblPr>
        <w:tblStyle w:val="13"/>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noWrap/>
            <w:vAlign w:val="center"/>
          </w:tcPr>
          <w:p>
            <w:pPr>
              <w:spacing w:line="260" w:lineRule="exact"/>
              <w:ind w:firstLine="420"/>
              <w:rPr>
                <w:rFonts w:ascii="宋体" w:hAnsi="宋体" w:cs="宋体"/>
                <w:color w:val="000000"/>
              </w:rPr>
            </w:pPr>
            <w:r>
              <w:rPr>
                <w:rFonts w:hint="eastAsia" w:ascii="宋体" w:hAnsi="宋体" w:cs="宋体"/>
                <w:color w:val="000000"/>
                <w:kern w:val="0"/>
              </w:rPr>
              <w:t>对职业病诊断机构、职业病鉴定办事机构、职业健康检查机构、放射卫生技术服务机构的执行法律法规、标准的情况进行监督检查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1"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noWrap/>
          </w:tcPr>
          <w:p>
            <w:pPr>
              <w:spacing w:line="260" w:lineRule="exact"/>
              <w:ind w:firstLine="420"/>
              <w:rPr>
                <w:rFonts w:ascii="宋体" w:hAnsi="宋体" w:cs="宋体"/>
                <w:color w:val="000000"/>
              </w:rPr>
            </w:pPr>
            <w:r>
              <w:rPr>
                <w:rFonts w:hint="eastAsia" w:ascii="宋体" w:hAnsi="宋体" w:cs="宋体"/>
                <w:color w:val="000000"/>
              </w:rPr>
              <w:t>1.《职业病诊断与鉴定管理办法》（2013年2月19日卫生部令第91号公布，自2013年4月10日起施行）第五十二条：“县级以上地方卫生行政部门应当制定职业病诊断机构年度监督检查计划，定期对职业病诊断机构进行监督检查。”</w:t>
            </w:r>
          </w:p>
          <w:p>
            <w:pPr>
              <w:spacing w:line="260" w:lineRule="exact"/>
              <w:ind w:firstLine="420"/>
              <w:rPr>
                <w:rFonts w:ascii="宋体" w:hAnsi="宋体" w:cs="宋体"/>
                <w:color w:val="000000"/>
              </w:rPr>
            </w:pPr>
            <w:r>
              <w:rPr>
                <w:rFonts w:hint="eastAsia" w:ascii="宋体" w:hAnsi="宋体" w:cs="宋体"/>
                <w:color w:val="000000"/>
              </w:rPr>
              <w:t>2.《中华人民共和国职业病防治法》（2001年10月27日国家主席令第60号公布，自2002年5月1日起施行，2011年修正）第九条：“县级以上地方人民政府安全生产监督管理部门、卫生行政部门、劳动保障行政部门依据各自职责，负责本行政区域内职业病防治的监督管理工作。县级以上地方人民政府有关部门在各自的职责范围内负责职业病防治的有关监督管理工作。”</w:t>
            </w:r>
          </w:p>
          <w:p>
            <w:pPr>
              <w:spacing w:line="260" w:lineRule="exact"/>
              <w:rPr>
                <w:rFonts w:ascii="宋体" w:hAnsi="宋体" w:cs="宋体"/>
                <w:color w:val="000000"/>
              </w:rPr>
            </w:pPr>
            <w:r>
              <w:rPr>
                <w:rFonts w:hint="eastAsia" w:ascii="宋体" w:hAnsi="宋体" w:cs="宋体"/>
                <w:color w:val="000000"/>
              </w:rPr>
              <w:t xml:space="preserve">   3.《职业健康检查管理办法》（2015年3月26日国家卫生和计划生育委员会令第5号公布，自2015年5月1日起施行）第十九条：“县级以上地方卫生计生行政部门应当加强对本辖区职业健康检查机构的监督管理。按照属地化管理原则，制定年度监督检查计划，做好职业健康检查机构的监督检查工作。监督检查主要内容包括，（一）相关法律法规、标准的执行情况；（二）按照批准的类别和项目开展职业健康检查工作的情况；（三）外出职业健康检查工作情况；（四）职业健康检查质量控制情况；（五）职业健康检查结果、疑似职业病的报告与告知情况；（六）职业健康检查档案管理情况等。”</w:t>
            </w:r>
          </w:p>
          <w:p>
            <w:pPr>
              <w:spacing w:line="260" w:lineRule="exact"/>
              <w:ind w:firstLine="420"/>
              <w:rPr>
                <w:rFonts w:ascii="宋体" w:hAnsi="宋体" w:cs="宋体"/>
                <w:color w:val="000000"/>
              </w:rPr>
            </w:pPr>
            <w:r>
              <w:rPr>
                <w:rFonts w:hint="eastAsia" w:ascii="宋体" w:hAnsi="宋体" w:cs="宋体"/>
                <w:color w:val="000000"/>
              </w:rPr>
              <w:t>4.《职业健康检查管理办法》（2015年3月26日国家卫生和计划生育委员会令第5号公布，自2015年5月1日起施行）第二十条：“省级卫生计生行政部门应当对本辖区内的职业健康检查机构进行定期或者不定期抽查；设区的市级卫生计生行政部门每年应当至少组织一次对本辖区内职业健康检查机构的监督检查；县级卫生计生行政部门负责日常监督检查。”</w:t>
            </w:r>
          </w:p>
          <w:p>
            <w:pPr>
              <w:spacing w:line="260" w:lineRule="exact"/>
              <w:ind w:firstLine="420"/>
              <w:rPr>
                <w:rFonts w:ascii="宋体" w:hAnsi="宋体" w:cs="宋体"/>
                <w:color w:val="000000"/>
              </w:rPr>
            </w:pPr>
            <w:r>
              <w:rPr>
                <w:rFonts w:hint="eastAsia" w:ascii="宋体" w:hAnsi="宋体" w:cs="宋体"/>
                <w:color w:val="000000"/>
              </w:rPr>
              <w:t>5.《职业健康检查管理办法》（2015年3月26日国家卫生和计划生育委员会令第5号公布，自2015年5月1日起施行）第三十条：“县级卫生行政部门依照本办法的规定负责本行政区域内职业健康检查机构的日常监督管理工作，至少每半年监督检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政策法规与综合监督股、职业卫生股、区卫生健康综合行政执法大队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4"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441" w:type="dxa"/>
            <w:noWrap/>
            <w:vAlign w:val="center"/>
          </w:tcPr>
          <w:p>
            <w:pPr>
              <w:spacing w:line="260" w:lineRule="exact"/>
              <w:ind w:firstLine="411" w:firstLineChars="196"/>
              <w:rPr>
                <w:rFonts w:ascii="宋体" w:hAnsi="宋体" w:cs="宋体"/>
                <w:color w:val="000000"/>
              </w:rPr>
            </w:pPr>
            <w:r>
              <w:rPr>
                <w:rFonts w:hint="eastAsia" w:ascii="宋体" w:hAnsi="宋体" w:cs="宋体"/>
                <w:color w:val="000000"/>
              </w:rPr>
              <w:t>1.检查责任：对职业健康检查机构开展定期不定期的监督检查。</w:t>
            </w:r>
          </w:p>
          <w:p>
            <w:pPr>
              <w:spacing w:line="260" w:lineRule="exact"/>
              <w:ind w:firstLine="411" w:firstLineChars="196"/>
              <w:rPr>
                <w:rFonts w:ascii="宋体" w:hAnsi="宋体" w:cs="宋体"/>
                <w:color w:val="000000"/>
              </w:rPr>
            </w:pPr>
            <w:r>
              <w:rPr>
                <w:rFonts w:hint="eastAsia" w:ascii="宋体" w:hAnsi="宋体" w:cs="宋体"/>
                <w:color w:val="000000"/>
              </w:rPr>
              <w:t>2.处置责任：根据检查情况，依法采取相应的处置措施。</w:t>
            </w:r>
          </w:p>
          <w:p>
            <w:pPr>
              <w:spacing w:line="260" w:lineRule="exact"/>
              <w:ind w:firstLine="411" w:firstLineChars="196"/>
              <w:rPr>
                <w:rFonts w:ascii="宋体" w:hAnsi="宋体" w:cs="宋体"/>
                <w:color w:val="000000"/>
              </w:rPr>
            </w:pPr>
            <w:r>
              <w:rPr>
                <w:rFonts w:hint="eastAsia" w:ascii="宋体" w:hAnsi="宋体" w:cs="宋体"/>
                <w:color w:val="000000"/>
              </w:rPr>
              <w:t>3.信息公开责任：按照相关规定办理信息公开事项。</w:t>
            </w:r>
          </w:p>
          <w:p>
            <w:pPr>
              <w:spacing w:line="260" w:lineRule="exact"/>
              <w:ind w:firstLine="411" w:firstLineChars="196"/>
              <w:rPr>
                <w:rFonts w:ascii="宋体" w:hAnsi="宋体" w:cs="宋体"/>
                <w:color w:val="000000"/>
              </w:rPr>
            </w:pPr>
            <w:r>
              <w:rPr>
                <w:rFonts w:hint="eastAsia" w:ascii="宋体" w:hAnsi="宋体" w:cs="宋体"/>
                <w:color w:val="000000"/>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8"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追责情形</w:t>
            </w:r>
          </w:p>
        </w:tc>
        <w:tc>
          <w:tcPr>
            <w:tcW w:w="8441" w:type="dxa"/>
            <w:noWrap/>
            <w:vAlign w:val="center"/>
          </w:tcPr>
          <w:p>
            <w:pPr>
              <w:spacing w:line="26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职业病诊断与鉴定管理办法》《中华人民共和国职业病防治法》《职业健康检查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0"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12345</w:t>
            </w:r>
          </w:p>
        </w:tc>
      </w:tr>
    </w:tbl>
    <w:p>
      <w:pPr>
        <w:widowControl/>
        <w:spacing w:line="260" w:lineRule="exact"/>
        <w:jc w:val="left"/>
        <w:rPr>
          <w:rFonts w:ascii="宋体" w:hAnsi="宋体" w:cs="宋体"/>
          <w:color w:val="000000"/>
        </w:rPr>
      </w:pPr>
      <w:r>
        <w:rPr>
          <w:rFonts w:hint="eastAsia" w:ascii="宋体" w:hAnsi="宋体" w:cs="宋体"/>
          <w:color w:val="000000"/>
        </w:rPr>
        <w:t>表2-344</w:t>
      </w:r>
    </w:p>
    <w:tbl>
      <w:tblPr>
        <w:tblStyle w:val="13"/>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noWrap/>
            <w:vAlign w:val="center"/>
          </w:tcPr>
          <w:p>
            <w:pPr>
              <w:spacing w:line="240" w:lineRule="exact"/>
              <w:ind w:firstLine="420"/>
              <w:rPr>
                <w:rFonts w:ascii="宋体" w:hAnsi="宋体" w:cs="宋体"/>
                <w:color w:val="000000"/>
              </w:rPr>
            </w:pPr>
            <w:r>
              <w:rPr>
                <w:rFonts w:hint="eastAsia" w:ascii="宋体" w:hAnsi="宋体" w:cs="宋体"/>
                <w:color w:val="000000"/>
                <w:kern w:val="0"/>
              </w:rPr>
              <w:t>对医疗卫生机构和医疗废物集中处置单位的疾病防治工作，以及工作人员的卫生防护等情况进行监督检查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47"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noWrap/>
            <w:vAlign w:val="center"/>
          </w:tcPr>
          <w:p>
            <w:pPr>
              <w:spacing w:line="240" w:lineRule="exact"/>
              <w:ind w:firstLine="420"/>
              <w:rPr>
                <w:rFonts w:ascii="宋体" w:hAnsi="宋体" w:cs="宋体"/>
                <w:color w:val="000000"/>
              </w:rPr>
            </w:pPr>
            <w:r>
              <w:rPr>
                <w:rFonts w:hint="eastAsia" w:ascii="宋体" w:hAnsi="宋体" w:cs="宋体"/>
                <w:color w:val="000000"/>
              </w:rPr>
              <w:t xml:space="preserve">1.《医疗废物管理条例》（2003年6月16日国务院令第380号公布，自2003年6月16日起施行）第五条：“县级以上各级人民政府卫生行政主管部门，对医疗废物收集、运送、贮存、处置活动中的疾病防治工作实施统一监督管理。”  </w:t>
            </w:r>
          </w:p>
          <w:p>
            <w:pPr>
              <w:spacing w:line="240" w:lineRule="exact"/>
              <w:ind w:firstLine="420"/>
              <w:rPr>
                <w:rFonts w:ascii="宋体" w:hAnsi="宋体" w:cs="宋体"/>
                <w:color w:val="000000"/>
              </w:rPr>
            </w:pPr>
            <w:r>
              <w:rPr>
                <w:rFonts w:hint="eastAsia" w:ascii="宋体" w:hAnsi="宋体" w:cs="宋体"/>
                <w:color w:val="000000"/>
              </w:rPr>
              <w:t>2.《医疗废物管理条例》（2003年6月16日国务院令第380号公布，自2003年6月16日起施行）第三十四条：“县级以上地方人民政府卫生行政主管部门、环境保护行政主管部门，应当依照本条例的规定，按照职责分工，对医疗卫生机构和医疗废物集中处置单位进行监督检查。”</w:t>
            </w:r>
          </w:p>
          <w:p>
            <w:pPr>
              <w:spacing w:line="240" w:lineRule="exact"/>
              <w:ind w:firstLine="420"/>
              <w:rPr>
                <w:rFonts w:ascii="宋体" w:hAnsi="宋体" w:cs="宋体"/>
                <w:color w:val="000000"/>
              </w:rPr>
            </w:pPr>
            <w:r>
              <w:rPr>
                <w:rFonts w:hint="eastAsia" w:ascii="宋体" w:hAnsi="宋体" w:cs="宋体"/>
                <w:color w:val="000000"/>
              </w:rPr>
              <w:t>3.《医疗废物管理条例》（2003年6月16日国务院令第380号公布，自2003年6月16日起施行）第三十五条：“县级以上地方人民政府卫生行政主管部门，应当对医疗卫生机构和医疗废物集中处置单位从事医疗废物的收集、运送、贮存、处置中的疾病防治工作，以及工作人员的卫生防护等情况进行定期监督检查或者不定期的抽查。”</w:t>
            </w:r>
          </w:p>
          <w:p>
            <w:pPr>
              <w:spacing w:line="240" w:lineRule="exact"/>
              <w:ind w:firstLine="420"/>
              <w:rPr>
                <w:rFonts w:ascii="宋体" w:hAnsi="宋体" w:cs="宋体"/>
                <w:color w:val="000000"/>
              </w:rPr>
            </w:pPr>
            <w:r>
              <w:rPr>
                <w:rFonts w:hint="eastAsia" w:ascii="宋体" w:hAnsi="宋体" w:cs="宋体"/>
                <w:color w:val="000000"/>
              </w:rPr>
              <w:t>4.《医疗卫生机构医疗废物管理办法》（2003年10月15日卫生部令第36号发布，自发布之日起施行）第三条第二款 “县级以上地方人民政府卫生行政部门对本行政区域医疗卫生机构的医疗废物管理工作实施监督。”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rPr>
              <w:t>政策法规与综合监督股、医政股、区卫生健康综合行政执法大队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3"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责任事项</w:t>
            </w:r>
          </w:p>
        </w:tc>
        <w:tc>
          <w:tcPr>
            <w:tcW w:w="8441" w:type="dxa"/>
            <w:noWrap/>
            <w:vAlign w:val="center"/>
          </w:tcPr>
          <w:p>
            <w:pPr>
              <w:spacing w:line="240" w:lineRule="exact"/>
              <w:ind w:firstLine="411" w:firstLineChars="196"/>
              <w:rPr>
                <w:rFonts w:ascii="宋体" w:hAnsi="宋体" w:cs="宋体"/>
                <w:color w:val="000000"/>
              </w:rPr>
            </w:pPr>
            <w:r>
              <w:rPr>
                <w:rFonts w:hint="eastAsia" w:ascii="宋体" w:hAnsi="宋体" w:cs="宋体"/>
                <w:color w:val="000000"/>
              </w:rPr>
              <w:t>1.检查责任：对医疗卫生机构和医疗废物集中处置单位的疾病防治工作，以及工作人员的卫生防护等情况进行定期不定期的监督检查。。</w:t>
            </w:r>
          </w:p>
          <w:p>
            <w:pPr>
              <w:spacing w:line="240" w:lineRule="exact"/>
              <w:ind w:firstLine="411" w:firstLineChars="196"/>
              <w:rPr>
                <w:rFonts w:ascii="宋体" w:hAnsi="宋体" w:cs="宋体"/>
                <w:color w:val="000000"/>
              </w:rPr>
            </w:pPr>
            <w:r>
              <w:rPr>
                <w:rFonts w:hint="eastAsia" w:ascii="宋体" w:hAnsi="宋体" w:cs="宋体"/>
                <w:color w:val="000000"/>
              </w:rPr>
              <w:t>2.处置责任：根据检查情况，依法采取相应的处置措施。</w:t>
            </w:r>
          </w:p>
          <w:p>
            <w:pPr>
              <w:spacing w:line="240" w:lineRule="exact"/>
              <w:ind w:firstLine="411" w:firstLineChars="196"/>
              <w:rPr>
                <w:rFonts w:ascii="宋体" w:hAnsi="宋体" w:cs="宋体"/>
                <w:color w:val="000000"/>
              </w:rPr>
            </w:pPr>
            <w:r>
              <w:rPr>
                <w:rFonts w:hint="eastAsia" w:ascii="宋体" w:hAnsi="宋体" w:cs="宋体"/>
                <w:color w:val="000000"/>
              </w:rPr>
              <w:t>3.信息公开责任：按照相关规定办理信息公开事项。</w:t>
            </w:r>
          </w:p>
          <w:p>
            <w:pPr>
              <w:spacing w:line="240" w:lineRule="exact"/>
              <w:ind w:firstLine="411" w:firstLineChars="196"/>
              <w:rPr>
                <w:rFonts w:ascii="宋体" w:hAnsi="宋体" w:cs="宋体"/>
                <w:color w:val="000000"/>
              </w:rPr>
            </w:pPr>
            <w:r>
              <w:rPr>
                <w:rFonts w:hint="eastAsia" w:ascii="宋体" w:hAnsi="宋体" w:cs="宋体"/>
                <w:color w:val="000000"/>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5"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追责情形</w:t>
            </w:r>
          </w:p>
        </w:tc>
        <w:tc>
          <w:tcPr>
            <w:tcW w:w="8441" w:type="dxa"/>
            <w:noWrap/>
            <w:vAlign w:val="center"/>
          </w:tcPr>
          <w:p>
            <w:pPr>
              <w:spacing w:line="24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废物管理条例》《医疗卫生机构医疗废物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3"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监督电话</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rPr>
              <w:t>12345</w:t>
            </w:r>
          </w:p>
        </w:tc>
      </w:tr>
    </w:tbl>
    <w:p>
      <w:pPr>
        <w:spacing w:line="240" w:lineRule="exact"/>
        <w:rPr>
          <w:rFonts w:ascii="宋体" w:hAnsi="宋体" w:cs="宋体"/>
          <w:color w:val="000000"/>
        </w:rPr>
      </w:pPr>
      <w:r>
        <w:rPr>
          <w:rFonts w:hint="eastAsia" w:ascii="宋体" w:hAnsi="宋体" w:cs="宋体"/>
          <w:color w:val="000000"/>
        </w:rPr>
        <w:t>表2-345</w:t>
      </w:r>
    </w:p>
    <w:tbl>
      <w:tblPr>
        <w:tblStyle w:val="13"/>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序号</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noWrap/>
            <w:vAlign w:val="center"/>
          </w:tcPr>
          <w:p>
            <w:pPr>
              <w:spacing w:line="240" w:lineRule="exact"/>
              <w:ind w:firstLine="1470" w:firstLineChars="700"/>
              <w:rPr>
                <w:rFonts w:ascii="宋体" w:hAnsi="宋体" w:cs="宋体"/>
                <w:color w:val="000000"/>
              </w:rPr>
            </w:pPr>
            <w:r>
              <w:rPr>
                <w:rFonts w:hint="eastAsia" w:ascii="宋体" w:hAnsi="宋体" w:cs="宋体"/>
                <w:color w:val="000000"/>
                <w:kern w:val="0"/>
              </w:rPr>
              <w:t>对病原微生物生物安全实验室和菌毒种保藏机构进行监督检查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6"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noWrap/>
            <w:vAlign w:val="center"/>
          </w:tcPr>
          <w:p>
            <w:pPr>
              <w:spacing w:line="240" w:lineRule="exact"/>
              <w:ind w:firstLine="420"/>
              <w:rPr>
                <w:rFonts w:ascii="宋体" w:hAnsi="宋体" w:cs="宋体"/>
                <w:color w:val="000000"/>
              </w:rPr>
            </w:pPr>
            <w:r>
              <w:rPr>
                <w:rFonts w:hint="eastAsia" w:ascii="宋体" w:hAnsi="宋体" w:cs="宋体"/>
                <w:color w:val="000000"/>
              </w:rPr>
              <w:t>1.《病原微生物实验室生物安全管理条例》（2004年11月12日国务院令第424号公布，自2004年11月12日起施行）第三条：“国务院卫生主管部门主管与人体健康有关的实验室及其实验活动的生物安全监督工作。国务院兽医主管部门主管与动物有关的实验室及其实验活动的生物安全监督工作。国务院其他有关部门在各自职责范围内负责实验室及其实验活动的生物安全管理工作。县级以上地方人民政府及其有关部门在各自职责范围内负责实验室及其实验活动的生物安全管理工作。”</w:t>
            </w:r>
          </w:p>
          <w:p>
            <w:pPr>
              <w:spacing w:line="240" w:lineRule="exact"/>
              <w:ind w:firstLine="420"/>
              <w:rPr>
                <w:rFonts w:ascii="宋体" w:hAnsi="宋体" w:cs="宋体"/>
                <w:color w:val="000000"/>
              </w:rPr>
            </w:pPr>
            <w:r>
              <w:rPr>
                <w:rFonts w:hint="eastAsia" w:ascii="宋体" w:hAnsi="宋体" w:cs="宋体"/>
                <w:color w:val="000000"/>
              </w:rPr>
              <w:t>2.《人间传染的高致病性病原微生物实验室和实验活动生物安全审批管理办法》（2006年8月卫生部令第50号）第四条：“卫生部和省级卫生行政部门负责高致病性病原微生物或者疑似高致病性病原微生物实验活动的审批工作。县级以上地方卫生行政部门负责本行政区域内高致病性病原微生物实验室及其实验活动的生物安全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2"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责任事项</w:t>
            </w:r>
          </w:p>
        </w:tc>
        <w:tc>
          <w:tcPr>
            <w:tcW w:w="8441" w:type="dxa"/>
            <w:noWrap/>
            <w:vAlign w:val="center"/>
          </w:tcPr>
          <w:p>
            <w:pPr>
              <w:spacing w:line="240" w:lineRule="exact"/>
              <w:ind w:firstLine="411" w:firstLineChars="196"/>
              <w:rPr>
                <w:rFonts w:ascii="宋体" w:hAnsi="宋体" w:cs="宋体"/>
                <w:color w:val="000000"/>
              </w:rPr>
            </w:pPr>
            <w:r>
              <w:rPr>
                <w:rFonts w:hint="eastAsia" w:ascii="宋体" w:hAnsi="宋体" w:cs="宋体"/>
                <w:color w:val="000000"/>
              </w:rPr>
              <w:t>1.检查责任：对病原微生物生物安全实验室和菌毒种保藏机构进行定期不定期的监督检查。</w:t>
            </w:r>
          </w:p>
          <w:p>
            <w:pPr>
              <w:spacing w:line="240" w:lineRule="exact"/>
              <w:ind w:firstLine="411" w:firstLineChars="196"/>
              <w:rPr>
                <w:rFonts w:ascii="宋体" w:hAnsi="宋体" w:cs="宋体"/>
                <w:color w:val="000000"/>
              </w:rPr>
            </w:pPr>
            <w:r>
              <w:rPr>
                <w:rFonts w:hint="eastAsia" w:ascii="宋体" w:hAnsi="宋体" w:cs="宋体"/>
                <w:color w:val="000000"/>
              </w:rPr>
              <w:t>2.处置责任：根据检查情况，依法采取相应的处置措施。</w:t>
            </w:r>
          </w:p>
          <w:p>
            <w:pPr>
              <w:spacing w:line="240" w:lineRule="exact"/>
              <w:ind w:firstLine="411" w:firstLineChars="196"/>
              <w:rPr>
                <w:rFonts w:ascii="宋体" w:hAnsi="宋体" w:cs="宋体"/>
                <w:color w:val="000000"/>
              </w:rPr>
            </w:pPr>
            <w:r>
              <w:rPr>
                <w:rFonts w:hint="eastAsia" w:ascii="宋体" w:hAnsi="宋体" w:cs="宋体"/>
                <w:color w:val="000000"/>
              </w:rPr>
              <w:t>3.信息公开责任：按照相关规定办理信息公开事项。</w:t>
            </w:r>
          </w:p>
          <w:p>
            <w:pPr>
              <w:spacing w:line="240" w:lineRule="exact"/>
              <w:ind w:firstLine="411" w:firstLineChars="196"/>
              <w:rPr>
                <w:rFonts w:ascii="宋体" w:hAnsi="宋体" w:cs="宋体"/>
                <w:color w:val="000000"/>
              </w:rPr>
            </w:pPr>
            <w:r>
              <w:rPr>
                <w:rFonts w:hint="eastAsia" w:ascii="宋体" w:hAnsi="宋体" w:cs="宋体"/>
                <w:color w:val="000000"/>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1"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追责情形</w:t>
            </w:r>
          </w:p>
        </w:tc>
        <w:tc>
          <w:tcPr>
            <w:tcW w:w="8441" w:type="dxa"/>
            <w:noWrap/>
            <w:vAlign w:val="center"/>
          </w:tcPr>
          <w:p>
            <w:pPr>
              <w:spacing w:line="24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病原微生物实验室生物安全管理条例》《人间传染的高致病性病原微生物实验室和实验活动生物安全审批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监督电话</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rPr>
              <w:t>12345</w:t>
            </w:r>
          </w:p>
        </w:tc>
      </w:tr>
    </w:tbl>
    <w:p>
      <w:pPr>
        <w:spacing w:line="240" w:lineRule="exact"/>
        <w:rPr>
          <w:rFonts w:ascii="宋体" w:hAnsi="宋体" w:cs="宋体"/>
          <w:color w:val="000000"/>
        </w:rPr>
      </w:pPr>
      <w:r>
        <w:rPr>
          <w:rFonts w:hint="eastAsia" w:ascii="宋体" w:hAnsi="宋体" w:cs="宋体"/>
          <w:color w:val="000000"/>
        </w:rPr>
        <w:t>表2-346</w:t>
      </w:r>
    </w:p>
    <w:tbl>
      <w:tblPr>
        <w:tblStyle w:val="13"/>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序号</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noWrap/>
            <w:vAlign w:val="center"/>
          </w:tcPr>
          <w:p>
            <w:pPr>
              <w:spacing w:line="240" w:lineRule="exact"/>
              <w:ind w:firstLine="3990" w:firstLineChars="1900"/>
              <w:rPr>
                <w:rFonts w:ascii="宋体" w:hAnsi="宋体" w:cs="宋体"/>
                <w:color w:val="000000"/>
              </w:rPr>
            </w:pPr>
            <w:r>
              <w:rPr>
                <w:rFonts w:hint="eastAsia" w:ascii="宋体" w:hAnsi="宋体" w:cs="宋体"/>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noWrap/>
            <w:vAlign w:val="center"/>
          </w:tcPr>
          <w:p>
            <w:pPr>
              <w:spacing w:line="240" w:lineRule="exact"/>
              <w:ind w:firstLine="2100" w:firstLineChars="1000"/>
              <w:rPr>
                <w:rFonts w:ascii="宋体" w:hAnsi="宋体" w:cs="宋体"/>
                <w:color w:val="000000"/>
              </w:rPr>
            </w:pPr>
            <w:r>
              <w:rPr>
                <w:rFonts w:hint="eastAsia" w:ascii="宋体" w:hAnsi="宋体" w:cs="宋体"/>
                <w:color w:val="000000"/>
                <w:kern w:val="0"/>
              </w:rPr>
              <w:t>对疫苗流通和实施免疫规划情况进行监督检查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0"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noWrap/>
            <w:vAlign w:val="center"/>
          </w:tcPr>
          <w:p>
            <w:pPr>
              <w:spacing w:line="260" w:lineRule="exact"/>
              <w:ind w:firstLine="420"/>
              <w:rPr>
                <w:rFonts w:ascii="宋体" w:hAnsi="宋体" w:cs="宋体"/>
                <w:color w:val="000000"/>
              </w:rPr>
            </w:pPr>
            <w:r>
              <w:rPr>
                <w:rFonts w:hint="eastAsia" w:ascii="宋体" w:hAnsi="宋体" w:cs="宋体"/>
                <w:color w:val="000000"/>
              </w:rPr>
              <w:t>《疫苗流通和预防接种管理条例》第五十条：“县级以上人民政府卫生主管部门在各自职责范围内履行下列监督检查职责，（一）对医疗卫生机构实施国家免疫规划的情况进行监督检查；（二）对疾病预防控制机构开展与预防接种相关的宣传、培训、技术指导等工作进行监督检查；（三）对医疗卫生机构分发和购买疫苗的情况进行监督检查。卫生主管部门应当主要通过对医疗卫生机构依照本条例规定所作的疫苗分发、储存、运输和接种等记录进行检查，履行监督管理职责；必要时，可以进行现场监督检查。卫生主管部门对监督检查情况应当予以记录，发现违法行为的，应当责令有关单位立即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政策法规与综合监督股、公共卫生股、区卫生健康综合行政执法大队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5"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441" w:type="dxa"/>
            <w:noWrap/>
            <w:vAlign w:val="center"/>
          </w:tcPr>
          <w:p>
            <w:pPr>
              <w:spacing w:line="260" w:lineRule="exact"/>
              <w:ind w:firstLine="411" w:firstLineChars="196"/>
              <w:rPr>
                <w:rFonts w:ascii="宋体" w:hAnsi="宋体" w:cs="宋体"/>
                <w:color w:val="000000"/>
              </w:rPr>
            </w:pPr>
            <w:r>
              <w:rPr>
                <w:rFonts w:hint="eastAsia" w:ascii="宋体" w:hAnsi="宋体" w:cs="宋体"/>
                <w:color w:val="000000"/>
              </w:rPr>
              <w:t>1.检查责任：对疫苗流通和实施免疫规划情况进行定期不定期的监督检查。</w:t>
            </w:r>
          </w:p>
          <w:p>
            <w:pPr>
              <w:spacing w:line="260" w:lineRule="exact"/>
              <w:ind w:firstLine="411" w:firstLineChars="196"/>
              <w:rPr>
                <w:rFonts w:ascii="宋体" w:hAnsi="宋体" w:cs="宋体"/>
                <w:color w:val="000000"/>
              </w:rPr>
            </w:pPr>
            <w:r>
              <w:rPr>
                <w:rFonts w:hint="eastAsia" w:ascii="宋体" w:hAnsi="宋体" w:cs="宋体"/>
                <w:color w:val="000000"/>
              </w:rPr>
              <w:t>2.处置责任：根据检查情况，依法采取相应的处置措施。</w:t>
            </w:r>
          </w:p>
          <w:p>
            <w:pPr>
              <w:spacing w:line="260" w:lineRule="exact"/>
              <w:ind w:firstLine="411" w:firstLineChars="196"/>
              <w:rPr>
                <w:rFonts w:ascii="宋体" w:hAnsi="宋体" w:cs="宋体"/>
                <w:color w:val="000000"/>
              </w:rPr>
            </w:pPr>
            <w:r>
              <w:rPr>
                <w:rFonts w:hint="eastAsia" w:ascii="宋体" w:hAnsi="宋体" w:cs="宋体"/>
                <w:color w:val="000000"/>
              </w:rPr>
              <w:t>3.信息公开责任：按照相关规定办理信息公开事项。</w:t>
            </w:r>
          </w:p>
          <w:p>
            <w:pPr>
              <w:spacing w:line="260" w:lineRule="exact"/>
              <w:ind w:firstLine="411" w:firstLineChars="196"/>
              <w:rPr>
                <w:rFonts w:ascii="宋体" w:hAnsi="宋体" w:cs="宋体"/>
                <w:color w:val="000000"/>
              </w:rPr>
            </w:pPr>
            <w:r>
              <w:rPr>
                <w:rFonts w:hint="eastAsia" w:ascii="宋体" w:hAnsi="宋体" w:cs="宋体"/>
                <w:color w:val="000000"/>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追责情形</w:t>
            </w:r>
          </w:p>
        </w:tc>
        <w:tc>
          <w:tcPr>
            <w:tcW w:w="8441" w:type="dxa"/>
            <w:noWrap/>
            <w:vAlign w:val="center"/>
          </w:tcPr>
          <w:p>
            <w:pPr>
              <w:spacing w:line="26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疫苗流通和预防接种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12345</w:t>
            </w:r>
          </w:p>
        </w:tc>
      </w:tr>
    </w:tbl>
    <w:p>
      <w:pPr>
        <w:spacing w:line="260" w:lineRule="exact"/>
        <w:rPr>
          <w:rFonts w:ascii="宋体" w:hAnsi="宋体" w:cs="宋体"/>
          <w:color w:val="000000"/>
        </w:rPr>
      </w:pPr>
    </w:p>
    <w:p>
      <w:pPr>
        <w:spacing w:line="260" w:lineRule="exact"/>
        <w:rPr>
          <w:rFonts w:ascii="宋体" w:hAnsi="宋体" w:cs="宋体"/>
          <w:color w:val="000000"/>
        </w:rPr>
      </w:pPr>
      <w:r>
        <w:rPr>
          <w:rFonts w:hint="eastAsia" w:ascii="宋体" w:hAnsi="宋体" w:cs="宋体"/>
          <w:color w:val="000000"/>
        </w:rPr>
        <w:t>表2-347</w:t>
      </w:r>
    </w:p>
    <w:tbl>
      <w:tblPr>
        <w:tblStyle w:val="13"/>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noWrap/>
            <w:vAlign w:val="center"/>
          </w:tcPr>
          <w:p>
            <w:pPr>
              <w:spacing w:line="260" w:lineRule="exact"/>
              <w:ind w:firstLine="420"/>
              <w:rPr>
                <w:rFonts w:ascii="宋体" w:hAnsi="宋体" w:cs="宋体"/>
                <w:color w:val="000000"/>
              </w:rPr>
            </w:pPr>
            <w:r>
              <w:rPr>
                <w:rFonts w:hint="eastAsia" w:ascii="宋体" w:hAnsi="宋体" w:cs="宋体"/>
                <w:color w:val="000000"/>
                <w:kern w:val="0"/>
              </w:rPr>
              <w:t>对有关机构（医疗卫生机构、托幼机构、衣物出租和洗涤机构、殡仪馆火葬场等）场所和物品的消毒工作进行监督检查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noWrap/>
            <w:vAlign w:val="center"/>
          </w:tcPr>
          <w:p>
            <w:pPr>
              <w:spacing w:line="260" w:lineRule="exact"/>
              <w:ind w:firstLine="420"/>
              <w:rPr>
                <w:rFonts w:ascii="宋体" w:hAnsi="宋体" w:cs="宋体"/>
                <w:color w:val="000000"/>
              </w:rPr>
            </w:pPr>
            <w:r>
              <w:rPr>
                <w:rFonts w:hint="eastAsia" w:ascii="宋体" w:hAnsi="宋体" w:cs="宋体"/>
                <w:color w:val="000000"/>
              </w:rPr>
              <w:t>1.《消毒管理办法》第三十五条：“消毒服务机构应当接受当地卫生计生行政部门的监督。”</w:t>
            </w:r>
          </w:p>
          <w:p>
            <w:pPr>
              <w:spacing w:line="260" w:lineRule="exact"/>
              <w:ind w:firstLine="420" w:firstLineChars="200"/>
              <w:rPr>
                <w:rFonts w:ascii="宋体" w:hAnsi="宋体" w:cs="宋体"/>
                <w:color w:val="000000"/>
              </w:rPr>
            </w:pPr>
            <w:r>
              <w:rPr>
                <w:rFonts w:hint="eastAsia" w:ascii="宋体" w:hAnsi="宋体" w:cs="宋体"/>
                <w:color w:val="000000"/>
              </w:rPr>
              <w:t>2.《消毒管理办法》第三十六条：“县级以上卫生计生行政部门对消毒工作行使下列监督管理职权，（一）对有关机构、场所和物品的消毒工作进行监督检查；（二）对消毒产品生产企业执行《消毒产品生产企业卫生规范》情况进行监督检查；（三）对消毒产品的卫生质量进行监督检查；（四）对消毒服务机构的消毒服务质量进行监督检查；（五）对违反本办法的行为采取行政控制措施；（六）对违反本办法的行为给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5"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441" w:type="dxa"/>
            <w:noWrap/>
            <w:vAlign w:val="center"/>
          </w:tcPr>
          <w:p>
            <w:pPr>
              <w:spacing w:line="260" w:lineRule="exact"/>
              <w:ind w:firstLine="411" w:firstLineChars="196"/>
              <w:rPr>
                <w:rFonts w:ascii="宋体" w:hAnsi="宋体" w:cs="宋体"/>
                <w:color w:val="000000"/>
              </w:rPr>
            </w:pPr>
            <w:r>
              <w:rPr>
                <w:rFonts w:hint="eastAsia" w:ascii="宋体" w:hAnsi="宋体" w:cs="宋体"/>
                <w:color w:val="000000"/>
              </w:rPr>
              <w:t>1.检查责任：对有关机构（医疗卫生机构、托幼机构、义务出租和洗涤机构、殡仪馆火葬场等）场所和物品的消毒工作进行定期不定期的监督检查。</w:t>
            </w:r>
          </w:p>
          <w:p>
            <w:pPr>
              <w:spacing w:line="260" w:lineRule="exact"/>
              <w:ind w:firstLine="411" w:firstLineChars="196"/>
              <w:rPr>
                <w:rFonts w:ascii="宋体" w:hAnsi="宋体" w:cs="宋体"/>
                <w:color w:val="000000"/>
              </w:rPr>
            </w:pPr>
            <w:r>
              <w:rPr>
                <w:rFonts w:hint="eastAsia" w:ascii="宋体" w:hAnsi="宋体" w:cs="宋体"/>
                <w:color w:val="000000"/>
              </w:rPr>
              <w:t>2.处置责任：根据检查情况，依法采取相应的处置措施。</w:t>
            </w:r>
          </w:p>
          <w:p>
            <w:pPr>
              <w:spacing w:line="260" w:lineRule="exact"/>
              <w:ind w:firstLine="411" w:firstLineChars="196"/>
              <w:rPr>
                <w:rFonts w:ascii="宋体" w:hAnsi="宋体" w:cs="宋体"/>
                <w:color w:val="000000"/>
              </w:rPr>
            </w:pPr>
            <w:r>
              <w:rPr>
                <w:rFonts w:hint="eastAsia" w:ascii="宋体" w:hAnsi="宋体" w:cs="宋体"/>
                <w:color w:val="000000"/>
              </w:rPr>
              <w:t>3.信息公开责任：按照相关规定办理信息公开事项。</w:t>
            </w:r>
          </w:p>
          <w:p>
            <w:pPr>
              <w:spacing w:line="260" w:lineRule="exact"/>
              <w:ind w:firstLine="411" w:firstLineChars="196"/>
              <w:rPr>
                <w:rFonts w:ascii="宋体" w:hAnsi="宋体" w:cs="宋体"/>
                <w:color w:val="000000"/>
              </w:rPr>
            </w:pPr>
            <w:r>
              <w:rPr>
                <w:rFonts w:hint="eastAsia" w:ascii="宋体" w:hAnsi="宋体" w:cs="宋体"/>
                <w:color w:val="000000"/>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追责情形</w:t>
            </w:r>
          </w:p>
        </w:tc>
        <w:tc>
          <w:tcPr>
            <w:tcW w:w="8441" w:type="dxa"/>
            <w:noWrap/>
            <w:vAlign w:val="center"/>
          </w:tcPr>
          <w:p>
            <w:pPr>
              <w:spacing w:line="26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消毒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12345</w:t>
            </w:r>
          </w:p>
        </w:tc>
      </w:tr>
    </w:tbl>
    <w:p>
      <w:pPr>
        <w:spacing w:line="260" w:lineRule="exact"/>
        <w:rPr>
          <w:rFonts w:ascii="宋体" w:hAnsi="宋体" w:cs="宋体"/>
          <w:color w:val="000000"/>
        </w:rPr>
      </w:pPr>
    </w:p>
    <w:p>
      <w:pPr>
        <w:spacing w:line="260" w:lineRule="exact"/>
        <w:rPr>
          <w:rFonts w:ascii="宋体" w:hAnsi="宋体" w:cs="宋体"/>
          <w:color w:val="000000"/>
        </w:rPr>
      </w:pPr>
      <w:r>
        <w:rPr>
          <w:rFonts w:hint="eastAsia" w:ascii="宋体" w:hAnsi="宋体" w:cs="宋体"/>
          <w:color w:val="000000"/>
        </w:rPr>
        <w:t>表2-348</w:t>
      </w:r>
    </w:p>
    <w:tbl>
      <w:tblPr>
        <w:tblStyle w:val="13"/>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8"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noWrap/>
            <w:vAlign w:val="center"/>
          </w:tcPr>
          <w:p>
            <w:pPr>
              <w:spacing w:line="260" w:lineRule="exact"/>
              <w:ind w:firstLine="420"/>
              <w:rPr>
                <w:rFonts w:ascii="宋体" w:hAnsi="宋体" w:cs="宋体"/>
                <w:color w:val="000000"/>
              </w:rPr>
            </w:pPr>
            <w:r>
              <w:rPr>
                <w:rFonts w:hint="eastAsia" w:ascii="宋体" w:hAnsi="宋体" w:cs="宋体"/>
                <w:color w:val="000000"/>
                <w:kern w:val="0"/>
              </w:rPr>
              <w:t>对母婴保健法及实施办法、四川省母婴保健法实施办法的执行情况进行监督检查（包括对母婴保健技术服务机构和人员的监督检查）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4"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noWrap/>
            <w:vAlign w:val="center"/>
          </w:tcPr>
          <w:p>
            <w:pPr>
              <w:spacing w:line="260" w:lineRule="exact"/>
              <w:ind w:firstLine="420"/>
              <w:rPr>
                <w:rFonts w:ascii="宋体" w:hAnsi="宋体" w:cs="宋体"/>
                <w:color w:val="000000"/>
              </w:rPr>
            </w:pPr>
            <w:r>
              <w:rPr>
                <w:rFonts w:hint="eastAsia" w:ascii="宋体" w:hAnsi="宋体" w:cs="宋体"/>
                <w:color w:val="000000"/>
              </w:rPr>
              <w:t>1.《母婴保健法实施办法》第三十四条：“县级以上地方人民政府卫生行政部门负责本行政区域内的母婴保健监督管理工作，履行下列监督管理职责，（一）依照母婴保健法和本办法以及国务院卫生行政部门规定的条件和技术标准，对从事母婴保健工作的机构和人员实施许可，并核发相应的许可证书；（二）对母婴保健法和本办法的执行情况进行监督检查；（三）对违反母婴保健法和本办法的行为，依法给予行政处罚；（四）负责母婴保健工作监督管理的其他事项。”</w:t>
            </w:r>
          </w:p>
          <w:p>
            <w:pPr>
              <w:spacing w:line="260" w:lineRule="exact"/>
              <w:ind w:firstLine="420"/>
              <w:rPr>
                <w:rFonts w:ascii="宋体" w:hAnsi="宋体" w:cs="宋体"/>
                <w:color w:val="000000"/>
              </w:rPr>
            </w:pPr>
            <w:r>
              <w:rPr>
                <w:rFonts w:hint="eastAsia" w:ascii="宋体" w:hAnsi="宋体" w:cs="宋体"/>
                <w:color w:val="000000"/>
              </w:rPr>
              <w:t>2.《四川省母婴保健法实施办法》 第三十三条：“县级以上地方人民政府卫生行政部门负责本行政区的母婴保健监督管理工作，行使下列监督管理职权，（一）对本实施办法的执行情况进行监督检查；（二）依据本实施办法的规定，制定相关的制度和管理办法；（三）对提供母婴保健技术服务的医疗保健机构和人员实行许可，并核发相应的许可证书；（四）对违反本实施办法的行为，依法给予行政处罚；（五）负责母婴保健工作监督管理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政策法规与综合监督股、医政股、区卫生健康综合行政执法大队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责任事项</w:t>
            </w:r>
          </w:p>
        </w:tc>
        <w:tc>
          <w:tcPr>
            <w:tcW w:w="8441" w:type="dxa"/>
            <w:noWrap/>
            <w:vAlign w:val="center"/>
          </w:tcPr>
          <w:p>
            <w:pPr>
              <w:spacing w:line="240" w:lineRule="exact"/>
              <w:ind w:firstLine="411" w:firstLineChars="196"/>
              <w:rPr>
                <w:rFonts w:ascii="宋体" w:hAnsi="宋体" w:cs="宋体"/>
                <w:color w:val="000000"/>
              </w:rPr>
            </w:pPr>
            <w:r>
              <w:rPr>
                <w:rFonts w:hint="eastAsia" w:ascii="宋体" w:hAnsi="宋体" w:cs="宋体"/>
                <w:color w:val="000000"/>
              </w:rPr>
              <w:t>1.检查责任：对医疗机构医院感染管理工作进行定期不定期的监督检查。</w:t>
            </w:r>
          </w:p>
          <w:p>
            <w:pPr>
              <w:spacing w:line="240" w:lineRule="exact"/>
              <w:ind w:firstLine="411" w:firstLineChars="196"/>
              <w:rPr>
                <w:rFonts w:ascii="宋体" w:hAnsi="宋体" w:cs="宋体"/>
                <w:color w:val="000000"/>
              </w:rPr>
            </w:pPr>
            <w:r>
              <w:rPr>
                <w:rFonts w:hint="eastAsia" w:ascii="宋体" w:hAnsi="宋体" w:cs="宋体"/>
                <w:color w:val="000000"/>
              </w:rPr>
              <w:t>2.处置责任：根据检查情况，依法采取相应的处置措施。</w:t>
            </w:r>
          </w:p>
          <w:p>
            <w:pPr>
              <w:spacing w:line="240" w:lineRule="exact"/>
              <w:ind w:firstLine="411" w:firstLineChars="196"/>
              <w:rPr>
                <w:rFonts w:ascii="宋体" w:hAnsi="宋体" w:cs="宋体"/>
                <w:color w:val="000000"/>
              </w:rPr>
            </w:pPr>
            <w:r>
              <w:rPr>
                <w:rFonts w:hint="eastAsia" w:ascii="宋体" w:hAnsi="宋体" w:cs="宋体"/>
                <w:color w:val="000000"/>
              </w:rPr>
              <w:t>3.信息公开责任：按照相关规定办理信息公开事项。</w:t>
            </w:r>
          </w:p>
          <w:p>
            <w:pPr>
              <w:spacing w:line="240" w:lineRule="exact"/>
              <w:ind w:firstLine="411" w:firstLineChars="196"/>
              <w:rPr>
                <w:rFonts w:ascii="宋体" w:hAnsi="宋体" w:cs="宋体"/>
                <w:color w:val="000000"/>
              </w:rPr>
            </w:pPr>
            <w:r>
              <w:rPr>
                <w:rFonts w:hint="eastAsia" w:ascii="宋体" w:hAnsi="宋体" w:cs="宋体"/>
                <w:color w:val="000000"/>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8"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追责情形</w:t>
            </w:r>
          </w:p>
        </w:tc>
        <w:tc>
          <w:tcPr>
            <w:tcW w:w="8441" w:type="dxa"/>
            <w:noWrap/>
            <w:vAlign w:val="center"/>
          </w:tcPr>
          <w:p>
            <w:pPr>
              <w:spacing w:line="24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母婴保健法实施办法》《四川省母婴保健法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监督电话</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rPr>
              <w:t>12345</w:t>
            </w:r>
          </w:p>
        </w:tc>
      </w:tr>
    </w:tbl>
    <w:p>
      <w:pPr>
        <w:spacing w:line="240" w:lineRule="exact"/>
        <w:rPr>
          <w:rFonts w:ascii="宋体" w:hAnsi="宋体" w:cs="宋体"/>
          <w:color w:val="000000"/>
        </w:rPr>
      </w:pPr>
      <w:r>
        <w:rPr>
          <w:rFonts w:hint="eastAsia" w:ascii="宋体" w:hAnsi="宋体" w:cs="宋体"/>
          <w:color w:val="000000"/>
        </w:rPr>
        <w:t>表2-349</w:t>
      </w:r>
    </w:p>
    <w:tbl>
      <w:tblPr>
        <w:tblStyle w:val="13"/>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序号</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noWrap/>
            <w:vAlign w:val="center"/>
          </w:tcPr>
          <w:p>
            <w:pPr>
              <w:spacing w:line="240" w:lineRule="exact"/>
              <w:ind w:firstLine="1680" w:firstLineChars="800"/>
              <w:rPr>
                <w:rFonts w:ascii="宋体" w:hAnsi="宋体" w:cs="宋体"/>
                <w:color w:val="000000"/>
              </w:rPr>
            </w:pPr>
            <w:r>
              <w:rPr>
                <w:rFonts w:hint="eastAsia" w:ascii="宋体" w:hAnsi="宋体" w:cs="宋体"/>
                <w:color w:val="000000"/>
                <w:kern w:val="0"/>
              </w:rPr>
              <w:t>对开展新生儿疾病筛查工作的医疗机构进行监督检查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noWrap/>
            <w:vAlign w:val="center"/>
          </w:tcPr>
          <w:p>
            <w:pPr>
              <w:spacing w:line="240" w:lineRule="exact"/>
              <w:ind w:firstLine="420"/>
              <w:rPr>
                <w:rFonts w:ascii="宋体" w:hAnsi="宋体" w:cs="宋体"/>
                <w:color w:val="000000"/>
              </w:rPr>
            </w:pPr>
            <w:r>
              <w:rPr>
                <w:rFonts w:hint="eastAsia" w:ascii="宋体" w:hAnsi="宋体" w:cs="宋体"/>
                <w:color w:val="000000"/>
              </w:rPr>
              <w:t>《新生儿疾病筛查管理办法》(卫生部令2009年第64号)第十五条：“县级以上地方人民政府卫生行政部门应当对本行政区域内开展新生儿疾病筛查工作的医疗机构进行监督检查。”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rPr>
              <w:t>政策法规与综合监督股、公卫股、医政股、区卫生健康综合行政执法大队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责任事项</w:t>
            </w:r>
          </w:p>
        </w:tc>
        <w:tc>
          <w:tcPr>
            <w:tcW w:w="8441" w:type="dxa"/>
            <w:noWrap/>
            <w:vAlign w:val="center"/>
          </w:tcPr>
          <w:p>
            <w:pPr>
              <w:spacing w:line="240" w:lineRule="exact"/>
              <w:ind w:firstLine="420" w:firstLineChars="200"/>
              <w:rPr>
                <w:rFonts w:ascii="宋体" w:hAnsi="宋体" w:cs="宋体"/>
                <w:color w:val="000000"/>
              </w:rPr>
            </w:pPr>
            <w:r>
              <w:rPr>
                <w:rFonts w:hint="eastAsia" w:ascii="宋体" w:hAnsi="宋体" w:cs="宋体"/>
                <w:color w:val="000000"/>
              </w:rPr>
              <w:t>1.检查责任：对开展新生儿疾病筛查工作的医疗机构进行定期不定期的监督检查。</w:t>
            </w:r>
          </w:p>
          <w:p>
            <w:pPr>
              <w:spacing w:line="240" w:lineRule="exact"/>
              <w:ind w:firstLine="411" w:firstLineChars="196"/>
              <w:rPr>
                <w:rFonts w:ascii="宋体" w:hAnsi="宋体" w:cs="宋体"/>
                <w:color w:val="000000"/>
              </w:rPr>
            </w:pPr>
            <w:r>
              <w:rPr>
                <w:rFonts w:hint="eastAsia" w:ascii="宋体" w:hAnsi="宋体" w:cs="宋体"/>
                <w:color w:val="000000"/>
              </w:rPr>
              <w:t>2.处置责任：根据检查情况，依法采取相应的处置措施。</w:t>
            </w:r>
          </w:p>
          <w:p>
            <w:pPr>
              <w:spacing w:line="240" w:lineRule="exact"/>
              <w:ind w:firstLine="411" w:firstLineChars="196"/>
              <w:rPr>
                <w:rFonts w:ascii="宋体" w:hAnsi="宋体" w:cs="宋体"/>
                <w:color w:val="000000"/>
              </w:rPr>
            </w:pPr>
            <w:r>
              <w:rPr>
                <w:rFonts w:hint="eastAsia" w:ascii="宋体" w:hAnsi="宋体" w:cs="宋体"/>
                <w:color w:val="000000"/>
              </w:rPr>
              <w:t>3.信息公开责任：按照相关规定办理信息公开事项。</w:t>
            </w:r>
          </w:p>
          <w:p>
            <w:pPr>
              <w:spacing w:line="240" w:lineRule="exact"/>
              <w:ind w:firstLine="411" w:firstLineChars="196"/>
              <w:rPr>
                <w:rFonts w:ascii="宋体" w:hAnsi="宋体" w:cs="宋体"/>
                <w:color w:val="000000"/>
              </w:rPr>
            </w:pPr>
            <w:r>
              <w:rPr>
                <w:rFonts w:hint="eastAsia" w:ascii="宋体" w:hAnsi="宋体" w:cs="宋体"/>
                <w:color w:val="000000"/>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追责情形</w:t>
            </w:r>
          </w:p>
        </w:tc>
        <w:tc>
          <w:tcPr>
            <w:tcW w:w="8441" w:type="dxa"/>
            <w:noWrap/>
            <w:vAlign w:val="center"/>
          </w:tcPr>
          <w:p>
            <w:pPr>
              <w:spacing w:line="24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新生儿疾病筛查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监督电话</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rPr>
              <w:t>12345</w:t>
            </w:r>
          </w:p>
        </w:tc>
      </w:tr>
    </w:tbl>
    <w:p>
      <w:pPr>
        <w:spacing w:line="240" w:lineRule="exact"/>
        <w:rPr>
          <w:rFonts w:ascii="宋体" w:hAnsi="宋体" w:cs="宋体"/>
          <w:color w:val="000000"/>
        </w:rPr>
      </w:pPr>
      <w:r>
        <w:rPr>
          <w:rFonts w:hint="eastAsia" w:ascii="宋体" w:hAnsi="宋体" w:cs="宋体"/>
          <w:color w:val="000000"/>
        </w:rPr>
        <w:t>表2-350</w:t>
      </w:r>
    </w:p>
    <w:tbl>
      <w:tblPr>
        <w:tblStyle w:val="13"/>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序号</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noWrap/>
            <w:vAlign w:val="center"/>
          </w:tcPr>
          <w:p>
            <w:pPr>
              <w:spacing w:line="240" w:lineRule="exact"/>
              <w:ind w:firstLine="420"/>
              <w:rPr>
                <w:rFonts w:ascii="宋体" w:hAnsi="宋体" w:cs="宋体"/>
                <w:color w:val="000000"/>
              </w:rPr>
            </w:pPr>
            <w:r>
              <w:rPr>
                <w:rFonts w:hint="eastAsia" w:ascii="宋体" w:hAnsi="宋体" w:cs="宋体"/>
                <w:color w:val="000000"/>
                <w:kern w:val="0"/>
              </w:rPr>
              <w:t>对计划生育技术服务的监督检查（包括对计划生育技术服务机构和人员的检查）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1"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noWrap/>
            <w:vAlign w:val="center"/>
          </w:tcPr>
          <w:p>
            <w:pPr>
              <w:spacing w:line="240" w:lineRule="exact"/>
              <w:ind w:firstLine="420"/>
              <w:rPr>
                <w:rFonts w:ascii="宋体" w:hAnsi="宋体" w:cs="宋体"/>
                <w:color w:val="000000"/>
              </w:rPr>
            </w:pPr>
            <w:r>
              <w:rPr>
                <w:rFonts w:hint="eastAsia" w:ascii="宋体" w:hAnsi="宋体" w:cs="宋体"/>
                <w:color w:val="000000"/>
              </w:rPr>
              <w:t>1.《计划生育技术服务管理条例》（2001年6月13日国务院令第309号公布，自2001年10月1日起施行，2004年修订）第三十一条：“国务院计划生育行政部门负责全国计划生育技术服务的监督管理工作。县级以上地方人民政府计划生育行政部门负责本行政区域内计划生育技术服务的监督管理工作。 县级以上人民政府卫生行政部门依据本条例的规定，负责对从事计划生育技术服务的医疗、保健机构的监督管理工作。”</w:t>
            </w:r>
          </w:p>
          <w:p>
            <w:pPr>
              <w:spacing w:line="240" w:lineRule="exact"/>
              <w:ind w:firstLine="420"/>
              <w:rPr>
                <w:rFonts w:ascii="宋体" w:hAnsi="宋体" w:cs="宋体"/>
                <w:color w:val="000000"/>
              </w:rPr>
            </w:pPr>
            <w:r>
              <w:rPr>
                <w:rFonts w:hint="eastAsia" w:ascii="宋体" w:hAnsi="宋体" w:cs="宋体"/>
                <w:color w:val="000000"/>
              </w:rPr>
              <w:t>2《计划生育技术服务管理条例实施细则》（2001年12月29日国家计划生育委员会令第6号）第四十条：“县级以上地方人民政府计划生育行政部门负责本行政区域内计划生育技术服务监督管理工作，履行下列监督管理职责，（一）负责提出对本行政区域内计划生育技术服务网络的规划，报同级人民政府批准后，负责其建设和管理的具体工作；（二）负责对本行政区域内计划生育技术服务机构和人员执业许可、登记和许可证明文件的校验；（三）对本行政区域内从事计划生育技术服务的机构和人员执行条例和本细则的情况进行检查和监督；（四）负责本行政区域内计划生育技术服务统计工作；（五）对本行政区域内计划生育技术服务中出现的事故、并发症、不良反应进行调查处理；（六）负责病残儿医学鉴定和计划生育手术并发症的管理工作；（七）对在本行政区域内开展的涉及人群的计划生育科学技术项目和国际合作项目进行监督管理；（八）对违反条例及本细则的行为，依法给予行政处罚；（九）负责本行政区域内计划生育技术服务监督管理的其他事项。”第四十四条：“县级以上地方人民政府计划生育行政部门每年至少组织一次计划生育技术服务工作检查，检查的主要内容包括：各级从事计划生育技术服务的机构执行条例和本细则的情况，执行计划生育技术标准、服务规范的情况，技术服务质量以及计划生育技术、药具的应用情况。”第四十五条：“县级以上地方人民政府计划生育行政部门依法受理辖区内机构、个人对销售计划生育药具、相关产品的质量、事故、不良反应以及辖区内从事计划生育技术服务的机构提供的计划生育技术服务的质量、事故的举报和投诉，并对举报和投诉进行登记，会同有关部门及时作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2"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rPr>
              <w:t>政策法规与综合监督股、人口监测与家庭发展股、区卫生健康综合行政执法大队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2"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责任事项</w:t>
            </w:r>
          </w:p>
        </w:tc>
        <w:tc>
          <w:tcPr>
            <w:tcW w:w="8441" w:type="dxa"/>
            <w:noWrap/>
            <w:vAlign w:val="center"/>
          </w:tcPr>
          <w:p>
            <w:pPr>
              <w:spacing w:line="240" w:lineRule="exact"/>
              <w:ind w:firstLine="411" w:firstLineChars="196"/>
              <w:rPr>
                <w:rFonts w:ascii="宋体" w:hAnsi="宋体" w:cs="宋体"/>
                <w:color w:val="000000"/>
              </w:rPr>
            </w:pPr>
            <w:r>
              <w:rPr>
                <w:rFonts w:hint="eastAsia" w:ascii="宋体" w:hAnsi="宋体" w:cs="宋体"/>
                <w:color w:val="000000"/>
              </w:rPr>
              <w:t>1.检查责任：对计划生育技术服务以及计划生育服务机构和人员进行日常的监督管理。</w:t>
            </w:r>
          </w:p>
          <w:p>
            <w:pPr>
              <w:spacing w:line="240" w:lineRule="exact"/>
              <w:ind w:firstLine="411" w:firstLineChars="196"/>
              <w:rPr>
                <w:rFonts w:ascii="宋体" w:hAnsi="宋体" w:cs="宋体"/>
                <w:color w:val="000000"/>
              </w:rPr>
            </w:pPr>
            <w:r>
              <w:rPr>
                <w:rFonts w:hint="eastAsia" w:ascii="宋体" w:hAnsi="宋体" w:cs="宋体"/>
                <w:color w:val="000000"/>
              </w:rPr>
              <w:t>2.处置责任：根据检查情况，依法采取相应的处置措施。</w:t>
            </w:r>
          </w:p>
          <w:p>
            <w:pPr>
              <w:spacing w:line="240" w:lineRule="exact"/>
              <w:ind w:firstLine="411" w:firstLineChars="196"/>
              <w:rPr>
                <w:rFonts w:ascii="宋体" w:hAnsi="宋体" w:cs="宋体"/>
                <w:color w:val="000000"/>
              </w:rPr>
            </w:pPr>
            <w:r>
              <w:rPr>
                <w:rFonts w:hint="eastAsia" w:ascii="宋体" w:hAnsi="宋体" w:cs="宋体"/>
                <w:color w:val="000000"/>
              </w:rPr>
              <w:t>3.信息公开责任：按照相关规定办理信息公开事项。</w:t>
            </w:r>
          </w:p>
          <w:p>
            <w:pPr>
              <w:spacing w:line="240" w:lineRule="exact"/>
              <w:ind w:firstLine="411" w:firstLineChars="196"/>
              <w:rPr>
                <w:rFonts w:ascii="宋体" w:hAnsi="宋体" w:cs="宋体"/>
                <w:color w:val="000000"/>
              </w:rPr>
            </w:pPr>
            <w:r>
              <w:rPr>
                <w:rFonts w:hint="eastAsia" w:ascii="宋体" w:hAnsi="宋体" w:cs="宋体"/>
                <w:color w:val="000000"/>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2"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追责情形</w:t>
            </w:r>
          </w:p>
        </w:tc>
        <w:tc>
          <w:tcPr>
            <w:tcW w:w="8441" w:type="dxa"/>
            <w:noWrap/>
            <w:vAlign w:val="center"/>
          </w:tcPr>
          <w:p>
            <w:pPr>
              <w:spacing w:line="24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计划生育技术服务管理条例》《计划生育技术服务管理条例实施细则》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监督电话</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rPr>
              <w:t>12345</w:t>
            </w:r>
          </w:p>
        </w:tc>
      </w:tr>
    </w:tbl>
    <w:p>
      <w:pPr>
        <w:spacing w:line="240" w:lineRule="exact"/>
        <w:rPr>
          <w:rFonts w:ascii="宋体" w:hAnsi="宋体" w:cs="宋体"/>
          <w:color w:val="000000"/>
        </w:rPr>
      </w:pPr>
      <w:r>
        <w:rPr>
          <w:rFonts w:hint="eastAsia" w:ascii="宋体" w:hAnsi="宋体" w:cs="宋体"/>
          <w:color w:val="000000"/>
        </w:rPr>
        <w:t>表2-351</w:t>
      </w:r>
    </w:p>
    <w:tbl>
      <w:tblPr>
        <w:tblStyle w:val="13"/>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序号</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noWrap/>
            <w:vAlign w:val="center"/>
          </w:tcPr>
          <w:p>
            <w:pPr>
              <w:spacing w:line="240" w:lineRule="exact"/>
              <w:ind w:firstLine="420"/>
              <w:jc w:val="center"/>
              <w:rPr>
                <w:rFonts w:ascii="宋体" w:hAnsi="宋体" w:cs="宋体"/>
                <w:color w:val="000000"/>
              </w:rPr>
            </w:pPr>
            <w:r>
              <w:rPr>
                <w:rFonts w:hint="eastAsia" w:ascii="宋体" w:hAnsi="宋体" w:cs="宋体"/>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noWrap/>
            <w:vAlign w:val="center"/>
          </w:tcPr>
          <w:p>
            <w:pPr>
              <w:spacing w:line="240" w:lineRule="exact"/>
              <w:ind w:firstLine="840" w:firstLineChars="400"/>
              <w:rPr>
                <w:rFonts w:ascii="宋体" w:hAnsi="宋体" w:cs="宋体"/>
                <w:color w:val="000000"/>
              </w:rPr>
            </w:pPr>
            <w:r>
              <w:rPr>
                <w:rFonts w:hint="eastAsia" w:ascii="宋体" w:hAnsi="宋体" w:cs="宋体"/>
                <w:color w:val="000000"/>
                <w:kern w:val="0"/>
              </w:rPr>
              <w:t>对医疗保健机构和计划生育技术服务机构是否开展两非行为进行定期检查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16"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noWrap/>
            <w:vAlign w:val="center"/>
          </w:tcPr>
          <w:p>
            <w:pPr>
              <w:spacing w:line="240" w:lineRule="exact"/>
              <w:ind w:firstLine="420"/>
              <w:rPr>
                <w:rFonts w:ascii="宋体" w:hAnsi="宋体" w:cs="宋体"/>
                <w:color w:val="000000"/>
              </w:rPr>
            </w:pPr>
            <w:r>
              <w:rPr>
                <w:rFonts w:hint="eastAsia" w:ascii="宋体" w:hAnsi="宋体" w:cs="宋体"/>
                <w:color w:val="000000"/>
              </w:rPr>
              <w:t>1.《计划生育技术服务管理条例》（2001年6月13日国务院令第309号公布，自2001年10月1日起施行，2004年修订）第三十一条：“国务院计划生育行政部门负责全国计划生育技术服务的监督管理工作。县级以上地方人民政府计划生育行政部门负责本行政区域内计划生育技术服务的监督管理工作。县级以上人民政府卫生行政部门依据本条例的规定，负责对从事计划生育技术服务的医疗、保健机构的监督管理工作。”</w:t>
            </w:r>
          </w:p>
          <w:p>
            <w:pPr>
              <w:spacing w:line="240" w:lineRule="exact"/>
              <w:ind w:firstLine="420"/>
              <w:rPr>
                <w:rFonts w:ascii="宋体" w:hAnsi="宋体" w:cs="宋体"/>
                <w:color w:val="000000"/>
              </w:rPr>
            </w:pPr>
            <w:r>
              <w:rPr>
                <w:rFonts w:hint="eastAsia" w:ascii="宋体" w:hAnsi="宋体" w:cs="宋体"/>
                <w:color w:val="000000"/>
              </w:rPr>
              <w:t>2.《禁止非医学需要的胎儿性别鉴定和选择性别人工终止妊娠的规定》（2016年5月1日施行）第五条：“县级以上卫生计生行政部门履行以下职责，（一）监管并组织、协调非医学需要的胎儿性别鉴定和选择性别人工终止妊娠的查处工作；（二）负责医疗卫生机构及其从业人员的执业准入和相关医疗器械使用监管，以及相关法律法规、执业规范的宣传培训等工作；（三）负责人口信息管理系统的使用管理，指导医疗卫生机构及时准确地采集新生儿出生、死亡等相关信息；（四）法律、法规、规章规定的涉及非医学需要的胎儿性别鉴定和选择性别人工终止妊娠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noWrap/>
            <w:vAlign w:val="center"/>
          </w:tcPr>
          <w:p>
            <w:pPr>
              <w:spacing w:line="240" w:lineRule="exact"/>
              <w:rPr>
                <w:rFonts w:ascii="宋体" w:hAnsi="宋体" w:cs="宋体"/>
                <w:color w:val="000000"/>
              </w:rPr>
            </w:pPr>
            <w:r>
              <w:rPr>
                <w:rFonts w:hint="eastAsia" w:ascii="宋体" w:hAnsi="宋体" w:cs="宋体"/>
                <w:color w:val="000000"/>
              </w:rPr>
              <w:t>政策法规与综合监督股、医政股、人口监测与家庭发展股、区卫生健康综合行政执法大队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8" w:hRule="atLeast"/>
        </w:trPr>
        <w:tc>
          <w:tcPr>
            <w:tcW w:w="547" w:type="dxa"/>
            <w:noWrap/>
            <w:vAlign w:val="center"/>
          </w:tcPr>
          <w:p>
            <w:pPr>
              <w:spacing w:line="240" w:lineRule="exact"/>
              <w:jc w:val="center"/>
              <w:textAlignment w:val="center"/>
              <w:rPr>
                <w:rFonts w:ascii="宋体" w:hAnsi="宋体" w:cs="宋体"/>
                <w:color w:val="000000"/>
              </w:rPr>
            </w:pPr>
            <w:r>
              <w:rPr>
                <w:rFonts w:hint="eastAsia" w:ascii="宋体" w:hAnsi="宋体" w:cs="宋体"/>
                <w:color w:val="000000"/>
              </w:rPr>
              <w:t>责任事项</w:t>
            </w:r>
          </w:p>
        </w:tc>
        <w:tc>
          <w:tcPr>
            <w:tcW w:w="8441" w:type="dxa"/>
            <w:noWrap/>
            <w:vAlign w:val="center"/>
          </w:tcPr>
          <w:p>
            <w:pPr>
              <w:spacing w:line="240" w:lineRule="exact"/>
              <w:ind w:firstLine="411" w:firstLineChars="196"/>
              <w:rPr>
                <w:rFonts w:ascii="宋体" w:hAnsi="宋体" w:cs="宋体"/>
                <w:color w:val="000000"/>
              </w:rPr>
            </w:pPr>
            <w:r>
              <w:rPr>
                <w:rFonts w:hint="eastAsia" w:ascii="宋体" w:hAnsi="宋体" w:cs="宋体"/>
                <w:color w:val="000000"/>
              </w:rPr>
              <w:t>1.检查责任：根据本地区的实际情况，对所辖区域开展胎儿性别鉴定和终止妊娠手术的医疗保健机构和计划生育技术服务机构是否开展两非行为进行监督检查指导。</w:t>
            </w:r>
          </w:p>
          <w:p>
            <w:pPr>
              <w:spacing w:line="240" w:lineRule="exact"/>
              <w:ind w:firstLine="411" w:firstLineChars="196"/>
              <w:rPr>
                <w:rFonts w:ascii="宋体" w:hAnsi="宋体" w:cs="宋体"/>
                <w:color w:val="000000"/>
              </w:rPr>
            </w:pPr>
            <w:r>
              <w:rPr>
                <w:rFonts w:hint="eastAsia" w:ascii="宋体" w:hAnsi="宋体" w:cs="宋体"/>
                <w:color w:val="000000"/>
              </w:rPr>
              <w:t>2.处置责任：对违反法律法规规定开展两非行为的机构和个人依法给予行政处罚和处分。</w:t>
            </w:r>
          </w:p>
          <w:p>
            <w:pPr>
              <w:spacing w:line="240" w:lineRule="exact"/>
              <w:ind w:firstLine="411" w:firstLineChars="196"/>
              <w:rPr>
                <w:rFonts w:ascii="宋体" w:hAnsi="宋体" w:cs="宋体"/>
                <w:color w:val="000000"/>
              </w:rPr>
            </w:pPr>
            <w:r>
              <w:rPr>
                <w:rFonts w:hint="eastAsia" w:ascii="宋体" w:hAnsi="宋体" w:cs="宋体"/>
                <w:color w:val="000000"/>
              </w:rPr>
              <w:t>3.信息公开责任：按照相关规定办理信息公开事项。</w:t>
            </w:r>
          </w:p>
          <w:p>
            <w:pPr>
              <w:spacing w:line="240" w:lineRule="exact"/>
              <w:ind w:firstLine="411" w:firstLineChars="196"/>
              <w:rPr>
                <w:rFonts w:ascii="宋体" w:hAnsi="宋体" w:cs="宋体"/>
                <w:color w:val="000000"/>
              </w:rPr>
            </w:pPr>
            <w:r>
              <w:rPr>
                <w:rFonts w:hint="eastAsia" w:ascii="宋体" w:hAnsi="宋体" w:cs="宋体"/>
                <w:color w:val="000000"/>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2"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追责情形</w:t>
            </w:r>
          </w:p>
        </w:tc>
        <w:tc>
          <w:tcPr>
            <w:tcW w:w="8441" w:type="dxa"/>
            <w:noWrap/>
            <w:vAlign w:val="center"/>
          </w:tcPr>
          <w:p>
            <w:pPr>
              <w:spacing w:line="26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计划生育技术服务管理条例》《禁止非医学需要的胎儿性别鉴定和选择性别人工终止妊娠的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441"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12345</w:t>
            </w:r>
          </w:p>
        </w:tc>
      </w:tr>
    </w:tbl>
    <w:p>
      <w:pPr>
        <w:spacing w:line="260" w:lineRule="exact"/>
        <w:rPr>
          <w:rFonts w:ascii="宋体" w:hAnsi="宋体" w:cs="宋体"/>
          <w:color w:val="000000"/>
        </w:rPr>
      </w:pPr>
      <w:r>
        <w:rPr>
          <w:rFonts w:hint="eastAsia" w:ascii="宋体" w:hAnsi="宋体" w:cs="宋体"/>
          <w:color w:val="000000"/>
        </w:rPr>
        <w:t>表2-352</w:t>
      </w:r>
    </w:p>
    <w:tbl>
      <w:tblPr>
        <w:tblStyle w:val="13"/>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547"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547"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jc w:val="center"/>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547"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kern w:val="0"/>
              </w:rPr>
              <w:t>对传染病防治工作的监督检查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0" w:hRule="atLeast"/>
          <w:jc w:val="center"/>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547" w:type="dxa"/>
            <w:noWrap/>
            <w:vAlign w:val="center"/>
          </w:tcPr>
          <w:p>
            <w:pPr>
              <w:spacing w:line="260" w:lineRule="exact"/>
              <w:ind w:firstLine="420"/>
              <w:rPr>
                <w:rFonts w:ascii="宋体" w:hAnsi="宋体" w:cs="宋体"/>
                <w:color w:val="000000"/>
              </w:rPr>
            </w:pPr>
            <w:r>
              <w:rPr>
                <w:rFonts w:hint="eastAsia" w:ascii="宋体" w:hAnsi="宋体" w:cs="宋体"/>
                <w:color w:val="000000"/>
              </w:rPr>
              <w:t>《中华人民共和国传染病防治法》第六条：“国务院卫生行政部门主管全国传染病防治及其监督管理工作。县级以上地方人民政府卫生行政部门负责本行政区域内的传染病防治及其监督管理工作。县级以上人民政府其他部门在各自的职责范围内负责传染病防治工作。军队的传染病防治工作，依照本法和国家有关规定办理，由中国人民解放军卫生主管部门实施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547"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政策法规与综合监督股、公共卫生股、区卫生健康综合行政执法大队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jc w:val="center"/>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547" w:type="dxa"/>
            <w:noWrap/>
            <w:vAlign w:val="center"/>
          </w:tcPr>
          <w:p>
            <w:pPr>
              <w:spacing w:line="260" w:lineRule="exact"/>
              <w:ind w:firstLine="411" w:firstLineChars="196"/>
              <w:rPr>
                <w:rFonts w:ascii="宋体" w:hAnsi="宋体" w:cs="宋体"/>
                <w:color w:val="000000"/>
              </w:rPr>
            </w:pPr>
            <w:r>
              <w:rPr>
                <w:rFonts w:hint="eastAsia" w:ascii="宋体" w:hAnsi="宋体" w:cs="宋体"/>
                <w:color w:val="000000"/>
              </w:rPr>
              <w:t>1.检查责任：对传染病防治工作开展定期不定期的监督检查。</w:t>
            </w:r>
          </w:p>
          <w:p>
            <w:pPr>
              <w:spacing w:line="260" w:lineRule="exact"/>
              <w:ind w:firstLine="411" w:firstLineChars="196"/>
              <w:rPr>
                <w:rFonts w:ascii="宋体" w:hAnsi="宋体" w:cs="宋体"/>
                <w:color w:val="000000"/>
              </w:rPr>
            </w:pPr>
            <w:r>
              <w:rPr>
                <w:rFonts w:hint="eastAsia" w:ascii="宋体" w:hAnsi="宋体" w:cs="宋体"/>
                <w:color w:val="000000"/>
              </w:rPr>
              <w:t>2.处置责任：根据检查情况，依法采取相应的处置措施。</w:t>
            </w:r>
          </w:p>
          <w:p>
            <w:pPr>
              <w:spacing w:line="260" w:lineRule="exact"/>
              <w:ind w:firstLine="411" w:firstLineChars="196"/>
              <w:rPr>
                <w:rFonts w:ascii="宋体" w:hAnsi="宋体" w:cs="宋体"/>
                <w:color w:val="000000"/>
              </w:rPr>
            </w:pPr>
            <w:r>
              <w:rPr>
                <w:rFonts w:hint="eastAsia" w:ascii="宋体" w:hAnsi="宋体" w:cs="宋体"/>
                <w:color w:val="000000"/>
              </w:rPr>
              <w:t>3.信息公开责任：按照相关规定办理信息公开事项。</w:t>
            </w:r>
          </w:p>
          <w:p>
            <w:pPr>
              <w:spacing w:line="260" w:lineRule="exact"/>
              <w:ind w:firstLine="411" w:firstLineChars="196"/>
              <w:rPr>
                <w:rFonts w:ascii="宋体" w:hAnsi="宋体" w:cs="宋体"/>
                <w:color w:val="000000"/>
              </w:rPr>
            </w:pPr>
            <w:r>
              <w:rPr>
                <w:rFonts w:hint="eastAsia" w:ascii="宋体" w:hAnsi="宋体" w:cs="宋体"/>
                <w:color w:val="000000"/>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追责情形</w:t>
            </w:r>
          </w:p>
        </w:tc>
        <w:tc>
          <w:tcPr>
            <w:tcW w:w="8547" w:type="dxa"/>
            <w:noWrap/>
            <w:vAlign w:val="center"/>
          </w:tcPr>
          <w:p>
            <w:pPr>
              <w:spacing w:line="26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传染病防治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8" w:hRule="atLeast"/>
          <w:jc w:val="center"/>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547"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12345</w:t>
            </w:r>
          </w:p>
        </w:tc>
      </w:tr>
    </w:tbl>
    <w:p>
      <w:pPr>
        <w:spacing w:line="260" w:lineRule="exact"/>
        <w:rPr>
          <w:rFonts w:ascii="宋体" w:hAnsi="宋体" w:cs="宋体"/>
          <w:color w:val="000000"/>
        </w:rPr>
      </w:pPr>
      <w:r>
        <w:rPr>
          <w:rFonts w:hint="eastAsia" w:ascii="宋体" w:hAnsi="宋体" w:cs="宋体"/>
          <w:color w:val="000000"/>
        </w:rPr>
        <w:t>表2-353</w:t>
      </w:r>
    </w:p>
    <w:tbl>
      <w:tblPr>
        <w:tblStyle w:val="13"/>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547"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0" w:hRule="atLeast"/>
          <w:jc w:val="center"/>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547"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jc w:val="center"/>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547"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kern w:val="0"/>
              </w:rPr>
              <w:t>对医疗卫生机构履行精神障碍预防义务的情况进行检查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0" w:hRule="atLeast"/>
          <w:jc w:val="center"/>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547" w:type="dxa"/>
            <w:noWrap/>
            <w:vAlign w:val="center"/>
          </w:tcPr>
          <w:p>
            <w:pPr>
              <w:spacing w:line="260" w:lineRule="exact"/>
              <w:ind w:firstLine="420"/>
              <w:rPr>
                <w:rFonts w:ascii="宋体" w:hAnsi="宋体" w:cs="宋体"/>
                <w:color w:val="000000"/>
              </w:rPr>
            </w:pPr>
            <w:r>
              <w:rPr>
                <w:rFonts w:hint="eastAsia" w:ascii="宋体" w:hAnsi="宋体" w:cs="宋体"/>
                <w:color w:val="000000"/>
              </w:rPr>
              <w:t>1.《中华人民共和国精神卫生法》第十五条:“用人单位应当创造有益于职工身心健康的工作环境，关注职工的心理健康；对处于职业发展特定时期或者在特殊岗位工作的职工，应当有针对性地开展心理健康教育。”</w:t>
            </w:r>
          </w:p>
          <w:p>
            <w:pPr>
              <w:spacing w:line="260" w:lineRule="exact"/>
              <w:ind w:firstLine="420"/>
              <w:rPr>
                <w:rFonts w:ascii="宋体" w:hAnsi="宋体" w:cs="宋体"/>
                <w:color w:val="000000"/>
              </w:rPr>
            </w:pPr>
            <w:r>
              <w:rPr>
                <w:rFonts w:hint="eastAsia" w:ascii="宋体" w:hAnsi="宋体" w:cs="宋体"/>
                <w:color w:val="000000"/>
              </w:rPr>
              <w:t>2.《中华人民共和国精神卫生法》第十八条：“监狱、看守所、拘留所、强制隔离戒毒所等场所，应当对服刑人员，被依法拘留、逮捕、强制隔离戒毒的人员等，开展精神卫生知识宣传，关注其心理健康状况，必要时提供心理咨询和心理辅导。”</w:t>
            </w:r>
          </w:p>
          <w:p>
            <w:pPr>
              <w:spacing w:line="260" w:lineRule="exact"/>
              <w:ind w:firstLine="420"/>
              <w:rPr>
                <w:rFonts w:ascii="宋体" w:hAnsi="宋体" w:cs="宋体"/>
                <w:color w:val="000000"/>
              </w:rPr>
            </w:pPr>
            <w:r>
              <w:rPr>
                <w:rFonts w:hint="eastAsia" w:ascii="宋体" w:hAnsi="宋体" w:cs="宋体"/>
                <w:color w:val="000000"/>
              </w:rPr>
              <w:t>3.《中华人民共和国精神卫生法》第十九条：“县级以上地方人民政府人力资源社会保障、教育、卫生、司法行政、公安等部门应当在各自职责范围内分别对本法第十五条至第十八条规定的单位履行精神障碍预防义务的情况进行督促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547"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政策法规与综合监督股、公共卫生股、区卫生健康综合行政执法大队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9" w:hRule="atLeast"/>
          <w:jc w:val="center"/>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547" w:type="dxa"/>
            <w:noWrap/>
            <w:vAlign w:val="center"/>
          </w:tcPr>
          <w:p>
            <w:pPr>
              <w:spacing w:line="260" w:lineRule="exact"/>
              <w:ind w:firstLine="411" w:firstLineChars="196"/>
              <w:rPr>
                <w:rFonts w:ascii="宋体" w:hAnsi="宋体" w:cs="宋体"/>
                <w:color w:val="000000"/>
              </w:rPr>
            </w:pPr>
            <w:r>
              <w:rPr>
                <w:rFonts w:hint="eastAsia" w:ascii="宋体" w:hAnsi="宋体" w:cs="宋体"/>
                <w:color w:val="000000"/>
              </w:rPr>
              <w:t>1.检查责任：根据本地区的实际情况，对医疗机构及医务人员履行精神障碍预防义务的情况进行定期或者不定期检查。</w:t>
            </w:r>
          </w:p>
          <w:p>
            <w:pPr>
              <w:spacing w:line="260" w:lineRule="exact"/>
              <w:ind w:firstLine="411" w:firstLineChars="196"/>
              <w:rPr>
                <w:rFonts w:ascii="宋体" w:hAnsi="宋体" w:cs="宋体"/>
                <w:color w:val="000000"/>
              </w:rPr>
            </w:pPr>
            <w:r>
              <w:rPr>
                <w:rFonts w:hint="eastAsia" w:ascii="宋体" w:hAnsi="宋体" w:cs="宋体"/>
                <w:color w:val="000000"/>
              </w:rPr>
              <w:t>2.处置责任：根据检查结果进行相应处置。</w:t>
            </w:r>
          </w:p>
          <w:p>
            <w:pPr>
              <w:spacing w:line="260" w:lineRule="exact"/>
              <w:ind w:firstLine="411" w:firstLineChars="196"/>
              <w:rPr>
                <w:rFonts w:ascii="宋体" w:hAnsi="宋体" w:cs="宋体"/>
                <w:color w:val="000000"/>
              </w:rPr>
            </w:pPr>
            <w:r>
              <w:rPr>
                <w:rFonts w:hint="eastAsia" w:ascii="宋体" w:hAnsi="宋体" w:cs="宋体"/>
                <w:color w:val="000000"/>
              </w:rPr>
              <w:t>3.信息公开责任：按照相关规定办理信息公开事项。</w:t>
            </w:r>
          </w:p>
          <w:p>
            <w:pPr>
              <w:spacing w:line="260" w:lineRule="exact"/>
              <w:ind w:firstLine="411" w:firstLineChars="196"/>
              <w:rPr>
                <w:rFonts w:ascii="宋体" w:hAnsi="宋体" w:cs="宋体"/>
                <w:color w:val="000000"/>
              </w:rPr>
            </w:pPr>
            <w:r>
              <w:rPr>
                <w:rFonts w:hint="eastAsia" w:ascii="宋体" w:hAnsi="宋体" w:cs="宋体"/>
                <w:color w:val="000000"/>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3" w:hRule="atLeast"/>
          <w:jc w:val="center"/>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追责情形</w:t>
            </w:r>
          </w:p>
        </w:tc>
        <w:tc>
          <w:tcPr>
            <w:tcW w:w="8547" w:type="dxa"/>
            <w:noWrap/>
            <w:vAlign w:val="center"/>
          </w:tcPr>
          <w:p>
            <w:pPr>
              <w:spacing w:line="26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精神卫生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6" w:hRule="atLeast"/>
          <w:jc w:val="center"/>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547"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12345</w:t>
            </w:r>
          </w:p>
        </w:tc>
      </w:tr>
    </w:tbl>
    <w:p>
      <w:pPr>
        <w:spacing w:line="260" w:lineRule="exact"/>
        <w:rPr>
          <w:rFonts w:ascii="宋体" w:hAnsi="宋体" w:cs="宋体"/>
          <w:color w:val="000000"/>
        </w:rPr>
      </w:pPr>
      <w:r>
        <w:rPr>
          <w:rFonts w:hint="eastAsia" w:ascii="宋体" w:hAnsi="宋体" w:cs="宋体"/>
          <w:color w:val="000000"/>
        </w:rPr>
        <w:t>表2-354</w:t>
      </w:r>
    </w:p>
    <w:tbl>
      <w:tblPr>
        <w:tblStyle w:val="13"/>
        <w:tblW w:w="917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8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righ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623"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3" w:hRule="atLeast"/>
          <w:jc w:val="righ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623"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jc w:val="righ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623" w:type="dxa"/>
            <w:noWrap/>
            <w:vAlign w:val="center"/>
          </w:tcPr>
          <w:p>
            <w:pPr>
              <w:spacing w:line="260" w:lineRule="exact"/>
              <w:ind w:firstLine="2100" w:firstLineChars="1000"/>
              <w:rPr>
                <w:rFonts w:ascii="宋体" w:hAnsi="宋体" w:cs="宋体"/>
                <w:color w:val="000000"/>
              </w:rPr>
            </w:pPr>
            <w:r>
              <w:rPr>
                <w:rFonts w:hint="eastAsia" w:ascii="宋体" w:hAnsi="宋体" w:cs="宋体"/>
                <w:color w:val="000000"/>
                <w:kern w:val="0"/>
              </w:rPr>
              <w:t>对医疗机构、医务人员、医疗服务的行政检查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righ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623" w:type="dxa"/>
            <w:noWrap/>
            <w:vAlign w:val="center"/>
          </w:tcPr>
          <w:p>
            <w:pPr>
              <w:spacing w:line="260" w:lineRule="exact"/>
              <w:ind w:firstLine="420"/>
              <w:rPr>
                <w:rFonts w:ascii="宋体" w:hAnsi="宋体" w:cs="宋体"/>
                <w:color w:val="000000"/>
              </w:rPr>
            </w:pPr>
            <w:r>
              <w:rPr>
                <w:rFonts w:hint="eastAsia" w:ascii="宋体" w:hAnsi="宋体" w:cs="宋体"/>
                <w:color w:val="000000"/>
              </w:rPr>
              <w:t>1.《医疗机构管理条例》第五条：“国务院卫生行政部门负责全国医疗机构的监督管理工作。县级以上地方人民政府卫生行政部门负责本行政区域内医疗机构的监督管理工作。中国人民解放军卫生主管部门依照本条例和国家有关规定，对军队的医疗机构实施监督管理。”</w:t>
            </w:r>
          </w:p>
          <w:p>
            <w:pPr>
              <w:spacing w:line="260" w:lineRule="exact"/>
              <w:ind w:firstLine="420"/>
              <w:rPr>
                <w:rFonts w:ascii="宋体" w:hAnsi="宋体" w:cs="宋体"/>
                <w:color w:val="000000"/>
              </w:rPr>
            </w:pPr>
            <w:r>
              <w:rPr>
                <w:rFonts w:hint="eastAsia" w:ascii="宋体" w:hAnsi="宋体" w:cs="宋体"/>
                <w:color w:val="000000"/>
              </w:rPr>
              <w:t>2.《医疗机构管理条例实施细则》第六十六条：“各级卫生行政部门负责所辖区域内医疗机构的监督管理工作。”</w:t>
            </w:r>
          </w:p>
          <w:p>
            <w:pPr>
              <w:spacing w:line="260" w:lineRule="exact"/>
              <w:ind w:firstLine="420"/>
              <w:rPr>
                <w:rFonts w:ascii="宋体" w:hAnsi="宋体" w:cs="宋体"/>
                <w:color w:val="000000"/>
              </w:rPr>
            </w:pPr>
            <w:r>
              <w:rPr>
                <w:rFonts w:hint="eastAsia" w:ascii="宋体" w:hAnsi="宋体" w:cs="宋体"/>
                <w:color w:val="000000"/>
              </w:rPr>
              <w:t>3.《中华人民共和国执业医师法》第四条：“县级以上人民政府卫生行政部门负责管理本行政区域内的医师工作。”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righ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623"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政策法规与综合监督股、医政股、区卫生健康综合行政执法大队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6" w:hRule="atLeast"/>
          <w:jc w:val="righ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623" w:type="dxa"/>
            <w:noWrap/>
            <w:vAlign w:val="center"/>
          </w:tcPr>
          <w:p>
            <w:pPr>
              <w:spacing w:line="260" w:lineRule="exact"/>
              <w:ind w:firstLine="411" w:firstLineChars="196"/>
              <w:rPr>
                <w:rFonts w:ascii="宋体" w:hAnsi="宋体" w:cs="宋体"/>
                <w:color w:val="000000"/>
              </w:rPr>
            </w:pPr>
            <w:r>
              <w:rPr>
                <w:rFonts w:hint="eastAsia" w:ascii="宋体" w:hAnsi="宋体" w:cs="宋体"/>
                <w:color w:val="000000"/>
              </w:rPr>
              <w:t>1.检查责任：检查医疗机构、医务人员</w:t>
            </w:r>
          </w:p>
          <w:p>
            <w:pPr>
              <w:spacing w:line="260" w:lineRule="exact"/>
              <w:ind w:firstLine="411" w:firstLineChars="196"/>
              <w:rPr>
                <w:rFonts w:ascii="宋体" w:hAnsi="宋体" w:cs="宋体"/>
                <w:color w:val="000000"/>
              </w:rPr>
            </w:pPr>
            <w:r>
              <w:rPr>
                <w:rFonts w:hint="eastAsia" w:ascii="宋体" w:hAnsi="宋体" w:cs="宋体"/>
                <w:color w:val="000000"/>
              </w:rPr>
              <w:t>（一）执行国家有关法律、法规、规章和标准情况；</w:t>
            </w:r>
          </w:p>
          <w:p>
            <w:pPr>
              <w:spacing w:line="260" w:lineRule="exact"/>
              <w:ind w:firstLine="411" w:firstLineChars="196"/>
              <w:rPr>
                <w:rFonts w:ascii="宋体" w:hAnsi="宋体" w:cs="宋体"/>
                <w:color w:val="000000"/>
              </w:rPr>
            </w:pPr>
            <w:r>
              <w:rPr>
                <w:rFonts w:hint="eastAsia" w:ascii="宋体" w:hAnsi="宋体" w:cs="宋体"/>
                <w:color w:val="000000"/>
              </w:rPr>
              <w:t>（二）执行医疗机构内部各项规章制度和医务人员岗位责任制情况；</w:t>
            </w:r>
          </w:p>
          <w:p>
            <w:pPr>
              <w:spacing w:line="260" w:lineRule="exact"/>
              <w:ind w:firstLine="411" w:firstLineChars="196"/>
              <w:rPr>
                <w:rFonts w:ascii="宋体" w:hAnsi="宋体" w:cs="宋体"/>
                <w:color w:val="000000"/>
              </w:rPr>
            </w:pPr>
            <w:r>
              <w:rPr>
                <w:rFonts w:hint="eastAsia" w:ascii="宋体" w:hAnsi="宋体" w:cs="宋体"/>
                <w:color w:val="000000"/>
              </w:rPr>
              <w:t>（三）服务质量和服务水平情况；</w:t>
            </w:r>
          </w:p>
          <w:p>
            <w:pPr>
              <w:spacing w:line="260" w:lineRule="exact"/>
              <w:ind w:firstLine="411" w:firstLineChars="196"/>
              <w:rPr>
                <w:rFonts w:ascii="宋体" w:hAnsi="宋体" w:cs="宋体"/>
                <w:color w:val="000000"/>
              </w:rPr>
            </w:pPr>
            <w:r>
              <w:rPr>
                <w:rFonts w:hint="eastAsia" w:ascii="宋体" w:hAnsi="宋体" w:cs="宋体"/>
                <w:color w:val="000000"/>
              </w:rPr>
              <w:t>（四）国家、省卫生行政部门规定的医疗质量检查、指导项目。</w:t>
            </w:r>
          </w:p>
          <w:p>
            <w:pPr>
              <w:spacing w:line="260" w:lineRule="exact"/>
              <w:ind w:firstLine="411" w:firstLineChars="196"/>
              <w:rPr>
                <w:rFonts w:ascii="宋体" w:hAnsi="宋体" w:cs="宋体"/>
                <w:color w:val="000000"/>
              </w:rPr>
            </w:pPr>
            <w:r>
              <w:rPr>
                <w:rFonts w:hint="eastAsia" w:ascii="宋体" w:hAnsi="宋体" w:cs="宋体"/>
                <w:color w:val="000000"/>
              </w:rPr>
              <w:t>2.处置责任：根据检查结果进行相应处置。</w:t>
            </w:r>
          </w:p>
          <w:p>
            <w:pPr>
              <w:spacing w:line="260" w:lineRule="exact"/>
              <w:ind w:firstLine="411" w:firstLineChars="196"/>
              <w:rPr>
                <w:rFonts w:ascii="宋体" w:hAnsi="宋体" w:cs="宋体"/>
                <w:color w:val="000000"/>
              </w:rPr>
            </w:pPr>
            <w:r>
              <w:rPr>
                <w:rFonts w:hint="eastAsia" w:ascii="宋体" w:hAnsi="宋体" w:cs="宋体"/>
                <w:color w:val="000000"/>
              </w:rPr>
              <w:t>3.信息公开责任：按照相关规定办理信息公开事项。</w:t>
            </w:r>
          </w:p>
          <w:p>
            <w:pPr>
              <w:spacing w:line="260" w:lineRule="exact"/>
              <w:ind w:firstLine="411" w:firstLineChars="196"/>
              <w:rPr>
                <w:rFonts w:ascii="宋体" w:hAnsi="宋体" w:cs="宋体"/>
                <w:color w:val="000000"/>
              </w:rPr>
            </w:pPr>
            <w:r>
              <w:rPr>
                <w:rFonts w:hint="eastAsia" w:ascii="宋体" w:hAnsi="宋体" w:cs="宋体"/>
                <w:color w:val="000000"/>
              </w:rPr>
              <w:t>4.其他责任：法律法规规章文件规定应履行的其他责任。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8" w:hRule="atLeast"/>
          <w:jc w:val="righ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追责情形</w:t>
            </w:r>
          </w:p>
        </w:tc>
        <w:tc>
          <w:tcPr>
            <w:tcW w:w="8623" w:type="dxa"/>
            <w:noWrap/>
            <w:vAlign w:val="center"/>
          </w:tcPr>
          <w:p>
            <w:pPr>
              <w:spacing w:line="260" w:lineRule="exact"/>
              <w:ind w:firstLine="420"/>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医疗机构管理条例》《医疗机构管理条例实施细则》《中华人民共和国执业医师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3" w:hRule="atLeast"/>
          <w:jc w:val="right"/>
        </w:trPr>
        <w:tc>
          <w:tcPr>
            <w:tcW w:w="547" w:type="dxa"/>
            <w:noWrap/>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623" w:type="dxa"/>
            <w:noWrap/>
            <w:vAlign w:val="center"/>
          </w:tcPr>
          <w:p>
            <w:pPr>
              <w:spacing w:line="260" w:lineRule="exact"/>
              <w:ind w:firstLine="420"/>
              <w:jc w:val="center"/>
              <w:rPr>
                <w:rFonts w:ascii="宋体" w:hAnsi="宋体" w:cs="宋体"/>
                <w:color w:val="000000"/>
              </w:rPr>
            </w:pPr>
            <w:r>
              <w:rPr>
                <w:rFonts w:hint="eastAsia" w:ascii="宋体" w:hAnsi="宋体" w:cs="宋体"/>
                <w:color w:val="000000"/>
              </w:rPr>
              <w:t>12345</w:t>
            </w:r>
          </w:p>
        </w:tc>
      </w:tr>
    </w:tbl>
    <w:p>
      <w:pPr>
        <w:spacing w:line="260" w:lineRule="exact"/>
        <w:rPr>
          <w:kern w:val="0"/>
          <w:shd w:val="clear" w:color="auto" w:fill="FFFFFF"/>
        </w:rPr>
      </w:pPr>
      <w:r>
        <w:rPr>
          <w:rFonts w:hAnsi="宋体"/>
          <w:kern w:val="0"/>
          <w:shd w:val="clear" w:color="auto" w:fill="FFFFFF"/>
        </w:rPr>
        <w:t>表</w:t>
      </w:r>
      <w:r>
        <w:rPr>
          <w:kern w:val="0"/>
          <w:shd w:val="clear" w:color="auto" w:fill="FFFFFF"/>
        </w:rPr>
        <w:t>2</w:t>
      </w:r>
      <w:r>
        <w:rPr>
          <w:rFonts w:hint="eastAsia" w:ascii="宋体" w:hAnsi="宋体" w:cs="宋体"/>
          <w:color w:val="000000"/>
        </w:rPr>
        <w:t>-355</w:t>
      </w:r>
    </w:p>
    <w:tbl>
      <w:tblPr>
        <w:tblStyle w:val="13"/>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9"/>
        <w:gridCol w:w="8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jc w:val="center"/>
        </w:trPr>
        <w:tc>
          <w:tcPr>
            <w:tcW w:w="619" w:type="dxa"/>
            <w:vAlign w:val="center"/>
          </w:tcPr>
          <w:p>
            <w:pPr>
              <w:spacing w:line="260" w:lineRule="exact"/>
              <w:jc w:val="center"/>
              <w:rPr>
                <w:kern w:val="0"/>
                <w:shd w:val="clear" w:color="auto" w:fill="FFFFFF"/>
              </w:rPr>
            </w:pPr>
            <w:r>
              <w:rPr>
                <w:rFonts w:hAnsi="宋体"/>
                <w:kern w:val="0"/>
                <w:shd w:val="clear" w:color="auto" w:fill="FFFFFF"/>
              </w:rPr>
              <w:t>序号</w:t>
            </w:r>
          </w:p>
        </w:tc>
        <w:tc>
          <w:tcPr>
            <w:tcW w:w="8507" w:type="dxa"/>
            <w:vAlign w:val="center"/>
          </w:tcPr>
          <w:p>
            <w:pPr>
              <w:spacing w:line="260" w:lineRule="exact"/>
              <w:ind w:firstLine="420" w:firstLineChars="200"/>
              <w:jc w:val="center"/>
              <w:rPr>
                <w:kern w:val="0"/>
                <w:shd w:val="clear" w:color="auto" w:fill="FFFFFF"/>
              </w:rPr>
            </w:pPr>
            <w:r>
              <w:rPr>
                <w:rFonts w:hint="eastAsia"/>
                <w:kern w:val="0"/>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exact"/>
          <w:jc w:val="center"/>
        </w:trPr>
        <w:tc>
          <w:tcPr>
            <w:tcW w:w="619" w:type="dxa"/>
            <w:vAlign w:val="center"/>
          </w:tcPr>
          <w:p>
            <w:pPr>
              <w:spacing w:line="260" w:lineRule="exact"/>
              <w:jc w:val="center"/>
              <w:rPr>
                <w:kern w:val="0"/>
                <w:shd w:val="clear" w:color="auto" w:fill="FFFFFF"/>
              </w:rPr>
            </w:pPr>
            <w:r>
              <w:rPr>
                <w:rFonts w:hAnsi="宋体"/>
                <w:kern w:val="0"/>
                <w:shd w:val="clear" w:color="auto" w:fill="FFFFFF"/>
              </w:rPr>
              <w:t>权力类型</w:t>
            </w:r>
          </w:p>
        </w:tc>
        <w:tc>
          <w:tcPr>
            <w:tcW w:w="8507" w:type="dxa"/>
            <w:vAlign w:val="center"/>
          </w:tcPr>
          <w:p>
            <w:pPr>
              <w:spacing w:line="260" w:lineRule="exact"/>
              <w:ind w:firstLine="420" w:firstLineChars="200"/>
              <w:jc w:val="center"/>
              <w:rPr>
                <w:kern w:val="0"/>
                <w:shd w:val="clear" w:color="auto" w:fill="FFFFFF"/>
              </w:rPr>
            </w:pPr>
            <w:r>
              <w:rPr>
                <w:rFonts w:hAnsi="宋体"/>
                <w:kern w:val="0"/>
                <w:shd w:val="clear" w:color="auto" w:fill="FFFFFF"/>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3" w:hRule="atLeast"/>
          <w:jc w:val="center"/>
        </w:trPr>
        <w:tc>
          <w:tcPr>
            <w:tcW w:w="619" w:type="dxa"/>
            <w:vAlign w:val="center"/>
          </w:tcPr>
          <w:p>
            <w:pPr>
              <w:spacing w:line="260" w:lineRule="exact"/>
              <w:jc w:val="center"/>
              <w:rPr>
                <w:kern w:val="0"/>
                <w:shd w:val="clear" w:color="auto" w:fill="FFFFFF"/>
              </w:rPr>
            </w:pPr>
            <w:r>
              <w:rPr>
                <w:rFonts w:hAnsi="宋体"/>
                <w:kern w:val="0"/>
                <w:shd w:val="clear" w:color="auto" w:fill="FFFFFF"/>
              </w:rPr>
              <w:t>权力项目名称</w:t>
            </w:r>
          </w:p>
        </w:tc>
        <w:tc>
          <w:tcPr>
            <w:tcW w:w="8507" w:type="dxa"/>
            <w:vAlign w:val="center"/>
          </w:tcPr>
          <w:p>
            <w:pPr>
              <w:spacing w:line="260" w:lineRule="exact"/>
              <w:jc w:val="center"/>
              <w:rPr>
                <w:kern w:val="0"/>
                <w:shd w:val="clear" w:color="auto" w:fill="FFFFFF"/>
              </w:rPr>
            </w:pPr>
            <w:r>
              <w:rPr>
                <w:rFonts w:hint="eastAsia" w:hAnsi="宋体"/>
                <w:kern w:val="0"/>
                <w:shd w:val="clear" w:color="auto" w:fill="FFFFFF"/>
              </w:rPr>
              <w:t>对职业病防治工作进行监督检查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9" w:hRule="atLeast"/>
          <w:jc w:val="center"/>
        </w:trPr>
        <w:tc>
          <w:tcPr>
            <w:tcW w:w="619" w:type="dxa"/>
            <w:vAlign w:val="center"/>
          </w:tcPr>
          <w:p>
            <w:pPr>
              <w:spacing w:line="260" w:lineRule="exact"/>
              <w:jc w:val="center"/>
              <w:rPr>
                <w:kern w:val="0"/>
                <w:shd w:val="clear" w:color="auto" w:fill="FFFFFF"/>
              </w:rPr>
            </w:pPr>
            <w:r>
              <w:rPr>
                <w:rFonts w:hAnsi="宋体"/>
                <w:kern w:val="0"/>
                <w:shd w:val="clear" w:color="auto" w:fill="FFFFFF"/>
              </w:rPr>
              <w:t>实施依据</w:t>
            </w:r>
          </w:p>
        </w:tc>
        <w:tc>
          <w:tcPr>
            <w:tcW w:w="8507" w:type="dxa"/>
            <w:vAlign w:val="center"/>
          </w:tcPr>
          <w:p>
            <w:pPr>
              <w:spacing w:line="260" w:lineRule="exact"/>
              <w:ind w:firstLine="420" w:firstLineChars="200"/>
              <w:rPr>
                <w:kern w:val="0"/>
                <w:shd w:val="clear" w:color="auto" w:fill="FFFFFF"/>
              </w:rPr>
            </w:pPr>
            <w:r>
              <w:rPr>
                <w:rFonts w:hAnsi="宋体"/>
                <w:kern w:val="0"/>
                <w:shd w:val="clear" w:color="auto" w:fill="FFFFFF"/>
              </w:rPr>
              <w:t>《职业病防治法》第六十二条</w:t>
            </w:r>
            <w:r>
              <w:rPr>
                <w:rFonts w:hint="eastAsia" w:hAnsi="宋体"/>
                <w:kern w:val="0"/>
                <w:shd w:val="clear" w:color="auto" w:fill="FFFFFF"/>
              </w:rPr>
              <w:t>：“</w:t>
            </w:r>
            <w:r>
              <w:rPr>
                <w:rFonts w:hAnsi="宋体"/>
                <w:kern w:val="0"/>
                <w:shd w:val="clear" w:color="auto" w:fill="FFFFFF"/>
              </w:rPr>
              <w:t>县级以上人民政府职业卫生监督管理部门依照职业病防治法律、法规、国家职业卫生标准和卫生要求，依据职责划分，对职业病防治工作进行监督检查。</w:t>
            </w:r>
            <w:r>
              <w:rPr>
                <w:rFonts w:hint="eastAsia" w:hAnsi="宋体"/>
                <w:kern w:val="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2" w:hRule="atLeast"/>
          <w:jc w:val="center"/>
        </w:trPr>
        <w:tc>
          <w:tcPr>
            <w:tcW w:w="619" w:type="dxa"/>
            <w:vAlign w:val="center"/>
          </w:tcPr>
          <w:p>
            <w:pPr>
              <w:spacing w:line="260" w:lineRule="exact"/>
              <w:jc w:val="center"/>
              <w:rPr>
                <w:kern w:val="0"/>
                <w:shd w:val="clear" w:color="auto" w:fill="FFFFFF"/>
              </w:rPr>
            </w:pPr>
            <w:r>
              <w:rPr>
                <w:rFonts w:hAnsi="宋体"/>
                <w:kern w:val="0"/>
                <w:shd w:val="clear" w:color="auto" w:fill="FFFFFF"/>
              </w:rPr>
              <w:t>责任主体</w:t>
            </w:r>
          </w:p>
        </w:tc>
        <w:tc>
          <w:tcPr>
            <w:tcW w:w="8507" w:type="dxa"/>
            <w:vAlign w:val="center"/>
          </w:tcPr>
          <w:p>
            <w:pPr>
              <w:spacing w:line="260" w:lineRule="exact"/>
              <w:jc w:val="center"/>
              <w:rPr>
                <w:kern w:val="0"/>
                <w:shd w:val="clear" w:color="auto" w:fill="FFFFFF"/>
              </w:rPr>
            </w:pPr>
            <w:r>
              <w:rPr>
                <w:rFonts w:hint="eastAsia" w:ascii="宋体" w:hAnsi="宋体" w:cs="宋体"/>
                <w:color w:val="000000"/>
              </w:rPr>
              <w:t>政策法规与综合监督股、职业卫生股、区卫生健康综合行政执法大队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8" w:hRule="atLeast"/>
          <w:jc w:val="center"/>
        </w:trPr>
        <w:tc>
          <w:tcPr>
            <w:tcW w:w="619" w:type="dxa"/>
            <w:vAlign w:val="center"/>
          </w:tcPr>
          <w:p>
            <w:pPr>
              <w:spacing w:line="260" w:lineRule="exact"/>
              <w:jc w:val="center"/>
              <w:rPr>
                <w:kern w:val="0"/>
                <w:shd w:val="clear" w:color="auto" w:fill="FFFFFF"/>
              </w:rPr>
            </w:pPr>
            <w:r>
              <w:rPr>
                <w:rFonts w:hAnsi="宋体"/>
                <w:kern w:val="0"/>
                <w:shd w:val="clear" w:color="auto" w:fill="FFFFFF"/>
              </w:rPr>
              <w:t>责任事项</w:t>
            </w:r>
          </w:p>
        </w:tc>
        <w:tc>
          <w:tcPr>
            <w:tcW w:w="8507" w:type="dxa"/>
            <w:vAlign w:val="center"/>
          </w:tcPr>
          <w:p>
            <w:pPr>
              <w:spacing w:line="260" w:lineRule="exact"/>
              <w:ind w:firstLine="420" w:firstLineChars="200"/>
              <w:rPr>
                <w:kern w:val="0"/>
                <w:shd w:val="clear" w:color="auto" w:fill="FFFFFF"/>
              </w:rPr>
            </w:pPr>
            <w:r>
              <w:rPr>
                <w:kern w:val="0"/>
                <w:shd w:val="clear" w:color="auto" w:fill="FFFFFF"/>
              </w:rPr>
              <w:t>1</w:t>
            </w:r>
            <w:r>
              <w:rPr>
                <w:rFonts w:hAnsi="宋体"/>
                <w:kern w:val="0"/>
                <w:shd w:val="clear" w:color="auto" w:fill="FFFFFF"/>
              </w:rPr>
              <w:t>．检查责任：根据相关法律法规，对其进行依法检查。</w:t>
            </w:r>
          </w:p>
          <w:p>
            <w:pPr>
              <w:spacing w:line="260" w:lineRule="exact"/>
              <w:ind w:firstLine="420" w:firstLineChars="200"/>
              <w:rPr>
                <w:kern w:val="0"/>
                <w:shd w:val="clear" w:color="auto" w:fill="FFFFFF"/>
              </w:rPr>
            </w:pPr>
            <w:r>
              <w:rPr>
                <w:kern w:val="0"/>
                <w:shd w:val="clear" w:color="auto" w:fill="FFFFFF"/>
              </w:rPr>
              <w:t>2</w:t>
            </w:r>
            <w:r>
              <w:rPr>
                <w:rFonts w:hAnsi="宋体"/>
                <w:kern w:val="0"/>
                <w:shd w:val="clear" w:color="auto" w:fill="FFFFFF"/>
              </w:rPr>
              <w:t>．处置责任：检查中，对其违法、违规行为按照相关法律法规进行现场处置。</w:t>
            </w:r>
          </w:p>
          <w:p>
            <w:pPr>
              <w:spacing w:line="260" w:lineRule="exact"/>
              <w:ind w:firstLine="420" w:firstLineChars="200"/>
              <w:rPr>
                <w:kern w:val="0"/>
                <w:shd w:val="clear" w:color="auto" w:fill="FFFFFF"/>
              </w:rPr>
            </w:pPr>
            <w:r>
              <w:rPr>
                <w:kern w:val="0"/>
                <w:shd w:val="clear" w:color="auto" w:fill="FFFFFF"/>
              </w:rPr>
              <w:t>3</w:t>
            </w:r>
            <w:r>
              <w:rPr>
                <w:rFonts w:hAnsi="宋体"/>
                <w:kern w:val="0"/>
                <w:shd w:val="clear" w:color="auto" w:fill="FFFFFF"/>
              </w:rPr>
              <w:t>．信息公开责任：按照相关规定办理信息公开事项。</w:t>
            </w:r>
          </w:p>
          <w:p>
            <w:pPr>
              <w:spacing w:line="260" w:lineRule="exact"/>
              <w:ind w:firstLine="420" w:firstLineChars="200"/>
              <w:rPr>
                <w:kern w:val="0"/>
                <w:shd w:val="clear" w:color="auto" w:fill="FFFFFF"/>
              </w:rPr>
            </w:pPr>
            <w:r>
              <w:rPr>
                <w:kern w:val="0"/>
                <w:shd w:val="clear" w:color="auto" w:fill="FFFFFF"/>
              </w:rPr>
              <w:t>4</w:t>
            </w:r>
            <w:r>
              <w:rPr>
                <w:rFonts w:hAnsi="宋体"/>
                <w:kern w:val="0"/>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5" w:hRule="atLeast"/>
          <w:jc w:val="center"/>
        </w:trPr>
        <w:tc>
          <w:tcPr>
            <w:tcW w:w="619" w:type="dxa"/>
            <w:vAlign w:val="center"/>
          </w:tcPr>
          <w:p>
            <w:pPr>
              <w:spacing w:line="260" w:lineRule="exact"/>
              <w:jc w:val="center"/>
              <w:rPr>
                <w:kern w:val="0"/>
                <w:shd w:val="clear" w:color="auto" w:fill="FFFFFF"/>
              </w:rPr>
            </w:pPr>
            <w:r>
              <w:rPr>
                <w:rFonts w:hAnsi="宋体"/>
                <w:kern w:val="0"/>
                <w:shd w:val="clear" w:color="auto" w:fill="FFFFFF"/>
              </w:rPr>
              <w:t>追责情形</w:t>
            </w:r>
          </w:p>
        </w:tc>
        <w:tc>
          <w:tcPr>
            <w:tcW w:w="8507" w:type="dxa"/>
            <w:vAlign w:val="center"/>
          </w:tcPr>
          <w:p>
            <w:pPr>
              <w:spacing w:line="260" w:lineRule="exact"/>
              <w:ind w:firstLine="420" w:firstLineChars="200"/>
              <w:rPr>
                <w:kern w:val="0"/>
                <w:shd w:val="clear" w:color="auto" w:fill="FFFFFF"/>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执业医师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619" w:type="dxa"/>
            <w:vAlign w:val="center"/>
          </w:tcPr>
          <w:p>
            <w:pPr>
              <w:spacing w:line="260" w:lineRule="exact"/>
              <w:jc w:val="center"/>
              <w:rPr>
                <w:kern w:val="0"/>
                <w:shd w:val="clear" w:color="auto" w:fill="FFFFFF"/>
              </w:rPr>
            </w:pPr>
            <w:r>
              <w:rPr>
                <w:rFonts w:hAnsi="宋体"/>
                <w:kern w:val="0"/>
                <w:shd w:val="clear" w:color="auto" w:fill="FFFFFF"/>
              </w:rPr>
              <w:t>监督电话</w:t>
            </w:r>
          </w:p>
        </w:tc>
        <w:tc>
          <w:tcPr>
            <w:tcW w:w="8507" w:type="dxa"/>
            <w:vAlign w:val="center"/>
          </w:tcPr>
          <w:p>
            <w:pPr>
              <w:spacing w:line="260" w:lineRule="exact"/>
              <w:jc w:val="center"/>
              <w:rPr>
                <w:kern w:val="0"/>
                <w:shd w:val="clear" w:color="auto" w:fill="FFFFFF"/>
              </w:rPr>
            </w:pPr>
            <w:r>
              <w:rPr>
                <w:kern w:val="0"/>
                <w:shd w:val="clear" w:color="auto" w:fill="FFFFFF"/>
              </w:rPr>
              <w:t>12345</w:t>
            </w:r>
          </w:p>
        </w:tc>
      </w:tr>
    </w:tbl>
    <w:p>
      <w:pPr>
        <w:spacing w:line="260" w:lineRule="exact"/>
        <w:rPr>
          <w:rFonts w:ascii="宋体" w:hAnsi="宋体" w:cs="宋体"/>
          <w:color w:val="000000"/>
        </w:rPr>
      </w:pPr>
      <w:r>
        <w:rPr>
          <w:rFonts w:hint="eastAsia" w:ascii="宋体" w:hAnsi="宋体" w:cs="宋体"/>
          <w:color w:val="000000"/>
        </w:rPr>
        <w:t>表2-356</w:t>
      </w:r>
    </w:p>
    <w:tbl>
      <w:tblPr>
        <w:tblStyle w:val="13"/>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9" w:type="dxa"/>
            <w:vAlign w:val="center"/>
          </w:tcPr>
          <w:p>
            <w:pPr>
              <w:widowControl/>
              <w:spacing w:line="260" w:lineRule="exact"/>
              <w:jc w:val="center"/>
              <w:rPr>
                <w:rFonts w:ascii="宋体" w:hAnsi="宋体" w:cs="宋体"/>
                <w:color w:val="000000"/>
                <w:kern w:val="0"/>
              </w:rPr>
            </w:pPr>
            <w:r>
              <w:rPr>
                <w:rFonts w:hint="eastAsia" w:ascii="宋体" w:hAnsi="宋体" w:cs="宋体"/>
                <w:color w:val="000000"/>
                <w:kern w:val="0"/>
              </w:rPr>
              <w:t>序号</w:t>
            </w:r>
          </w:p>
        </w:tc>
        <w:tc>
          <w:tcPr>
            <w:tcW w:w="8380" w:type="dxa"/>
            <w:vAlign w:val="center"/>
          </w:tcPr>
          <w:p>
            <w:pPr>
              <w:widowControl/>
              <w:spacing w:line="260" w:lineRule="exact"/>
              <w:jc w:val="center"/>
              <w:rPr>
                <w:rFonts w:ascii="宋体" w:hAnsi="宋体" w:cs="宋体"/>
                <w:color w:val="000000"/>
                <w:kern w:val="0"/>
              </w:rPr>
            </w:pPr>
            <w:r>
              <w:rPr>
                <w:rFonts w:hint="eastAsia" w:ascii="宋体" w:hAnsi="宋体" w:cs="宋体"/>
                <w:color w:val="000000"/>
                <w:kern w:val="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9" w:type="dxa"/>
            <w:vAlign w:val="center"/>
          </w:tcPr>
          <w:p>
            <w:pPr>
              <w:widowControl/>
              <w:spacing w:line="260" w:lineRule="exact"/>
              <w:jc w:val="center"/>
              <w:rPr>
                <w:rFonts w:ascii="宋体" w:hAnsi="宋体" w:cs="宋体"/>
                <w:color w:val="000000"/>
                <w:kern w:val="0"/>
              </w:rPr>
            </w:pPr>
            <w:r>
              <w:rPr>
                <w:rFonts w:hint="eastAsia" w:ascii="宋体" w:hAnsi="宋体" w:cs="宋体"/>
                <w:color w:val="000000"/>
                <w:kern w:val="0"/>
              </w:rPr>
              <w:t>权力类型</w:t>
            </w:r>
          </w:p>
        </w:tc>
        <w:tc>
          <w:tcPr>
            <w:tcW w:w="8380" w:type="dxa"/>
            <w:vAlign w:val="center"/>
          </w:tcPr>
          <w:p>
            <w:pPr>
              <w:widowControl/>
              <w:spacing w:line="260" w:lineRule="exact"/>
              <w:jc w:val="center"/>
              <w:rPr>
                <w:rFonts w:ascii="宋体" w:hAnsi="宋体" w:cs="宋体"/>
                <w:color w:val="000000"/>
                <w:kern w:val="0"/>
              </w:rPr>
            </w:pPr>
            <w:r>
              <w:rPr>
                <w:rFonts w:hint="eastAsia" w:ascii="宋体" w:hAnsi="宋体" w:cs="宋体"/>
                <w:color w:val="000000"/>
                <w:kern w:val="0"/>
              </w:rPr>
              <w:t>行政奖励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59" w:type="dxa"/>
            <w:vAlign w:val="center"/>
          </w:tcPr>
          <w:p>
            <w:pPr>
              <w:widowControl/>
              <w:spacing w:line="260" w:lineRule="exact"/>
              <w:jc w:val="center"/>
              <w:rPr>
                <w:rFonts w:ascii="宋体" w:hAnsi="宋体" w:cs="宋体"/>
                <w:color w:val="000000"/>
                <w:kern w:val="0"/>
              </w:rPr>
            </w:pPr>
            <w:r>
              <w:rPr>
                <w:rFonts w:hint="eastAsia" w:ascii="宋体" w:hAnsi="宋体" w:cs="宋体"/>
                <w:color w:val="000000"/>
                <w:kern w:val="0"/>
              </w:rPr>
              <w:t>权力项目名称</w:t>
            </w:r>
          </w:p>
        </w:tc>
        <w:tc>
          <w:tcPr>
            <w:tcW w:w="8380" w:type="dxa"/>
            <w:vAlign w:val="center"/>
          </w:tcPr>
          <w:p>
            <w:pPr>
              <w:widowControl/>
              <w:spacing w:line="260" w:lineRule="exact"/>
              <w:jc w:val="center"/>
              <w:rPr>
                <w:rFonts w:ascii="宋体" w:hAnsi="宋体" w:cs="宋体"/>
                <w:color w:val="000000"/>
                <w:kern w:val="0"/>
              </w:rPr>
            </w:pPr>
            <w:r>
              <w:rPr>
                <w:rFonts w:hint="eastAsia" w:ascii="宋体" w:hAnsi="宋体" w:cs="宋体"/>
                <w:color w:val="000000"/>
                <w:kern w:val="0"/>
              </w:rPr>
              <w:t>对献血及献血工作的单位和个人的表彰奖励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4" w:hRule="atLeast"/>
        </w:trPr>
        <w:tc>
          <w:tcPr>
            <w:tcW w:w="659" w:type="dxa"/>
            <w:vAlign w:val="center"/>
          </w:tcPr>
          <w:p>
            <w:pPr>
              <w:widowControl/>
              <w:spacing w:line="260" w:lineRule="exact"/>
              <w:jc w:val="center"/>
              <w:rPr>
                <w:rFonts w:ascii="宋体" w:hAnsi="宋体" w:cs="宋体"/>
                <w:color w:val="000000"/>
                <w:kern w:val="0"/>
              </w:rPr>
            </w:pPr>
            <w:r>
              <w:rPr>
                <w:rFonts w:hint="eastAsia" w:ascii="宋体" w:hAnsi="宋体" w:cs="宋体"/>
                <w:color w:val="000000"/>
                <w:kern w:val="0"/>
              </w:rPr>
              <w:t>实施依据</w:t>
            </w:r>
          </w:p>
        </w:tc>
        <w:tc>
          <w:tcPr>
            <w:tcW w:w="8380" w:type="dxa"/>
            <w:vAlign w:val="center"/>
          </w:tcPr>
          <w:p>
            <w:pPr>
              <w:widowControl/>
              <w:spacing w:line="260" w:lineRule="exact"/>
              <w:ind w:firstLine="420" w:firstLineChars="200"/>
              <w:rPr>
                <w:rFonts w:ascii="宋体" w:hAnsi="宋体" w:cs="宋体"/>
                <w:color w:val="000000"/>
                <w:kern w:val="0"/>
              </w:rPr>
            </w:pPr>
            <w:r>
              <w:rPr>
                <w:rFonts w:hint="eastAsia" w:ascii="宋体" w:hAnsi="宋体" w:cs="宋体"/>
                <w:color w:val="000000"/>
                <w:kern w:val="0"/>
              </w:rPr>
              <w:t>1.《中华人民共和国献血法》第十七条“各级人民政府和红十字会对积极参加献血和在献血工作中做出显著成绩的单位和个人，给予奖励”。</w:t>
            </w:r>
          </w:p>
          <w:p>
            <w:pPr>
              <w:widowControl/>
              <w:spacing w:line="260" w:lineRule="exact"/>
              <w:ind w:firstLine="420" w:firstLineChars="200"/>
              <w:rPr>
                <w:rFonts w:ascii="宋体" w:hAnsi="宋体" w:cs="宋体"/>
                <w:color w:val="000000"/>
                <w:kern w:val="0"/>
              </w:rPr>
            </w:pPr>
            <w:r>
              <w:rPr>
                <w:rFonts w:hint="eastAsia" w:ascii="宋体" w:hAnsi="宋体" w:cs="宋体"/>
                <w:color w:val="000000"/>
                <w:kern w:val="0"/>
              </w:rPr>
              <w:t>2.《四川省公民献血条例》第二十条“符合下列情形之一的，由县级以上人民政府或卫生行政部门、红十字会依照国家有关规定给予表彰和奖励，（一）公民无偿献血累计1000毫升以上的；（二）单位或街道办事处、乡（镇）人民政府连续五年超额完成献血工作计划的；（三）为抢救危重病人主动献血表现突出的；（四）组织公民献血及在采血、供血和血液管理工作中成绩突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9" w:type="dxa"/>
            <w:vAlign w:val="center"/>
          </w:tcPr>
          <w:p>
            <w:pPr>
              <w:widowControl/>
              <w:spacing w:line="260" w:lineRule="exact"/>
              <w:jc w:val="center"/>
              <w:rPr>
                <w:rFonts w:ascii="宋体" w:hAnsi="宋体" w:cs="宋体"/>
                <w:color w:val="000000"/>
                <w:kern w:val="0"/>
              </w:rPr>
            </w:pPr>
            <w:r>
              <w:rPr>
                <w:rFonts w:hint="eastAsia" w:ascii="宋体" w:hAnsi="宋体" w:cs="宋体"/>
                <w:color w:val="000000"/>
                <w:kern w:val="0"/>
              </w:rPr>
              <w:t>责任主体</w:t>
            </w:r>
          </w:p>
        </w:tc>
        <w:tc>
          <w:tcPr>
            <w:tcW w:w="8380" w:type="dxa"/>
            <w:vAlign w:val="center"/>
          </w:tcPr>
          <w:p>
            <w:pPr>
              <w:widowControl/>
              <w:spacing w:line="260" w:lineRule="exact"/>
              <w:jc w:val="center"/>
              <w:rPr>
                <w:rFonts w:ascii="宋体" w:hAnsi="宋体" w:cs="宋体"/>
                <w:color w:val="000000"/>
                <w:kern w:val="0"/>
              </w:rPr>
            </w:pPr>
            <w:r>
              <w:rPr>
                <w:rFonts w:hint="eastAsia" w:ascii="宋体" w:hAnsi="宋体" w:cs="宋体"/>
                <w:color w:val="000000"/>
                <w:kern w:val="0"/>
              </w:rPr>
              <w:t>人事股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659" w:type="dxa"/>
            <w:vAlign w:val="center"/>
          </w:tcPr>
          <w:p>
            <w:pPr>
              <w:widowControl/>
              <w:spacing w:line="260" w:lineRule="exact"/>
              <w:jc w:val="center"/>
              <w:rPr>
                <w:rFonts w:ascii="宋体" w:hAnsi="宋体" w:cs="宋体"/>
                <w:color w:val="000000"/>
                <w:kern w:val="0"/>
              </w:rPr>
            </w:pPr>
            <w:r>
              <w:rPr>
                <w:rFonts w:hint="eastAsia" w:ascii="宋体" w:hAnsi="宋体" w:cs="宋体"/>
                <w:color w:val="000000"/>
                <w:kern w:val="0"/>
              </w:rPr>
              <w:t>责任事项</w:t>
            </w:r>
          </w:p>
        </w:tc>
        <w:tc>
          <w:tcPr>
            <w:tcW w:w="8380" w:type="dxa"/>
            <w:vAlign w:val="center"/>
          </w:tcPr>
          <w:p>
            <w:pPr>
              <w:widowControl/>
              <w:spacing w:line="260" w:lineRule="exact"/>
              <w:ind w:firstLine="420" w:firstLineChars="200"/>
              <w:rPr>
                <w:rFonts w:ascii="宋体" w:hAnsi="宋体" w:cs="宋体"/>
                <w:color w:val="000000"/>
                <w:kern w:val="0"/>
              </w:rPr>
            </w:pPr>
            <w:r>
              <w:rPr>
                <w:rFonts w:hint="eastAsia" w:ascii="宋体" w:hAnsi="宋体" w:cs="宋体"/>
                <w:color w:val="000000"/>
                <w:kern w:val="0"/>
              </w:rPr>
              <w:t>1.制定方案责任：在征求意见的基础上，科学制定表彰方案。</w:t>
            </w:r>
          </w:p>
          <w:p>
            <w:pPr>
              <w:widowControl/>
              <w:spacing w:line="260" w:lineRule="exact"/>
              <w:ind w:firstLine="420" w:firstLineChars="200"/>
              <w:rPr>
                <w:rFonts w:ascii="宋体" w:hAnsi="宋体" w:cs="宋体"/>
                <w:color w:val="000000"/>
                <w:kern w:val="0"/>
              </w:rPr>
            </w:pPr>
            <w:r>
              <w:rPr>
                <w:rFonts w:hint="eastAsia" w:ascii="宋体" w:hAnsi="宋体" w:cs="宋体"/>
                <w:color w:val="000000"/>
                <w:kern w:val="0"/>
              </w:rPr>
              <w:t>2.组织推荐责任：严格按照表彰方案规定的条件、程序，组织推荐工作，对推荐对象进行初审。</w:t>
            </w:r>
          </w:p>
          <w:p>
            <w:pPr>
              <w:widowControl/>
              <w:spacing w:line="260" w:lineRule="exact"/>
              <w:ind w:firstLine="420" w:firstLineChars="200"/>
              <w:rPr>
                <w:rFonts w:ascii="宋体" w:hAnsi="宋体" w:cs="宋体"/>
                <w:color w:val="000000"/>
                <w:kern w:val="0"/>
              </w:rPr>
            </w:pPr>
            <w:r>
              <w:rPr>
                <w:rFonts w:hint="eastAsia" w:ascii="宋体" w:hAnsi="宋体" w:cs="宋体"/>
                <w:color w:val="000000"/>
                <w:kern w:val="0"/>
              </w:rPr>
              <w:t>3.审核公示责任：对符合条件的推荐对象进行审核，报经研究审定，并进行公示。</w:t>
            </w:r>
          </w:p>
          <w:p>
            <w:pPr>
              <w:widowControl/>
              <w:spacing w:line="260" w:lineRule="exact"/>
              <w:ind w:firstLine="420" w:firstLineChars="200"/>
              <w:rPr>
                <w:rFonts w:ascii="宋体" w:hAnsi="宋体" w:cs="宋体"/>
                <w:color w:val="000000"/>
                <w:kern w:val="0"/>
              </w:rPr>
            </w:pPr>
            <w:r>
              <w:rPr>
                <w:rFonts w:hint="eastAsia" w:ascii="宋体" w:hAnsi="宋体" w:cs="宋体"/>
                <w:color w:val="000000"/>
                <w:kern w:val="0"/>
              </w:rPr>
              <w:t>4.表彰责任：按照程序报请研究决定并进行表彰。</w:t>
            </w:r>
          </w:p>
          <w:p>
            <w:pPr>
              <w:widowControl/>
              <w:spacing w:line="260" w:lineRule="exact"/>
              <w:ind w:firstLine="420" w:firstLineChars="200"/>
              <w:rPr>
                <w:rFonts w:ascii="宋体" w:hAnsi="宋体" w:cs="宋体"/>
                <w:color w:val="000000"/>
                <w:kern w:val="0"/>
              </w:rPr>
            </w:pPr>
            <w:r>
              <w:rPr>
                <w:rFonts w:hint="eastAsia" w:ascii="宋体" w:hAnsi="宋体" w:cs="宋体"/>
                <w:color w:val="000000"/>
                <w:kern w:val="0"/>
              </w:rPr>
              <w:t>5.其他责任：法律法规规章文件规定应履行的其他责任。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0" w:hRule="atLeast"/>
        </w:trPr>
        <w:tc>
          <w:tcPr>
            <w:tcW w:w="659" w:type="dxa"/>
            <w:vAlign w:val="center"/>
          </w:tcPr>
          <w:p>
            <w:pPr>
              <w:widowControl/>
              <w:spacing w:line="260" w:lineRule="exact"/>
              <w:jc w:val="center"/>
              <w:rPr>
                <w:rFonts w:ascii="宋体" w:hAnsi="宋体" w:cs="宋体"/>
                <w:color w:val="000000"/>
                <w:kern w:val="0"/>
              </w:rPr>
            </w:pPr>
            <w:r>
              <w:rPr>
                <w:rFonts w:hint="eastAsia" w:ascii="宋体" w:hAnsi="宋体" w:cs="宋体"/>
                <w:color w:val="000000"/>
                <w:kern w:val="0"/>
              </w:rPr>
              <w:t>追责情形</w:t>
            </w:r>
          </w:p>
        </w:tc>
        <w:tc>
          <w:tcPr>
            <w:tcW w:w="8380" w:type="dxa"/>
            <w:vAlign w:val="center"/>
          </w:tcPr>
          <w:p>
            <w:pPr>
              <w:widowControl/>
              <w:spacing w:line="260" w:lineRule="exact"/>
              <w:ind w:firstLine="420" w:firstLineChars="200"/>
              <w:rPr>
                <w:rFonts w:ascii="宋体" w:hAnsi="宋体" w:cs="宋体"/>
                <w:color w:val="000000"/>
                <w:kern w:val="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w:t>
            </w:r>
            <w:r>
              <w:rPr>
                <w:rFonts w:hint="eastAsia" w:ascii="宋体" w:hAnsi="宋体" w:cs="宋体"/>
                <w:color w:val="000000"/>
                <w:kern w:val="0"/>
              </w:rPr>
              <w:t>《中华人民共和国献血法》《四川省公民献血条例》</w:t>
            </w:r>
            <w:r>
              <w:rPr>
                <w:rFonts w:hint="eastAsia" w:ascii="宋体" w:hAnsi="宋体" w:cs="宋体"/>
                <w:color w:val="000000"/>
              </w:rPr>
              <w:t>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659" w:type="dxa"/>
            <w:vAlign w:val="center"/>
          </w:tcPr>
          <w:p>
            <w:pPr>
              <w:widowControl/>
              <w:spacing w:line="260" w:lineRule="exact"/>
              <w:jc w:val="center"/>
              <w:rPr>
                <w:rFonts w:ascii="宋体" w:hAnsi="宋体" w:cs="宋体"/>
                <w:color w:val="000000"/>
                <w:kern w:val="0"/>
              </w:rPr>
            </w:pPr>
            <w:r>
              <w:rPr>
                <w:rFonts w:hint="eastAsia" w:ascii="宋体" w:hAnsi="宋体" w:cs="宋体"/>
                <w:color w:val="000000"/>
                <w:kern w:val="0"/>
              </w:rPr>
              <w:t>监督电话</w:t>
            </w:r>
          </w:p>
        </w:tc>
        <w:tc>
          <w:tcPr>
            <w:tcW w:w="8380" w:type="dxa"/>
            <w:vAlign w:val="center"/>
          </w:tcPr>
          <w:p>
            <w:pPr>
              <w:widowControl/>
              <w:spacing w:line="260" w:lineRule="exact"/>
              <w:jc w:val="center"/>
              <w:rPr>
                <w:rFonts w:ascii="宋体" w:hAnsi="宋体" w:cs="宋体"/>
                <w:color w:val="000000"/>
                <w:kern w:val="0"/>
              </w:rPr>
            </w:pPr>
            <w:r>
              <w:rPr>
                <w:rFonts w:hint="eastAsia" w:ascii="宋体" w:hAnsi="宋体" w:cs="宋体"/>
                <w:color w:val="000000"/>
                <w:kern w:val="0"/>
              </w:rPr>
              <w:t>12345</w:t>
            </w:r>
          </w:p>
        </w:tc>
      </w:tr>
    </w:tbl>
    <w:p>
      <w:pPr>
        <w:widowControl/>
        <w:spacing w:line="260" w:lineRule="exact"/>
        <w:jc w:val="left"/>
        <w:rPr>
          <w:rFonts w:ascii="宋体" w:hAnsi="宋体" w:cs="宋体"/>
          <w:color w:val="000000"/>
          <w:kern w:val="0"/>
        </w:rPr>
      </w:pPr>
      <w:r>
        <w:rPr>
          <w:rFonts w:hint="eastAsia" w:ascii="宋体" w:hAnsi="宋体" w:cs="宋体"/>
          <w:color w:val="000000"/>
          <w:kern w:val="0"/>
        </w:rPr>
        <w:t>表2-357</w:t>
      </w:r>
    </w:p>
    <w:tbl>
      <w:tblPr>
        <w:tblStyle w:val="13"/>
        <w:tblW w:w="9043" w:type="dxa"/>
        <w:jc w:val="center"/>
        <w:tblLayout w:type="fixed"/>
        <w:tblCellMar>
          <w:top w:w="0" w:type="dxa"/>
          <w:left w:w="28" w:type="dxa"/>
          <w:bottom w:w="0" w:type="dxa"/>
          <w:right w:w="28" w:type="dxa"/>
        </w:tblCellMar>
      </w:tblPr>
      <w:tblGrid>
        <w:gridCol w:w="602"/>
        <w:gridCol w:w="8441"/>
      </w:tblGrid>
      <w:tr>
        <w:tblPrEx>
          <w:tblCellMar>
            <w:top w:w="0" w:type="dxa"/>
            <w:left w:w="28" w:type="dxa"/>
            <w:bottom w:w="0" w:type="dxa"/>
            <w:right w:w="28" w:type="dxa"/>
          </w:tblCellMar>
        </w:tblPrEx>
        <w:trPr>
          <w:trHeight w:val="612"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441" w:type="dxa"/>
            <w:tcBorders>
              <w:top w:val="single" w:color="auto" w:sz="4" w:space="0"/>
              <w:left w:val="nil"/>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1</w:t>
            </w:r>
          </w:p>
        </w:tc>
      </w:tr>
      <w:tr>
        <w:tblPrEx>
          <w:tblCellMar>
            <w:top w:w="0" w:type="dxa"/>
            <w:left w:w="28" w:type="dxa"/>
            <w:bottom w:w="0" w:type="dxa"/>
            <w:right w:w="28" w:type="dxa"/>
          </w:tblCellMar>
        </w:tblPrEx>
        <w:trPr>
          <w:trHeight w:val="612"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tcBorders>
              <w:top w:val="single" w:color="auto" w:sz="4" w:space="0"/>
              <w:left w:val="nil"/>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其他行政权力</w:t>
            </w:r>
          </w:p>
        </w:tc>
      </w:tr>
      <w:tr>
        <w:tblPrEx>
          <w:tblCellMar>
            <w:top w:w="0" w:type="dxa"/>
            <w:left w:w="28" w:type="dxa"/>
            <w:bottom w:w="0" w:type="dxa"/>
            <w:right w:w="28" w:type="dxa"/>
          </w:tblCellMar>
        </w:tblPrEx>
        <w:trPr>
          <w:trHeight w:val="612"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tcBorders>
              <w:top w:val="single" w:color="auto" w:sz="4" w:space="0"/>
              <w:left w:val="nil"/>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中医诊所备案</w:t>
            </w:r>
          </w:p>
        </w:tc>
      </w:tr>
      <w:tr>
        <w:trPr>
          <w:trHeight w:val="100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tcBorders>
              <w:top w:val="single" w:color="auto" w:sz="4" w:space="0"/>
              <w:left w:val="nil"/>
              <w:bottom w:val="single" w:color="auto" w:sz="4" w:space="0"/>
              <w:right w:val="single" w:color="auto" w:sz="4" w:space="0"/>
            </w:tcBorders>
            <w:vAlign w:val="center"/>
          </w:tcPr>
          <w:p>
            <w:pPr>
              <w:spacing w:line="260" w:lineRule="exact"/>
              <w:ind w:firstLine="411" w:firstLineChars="196"/>
              <w:textAlignment w:val="center"/>
              <w:rPr>
                <w:rFonts w:ascii="宋体" w:hAnsi="宋体" w:cs="宋体"/>
                <w:color w:val="000000"/>
              </w:rPr>
            </w:pPr>
            <w:r>
              <w:rPr>
                <w:rFonts w:hint="eastAsia" w:ascii="宋体" w:hAnsi="宋体" w:cs="宋体"/>
                <w:color w:val="000000"/>
              </w:rPr>
              <w:t>1.《中医药法》</w:t>
            </w:r>
            <w:r>
              <w:rPr>
                <w:rStyle w:val="40"/>
                <w:rFonts w:hint="default" w:cs="宋体"/>
                <w:szCs w:val="21"/>
              </w:rPr>
              <w:t>第十四条：“</w:t>
            </w:r>
            <w:r>
              <w:rPr>
                <w:rFonts w:hint="eastAsia" w:ascii="宋体" w:hAnsi="宋体" w:cs="宋体"/>
                <w:color w:val="000000"/>
              </w:rPr>
              <w:t>举办中医诊所的，将诊所的名称、地址、诊疗范围、人员配备情况等报所在地县级人民政府中医药主管部门备案后即可开展执业活动。</w:t>
            </w:r>
            <w:r>
              <w:rPr>
                <w:rStyle w:val="40"/>
                <w:rFonts w:hint="default" w:cs="宋体"/>
                <w:szCs w:val="21"/>
              </w:rPr>
              <w:t>”</w:t>
            </w:r>
          </w:p>
          <w:p>
            <w:pPr>
              <w:spacing w:line="260" w:lineRule="exact"/>
              <w:ind w:firstLine="411" w:firstLineChars="196"/>
              <w:textAlignment w:val="center"/>
              <w:rPr>
                <w:rFonts w:ascii="宋体" w:hAnsi="宋体" w:cs="宋体"/>
                <w:color w:val="000000"/>
              </w:rPr>
            </w:pPr>
            <w:r>
              <w:rPr>
                <w:rFonts w:hint="eastAsia" w:ascii="宋体" w:hAnsi="宋体" w:cs="宋体"/>
                <w:color w:val="000000"/>
              </w:rPr>
              <w:t>2.《中医诊所备案管理暂行办法》第三条：“县级中医药主管部门具体负责本行政区域内中医诊所的备案工作。”</w:t>
            </w:r>
          </w:p>
        </w:tc>
      </w:tr>
      <w:tr>
        <w:tblPrEx>
          <w:tblCellMar>
            <w:top w:w="0" w:type="dxa"/>
            <w:left w:w="28" w:type="dxa"/>
            <w:bottom w:w="0" w:type="dxa"/>
            <w:right w:w="28" w:type="dxa"/>
          </w:tblCellMar>
        </w:tblPrEx>
        <w:trPr>
          <w:trHeight w:val="612"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tcBorders>
              <w:top w:val="single" w:color="auto" w:sz="4" w:space="0"/>
              <w:left w:val="nil"/>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28" w:type="dxa"/>
            <w:bottom w:w="0" w:type="dxa"/>
            <w:right w:w="28" w:type="dxa"/>
          </w:tblCellMar>
        </w:tblPrEx>
        <w:trPr>
          <w:trHeight w:val="1896"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441"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cs="宋体"/>
              </w:rPr>
            </w:pPr>
            <w:r>
              <w:rPr>
                <w:rFonts w:hint="eastAsia" w:ascii="宋体" w:hAnsi="宋体" w:cs="宋体"/>
              </w:rPr>
              <w:t>1．受理阶段责任：公示依法应当提交的材料；一次性告知补正材料；依法受理或不予受理(不予受理应当告知理由)。</w:t>
            </w:r>
          </w:p>
          <w:p>
            <w:pPr>
              <w:spacing w:line="260" w:lineRule="exact"/>
              <w:ind w:firstLine="420" w:firstLineChars="200"/>
              <w:textAlignment w:val="center"/>
              <w:rPr>
                <w:rFonts w:ascii="宋体" w:hAnsi="宋体" w:cs="宋体"/>
              </w:rPr>
            </w:pPr>
            <w:r>
              <w:rPr>
                <w:rFonts w:hint="eastAsia" w:ascii="宋体" w:hAnsi="宋体" w:cs="宋体"/>
              </w:rPr>
              <w:t>2．审查阶段责任：材料审核并提出审查意见。</w:t>
            </w:r>
          </w:p>
          <w:p>
            <w:pPr>
              <w:spacing w:line="260" w:lineRule="exact"/>
              <w:ind w:firstLine="420" w:firstLineChars="200"/>
              <w:textAlignment w:val="center"/>
              <w:rPr>
                <w:rFonts w:ascii="宋体" w:hAnsi="宋体" w:cs="宋体"/>
              </w:rPr>
            </w:pPr>
            <w:r>
              <w:rPr>
                <w:rFonts w:hint="eastAsia" w:ascii="宋体" w:hAnsi="宋体" w:cs="宋体"/>
              </w:rPr>
              <w:t>3．决定阶段责任：作出决定(不予行政许可的应当告知理由)；按时办结。</w:t>
            </w:r>
          </w:p>
          <w:p>
            <w:pPr>
              <w:spacing w:line="260" w:lineRule="exact"/>
              <w:ind w:firstLine="420" w:firstLineChars="200"/>
              <w:textAlignment w:val="center"/>
              <w:rPr>
                <w:rFonts w:ascii="宋体" w:hAnsi="宋体" w:cs="宋体"/>
              </w:rPr>
            </w:pPr>
            <w:r>
              <w:rPr>
                <w:rFonts w:hint="eastAsia" w:ascii="宋体" w:hAnsi="宋体" w:cs="宋体"/>
              </w:rPr>
              <w:t>4．送达阶段责任：制作并出具相应许可文书。</w:t>
            </w:r>
          </w:p>
          <w:p>
            <w:pPr>
              <w:spacing w:line="260" w:lineRule="exact"/>
              <w:ind w:firstLine="420" w:firstLineChars="200"/>
              <w:textAlignment w:val="center"/>
              <w:rPr>
                <w:rFonts w:ascii="宋体" w:hAnsi="宋体" w:cs="宋体"/>
              </w:rPr>
            </w:pPr>
            <w:r>
              <w:rPr>
                <w:rFonts w:hint="eastAsia" w:ascii="宋体" w:hAnsi="宋体" w:cs="宋体"/>
              </w:rPr>
              <w:t>5．事后监管责任：对备案中医诊所进行常规监管或专项业务督导，规范相应执业行为。</w:t>
            </w:r>
          </w:p>
          <w:p>
            <w:pPr>
              <w:spacing w:line="260" w:lineRule="exact"/>
              <w:ind w:firstLine="420" w:firstLineChars="200"/>
              <w:textAlignment w:val="center"/>
              <w:rPr>
                <w:rFonts w:ascii="宋体" w:hAnsi="宋体" w:cs="宋体"/>
                <w:color w:val="000000"/>
              </w:rPr>
            </w:pPr>
            <w:r>
              <w:rPr>
                <w:rFonts w:hint="eastAsia" w:ascii="宋体" w:hAnsi="宋体" w:cs="宋体"/>
              </w:rPr>
              <w:t>6．</w:t>
            </w:r>
            <w:r>
              <w:rPr>
                <w:rFonts w:hint="eastAsia" w:ascii="宋体" w:hAnsi="宋体" w:cs="宋体"/>
                <w:kern w:val="0"/>
              </w:rPr>
              <w:t>其他责任：</w:t>
            </w:r>
            <w:r>
              <w:rPr>
                <w:rFonts w:hint="eastAsia" w:ascii="宋体" w:hAnsi="宋体" w:cs="宋体"/>
              </w:rPr>
              <w:t>法律法规规定的其他责任</w:t>
            </w:r>
          </w:p>
        </w:tc>
      </w:tr>
      <w:tr>
        <w:tblPrEx>
          <w:tblCellMar>
            <w:top w:w="0" w:type="dxa"/>
            <w:left w:w="28" w:type="dxa"/>
            <w:bottom w:w="0" w:type="dxa"/>
            <w:right w:w="28" w:type="dxa"/>
          </w:tblCellMar>
        </w:tblPrEx>
        <w:trPr>
          <w:trHeight w:val="127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追责情形</w:t>
            </w:r>
          </w:p>
        </w:tc>
        <w:tc>
          <w:tcPr>
            <w:tcW w:w="8441"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医药法》《中医诊所备案管理暂行办法》等法律法规规章的相关规定追究相应的责任。</w:t>
            </w:r>
          </w:p>
        </w:tc>
      </w:tr>
      <w:tr>
        <w:trPr>
          <w:trHeight w:val="556"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441" w:type="dxa"/>
            <w:tcBorders>
              <w:top w:val="single" w:color="auto" w:sz="4" w:space="0"/>
              <w:left w:val="nil"/>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12345</w:t>
            </w:r>
          </w:p>
        </w:tc>
      </w:tr>
    </w:tbl>
    <w:p>
      <w:pPr>
        <w:widowControl/>
        <w:spacing w:line="260" w:lineRule="exact"/>
        <w:jc w:val="left"/>
        <w:rPr>
          <w:rFonts w:ascii="宋体" w:hAnsi="宋体" w:cs="宋体"/>
          <w:color w:val="000000"/>
          <w:kern w:val="0"/>
        </w:rPr>
      </w:pPr>
      <w:r>
        <w:rPr>
          <w:rFonts w:hint="eastAsia" w:ascii="宋体" w:hAnsi="宋体" w:cs="宋体"/>
          <w:color w:val="000000"/>
          <w:kern w:val="0"/>
        </w:rPr>
        <w:t>表2-358</w:t>
      </w:r>
    </w:p>
    <w:tbl>
      <w:tblPr>
        <w:tblStyle w:val="13"/>
        <w:tblW w:w="9043" w:type="dxa"/>
        <w:jc w:val="center"/>
        <w:tblLayout w:type="fixed"/>
        <w:tblCellMar>
          <w:top w:w="0" w:type="dxa"/>
          <w:left w:w="28" w:type="dxa"/>
          <w:bottom w:w="0" w:type="dxa"/>
          <w:right w:w="28" w:type="dxa"/>
        </w:tblCellMar>
      </w:tblPr>
      <w:tblGrid>
        <w:gridCol w:w="602"/>
        <w:gridCol w:w="8441"/>
      </w:tblGrid>
      <w:tr>
        <w:tblPrEx>
          <w:tblCellMar>
            <w:top w:w="0" w:type="dxa"/>
            <w:left w:w="28" w:type="dxa"/>
            <w:bottom w:w="0" w:type="dxa"/>
            <w:right w:w="28" w:type="dxa"/>
          </w:tblCellMar>
        </w:tblPrEx>
        <w:trPr>
          <w:trHeight w:val="612"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441" w:type="dxa"/>
            <w:tcBorders>
              <w:top w:val="single" w:color="auto" w:sz="4" w:space="0"/>
              <w:left w:val="nil"/>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2</w:t>
            </w:r>
          </w:p>
        </w:tc>
      </w:tr>
      <w:tr>
        <w:tblPrEx>
          <w:tblCellMar>
            <w:top w:w="0" w:type="dxa"/>
            <w:left w:w="28" w:type="dxa"/>
            <w:bottom w:w="0" w:type="dxa"/>
            <w:right w:w="28" w:type="dxa"/>
          </w:tblCellMar>
        </w:tblPrEx>
        <w:trPr>
          <w:trHeight w:val="612"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tcBorders>
              <w:top w:val="single" w:color="auto" w:sz="4" w:space="0"/>
              <w:left w:val="nil"/>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其他行政权力</w:t>
            </w:r>
          </w:p>
        </w:tc>
      </w:tr>
      <w:tr>
        <w:tblPrEx>
          <w:tblCellMar>
            <w:top w:w="0" w:type="dxa"/>
            <w:left w:w="28" w:type="dxa"/>
            <w:bottom w:w="0" w:type="dxa"/>
            <w:right w:w="28" w:type="dxa"/>
          </w:tblCellMar>
        </w:tblPrEx>
        <w:trPr>
          <w:trHeight w:val="612"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tcBorders>
              <w:top w:val="single" w:color="auto" w:sz="4" w:space="0"/>
              <w:left w:val="nil"/>
              <w:bottom w:val="single" w:color="auto" w:sz="4" w:space="0"/>
              <w:right w:val="single" w:color="auto" w:sz="4" w:space="0"/>
            </w:tcBorders>
            <w:vAlign w:val="center"/>
          </w:tcPr>
          <w:p>
            <w:pPr>
              <w:spacing w:line="260" w:lineRule="exact"/>
              <w:ind w:firstLine="420" w:firstLineChars="200"/>
              <w:jc w:val="left"/>
              <w:textAlignment w:val="center"/>
              <w:rPr>
                <w:rFonts w:ascii="宋体" w:hAnsi="宋体" w:cs="宋体"/>
                <w:color w:val="000000"/>
              </w:rPr>
            </w:pPr>
            <w:r>
              <w:rPr>
                <w:rFonts w:hint="eastAsia" w:ascii="宋体" w:hAnsi="宋体" w:cs="宋体"/>
                <w:color w:val="000000"/>
              </w:rPr>
              <w:t>采取责令暂停导致职业病危害事故的作业，封存造成职业病危害事故或者可能导致职业病危害事故发生的材料和设备，组织控制职业病危害事故现场等临时控制措施</w:t>
            </w:r>
          </w:p>
        </w:tc>
      </w:tr>
      <w:tr>
        <w:tblPrEx>
          <w:tblCellMar>
            <w:top w:w="0" w:type="dxa"/>
            <w:left w:w="28" w:type="dxa"/>
            <w:bottom w:w="0" w:type="dxa"/>
            <w:right w:w="28" w:type="dxa"/>
          </w:tblCellMar>
        </w:tblPrEx>
        <w:trPr>
          <w:trHeight w:val="98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tcBorders>
              <w:top w:val="single" w:color="auto" w:sz="4" w:space="0"/>
              <w:left w:val="nil"/>
              <w:bottom w:val="single" w:color="auto" w:sz="4" w:space="0"/>
              <w:right w:val="single" w:color="auto" w:sz="4" w:space="0"/>
            </w:tcBorders>
            <w:vAlign w:val="center"/>
          </w:tcPr>
          <w:p>
            <w:pPr>
              <w:spacing w:line="260" w:lineRule="exact"/>
              <w:ind w:firstLine="411" w:firstLineChars="196"/>
              <w:textAlignment w:val="center"/>
              <w:rPr>
                <w:rFonts w:ascii="宋体" w:hAnsi="宋体" w:cs="宋体"/>
                <w:color w:val="000000"/>
              </w:rPr>
            </w:pPr>
            <w:r>
              <w:rPr>
                <w:rFonts w:hint="eastAsia" w:ascii="宋体" w:hAnsi="宋体" w:cs="宋体"/>
                <w:color w:val="000000"/>
              </w:rPr>
              <w:t>《中华人民共和国职业病防治法》（中华人民共和国主席令第二十四号）第六十四条：“发生职业病危害事故或者有证据证明危害状态可能导致职业病危害事故发生时，卫生健康行政部门采取下列临时控制措施，（一）责令暂停导致职业病危害事故的作业；（二）封存造成职业病危害事故或者可能导致职业病事故发生的材料和设备；（三）组织控制职业病危害事故现场。在职业病危害事故或者危害状态得到有效控制后，卫生健康行政部门应当及时解除控制措施。”</w:t>
            </w:r>
          </w:p>
        </w:tc>
      </w:tr>
      <w:tr>
        <w:tblPrEx>
          <w:tblCellMar>
            <w:top w:w="0" w:type="dxa"/>
            <w:left w:w="28" w:type="dxa"/>
            <w:bottom w:w="0" w:type="dxa"/>
            <w:right w:w="28" w:type="dxa"/>
          </w:tblCellMar>
        </w:tblPrEx>
        <w:trPr>
          <w:trHeight w:val="612"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tcBorders>
              <w:top w:val="single" w:color="auto" w:sz="4" w:space="0"/>
              <w:left w:val="nil"/>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28" w:type="dxa"/>
            <w:bottom w:w="0" w:type="dxa"/>
            <w:right w:w="28" w:type="dxa"/>
          </w:tblCellMar>
        </w:tblPrEx>
        <w:trPr>
          <w:trHeight w:val="1484"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责任事项</w:t>
            </w:r>
          </w:p>
        </w:tc>
        <w:tc>
          <w:tcPr>
            <w:tcW w:w="8441"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cs="宋体"/>
              </w:rPr>
            </w:pPr>
            <w:r>
              <w:rPr>
                <w:rFonts w:hint="eastAsia" w:ascii="宋体" w:hAnsi="宋体" w:cs="宋体"/>
              </w:rPr>
              <w:t>1.检查责任：根据年度监督检查计划，结合本地区实际情况，定期或者不定期对用人单位执行有关职业病防治的法律、法规、国家职业卫生标准和卫生要求的情况进行监督检查。</w:t>
            </w:r>
          </w:p>
          <w:p>
            <w:pPr>
              <w:spacing w:line="260" w:lineRule="exact"/>
              <w:ind w:firstLine="420" w:firstLineChars="200"/>
              <w:textAlignment w:val="center"/>
              <w:rPr>
                <w:rFonts w:ascii="宋体" w:hAnsi="宋体" w:cs="宋体"/>
              </w:rPr>
            </w:pPr>
            <w:r>
              <w:rPr>
                <w:rFonts w:hint="eastAsia" w:ascii="宋体" w:hAnsi="宋体" w:cs="宋体"/>
              </w:rPr>
              <w:t xml:space="preserve">2.处置责任：对检查中发现危害状态可能导致职业病危害事故发生或者发生职业病危害事故，应当责令暂停导致职业病危害事故的作业，封存造成职业病危害事故或者可能导致职业病危害事故发生的材料和设备，组织控制职业病危害事故现场等临时控制措施。 </w:t>
            </w:r>
          </w:p>
          <w:p>
            <w:pPr>
              <w:spacing w:line="260" w:lineRule="exact"/>
              <w:ind w:firstLine="420" w:firstLineChars="200"/>
              <w:textAlignment w:val="center"/>
              <w:rPr>
                <w:rFonts w:ascii="宋体" w:hAnsi="宋体" w:cs="宋体"/>
              </w:rPr>
            </w:pPr>
            <w:r>
              <w:rPr>
                <w:rFonts w:hint="eastAsia" w:ascii="宋体" w:hAnsi="宋体" w:cs="宋体"/>
              </w:rPr>
              <w:t>3.事后监督责任：建立实施监督检查的运行机制和管理制度，督促用人单位落实职业病防治责任、措施。</w:t>
            </w:r>
          </w:p>
          <w:p>
            <w:pPr>
              <w:spacing w:line="260" w:lineRule="exact"/>
              <w:ind w:firstLine="420" w:firstLineChars="200"/>
              <w:textAlignment w:val="center"/>
              <w:rPr>
                <w:rFonts w:ascii="宋体" w:hAnsi="宋体" w:cs="宋体"/>
                <w:color w:val="000000"/>
              </w:rPr>
            </w:pPr>
            <w:r>
              <w:rPr>
                <w:rFonts w:hint="eastAsia" w:ascii="宋体" w:hAnsi="宋体" w:cs="宋体"/>
              </w:rPr>
              <w:t>4.其他责任：法律法规规章文件规定应履行的其他责任。</w:t>
            </w:r>
          </w:p>
        </w:tc>
      </w:tr>
      <w:tr>
        <w:tblPrEx>
          <w:tblCellMar>
            <w:top w:w="0" w:type="dxa"/>
            <w:left w:w="28" w:type="dxa"/>
            <w:bottom w:w="0" w:type="dxa"/>
            <w:right w:w="28" w:type="dxa"/>
          </w:tblCellMar>
        </w:tblPrEx>
        <w:trPr>
          <w:trHeight w:val="1162"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追责情形</w:t>
            </w:r>
          </w:p>
        </w:tc>
        <w:tc>
          <w:tcPr>
            <w:tcW w:w="8441" w:type="dxa"/>
            <w:tcBorders>
              <w:top w:val="single" w:color="auto" w:sz="4" w:space="0"/>
              <w:left w:val="nil"/>
              <w:bottom w:val="single" w:color="auto" w:sz="4" w:space="0"/>
              <w:right w:val="single" w:color="auto" w:sz="4" w:space="0"/>
            </w:tcBorders>
            <w:vAlign w:val="center"/>
          </w:tcPr>
          <w:p>
            <w:pPr>
              <w:spacing w:line="260" w:lineRule="exact"/>
              <w:ind w:firstLine="420" w:firstLineChars="200"/>
              <w:textAlignment w:val="center"/>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中华人民共和国职业病防治法》等法律法规规章的相关规定追究相应的责任。</w:t>
            </w:r>
          </w:p>
        </w:tc>
      </w:tr>
      <w:tr>
        <w:tblPrEx>
          <w:tblCellMar>
            <w:top w:w="0" w:type="dxa"/>
            <w:left w:w="28" w:type="dxa"/>
            <w:bottom w:w="0" w:type="dxa"/>
            <w:right w:w="28" w:type="dxa"/>
          </w:tblCellMar>
        </w:tblPrEx>
        <w:trPr>
          <w:trHeight w:val="556"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监督电话</w:t>
            </w:r>
          </w:p>
        </w:tc>
        <w:tc>
          <w:tcPr>
            <w:tcW w:w="8441" w:type="dxa"/>
            <w:tcBorders>
              <w:top w:val="single" w:color="auto" w:sz="4" w:space="0"/>
              <w:left w:val="nil"/>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12345</w:t>
            </w:r>
          </w:p>
        </w:tc>
      </w:tr>
    </w:tbl>
    <w:p>
      <w:pPr>
        <w:widowControl/>
        <w:spacing w:line="260" w:lineRule="exact"/>
        <w:jc w:val="left"/>
        <w:rPr>
          <w:rFonts w:ascii="宋体" w:hAnsi="宋体" w:cs="宋体"/>
          <w:color w:val="000000"/>
          <w:kern w:val="0"/>
        </w:rPr>
      </w:pPr>
      <w:r>
        <w:rPr>
          <w:rFonts w:hint="eastAsia" w:ascii="宋体" w:hAnsi="宋体" w:cs="宋体"/>
          <w:color w:val="000000"/>
          <w:kern w:val="0"/>
        </w:rPr>
        <w:t>表2-359</w:t>
      </w:r>
    </w:p>
    <w:tbl>
      <w:tblPr>
        <w:tblStyle w:val="13"/>
        <w:tblW w:w="9043" w:type="dxa"/>
        <w:jc w:val="center"/>
        <w:tblLayout w:type="fixed"/>
        <w:tblCellMar>
          <w:top w:w="0" w:type="dxa"/>
          <w:left w:w="28" w:type="dxa"/>
          <w:bottom w:w="0" w:type="dxa"/>
          <w:right w:w="28" w:type="dxa"/>
        </w:tblCellMar>
      </w:tblPr>
      <w:tblGrid>
        <w:gridCol w:w="602"/>
        <w:gridCol w:w="8441"/>
      </w:tblGrid>
      <w:tr>
        <w:tblPrEx>
          <w:tblCellMar>
            <w:top w:w="0" w:type="dxa"/>
            <w:left w:w="28" w:type="dxa"/>
            <w:bottom w:w="0" w:type="dxa"/>
            <w:right w:w="28" w:type="dxa"/>
          </w:tblCellMar>
        </w:tblPrEx>
        <w:trPr>
          <w:trHeight w:val="612"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序号</w:t>
            </w:r>
          </w:p>
        </w:tc>
        <w:tc>
          <w:tcPr>
            <w:tcW w:w="8441" w:type="dxa"/>
            <w:tcBorders>
              <w:top w:val="single" w:color="auto" w:sz="4" w:space="0"/>
              <w:left w:val="nil"/>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3</w:t>
            </w:r>
          </w:p>
        </w:tc>
      </w:tr>
      <w:tr>
        <w:tblPrEx>
          <w:tblCellMar>
            <w:top w:w="0" w:type="dxa"/>
            <w:left w:w="28" w:type="dxa"/>
            <w:bottom w:w="0" w:type="dxa"/>
            <w:right w:w="28" w:type="dxa"/>
          </w:tblCellMar>
        </w:tblPrEx>
        <w:trPr>
          <w:trHeight w:val="943"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权力类型</w:t>
            </w:r>
          </w:p>
        </w:tc>
        <w:tc>
          <w:tcPr>
            <w:tcW w:w="8441" w:type="dxa"/>
            <w:tcBorders>
              <w:top w:val="single" w:color="auto" w:sz="4" w:space="0"/>
              <w:left w:val="nil"/>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其他行政权力</w:t>
            </w:r>
          </w:p>
        </w:tc>
      </w:tr>
      <w:tr>
        <w:tblPrEx>
          <w:tblCellMar>
            <w:top w:w="0" w:type="dxa"/>
            <w:left w:w="28" w:type="dxa"/>
            <w:bottom w:w="0" w:type="dxa"/>
            <w:right w:w="28" w:type="dxa"/>
          </w:tblCellMar>
        </w:tblPrEx>
        <w:trPr>
          <w:trHeight w:val="722"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权力项目名称</w:t>
            </w:r>
          </w:p>
        </w:tc>
        <w:tc>
          <w:tcPr>
            <w:tcW w:w="8441" w:type="dxa"/>
            <w:tcBorders>
              <w:top w:val="single" w:color="auto" w:sz="4" w:space="0"/>
              <w:left w:val="nil"/>
              <w:bottom w:val="single" w:color="auto" w:sz="4" w:space="0"/>
              <w:right w:val="single" w:color="auto" w:sz="4" w:space="0"/>
            </w:tcBorders>
            <w:vAlign w:val="center"/>
          </w:tcPr>
          <w:p>
            <w:pPr>
              <w:spacing w:line="260" w:lineRule="exact"/>
              <w:ind w:firstLine="420" w:firstLineChars="200"/>
              <w:jc w:val="left"/>
              <w:textAlignment w:val="center"/>
              <w:rPr>
                <w:rFonts w:ascii="宋体" w:hAnsi="宋体" w:cs="宋体"/>
                <w:color w:val="000000"/>
              </w:rPr>
            </w:pPr>
            <w:r>
              <w:rPr>
                <w:rFonts w:hint="eastAsia" w:ascii="宋体" w:hAnsi="宋体" w:cs="宋体"/>
                <w:color w:val="000000"/>
              </w:rPr>
              <w:t>对违反《职业病防治法》有关规定的建设单位，提请有关人民政府按照国务院规定的权限责令停建、关闭；或者对违反《职业病防治法》有关规定的用人单位，提请有关人民政府按照国务院规定的权限责令关闭</w:t>
            </w:r>
          </w:p>
        </w:tc>
      </w:tr>
      <w:tr>
        <w:tblPrEx>
          <w:tblCellMar>
            <w:top w:w="0" w:type="dxa"/>
            <w:left w:w="28" w:type="dxa"/>
            <w:bottom w:w="0" w:type="dxa"/>
            <w:right w:w="28" w:type="dxa"/>
          </w:tblCellMar>
        </w:tblPrEx>
        <w:trPr>
          <w:trHeight w:val="2876"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实施依据</w:t>
            </w:r>
          </w:p>
        </w:tc>
        <w:tc>
          <w:tcPr>
            <w:tcW w:w="8441" w:type="dxa"/>
            <w:tcBorders>
              <w:top w:val="single" w:color="auto" w:sz="4" w:space="0"/>
              <w:left w:val="nil"/>
              <w:bottom w:val="single" w:color="auto" w:sz="4" w:space="0"/>
              <w:right w:val="single" w:color="auto" w:sz="4" w:space="0"/>
            </w:tcBorders>
            <w:vAlign w:val="center"/>
          </w:tcPr>
          <w:p>
            <w:pPr>
              <w:spacing w:line="260" w:lineRule="exact"/>
              <w:ind w:firstLine="411" w:firstLineChars="196"/>
              <w:textAlignment w:val="center"/>
              <w:rPr>
                <w:rFonts w:ascii="宋体" w:hAnsi="宋体" w:cs="宋体"/>
                <w:color w:val="000000"/>
              </w:rPr>
            </w:pPr>
            <w:r>
              <w:rPr>
                <w:rFonts w:hint="eastAsia" w:ascii="宋体" w:hAnsi="宋体" w:cs="宋体"/>
                <w:color w:val="000000"/>
              </w:rPr>
              <w:t xml:space="preserve">1.《职业病防治法》第六十九条：“建设单位违反本法规定，有下列行为之一的，由卫生健康行政部门给予警告，责令限期改正；逾期不改正的，处十万元以上五十万元以下的罚款；情节严重的，责令停止产生职业病危害的作业，或者提请有关人民政府按照国务院规定的权限责令停建、关闭。”       </w:t>
            </w:r>
          </w:p>
          <w:p>
            <w:pPr>
              <w:spacing w:line="260" w:lineRule="exact"/>
              <w:ind w:firstLine="411" w:firstLineChars="196"/>
              <w:textAlignment w:val="center"/>
              <w:rPr>
                <w:rFonts w:ascii="宋体" w:hAnsi="宋体" w:cs="宋体"/>
                <w:color w:val="000000"/>
              </w:rPr>
            </w:pPr>
            <w:r>
              <w:rPr>
                <w:rFonts w:hint="eastAsia" w:ascii="宋体" w:hAnsi="宋体" w:cs="宋体"/>
                <w:color w:val="000000"/>
              </w:rPr>
              <w:t>2.《职业病防治法》第七十二条：“用人单位违反本法规定，有下列行为之一的，由卫生健康行政部门给予警告，责令限期改正，逾期不改正的，处五万元以上二十万元以下的罚款；情节严重的，责令停止产生职业病危害的作业，或者提请有关人民政府按照国务院规定的权限责令关闭。”</w:t>
            </w:r>
          </w:p>
          <w:p>
            <w:pPr>
              <w:spacing w:line="260" w:lineRule="exact"/>
              <w:ind w:firstLine="411" w:firstLineChars="196"/>
              <w:textAlignment w:val="center"/>
              <w:rPr>
                <w:rFonts w:ascii="宋体" w:hAnsi="宋体" w:cs="宋体"/>
                <w:color w:val="000000"/>
              </w:rPr>
            </w:pPr>
            <w:r>
              <w:rPr>
                <w:rFonts w:hint="eastAsia" w:ascii="宋体" w:hAnsi="宋体" w:cs="宋体"/>
                <w:color w:val="000000"/>
              </w:rPr>
              <w:t>3.《职业病防治法》第七十五条：“违反本法规定，有下列情形之一的，由卫生健康行政部门责令限期治理，并处五万元以上三十万元以下的罚款；情节严重的，责令停止产生职业病危害的作业，或者提请有关人民政府按照国务院规定的权限责令关闭。”</w:t>
            </w:r>
          </w:p>
          <w:p>
            <w:pPr>
              <w:spacing w:line="260" w:lineRule="exact"/>
              <w:ind w:firstLine="411" w:firstLineChars="196"/>
              <w:textAlignment w:val="center"/>
              <w:rPr>
                <w:rFonts w:ascii="宋体" w:hAnsi="宋体" w:cs="宋体"/>
                <w:color w:val="000000"/>
              </w:rPr>
            </w:pPr>
            <w:r>
              <w:rPr>
                <w:rFonts w:hint="eastAsia" w:ascii="宋体" w:hAnsi="宋体" w:cs="宋体"/>
                <w:color w:val="000000"/>
              </w:rPr>
              <w:t>4.《职业病防治法》第七十七条：“用人单位违反本法规定，已经对劳动者生命健康造成严重损害的，由卫生健康行政部门责令停止产生职业病危害的作业，或者提请有关人民政府按照国务院规定的权限责令关闭，并处十万元以上五十万元以下的罚款。”</w:t>
            </w:r>
          </w:p>
        </w:tc>
      </w:tr>
      <w:tr>
        <w:tblPrEx>
          <w:tblCellMar>
            <w:top w:w="0" w:type="dxa"/>
            <w:left w:w="28" w:type="dxa"/>
            <w:bottom w:w="0" w:type="dxa"/>
            <w:right w:w="28" w:type="dxa"/>
          </w:tblCellMar>
        </w:tblPrEx>
        <w:trPr>
          <w:trHeight w:val="508"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责任主体</w:t>
            </w:r>
          </w:p>
        </w:tc>
        <w:tc>
          <w:tcPr>
            <w:tcW w:w="8441" w:type="dxa"/>
            <w:tcBorders>
              <w:top w:val="single" w:color="auto" w:sz="4" w:space="0"/>
              <w:left w:val="nil"/>
              <w:bottom w:val="single" w:color="auto" w:sz="4" w:space="0"/>
              <w:right w:val="single" w:color="auto" w:sz="4" w:space="0"/>
            </w:tcBorders>
            <w:vAlign w:val="center"/>
          </w:tcPr>
          <w:p>
            <w:pPr>
              <w:spacing w:line="260" w:lineRule="exact"/>
              <w:jc w:val="center"/>
              <w:textAlignment w:val="center"/>
              <w:rPr>
                <w:rFonts w:ascii="宋体" w:hAnsi="宋体" w:cs="宋体"/>
                <w:color w:val="000000"/>
              </w:rPr>
            </w:pPr>
            <w:r>
              <w:rPr>
                <w:rFonts w:hint="eastAsia" w:ascii="宋体" w:hAnsi="宋体" w:cs="宋体"/>
                <w:color w:val="000000"/>
              </w:rPr>
              <w:t>政策法规与综合监督股、区卫生健康综合行政执法大队</w:t>
            </w:r>
          </w:p>
        </w:tc>
      </w:tr>
      <w:tr>
        <w:tblPrEx>
          <w:tblCellMar>
            <w:top w:w="0" w:type="dxa"/>
            <w:left w:w="28" w:type="dxa"/>
            <w:bottom w:w="0" w:type="dxa"/>
            <w:right w:w="28" w:type="dxa"/>
          </w:tblCellMar>
        </w:tblPrEx>
        <w:trPr>
          <w:trHeight w:val="2185"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bCs/>
                <w:color w:val="000000"/>
              </w:rPr>
            </w:pPr>
            <w:r>
              <w:rPr>
                <w:rFonts w:hint="eastAsia" w:ascii="宋体" w:hAnsi="宋体" w:cs="宋体"/>
                <w:bCs/>
                <w:color w:val="000000"/>
              </w:rPr>
              <w:t>责任事项</w:t>
            </w:r>
          </w:p>
        </w:tc>
        <w:tc>
          <w:tcPr>
            <w:tcW w:w="8441" w:type="dxa"/>
            <w:tcBorders>
              <w:top w:val="single" w:color="auto" w:sz="4" w:space="0"/>
              <w:left w:val="nil"/>
              <w:bottom w:val="single" w:color="auto" w:sz="4" w:space="0"/>
              <w:right w:val="single" w:color="auto" w:sz="4" w:space="0"/>
            </w:tcBorders>
            <w:vAlign w:val="center"/>
          </w:tcPr>
          <w:p>
            <w:pPr>
              <w:spacing w:line="260" w:lineRule="exact"/>
              <w:ind w:firstLine="411" w:firstLineChars="196"/>
              <w:textAlignment w:val="center"/>
              <w:rPr>
                <w:rFonts w:ascii="宋体" w:hAnsi="宋体" w:cs="宋体"/>
                <w:color w:val="000000"/>
              </w:rPr>
            </w:pPr>
            <w:r>
              <w:rPr>
                <w:rFonts w:hint="eastAsia" w:ascii="宋体" w:hAnsi="宋体" w:cs="宋体"/>
                <w:color w:val="000000"/>
              </w:rPr>
              <w:t>1.立案责任：发现建设单位或者用人单位违反《职业病防治法》有关规定的，予以审查，决定是否立案。</w:t>
            </w:r>
          </w:p>
          <w:p>
            <w:pPr>
              <w:spacing w:line="260" w:lineRule="exact"/>
              <w:ind w:firstLine="411" w:firstLineChars="196"/>
              <w:textAlignment w:val="center"/>
              <w:rPr>
                <w:rFonts w:ascii="宋体" w:hAnsi="宋体" w:cs="宋体"/>
                <w:color w:val="000000"/>
              </w:rPr>
            </w:pPr>
            <w:r>
              <w:rPr>
                <w:rFonts w:hint="eastAsia" w:ascii="宋体" w:hAnsi="宋体" w:cs="宋体"/>
                <w:color w:val="000000"/>
              </w:rPr>
              <w:t>2.调查责任：对立案的案件及时组织调查取证，与当事人有直接利害关系的应当回避。执法人员不得少于两人，询问或者检查应当制作笔录，允许当事人辩解。</w:t>
            </w:r>
          </w:p>
          <w:p>
            <w:pPr>
              <w:spacing w:line="260" w:lineRule="exact"/>
              <w:ind w:firstLine="411" w:firstLineChars="196"/>
              <w:textAlignment w:val="center"/>
              <w:rPr>
                <w:rFonts w:ascii="宋体" w:hAnsi="宋体" w:cs="宋体"/>
                <w:color w:val="000000"/>
              </w:rPr>
            </w:pPr>
            <w:r>
              <w:rPr>
                <w:rFonts w:hint="eastAsia" w:ascii="宋体" w:hAnsi="宋体" w:cs="宋体"/>
                <w:color w:val="000000"/>
              </w:rPr>
              <w:t>3.审查责任：对案件违法事实、证据、调查取证程序、法律适用、处罚种类和幅度、当事人陈述和申辩等进行审查，提出处理意见。</w:t>
            </w:r>
          </w:p>
          <w:p>
            <w:pPr>
              <w:spacing w:line="260" w:lineRule="exact"/>
              <w:ind w:firstLine="411" w:firstLineChars="196"/>
              <w:textAlignment w:val="center"/>
              <w:rPr>
                <w:rFonts w:ascii="宋体" w:hAnsi="宋体" w:cs="宋体"/>
                <w:color w:val="000000"/>
              </w:rPr>
            </w:pPr>
            <w:r>
              <w:rPr>
                <w:rFonts w:hint="eastAsia" w:ascii="宋体" w:hAnsi="宋体" w:cs="宋体"/>
                <w:color w:val="000000"/>
              </w:rPr>
              <w:t>4.报请责任：经审查，认为应当责令停建或者关闭的，应当向按国务院规定负有管辖权的人民政府书面报告，告知其相关建设单位或者用人单位的违法事实、证据，拟责令停建或者关闭的理由及依据，由相关人民政府依法决定是否责令停建或者关闭。</w:t>
            </w:r>
          </w:p>
        </w:tc>
      </w:tr>
      <w:tr>
        <w:tblPrEx>
          <w:tblCellMar>
            <w:top w:w="0" w:type="dxa"/>
            <w:left w:w="28" w:type="dxa"/>
            <w:bottom w:w="0" w:type="dxa"/>
            <w:right w:w="28" w:type="dxa"/>
          </w:tblCellMar>
        </w:tblPrEx>
        <w:trPr>
          <w:trHeight w:val="9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bCs/>
                <w:color w:val="000000"/>
              </w:rPr>
            </w:pPr>
            <w:r>
              <w:rPr>
                <w:rFonts w:hint="eastAsia" w:ascii="宋体" w:hAnsi="宋体" w:cs="宋体"/>
                <w:bCs/>
                <w:color w:val="000000"/>
              </w:rPr>
              <w:t>追责情形</w:t>
            </w:r>
          </w:p>
        </w:tc>
        <w:tc>
          <w:tcPr>
            <w:tcW w:w="8441" w:type="dxa"/>
            <w:tcBorders>
              <w:top w:val="single" w:color="auto" w:sz="4" w:space="0"/>
              <w:left w:val="nil"/>
              <w:bottom w:val="single" w:color="auto" w:sz="4" w:space="0"/>
              <w:right w:val="single" w:color="auto" w:sz="4" w:space="0"/>
            </w:tcBorders>
            <w:vAlign w:val="center"/>
          </w:tcPr>
          <w:p>
            <w:pPr>
              <w:spacing w:line="260" w:lineRule="exact"/>
              <w:ind w:firstLine="411" w:firstLineChars="196"/>
              <w:textAlignment w:val="center"/>
              <w:rPr>
                <w:rFonts w:ascii="宋体" w:hAnsi="宋体" w:cs="宋体"/>
                <w:color w:val="000000"/>
              </w:rPr>
            </w:pPr>
            <w:r>
              <w:rPr>
                <w:rFonts w:hint="eastAsia" w:ascii="宋体" w:hAnsi="宋体" w:cs="宋体"/>
                <w:color w:val="000000"/>
              </w:rPr>
              <w:t>对不履行或不正确履行行政职责的行政机关及其工作人员，依据《中华人民共和国监察法》《中华人民共和国行政许可法》《行政机关公务员处分条例》《四川省行政执法监督条例》《四川省行政审批违法违纪行为责任追究办法》《职业病防治法》等法律法规规章的相关规定追究相应的责任。</w:t>
            </w:r>
          </w:p>
        </w:tc>
      </w:tr>
      <w:tr>
        <w:tblPrEx>
          <w:tblCellMar>
            <w:top w:w="0" w:type="dxa"/>
            <w:left w:w="28" w:type="dxa"/>
            <w:bottom w:w="0" w:type="dxa"/>
            <w:right w:w="28" w:type="dxa"/>
          </w:tblCellMar>
        </w:tblPrEx>
        <w:trPr>
          <w:trHeight w:val="279"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bCs/>
                <w:color w:val="000000"/>
              </w:rPr>
            </w:pPr>
            <w:r>
              <w:rPr>
                <w:rFonts w:hint="eastAsia" w:ascii="宋体" w:hAnsi="宋体" w:cs="宋体"/>
                <w:bCs/>
                <w:color w:val="000000"/>
              </w:rPr>
              <w:t>监督电话</w:t>
            </w:r>
          </w:p>
        </w:tc>
        <w:tc>
          <w:tcPr>
            <w:tcW w:w="8441"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cs="宋体"/>
                <w:bCs/>
                <w:color w:val="000000"/>
              </w:rPr>
            </w:pPr>
            <w:r>
              <w:rPr>
                <w:rFonts w:hint="eastAsia" w:ascii="宋体" w:hAnsi="宋体" w:cs="宋体"/>
                <w:bCs/>
                <w:color w:val="000000"/>
              </w:rPr>
              <w:t>12345</w:t>
            </w:r>
          </w:p>
        </w:tc>
      </w:tr>
    </w:tbl>
    <w:p>
      <w:pPr>
        <w:spacing w:line="20" w:lineRule="exact"/>
        <w:rPr>
          <w:rFonts w:ascii="宋体" w:hAnsi="宋体" w:cs="宋体"/>
          <w:bCs/>
          <w:sz w:val="32"/>
          <w:szCs w:val="32"/>
        </w:rPr>
      </w:pP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四、朝天区卫生健康局重大行政执法审核目录清单（共3项）</w:t>
      </w:r>
    </w:p>
    <w:p>
      <w:pPr>
        <w:spacing w:line="600" w:lineRule="exact"/>
        <w:ind w:firstLine="642" w:firstLineChars="200"/>
        <w:rPr>
          <w:rFonts w:ascii="仿宋_GB2312" w:eastAsia="仿宋_GB2312"/>
          <w:sz w:val="32"/>
          <w:szCs w:val="32"/>
        </w:rPr>
      </w:pPr>
      <w:r>
        <w:rPr>
          <w:rFonts w:hint="eastAsia" w:ascii="仿宋_GB2312" w:hAnsi="仿宋_GB2312" w:eastAsia="仿宋_GB2312" w:cs="仿宋_GB2312"/>
          <w:b/>
          <w:bCs/>
          <w:sz w:val="32"/>
          <w:szCs w:val="32"/>
        </w:rPr>
        <w:t>1.</w:t>
      </w:r>
      <w:r>
        <w:rPr>
          <w:rFonts w:hint="eastAsia" w:ascii="仿宋_GB2312" w:eastAsia="仿宋_GB2312"/>
          <w:b/>
          <w:bCs/>
          <w:sz w:val="32"/>
          <w:szCs w:val="32"/>
        </w:rPr>
        <w:t>重大行政许可：</w:t>
      </w:r>
    </w:p>
    <w:p>
      <w:pPr>
        <w:spacing w:line="60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（一）适用听证程序的；</w:t>
      </w:r>
    </w:p>
    <w:p>
      <w:pPr>
        <w:spacing w:line="60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（二）通过招商引资、招标、拍卖等方式决定的；</w:t>
      </w:r>
    </w:p>
    <w:p>
      <w:pPr>
        <w:spacing w:line="60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（三）变更、撤回、撤销行政许可决定的；</w:t>
      </w:r>
    </w:p>
    <w:p>
      <w:pPr>
        <w:spacing w:line="60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（四）其他重大卫生行政许可事项。</w:t>
      </w:r>
    </w:p>
    <w:p>
      <w:pPr>
        <w:spacing w:line="600" w:lineRule="exact"/>
        <w:ind w:firstLine="642" w:firstLineChars="200"/>
        <w:rPr>
          <w:rFonts w:ascii="仿宋_GB2312" w:eastAsia="仿宋_GB2312"/>
          <w:b/>
          <w:bCs/>
          <w:sz w:val="32"/>
          <w:szCs w:val="32"/>
        </w:rPr>
      </w:pPr>
      <w:r>
        <w:rPr>
          <w:rFonts w:hint="eastAsia" w:ascii="仿宋_GB2312" w:eastAsia="仿宋_GB2312"/>
          <w:b/>
          <w:bCs/>
          <w:sz w:val="32"/>
          <w:szCs w:val="32"/>
        </w:rPr>
        <w:t>2.</w:t>
      </w:r>
      <w:r>
        <w:rPr>
          <w:rFonts w:ascii="仿宋_GB2312" w:eastAsia="仿宋_GB2312"/>
          <w:b/>
          <w:bCs/>
          <w:sz w:val="32"/>
          <w:szCs w:val="32"/>
        </w:rPr>
        <w:t>重大行政处罚：</w:t>
      </w:r>
    </w:p>
    <w:p>
      <w:pPr>
        <w:spacing w:line="60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（一）责令停产停业；</w:t>
      </w:r>
    </w:p>
    <w:p>
      <w:pPr>
        <w:spacing w:line="60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（二）吊销许可证或者证照；</w:t>
      </w:r>
    </w:p>
    <w:p>
      <w:pPr>
        <w:spacing w:line="60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（三）对非经营活动中公民的违法行为处以罚款或没收财产2000元以上、法人或其他组织的违法行为处以罚款或没收财产2万元以上；</w:t>
      </w:r>
    </w:p>
    <w:p>
      <w:pPr>
        <w:spacing w:line="60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（四）对在经营活动中的违法行为处以罚款或没收财产5万元以上；</w:t>
      </w:r>
    </w:p>
    <w:p>
      <w:pPr>
        <w:spacing w:line="60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（五）减轻或者免除行政处罚决定；</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宋体"/>
          <w:kern w:val="0"/>
          <w:sz w:val="32"/>
          <w:szCs w:val="32"/>
        </w:rPr>
        <w:t>（六）其他重大行政处罚事项。</w:t>
      </w:r>
    </w:p>
    <w:p>
      <w:pPr>
        <w:autoSpaceDN w:val="0"/>
        <w:spacing w:line="600" w:lineRule="exact"/>
        <w:ind w:firstLine="642" w:firstLineChars="200"/>
        <w:rPr>
          <w:rFonts w:ascii="仿宋_GB2312" w:eastAsia="仿宋_GB2312"/>
          <w:b/>
          <w:sz w:val="32"/>
          <w:szCs w:val="32"/>
        </w:rPr>
      </w:pPr>
      <w:r>
        <w:rPr>
          <w:rFonts w:hint="eastAsia" w:ascii="仿宋_GB2312" w:hAnsi="仿宋_GB2312" w:eastAsia="仿宋_GB2312" w:cs="仿宋_GB2312"/>
          <w:b/>
          <w:color w:val="000000"/>
          <w:sz w:val="32"/>
          <w:szCs w:val="32"/>
        </w:rPr>
        <w:t>3.</w:t>
      </w:r>
      <w:r>
        <w:rPr>
          <w:rFonts w:hint="eastAsia" w:ascii="仿宋_GB2312" w:eastAsia="仿宋_GB2312"/>
          <w:b/>
          <w:sz w:val="32"/>
          <w:szCs w:val="32"/>
        </w:rPr>
        <w:t>重大行政强制：</w:t>
      </w:r>
    </w:p>
    <w:p>
      <w:pPr>
        <w:spacing w:line="60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（一）查封经营场所使法人或者其他组织的生产经营活动、工作难以正常进行的；</w:t>
      </w:r>
    </w:p>
    <w:p>
      <w:pPr>
        <w:spacing w:line="60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（二）扣押许可证或者执照使法人或者其他组织的生产经营活动、工作难以正常进行的；</w:t>
      </w:r>
    </w:p>
    <w:p>
      <w:pPr>
        <w:spacing w:line="60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（三）查封存在危害人体健康和生命安全重大隐患的生产经营场所；</w:t>
      </w:r>
    </w:p>
    <w:p>
      <w:pPr>
        <w:spacing w:line="60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（四）法律法规规章和规范性文件规定以及行政机关负责人认定的其他重大卫生行政强制事项。</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五、朝天区卫生健康局行政执法（监督信息）救济渠道、行政执法责任制</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当事人依法享有的权利、救济途径、方式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（一）依法享有的权利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当事人依法享有申请回避、陈述、申辩、复议、诉讼等权利，详见相应法律法规。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（二）救济途径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1、行政复议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部门1：广元市朝天区司法局合法性审查和法律事务股     地址：四川省广元市朝天区朝天镇潜溪路一段57号（广元市朝天区司法局二楼）      电话：0839-8621377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部门2：广元市卫生健康委员会   地址：四川省广元市利州区利州东路726号 邮编:628017  电话0839-3260287    传真:0839-</w:t>
      </w:r>
      <w:r>
        <w:rPr>
          <w:rFonts w:ascii="仿宋_GB2312" w:hAnsi="仿宋_GB2312" w:eastAsia="仿宋_GB2312" w:cs="仿宋_GB2312"/>
          <w:sz w:val="32"/>
          <w:szCs w:val="32"/>
        </w:rPr>
        <w:t>3618280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2、行政诉讼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单位：广元市朝天区人民法院  地址：广元市朝天区朝天镇青云路59号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（三）对行政执法的监督投诉举报的方式、途径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部门：广元市朝天区卫生健康局机关纪委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地址：四川省广元市朝天区朝天镇潜溪路一段38号（朝天区卫生健康局三楼）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电话：0839-5597325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部门：广元市朝天区司法局行政执法协调监督股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地址：四川省广元市朝天区朝天镇潜溪路一段57号（广元市朝天区司法局二楼）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投诉电话：0839- 8621377</w:t>
      </w:r>
    </w:p>
    <w:p>
      <w:pPr>
        <w:spacing w:line="60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行政执法责任制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《国务院办公厅关于推行行政执法责任制的若干意见》（国办发[2005]37号）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《四川省人民政府办公厅关于深化行政执法责任制的实施意见》(川办发[2005]36号)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《四川省落实行政执法责任制全面推进依法行政考核办法》(川府法[2005]24号)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四川省行政执法监督条例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行政机关公务员处分条例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事业单位工作人员处分暂行规定</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六、朝天区卫生健康行政执法自由裁量标准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四川省卫生健康委员会关于印发《四川省规范卫生健康行政处罚行政强制裁量权实施规则》和《四川省卫生健康行政处罚强制裁量实施标准》的通知（卫办发〔2019〕8号）。</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七、朝天区卫生健康局随机抽查事项清单、市场主体库（检查对象名录库）、2021年抽查计划</w:t>
      </w:r>
    </w:p>
    <w:p>
      <w:pPr>
        <w:spacing w:line="60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（一）随机抽查事项清单</w:t>
      </w:r>
    </w:p>
    <w:p>
      <w:pPr>
        <w:spacing w:line="60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1.医疗机构监督检查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检查依据：《中华人民共和国传染病防治法》《执业医师法》《医疗机构管理条例》等法律法规。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检查对象：医疗机构、医务人员。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检查内容：监督检查医疗机构、医务人员是否依法执业。对发现的违法行为依法定职权责令改正，实施相应行政处罚。</w:t>
      </w:r>
    </w:p>
    <w:p>
      <w:pPr>
        <w:spacing w:line="60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2.公共场所监督检查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检查依据：《公共场所卫生管理条例》《四川省公共场所卫生管理办法》等法律法规。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检查对象：甲类、乙类二十九种公共场所及从业人员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检查内容：监督检查公共场所是否取得法定许可，从业人员是否取得健康证明。场所微小气候、物品消毒、集中通风系统等是否符合国家卫生标准要求。依法对违法行为实施行政处罚。</w:t>
      </w:r>
    </w:p>
    <w:p>
      <w:pPr>
        <w:spacing w:line="60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3.生活饮用水监督检查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检查依据：《生活饮用水卫生监督管理办法》《四川省生活饮用水卫生监督管理办法》等法律法规。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检查对象：集中式供水。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检查内容：监督检查集中式供水是否取得法定许可，供水人员是否取得健康证明。水质是否符合卫生标准要求。依法对违法行为实施行政处罚。</w:t>
      </w:r>
    </w:p>
    <w:p>
      <w:pPr>
        <w:spacing w:line="60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4.母婴保健机构监督检查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检查依据：《中华人民共和国母婴保健法》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检查对象：医疗保健机构、母婴保健工作人员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检查内容：对医疗保健机构、母婴保健工作人员是否依法开展婚前保健、孕产期保健等工作进行监督检查。依法对违法行为实施行政处罚。</w:t>
      </w:r>
    </w:p>
    <w:p>
      <w:p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5.职业、放射卫生的监督检查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检查依据：《中华人民共和国职业病防治法》《放射诊疗管理规定》《职业健康检查管理办法》等法律法规。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检查对象：涉及职业危害的用人单位、开展放射诊疗的医疗机构、职业健康检查机构和涉及职业危害的人员。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内容：监督检查涉及职业危害的用人单位、开展放射诊疗的医疗机构、职业健康检查机构的工作环境和条件是否符合国家职业卫生标准和条件，涉及职业危害的人员是否采取措施保障获得职业卫生保护。依法对违法行为实施行政处罚。</w:t>
      </w:r>
    </w:p>
    <w:p>
      <w:pPr>
        <w:spacing w:line="600"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6.学校卫生监督检查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检查依据：《学校卫生管理条例》《学校卫生标准》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检查对象：学校（托幼机构）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检查内容：监督检查学校（托幼机构）卫生环境和教学卫生条件是否符合学校卫生标准要求，是否认真贯彻传染病防治法律法规。依法对违法行为实施行政处罚。</w:t>
      </w:r>
    </w:p>
    <w:p>
      <w:pPr>
        <w:spacing w:line="60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（二）检查对象名录库</w:t>
      </w:r>
    </w:p>
    <w:p>
      <w:pPr>
        <w:spacing w:line="560" w:lineRule="exact"/>
        <w:jc w:val="center"/>
        <w:rPr>
          <w:rFonts w:ascii="宋体" w:hAnsi="宋体" w:cs="Arial"/>
          <w:b/>
          <w:bCs/>
          <w:kern w:val="0"/>
          <w:sz w:val="32"/>
          <w:szCs w:val="32"/>
        </w:rPr>
        <w:sectPr>
          <w:footerReference r:id="rId3" w:type="default"/>
          <w:pgSz w:w="11906" w:h="16838"/>
          <w:pgMar w:top="2098" w:right="1474" w:bottom="1984" w:left="1587" w:header="851" w:footer="1361" w:gutter="0"/>
          <w:pgNumType w:fmt="numberInDash"/>
          <w:cols w:space="720" w:num="1"/>
          <w:docGrid w:type="lines" w:linePitch="312" w:charSpace="0"/>
        </w:sectPr>
      </w:pPr>
    </w:p>
    <w:p>
      <w:pPr>
        <w:jc w:val="center"/>
        <w:rPr>
          <w:rFonts w:ascii="宋体" w:hAnsi="宋体" w:cs="Arial"/>
          <w:b/>
          <w:bCs/>
          <w:kern w:val="0"/>
          <w:sz w:val="32"/>
          <w:szCs w:val="32"/>
        </w:rPr>
      </w:pPr>
      <w:r>
        <w:rPr>
          <w:rFonts w:hint="eastAsia" w:ascii="宋体" w:hAnsi="宋体" w:cs="Arial"/>
          <w:b/>
          <w:bCs/>
          <w:kern w:val="0"/>
          <w:sz w:val="32"/>
          <w:szCs w:val="32"/>
        </w:rPr>
        <w:t>学校卫生目录</w:t>
      </w:r>
    </w:p>
    <w:tbl>
      <w:tblPr>
        <w:tblStyle w:val="13"/>
        <w:tblW w:w="12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3"/>
        <w:gridCol w:w="4318"/>
        <w:gridCol w:w="1875"/>
        <w:gridCol w:w="186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单位名称</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单位地址</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许可证号</w:t>
            </w: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专业</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广元市朝天区大滩镇小学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四川省广元市朝天区大滩镇捍东村四组</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广元市朝天区朝天镇第二小学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四川省广元市朝天区朝天镇峨眉路1号</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广元市朝天区朝天镇第一小学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四川省广元市朝天区朝天镇明月路287号</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广元市朝天区朝天镇陈家小学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四川省广元市朝天区朝天镇陈家场镇</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广元市朝天区大滩镇小学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四川省广元市朝天区大滩镇场镇</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广元市朝天区云雾山镇小学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四川省广元市朝天区云雾山场镇</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广元市朝天区两河口镇小学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四川省广元市朝天区两河口镇场镇</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广元市朝天区临溪乡小学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四川省广元市朝天区临溪乡场镇</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广元市朝天区麻柳乡小学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四川省广元市朝天区麻柳乡乔田村</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广元市朝天区水磨沟镇马家坝小学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四川省广元市朝天区水磨沟镇马家坝场镇</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广元市朝天区曾家镇平溪小学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四川省广元市朝天区曾家镇平溪场镇</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广元市朝天区沙河镇蒲家小学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四川省广元市朝天区沙河镇蒲家</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广元市朝天区水磨沟镇青林小学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四川省广元市朝天区水磨沟镇青林红坪路5号</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广元市朝天区沙河镇小学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四川省广元市朝天区沙河镇</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广元市朝天区李家镇第一小学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四川省广元市朝天区汪家场镇</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广元市朝天区大滩镇文安小学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四川省广元市朝天区文安场镇</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广元市朝天区羊木镇西北小学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四川省广元市朝天区西北场镇</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广元市朝天区朝天镇小安小学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四川省广元市朝天区朝天镇文昌村</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广元市朝天区中子镇宣河小学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四川省广元市朝天区宣河场镇</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广元市朝天区羊木镇小学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四川省广元市朝天区羊木镇</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广元市朝天区沙河镇鱼洞小学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四川省广元市朝天区沙河镇石卡村</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广元市朝天区曾家镇小学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四川省广元市朝天区曾家镇文化路199号</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广元市朝天区中子镇实验学校</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四川省广元市朝天区中子镇场镇</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广元市朝天区中子镇转斗小学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四川省广元市朝天区中子镇转南村</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广元市朝天特殊教育学校</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四川省广元市朝天区朝天镇俞家村7组</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广元市朝天区大滩初级中学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四川省广元市朝天区大滩镇场镇</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广元市朝天区李家镇第二小学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四川省广元市朝天区李家场镇</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广元市朝天区羊木初级中学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四川省广元市朝天区羊木镇文笔二组</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广元市朝天区曾家初级中学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四川省广元市朝天区曾家镇广场路160号</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广元市朝天区之江初级中学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四川省广元市朝天区朝天镇明月路287号</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四川省广元市朝天职业中学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四川省广元市朝天区朝天镇文昌路153号</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四川省广元市朝天中学</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四川省广元市朝天区朝天镇峨眉路66号</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学校卫生</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初级中学</w:t>
            </w:r>
          </w:p>
        </w:tc>
      </w:tr>
    </w:tbl>
    <w:p>
      <w:pPr>
        <w:spacing w:line="560" w:lineRule="exact"/>
        <w:jc w:val="center"/>
        <w:rPr>
          <w:rFonts w:ascii="宋体" w:hAnsi="宋体" w:cs="Arial"/>
          <w:b/>
          <w:bCs/>
          <w:kern w:val="0"/>
          <w:sz w:val="32"/>
          <w:szCs w:val="32"/>
        </w:rPr>
      </w:pPr>
      <w:r>
        <w:rPr>
          <w:rFonts w:hint="eastAsia" w:ascii="宋体" w:hAnsi="宋体" w:cs="Arial"/>
          <w:b/>
          <w:bCs/>
          <w:kern w:val="0"/>
          <w:sz w:val="32"/>
          <w:szCs w:val="32"/>
        </w:rPr>
        <w:t>计划生育目录</w:t>
      </w:r>
    </w:p>
    <w:tbl>
      <w:tblPr>
        <w:tblStyle w:val="13"/>
        <w:tblW w:w="13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4315"/>
        <w:gridCol w:w="2550"/>
        <w:gridCol w:w="1243"/>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单位名称</w:t>
            </w:r>
          </w:p>
        </w:tc>
        <w:tc>
          <w:tcPr>
            <w:tcW w:w="4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单位地址</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许可证号</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专业</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朝天</w:t>
            </w:r>
            <w:r>
              <w:rPr>
                <w:rFonts w:hint="eastAsia" w:ascii="宋体" w:hAnsi="宋体" w:cs="Arial"/>
                <w:kern w:val="0"/>
                <w:sz w:val="20"/>
                <w:szCs w:val="20"/>
              </w:rPr>
              <w:t>华</w:t>
            </w:r>
            <w:r>
              <w:rPr>
                <w:rFonts w:ascii="宋体" w:hAnsi="宋体" w:cs="Arial"/>
                <w:kern w:val="0"/>
                <w:sz w:val="20"/>
                <w:szCs w:val="20"/>
              </w:rPr>
              <w:t>仁医院</w:t>
            </w:r>
          </w:p>
        </w:tc>
        <w:tc>
          <w:tcPr>
            <w:tcW w:w="4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四川省广元市朝天区羊木镇</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M510812560100--007</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计划生育</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广元市朝天区人民医院</w:t>
            </w:r>
          </w:p>
        </w:tc>
        <w:tc>
          <w:tcPr>
            <w:tcW w:w="4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四川省广元市朝天区朝天镇明月大道</w:t>
            </w:r>
            <w:r>
              <w:rPr>
                <w:rFonts w:ascii="Arial" w:hAnsi="Arial" w:cs="Arial"/>
                <w:kern w:val="0"/>
                <w:sz w:val="20"/>
                <w:szCs w:val="20"/>
              </w:rPr>
              <w:t>2</w:t>
            </w:r>
            <w:r>
              <w:rPr>
                <w:rFonts w:ascii="宋体" w:hAnsi="宋体" w:cs="Arial"/>
                <w:kern w:val="0"/>
                <w:sz w:val="20"/>
                <w:szCs w:val="20"/>
              </w:rPr>
              <w:t>段</w:t>
            </w:r>
            <w:r>
              <w:rPr>
                <w:rFonts w:ascii="Arial" w:hAnsi="Arial" w:cs="Arial"/>
                <w:kern w:val="0"/>
                <w:sz w:val="20"/>
                <w:szCs w:val="20"/>
              </w:rPr>
              <w:t>64</w:t>
            </w:r>
            <w:r>
              <w:rPr>
                <w:rFonts w:ascii="宋体" w:hAnsi="宋体" w:cs="Arial"/>
                <w:kern w:val="0"/>
                <w:sz w:val="20"/>
                <w:szCs w:val="20"/>
              </w:rPr>
              <w:t>号号</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M51081256010010001</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计划生育</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广元市朝天区妇幼保健计划生育服务中心</w:t>
            </w:r>
          </w:p>
        </w:tc>
        <w:tc>
          <w:tcPr>
            <w:tcW w:w="4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四川省广元市朝天区朝天镇德胜街</w:t>
            </w:r>
            <w:r>
              <w:rPr>
                <w:rFonts w:ascii="Arial" w:hAnsi="Arial" w:cs="Arial"/>
                <w:kern w:val="0"/>
                <w:sz w:val="20"/>
                <w:szCs w:val="20"/>
              </w:rPr>
              <w:t>120</w:t>
            </w:r>
            <w:r>
              <w:rPr>
                <w:rFonts w:ascii="宋体" w:hAnsi="宋体" w:cs="Arial"/>
                <w:kern w:val="0"/>
                <w:sz w:val="20"/>
                <w:szCs w:val="20"/>
              </w:rPr>
              <w:t>号</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M510812110000-004</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计划生育</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妇幼保健院、妇幼保健计划生育服务中心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广元市朝天区沙河</w:t>
            </w:r>
            <w:r>
              <w:rPr>
                <w:rFonts w:hint="eastAsia" w:ascii="宋体" w:hAnsi="宋体" w:cs="Arial"/>
                <w:kern w:val="0"/>
                <w:sz w:val="20"/>
                <w:szCs w:val="20"/>
              </w:rPr>
              <w:t>镇</w:t>
            </w:r>
            <w:r>
              <w:rPr>
                <w:rFonts w:ascii="宋体" w:hAnsi="宋体" w:cs="Arial"/>
                <w:kern w:val="0"/>
                <w:sz w:val="20"/>
                <w:szCs w:val="20"/>
              </w:rPr>
              <w:t>中心卫生院</w:t>
            </w:r>
          </w:p>
        </w:tc>
        <w:tc>
          <w:tcPr>
            <w:tcW w:w="4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四川省广元市朝天区沙河镇</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M510812570101--006</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计划生育</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广元市朝天区</w:t>
            </w:r>
            <w:r>
              <w:rPr>
                <w:rFonts w:hint="eastAsia" w:ascii="宋体" w:hAnsi="宋体" w:cs="Arial"/>
                <w:kern w:val="0"/>
                <w:sz w:val="20"/>
                <w:szCs w:val="20"/>
              </w:rPr>
              <w:t>镇</w:t>
            </w:r>
            <w:r>
              <w:rPr>
                <w:rFonts w:ascii="宋体" w:hAnsi="宋体" w:cs="Arial"/>
                <w:kern w:val="0"/>
                <w:sz w:val="20"/>
                <w:szCs w:val="20"/>
              </w:rPr>
              <w:t>羊木中心卫生院</w:t>
            </w:r>
          </w:p>
        </w:tc>
        <w:tc>
          <w:tcPr>
            <w:tcW w:w="4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四川省广元市朝天区羊木镇</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M510812570101--004</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计划生育</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广元市朝天区曾家</w:t>
            </w:r>
            <w:r>
              <w:rPr>
                <w:rFonts w:hint="eastAsia" w:ascii="宋体" w:hAnsi="宋体" w:cs="Arial"/>
                <w:kern w:val="0"/>
                <w:sz w:val="20"/>
                <w:szCs w:val="20"/>
              </w:rPr>
              <w:t>镇</w:t>
            </w:r>
            <w:r>
              <w:rPr>
                <w:rFonts w:ascii="宋体" w:hAnsi="宋体" w:cs="Arial"/>
                <w:kern w:val="0"/>
                <w:sz w:val="20"/>
                <w:szCs w:val="20"/>
              </w:rPr>
              <w:t>中心卫生院</w:t>
            </w:r>
          </w:p>
        </w:tc>
        <w:tc>
          <w:tcPr>
            <w:tcW w:w="43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四川省广元市朝天区曾家镇</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Arial" w:hAnsi="Arial" w:cs="Arial"/>
                <w:kern w:val="0"/>
                <w:sz w:val="20"/>
                <w:szCs w:val="20"/>
              </w:rPr>
              <w:t>M510812570101--003</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计划生育</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卫生院</w:t>
            </w:r>
          </w:p>
        </w:tc>
      </w:tr>
    </w:tbl>
    <w:p>
      <w:pPr>
        <w:jc w:val="center"/>
      </w:pPr>
      <w:r>
        <w:rPr>
          <w:rFonts w:hint="eastAsia" w:ascii="宋体" w:hAnsi="宋体" w:cs="Arial"/>
          <w:b/>
          <w:bCs/>
          <w:kern w:val="0"/>
          <w:sz w:val="32"/>
          <w:szCs w:val="32"/>
        </w:rPr>
        <w:t>放射卫生目录</w:t>
      </w:r>
    </w:p>
    <w:tbl>
      <w:tblPr>
        <w:tblStyle w:val="13"/>
        <w:tblW w:w="13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3779"/>
        <w:gridCol w:w="2829"/>
        <w:gridCol w:w="1500"/>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单位名称</w:t>
            </w:r>
          </w:p>
        </w:tc>
        <w:tc>
          <w:tcPr>
            <w:tcW w:w="3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单位地址</w:t>
            </w:r>
          </w:p>
        </w:tc>
        <w:tc>
          <w:tcPr>
            <w:tcW w:w="28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许可证号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专业</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朝天</w:t>
            </w:r>
            <w:r>
              <w:rPr>
                <w:rFonts w:hint="eastAsia" w:ascii="宋体" w:hAnsi="宋体" w:cs="Arial"/>
                <w:kern w:val="0"/>
                <w:sz w:val="20"/>
                <w:szCs w:val="20"/>
              </w:rPr>
              <w:t>华</w:t>
            </w:r>
            <w:r>
              <w:rPr>
                <w:rFonts w:ascii="宋体" w:hAnsi="宋体" w:cs="Arial"/>
                <w:kern w:val="0"/>
                <w:sz w:val="20"/>
                <w:szCs w:val="20"/>
              </w:rPr>
              <w:t>仁医院</w:t>
            </w:r>
          </w:p>
        </w:tc>
        <w:tc>
          <w:tcPr>
            <w:tcW w:w="3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四川省广元市朝天区羊木镇</w:t>
            </w:r>
          </w:p>
        </w:tc>
        <w:tc>
          <w:tcPr>
            <w:tcW w:w="28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卫放证字</w:t>
            </w:r>
            <w:r>
              <w:rPr>
                <w:rFonts w:ascii="Arial" w:hAnsi="Arial" w:cs="Arial"/>
                <w:kern w:val="0"/>
                <w:sz w:val="20"/>
                <w:szCs w:val="20"/>
              </w:rPr>
              <w:t>[2013]</w:t>
            </w:r>
            <w:r>
              <w:rPr>
                <w:rFonts w:ascii="宋体" w:hAnsi="宋体" w:cs="Arial"/>
                <w:kern w:val="0"/>
                <w:sz w:val="20"/>
                <w:szCs w:val="20"/>
              </w:rPr>
              <w:t>第</w:t>
            </w:r>
            <w:r>
              <w:rPr>
                <w:rFonts w:ascii="Arial" w:hAnsi="Arial" w:cs="Arial"/>
                <w:kern w:val="0"/>
                <w:sz w:val="20"/>
                <w:szCs w:val="20"/>
              </w:rPr>
              <w:t>510812--000001</w:t>
            </w:r>
            <w:r>
              <w:rPr>
                <w:rFonts w:ascii="宋体" w:hAnsi="宋体" w:cs="Arial"/>
                <w:kern w:val="0"/>
                <w:sz w:val="20"/>
                <w:szCs w:val="20"/>
              </w:rPr>
              <w:t>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放射卫生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医疗辐射机构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广元市朝天区大滩</w:t>
            </w:r>
            <w:r>
              <w:rPr>
                <w:rFonts w:hint="eastAsia" w:ascii="宋体" w:hAnsi="宋体" w:cs="Arial"/>
                <w:kern w:val="0"/>
                <w:sz w:val="20"/>
                <w:szCs w:val="20"/>
              </w:rPr>
              <w:t>镇</w:t>
            </w:r>
            <w:r>
              <w:rPr>
                <w:rFonts w:ascii="宋体" w:hAnsi="宋体" w:cs="Arial"/>
                <w:kern w:val="0"/>
                <w:sz w:val="20"/>
                <w:szCs w:val="20"/>
              </w:rPr>
              <w:t>中心卫生院</w:t>
            </w:r>
          </w:p>
        </w:tc>
        <w:tc>
          <w:tcPr>
            <w:tcW w:w="3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四川省广元市朝天区大滩镇场镇</w:t>
            </w:r>
          </w:p>
        </w:tc>
        <w:tc>
          <w:tcPr>
            <w:tcW w:w="28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卫放证字</w:t>
            </w:r>
            <w:r>
              <w:rPr>
                <w:rFonts w:ascii="Arial" w:hAnsi="Arial" w:cs="Arial"/>
                <w:kern w:val="0"/>
                <w:sz w:val="20"/>
                <w:szCs w:val="20"/>
              </w:rPr>
              <w:t>[2014]</w:t>
            </w:r>
            <w:r>
              <w:rPr>
                <w:rFonts w:ascii="宋体" w:hAnsi="宋体" w:cs="Arial"/>
                <w:kern w:val="0"/>
                <w:sz w:val="20"/>
                <w:szCs w:val="20"/>
              </w:rPr>
              <w:t>第</w:t>
            </w:r>
            <w:r>
              <w:rPr>
                <w:rFonts w:ascii="Arial" w:hAnsi="Arial" w:cs="Arial"/>
                <w:kern w:val="0"/>
                <w:sz w:val="20"/>
                <w:szCs w:val="20"/>
              </w:rPr>
              <w:t>510812--000002</w:t>
            </w:r>
            <w:r>
              <w:rPr>
                <w:rFonts w:ascii="宋体" w:hAnsi="宋体" w:cs="Arial"/>
                <w:kern w:val="0"/>
                <w:sz w:val="20"/>
                <w:szCs w:val="20"/>
              </w:rPr>
              <w:t>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放射卫生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医疗辐射机构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广元市朝天区人民医院</w:t>
            </w:r>
          </w:p>
        </w:tc>
        <w:tc>
          <w:tcPr>
            <w:tcW w:w="3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四川省广元市朝天区朝天镇明月大道</w:t>
            </w:r>
            <w:r>
              <w:rPr>
                <w:rFonts w:ascii="Arial" w:hAnsi="Arial" w:cs="Arial"/>
                <w:kern w:val="0"/>
                <w:sz w:val="20"/>
                <w:szCs w:val="20"/>
              </w:rPr>
              <w:t>2</w:t>
            </w:r>
            <w:r>
              <w:rPr>
                <w:rFonts w:ascii="宋体" w:hAnsi="宋体" w:cs="Arial"/>
                <w:kern w:val="0"/>
                <w:sz w:val="20"/>
                <w:szCs w:val="20"/>
              </w:rPr>
              <w:t>段</w:t>
            </w:r>
            <w:r>
              <w:rPr>
                <w:rFonts w:ascii="Arial" w:hAnsi="Arial" w:cs="Arial"/>
                <w:kern w:val="0"/>
                <w:sz w:val="20"/>
                <w:szCs w:val="20"/>
              </w:rPr>
              <w:t>64</w:t>
            </w:r>
            <w:r>
              <w:rPr>
                <w:rFonts w:ascii="宋体" w:hAnsi="宋体" w:cs="Arial"/>
                <w:kern w:val="0"/>
                <w:sz w:val="20"/>
                <w:szCs w:val="20"/>
              </w:rPr>
              <w:t>号</w:t>
            </w:r>
          </w:p>
        </w:tc>
        <w:tc>
          <w:tcPr>
            <w:tcW w:w="28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卫放证字</w:t>
            </w:r>
            <w:r>
              <w:rPr>
                <w:rFonts w:ascii="Arial" w:hAnsi="Arial" w:cs="Arial"/>
                <w:kern w:val="0"/>
                <w:sz w:val="20"/>
                <w:szCs w:val="20"/>
              </w:rPr>
              <w:t>[2010]</w:t>
            </w:r>
            <w:r>
              <w:rPr>
                <w:rFonts w:ascii="宋体" w:hAnsi="宋体" w:cs="Arial"/>
                <w:kern w:val="0"/>
                <w:sz w:val="20"/>
                <w:szCs w:val="20"/>
              </w:rPr>
              <w:t>第</w:t>
            </w:r>
            <w:r>
              <w:rPr>
                <w:rFonts w:ascii="Arial" w:hAnsi="Arial" w:cs="Arial"/>
                <w:kern w:val="0"/>
                <w:sz w:val="20"/>
                <w:szCs w:val="20"/>
              </w:rPr>
              <w:t>510812-000001</w:t>
            </w:r>
            <w:r>
              <w:rPr>
                <w:rFonts w:ascii="宋体" w:hAnsi="宋体" w:cs="Arial"/>
                <w:kern w:val="0"/>
                <w:sz w:val="20"/>
                <w:szCs w:val="20"/>
              </w:rPr>
              <w:t>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放射卫生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医疗辐射机构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广元市朝天区沙河</w:t>
            </w:r>
            <w:r>
              <w:rPr>
                <w:rFonts w:hint="eastAsia" w:ascii="宋体" w:hAnsi="宋体" w:cs="Arial"/>
                <w:kern w:val="0"/>
                <w:sz w:val="20"/>
                <w:szCs w:val="20"/>
              </w:rPr>
              <w:t>镇</w:t>
            </w:r>
            <w:r>
              <w:rPr>
                <w:rFonts w:ascii="宋体" w:hAnsi="宋体" w:cs="Arial"/>
                <w:kern w:val="0"/>
                <w:sz w:val="20"/>
                <w:szCs w:val="20"/>
              </w:rPr>
              <w:t>中心卫生院</w:t>
            </w:r>
          </w:p>
        </w:tc>
        <w:tc>
          <w:tcPr>
            <w:tcW w:w="3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四川省广元市朝天区沙河镇场镇</w:t>
            </w:r>
          </w:p>
        </w:tc>
        <w:tc>
          <w:tcPr>
            <w:tcW w:w="28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卫放证字</w:t>
            </w:r>
            <w:r>
              <w:rPr>
                <w:rFonts w:ascii="Arial" w:hAnsi="Arial" w:cs="Arial"/>
                <w:kern w:val="0"/>
                <w:sz w:val="20"/>
                <w:szCs w:val="20"/>
              </w:rPr>
              <w:t>[2012]</w:t>
            </w:r>
            <w:r>
              <w:rPr>
                <w:rFonts w:ascii="宋体" w:hAnsi="宋体" w:cs="Arial"/>
                <w:kern w:val="0"/>
                <w:sz w:val="20"/>
                <w:szCs w:val="20"/>
              </w:rPr>
              <w:t>第</w:t>
            </w:r>
            <w:r>
              <w:rPr>
                <w:rFonts w:ascii="Arial" w:hAnsi="Arial" w:cs="Arial"/>
                <w:kern w:val="0"/>
                <w:sz w:val="20"/>
                <w:szCs w:val="20"/>
              </w:rPr>
              <w:t>510812--000003</w:t>
            </w:r>
            <w:r>
              <w:rPr>
                <w:rFonts w:ascii="宋体" w:hAnsi="宋体" w:cs="Arial"/>
                <w:kern w:val="0"/>
                <w:sz w:val="20"/>
                <w:szCs w:val="20"/>
              </w:rPr>
              <w:t>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放射卫生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医疗辐射机构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广元市朝天区羊木</w:t>
            </w:r>
            <w:r>
              <w:rPr>
                <w:rFonts w:hint="eastAsia" w:ascii="宋体" w:hAnsi="宋体" w:cs="Arial"/>
                <w:kern w:val="0"/>
                <w:sz w:val="20"/>
                <w:szCs w:val="20"/>
              </w:rPr>
              <w:t>镇</w:t>
            </w:r>
            <w:r>
              <w:rPr>
                <w:rFonts w:ascii="宋体" w:hAnsi="宋体" w:cs="Arial"/>
                <w:kern w:val="0"/>
                <w:sz w:val="20"/>
                <w:szCs w:val="20"/>
              </w:rPr>
              <w:t>中心卫生院</w:t>
            </w:r>
          </w:p>
        </w:tc>
        <w:tc>
          <w:tcPr>
            <w:tcW w:w="3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四川省广元市朝天区羊木镇场镇</w:t>
            </w:r>
          </w:p>
        </w:tc>
        <w:tc>
          <w:tcPr>
            <w:tcW w:w="28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卫放证字</w:t>
            </w:r>
            <w:r>
              <w:rPr>
                <w:rFonts w:ascii="Arial" w:hAnsi="Arial" w:cs="Arial"/>
                <w:kern w:val="0"/>
                <w:sz w:val="20"/>
                <w:szCs w:val="20"/>
              </w:rPr>
              <w:t>[2012]</w:t>
            </w:r>
            <w:r>
              <w:rPr>
                <w:rFonts w:ascii="宋体" w:hAnsi="宋体" w:cs="Arial"/>
                <w:kern w:val="0"/>
                <w:sz w:val="20"/>
                <w:szCs w:val="20"/>
              </w:rPr>
              <w:t>第</w:t>
            </w:r>
            <w:r>
              <w:rPr>
                <w:rFonts w:ascii="Arial" w:hAnsi="Arial" w:cs="Arial"/>
                <w:kern w:val="0"/>
                <w:sz w:val="20"/>
                <w:szCs w:val="20"/>
              </w:rPr>
              <w:t>510812--000001</w:t>
            </w:r>
            <w:r>
              <w:rPr>
                <w:rFonts w:ascii="宋体" w:hAnsi="宋体" w:cs="Arial"/>
                <w:kern w:val="0"/>
                <w:sz w:val="20"/>
                <w:szCs w:val="20"/>
              </w:rPr>
              <w:t>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放射卫生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医疗辐射机构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广元市朝天区曾家</w:t>
            </w:r>
            <w:r>
              <w:rPr>
                <w:rFonts w:hint="eastAsia" w:ascii="宋体" w:hAnsi="宋体" w:cs="Arial"/>
                <w:kern w:val="0"/>
                <w:sz w:val="20"/>
                <w:szCs w:val="20"/>
              </w:rPr>
              <w:t>镇</w:t>
            </w:r>
            <w:r>
              <w:rPr>
                <w:rFonts w:ascii="宋体" w:hAnsi="宋体" w:cs="Arial"/>
                <w:kern w:val="0"/>
                <w:sz w:val="20"/>
                <w:szCs w:val="20"/>
              </w:rPr>
              <w:t>中心卫生院</w:t>
            </w:r>
          </w:p>
        </w:tc>
        <w:tc>
          <w:tcPr>
            <w:tcW w:w="3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四川省广元市朝天区曾家镇场镇</w:t>
            </w:r>
          </w:p>
        </w:tc>
        <w:tc>
          <w:tcPr>
            <w:tcW w:w="28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卫放证字</w:t>
            </w:r>
            <w:r>
              <w:rPr>
                <w:rFonts w:ascii="Arial" w:hAnsi="Arial" w:cs="Arial"/>
                <w:kern w:val="0"/>
                <w:sz w:val="20"/>
                <w:szCs w:val="20"/>
              </w:rPr>
              <w:t>[2012]</w:t>
            </w:r>
            <w:r>
              <w:rPr>
                <w:rFonts w:ascii="宋体" w:hAnsi="宋体" w:cs="Arial"/>
                <w:kern w:val="0"/>
                <w:sz w:val="20"/>
                <w:szCs w:val="20"/>
              </w:rPr>
              <w:t>第</w:t>
            </w:r>
            <w:r>
              <w:rPr>
                <w:rFonts w:ascii="Arial" w:hAnsi="Arial" w:cs="Arial"/>
                <w:kern w:val="0"/>
                <w:sz w:val="20"/>
                <w:szCs w:val="20"/>
              </w:rPr>
              <w:t>510812--000002</w:t>
            </w:r>
            <w:r>
              <w:rPr>
                <w:rFonts w:ascii="宋体" w:hAnsi="宋体" w:cs="Arial"/>
                <w:kern w:val="0"/>
                <w:sz w:val="20"/>
                <w:szCs w:val="20"/>
              </w:rPr>
              <w:t>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放射卫生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医疗辐射机构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广元市朝天区中医医院</w:t>
            </w:r>
          </w:p>
        </w:tc>
        <w:tc>
          <w:tcPr>
            <w:tcW w:w="3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四川省广元市朝天区朝天镇</w:t>
            </w:r>
          </w:p>
        </w:tc>
        <w:tc>
          <w:tcPr>
            <w:tcW w:w="28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卫放证字</w:t>
            </w:r>
            <w:r>
              <w:rPr>
                <w:rFonts w:ascii="Arial" w:hAnsi="Arial" w:cs="Arial"/>
                <w:kern w:val="0"/>
                <w:sz w:val="20"/>
                <w:szCs w:val="20"/>
              </w:rPr>
              <w:t>[2012]</w:t>
            </w:r>
            <w:r>
              <w:rPr>
                <w:rFonts w:ascii="宋体" w:hAnsi="宋体" w:cs="Arial"/>
                <w:kern w:val="0"/>
                <w:sz w:val="20"/>
                <w:szCs w:val="20"/>
              </w:rPr>
              <w:t>第</w:t>
            </w:r>
            <w:r>
              <w:rPr>
                <w:rFonts w:ascii="Arial" w:hAnsi="Arial" w:cs="Arial"/>
                <w:kern w:val="0"/>
                <w:sz w:val="20"/>
                <w:szCs w:val="20"/>
              </w:rPr>
              <w:t>510812--000004</w:t>
            </w:r>
            <w:r>
              <w:rPr>
                <w:rFonts w:ascii="宋体" w:hAnsi="宋体" w:cs="Arial"/>
                <w:kern w:val="0"/>
                <w:sz w:val="20"/>
                <w:szCs w:val="20"/>
              </w:rPr>
              <w:t>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放射卫生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医疗辐射机构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广元市朝天区中子</w:t>
            </w:r>
            <w:r>
              <w:rPr>
                <w:rFonts w:hint="eastAsia" w:ascii="宋体" w:hAnsi="宋体" w:cs="Arial"/>
                <w:kern w:val="0"/>
                <w:sz w:val="20"/>
                <w:szCs w:val="20"/>
              </w:rPr>
              <w:t>镇</w:t>
            </w:r>
            <w:r>
              <w:rPr>
                <w:rFonts w:ascii="宋体" w:hAnsi="宋体" w:cs="Arial"/>
                <w:kern w:val="0"/>
                <w:sz w:val="20"/>
                <w:szCs w:val="20"/>
              </w:rPr>
              <w:t>中心卫生院</w:t>
            </w:r>
          </w:p>
        </w:tc>
        <w:tc>
          <w:tcPr>
            <w:tcW w:w="3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四川省广元市朝天区中子镇场镇</w:t>
            </w:r>
          </w:p>
        </w:tc>
        <w:tc>
          <w:tcPr>
            <w:tcW w:w="28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卫放证字</w:t>
            </w:r>
            <w:r>
              <w:rPr>
                <w:rFonts w:ascii="Arial" w:hAnsi="Arial" w:cs="Arial"/>
                <w:kern w:val="0"/>
                <w:sz w:val="20"/>
                <w:szCs w:val="20"/>
              </w:rPr>
              <w:t>[2012]</w:t>
            </w:r>
            <w:r>
              <w:rPr>
                <w:rFonts w:ascii="宋体" w:hAnsi="宋体" w:cs="Arial"/>
                <w:kern w:val="0"/>
                <w:sz w:val="20"/>
                <w:szCs w:val="20"/>
              </w:rPr>
              <w:t>第</w:t>
            </w:r>
            <w:r>
              <w:rPr>
                <w:rFonts w:ascii="Arial" w:hAnsi="Arial" w:cs="Arial"/>
                <w:kern w:val="0"/>
                <w:sz w:val="20"/>
                <w:szCs w:val="20"/>
              </w:rPr>
              <w:t>510812--000006</w:t>
            </w:r>
            <w:r>
              <w:rPr>
                <w:rFonts w:ascii="宋体" w:hAnsi="宋体" w:cs="Arial"/>
                <w:kern w:val="0"/>
                <w:sz w:val="20"/>
                <w:szCs w:val="20"/>
              </w:rPr>
              <w:t>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放射卫生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医疗辐射机构</w:t>
            </w:r>
          </w:p>
        </w:tc>
      </w:tr>
    </w:tbl>
    <w:p/>
    <w:p>
      <w:pPr>
        <w:jc w:val="center"/>
      </w:pPr>
      <w:r>
        <w:rPr>
          <w:rFonts w:hint="eastAsia" w:ascii="宋体" w:hAnsi="宋体" w:cs="Arial"/>
          <w:b/>
          <w:bCs/>
          <w:kern w:val="0"/>
          <w:sz w:val="32"/>
          <w:szCs w:val="32"/>
        </w:rPr>
        <w:t>医疗卫生目录</w:t>
      </w:r>
    </w:p>
    <w:tbl>
      <w:tblPr>
        <w:tblStyle w:val="13"/>
        <w:tblW w:w="13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1"/>
        <w:gridCol w:w="2360"/>
        <w:gridCol w:w="4248"/>
        <w:gridCol w:w="1500"/>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单位名称</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Arial" w:hAnsi="Arial" w:cs="Arial"/>
                <w:kern w:val="0"/>
                <w:sz w:val="20"/>
                <w:szCs w:val="20"/>
              </w:rPr>
              <w:t>许可证号</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Arial" w:hAnsi="Arial" w:cs="Arial"/>
                <w:kern w:val="0"/>
                <w:sz w:val="20"/>
                <w:szCs w:val="20"/>
              </w:rPr>
              <w:t>单位地址</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专业</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泰而康口腔门诊部</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PDY60017751081215D15226</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广元市朝天区朝天镇时代广场5号楼2-4</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易氏口腔诊所</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PDY60017051081217D21526</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朝天区羊木镇农贸市场内</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刘成明口腔诊所</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PDY60016751081217D21526</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朝天区中子镇川陕街135号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朝天李扬口腔门诊部</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PDY60017251081217D21526</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朝天区中山街99号、101号、103号、105号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朝天曾家仁爱口腔诊所</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PDY60017651081217D21526</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广元市朝天区曾家镇育才路82号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泰康牙科诊所</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PDY60016351081217D21526</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朝天区朝天镇中山街14号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广元市朝天区中医医院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45127692X51081211A2101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广元市朝天区朝天镇德胜街102号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广元市朝天区敬老院医务室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PDY00181251081212D4001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广元市朝天区朝天镇康福路8号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广元市朝天区养生谷综合门诊部</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451276763151081211D110</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朝天区曾家镇荣乐4组荣乐古街10栋402-407</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广元市朝天区计划生育服务站</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510812264111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朝天区朝天镇飞霞路39号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广元市朝天区朝天中心卫生院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77583623351081211C2101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朝天镇大中坝</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朝天华仁医院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PDY10011X51081213A1001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朝天区羊木镇场镇</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广元市朝天区朝天镇陈家卫生院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PDY10006151081212C2201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广元市朝天区朝天镇陈家村羞泉街34号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广元市朝天区云雾山镇花石卫生院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PDY10003751081212C2201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广元市朝天区云雾山镇花石村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广元市朝天区朝天镇小安卫生院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PDY10010951081212C2201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朝天区朝天镇文昌村7组2号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广元市朝天区沙河镇鱼洞卫生院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PDY10005351081212C2201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广元市朝天区鱼洞乡东沟村九组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广元市朝天区曾家镇平溪卫生院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45127694651081212C2201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广元市朝天区曾家镇平安街180号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广元市朝天区沙河镇蒲家卫生院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45127700951081212C2201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广元市朝天区沙河镇罗圈岩场镇</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广元市朝天区人民医院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45127675151081211A1001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广元市朝天区朝天镇明月大道2段64号、广元市朝天区朝天镇大巴口社区、广元市朝天区朝天镇向家坪（俞家村1组）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广元市朝天区曾家镇中心卫生院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45127693851081212C2101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广元市朝天区曾家镇场镇</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广元市朝天区中子镇中心卫生院宣河分院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45127690351081212C2201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广元市朝天区中子镇宣河场镇</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广元市朝天区妇幼保健院（广元市朝天区妇幼保健计划生育服务中心、广元市朝天区妇女儿童医院）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45127953051081211G1001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朝天区朝天镇大中坝德胜街120号（朝天区朝天镇飞霞路39号）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广元市朝天区大滩镇文安卫生院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PDY10009651081212C2201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广元市朝天区大滩镇文安村七组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广元市朝天区大滩镇柏杨卫生院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PDY10008851081212C2201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广元市朝天区大滩镇柏杨村2组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广元市朝天区中子镇中心卫生院转斗分院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45127689051081212C2201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朝天区中子镇转斗通宁路4号、朝天区中子镇转斗西成高铁朝天站综合楼</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广元市朝天区羊木镇西北卫生院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45127704151081212C2201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广元市朝天区羊木镇场镇</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广元市朝天区水磨沟镇马家坝卫生院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45127685851081212C2201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朝天区水磨沟镇马家坝村石笋路21号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18"/>
                <w:szCs w:val="18"/>
              </w:rPr>
            </w:pPr>
            <w:r>
              <w:rPr>
                <w:rFonts w:hint="eastAsia" w:ascii="宋体" w:hAnsi="宋体" w:cs="宋体"/>
                <w:color w:val="000000"/>
                <w:kern w:val="0"/>
                <w:sz w:val="18"/>
                <w:szCs w:val="18"/>
              </w:rPr>
              <w:t>广元市朝天区李家镇第二卫生院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18"/>
                <w:szCs w:val="18"/>
              </w:rPr>
            </w:pPr>
            <w:r>
              <w:rPr>
                <w:rFonts w:hint="eastAsia" w:ascii="宋体" w:hAnsi="宋体" w:cs="宋体"/>
                <w:color w:val="000000"/>
                <w:kern w:val="0"/>
                <w:sz w:val="18"/>
                <w:szCs w:val="18"/>
              </w:rPr>
              <w:t>PDY10167051081212C2201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广元市朝天区李家镇场镇</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18"/>
                <w:szCs w:val="18"/>
              </w:rPr>
            </w:pPr>
            <w:r>
              <w:rPr>
                <w:rFonts w:hint="eastAsia" w:ascii="宋体" w:hAnsi="宋体" w:cs="宋体"/>
                <w:color w:val="000000"/>
                <w:kern w:val="0"/>
                <w:sz w:val="18"/>
                <w:szCs w:val="18"/>
              </w:rPr>
              <w:t>广元市朝天区云雾山镇卫生院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18"/>
                <w:szCs w:val="18"/>
              </w:rPr>
            </w:pPr>
            <w:r>
              <w:rPr>
                <w:rFonts w:hint="eastAsia" w:ascii="宋体" w:hAnsi="宋体" w:cs="宋体"/>
                <w:color w:val="000000"/>
                <w:kern w:val="0"/>
                <w:sz w:val="18"/>
                <w:szCs w:val="18"/>
              </w:rPr>
              <w:t>45127706851081212C2201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广元市朝天区云雾山镇菜子坝村一组112号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18"/>
                <w:szCs w:val="18"/>
              </w:rPr>
            </w:pPr>
            <w:r>
              <w:rPr>
                <w:rFonts w:hint="eastAsia" w:ascii="宋体" w:hAnsi="宋体" w:cs="宋体"/>
                <w:color w:val="000000"/>
                <w:kern w:val="0"/>
                <w:sz w:val="18"/>
                <w:szCs w:val="18"/>
              </w:rPr>
              <w:t>广元市朝天区水磨沟镇卫生院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18"/>
                <w:szCs w:val="18"/>
              </w:rPr>
            </w:pPr>
            <w:r>
              <w:rPr>
                <w:rFonts w:hint="eastAsia" w:ascii="宋体" w:hAnsi="宋体" w:cs="宋体"/>
                <w:color w:val="000000"/>
                <w:kern w:val="0"/>
                <w:sz w:val="18"/>
                <w:szCs w:val="18"/>
              </w:rPr>
              <w:t>45127691151081212C2201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广元市朝天区水磨沟镇兴林街2号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16"/>
                <w:szCs w:val="16"/>
              </w:rPr>
            </w:pPr>
            <w:r>
              <w:rPr>
                <w:rFonts w:hint="eastAsia" w:ascii="宋体" w:hAnsi="宋体" w:cs="宋体"/>
                <w:color w:val="000000"/>
                <w:kern w:val="0"/>
                <w:sz w:val="18"/>
                <w:szCs w:val="18"/>
              </w:rPr>
              <w:t>广元市朝天区麻柳乡卫生院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18"/>
                <w:szCs w:val="18"/>
              </w:rPr>
            </w:pPr>
            <w:r>
              <w:rPr>
                <w:rFonts w:hint="eastAsia" w:ascii="宋体" w:hAnsi="宋体" w:cs="宋体"/>
                <w:color w:val="000000"/>
                <w:kern w:val="0"/>
                <w:sz w:val="18"/>
                <w:szCs w:val="18"/>
              </w:rPr>
              <w:t>45127699751081212C2201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广元市朝天区麻柳乡复兴社区二组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18"/>
                <w:szCs w:val="18"/>
              </w:rPr>
            </w:pPr>
            <w:r>
              <w:rPr>
                <w:rFonts w:hint="eastAsia" w:ascii="宋体" w:hAnsi="宋体" w:cs="宋体"/>
                <w:color w:val="000000"/>
                <w:kern w:val="0"/>
                <w:sz w:val="18"/>
                <w:szCs w:val="18"/>
              </w:rPr>
              <w:t>广元市朝天区沙河镇中心卫生院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18"/>
                <w:szCs w:val="18"/>
              </w:rPr>
            </w:pPr>
            <w:r>
              <w:rPr>
                <w:rFonts w:hint="eastAsia" w:ascii="宋体" w:hAnsi="宋体" w:cs="宋体"/>
                <w:color w:val="000000"/>
                <w:kern w:val="0"/>
                <w:sz w:val="18"/>
                <w:szCs w:val="18"/>
              </w:rPr>
              <w:t>PDY10002951081212C2101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广元市朝天区沙河镇场镇</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16"/>
                <w:szCs w:val="16"/>
              </w:rPr>
            </w:pPr>
            <w:r>
              <w:rPr>
                <w:rFonts w:hint="eastAsia" w:ascii="宋体" w:hAnsi="宋体" w:cs="宋体"/>
                <w:color w:val="000000"/>
                <w:kern w:val="0"/>
                <w:sz w:val="18"/>
                <w:szCs w:val="18"/>
              </w:rPr>
              <w:t>广元市朝天区临溪乡卫生院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18"/>
                <w:szCs w:val="18"/>
              </w:rPr>
            </w:pPr>
            <w:r>
              <w:rPr>
                <w:rFonts w:hint="eastAsia" w:ascii="宋体" w:hAnsi="宋体" w:cs="宋体"/>
                <w:color w:val="000000"/>
                <w:kern w:val="0"/>
                <w:sz w:val="18"/>
                <w:szCs w:val="18"/>
              </w:rPr>
              <w:t>45127697051081212C2201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朝天区临溪乡场镇</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广元市朝天区大滩镇中心卫生院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45127688251081212C2101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广元市朝天区大滩镇场镇</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广元市朝天区羊木镇中心卫生院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PDY10004551081212C2101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广元市朝天区羊木镇九龙路311号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广元市朝天区中子镇中心卫生院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79785181351081211C2101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广元市朝天区中子镇川陕街59号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PDY10007X51081212C2201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广元市朝天区李家镇望远山社区二组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广元市朝天社区卫生服务中心</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66743077051081211B1001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朝天区朝天镇大中坝</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广元市朝天区两河口镇卫生院</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45127695451081212C2201</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广元市朝天区两河口镇场镇</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广元市朝天区中子镇转北村卫生室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PDY70165X51081217D6002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广元市朝天区中子镇转北村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广元市朝天区中子镇转南村卫生室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PDY70164151081217D6002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广元市朝天区中子镇转南村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广元市朝天区中子镇校场村卫生室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PDY70163351081217D6002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广元市朝天区中子镇校场村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广元市朝天区中子镇黎明村卫生室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PDY70162551081217D6002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广元市朝天区中子镇黎明村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广元市朝天区中子镇转斗铺社区卫生室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PDY70160951081217D6002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广元市朝天区中子镇转斗铺社区</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广元市朝天区中子镇宣河村卫生室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PDY70178051081217D6002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朝天区中子镇宣河村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广元市朝天区中子镇旭光村卫生室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PDY70177251081217D6002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广元市朝天区中子镇旭光村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广元市朝天区中子镇清泉村卫生室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PDY70180151081217D6002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广元市朝天区中子镇清泉村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广元市朝天区中子镇潜溪村卫生室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PDY70174851081217D6002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广元市朝天区中子镇潜溪村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广元市朝天区中子镇枣树村卫生室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PDY70149X51081217D6002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广元市朝天区中子镇枣树村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广元市朝天区中子镇柏树村卫生室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PDY70142251081217D6002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广元市朝天区中子镇柏树村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广元市朝天区中子镇小屯村卫生室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PDY70146551081217D6002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广元市朝天区中子镇小屯村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广元市朝天区中子镇印坪村卫生室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PDY70148151081217D6002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广元市朝天区中子镇印坪村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广元市朝天区中子镇高车村卫生室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PDY70150251081217D6002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广元市朝天区中子镇高车村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广元市朝天区中子镇五里村卫生室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PDY70145751081217D6002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广元市朝天区中子镇五里村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广元市朝天区羊木镇源溪村卫生室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PDY70118251081217D6002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广元市朝天区羊木镇源溪村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广元市朝天区羊木镇青羊村第一村卫生室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PDY70114X51081217D6002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广元市朝天区羊木镇青羊村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广元市朝天区羊木镇五星村卫生室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PDY70116651081217D6002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广元市朝天区羊木镇五星村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广元市朝天区羊木镇瓦子村卫生室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PDY70115851081217D6002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广元市朝天区羊木镇瓦子村2组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广元市朝天区羊木镇东山庙村卫生室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PDY70108651081217D6002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广元市朝天区羊木镇东山庙村2组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广元市朝天区羊木镇金笔村卫生室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PDY70110751081217D6002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广元市朝天区羊木镇金笔村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广元市朝天区水磨沟镇桃源村卫生室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PDY70158851081217D6002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广元市朝天区水磨沟镇桃源村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广元市朝天区水磨沟镇马家坝村卫生室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PDY70153751081217D6002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广元市朝天区水磨沟镇马家坝村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广元市朝天区水磨沟镇枫香滩村卫生室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PDY70154551081217D6002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广元市朝天区水磨沟镇枫香滩村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广元市朝天区水磨沟镇水磨沟社区卫生室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PDY70169251081217D6002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朝天区水磨沟镇场镇</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广元市朝天区水磨沟镇红坪村卫生室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PDY70168451081217D6002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广元市朝天区水磨沟镇红坪村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广元市朝天区两河口镇老林村卫生室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PDY70080951081217D6002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广元市朝天区两河口镇老林村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广元市朝天区两河口镇永平村卫生室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PDY70071051081217D6002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朝天区两河口乡永平村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广元市朝天区两河口镇黄柏村卫生室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PDY70066551081217D6002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广元市朝天区两河口镇黄柏村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广元市朝天区两河口镇农华村卫生室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PDY70069X51081217D6002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广元市朝天区两河口镇农华村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广元市朝天区两河口镇吉庆社区卫生室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PDY70072951081217D6002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广元市朝天区两河口镇吉庆社区</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广元市朝天区两河口镇两河村卫生室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PDY70068151081217D6002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广元市朝天区两河口镇两河村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广元市朝天区两河口镇黄家村卫生室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PDY70067351081217D6002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广元市朝天区两河口镇黄家村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广元市朝天区沙河镇唐家村卫生室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PDY0037451081217D6002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朝天区沙河镇唐家村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广元市朝天区沙河镇望云村卫生室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PDY70039051081217D6002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朝天区沙河镇望云村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广元市朝天区沙河镇三湾村卫生室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PDY70036651081217D6002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朝天区沙河镇三湾村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广元市朝天区沙河镇白虎村卫生室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PDY70032351081217D6002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朝天区沙河镇白虎村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广元市朝天区沙河镇南华村卫生室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PDY70034X51081217D6002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朝天区沙河镇南华村卫生室</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广元市朝天区沙河镇鱼洞村卫生室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PDY70051951081217D6002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朝天区沙河镇鱼洞村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广元市朝天区沙河镇石卡村卫生室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PDY70047051081217D6002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广元市朝天区沙河镇石卡村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广元市朝天区沙河镇罗圈岩村卫生室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PDY70041151081217D6002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广元市朝天区沙河镇罗圈岩村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广元市朝天区沙河镇元西村卫生室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PDY70043851081217D6002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广元市朝天区沙河镇元西村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广元市朝天区沙河镇鱼鳞村卫生室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PDY70048951081217D6002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朝天区鱼洞乡鱼鳞村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广元市朝天区云雾山镇花石村卫生室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PDY70137751081217D6002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朝天区云雾山镇花石村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广元市朝天区云雾山镇梧桐村卫生室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PDY70141451081217D6002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广元市朝天区云雾山镇梧桐村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广元市朝天区云雾山镇金花村卫生室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PDY70138551081217D6002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广元市朝天区云雾山镇金花村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广元市朝天区云雾山镇杨槐村卫生室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PDY70129751081217D6002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广元市朝天区云雾山镇杨槐村4组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广元市朝天区云雾山镇石门村卫生室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PDY70126251081217D6002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广元市朝天区云雾山镇石门村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广元市朝天区云雾山镇解放村卫生室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PDY70124651081217D6002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广元市朝天区云雾山镇解放村2组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广元市朝天区云雾山镇三龙村卫生室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PDY70131851081217D6002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广元市朝天区云雾山镇三龙村1组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广元市朝天区云雾山镇新滩村卫生室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PDY70127051081217D6002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广元市朝天区云雾山镇新滩村3组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广元市朝天区云雾山镇鲤鱼村卫生室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PDY70125451081217D6002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广元市朝天区云雾山镇鲤鱼村4组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广元市朝天区云雾山镇陈家村卫生室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PDY70123851081217D6002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广元市朝天区云雾山镇陈家村5组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广元市朝天区蒲家乡汶溪村卫生室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PDY70045451081217D6002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广元市朝天区蒲家乡汶溪村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广元市朝天区蒲家乡河坝场村卫生站</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PDY70042X51081217D6002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广元市朝天区蒲家乡河坝场村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广元市朝天区临溪乡四新村卫生室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PDY70099951081217D6002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广元市朝天区临溪乡四新村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广元市朝天区临溪乡清水村卫生室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PDY70098051081217D6002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广元市朝天区临溪乡清水村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广元市朝天区临溪乡党家村卫生室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PDY70095651081217D6002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广元市朝天区临溪乡党家村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广元市朝天区临溪乡望坪村卫生室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PDY70101951081217D6002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广元市朝天区临溪乡望坪村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广元市朝天区临溪乡桃树村卫生室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PDY70100051081217D6002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广元市朝天区临溪乡桃树村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广元市朝天区朝天镇俞家村卫生室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PDY70007551081217D6002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广元市朝天区朝天镇俞家村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广元市朝天区曾家镇太平村卫生室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PDY70057751081217D6002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广元市朝天区曾家镇太平村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广元市朝天区大滩镇将军村卫生室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PDY70209751081217D6002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广元市朝天区大滩镇将军村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广元市朝天区中子镇清泉村第一村卫生室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PDY70175651081217D6002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广元市朝天区中子镇清泉村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广元市朝天区朝天镇明月村卫生室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PDY70008351081217D6002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广元市朝天区朝天镇明月村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广元市朝天区朝天镇楼房村卫生室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PDY70013951081217D6002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广元市朝天区朝天镇楼房村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广元市朝天区朝天镇烟灯村卫生室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PDY70011251081217D6002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广元市朝天区朝天镇烟灯村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广元市朝天区朝天镇吴坝村卫生室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PDY70009151081217D6002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广元市朝天区朝天镇吴坝村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广元市朝天区朝天镇朱家村卫生室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PDY70002X51081217D6002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广元市朝天区朝天镇朱家村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广元市朝天区朝天镇锦屏村卫生室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PDY70010451081217D6002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广元市朝天区朝天镇锦屏村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广元市朝天区朝天镇重岩村卫生室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PDY70015551081217D6002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朝天镇重岩村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广元市朝天区朝天镇金堆村卫生室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PDY70005951081217D6002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广元市朝天区朝天镇金堆村卫生室</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广元市朝天区朝天镇青云村卫生室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PDY70012051081217D6002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广元市朝天区朝天镇青云村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广元市朝天区朝天镇三滩村卫生室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PDY70004051081217D6002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广元市朝天区朝天镇三滩村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广元市朝天区朝天镇金场村卫生室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PDY70006X51081217D6002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广元市朝天区朝天镇金场村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广元市朝天区朝天镇军师村卫生室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PDY70003351081217D6002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广元市朝天区朝天镇军师室</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广元市朝天区朝天镇仇坝村卫生室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PDY70001651081217D6002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广元市朝天区朝天镇仇坝村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广元市朝天区大滩镇坪台村卫生室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PDY70202X51081217D6002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广元市朝天区大滩镇坪台村2组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广元市朝天区大滩镇柏杨村卫生室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PDY70199151081217D6002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广元市朝天区大滩镇柏杨村2组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广元市朝天区朝天镇三友村卫生室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PDY70203851081217D6002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广元市朝天区朝天镇三友村3组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广元市朝天区大滩镇捍红村第一卫生室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PDY70198351081217D6002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广元市朝天区大滩镇捍红村4组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广元市朝天区大滩镇捍红村第二卫生室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PDY70200351081217D6002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广元市朝天区大滩镇捍红村2组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广元市朝天区大滩镇坪台村麻柳卫生室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PDY70201151081217D6002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广元市朝天区大滩镇坪台村5组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广元市朝天区大滩镇柏杨村韩家卫生室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PDY70205451081217D6002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广元市朝天区大滩镇柏杨村4组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广元市朝天区大滩镇柏杨村中东卫生室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PDY70204651081217D6002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广元市朝天区大滩镇柏杨村5组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广元市朝天区麻柳乡乔天村卫生室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PDY70089251081217D6002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广元市朝天区麻柳乡乔天村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广元市朝天区麻柳乡乔天村天星洞卫生室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PDY70093X51081217D6002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广元市朝天区麻柳乡乔天村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广元市朝天区麻柳乡石板村四坪卫生室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PDY70092151081217D6002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广元市朝天区麻柳乡石板村四坪</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广元市朝天区曾家镇尧坪村卫生室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PDY70147351081217D6002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广元市朝天区曾家镇尧坪村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广元市朝天区朝天镇松广村卫生室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PDY70026X51081217D6002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广元市朝天区朝天镇松广村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广元市朝天区朝天镇天井村青鹿卫生室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PDY70024351081217D6002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广元市朝天区朝天镇天井村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广元市朝天区朝天镇天井村卫生室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PDY70028651081217D6002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广元市朝天区朝天镇天井村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广元市朝天区朝天镇双坪村红坪卫生室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PDY70031551081217D6002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广元市朝天区朝天镇双坪村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广元市朝天区朝天镇柿子岭村卫生室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PDY70025151081217D6002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广元市朝天区朝天镇柿子岭村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广元市朝天区朝天镇双坪村青坪卫生室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PDY70030751081217D6002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广元市朝天区朝天镇双坪村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广元市朝天区朝天镇陈家村卫生室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PDY70027851081217D6002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广元市朝天区朝天镇陈家村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广元市朝天区马家坝乡柏林村卫生室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PDY70152951081217D6002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广元市朝天区马家坝乡柏林村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广元市朝天区朝天镇余垭村卫生室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PDY70023551081217D6002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广元市朝天区朝天镇余垭村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广元市朝天区朝天镇小安村卫生室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PDY70022751081217D6002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广元市朝天区朝天镇小安村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广元市朝天区朝天镇文昌村卫生室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PDY70020051081217D6002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广元市朝天区朝天镇文昌村9组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广元市朝天区朝天镇全胜村卫生室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PDY70021951081217D6002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广元市朝天区朝天镇全胜村1组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广元市朝天区朝天镇龙灯村卫生室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PDY70019851081217D6002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广元市朝天区朝天镇龙灯村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广元市朝天区朝天镇白泉村卫生室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PDY70018X51081217D6002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广元市朝天区朝天镇白泉村1组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广元市朝天区羊木镇上坝村卫生室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PDY70135051081217D6002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广元市朝天区羊木镇上坝村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广元市朝天区曾家镇大竹村卫生室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PDY70106X51081217D6002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朝天区曾家镇大竹村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广元市朝天区大滩镇马家湾村卫生室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PDY70210X51081217D6002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广元市朝天区大滩镇马家湾村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广元市朝天区大滩镇天池村卫生室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PDY70211851081217D6002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广元市朝天区大滩镇天池村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广元市朝天区大滩镇蒿坝村卫生室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PDY70214251081217D6002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广元市朝天区大滩镇蒿坝村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广元市朝天区大滩镇郭家村卫生室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PDY70208951081217D6002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广元市朝天区大滩镇郭家村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广元市朝天区大滩镇板房村卫生室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PDY70206251081217D6002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广元市朝天区大滩镇板房村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广元市朝天区李家镇流水村卫生室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PDY70073751081217D6002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广元市朝天区李家镇流水村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广元市朝天区李家镇新建村卫生室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PDY70077X51081217D6002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广元市朝天区李家镇新建村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广元市朝天区李家镇青林村卫生室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PDY70075351081217D6002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广元市朝天区李家镇青林村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广元市朝天区李家镇张家坝村卫生室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PDY70079651081217D6002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朝天区李家镇张家坝村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广元市朝天区李家镇民主村卫生室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PDY70074551081217D6002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广元市朝天区李家镇民主村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广元市朝天区李家镇卫星村卫生室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PDY70076651081217D6002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广元市朝天区李家镇卫星村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广元市朝天区李家镇永乐村卫生室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PDY70078851081217D6002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广元市朝天区李家镇永乐村七组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广元市朝天区大滩镇自然村卫生室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PDY70194051081217D6002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广元市朝天区大滩镇自然村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广元市朝天区大滩镇银河村卫生室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PDY70193251081217D6002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广元市朝天区大滩镇银河村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广元市朝天区大滩镇移山村卫生室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PDY70192451081217D6002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广元市朝天区大滩镇移山村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广元市朝天区大滩镇业成村卫生室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PDY70191651081217D6002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广元市朝天区大滩镇业成村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广元市朝天区大滩镇新生村卫生室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PDY70190851081217D6002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广元市朝天区大滩镇新生村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广元市朝天区大滩镇响水村卫生室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PDY70195951081217D6002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朝天区大滩镇响水村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广元市朝天区大滩镇茅寨村卫生室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PDY70189551081217D6002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广元市朝天区大滩镇茅寨村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广元市朝天区大滩镇茅坪村卫生室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PDY70188751081217D6002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广元市朝天区大滩镇茅坪村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广元市朝天区大滩镇立新村卫生室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PDY70187951081217D6002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广元市朝天区大滩镇立新村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广元市朝天区大滩镇敬忠村卫生室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PDY70197551081217D6002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广元市朝天区大滩镇敬忠村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广元市朝天区大滩镇回龙村卫生室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PDY70186051081217D6002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广元市朝天区大滩镇回龙村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广元市朝天区大滩镇红光村卫生室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PDY70185251081217D6002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广元市朝天区大滩镇红光村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广元市朝天区大滩镇横梁村卫生室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PDY70184451081217D6002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广元市朝天区大滩镇横梁村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广元市朝天区大滩镇光辉村卫生室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PDY70183651081217D6002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广元市朝天区大滩镇光辉村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广元市朝天区大滩镇高峰村卫生室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PDY70182851081217D6002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广元市朝天区大滩镇高峰村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广元市朝天区大滩镇风雷村卫生室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PDY70181X51081217D6002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广元市朝天区大滩镇风雷村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广元市朝天区大滩镇白鹤村卫生室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PDY70196751081217D6002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广元市朝天区大滩镇白鹤村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广元市朝天区曾家镇李家村卫生室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PDY70104351081217D6002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广元市朝天区曾家镇李家村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广元市朝天区曾家镇金龙村卫生室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PDY70105151081217D6002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朝天区曾家镇金龙村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广元市朝天区曾家镇工农村卫生室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PDY70103551081217D6002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广元市朝天区曾家镇工农村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广元市朝天区曾家镇毛坝村</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PDY70102751081217D6002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广元市朝天区曾家镇毛坝村卫生室</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广元市朝天区曾家镇中柏村卫生室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PDY70060651081217D6002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广元市朝天区曾家镇中柏村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广元市朝天区曾家镇荣乐村卫生室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PDY70062251081217D6002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广元市朝天区曾家镇荣乐村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广元市朝天区曾家镇前卫村卫生室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PDY70053451081217D6002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广元市朝天区曾家镇前卫村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广元市朝天区曾家镇张家村卫生室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PDY70059351081217D6002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广元市朝天区曾家镇张家村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广元市朝天区曾家镇石烛村卫生室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PDY70056951081217D6002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广元市朝天区曾家镇石烛村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广元市朝天区曾家镇明阳村卫生室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PDY70052651081217D6002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广元市朝天区曾家镇明阳村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广元市朝天区曾家镇山峰村卫生室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PDY70054251081217D6002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广元市朝天区曾家镇山峰村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广元市朝天区曾家镇石鹰村卫生室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PDY70055051081217D6002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广元市朝天区曾家镇石鹰村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广元市朝天区曾家镇响水村卫生室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PDY70058551081217D6002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广元市朝天区曾家镇响水村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广元市朝天区曾家镇白英村卫生室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PDY70061451081217D6002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广元市朝天区曾家镇白英村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广元市朝天区中子镇龙门村第一村卫生室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PDY70173X51081217D6002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广元市朝天区中子镇龙门村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广元市朝天区中子镇红梁村卫生站</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PDY70172151081217D6002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广元市朝天区朝天区中子镇红梁村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广元市朝天区中子镇竹坝村第一卫生室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PDY70179951081217D6002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广元市朝天区中子镇竹坝村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广元市朝天区中子镇天台村第一村卫生室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PDY70176451081217D6002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广元市朝天区中子镇天台村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广元市朝天区麻柳乡黄小村卫生室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PDY70088451081217D6002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广元市朝天区麻柳乡黄小村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广元市朝天区麻柳乡石牌村卫生室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PDY70091351081217D6002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广元市朝天区麻柳乡石牌村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广元市朝天区麻柳乡石板村卫生室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PDY70090551081217D6002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广元市朝天区麻柳乡石板村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广元市朝天区云雾山镇哨楼村卫生室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PDY70140651081217D6002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广元市朝天区云雾山镇哨楼村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广元市朝天区临溪乡柳垭村卫生室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PDY70096451081217D6002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广元市朝天区临溪乡柳垭村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广元市朝天区大滩镇红梅村卫生室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PDY70213451081217D6002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广元市朝天区大滩镇红梅村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广元市朝天区大滩镇八庙村卫生室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PDY70212651081217D6002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广元市朝天区大滩镇八庙村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广元市朝天区羊木镇文笔村第一村卫生室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PDY70120351081217D6002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朝天区羊木镇文笔村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广元市朝天区羊木镇火石坡村卫生室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PDY70109451081217D6002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广元市朝天区羊木镇火石坡村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广元市朝天区羊木镇白云村卫生室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PDY70107851081217D6002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广元市朝天区羊木镇白云村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广元市朝天区羊木镇金顶村卫生室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PDY70111551081217D6002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广元市朝天区羊木镇金顶村卫生室</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广元市朝天区羊木镇兰坝村卫生室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PDY70112351081217D6002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广元市朝天区羊木镇兰坝村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广元市朝天区羊木镇青白村卫生室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PDY70113151081217D6002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广元市朝天区羊木镇青白村卫生室</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广元市朝天区羊木镇新山村卫生室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PDY70119051081217D6002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广元市朝天区羊木镇新山村六组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广元市朝天区羊木镇新塘村卫生室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PDY70121151081217D6002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广元市朝天区羊木镇新塘村六组（村委会办公楼）</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广元市朝天区羊木镇银岭村卫生室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PDY70117451081217D6002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广元市朝天区羊木镇银岭村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广元市朝天区李家镇黄泥村卫生室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PDY70087651081217D6002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朝天区李家镇黄泥村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广元市朝天区云雾山镇云雾村卫生室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PDY70128951081217D6002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广元市朝天区云雾山镇云雾村2组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广元市朝天区云雾山镇中坝村卫生室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PDY70130X51081217D6002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广元市朝天区云雾山镇中坝村5组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广元市朝天区李家镇永龙村卫生室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PDY70086851081217D6002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广元市朝天区李家镇永龙村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广元市朝天区李家镇易兴村卫生室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PDY70085X51081217D6002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广元市朝天区李家镇易兴村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广元市朝天区李家镇协议村卫生室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PDY70084151081217D6002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广元市朝天区李家镇协议村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广元市朝天区李家镇王家垭村卫生室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PDY70083351081217D6002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广元市朝天区李家镇王家垭村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广元市朝天区李家镇蒋家村卫生室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PDY70081751081217D6002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广元市朝天区李家镇蒋家村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广元市朝天区李家镇水观村卫生室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PDY70082551081217D6002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广元市朝天区李家镇水观村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广元市朝天区羊木镇石鸭村卫生室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PDY70136951081217D6002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朝天区羊木镇石鸭村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广元市朝天区羊木镇龙凤村卫生室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PDY70134251081217D6002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朝天区羊木镇龙凤村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广元市朝天区羊木镇关口村卫生室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PDY70133451081217D6002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广元市朝天区羊木镇关口村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广元市朝天区羊木镇车坝村卫生室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PDY70132651081217D6002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朝天区羊木镇车坝村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广元市朝天区青林乡葛家村卫生室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PDY70166851081217D6002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朝天区青林乡葛家村二组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广元市朝天区朝天镇双河村卫生室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PDY70014751081217D6002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广元市朝天区朝天镇双河村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广元市朝天区云雾山镇盘龙村卫生室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PDY70139351081217D6002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广元市朝天区云雾山镇盘龙村</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广元市朝天区两河口镇大尖山卫生室</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PDY70063051081217D6002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广元市朝天区两河口镇大尖山</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广元市朝天区疾病预防控制中心预防医学门诊部</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45127956551081211J1009</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朝天场镇五丁街32号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肖富强中西医结合诊所</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PDY60017351081217D21326</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广元市朝天区朝天镇陵江峰阁二期2栋1-2号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张学模中医诊所</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PDY60003151081217D21226</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朝天区羊木镇金台路219号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陈功明中医诊所</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PDY60016551081217D2122</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广元市朝天区李家镇卫星村一组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谭守届中医诊所</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PDY60017151081217D21226</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朝天区李家镇卫星村一组</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罗超中医（综合）诊所</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PDY60016451081217D21226</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广元市朝天区羊木镇银河路木兰苑7幢6号</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张显文中医诊所</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PDY60016951081217D21226</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朝天区朝天镇大巴口新区</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梅东生中医诊所</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PDY60017551081217D21226</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广元市朝天区大中坝龙门街鑫地源楼下7-1-6</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0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乔发伟中医诊所</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PDY60016651081217D21226</w:t>
            </w:r>
          </w:p>
        </w:tc>
        <w:tc>
          <w:tcPr>
            <w:tcW w:w="42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0"/>
                <w:szCs w:val="20"/>
              </w:rPr>
            </w:pPr>
            <w:r>
              <w:rPr>
                <w:rFonts w:hint="eastAsia" w:ascii="宋体" w:hAnsi="宋体" w:cs="宋体"/>
                <w:color w:val="000000"/>
                <w:kern w:val="0"/>
                <w:sz w:val="18"/>
                <w:szCs w:val="18"/>
              </w:rPr>
              <w:t>朝天区羊木场镇</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医疗卫生</w:t>
            </w:r>
          </w:p>
        </w:tc>
        <w:tc>
          <w:tcPr>
            <w:tcW w:w="14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医疗机构</w:t>
            </w:r>
          </w:p>
        </w:tc>
      </w:tr>
    </w:tbl>
    <w:p>
      <w:pPr>
        <w:jc w:val="center"/>
        <w:rPr>
          <w:rFonts w:ascii="楷体_GB2312" w:eastAsia="楷体_GB2312"/>
          <w:b/>
          <w:color w:val="000000"/>
          <w:sz w:val="32"/>
          <w:szCs w:val="32"/>
        </w:rPr>
      </w:pPr>
    </w:p>
    <w:p>
      <w:pPr>
        <w:jc w:val="center"/>
      </w:pPr>
      <w:r>
        <w:rPr>
          <w:rFonts w:hint="eastAsia" w:ascii="楷体_GB2312" w:eastAsia="楷体_GB2312"/>
          <w:b/>
          <w:color w:val="000000"/>
          <w:sz w:val="32"/>
          <w:szCs w:val="32"/>
        </w:rPr>
        <w:t>公共场所卫生目录</w:t>
      </w:r>
    </w:p>
    <w:tbl>
      <w:tblPr>
        <w:tblStyle w:val="13"/>
        <w:tblW w:w="12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5"/>
        <w:gridCol w:w="3057"/>
        <w:gridCol w:w="2681"/>
        <w:gridCol w:w="1481"/>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单位名称</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单位地址</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许可证号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专业</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Arial" w:hAnsi="Arial" w:cs="Arial"/>
                <w:kern w:val="0"/>
                <w:sz w:val="20"/>
                <w:szCs w:val="20"/>
              </w:rPr>
              <w:t>广元市朝天区大滩初级中学</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Arial" w:hAnsi="Arial" w:cs="Arial"/>
                <w:kern w:val="0"/>
                <w:sz w:val="20"/>
                <w:szCs w:val="20"/>
              </w:rPr>
              <w:t>朝天区大滩镇场镇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2020</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510812-000032</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Arial" w:hAnsi="Arial" w:cs="Arial"/>
                <w:kern w:val="0"/>
                <w:sz w:val="20"/>
                <w:szCs w:val="20"/>
              </w:rPr>
              <w:t>公共浴室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朝天区顶上功夫理发店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朝天区中子镇市场街57号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2020</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510812-000033</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广元市朝天区中子实验学校</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朝天区中子镇场镇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2020</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510812-000034</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公共浴室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朝天区水磨沟镇马家坝小学</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朝天区水磨沟镇马家坝村</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2020</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510812-000035</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公共浴室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徐兴凤理发店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朝天区沙河镇场镇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2020</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510812-000036</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迎宾酒店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朝天区时代广场6-3-1</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2020</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510812-000037</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朝天区羊木镇衣林商店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朝天区羊木镇农贸市场</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2020</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510812-000038</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朝天区源泉山庄</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朝天区曾家镇响水村1组</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2020</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510812-000039</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朝天区新潮精剪</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朝天区朝天镇明月路59号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2020</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510812-000040</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广元市朝天区临溪小学</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朝天区临溪乡场镇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2020</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510812-000041</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公共浴室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朝天区水磨沟小学</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朝天区水磨沟社区红坪路5号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2020</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510812-000042</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公共浴室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羊木镇艾美靓妆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朝天区羊木镇玉凤路124号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2020</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510812-000043</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羊木镇心源宾馆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朝天区羊木镇九龙路</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510812-000001</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旅店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朝天镇福龙超市一店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朝天镇滨江路汽车站旁</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510812-000002</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经营商场（店）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朝天镇大润发超市</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朝天镇鑫地源财富港1号楼二楼29号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510812-000003</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经营商场（店）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朝天镇晓琴美甲店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朝天区朝天镇时代广场5栋一楼30号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510812-000004</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朝天福龙超市</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朝天镇政府路东升国府</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510812-000005</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经营商场（店）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朝天区朝天镇军师街47号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510812-000006</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朝天镇佳惠超市</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朝天镇时代广场</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510812-000007</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经营商场（店）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朝天镇一帆超市</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朝天镇明月路</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510812-000008</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经营商场（店）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朝天镇雅芙侬美容中心</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朝天镇检察院住宿楼1单元2-1号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510812-000009</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曾家山鸳鸯池管理中心</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朝天镇两河口镇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510812-000010</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朝天镇儒家旅社</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朝天镇中山街18号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510812-000011</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朝天区大滩镇市场街上街136号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510812-000012</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朝天镇福星宾馆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朝天镇中山街</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510812-000013</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朝天大酒店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朝天镇朝天镇大中坝</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510812-000014</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朝天镇藏生堂浴足店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朝天镇东升国府D幢3-322号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510812-000015</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朝天镇邱记旅店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朝天区大滩镇场镇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510812-000016</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朝天镇丰乐客栈</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朝天镇明月路</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510812-000017</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东源宾馆服务中心</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朝天镇中子镇川陕街75号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510812-000018</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中子镇茗尚烫染造型空间</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朝天区中子川陕街59号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510812-000019</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朝天镇天强大酒店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朝天镇赵家沟</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510812-000020</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朝天镇羊木宾馆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朝天区羊木镇九龙路</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510812-000021</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高玲清理发店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朝天区临溪乡场镇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510812-000022</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朝天镇军师街</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510812-000022</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朝天镇小芳造型</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朝天区中子镇市场街53号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510812-000023</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逸园宾馆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朝天区羊木镇水香6号楼2-1-2-2</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510812-000024</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水磨沟小学</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朝天区水磨沟镇水磨沟社区红坪路</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510812-000025</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公共浴室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黑先生发屋</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朝天区朝天镇小中坝明月路二段179号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510812-000027</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朝天区羊木镇九龙路</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510812-000028</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朝天镇欧巴造型</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朝天镇清风大道32号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510812-000029</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羊木东升商务宾馆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朝天区羊木镇九龙路</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510812-000030</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中子秀芳理发店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朝天区中子镇中柏路</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510812-000031</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颜如玉理发店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朝天镇潜溪路128号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510812-000032</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羊木镇贵丽丝理发店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朝天区羊木镇金台社区三组</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510812-000033</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朝天区军师街</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510812-000034</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朝天区正无路陵江峰阁</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510812-000035</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朝天区中子镇市场街79号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510812-000036</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朝天区阿杰造型理发店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朝天区小中坝时代广场4-2-2</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510812-000037</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朝天区美都理发店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朝天区潜溪路二段174号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510812-000038</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朝天区蓝沁宾馆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朝天区明月路</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510812-000039</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美时美化妆品</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朝天区时代广场3-1-8、9、21、22</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510812-000040</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植后化妆品店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朝天区时代广场3-1-29、30</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510812-000041</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明兰本草体验馆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朝天区时代广场4-1-33</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510812-000042</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增美美妆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朝天区时代广场5号楼1-32、33</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510812-000043</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鑫鑫发艺</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朝天区五丁街166号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510812-000044</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邓三理发店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朝天区原药监局4号门面</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510812-000045</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思亲芙美甲美睫</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朝天区时代广场4-1-36</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510812-000046</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望京宾馆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朝天区古树公园</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510812-000047</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广运集团有限公司朝天汽车客运站</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朝天区滨江路</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510812-000048</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候车厅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尊艺造型</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朝天区军师街41号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510812-000049</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心语亚健康调理中心</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朝天区中山街电梯公寓1-12-1</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510812-000050</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邓氏理发店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朝天区顺意家园1-1-14</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510812-000051</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朝天区洞天旅游开发有限公司</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朝天区水磨沟景区内</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510812-000052</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福祥楼宾馆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朝天区军师街26号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510812-000053</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阿凯理发店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朝天区东升国府1-3</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510812-000054</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小哲美妆店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朝天区军师街123号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510812-000055</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时尚标榜理发店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朝天区东升国府C-1-7</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510812-000056</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华仁医院</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朝天区羊木镇场镇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510812-000057</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候诊室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178超市</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朝天区军师街</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510812-000058</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经营商场（店）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朝天区中医医院</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朝天区大中坝德胜街102号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510812-000059</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候诊室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朝天镇九州美容美发屋</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朝天区滨江路顺意家园31号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510812-000060</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朝天镇屿你美容生活馆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朝天区大中坝明月水岸1栋1-1</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510812-000061</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曾家山汉王街银连土菜馆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曾家镇汉王街322号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510812-000062</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朝天区宾馆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曾家镇场镇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510812-000063</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大众理发店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朝天区大中坝农贸市场2号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510812-000064</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起点美发店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朝天区大巴口社区一期还建房B栋附1-4</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510812-000065</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文欣影院</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朝天区滨河路11号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510812-000066</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影剧院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东篱研学家庭农场</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曾家镇响水村4组</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510812-000067</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康好按摩店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朝天区羊木镇玉凤路176号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510812-000068</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欧三美发</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朝天区羊木镇九龙路</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510812-000069</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朝天区妇幼保健院</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朝天区大中坝德胜街120号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510812-000070</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候诊室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首艺造型</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朝天区大中坝乐天街30号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510812-000071</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朝天区飞霞路1号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510812-000072</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美姿美妆店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朝天区中山街22号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510812-000073</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朝天区李家镇场镇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510812-000074</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朝天区永兴酒店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朝天区曾家镇场镇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510812-000075</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青岗寨佳友堂农家乐</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朝天区曾家镇大竹村9组</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510812-000076</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朝天区大滩镇场镇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510812-000077</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万招理发的</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朝天区五丁街124号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510812-000078</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朝天区滨江路新城佳苑1-1-36</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510812-000079</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亢师美容美发</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朝天区中子镇中柏路11号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510812-000080</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吉米老师轻养肤体验店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朝天区鑫地源1栋1-36</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510812-000081</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朝天区严家院休闲区</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 xml:space="preserve">朝天区曾家镇 </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510812-000082</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羊木迎宾酒店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朝天区羊木镇银河路136</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510812-000083</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朝天区峨眉路</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510812-000084</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羊木镇衣林商店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羊木镇农贸市场</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510812-000085</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蒲家小学</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朝天区蒲家乡场镇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510812-000086</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公共浴室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羊木镇金尚美容美发</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羊木镇今天社区水香一期8栋1-4</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510812-000087</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泽兴农业开发有限责任公司</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朝天区曾家镇毛坝村1组3号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510812-000088</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羊木镇尚足馆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羊木镇九龙路169号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510812-000089</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朝天区曾家场镇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510812-000090</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朝天区养本道美颜养生馆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朝天区时代广场4号楼2-3、4</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510812-000091</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美容、足浴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天然居农家乐</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曾家镇场镇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510812-000092</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中子镇楼外楼宾馆服务中心</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中子镇市场街2号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2021</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510812-000093</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百小顺肌肤美容服务中心</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朝天区时代广场2栋1-17</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510812-000001</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朝天区容江宾馆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朝天区曾家镇政府街24号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510812-000001</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广元门君酒店管理有限公司</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朝天区大中坝永隆广场A区11-1</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510812-000002</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张素琴理发店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朝天区两河口乡场镇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510812-000003</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零度造型</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朝天区中山街16号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510812-000004</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鸿姐美容美发店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朝天区时代广场4号楼2-3、4</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510812-000005</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羊木镇小马理发店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羊木玉凤路</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510812-000006</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广元市鸳鸯池国家森林保护</w:t>
            </w:r>
            <w:r>
              <w:rPr>
                <w:rFonts w:hint="eastAsia" w:ascii="宋体" w:hAnsi="宋体" w:cs="宋体"/>
                <w:color w:val="000000"/>
                <w:kern w:val="0"/>
                <w:sz w:val="18"/>
                <w:szCs w:val="18"/>
                <w:lang w:eastAsia="zh-CN"/>
              </w:rPr>
              <w:t>有限公司</w:t>
            </w:r>
            <w:r>
              <w:rPr>
                <w:rFonts w:hint="eastAsia" w:ascii="宋体" w:hAnsi="宋体" w:cs="宋体"/>
                <w:color w:val="000000"/>
                <w:kern w:val="0"/>
                <w:sz w:val="18"/>
                <w:szCs w:val="18"/>
              </w:rPr>
              <w:t>经营管理中心</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朝天区两河口乡场镇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510812-000007</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朝天区山峡旅馆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朝天区明月路</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510812-000008</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羊木镇美丽都市烫染中心</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朝天区羊木镇玉凤路</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510812-000009</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小李修脚服务中心</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朝天区时代广场3-2-3</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510812-000010</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青柠美容院</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朝天区时代广场3号楼2-6-8</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510812-000011</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中子镇楼外楼宾馆服务中心</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朝天区中子镇市场街2号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510812-000012</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 xml:space="preserve">朝天区曾家镇政府街 </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510812-000013</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朝天区阿伟造型</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朝天区时代广场4-1-24</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510812-000014</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朝天区朝天镇鑫艺造型</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朝天区时代广场5-1-31号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510812-000015</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朝天笑笑美颜馆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朝天区锦绣家园一楼B-2</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510812-000016</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朝天镇丸美美容院</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朝天区明月水岸3-1-18</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510812-000017</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中子镇美容美体</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中子镇川陕街71号、市场街83号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510812-000018</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羊木飘逸理发店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羊木镇玉凤路</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510812-000019</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丽鑫时尚宾馆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朝天区五丁街B区2-2</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510812-000020</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Arial" w:hAnsi="Arial" w:cs="Arial"/>
                <w:kern w:val="0"/>
                <w:sz w:val="20"/>
                <w:szCs w:val="20"/>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蓝沁宾馆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朝天区明月路明月大道</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510812-000021</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Arial" w:hAnsi="Arial" w:cs="Arial"/>
                <w:kern w:val="0"/>
                <w:sz w:val="20"/>
                <w:szCs w:val="20"/>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广元云顶美宿旅游管理有限公司</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曾家镇太平村3组</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510812-000022</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欧巴造型</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朝天区时代广场4栋1-3号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510812-000023</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一丝不苟</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朝天区时代广场4-2-14、15</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510812-000024</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羊木镇恒美化妆品</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羊木镇玉凤路118号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510812-000025</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朝天区畔云餐饮店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云雾山镇青林村5组</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510812-000026</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福龙商务宾馆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朝天区汽车站综合楼3层</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510812-000027</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中子实验学校</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中子镇场镇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510812-000028</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公共浴室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朝天区大中坝清风路1段131号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510812-000029</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丽丽美容院</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朝天镇五丁街</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510812-000030</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广元芷筑温软度假酒店有限公司</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曾家镇政府街300号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510812-000031</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朝天区羊木镇心源酒店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羊木镇九龙路258号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510812-000032</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羊木镇恒美皮肤管理中心</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羊木镇玉凤街120号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510812-000033</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朝天镇顺兴临租房</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朝天区大巴口社区</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2022</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510812-000034</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四川晓山青酒店管理有限公司</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朝天区云雾山镇永乐村5组</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510812-000001</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朝天区藏生堂浴足店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朝天区朝天镇小中坝时代广场</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510812-000002</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朝天区羊木镇丝琪兰美容美体店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朝天区羊木镇玉凤路</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510812-000003</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朝天区蜀都美妆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朝天区曾家镇场镇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510812-000004</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羊木镇青丝阁理发店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羊木镇水香羊梅苑6-1-4</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510812-000005</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芳仪理发店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羊木镇九龙路292号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510812-000006</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朝天区丰彩美妆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中子镇市场街51号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510812-000007</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琳琳科技美容养生店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中子镇川陕街88号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510812-000008</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朝天区雪姐美颜坊</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曾家镇场镇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510812-000009</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朝天区中子秀芳理发店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中子镇中柏路30号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510812-000010</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朝天区朝天镇增美美妆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朝天镇时代广场5-1-32、33号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510812-000011</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曾家镇交通街5号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510812-000012</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大滩镇场镇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510812-000013</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鑫悦美发艾灸馆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大中坝永隆商业广场A区1-1号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510812-000014</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理发、美容、足浴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广元领秀旅游开发有限公司</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云雾山镇青林村4组4号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510812-000015</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朝天区秋兰美容美发店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中子镇川陕街96号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510812-000016</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朝天区大院餐饮部</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曾家镇清凉路北段168号</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510812-000017</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朝天区沁园庄饭店</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曾家镇太平村7组</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510812-000018</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曾家镇平兰居农家乐</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曾家镇太平村7组</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510812-000019</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顺林商务宾馆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朝天区潜溪路2段东升国府B栋</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510812-000020</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朝天区天亿汇美容院</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朝天区朝天镇鑫地佳苑2-4</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510812-000021</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朝天区依蔓美妆</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曾家镇场镇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510812-000022</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朝天区春林亚健康调理中心</w:t>
            </w:r>
          </w:p>
        </w:tc>
        <w:tc>
          <w:tcPr>
            <w:tcW w:w="30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曾家镇场镇</w:t>
            </w:r>
          </w:p>
        </w:tc>
        <w:tc>
          <w:tcPr>
            <w:tcW w:w="26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Arial" w:hAnsi="Arial" w:cs="Arial"/>
                <w:kern w:val="0"/>
                <w:sz w:val="20"/>
                <w:szCs w:val="20"/>
              </w:rPr>
            </w:pPr>
            <w:r>
              <w:rPr>
                <w:rFonts w:hint="eastAsia" w:ascii="宋体" w:hAnsi="宋体"/>
                <w:kern w:val="0"/>
                <w:sz w:val="20"/>
                <w:szCs w:val="20"/>
              </w:rPr>
              <w:t>川</w:t>
            </w:r>
            <w:r>
              <w:rPr>
                <w:rFonts w:ascii="宋体" w:hAnsi="宋体"/>
                <w:kern w:val="0"/>
                <w:sz w:val="20"/>
                <w:szCs w:val="20"/>
              </w:rPr>
              <w:t>卫公证字</w:t>
            </w:r>
            <w:r>
              <w:rPr>
                <w:rFonts w:ascii="Arial" w:hAnsi="Arial"/>
                <w:kern w:val="0"/>
                <w:sz w:val="20"/>
                <w:szCs w:val="20"/>
              </w:rPr>
              <w:t>[</w:t>
            </w:r>
            <w:r>
              <w:rPr>
                <w:rFonts w:hint="eastAsia" w:ascii="Arial" w:hAnsi="Arial"/>
                <w:kern w:val="0"/>
                <w:sz w:val="20"/>
                <w:szCs w:val="20"/>
              </w:rPr>
              <w:t>2023</w:t>
            </w:r>
            <w:r>
              <w:rPr>
                <w:rFonts w:ascii="Arial" w:hAnsi="Arial"/>
                <w:kern w:val="0"/>
                <w:sz w:val="20"/>
                <w:szCs w:val="20"/>
              </w:rPr>
              <w:t>]</w:t>
            </w:r>
            <w:r>
              <w:rPr>
                <w:rFonts w:ascii="宋体" w:hAnsi="宋体"/>
                <w:kern w:val="0"/>
                <w:sz w:val="20"/>
                <w:szCs w:val="20"/>
              </w:rPr>
              <w:t>第</w:t>
            </w:r>
            <w:r>
              <w:rPr>
                <w:rFonts w:hint="eastAsia" w:ascii="宋体" w:hAnsi="宋体"/>
                <w:kern w:val="0"/>
                <w:sz w:val="20"/>
                <w:szCs w:val="20"/>
              </w:rPr>
              <w:t>510812-000023</w:t>
            </w:r>
            <w:r>
              <w:rPr>
                <w:rFonts w:ascii="宋体" w:hAnsi="宋体"/>
                <w:kern w:val="0"/>
                <w:sz w:val="20"/>
                <w:szCs w:val="20"/>
              </w:rPr>
              <w:t>号</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 w:val="20"/>
                <w:szCs w:val="20"/>
              </w:rPr>
            </w:pPr>
            <w:r>
              <w:rPr>
                <w:rFonts w:ascii="宋体" w:hAnsi="宋体" w:cs="Arial"/>
                <w:kern w:val="0"/>
                <w:sz w:val="20"/>
                <w:szCs w:val="20"/>
              </w:rPr>
              <w:t>公共场所卫生</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Arial" w:hAnsi="Arial" w:cs="Arial"/>
                <w:kern w:val="0"/>
                <w:sz w:val="20"/>
                <w:szCs w:val="20"/>
              </w:rPr>
            </w:pPr>
            <w:r>
              <w:rPr>
                <w:rFonts w:hint="eastAsia" w:ascii="宋体" w:hAnsi="宋体" w:cs="宋体"/>
                <w:color w:val="000000"/>
                <w:kern w:val="0"/>
                <w:sz w:val="18"/>
                <w:szCs w:val="18"/>
              </w:rPr>
              <w:t>美容</w:t>
            </w:r>
          </w:p>
        </w:tc>
      </w:tr>
    </w:tbl>
    <w:p>
      <w:pPr>
        <w:spacing w:line="560" w:lineRule="exact"/>
        <w:ind w:firstLine="5300" w:firstLineChars="1650"/>
        <w:rPr>
          <w:rFonts w:ascii="楷体_GB2312" w:eastAsia="楷体_GB2312"/>
          <w:b/>
          <w:color w:val="000000"/>
          <w:sz w:val="32"/>
          <w:szCs w:val="32"/>
        </w:rPr>
      </w:pPr>
    </w:p>
    <w:p>
      <w:pPr>
        <w:spacing w:line="560" w:lineRule="exact"/>
        <w:ind w:firstLine="5300" w:firstLineChars="1650"/>
        <w:rPr>
          <w:rFonts w:ascii="楷体_GB2312" w:eastAsia="楷体_GB2312"/>
          <w:b/>
          <w:color w:val="000000"/>
          <w:sz w:val="32"/>
          <w:szCs w:val="32"/>
        </w:rPr>
      </w:pPr>
      <w:r>
        <w:rPr>
          <w:rFonts w:hint="eastAsia" w:ascii="楷体_GB2312" w:eastAsia="楷体_GB2312"/>
          <w:b/>
          <w:color w:val="000000"/>
          <w:sz w:val="32"/>
          <w:szCs w:val="32"/>
        </w:rPr>
        <w:t xml:space="preserve">职业卫生目录 </w:t>
      </w:r>
    </w:p>
    <w:tbl>
      <w:tblPr>
        <w:tblStyle w:val="13"/>
        <w:tblW w:w="13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3"/>
        <w:gridCol w:w="2357"/>
        <w:gridCol w:w="445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ind w:firstLine="400" w:firstLineChars="200"/>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企业名称</w:t>
            </w:r>
          </w:p>
        </w:tc>
        <w:tc>
          <w:tcPr>
            <w:tcW w:w="2357"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统一社会信用代码</w:t>
            </w:r>
          </w:p>
        </w:tc>
        <w:tc>
          <w:tcPr>
            <w:tcW w:w="4459" w:type="dxa"/>
            <w:noWrap/>
            <w:vAlign w:val="center"/>
          </w:tcPr>
          <w:p>
            <w:pPr>
              <w:widowControl/>
              <w:ind w:firstLine="1100" w:firstLineChars="550"/>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企业地址</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广元市泓岗水泥制品有限公司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91510812MA65L0CG40</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四川省广元市朝天区曾家镇响水村二组</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广元瑞生商品混凝土有限公司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91510812MA67K6BXXX</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四川省广元市朝天区曾家镇中柏村三组</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广元海螺水泥有限责任公司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915108126757945745</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四川省广元市朝天区朝天镇</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广元市德瑞混凝土有限责任公司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915108125582224389</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广元市朝天区朝天镇清风村六组</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四川鑫美佳美石材有限公司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91510812MA66LU3N72</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四川省广元市朝天区七盘关工业园</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广元久鹏建材有限公司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91510812MA640LT38H</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四川省广元市朝天区七盘关工业园区</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广元市建东建材有限公司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91510812MA6666RB46</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广元市朝天区七盘关工业园区</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广元市联拓石业有限公司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91510812MA67UWTN8P</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四川省广元市朝天区七盘关工业园区1号厂房</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广元市晟睿石业有限公司</w:t>
            </w:r>
            <w:r>
              <w:rPr>
                <w:rFonts w:hint="eastAsia" w:ascii="宋体" w:hAnsi="宋体" w:cs="宋体"/>
                <w:color w:val="000000" w:themeColor="text1"/>
                <w:kern w:val="0"/>
                <w:sz w:val="20"/>
                <w:szCs w:val="20"/>
              </w:rPr>
              <w:br w:type="textWrapping"/>
            </w:r>
            <w:r>
              <w:rPr>
                <w:rStyle w:val="42"/>
                <w:rFonts w:hint="default" w:ascii="宋体" w:hAnsi="宋体" w:eastAsia="宋体" w:cs="宋体"/>
                <w:color w:val="000000" w:themeColor="text1"/>
                <w:sz w:val="20"/>
                <w:szCs w:val="20"/>
              </w:rPr>
              <w:t>(广元市朝天区宏发石材厂(歇业))</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91510812MA67WMG51W</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四川省广元市朝天区七盘关工业园区1号厂房</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广元市朝天区强龙建材有限责任公司</w:t>
            </w:r>
            <w:r>
              <w:rPr>
                <w:rStyle w:val="42"/>
                <w:rFonts w:hint="default" w:ascii="宋体" w:hAnsi="宋体" w:eastAsia="宋体" w:cs="宋体"/>
                <w:color w:val="000000" w:themeColor="text1"/>
                <w:sz w:val="20"/>
                <w:szCs w:val="20"/>
              </w:rPr>
              <w:t>（未正式开业）</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91510812MA67UFFW6B</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四川省广元市朝天区七盘关工业园区2号厂房</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广元市磊力新型建材有限公司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91510812MA624Q328L</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四川省广元市朝天区七盘关工业园</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四川晟垲荃新型材料科技有限公司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91510812MA626A7D08</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四川省广元市朝天区七盘关工业园</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广元市宝临石艺有限公司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91510812MA66JCT551</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朝天经开区七盘关片农产品加工园</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四川天信石业股份有限公司七盘关分公司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91510812MA66G59R2R</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四川省广元市朝天区中子镇柏树村二组</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广元源利商砼有限责任公司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915108123144895745</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广元市朝天区沙河镇南华村</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广元海螺新材料有限责任公司</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（建设中）</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91510812MA67CY6A2H</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朝天区蒲家乡元西村四组</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广元市川宜建材有限公司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91510812680412091G</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广元市朝天区羊木镇源溪村六组</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广元富荣石材有限公司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91510812MA65ELWD60</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朝天区羊木镇文笔村四组</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广元市太阳坪金矿有限公司</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广元市亿财建材有限公司</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(歇业)</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915108120541072847</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广元市朝天区东溪河乡石门村</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朝天区东石矿业有限公司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91510812052180576C</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广元市朝天区云雾山镇新滩村</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广元市泓兴工业有限公司朝天水业分公司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915108127822834627</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广元市朝天区朝天镇军师街</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广元市朝天区丰源水电开发有限公司（青云电站）</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915108127918071090</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朝天区朝天镇青云村</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广元市朝天区川北印刷有限公司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91510812MA6254RJ50</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广元市朝天区朝天镇峨嵋路1幢1-5号</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广元市隆胜汽车技术服务有限公司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91510812MA62535U27</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广元市朝天工大巴口工业园区</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四川广元天剑建设有限责任公司小河口电站</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9151081277980436X7</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广元市朝天区大滩镇小河口</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广元百通能源有限公司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91510812MA65883D3K</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广元市朝天区七盘关工业园区</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广元旭航构件制造有限公司(建设中)</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91510812MA684N915D</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广元市朝天区七盘关工业园区</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四川祥晟药业有限公司</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（四川岚晟生物科技有限公司）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91510812MA64YXDXXW</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广元市朝天区七盘关工业园区</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广元市朝天区三元茧丝绸有限责任公司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91510812791807117T</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广元市朝天区七盘关工业园区</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四川广储粮油有限公司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91510812MA64BQ4H72</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广元市朝天区七盘关工业园区</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广元市朝天区中子宏大印刷（广元市宏扬印务有限责任公司）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92510812MA69NX7H50</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朝天区中子镇川陕街35号</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广元市朝天区中子印刷厂</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915108122059404859</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广元市朝天区中子场镇</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广元市万惠生物科技有限公司</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（未生产）</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915108126841610155</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广元市朝天区宣河乡白钟村一组</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广元亿航环保科技有限公司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91510812MA6590BT9Y</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广元市朝天区七盘关工业园区</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广元市朝天区马家坝永成水电站</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915108120739903402</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广元市朝天区马家坝乡得胜村</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四川山里人家木材有限公司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91510812MA62C7RM62</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朝天区羊木镇火石村7组</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中国石油天然气股份有限公司四川广元销售分公司曾家加油站</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915108127939918005</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曾家镇</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广元市朝天区明月水务投资有限公司大中坝自来水厂</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91510812054113529C</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广元市朝天区朝天镇大中坝</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广元市三新供电服务有限公司朝天区分公司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91510812MA6250R680</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广元市朝天区朝天镇清风大道二段22号4楼</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广元市天然气有限责任公司朝天分公司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915108127716968001</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朝天区朝天镇清风路</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广元海螺塑料包装有限责任公司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91510812558247045X</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广元市朝天区大巴口工业集中区</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广元市生生益食品有限公司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91510812MA63RM7Y0Y</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广元市朝天区朝天镇楼房村4组</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广元市隆顺天然气有限责任公司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91510812MA676RFP09</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广元市朝天区朝天镇政府街26号</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中国石油天然气股份有限公司四川广元销售分公司中山加油站</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91510812733409321Q</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朝天镇</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中国石油天然气股份有限公司四川广元销售分公司大巴口加油站</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91510812MA62557Y37</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朝天镇</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广元市朝天区裕鑫农业开发有限公司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91510812595095570N</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广元市朝天区朝天镇滨江路</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广元市鑫宏新能源科技有限公司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91510812MA65F82N7R</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朝天区大巴口工业园区1号</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四川食味轩食品有限公司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91510812MA63X03N80</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广元市朝天区七盘关工业孵化园</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四川欣逸食品有限公司（四川味欣食品有限公司）（未开业）</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91510812MA64CQW28M</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广元市朝天区七盘关工业园B区</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四川唐月食品有限公司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91510812MA64DPYC5J</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四川省广元市朝天区七盘关工业园区</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广元宗皇食品有限公司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91510812MA625C9B7X</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广元市朝天区七盘关工业园区中小企业孵化园</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四川省蜀中源食品有限公司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91510812MA63NHL22X</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广元市朝天区七盘关工业园区</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广元市中子宏森食品有限责任公司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91510812MA6963QW44</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四川省广元市朝天区七盘关工业园孵化园3#二楼</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广元市鑫悦食品有限公司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91510812MA66HT830N</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朝天区七盘关工业园孵化园二期五号楼</w:t>
            </w:r>
            <w:r>
              <w:rPr>
                <w:rStyle w:val="43"/>
                <w:rFonts w:hint="default" w:ascii="宋体" w:hAnsi="宋体" w:eastAsia="宋体" w:cs="宋体"/>
                <w:color w:val="000000" w:themeColor="text1"/>
                <w:sz w:val="20"/>
                <w:szCs w:val="20"/>
              </w:rPr>
              <w:t>2</w:t>
            </w:r>
            <w:r>
              <w:rPr>
                <w:rFonts w:hint="eastAsia" w:ascii="宋体" w:hAnsi="宋体" w:cs="宋体"/>
                <w:color w:val="000000" w:themeColor="text1"/>
                <w:kern w:val="0"/>
                <w:sz w:val="20"/>
                <w:szCs w:val="20"/>
              </w:rPr>
              <w:t>层</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广元梓曾食品有限公司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91510812093413233K</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广元市朝天区七盘关工业园区</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四川省广元市康康医疗器械有限公司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915108007298019616</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广元市朝天区七盘关工业园区</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四川成香源食品有限公司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91510812MA65JTXPXH</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四川省广元市朝天区七盘关工业园</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广元市中子越龄食品有限责任公司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9151081232693097XW</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广元市朝天区中子镇七盘关工业孵化园A幢</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广元源原食品有限公司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91510812MA69HCDF7P</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四川省广元市朝天区中子镇七盘关工业园区</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广元市月桂食品有限公司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91510812MA6253EL6F</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四川省广元市朝天区中子镇七盘关工业园区</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广元以南食品有限公司（未生产）</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91510812MA69A04140</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四川省广元市朝天区中子镇川陕街90号</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大强机械化工程有限责任公司朝天分公司（中子加气站）</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91510812MA64DP342P</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中子镇</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四川交投中油能源有限公司广陕高速中子右加油站</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91510812327054318Y</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中子镇</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中国石化销售股份有限公司四川广元石油分公司中子加油站</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91510812080720947X</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中子镇</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华油天然气广元有限公司朝天中子LNG加气站</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91510812337773359J</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中子镇</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广元朝天区瑞博天然气有限公司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91510812337773359J</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广元市朝天区中子镇中曾路61号</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广元棒仁食品科技股份有限公司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91510812660292918M</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中子镇</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四川靠山王食品有限公司</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（未生产）</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91510812599980577G</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中子镇</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广元秦川印象生态农业开发有限公司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91510812MA64UFAJ5R</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中子镇</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四川乡村幺妹食品开发有限公司</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（未生产）</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91510812MA68W0NE00</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朝天区七盘关工业园</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四川汉吉腾农业开发有限公司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91510812MA63PW8T2R</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朝天区七盘关工业园</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四川秦江农业科技有限公司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91510812MA647HHD0G</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朝天区七盘关工业园</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广元市久安燃气有限责任公司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915108120833629033</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广元市朝天区羊木镇源溪村一组</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广元市龙翔塑业有限公司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91510812MA62RUGK4U</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广元市朝天区羊木工业园</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广元兴胜油脂有限公司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91510812MA696QAJ9H</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广元市朝天区羊木镇车坝村8组22号</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广元市久安燃气有限责任公司（羊木加气站）</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915108120833629033</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羊木镇</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广元市石油有限公司羊木加油站</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915108127716968001</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羊木镇</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中国石油天然气股份有限公司四川广元销售分公司朝天区沙河加油站</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91320707MA1MEQJG82</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沙河镇</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广元市朝天区两河口加油站</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91510812345767549p</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两河口乡</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大唐广元风电开发有限公司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91510812MA62557Y37</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蒲家</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中国石油天然气股份有限公司四川广元销售分公司朝天区川北加油站</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915108127274697668</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转斗</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广元市月儿泉水业有限公司</w:t>
            </w:r>
          </w:p>
        </w:tc>
        <w:tc>
          <w:tcPr>
            <w:tcW w:w="2357"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91510812678383287P</w:t>
            </w:r>
          </w:p>
        </w:tc>
        <w:tc>
          <w:tcPr>
            <w:tcW w:w="4459" w:type="dxa"/>
            <w:noWrap/>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朝天区麻柳乡复兴村6组</w:t>
            </w:r>
          </w:p>
        </w:tc>
        <w:tc>
          <w:tcPr>
            <w:tcW w:w="1719" w:type="dxa"/>
            <w:noWrap/>
            <w:vAlign w:val="center"/>
          </w:tcPr>
          <w:p>
            <w:pPr>
              <w:widowControl/>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23" w:type="dxa"/>
            <w:noWrap/>
            <w:vAlign w:val="center"/>
          </w:tcPr>
          <w:p>
            <w:pPr>
              <w:widowControl/>
              <w:jc w:val="center"/>
              <w:textAlignment w:val="center"/>
              <w:rPr>
                <w:rFonts w:ascii="宋体" w:hAnsi="宋体" w:cs="宋体"/>
                <w:color w:val="000000" w:themeColor="text1"/>
                <w:kern w:val="0"/>
                <w:sz w:val="20"/>
                <w:szCs w:val="20"/>
              </w:rPr>
            </w:pPr>
          </w:p>
        </w:tc>
        <w:tc>
          <w:tcPr>
            <w:tcW w:w="2357" w:type="dxa"/>
            <w:noWrap/>
            <w:vAlign w:val="center"/>
          </w:tcPr>
          <w:p>
            <w:pPr>
              <w:widowControl/>
              <w:jc w:val="center"/>
              <w:textAlignment w:val="center"/>
              <w:rPr>
                <w:rFonts w:ascii="宋体" w:hAnsi="宋体" w:cs="宋体"/>
                <w:color w:val="000000" w:themeColor="text1"/>
                <w:kern w:val="0"/>
                <w:sz w:val="20"/>
                <w:szCs w:val="20"/>
              </w:rPr>
            </w:pPr>
          </w:p>
        </w:tc>
        <w:tc>
          <w:tcPr>
            <w:tcW w:w="4459" w:type="dxa"/>
            <w:noWrap/>
            <w:vAlign w:val="center"/>
          </w:tcPr>
          <w:p>
            <w:pPr>
              <w:widowControl/>
              <w:jc w:val="center"/>
              <w:textAlignment w:val="center"/>
              <w:rPr>
                <w:rFonts w:ascii="宋体" w:hAnsi="宋体" w:cs="宋体"/>
                <w:color w:val="000000" w:themeColor="text1"/>
                <w:kern w:val="0"/>
                <w:sz w:val="20"/>
                <w:szCs w:val="20"/>
              </w:rPr>
            </w:pPr>
          </w:p>
        </w:tc>
        <w:tc>
          <w:tcPr>
            <w:tcW w:w="1719" w:type="dxa"/>
            <w:noWrap/>
            <w:vAlign w:val="center"/>
          </w:tcPr>
          <w:p>
            <w:pPr>
              <w:widowControl/>
              <w:jc w:val="center"/>
              <w:rPr>
                <w:rFonts w:ascii="宋体" w:hAnsi="宋体" w:cs="宋体"/>
                <w:color w:val="000000" w:themeColor="text1"/>
                <w:kern w:val="0"/>
                <w:sz w:val="20"/>
                <w:szCs w:val="20"/>
              </w:rPr>
            </w:pPr>
          </w:p>
        </w:tc>
      </w:tr>
    </w:tbl>
    <w:p>
      <w:pPr>
        <w:widowControl/>
        <w:jc w:val="left"/>
        <w:rPr>
          <w:rFonts w:ascii="楷体_GB2312" w:hAnsi="宋体" w:eastAsia="楷体_GB2312" w:cs="宋体"/>
          <w:b/>
          <w:color w:val="000000"/>
          <w:sz w:val="32"/>
          <w:szCs w:val="32"/>
        </w:rPr>
        <w:sectPr>
          <w:pgSz w:w="16838" w:h="11906" w:orient="landscape"/>
          <w:pgMar w:top="1803" w:right="1440" w:bottom="1803" w:left="1440" w:header="851" w:footer="1191" w:gutter="0"/>
          <w:pgNumType w:fmt="numberInDash"/>
          <w:cols w:space="0" w:num="1"/>
          <w:docGrid w:type="lines" w:linePitch="319" w:charSpace="0"/>
        </w:sectPr>
      </w:pPr>
    </w:p>
    <w:p>
      <w:pPr>
        <w:spacing w:line="560" w:lineRule="exact"/>
        <w:ind w:firstLine="640" w:firstLineChars="200"/>
        <w:rPr>
          <w:rFonts w:ascii="楷体_GB2312" w:eastAsia="楷体_GB2312"/>
          <w:bCs/>
          <w:color w:val="000000"/>
          <w:sz w:val="32"/>
          <w:szCs w:val="32"/>
        </w:rPr>
      </w:pPr>
      <w:r>
        <w:rPr>
          <w:rFonts w:hint="eastAsia" w:ascii="楷体_GB2312" w:eastAsia="楷体_GB2312"/>
          <w:bCs/>
          <w:color w:val="000000"/>
          <w:sz w:val="32"/>
          <w:szCs w:val="32"/>
        </w:rPr>
        <w:t>（三）2022年双随机抽查情况</w:t>
      </w:r>
    </w:p>
    <w:p>
      <w:pPr>
        <w:spacing w:line="560" w:lineRule="exact"/>
        <w:jc w:val="center"/>
        <w:rPr>
          <w:rFonts w:ascii="黑体" w:hAnsi="黑体" w:eastAsia="黑体"/>
          <w:sz w:val="32"/>
          <w:szCs w:val="32"/>
        </w:rPr>
      </w:pPr>
      <w:r>
        <w:rPr>
          <w:rFonts w:hint="eastAsia" w:ascii="黑体" w:hAnsi="黑体" w:eastAsia="黑体"/>
          <w:sz w:val="32"/>
          <w:szCs w:val="32"/>
        </w:rPr>
        <w:t>广元市朝天区卫生健康局2022</w:t>
      </w:r>
      <w:r>
        <w:rPr>
          <w:rFonts w:hint="eastAsia" w:ascii="黑体" w:hAnsi="黑体" w:eastAsia="黑体"/>
          <w:sz w:val="32"/>
          <w:szCs w:val="32"/>
          <w:lang w:eastAsia="zh-CN"/>
        </w:rPr>
        <w:t>“双随机、一公开”</w:t>
      </w:r>
      <w:r>
        <w:rPr>
          <w:rFonts w:hint="eastAsia" w:ascii="黑体" w:hAnsi="黑体" w:eastAsia="黑体"/>
          <w:sz w:val="32"/>
          <w:szCs w:val="32"/>
        </w:rPr>
        <w:t>抽检名单</w:t>
      </w:r>
    </w:p>
    <w:tbl>
      <w:tblPr>
        <w:tblStyle w:val="13"/>
        <w:tblW w:w="9569" w:type="dxa"/>
        <w:jc w:val="center"/>
        <w:tblLayout w:type="fixed"/>
        <w:tblCellMar>
          <w:top w:w="0" w:type="dxa"/>
          <w:left w:w="0" w:type="dxa"/>
          <w:bottom w:w="0" w:type="dxa"/>
          <w:right w:w="0" w:type="dxa"/>
        </w:tblCellMar>
      </w:tblPr>
      <w:tblGrid>
        <w:gridCol w:w="884"/>
        <w:gridCol w:w="3842"/>
        <w:gridCol w:w="1304"/>
        <w:gridCol w:w="1420"/>
        <w:gridCol w:w="2119"/>
      </w:tblGrid>
      <w:tr>
        <w:tblPrEx>
          <w:tblCellMar>
            <w:top w:w="0" w:type="dxa"/>
            <w:left w:w="0" w:type="dxa"/>
            <w:bottom w:w="0" w:type="dxa"/>
            <w:right w:w="0" w:type="dxa"/>
          </w:tblCellMar>
        </w:tblPrEx>
        <w:trPr>
          <w:trHeight w:val="680" w:hRule="exact"/>
          <w:jc w:val="center"/>
        </w:trPr>
        <w:tc>
          <w:tcPr>
            <w:tcW w:w="9569" w:type="dxa"/>
            <w:gridSpan w:val="5"/>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方正小标宋简体" w:eastAsia="方正小标宋简体"/>
                <w:color w:val="000000"/>
                <w:sz w:val="40"/>
                <w:szCs w:val="40"/>
              </w:rPr>
            </w:pPr>
            <w:r>
              <w:rPr>
                <w:rFonts w:hint="eastAsia" w:ascii="黑体" w:hAnsi="黑体" w:eastAsia="黑体"/>
                <w:color w:val="000000"/>
                <w:kern w:val="0"/>
                <w:sz w:val="32"/>
                <w:szCs w:val="32"/>
              </w:rPr>
              <w:t>2022年国家双随机抽检情况</w:t>
            </w:r>
          </w:p>
        </w:tc>
      </w:tr>
      <w:tr>
        <w:tblPrEx>
          <w:tblCellMar>
            <w:top w:w="0" w:type="dxa"/>
            <w:left w:w="0" w:type="dxa"/>
            <w:bottom w:w="0" w:type="dxa"/>
            <w:right w:w="0" w:type="dxa"/>
          </w:tblCellMar>
        </w:tblPrEx>
        <w:trPr>
          <w:trHeight w:val="624" w:hRule="atLeast"/>
          <w:jc w:val="center"/>
        </w:trPr>
        <w:tc>
          <w:tcPr>
            <w:tcW w:w="9569"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方正小标宋简体" w:eastAsia="方正小标宋简体"/>
                <w:color w:val="000000"/>
                <w:sz w:val="40"/>
                <w:szCs w:val="40"/>
              </w:rPr>
            </w:pPr>
          </w:p>
        </w:tc>
      </w:tr>
      <w:tr>
        <w:tblPrEx>
          <w:tblCellMar>
            <w:top w:w="0" w:type="dxa"/>
            <w:left w:w="0" w:type="dxa"/>
            <w:bottom w:w="0" w:type="dxa"/>
            <w:right w:w="0" w:type="dxa"/>
          </w:tblCellMar>
        </w:tblPrEx>
        <w:trPr>
          <w:trHeight w:val="460"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kern w:val="0"/>
                <w:sz w:val="24"/>
              </w:rPr>
              <w:t>序号</w:t>
            </w:r>
          </w:p>
        </w:tc>
        <w:tc>
          <w:tcPr>
            <w:tcW w:w="384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kern w:val="0"/>
                <w:sz w:val="24"/>
              </w:rPr>
              <w:t>被监督单位</w:t>
            </w:r>
          </w:p>
        </w:tc>
        <w:tc>
          <w:tcPr>
            <w:tcW w:w="1304"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kern w:val="0"/>
                <w:sz w:val="24"/>
              </w:rPr>
              <w:t>监督专业</w:t>
            </w:r>
          </w:p>
        </w:tc>
        <w:tc>
          <w:tcPr>
            <w:tcW w:w="1420" w:type="dxa"/>
            <w:tcBorders>
              <w:top w:val="single" w:color="000000" w:sz="4" w:space="0"/>
              <w:left w:val="nil"/>
              <w:bottom w:val="single" w:color="000000" w:sz="4" w:space="0"/>
              <w:right w:val="single" w:color="auto"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kern w:val="0"/>
                <w:sz w:val="24"/>
              </w:rPr>
              <w:t>监督员</w:t>
            </w:r>
          </w:p>
        </w:tc>
        <w:tc>
          <w:tcPr>
            <w:tcW w:w="211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抽检结果</w:t>
            </w:r>
          </w:p>
        </w:tc>
      </w:tr>
      <w:tr>
        <w:tblPrEx>
          <w:tblCellMar>
            <w:top w:w="0" w:type="dxa"/>
            <w:left w:w="0" w:type="dxa"/>
            <w:bottom w:w="0" w:type="dxa"/>
            <w:right w:w="0" w:type="dxa"/>
          </w:tblCellMar>
        </w:tblPrEx>
        <w:trPr>
          <w:trHeight w:val="460"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kern w:val="0"/>
                <w:sz w:val="24"/>
              </w:rPr>
              <w:t>1</w:t>
            </w:r>
          </w:p>
        </w:tc>
        <w:tc>
          <w:tcPr>
            <w:tcW w:w="3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pPr>
              <w:jc w:val="left"/>
              <w:textAlignment w:val="bottom"/>
              <w:rPr>
                <w:rFonts w:ascii="仿宋_GB2312" w:hAnsi="宋体" w:eastAsia="仿宋_GB2312"/>
                <w:color w:val="000000"/>
                <w:sz w:val="24"/>
              </w:rPr>
            </w:pPr>
            <w:r>
              <w:rPr>
                <w:rFonts w:hint="eastAsia" w:ascii="仿宋_GB2312" w:hAnsi="仿宋_GB2312" w:eastAsia="仿宋_GB2312" w:cs="仿宋_GB2312"/>
                <w:color w:val="000000"/>
                <w:kern w:val="0"/>
                <w:sz w:val="24"/>
              </w:rPr>
              <w:t>广元市朝天区大滩初级中学</w:t>
            </w:r>
          </w:p>
        </w:tc>
        <w:tc>
          <w:tcPr>
            <w:tcW w:w="1304"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kern w:val="0"/>
                <w:sz w:val="24"/>
              </w:rPr>
              <w:t>学校卫生</w:t>
            </w:r>
          </w:p>
        </w:tc>
        <w:tc>
          <w:tcPr>
            <w:tcW w:w="1420" w:type="dxa"/>
            <w:tcBorders>
              <w:top w:val="single" w:color="000000" w:sz="4" w:space="0"/>
              <w:left w:val="nil"/>
              <w:bottom w:val="single" w:color="000000" w:sz="4" w:space="0"/>
              <w:right w:val="single" w:color="auto" w:sz="4" w:space="0"/>
            </w:tcBorders>
            <w:noWrap/>
            <w:tcMar>
              <w:top w:w="15" w:type="dxa"/>
              <w:left w:w="15" w:type="dxa"/>
              <w:bottom w:w="0" w:type="dxa"/>
              <w:right w:w="15" w:type="dxa"/>
            </w:tcMar>
            <w:vAlign w:val="center"/>
          </w:tcPr>
          <w:p>
            <w:pPr>
              <w:textAlignment w:val="center"/>
              <w:rPr>
                <w:rFonts w:ascii="仿宋_GB2312" w:hAnsi="宋体" w:eastAsia="仿宋_GB2312"/>
                <w:color w:val="000000"/>
                <w:sz w:val="24"/>
              </w:rPr>
            </w:pPr>
            <w:r>
              <w:rPr>
                <w:rFonts w:hint="eastAsia" w:ascii="仿宋_GB2312" w:hAnsi="宋体" w:eastAsia="仿宋_GB2312"/>
                <w:color w:val="000000"/>
                <w:kern w:val="0"/>
                <w:sz w:val="24"/>
              </w:rPr>
              <w:t>张波、刘</w:t>
            </w:r>
            <w:r>
              <w:rPr>
                <w:rFonts w:hint="eastAsia" w:ascii="宋体" w:hAnsi="宋体" w:cs="宋体"/>
                <w:color w:val="000000"/>
                <w:kern w:val="0"/>
                <w:sz w:val="24"/>
              </w:rPr>
              <w:t>骦</w:t>
            </w:r>
          </w:p>
        </w:tc>
        <w:tc>
          <w:tcPr>
            <w:tcW w:w="211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合格</w:t>
            </w:r>
          </w:p>
        </w:tc>
      </w:tr>
      <w:tr>
        <w:tblPrEx>
          <w:tblCellMar>
            <w:top w:w="0" w:type="dxa"/>
            <w:left w:w="0" w:type="dxa"/>
            <w:bottom w:w="0" w:type="dxa"/>
            <w:right w:w="0" w:type="dxa"/>
          </w:tblCellMar>
        </w:tblPrEx>
        <w:trPr>
          <w:trHeight w:val="460"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kern w:val="0"/>
                <w:sz w:val="24"/>
              </w:rPr>
              <w:t>2</w:t>
            </w:r>
          </w:p>
        </w:tc>
        <w:tc>
          <w:tcPr>
            <w:tcW w:w="3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pPr>
              <w:jc w:val="left"/>
              <w:textAlignment w:val="bottom"/>
              <w:rPr>
                <w:rFonts w:ascii="仿宋_GB2312" w:hAnsi="宋体" w:eastAsia="仿宋_GB2312"/>
                <w:color w:val="000000"/>
                <w:sz w:val="24"/>
              </w:rPr>
            </w:pPr>
            <w:r>
              <w:rPr>
                <w:rFonts w:hint="eastAsia" w:ascii="仿宋_GB2312" w:hAnsi="仿宋_GB2312" w:eastAsia="仿宋_GB2312" w:cs="仿宋_GB2312"/>
                <w:color w:val="000000"/>
                <w:kern w:val="0"/>
                <w:sz w:val="24"/>
              </w:rPr>
              <w:t>广元市朝天区羊木初级中学</w:t>
            </w:r>
          </w:p>
        </w:tc>
        <w:tc>
          <w:tcPr>
            <w:tcW w:w="1304" w:type="dxa"/>
            <w:vMerge w:val="continue"/>
            <w:tcBorders>
              <w:top w:val="nil"/>
              <w:left w:val="nil"/>
              <w:bottom w:val="single" w:color="000000" w:sz="4" w:space="0"/>
              <w:right w:val="single" w:color="000000" w:sz="4" w:space="0"/>
            </w:tcBorders>
            <w:vAlign w:val="center"/>
          </w:tcPr>
          <w:p>
            <w:pPr>
              <w:jc w:val="left"/>
              <w:rPr>
                <w:rFonts w:ascii="仿宋_GB2312" w:hAnsi="宋体" w:eastAsia="仿宋_GB2312"/>
                <w:color w:val="000000"/>
                <w:sz w:val="24"/>
              </w:rPr>
            </w:pPr>
          </w:p>
        </w:tc>
        <w:tc>
          <w:tcPr>
            <w:tcW w:w="1420" w:type="dxa"/>
            <w:tcBorders>
              <w:top w:val="single" w:color="000000" w:sz="4" w:space="0"/>
              <w:left w:val="nil"/>
              <w:bottom w:val="single" w:color="000000" w:sz="4" w:space="0"/>
              <w:right w:val="single" w:color="auto" w:sz="4" w:space="0"/>
            </w:tcBorders>
            <w:noWrap/>
            <w:tcMar>
              <w:top w:w="15" w:type="dxa"/>
              <w:left w:w="15" w:type="dxa"/>
              <w:bottom w:w="0" w:type="dxa"/>
              <w:right w:w="15" w:type="dxa"/>
            </w:tcMar>
            <w:vAlign w:val="center"/>
          </w:tcPr>
          <w:p>
            <w:pPr>
              <w:textAlignment w:val="center"/>
              <w:rPr>
                <w:rFonts w:ascii="仿宋_GB2312" w:hAnsi="宋体" w:eastAsia="仿宋_GB2312"/>
                <w:color w:val="000000"/>
                <w:sz w:val="24"/>
              </w:rPr>
            </w:pPr>
            <w:r>
              <w:rPr>
                <w:rFonts w:hint="eastAsia" w:ascii="仿宋_GB2312" w:hAnsi="宋体" w:eastAsia="仿宋_GB2312"/>
                <w:color w:val="000000"/>
                <w:kern w:val="0"/>
                <w:sz w:val="24"/>
              </w:rPr>
              <w:t>张波、刘</w:t>
            </w:r>
            <w:r>
              <w:rPr>
                <w:rFonts w:hint="eastAsia" w:ascii="宋体" w:hAnsi="宋体" w:cs="宋体"/>
                <w:color w:val="000000"/>
                <w:kern w:val="0"/>
                <w:sz w:val="24"/>
              </w:rPr>
              <w:t>骦</w:t>
            </w:r>
          </w:p>
        </w:tc>
        <w:tc>
          <w:tcPr>
            <w:tcW w:w="211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合格</w:t>
            </w:r>
          </w:p>
        </w:tc>
      </w:tr>
      <w:tr>
        <w:tblPrEx>
          <w:tblCellMar>
            <w:top w:w="0" w:type="dxa"/>
            <w:left w:w="0" w:type="dxa"/>
            <w:bottom w:w="0" w:type="dxa"/>
            <w:right w:w="0" w:type="dxa"/>
          </w:tblCellMar>
        </w:tblPrEx>
        <w:trPr>
          <w:trHeight w:val="460"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kern w:val="0"/>
                <w:sz w:val="24"/>
              </w:rPr>
              <w:t>3</w:t>
            </w:r>
          </w:p>
        </w:tc>
        <w:tc>
          <w:tcPr>
            <w:tcW w:w="3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pPr>
              <w:jc w:val="left"/>
              <w:textAlignment w:val="bottom"/>
              <w:rPr>
                <w:rFonts w:ascii="仿宋_GB2312" w:hAnsi="宋体" w:eastAsia="仿宋_GB2312"/>
                <w:color w:val="000000"/>
                <w:sz w:val="24"/>
              </w:rPr>
            </w:pPr>
            <w:r>
              <w:rPr>
                <w:rFonts w:hint="eastAsia" w:ascii="仿宋_GB2312" w:hAnsi="仿宋_GB2312" w:eastAsia="仿宋_GB2312" w:cs="仿宋_GB2312"/>
                <w:color w:val="000000"/>
                <w:kern w:val="0"/>
                <w:sz w:val="24"/>
              </w:rPr>
              <w:t>广元市朝天区李家镇小学</w:t>
            </w:r>
          </w:p>
        </w:tc>
        <w:tc>
          <w:tcPr>
            <w:tcW w:w="1304" w:type="dxa"/>
            <w:vMerge w:val="continue"/>
            <w:tcBorders>
              <w:top w:val="nil"/>
              <w:left w:val="nil"/>
              <w:bottom w:val="single" w:color="000000" w:sz="4" w:space="0"/>
              <w:right w:val="single" w:color="000000" w:sz="4" w:space="0"/>
            </w:tcBorders>
            <w:vAlign w:val="center"/>
          </w:tcPr>
          <w:p>
            <w:pPr>
              <w:jc w:val="left"/>
              <w:rPr>
                <w:rFonts w:ascii="仿宋_GB2312" w:hAnsi="宋体" w:eastAsia="仿宋_GB2312"/>
                <w:color w:val="000000"/>
                <w:sz w:val="24"/>
              </w:rPr>
            </w:pPr>
          </w:p>
        </w:tc>
        <w:tc>
          <w:tcPr>
            <w:tcW w:w="1420" w:type="dxa"/>
            <w:tcBorders>
              <w:top w:val="single" w:color="000000" w:sz="4" w:space="0"/>
              <w:left w:val="nil"/>
              <w:bottom w:val="single" w:color="000000" w:sz="4" w:space="0"/>
              <w:right w:val="single" w:color="auto" w:sz="4" w:space="0"/>
            </w:tcBorders>
            <w:noWrap/>
            <w:tcMar>
              <w:top w:w="15" w:type="dxa"/>
              <w:left w:w="15" w:type="dxa"/>
              <w:bottom w:w="0" w:type="dxa"/>
              <w:right w:w="15" w:type="dxa"/>
            </w:tcMar>
            <w:vAlign w:val="center"/>
          </w:tcPr>
          <w:p>
            <w:pPr>
              <w:textAlignment w:val="center"/>
              <w:rPr>
                <w:rFonts w:ascii="仿宋_GB2312" w:hAnsi="宋体" w:eastAsia="仿宋_GB2312"/>
                <w:color w:val="000000"/>
                <w:sz w:val="24"/>
              </w:rPr>
            </w:pPr>
            <w:r>
              <w:rPr>
                <w:rFonts w:hint="eastAsia" w:ascii="仿宋_GB2312" w:hAnsi="宋体" w:eastAsia="仿宋_GB2312"/>
                <w:color w:val="000000"/>
                <w:kern w:val="0"/>
                <w:sz w:val="24"/>
              </w:rPr>
              <w:t>张波、刘</w:t>
            </w:r>
            <w:r>
              <w:rPr>
                <w:rFonts w:hint="eastAsia" w:ascii="宋体" w:hAnsi="宋体" w:cs="宋体"/>
                <w:color w:val="000000"/>
                <w:kern w:val="0"/>
                <w:sz w:val="24"/>
              </w:rPr>
              <w:t>骦</w:t>
            </w:r>
          </w:p>
        </w:tc>
        <w:tc>
          <w:tcPr>
            <w:tcW w:w="211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合格</w:t>
            </w:r>
          </w:p>
        </w:tc>
      </w:tr>
      <w:tr>
        <w:tblPrEx>
          <w:tblCellMar>
            <w:top w:w="0" w:type="dxa"/>
            <w:left w:w="0" w:type="dxa"/>
            <w:bottom w:w="0" w:type="dxa"/>
            <w:right w:w="0" w:type="dxa"/>
          </w:tblCellMar>
        </w:tblPrEx>
        <w:trPr>
          <w:trHeight w:val="460"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kern w:val="0"/>
                <w:sz w:val="24"/>
              </w:rPr>
              <w:t>4</w:t>
            </w:r>
          </w:p>
        </w:tc>
        <w:tc>
          <w:tcPr>
            <w:tcW w:w="3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pPr>
              <w:jc w:val="left"/>
              <w:textAlignment w:val="bottom"/>
              <w:rPr>
                <w:rFonts w:ascii="仿宋_GB2312" w:hAnsi="宋体" w:eastAsia="仿宋_GB2312"/>
                <w:sz w:val="24"/>
              </w:rPr>
            </w:pPr>
            <w:r>
              <w:rPr>
                <w:rFonts w:hint="eastAsia" w:ascii="仿宋_GB2312" w:hAnsi="仿宋_GB2312" w:eastAsia="仿宋_GB2312" w:cs="仿宋_GB2312"/>
                <w:kern w:val="0"/>
                <w:sz w:val="24"/>
              </w:rPr>
              <w:t>广元市朝天区朝天镇锦屏村卫生站</w:t>
            </w:r>
          </w:p>
        </w:tc>
        <w:tc>
          <w:tcPr>
            <w:tcW w:w="1304" w:type="dxa"/>
            <w:vMerge w:val="restart"/>
            <w:tcBorders>
              <w:top w:val="nil"/>
              <w:left w:val="nil"/>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kern w:val="0"/>
                <w:sz w:val="24"/>
              </w:rPr>
              <w:t>医疗卫生</w:t>
            </w:r>
          </w:p>
        </w:tc>
        <w:tc>
          <w:tcPr>
            <w:tcW w:w="1420" w:type="dxa"/>
            <w:tcBorders>
              <w:top w:val="single" w:color="000000" w:sz="4" w:space="0"/>
              <w:left w:val="nil"/>
              <w:bottom w:val="single" w:color="000000" w:sz="4" w:space="0"/>
              <w:right w:val="single" w:color="auto" w:sz="4" w:space="0"/>
            </w:tcBorders>
            <w:noWrap/>
            <w:tcMar>
              <w:top w:w="15" w:type="dxa"/>
              <w:left w:w="15" w:type="dxa"/>
              <w:bottom w:w="0" w:type="dxa"/>
              <w:right w:w="15" w:type="dxa"/>
            </w:tcMar>
            <w:vAlign w:val="center"/>
          </w:tcPr>
          <w:p>
            <w:pPr>
              <w:textAlignment w:val="center"/>
              <w:rPr>
                <w:rFonts w:ascii="仿宋_GB2312" w:hAnsi="宋体" w:eastAsia="仿宋_GB2312"/>
                <w:color w:val="000000"/>
                <w:sz w:val="24"/>
              </w:rPr>
            </w:pPr>
            <w:r>
              <w:rPr>
                <w:rFonts w:hint="eastAsia" w:ascii="仿宋_GB2312" w:hAnsi="宋体" w:eastAsia="仿宋_GB2312"/>
                <w:color w:val="000000"/>
                <w:kern w:val="0"/>
                <w:sz w:val="24"/>
              </w:rPr>
              <w:t>杨其翰、张波</w:t>
            </w:r>
          </w:p>
        </w:tc>
        <w:tc>
          <w:tcPr>
            <w:tcW w:w="211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合格</w:t>
            </w:r>
          </w:p>
        </w:tc>
      </w:tr>
      <w:tr>
        <w:tblPrEx>
          <w:tblCellMar>
            <w:top w:w="0" w:type="dxa"/>
            <w:left w:w="0" w:type="dxa"/>
            <w:bottom w:w="0" w:type="dxa"/>
            <w:right w:w="0" w:type="dxa"/>
          </w:tblCellMar>
        </w:tblPrEx>
        <w:trPr>
          <w:trHeight w:val="460"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5</w:t>
            </w:r>
          </w:p>
        </w:tc>
        <w:tc>
          <w:tcPr>
            <w:tcW w:w="3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pPr>
              <w:jc w:val="left"/>
              <w:textAlignment w:val="bottom"/>
              <w:rPr>
                <w:rFonts w:ascii="仿宋_GB2312" w:hAnsi="宋体" w:eastAsia="仿宋_GB2312"/>
                <w:sz w:val="24"/>
              </w:rPr>
            </w:pPr>
            <w:r>
              <w:rPr>
                <w:rFonts w:hint="eastAsia" w:ascii="仿宋_GB2312" w:hAnsi="仿宋_GB2312" w:eastAsia="仿宋_GB2312" w:cs="仿宋_GB2312"/>
                <w:kern w:val="0"/>
                <w:sz w:val="24"/>
              </w:rPr>
              <w:t>广元市朝天区朝天镇青鹿村卫生站</w:t>
            </w:r>
          </w:p>
        </w:tc>
        <w:tc>
          <w:tcPr>
            <w:tcW w:w="1304" w:type="dxa"/>
            <w:vMerge w:val="continue"/>
            <w:tcBorders>
              <w:left w:val="nil"/>
              <w:right w:val="single" w:color="000000" w:sz="4" w:space="0"/>
            </w:tcBorders>
            <w:vAlign w:val="center"/>
          </w:tcPr>
          <w:p>
            <w:pPr>
              <w:jc w:val="left"/>
              <w:rPr>
                <w:rFonts w:ascii="仿宋_GB2312" w:hAnsi="宋体" w:eastAsia="仿宋_GB2312"/>
                <w:color w:val="000000"/>
                <w:sz w:val="24"/>
              </w:rPr>
            </w:pPr>
          </w:p>
        </w:tc>
        <w:tc>
          <w:tcPr>
            <w:tcW w:w="1420" w:type="dxa"/>
            <w:tcBorders>
              <w:top w:val="single" w:color="000000" w:sz="4" w:space="0"/>
              <w:left w:val="nil"/>
              <w:bottom w:val="single" w:color="000000" w:sz="4" w:space="0"/>
              <w:right w:val="single" w:color="auto" w:sz="4" w:space="0"/>
            </w:tcBorders>
            <w:noWrap/>
            <w:tcMar>
              <w:top w:w="15" w:type="dxa"/>
              <w:left w:w="15" w:type="dxa"/>
              <w:bottom w:w="0" w:type="dxa"/>
              <w:right w:w="15" w:type="dxa"/>
            </w:tcMar>
            <w:vAlign w:val="center"/>
          </w:tcPr>
          <w:p>
            <w:pPr>
              <w:textAlignment w:val="center"/>
              <w:rPr>
                <w:rFonts w:ascii="仿宋_GB2312" w:hAnsi="宋体" w:eastAsia="仿宋_GB2312"/>
                <w:color w:val="000000"/>
                <w:sz w:val="24"/>
              </w:rPr>
            </w:pPr>
            <w:r>
              <w:rPr>
                <w:rFonts w:hint="eastAsia" w:ascii="仿宋_GB2312" w:hAnsi="宋体" w:eastAsia="仿宋_GB2312"/>
                <w:color w:val="000000"/>
                <w:kern w:val="0"/>
                <w:sz w:val="24"/>
              </w:rPr>
              <w:t>张波、刘</w:t>
            </w:r>
            <w:r>
              <w:rPr>
                <w:rFonts w:hint="eastAsia" w:ascii="宋体" w:hAnsi="宋体" w:cs="宋体"/>
                <w:color w:val="000000"/>
                <w:kern w:val="0"/>
                <w:sz w:val="24"/>
              </w:rPr>
              <w:t>骦</w:t>
            </w:r>
          </w:p>
        </w:tc>
        <w:tc>
          <w:tcPr>
            <w:tcW w:w="211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合格</w:t>
            </w:r>
          </w:p>
        </w:tc>
      </w:tr>
      <w:tr>
        <w:tblPrEx>
          <w:tblCellMar>
            <w:top w:w="0" w:type="dxa"/>
            <w:left w:w="0" w:type="dxa"/>
            <w:bottom w:w="0" w:type="dxa"/>
            <w:right w:w="0" w:type="dxa"/>
          </w:tblCellMar>
        </w:tblPrEx>
        <w:trPr>
          <w:trHeight w:val="460"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6</w:t>
            </w:r>
          </w:p>
        </w:tc>
        <w:tc>
          <w:tcPr>
            <w:tcW w:w="3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pPr>
              <w:jc w:val="left"/>
              <w:textAlignment w:val="bottom"/>
              <w:rPr>
                <w:rFonts w:ascii="仿宋_GB2312" w:hAnsi="宋体" w:eastAsia="仿宋_GB2312"/>
                <w:sz w:val="24"/>
              </w:rPr>
            </w:pPr>
            <w:r>
              <w:rPr>
                <w:rFonts w:hint="eastAsia" w:ascii="仿宋_GB2312" w:hAnsi="仿宋_GB2312" w:eastAsia="仿宋_GB2312" w:cs="仿宋_GB2312"/>
                <w:kern w:val="0"/>
                <w:sz w:val="24"/>
              </w:rPr>
              <w:t>广元市朝天区朝天镇双河村卫生站</w:t>
            </w:r>
          </w:p>
        </w:tc>
        <w:tc>
          <w:tcPr>
            <w:tcW w:w="1304" w:type="dxa"/>
            <w:vMerge w:val="continue"/>
            <w:tcBorders>
              <w:left w:val="nil"/>
              <w:right w:val="single" w:color="000000" w:sz="4" w:space="0"/>
            </w:tcBorders>
            <w:vAlign w:val="center"/>
          </w:tcPr>
          <w:p>
            <w:pPr>
              <w:jc w:val="left"/>
              <w:rPr>
                <w:rFonts w:ascii="仿宋_GB2312" w:hAnsi="宋体" w:eastAsia="仿宋_GB2312"/>
                <w:color w:val="000000"/>
                <w:sz w:val="24"/>
              </w:rPr>
            </w:pPr>
          </w:p>
        </w:tc>
        <w:tc>
          <w:tcPr>
            <w:tcW w:w="1420" w:type="dxa"/>
            <w:tcBorders>
              <w:top w:val="single" w:color="000000" w:sz="4" w:space="0"/>
              <w:left w:val="nil"/>
              <w:bottom w:val="single" w:color="000000" w:sz="4" w:space="0"/>
              <w:right w:val="single" w:color="auto" w:sz="4" w:space="0"/>
            </w:tcBorders>
            <w:noWrap/>
            <w:tcMar>
              <w:top w:w="15" w:type="dxa"/>
              <w:left w:w="15" w:type="dxa"/>
              <w:bottom w:w="0" w:type="dxa"/>
              <w:right w:w="15" w:type="dxa"/>
            </w:tcMar>
            <w:vAlign w:val="center"/>
          </w:tcPr>
          <w:p>
            <w:pPr>
              <w:textAlignment w:val="center"/>
              <w:rPr>
                <w:rFonts w:ascii="仿宋_GB2312" w:hAnsi="宋体" w:eastAsia="仿宋_GB2312"/>
                <w:color w:val="000000"/>
                <w:sz w:val="24"/>
              </w:rPr>
            </w:pPr>
            <w:r>
              <w:rPr>
                <w:rFonts w:hint="eastAsia" w:ascii="仿宋_GB2312" w:hAnsi="宋体" w:eastAsia="仿宋_GB2312"/>
                <w:color w:val="000000"/>
                <w:kern w:val="0"/>
                <w:sz w:val="24"/>
              </w:rPr>
              <w:t>杨其翰、刘</w:t>
            </w:r>
            <w:r>
              <w:rPr>
                <w:rFonts w:hint="eastAsia" w:ascii="宋体" w:hAnsi="宋体" w:cs="宋体"/>
                <w:color w:val="000000"/>
                <w:kern w:val="0"/>
                <w:sz w:val="24"/>
              </w:rPr>
              <w:t>骦</w:t>
            </w:r>
          </w:p>
        </w:tc>
        <w:tc>
          <w:tcPr>
            <w:tcW w:w="211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合格</w:t>
            </w:r>
          </w:p>
        </w:tc>
      </w:tr>
      <w:tr>
        <w:tblPrEx>
          <w:tblCellMar>
            <w:top w:w="0" w:type="dxa"/>
            <w:left w:w="0" w:type="dxa"/>
            <w:bottom w:w="0" w:type="dxa"/>
            <w:right w:w="0" w:type="dxa"/>
          </w:tblCellMar>
        </w:tblPrEx>
        <w:trPr>
          <w:trHeight w:val="561"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kern w:val="0"/>
                <w:sz w:val="24"/>
              </w:rPr>
            </w:pPr>
            <w:r>
              <w:rPr>
                <w:rFonts w:hint="eastAsia" w:ascii="仿宋_GB2312" w:hAnsi="宋体" w:eastAsia="仿宋_GB2312"/>
                <w:color w:val="000000"/>
                <w:kern w:val="0"/>
                <w:sz w:val="24"/>
              </w:rPr>
              <w:t>7</w:t>
            </w:r>
          </w:p>
        </w:tc>
        <w:tc>
          <w:tcPr>
            <w:tcW w:w="3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pPr>
              <w:jc w:val="left"/>
              <w:textAlignment w:val="bottom"/>
              <w:rPr>
                <w:rFonts w:ascii="仿宋_GB2312" w:hAnsi="仿宋_GB2312" w:eastAsia="仿宋_GB2312" w:cs="仿宋_GB2312"/>
                <w:kern w:val="0"/>
                <w:sz w:val="24"/>
              </w:rPr>
            </w:pPr>
            <w:r>
              <w:rPr>
                <w:rFonts w:hint="eastAsia" w:ascii="仿宋_GB2312" w:hAnsi="仿宋_GB2312" w:eastAsia="仿宋_GB2312" w:cs="仿宋_GB2312"/>
                <w:kern w:val="0"/>
                <w:sz w:val="24"/>
              </w:rPr>
              <w:t>广元市朝天区李家镇张家坝村卫生站</w:t>
            </w:r>
          </w:p>
        </w:tc>
        <w:tc>
          <w:tcPr>
            <w:tcW w:w="1304" w:type="dxa"/>
            <w:vMerge w:val="continue"/>
            <w:tcBorders>
              <w:left w:val="nil"/>
              <w:right w:val="single" w:color="000000" w:sz="4" w:space="0"/>
            </w:tcBorders>
            <w:vAlign w:val="center"/>
          </w:tcPr>
          <w:p>
            <w:pPr>
              <w:jc w:val="left"/>
              <w:rPr>
                <w:rFonts w:ascii="仿宋_GB2312" w:hAnsi="宋体" w:eastAsia="仿宋_GB2312"/>
                <w:color w:val="000000"/>
                <w:sz w:val="24"/>
              </w:rPr>
            </w:pPr>
          </w:p>
        </w:tc>
        <w:tc>
          <w:tcPr>
            <w:tcW w:w="1420" w:type="dxa"/>
            <w:tcBorders>
              <w:top w:val="single" w:color="000000" w:sz="4" w:space="0"/>
              <w:left w:val="nil"/>
              <w:bottom w:val="single" w:color="000000" w:sz="4" w:space="0"/>
              <w:right w:val="single" w:color="auto" w:sz="4" w:space="0"/>
            </w:tcBorders>
            <w:noWrap/>
            <w:tcMar>
              <w:top w:w="15" w:type="dxa"/>
              <w:left w:w="15" w:type="dxa"/>
              <w:bottom w:w="0" w:type="dxa"/>
              <w:right w:w="15" w:type="dxa"/>
            </w:tcMar>
            <w:vAlign w:val="center"/>
          </w:tcPr>
          <w:p>
            <w:pPr>
              <w:textAlignment w:val="center"/>
              <w:rPr>
                <w:rFonts w:ascii="仿宋_GB2312" w:hAnsi="宋体" w:eastAsia="仿宋_GB2312"/>
                <w:color w:val="000000"/>
                <w:kern w:val="0"/>
                <w:sz w:val="24"/>
              </w:rPr>
            </w:pPr>
            <w:r>
              <w:rPr>
                <w:rFonts w:hint="eastAsia" w:ascii="仿宋_GB2312" w:hAnsi="宋体" w:eastAsia="仿宋_GB2312"/>
                <w:color w:val="000000"/>
                <w:kern w:val="0"/>
                <w:sz w:val="24"/>
              </w:rPr>
              <w:t>张波、刘</w:t>
            </w:r>
            <w:r>
              <w:rPr>
                <w:rFonts w:hint="eastAsia" w:ascii="宋体" w:hAnsi="宋体" w:cs="宋体"/>
                <w:color w:val="000000"/>
                <w:kern w:val="0"/>
                <w:sz w:val="24"/>
              </w:rPr>
              <w:t>骦</w:t>
            </w:r>
          </w:p>
        </w:tc>
        <w:tc>
          <w:tcPr>
            <w:tcW w:w="211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合格</w:t>
            </w:r>
          </w:p>
        </w:tc>
      </w:tr>
      <w:tr>
        <w:tblPrEx>
          <w:tblCellMar>
            <w:top w:w="0" w:type="dxa"/>
            <w:left w:w="0" w:type="dxa"/>
            <w:bottom w:w="0" w:type="dxa"/>
            <w:right w:w="0" w:type="dxa"/>
          </w:tblCellMar>
        </w:tblPrEx>
        <w:trPr>
          <w:trHeight w:val="460"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kern w:val="0"/>
                <w:sz w:val="24"/>
              </w:rPr>
            </w:pPr>
            <w:r>
              <w:rPr>
                <w:rFonts w:hint="eastAsia" w:ascii="仿宋_GB2312" w:hAnsi="宋体" w:eastAsia="仿宋_GB2312"/>
                <w:color w:val="000000"/>
                <w:kern w:val="0"/>
                <w:sz w:val="24"/>
              </w:rPr>
              <w:t>8</w:t>
            </w:r>
          </w:p>
        </w:tc>
        <w:tc>
          <w:tcPr>
            <w:tcW w:w="3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pPr>
              <w:jc w:val="left"/>
              <w:textAlignment w:val="bottom"/>
              <w:rPr>
                <w:rFonts w:ascii="仿宋_GB2312" w:hAnsi="仿宋_GB2312" w:eastAsia="仿宋_GB2312" w:cs="仿宋_GB2312"/>
                <w:color w:val="0000FF"/>
                <w:kern w:val="0"/>
                <w:sz w:val="24"/>
              </w:rPr>
            </w:pPr>
            <w:r>
              <w:rPr>
                <w:rFonts w:hint="eastAsia" w:ascii="仿宋_GB2312" w:hAnsi="仿宋_GB2312" w:eastAsia="仿宋_GB2312" w:cs="仿宋_GB2312"/>
                <w:color w:val="000000"/>
                <w:kern w:val="0"/>
                <w:sz w:val="24"/>
              </w:rPr>
              <w:t>广元市朝天区中子镇中心卫生院</w:t>
            </w:r>
          </w:p>
        </w:tc>
        <w:tc>
          <w:tcPr>
            <w:tcW w:w="1304" w:type="dxa"/>
            <w:vMerge w:val="continue"/>
            <w:tcBorders>
              <w:left w:val="nil"/>
              <w:bottom w:val="single" w:color="000000" w:sz="4" w:space="0"/>
              <w:right w:val="single" w:color="000000" w:sz="4" w:space="0"/>
            </w:tcBorders>
            <w:vAlign w:val="center"/>
          </w:tcPr>
          <w:p>
            <w:pPr>
              <w:jc w:val="left"/>
              <w:rPr>
                <w:rFonts w:ascii="仿宋_GB2312" w:hAnsi="宋体" w:eastAsia="仿宋_GB2312"/>
                <w:color w:val="000000"/>
                <w:sz w:val="24"/>
              </w:rPr>
            </w:pPr>
          </w:p>
        </w:tc>
        <w:tc>
          <w:tcPr>
            <w:tcW w:w="1420" w:type="dxa"/>
            <w:tcBorders>
              <w:top w:val="single" w:color="000000" w:sz="4" w:space="0"/>
              <w:left w:val="nil"/>
              <w:bottom w:val="single" w:color="000000" w:sz="4" w:space="0"/>
              <w:right w:val="single" w:color="auto" w:sz="4" w:space="0"/>
            </w:tcBorders>
            <w:noWrap/>
            <w:tcMar>
              <w:top w:w="15" w:type="dxa"/>
              <w:left w:w="15" w:type="dxa"/>
              <w:bottom w:w="0" w:type="dxa"/>
              <w:right w:w="15" w:type="dxa"/>
            </w:tcMar>
            <w:vAlign w:val="center"/>
          </w:tcPr>
          <w:p>
            <w:pPr>
              <w:textAlignment w:val="center"/>
              <w:rPr>
                <w:rFonts w:ascii="仿宋_GB2312" w:hAnsi="宋体" w:eastAsia="仿宋_GB2312"/>
                <w:color w:val="000000"/>
                <w:kern w:val="0"/>
                <w:sz w:val="24"/>
              </w:rPr>
            </w:pPr>
            <w:r>
              <w:rPr>
                <w:rFonts w:hint="eastAsia" w:ascii="仿宋_GB2312" w:hAnsi="宋体" w:eastAsia="仿宋_GB2312"/>
                <w:color w:val="000000"/>
                <w:kern w:val="0"/>
                <w:sz w:val="24"/>
              </w:rPr>
              <w:t>杨其翰、张波</w:t>
            </w:r>
          </w:p>
        </w:tc>
        <w:tc>
          <w:tcPr>
            <w:tcW w:w="211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合格</w:t>
            </w:r>
          </w:p>
        </w:tc>
      </w:tr>
      <w:tr>
        <w:tblPrEx>
          <w:tblCellMar>
            <w:top w:w="0" w:type="dxa"/>
            <w:left w:w="0" w:type="dxa"/>
            <w:bottom w:w="0" w:type="dxa"/>
            <w:right w:w="0" w:type="dxa"/>
          </w:tblCellMar>
        </w:tblPrEx>
        <w:trPr>
          <w:trHeight w:val="460"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9</w:t>
            </w:r>
          </w:p>
        </w:tc>
        <w:tc>
          <w:tcPr>
            <w:tcW w:w="3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left"/>
              <w:textAlignment w:val="center"/>
              <w:rPr>
                <w:rFonts w:ascii="仿宋_GB2312" w:hAnsi="宋体" w:eastAsia="仿宋_GB2312"/>
                <w:color w:val="000000"/>
                <w:sz w:val="24"/>
              </w:rPr>
            </w:pPr>
            <w:r>
              <w:rPr>
                <w:rFonts w:hint="eastAsia" w:ascii="仿宋_GB2312" w:hAnsi="仿宋_GB2312" w:eastAsia="仿宋_GB2312" w:cs="仿宋_GB2312"/>
                <w:color w:val="000000"/>
                <w:kern w:val="0"/>
                <w:sz w:val="24"/>
              </w:rPr>
              <w:t>罗超中医诊所</w:t>
            </w:r>
          </w:p>
        </w:tc>
        <w:tc>
          <w:tcPr>
            <w:tcW w:w="1304"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kern w:val="0"/>
                <w:sz w:val="24"/>
              </w:rPr>
              <w:t>传染病卫生</w:t>
            </w:r>
          </w:p>
        </w:tc>
        <w:tc>
          <w:tcPr>
            <w:tcW w:w="1420" w:type="dxa"/>
            <w:tcBorders>
              <w:top w:val="single" w:color="000000" w:sz="4" w:space="0"/>
              <w:left w:val="nil"/>
              <w:bottom w:val="single" w:color="000000" w:sz="4" w:space="0"/>
              <w:right w:val="single" w:color="auto" w:sz="4" w:space="0"/>
            </w:tcBorders>
            <w:noWrap/>
            <w:tcMar>
              <w:top w:w="15" w:type="dxa"/>
              <w:left w:w="15" w:type="dxa"/>
              <w:bottom w:w="0" w:type="dxa"/>
              <w:right w:w="15" w:type="dxa"/>
            </w:tcMar>
            <w:vAlign w:val="center"/>
          </w:tcPr>
          <w:p>
            <w:pPr>
              <w:textAlignment w:val="center"/>
              <w:rPr>
                <w:rFonts w:ascii="仿宋_GB2312" w:hAnsi="宋体" w:eastAsia="仿宋_GB2312"/>
                <w:color w:val="000000"/>
                <w:sz w:val="24"/>
              </w:rPr>
            </w:pPr>
            <w:r>
              <w:rPr>
                <w:rFonts w:hint="eastAsia" w:ascii="仿宋_GB2312" w:hAnsi="宋体" w:eastAsia="仿宋_GB2312"/>
                <w:color w:val="000000"/>
                <w:kern w:val="0"/>
                <w:sz w:val="24"/>
              </w:rPr>
              <w:t>杨其翰、刘</w:t>
            </w:r>
            <w:r>
              <w:rPr>
                <w:rFonts w:hint="eastAsia" w:ascii="宋体" w:hAnsi="宋体" w:cs="宋体"/>
                <w:color w:val="000000"/>
                <w:kern w:val="0"/>
                <w:sz w:val="24"/>
              </w:rPr>
              <w:t>骦</w:t>
            </w:r>
          </w:p>
        </w:tc>
        <w:tc>
          <w:tcPr>
            <w:tcW w:w="211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合格</w:t>
            </w:r>
          </w:p>
        </w:tc>
      </w:tr>
      <w:tr>
        <w:tblPrEx>
          <w:tblCellMar>
            <w:top w:w="0" w:type="dxa"/>
            <w:left w:w="0" w:type="dxa"/>
            <w:bottom w:w="0" w:type="dxa"/>
            <w:right w:w="0" w:type="dxa"/>
          </w:tblCellMar>
        </w:tblPrEx>
        <w:trPr>
          <w:trHeight w:val="460"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kern w:val="0"/>
                <w:sz w:val="24"/>
              </w:rPr>
              <w:t>10</w:t>
            </w:r>
          </w:p>
        </w:tc>
        <w:tc>
          <w:tcPr>
            <w:tcW w:w="3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left"/>
              <w:textAlignment w:val="center"/>
              <w:rPr>
                <w:rFonts w:ascii="仿宋_GB2312" w:hAnsi="宋体" w:eastAsia="仿宋_GB2312"/>
                <w:color w:val="000000"/>
                <w:sz w:val="24"/>
              </w:rPr>
            </w:pPr>
            <w:r>
              <w:rPr>
                <w:rFonts w:hint="eastAsia" w:ascii="仿宋_GB2312" w:hAnsi="仿宋_GB2312" w:eastAsia="仿宋_GB2312" w:cs="仿宋_GB2312"/>
                <w:color w:val="000000"/>
                <w:kern w:val="0"/>
                <w:sz w:val="24"/>
              </w:rPr>
              <w:t>张学模中医诊所</w:t>
            </w:r>
          </w:p>
        </w:tc>
        <w:tc>
          <w:tcPr>
            <w:tcW w:w="1304" w:type="dxa"/>
            <w:vMerge w:val="continue"/>
            <w:tcBorders>
              <w:top w:val="nil"/>
              <w:left w:val="nil"/>
              <w:bottom w:val="single" w:color="000000" w:sz="4" w:space="0"/>
              <w:right w:val="single" w:color="000000" w:sz="4" w:space="0"/>
            </w:tcBorders>
            <w:vAlign w:val="center"/>
          </w:tcPr>
          <w:p>
            <w:pPr>
              <w:jc w:val="left"/>
              <w:rPr>
                <w:rFonts w:ascii="仿宋_GB2312" w:hAnsi="宋体" w:eastAsia="仿宋_GB2312"/>
                <w:color w:val="000000"/>
                <w:sz w:val="24"/>
              </w:rPr>
            </w:pPr>
          </w:p>
        </w:tc>
        <w:tc>
          <w:tcPr>
            <w:tcW w:w="1420" w:type="dxa"/>
            <w:tcBorders>
              <w:top w:val="single" w:color="000000" w:sz="4" w:space="0"/>
              <w:left w:val="nil"/>
              <w:bottom w:val="single" w:color="000000" w:sz="4" w:space="0"/>
              <w:right w:val="single" w:color="auto" w:sz="4" w:space="0"/>
            </w:tcBorders>
            <w:noWrap/>
            <w:tcMar>
              <w:top w:w="15" w:type="dxa"/>
              <w:left w:w="15" w:type="dxa"/>
              <w:bottom w:w="0" w:type="dxa"/>
              <w:right w:w="15" w:type="dxa"/>
            </w:tcMar>
            <w:vAlign w:val="center"/>
          </w:tcPr>
          <w:p>
            <w:pPr>
              <w:textAlignment w:val="center"/>
              <w:rPr>
                <w:rFonts w:ascii="仿宋_GB2312" w:hAnsi="宋体" w:eastAsia="仿宋_GB2312"/>
                <w:color w:val="000000"/>
                <w:sz w:val="24"/>
              </w:rPr>
            </w:pPr>
            <w:r>
              <w:rPr>
                <w:rFonts w:hint="eastAsia" w:ascii="仿宋_GB2312" w:hAnsi="宋体" w:eastAsia="仿宋_GB2312"/>
                <w:color w:val="000000"/>
                <w:kern w:val="0"/>
                <w:sz w:val="24"/>
              </w:rPr>
              <w:t>张波、刘</w:t>
            </w:r>
            <w:r>
              <w:rPr>
                <w:rFonts w:hint="eastAsia" w:ascii="宋体" w:hAnsi="宋体" w:cs="宋体"/>
                <w:color w:val="000000"/>
                <w:kern w:val="0"/>
                <w:sz w:val="24"/>
              </w:rPr>
              <w:t>骦</w:t>
            </w:r>
          </w:p>
        </w:tc>
        <w:tc>
          <w:tcPr>
            <w:tcW w:w="211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合格</w:t>
            </w:r>
          </w:p>
        </w:tc>
      </w:tr>
      <w:tr>
        <w:tblPrEx>
          <w:tblCellMar>
            <w:top w:w="0" w:type="dxa"/>
            <w:left w:w="0" w:type="dxa"/>
            <w:bottom w:w="0" w:type="dxa"/>
            <w:right w:w="0" w:type="dxa"/>
          </w:tblCellMar>
        </w:tblPrEx>
        <w:trPr>
          <w:trHeight w:val="460"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kern w:val="0"/>
                <w:sz w:val="24"/>
              </w:rPr>
              <w:t>11</w:t>
            </w:r>
          </w:p>
        </w:tc>
        <w:tc>
          <w:tcPr>
            <w:tcW w:w="3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textAlignment w:val="center"/>
              <w:rPr>
                <w:rFonts w:ascii="仿宋_GB2312" w:hAnsi="宋体" w:eastAsia="仿宋_GB2312"/>
                <w:color w:val="000000"/>
                <w:sz w:val="24"/>
              </w:rPr>
            </w:pPr>
            <w:r>
              <w:rPr>
                <w:rFonts w:hint="eastAsia" w:ascii="仿宋_GB2312" w:hAnsi="仿宋_GB2312" w:eastAsia="仿宋_GB2312" w:cs="仿宋_GB2312"/>
                <w:color w:val="000000"/>
                <w:kern w:val="0"/>
                <w:sz w:val="24"/>
              </w:rPr>
              <w:t>乔发伟中医诊所</w:t>
            </w:r>
          </w:p>
        </w:tc>
        <w:tc>
          <w:tcPr>
            <w:tcW w:w="1304" w:type="dxa"/>
            <w:vMerge w:val="continue"/>
            <w:tcBorders>
              <w:top w:val="nil"/>
              <w:left w:val="nil"/>
              <w:bottom w:val="nil"/>
              <w:right w:val="single" w:color="000000" w:sz="4" w:space="0"/>
            </w:tcBorders>
            <w:vAlign w:val="center"/>
          </w:tcPr>
          <w:p>
            <w:pPr>
              <w:jc w:val="left"/>
              <w:rPr>
                <w:rFonts w:ascii="仿宋_GB2312" w:hAnsi="宋体" w:eastAsia="仿宋_GB2312"/>
                <w:color w:val="000000"/>
                <w:sz w:val="24"/>
              </w:rPr>
            </w:pPr>
          </w:p>
        </w:tc>
        <w:tc>
          <w:tcPr>
            <w:tcW w:w="1420" w:type="dxa"/>
            <w:tcBorders>
              <w:top w:val="single" w:color="000000" w:sz="4" w:space="0"/>
              <w:left w:val="nil"/>
              <w:bottom w:val="single" w:color="000000" w:sz="4" w:space="0"/>
              <w:right w:val="single" w:color="auto" w:sz="4" w:space="0"/>
            </w:tcBorders>
            <w:noWrap/>
            <w:tcMar>
              <w:top w:w="15" w:type="dxa"/>
              <w:left w:w="15" w:type="dxa"/>
              <w:bottom w:w="0" w:type="dxa"/>
              <w:right w:w="15" w:type="dxa"/>
            </w:tcMar>
            <w:vAlign w:val="center"/>
          </w:tcPr>
          <w:p>
            <w:pPr>
              <w:textAlignment w:val="center"/>
              <w:rPr>
                <w:rFonts w:ascii="仿宋_GB2312" w:hAnsi="宋体" w:eastAsia="仿宋_GB2312"/>
                <w:color w:val="000000"/>
                <w:sz w:val="24"/>
              </w:rPr>
            </w:pPr>
            <w:r>
              <w:rPr>
                <w:rFonts w:hint="eastAsia" w:ascii="仿宋_GB2312" w:hAnsi="宋体" w:eastAsia="仿宋_GB2312"/>
                <w:color w:val="000000"/>
                <w:kern w:val="0"/>
                <w:sz w:val="24"/>
              </w:rPr>
              <w:t>张波、刘</w:t>
            </w:r>
            <w:r>
              <w:rPr>
                <w:rFonts w:hint="eastAsia" w:ascii="宋体" w:hAnsi="宋体" w:cs="宋体"/>
                <w:color w:val="000000"/>
                <w:kern w:val="0"/>
                <w:sz w:val="24"/>
              </w:rPr>
              <w:t>骦</w:t>
            </w:r>
          </w:p>
        </w:tc>
        <w:tc>
          <w:tcPr>
            <w:tcW w:w="211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合格</w:t>
            </w:r>
          </w:p>
        </w:tc>
      </w:tr>
      <w:tr>
        <w:tblPrEx>
          <w:tblCellMar>
            <w:top w:w="0" w:type="dxa"/>
            <w:left w:w="0" w:type="dxa"/>
            <w:bottom w:w="0" w:type="dxa"/>
            <w:right w:w="0" w:type="dxa"/>
          </w:tblCellMar>
        </w:tblPrEx>
        <w:trPr>
          <w:trHeight w:val="460"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kern w:val="0"/>
                <w:sz w:val="24"/>
              </w:rPr>
            </w:pPr>
            <w:r>
              <w:rPr>
                <w:rFonts w:hint="eastAsia" w:ascii="仿宋_GB2312" w:hAnsi="宋体" w:eastAsia="仿宋_GB2312"/>
                <w:color w:val="000000"/>
                <w:kern w:val="0"/>
                <w:sz w:val="24"/>
              </w:rPr>
              <w:t>12</w:t>
            </w:r>
          </w:p>
        </w:tc>
        <w:tc>
          <w:tcPr>
            <w:tcW w:w="3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textAlignment w:val="center"/>
              <w:rPr>
                <w:rFonts w:ascii="仿宋_GB2312" w:hAnsi="宋体" w:eastAsia="仿宋_GB2312"/>
                <w:color w:val="000000"/>
                <w:kern w:val="0"/>
                <w:sz w:val="24"/>
              </w:rPr>
            </w:pPr>
            <w:r>
              <w:rPr>
                <w:rFonts w:hint="eastAsia" w:ascii="仿宋_GB2312" w:hAnsi="仿宋_GB2312" w:eastAsia="仿宋_GB2312" w:cs="仿宋_GB2312"/>
                <w:color w:val="000000"/>
                <w:kern w:val="0"/>
                <w:sz w:val="24"/>
              </w:rPr>
              <w:t>缘景酒店</w:t>
            </w:r>
          </w:p>
        </w:tc>
        <w:tc>
          <w:tcPr>
            <w:tcW w:w="1304" w:type="dxa"/>
            <w:vMerge w:val="restart"/>
            <w:tcBorders>
              <w:top w:val="nil"/>
              <w:left w:val="nil"/>
              <w:right w:val="single" w:color="000000" w:sz="4" w:space="0"/>
            </w:tcBorders>
            <w:vAlign w:val="center"/>
          </w:tcPr>
          <w:p>
            <w:pPr>
              <w:jc w:val="left"/>
              <w:rPr>
                <w:rFonts w:ascii="仿宋_GB2312" w:hAnsi="宋体" w:eastAsia="仿宋_GB2312"/>
                <w:color w:val="000000"/>
                <w:sz w:val="24"/>
              </w:rPr>
            </w:pPr>
            <w:r>
              <w:rPr>
                <w:rFonts w:hint="eastAsia" w:ascii="仿宋_GB2312" w:hAnsi="宋体" w:eastAsia="仿宋_GB2312"/>
                <w:color w:val="000000"/>
                <w:sz w:val="24"/>
              </w:rPr>
              <w:t>公共场所</w:t>
            </w:r>
          </w:p>
        </w:tc>
        <w:tc>
          <w:tcPr>
            <w:tcW w:w="1420" w:type="dxa"/>
            <w:tcBorders>
              <w:top w:val="single" w:color="000000" w:sz="4" w:space="0"/>
              <w:left w:val="nil"/>
              <w:bottom w:val="single" w:color="000000" w:sz="4" w:space="0"/>
              <w:right w:val="single" w:color="auto" w:sz="4" w:space="0"/>
            </w:tcBorders>
            <w:noWrap/>
            <w:tcMar>
              <w:top w:w="15" w:type="dxa"/>
              <w:left w:w="15" w:type="dxa"/>
              <w:bottom w:w="0" w:type="dxa"/>
              <w:right w:w="15" w:type="dxa"/>
            </w:tcMar>
            <w:vAlign w:val="center"/>
          </w:tcPr>
          <w:p>
            <w:pPr>
              <w:textAlignment w:val="center"/>
              <w:rPr>
                <w:rFonts w:ascii="仿宋_GB2312" w:hAnsi="宋体" w:eastAsia="仿宋_GB2312"/>
                <w:color w:val="000000"/>
                <w:kern w:val="0"/>
                <w:sz w:val="24"/>
              </w:rPr>
            </w:pPr>
            <w:r>
              <w:rPr>
                <w:rFonts w:hint="eastAsia" w:ascii="仿宋_GB2312" w:hAnsi="宋体" w:eastAsia="仿宋_GB2312"/>
                <w:color w:val="000000"/>
                <w:kern w:val="0"/>
                <w:sz w:val="24"/>
              </w:rPr>
              <w:t>杨其翰、张波</w:t>
            </w:r>
          </w:p>
        </w:tc>
        <w:tc>
          <w:tcPr>
            <w:tcW w:w="211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合格</w:t>
            </w:r>
          </w:p>
        </w:tc>
      </w:tr>
      <w:tr>
        <w:tblPrEx>
          <w:tblCellMar>
            <w:top w:w="0" w:type="dxa"/>
            <w:left w:w="0" w:type="dxa"/>
            <w:bottom w:w="0" w:type="dxa"/>
            <w:right w:w="0" w:type="dxa"/>
          </w:tblCellMar>
        </w:tblPrEx>
        <w:trPr>
          <w:trHeight w:val="460"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kern w:val="0"/>
                <w:sz w:val="24"/>
              </w:rPr>
            </w:pPr>
            <w:r>
              <w:rPr>
                <w:rFonts w:hint="eastAsia" w:ascii="仿宋_GB2312" w:hAnsi="宋体" w:eastAsia="仿宋_GB2312"/>
                <w:color w:val="000000"/>
                <w:kern w:val="0"/>
                <w:sz w:val="24"/>
              </w:rPr>
              <w:t>13</w:t>
            </w:r>
          </w:p>
        </w:tc>
        <w:tc>
          <w:tcPr>
            <w:tcW w:w="3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textAlignment w:val="center"/>
              <w:rPr>
                <w:rFonts w:ascii="仿宋_GB2312" w:hAnsi="宋体" w:eastAsia="仿宋_GB2312"/>
                <w:color w:val="000000"/>
                <w:kern w:val="0"/>
                <w:sz w:val="24"/>
              </w:rPr>
            </w:pPr>
            <w:r>
              <w:rPr>
                <w:rFonts w:hint="eastAsia" w:ascii="仿宋_GB2312" w:hAnsi="仿宋_GB2312" w:eastAsia="仿宋_GB2312" w:cs="仿宋_GB2312"/>
                <w:color w:val="000000"/>
                <w:kern w:val="0"/>
                <w:sz w:val="24"/>
              </w:rPr>
              <w:t>朝天区朝天镇足浴地带</w:t>
            </w:r>
          </w:p>
        </w:tc>
        <w:tc>
          <w:tcPr>
            <w:tcW w:w="1304" w:type="dxa"/>
            <w:vMerge w:val="continue"/>
            <w:tcBorders>
              <w:left w:val="nil"/>
              <w:right w:val="single" w:color="000000" w:sz="4" w:space="0"/>
            </w:tcBorders>
            <w:vAlign w:val="center"/>
          </w:tcPr>
          <w:p>
            <w:pPr>
              <w:jc w:val="left"/>
              <w:rPr>
                <w:rFonts w:ascii="仿宋_GB2312" w:hAnsi="宋体" w:eastAsia="仿宋_GB2312"/>
                <w:color w:val="000000"/>
                <w:sz w:val="24"/>
              </w:rPr>
            </w:pPr>
          </w:p>
        </w:tc>
        <w:tc>
          <w:tcPr>
            <w:tcW w:w="1420" w:type="dxa"/>
            <w:tcBorders>
              <w:top w:val="single" w:color="000000" w:sz="4" w:space="0"/>
              <w:left w:val="nil"/>
              <w:bottom w:val="single" w:color="000000" w:sz="4" w:space="0"/>
              <w:right w:val="single" w:color="auto" w:sz="4" w:space="0"/>
            </w:tcBorders>
            <w:noWrap/>
            <w:tcMar>
              <w:top w:w="15" w:type="dxa"/>
              <w:left w:w="15" w:type="dxa"/>
              <w:bottom w:w="0" w:type="dxa"/>
              <w:right w:w="15" w:type="dxa"/>
            </w:tcMar>
            <w:vAlign w:val="center"/>
          </w:tcPr>
          <w:p>
            <w:pPr>
              <w:textAlignment w:val="center"/>
              <w:rPr>
                <w:rFonts w:ascii="仿宋_GB2312" w:hAnsi="宋体" w:eastAsia="仿宋_GB2312"/>
                <w:color w:val="000000"/>
                <w:kern w:val="0"/>
                <w:sz w:val="24"/>
              </w:rPr>
            </w:pPr>
            <w:r>
              <w:rPr>
                <w:rFonts w:hint="eastAsia" w:ascii="仿宋_GB2312" w:hAnsi="宋体" w:eastAsia="仿宋_GB2312"/>
                <w:color w:val="000000"/>
                <w:kern w:val="0"/>
                <w:sz w:val="24"/>
              </w:rPr>
              <w:t>张波、刘</w:t>
            </w:r>
            <w:r>
              <w:rPr>
                <w:rFonts w:hint="eastAsia" w:ascii="宋体" w:hAnsi="宋体" w:cs="宋体"/>
                <w:color w:val="000000"/>
                <w:kern w:val="0"/>
                <w:sz w:val="24"/>
              </w:rPr>
              <w:t>骦</w:t>
            </w:r>
          </w:p>
        </w:tc>
        <w:tc>
          <w:tcPr>
            <w:tcW w:w="211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合格</w:t>
            </w:r>
          </w:p>
        </w:tc>
      </w:tr>
      <w:tr>
        <w:tblPrEx>
          <w:tblCellMar>
            <w:top w:w="0" w:type="dxa"/>
            <w:left w:w="0" w:type="dxa"/>
            <w:bottom w:w="0" w:type="dxa"/>
            <w:right w:w="0" w:type="dxa"/>
          </w:tblCellMar>
        </w:tblPrEx>
        <w:trPr>
          <w:trHeight w:val="460"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kern w:val="0"/>
                <w:sz w:val="24"/>
              </w:rPr>
            </w:pPr>
            <w:r>
              <w:rPr>
                <w:rFonts w:hint="eastAsia" w:ascii="仿宋_GB2312" w:hAnsi="宋体" w:eastAsia="仿宋_GB2312"/>
                <w:color w:val="000000"/>
                <w:kern w:val="0"/>
                <w:sz w:val="24"/>
              </w:rPr>
              <w:t>14</w:t>
            </w:r>
          </w:p>
        </w:tc>
        <w:tc>
          <w:tcPr>
            <w:tcW w:w="3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pPr>
              <w:jc w:val="left"/>
              <w:textAlignment w:val="bottom"/>
              <w:rPr>
                <w:rFonts w:ascii="仿宋_GB2312" w:hAnsi="宋体" w:eastAsia="仿宋_GB2312"/>
                <w:color w:val="000000"/>
                <w:kern w:val="0"/>
                <w:sz w:val="24"/>
              </w:rPr>
            </w:pPr>
            <w:r>
              <w:rPr>
                <w:rFonts w:hint="eastAsia" w:ascii="仿宋_GB2312" w:hAnsi="仿宋_GB2312" w:eastAsia="仿宋_GB2312" w:cs="仿宋_GB2312"/>
                <w:color w:val="000000"/>
                <w:kern w:val="0"/>
                <w:sz w:val="24"/>
              </w:rPr>
              <w:t>中子自来水厂</w:t>
            </w:r>
          </w:p>
        </w:tc>
        <w:tc>
          <w:tcPr>
            <w:tcW w:w="1304" w:type="dxa"/>
            <w:vMerge w:val="continue"/>
            <w:tcBorders>
              <w:left w:val="nil"/>
              <w:right w:val="single" w:color="000000" w:sz="4" w:space="0"/>
            </w:tcBorders>
            <w:vAlign w:val="center"/>
          </w:tcPr>
          <w:p>
            <w:pPr>
              <w:jc w:val="left"/>
              <w:rPr>
                <w:rFonts w:ascii="仿宋_GB2312" w:hAnsi="宋体" w:eastAsia="仿宋_GB2312"/>
                <w:color w:val="000000"/>
                <w:sz w:val="24"/>
              </w:rPr>
            </w:pPr>
          </w:p>
        </w:tc>
        <w:tc>
          <w:tcPr>
            <w:tcW w:w="1420" w:type="dxa"/>
            <w:tcBorders>
              <w:top w:val="single" w:color="000000" w:sz="4" w:space="0"/>
              <w:left w:val="nil"/>
              <w:bottom w:val="single" w:color="000000" w:sz="4" w:space="0"/>
              <w:right w:val="single" w:color="auto" w:sz="4" w:space="0"/>
            </w:tcBorders>
            <w:noWrap/>
            <w:tcMar>
              <w:top w:w="15" w:type="dxa"/>
              <w:left w:w="15" w:type="dxa"/>
              <w:bottom w:w="0" w:type="dxa"/>
              <w:right w:w="15" w:type="dxa"/>
            </w:tcMar>
            <w:vAlign w:val="center"/>
          </w:tcPr>
          <w:p>
            <w:pPr>
              <w:textAlignment w:val="center"/>
              <w:rPr>
                <w:rFonts w:ascii="仿宋_GB2312" w:hAnsi="宋体" w:eastAsia="仿宋_GB2312"/>
                <w:color w:val="000000"/>
                <w:kern w:val="0"/>
                <w:sz w:val="24"/>
              </w:rPr>
            </w:pPr>
            <w:r>
              <w:rPr>
                <w:rFonts w:hint="eastAsia" w:ascii="仿宋_GB2312" w:hAnsi="宋体" w:eastAsia="仿宋_GB2312"/>
                <w:color w:val="000000"/>
                <w:kern w:val="0"/>
                <w:sz w:val="24"/>
              </w:rPr>
              <w:t>杨其翰、刘</w:t>
            </w:r>
            <w:r>
              <w:rPr>
                <w:rFonts w:hint="eastAsia" w:ascii="宋体" w:hAnsi="宋体" w:cs="宋体"/>
                <w:color w:val="000000"/>
                <w:kern w:val="0"/>
                <w:sz w:val="24"/>
              </w:rPr>
              <w:t>骦</w:t>
            </w:r>
          </w:p>
        </w:tc>
        <w:tc>
          <w:tcPr>
            <w:tcW w:w="211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合格</w:t>
            </w:r>
          </w:p>
        </w:tc>
      </w:tr>
      <w:tr>
        <w:tblPrEx>
          <w:tblCellMar>
            <w:top w:w="0" w:type="dxa"/>
            <w:left w:w="0" w:type="dxa"/>
            <w:bottom w:w="0" w:type="dxa"/>
            <w:right w:w="0" w:type="dxa"/>
          </w:tblCellMar>
        </w:tblPrEx>
        <w:trPr>
          <w:trHeight w:val="460"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kern w:val="0"/>
                <w:sz w:val="24"/>
              </w:rPr>
            </w:pPr>
            <w:r>
              <w:rPr>
                <w:rFonts w:hint="eastAsia" w:ascii="仿宋_GB2312" w:hAnsi="宋体" w:eastAsia="仿宋_GB2312"/>
                <w:color w:val="000000"/>
                <w:kern w:val="0"/>
                <w:sz w:val="24"/>
              </w:rPr>
              <w:t>15</w:t>
            </w:r>
          </w:p>
        </w:tc>
        <w:tc>
          <w:tcPr>
            <w:tcW w:w="3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pPr>
              <w:jc w:val="left"/>
              <w:textAlignment w:val="bottom"/>
              <w:rPr>
                <w:rFonts w:ascii="仿宋_GB2312" w:hAnsi="宋体" w:eastAsia="仿宋_GB2312"/>
                <w:color w:val="000000"/>
                <w:kern w:val="0"/>
                <w:sz w:val="24"/>
              </w:rPr>
            </w:pPr>
            <w:r>
              <w:rPr>
                <w:rFonts w:hint="eastAsia" w:ascii="仿宋_GB2312" w:hAnsi="仿宋_GB2312" w:eastAsia="仿宋_GB2312" w:cs="仿宋_GB2312"/>
                <w:color w:val="000000"/>
                <w:kern w:val="0"/>
                <w:sz w:val="24"/>
              </w:rPr>
              <w:t>王家绣园农家乐</w:t>
            </w:r>
          </w:p>
        </w:tc>
        <w:tc>
          <w:tcPr>
            <w:tcW w:w="1304" w:type="dxa"/>
            <w:vMerge w:val="continue"/>
            <w:tcBorders>
              <w:left w:val="nil"/>
              <w:right w:val="single" w:color="000000" w:sz="4" w:space="0"/>
            </w:tcBorders>
            <w:vAlign w:val="center"/>
          </w:tcPr>
          <w:p>
            <w:pPr>
              <w:jc w:val="left"/>
              <w:rPr>
                <w:rFonts w:ascii="仿宋_GB2312" w:hAnsi="宋体" w:eastAsia="仿宋_GB2312"/>
                <w:color w:val="000000"/>
                <w:sz w:val="24"/>
              </w:rPr>
            </w:pPr>
          </w:p>
        </w:tc>
        <w:tc>
          <w:tcPr>
            <w:tcW w:w="1420" w:type="dxa"/>
            <w:tcBorders>
              <w:top w:val="single" w:color="000000" w:sz="4" w:space="0"/>
              <w:left w:val="nil"/>
              <w:bottom w:val="single" w:color="000000" w:sz="4" w:space="0"/>
              <w:right w:val="single" w:color="auto" w:sz="4" w:space="0"/>
            </w:tcBorders>
            <w:noWrap/>
            <w:tcMar>
              <w:top w:w="15" w:type="dxa"/>
              <w:left w:w="15" w:type="dxa"/>
              <w:bottom w:w="0" w:type="dxa"/>
              <w:right w:w="15" w:type="dxa"/>
            </w:tcMar>
            <w:vAlign w:val="center"/>
          </w:tcPr>
          <w:p>
            <w:pPr>
              <w:textAlignment w:val="center"/>
              <w:rPr>
                <w:rFonts w:ascii="仿宋_GB2312" w:hAnsi="宋体" w:eastAsia="仿宋_GB2312"/>
                <w:color w:val="000000"/>
                <w:kern w:val="0"/>
                <w:sz w:val="24"/>
              </w:rPr>
            </w:pPr>
            <w:r>
              <w:rPr>
                <w:rFonts w:hint="eastAsia" w:ascii="仿宋_GB2312" w:hAnsi="宋体" w:eastAsia="仿宋_GB2312"/>
                <w:color w:val="000000"/>
                <w:kern w:val="0"/>
                <w:sz w:val="24"/>
              </w:rPr>
              <w:t>杨其翰、张波</w:t>
            </w:r>
          </w:p>
        </w:tc>
        <w:tc>
          <w:tcPr>
            <w:tcW w:w="211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合格</w:t>
            </w:r>
          </w:p>
        </w:tc>
      </w:tr>
      <w:tr>
        <w:tblPrEx>
          <w:tblCellMar>
            <w:top w:w="0" w:type="dxa"/>
            <w:left w:w="0" w:type="dxa"/>
            <w:bottom w:w="0" w:type="dxa"/>
            <w:right w:w="0" w:type="dxa"/>
          </w:tblCellMar>
        </w:tblPrEx>
        <w:trPr>
          <w:trHeight w:val="460"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kern w:val="0"/>
                <w:sz w:val="24"/>
              </w:rPr>
            </w:pPr>
            <w:r>
              <w:rPr>
                <w:rFonts w:hint="eastAsia" w:ascii="仿宋_GB2312" w:hAnsi="宋体" w:eastAsia="仿宋_GB2312"/>
                <w:color w:val="000000"/>
                <w:kern w:val="0"/>
                <w:sz w:val="24"/>
              </w:rPr>
              <w:t>16</w:t>
            </w:r>
          </w:p>
        </w:tc>
        <w:tc>
          <w:tcPr>
            <w:tcW w:w="3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pPr>
              <w:jc w:val="left"/>
              <w:textAlignment w:val="bottom"/>
              <w:rPr>
                <w:rFonts w:ascii="仿宋_GB2312" w:hAnsi="宋体" w:eastAsia="仿宋_GB2312"/>
                <w:color w:val="000000"/>
                <w:kern w:val="0"/>
                <w:sz w:val="24"/>
              </w:rPr>
            </w:pPr>
            <w:r>
              <w:rPr>
                <w:rFonts w:hint="eastAsia" w:ascii="仿宋_GB2312" w:hAnsi="仿宋_GB2312" w:eastAsia="仿宋_GB2312" w:cs="仿宋_GB2312"/>
                <w:color w:val="000000"/>
                <w:kern w:val="0"/>
                <w:sz w:val="24"/>
              </w:rPr>
              <w:t>田园宾馆</w:t>
            </w:r>
          </w:p>
        </w:tc>
        <w:tc>
          <w:tcPr>
            <w:tcW w:w="1304" w:type="dxa"/>
            <w:vMerge w:val="continue"/>
            <w:tcBorders>
              <w:left w:val="nil"/>
              <w:right w:val="single" w:color="000000" w:sz="4" w:space="0"/>
            </w:tcBorders>
            <w:vAlign w:val="center"/>
          </w:tcPr>
          <w:p>
            <w:pPr>
              <w:jc w:val="left"/>
              <w:rPr>
                <w:rFonts w:ascii="仿宋_GB2312" w:hAnsi="宋体" w:eastAsia="仿宋_GB2312"/>
                <w:color w:val="000000"/>
                <w:sz w:val="24"/>
              </w:rPr>
            </w:pPr>
          </w:p>
        </w:tc>
        <w:tc>
          <w:tcPr>
            <w:tcW w:w="1420" w:type="dxa"/>
            <w:tcBorders>
              <w:top w:val="single" w:color="000000" w:sz="4" w:space="0"/>
              <w:left w:val="nil"/>
              <w:bottom w:val="single" w:color="000000" w:sz="4" w:space="0"/>
              <w:right w:val="single" w:color="auto" w:sz="4" w:space="0"/>
            </w:tcBorders>
            <w:noWrap/>
            <w:tcMar>
              <w:top w:w="15" w:type="dxa"/>
              <w:left w:w="15" w:type="dxa"/>
              <w:bottom w:w="0" w:type="dxa"/>
              <w:right w:w="15" w:type="dxa"/>
            </w:tcMar>
            <w:vAlign w:val="center"/>
          </w:tcPr>
          <w:p>
            <w:pPr>
              <w:textAlignment w:val="center"/>
              <w:rPr>
                <w:rFonts w:ascii="仿宋_GB2312" w:hAnsi="宋体" w:eastAsia="仿宋_GB2312"/>
                <w:color w:val="000000"/>
                <w:kern w:val="0"/>
                <w:sz w:val="24"/>
              </w:rPr>
            </w:pPr>
            <w:r>
              <w:rPr>
                <w:rFonts w:hint="eastAsia" w:ascii="仿宋_GB2312" w:hAnsi="宋体" w:eastAsia="仿宋_GB2312"/>
                <w:color w:val="000000"/>
                <w:kern w:val="0"/>
                <w:sz w:val="24"/>
              </w:rPr>
              <w:t>张波、刘</w:t>
            </w:r>
            <w:r>
              <w:rPr>
                <w:rFonts w:hint="eastAsia" w:ascii="宋体" w:hAnsi="宋体" w:cs="宋体"/>
                <w:color w:val="000000"/>
                <w:kern w:val="0"/>
                <w:sz w:val="24"/>
              </w:rPr>
              <w:t>骦</w:t>
            </w:r>
          </w:p>
        </w:tc>
        <w:tc>
          <w:tcPr>
            <w:tcW w:w="211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合格</w:t>
            </w:r>
          </w:p>
        </w:tc>
      </w:tr>
      <w:tr>
        <w:tblPrEx>
          <w:tblCellMar>
            <w:top w:w="0" w:type="dxa"/>
            <w:left w:w="0" w:type="dxa"/>
            <w:bottom w:w="0" w:type="dxa"/>
            <w:right w:w="0" w:type="dxa"/>
          </w:tblCellMar>
        </w:tblPrEx>
        <w:trPr>
          <w:trHeight w:val="460"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color w:val="000000"/>
                <w:kern w:val="0"/>
                <w:sz w:val="24"/>
              </w:rPr>
            </w:pPr>
            <w:r>
              <w:rPr>
                <w:rFonts w:hint="eastAsia" w:ascii="仿宋_GB2312" w:hAnsi="宋体" w:eastAsia="仿宋_GB2312"/>
                <w:color w:val="000000"/>
                <w:kern w:val="0"/>
                <w:sz w:val="24"/>
              </w:rPr>
              <w:t>17</w:t>
            </w:r>
          </w:p>
        </w:tc>
        <w:tc>
          <w:tcPr>
            <w:tcW w:w="3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pPr>
              <w:jc w:val="left"/>
              <w:textAlignment w:val="bottom"/>
              <w:rPr>
                <w:rFonts w:ascii="仿宋_GB2312" w:hAnsi="宋体" w:eastAsia="仿宋_GB2312"/>
                <w:color w:val="000000"/>
                <w:kern w:val="0"/>
                <w:sz w:val="24"/>
              </w:rPr>
            </w:pPr>
            <w:r>
              <w:rPr>
                <w:rFonts w:hint="eastAsia" w:ascii="仿宋_GB2312" w:hAnsi="仿宋_GB2312" w:eastAsia="仿宋_GB2312" w:cs="仿宋_GB2312"/>
                <w:color w:val="000000"/>
                <w:kern w:val="0"/>
                <w:sz w:val="24"/>
              </w:rPr>
              <w:t>永兴理发店</w:t>
            </w:r>
          </w:p>
        </w:tc>
        <w:tc>
          <w:tcPr>
            <w:tcW w:w="1304" w:type="dxa"/>
            <w:vMerge w:val="continue"/>
            <w:tcBorders>
              <w:left w:val="nil"/>
              <w:right w:val="single" w:color="000000" w:sz="4" w:space="0"/>
            </w:tcBorders>
            <w:vAlign w:val="center"/>
          </w:tcPr>
          <w:p>
            <w:pPr>
              <w:jc w:val="left"/>
              <w:rPr>
                <w:rFonts w:ascii="仿宋_GB2312" w:hAnsi="宋体" w:eastAsia="仿宋_GB2312"/>
                <w:color w:val="000000"/>
                <w:sz w:val="24"/>
              </w:rPr>
            </w:pPr>
          </w:p>
        </w:tc>
        <w:tc>
          <w:tcPr>
            <w:tcW w:w="1420" w:type="dxa"/>
            <w:tcBorders>
              <w:top w:val="single" w:color="000000" w:sz="4" w:space="0"/>
              <w:left w:val="nil"/>
              <w:bottom w:val="single" w:color="000000" w:sz="4" w:space="0"/>
              <w:right w:val="single" w:color="auto" w:sz="4" w:space="0"/>
            </w:tcBorders>
            <w:noWrap/>
            <w:tcMar>
              <w:top w:w="15" w:type="dxa"/>
              <w:left w:w="15" w:type="dxa"/>
              <w:bottom w:w="0" w:type="dxa"/>
              <w:right w:w="15" w:type="dxa"/>
            </w:tcMar>
            <w:vAlign w:val="center"/>
          </w:tcPr>
          <w:p>
            <w:pPr>
              <w:textAlignment w:val="center"/>
              <w:rPr>
                <w:rFonts w:ascii="仿宋_GB2312" w:hAnsi="宋体" w:eastAsia="仿宋_GB2312"/>
                <w:color w:val="000000"/>
                <w:kern w:val="0"/>
                <w:sz w:val="24"/>
              </w:rPr>
            </w:pPr>
            <w:r>
              <w:rPr>
                <w:rFonts w:hint="eastAsia" w:ascii="仿宋_GB2312" w:hAnsi="宋体" w:eastAsia="仿宋_GB2312"/>
                <w:color w:val="000000"/>
                <w:kern w:val="0"/>
                <w:sz w:val="24"/>
              </w:rPr>
              <w:t>张波、刘</w:t>
            </w:r>
            <w:r>
              <w:rPr>
                <w:rFonts w:hint="eastAsia" w:ascii="宋体" w:hAnsi="宋体" w:cs="宋体"/>
                <w:color w:val="000000"/>
                <w:kern w:val="0"/>
                <w:sz w:val="24"/>
              </w:rPr>
              <w:t>骦</w:t>
            </w:r>
          </w:p>
        </w:tc>
        <w:tc>
          <w:tcPr>
            <w:tcW w:w="211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合格</w:t>
            </w:r>
          </w:p>
        </w:tc>
      </w:tr>
      <w:tr>
        <w:tblPrEx>
          <w:tblCellMar>
            <w:top w:w="0" w:type="dxa"/>
            <w:left w:w="0" w:type="dxa"/>
            <w:bottom w:w="0" w:type="dxa"/>
            <w:right w:w="0" w:type="dxa"/>
          </w:tblCellMar>
        </w:tblPrEx>
        <w:trPr>
          <w:trHeight w:val="460" w:hRule="atLeast"/>
          <w:jc w:val="center"/>
        </w:trPr>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仿宋_GB2312" w:hAnsi="宋体" w:eastAsia="仿宋_GB2312"/>
                <w:kern w:val="0"/>
                <w:sz w:val="24"/>
              </w:rPr>
            </w:pPr>
            <w:r>
              <w:rPr>
                <w:rFonts w:hint="eastAsia" w:ascii="仿宋_GB2312" w:hAnsi="宋体" w:eastAsia="仿宋_GB2312"/>
                <w:kern w:val="0"/>
                <w:sz w:val="24"/>
              </w:rPr>
              <w:t>18</w:t>
            </w:r>
          </w:p>
        </w:tc>
        <w:tc>
          <w:tcPr>
            <w:tcW w:w="384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bottom"/>
          </w:tcPr>
          <w:p>
            <w:pPr>
              <w:jc w:val="left"/>
              <w:textAlignment w:val="bottom"/>
              <w:rPr>
                <w:rFonts w:ascii="仿宋_GB2312" w:hAnsi="仿宋_GB2312" w:eastAsia="仿宋_GB2312" w:cs="仿宋_GB2312"/>
                <w:kern w:val="0"/>
                <w:sz w:val="24"/>
              </w:rPr>
            </w:pPr>
            <w:r>
              <w:rPr>
                <w:rFonts w:hint="eastAsia" w:ascii="仿宋_GB2312" w:hAnsi="仿宋_GB2312" w:eastAsia="仿宋_GB2312" w:cs="仿宋_GB2312"/>
                <w:kern w:val="0"/>
                <w:sz w:val="24"/>
              </w:rPr>
              <w:t>经典造型</w:t>
            </w:r>
          </w:p>
        </w:tc>
        <w:tc>
          <w:tcPr>
            <w:tcW w:w="1304" w:type="dxa"/>
            <w:vMerge w:val="continue"/>
            <w:tcBorders>
              <w:left w:val="nil"/>
              <w:bottom w:val="single" w:color="000000" w:sz="4" w:space="0"/>
              <w:right w:val="single" w:color="000000" w:sz="4" w:space="0"/>
            </w:tcBorders>
            <w:vAlign w:val="center"/>
          </w:tcPr>
          <w:p>
            <w:pPr>
              <w:jc w:val="left"/>
              <w:rPr>
                <w:rFonts w:ascii="仿宋_GB2312" w:hAnsi="宋体" w:eastAsia="仿宋_GB2312"/>
                <w:color w:val="000000"/>
                <w:sz w:val="24"/>
              </w:rPr>
            </w:pPr>
          </w:p>
        </w:tc>
        <w:tc>
          <w:tcPr>
            <w:tcW w:w="1420" w:type="dxa"/>
            <w:tcBorders>
              <w:top w:val="single" w:color="000000" w:sz="4" w:space="0"/>
              <w:left w:val="nil"/>
              <w:bottom w:val="single" w:color="000000" w:sz="4" w:space="0"/>
              <w:right w:val="single" w:color="auto" w:sz="4" w:space="0"/>
            </w:tcBorders>
            <w:noWrap/>
            <w:tcMar>
              <w:top w:w="15" w:type="dxa"/>
              <w:left w:w="15" w:type="dxa"/>
              <w:bottom w:w="0" w:type="dxa"/>
              <w:right w:w="15" w:type="dxa"/>
            </w:tcMar>
            <w:vAlign w:val="center"/>
          </w:tcPr>
          <w:p>
            <w:pPr>
              <w:textAlignment w:val="center"/>
              <w:rPr>
                <w:rFonts w:ascii="仿宋_GB2312" w:hAnsi="宋体" w:eastAsia="仿宋_GB2312"/>
                <w:color w:val="000000"/>
                <w:kern w:val="0"/>
                <w:sz w:val="24"/>
              </w:rPr>
            </w:pPr>
            <w:r>
              <w:rPr>
                <w:rFonts w:hint="eastAsia" w:ascii="仿宋_GB2312" w:hAnsi="宋体" w:eastAsia="仿宋_GB2312"/>
                <w:color w:val="000000"/>
                <w:kern w:val="0"/>
                <w:sz w:val="24"/>
              </w:rPr>
              <w:t>张波、刘</w:t>
            </w:r>
            <w:r>
              <w:rPr>
                <w:rFonts w:hint="eastAsia" w:ascii="宋体" w:hAnsi="宋体" w:cs="宋体"/>
                <w:color w:val="000000"/>
                <w:kern w:val="0"/>
                <w:sz w:val="24"/>
              </w:rPr>
              <w:t>骦</w:t>
            </w:r>
          </w:p>
        </w:tc>
        <w:tc>
          <w:tcPr>
            <w:tcW w:w="211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hAnsi="宋体" w:eastAsia="仿宋_GB2312"/>
                <w:color w:val="000000"/>
                <w:sz w:val="24"/>
              </w:rPr>
            </w:pPr>
            <w:r>
              <w:rPr>
                <w:rFonts w:hint="eastAsia" w:ascii="仿宋_GB2312" w:hAnsi="宋体" w:eastAsia="仿宋_GB2312"/>
                <w:color w:val="000000"/>
                <w:sz w:val="24"/>
              </w:rPr>
              <w:t>合格</w:t>
            </w:r>
          </w:p>
        </w:tc>
      </w:tr>
    </w:tbl>
    <w:p>
      <w:pPr>
        <w:widowControl/>
        <w:jc w:val="left"/>
        <w:rPr>
          <w:rFonts w:ascii="楷体_GB2312" w:hAnsi="宋体" w:eastAsia="楷体_GB2312" w:cs="宋体"/>
          <w:bCs/>
          <w:color w:val="000000"/>
          <w:sz w:val="32"/>
          <w:szCs w:val="32"/>
        </w:rPr>
        <w:sectPr>
          <w:pgSz w:w="11906" w:h="16838"/>
          <w:pgMar w:top="1440" w:right="1803" w:bottom="1440" w:left="1803" w:header="851" w:footer="1304" w:gutter="0"/>
          <w:pgNumType w:fmt="numberInDash"/>
          <w:cols w:space="720" w:num="1"/>
          <w:docGrid w:type="lines" w:linePitch="312" w:charSpace="0"/>
        </w:sectPr>
      </w:pPr>
    </w:p>
    <w:p>
      <w:pPr>
        <w:spacing w:line="560" w:lineRule="exact"/>
        <w:ind w:firstLine="640" w:firstLineChars="200"/>
        <w:rPr>
          <w:rFonts w:ascii="楷体_GB2312" w:eastAsia="楷体_GB2312"/>
          <w:bCs/>
          <w:color w:val="000000"/>
          <w:sz w:val="32"/>
          <w:szCs w:val="32"/>
        </w:rPr>
      </w:pPr>
      <w:r>
        <w:rPr>
          <w:rFonts w:hint="eastAsia" w:ascii="楷体_GB2312" w:eastAsia="楷体_GB2312"/>
          <w:bCs/>
          <w:color w:val="000000"/>
          <w:sz w:val="32"/>
          <w:szCs w:val="32"/>
        </w:rPr>
        <w:t>（四）2023年双随机抽查计划</w:t>
      </w:r>
    </w:p>
    <w:p>
      <w:pPr>
        <w:spacing w:line="560" w:lineRule="exact"/>
        <w:jc w:val="center"/>
        <w:rPr>
          <w:rFonts w:ascii="方正小标宋简体" w:hAnsi="方正小标宋_GBK" w:eastAsia="方正小标宋简体" w:cs="方正小标宋_GBK"/>
          <w:sz w:val="44"/>
          <w:szCs w:val="44"/>
        </w:rPr>
      </w:pPr>
      <w:r>
        <w:rPr>
          <w:rFonts w:hint="eastAsia" w:ascii="黑体" w:hAnsi="黑体" w:eastAsia="黑体"/>
          <w:sz w:val="32"/>
          <w:szCs w:val="32"/>
        </w:rPr>
        <w:t>2023年区卫生健康局随机抽查工作计划表</w:t>
      </w:r>
    </w:p>
    <w:tbl>
      <w:tblPr>
        <w:tblStyle w:val="13"/>
        <w:tblW w:w="140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339"/>
        <w:gridCol w:w="4305"/>
        <w:gridCol w:w="1082"/>
        <w:gridCol w:w="1134"/>
        <w:gridCol w:w="1134"/>
        <w:gridCol w:w="2126"/>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序号</w:t>
            </w:r>
          </w:p>
        </w:tc>
        <w:tc>
          <w:tcPr>
            <w:tcW w:w="664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1785" w:firstLineChars="850"/>
              <w:rPr>
                <w:rFonts w:ascii="宋体" w:hAnsi="宋体"/>
              </w:rPr>
            </w:pPr>
            <w:r>
              <w:rPr>
                <w:rFonts w:hint="eastAsia" w:ascii="宋体" w:hAnsi="宋体"/>
              </w:rPr>
              <w:t>抽查项目</w:t>
            </w:r>
          </w:p>
        </w:tc>
        <w:tc>
          <w:tcPr>
            <w:tcW w:w="1082"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检查对象</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抽查比例或户数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检查方式</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牵头股室</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完成</w:t>
            </w:r>
          </w:p>
          <w:p>
            <w:pPr>
              <w:spacing w:line="240" w:lineRule="exact"/>
              <w:jc w:val="center"/>
              <w:rPr>
                <w:rFonts w:ascii="宋体" w:hAnsi="宋体"/>
              </w:rPr>
            </w:pPr>
            <w:r>
              <w:rPr>
                <w:rFonts w:hint="eastAsia" w:ascii="宋体" w:hAnsi="宋体"/>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23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抽查类别</w:t>
            </w:r>
          </w:p>
        </w:tc>
        <w:tc>
          <w:tcPr>
            <w:tcW w:w="43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抽查事项</w:t>
            </w:r>
          </w:p>
        </w:tc>
        <w:tc>
          <w:tcPr>
            <w:tcW w:w="10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51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rPr>
            </w:pPr>
            <w:r>
              <w:rPr>
                <w:rFonts w:hint="eastAsia" w:ascii="宋体" w:hAnsi="宋体"/>
              </w:rPr>
              <w:t>1</w:t>
            </w:r>
          </w:p>
        </w:tc>
        <w:tc>
          <w:tcPr>
            <w:tcW w:w="233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rPr>
            </w:pPr>
            <w:r>
              <w:rPr>
                <w:rFonts w:hint="eastAsia" w:ascii="宋体" w:hAnsi="宋体"/>
              </w:rPr>
              <w:t>对医疗卫生机构传染病防治工作的监督检查</w:t>
            </w:r>
          </w:p>
        </w:tc>
        <w:tc>
          <w:tcPr>
            <w:tcW w:w="4305"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rPr>
            </w:pPr>
            <w:r>
              <w:rPr>
                <w:rFonts w:hint="eastAsia" w:ascii="宋体" w:hAnsi="宋体"/>
              </w:rPr>
              <w:t>抽查预防接种、传染病疫情报告、疫情控制、消毒隔离、医疗废物管理和病原微生物实验室生物安全等内容，要求符合传染病防治法等法律法规要求。</w:t>
            </w:r>
          </w:p>
          <w:p>
            <w:pPr>
              <w:spacing w:line="240" w:lineRule="exact"/>
              <w:rPr>
                <w:rFonts w:ascii="宋体" w:hAnsi="宋体"/>
              </w:rPr>
            </w:pPr>
            <w:r>
              <w:rPr>
                <w:rFonts w:hint="eastAsia" w:ascii="宋体" w:hAnsi="宋体"/>
              </w:rPr>
              <w:t>抽查预防接种、传染病疫情报告、疫情控制、消毒隔离、医疗废物管理和病原微生物实验室生物安全等内容，要求符合传染病防治法等法律法规要求。</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全区各类医疗机构</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医院20%、其他医疗机构5%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rPr>
            </w:pPr>
            <w:r>
              <w:rPr>
                <w:rFonts w:hint="eastAsia" w:ascii="宋体" w:hAnsi="宋体"/>
              </w:rPr>
              <w:t>查阅资料</w:t>
            </w:r>
          </w:p>
          <w:p>
            <w:pPr>
              <w:spacing w:line="240" w:lineRule="exact"/>
              <w:rPr>
                <w:rFonts w:ascii="宋体" w:hAnsi="宋体"/>
              </w:rPr>
            </w:pPr>
            <w:r>
              <w:rPr>
                <w:rFonts w:hint="eastAsia" w:ascii="宋体" w:hAnsi="宋体"/>
              </w:rPr>
              <w:t>现场检查</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rPr>
            </w:pPr>
            <w:r>
              <w:rPr>
                <w:rFonts w:hint="eastAsia" w:ascii="宋体" w:hAnsi="宋体"/>
              </w:rPr>
              <w:t>政策法规和综合监管股、卫生计生监督执法大队</w:t>
            </w:r>
          </w:p>
        </w:tc>
        <w:tc>
          <w:tcPr>
            <w:tcW w:w="1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2023年11月30日前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6" w:hRule="atLeast"/>
        </w:trPr>
        <w:tc>
          <w:tcPr>
            <w:tcW w:w="51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rPr>
            </w:pPr>
            <w:r>
              <w:rPr>
                <w:rFonts w:hint="eastAsia" w:ascii="宋体" w:hAnsi="宋体"/>
              </w:rPr>
              <w:t>2</w:t>
            </w:r>
          </w:p>
        </w:tc>
        <w:tc>
          <w:tcPr>
            <w:tcW w:w="23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对放射诊疗机构的监督检查</w:t>
            </w:r>
          </w:p>
        </w:tc>
        <w:tc>
          <w:tcPr>
            <w:tcW w:w="430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rPr>
            </w:pPr>
            <w:r>
              <w:rPr>
                <w:rFonts w:hint="eastAsia" w:ascii="宋体" w:hAnsi="宋体"/>
              </w:rPr>
              <w:t>1、具有经核准登记的医学影像诊疗科目；</w:t>
            </w:r>
          </w:p>
          <w:p>
            <w:pPr>
              <w:spacing w:line="240" w:lineRule="exact"/>
              <w:rPr>
                <w:rFonts w:ascii="宋体" w:hAnsi="宋体"/>
              </w:rPr>
            </w:pPr>
            <w:r>
              <w:rPr>
                <w:rFonts w:hint="eastAsia" w:ascii="宋体" w:hAnsi="宋体"/>
              </w:rPr>
              <w:t>2、具有符合国家相关标准和规定的放射诊疗场所、人员、设备和配套设施；</w:t>
            </w:r>
          </w:p>
          <w:p>
            <w:pPr>
              <w:spacing w:line="240" w:lineRule="exact"/>
              <w:rPr>
                <w:rFonts w:ascii="宋体" w:hAnsi="宋体"/>
              </w:rPr>
            </w:pPr>
            <w:r>
              <w:rPr>
                <w:rFonts w:hint="eastAsia" w:ascii="宋体" w:hAnsi="宋体"/>
              </w:rPr>
              <w:t>3、具有质量控制与安全防护专（兼）职管理人员和管理制度，并配备必要的防护用品和监测仪器；</w:t>
            </w:r>
          </w:p>
          <w:p>
            <w:pPr>
              <w:spacing w:line="240" w:lineRule="exact"/>
              <w:rPr>
                <w:rFonts w:ascii="宋体" w:hAnsi="宋体"/>
              </w:rPr>
            </w:pPr>
            <w:r>
              <w:rPr>
                <w:rFonts w:hint="eastAsia" w:ascii="宋体" w:hAnsi="宋体"/>
              </w:rPr>
              <w:t>4、产生放射性废气、废液、固体废物的，具有确保放射性废气、废液、固体废物达标排放的处理能力或者可行的处理方案；</w:t>
            </w:r>
          </w:p>
          <w:p>
            <w:pPr>
              <w:spacing w:line="240" w:lineRule="exact"/>
              <w:rPr>
                <w:rFonts w:ascii="宋体" w:hAnsi="宋体"/>
              </w:rPr>
            </w:pPr>
            <w:r>
              <w:rPr>
                <w:rFonts w:hint="eastAsia" w:ascii="宋体" w:hAnsi="宋体"/>
              </w:rPr>
              <w:t>5、具有放射事件应急处理预案；</w:t>
            </w:r>
          </w:p>
          <w:p>
            <w:pPr>
              <w:spacing w:line="240" w:lineRule="exact"/>
              <w:rPr>
                <w:rFonts w:ascii="宋体" w:hAnsi="宋体"/>
              </w:rPr>
            </w:pPr>
            <w:r>
              <w:rPr>
                <w:rFonts w:hint="eastAsia" w:ascii="宋体" w:hAnsi="宋体"/>
              </w:rPr>
              <w:t>6、有关法规和标准执行情况；</w:t>
            </w:r>
          </w:p>
          <w:p>
            <w:pPr>
              <w:spacing w:line="240" w:lineRule="exact"/>
              <w:rPr>
                <w:rFonts w:ascii="宋体" w:hAnsi="宋体"/>
              </w:rPr>
            </w:pPr>
            <w:r>
              <w:rPr>
                <w:rFonts w:hint="eastAsia" w:ascii="宋体" w:hAnsi="宋体"/>
              </w:rPr>
              <w:t>7、放射防护措施落实情况；</w:t>
            </w:r>
          </w:p>
          <w:p>
            <w:pPr>
              <w:spacing w:line="240" w:lineRule="exact"/>
              <w:rPr>
                <w:rFonts w:ascii="宋体" w:hAnsi="宋体"/>
              </w:rPr>
            </w:pPr>
            <w:r>
              <w:rPr>
                <w:rFonts w:hint="eastAsia" w:ascii="宋体" w:hAnsi="宋体"/>
              </w:rPr>
              <w:t>8、人员培训、职业健康检查、个人剂量监测及其档案管理情况；</w:t>
            </w:r>
          </w:p>
          <w:p>
            <w:pPr>
              <w:spacing w:line="240" w:lineRule="exact"/>
              <w:rPr>
                <w:rFonts w:ascii="宋体" w:hAnsi="宋体"/>
              </w:rPr>
            </w:pPr>
            <w:r>
              <w:rPr>
                <w:rFonts w:hint="eastAsia" w:ascii="宋体" w:hAnsi="宋体"/>
              </w:rPr>
              <w:t>9、《放射工作人员证》持证及相关信息记录情况；</w:t>
            </w:r>
          </w:p>
          <w:p>
            <w:pPr>
              <w:spacing w:line="240" w:lineRule="exact"/>
              <w:rPr>
                <w:rFonts w:ascii="宋体" w:hAnsi="宋体"/>
              </w:rPr>
            </w:pPr>
            <w:r>
              <w:rPr>
                <w:rFonts w:hint="eastAsia" w:ascii="宋体" w:hAnsi="宋体"/>
              </w:rPr>
              <w:t>10、放射工作人员其他职业健康权益保障情况</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rPr>
            </w:pPr>
            <w:r>
              <w:rPr>
                <w:rFonts w:hint="eastAsia" w:ascii="宋体" w:hAnsi="宋体"/>
              </w:rPr>
              <w:t>全区开展放射诊疗的医疗卫生机构</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20%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rPr>
            </w:pPr>
            <w:r>
              <w:rPr>
                <w:rFonts w:hint="eastAsia" w:ascii="宋体" w:hAnsi="宋体"/>
              </w:rPr>
              <w:t>查阅资料</w:t>
            </w:r>
          </w:p>
          <w:p>
            <w:pPr>
              <w:spacing w:line="240" w:lineRule="exact"/>
              <w:rPr>
                <w:rFonts w:ascii="宋体" w:hAnsi="宋体"/>
              </w:rPr>
            </w:pPr>
            <w:r>
              <w:rPr>
                <w:rFonts w:hint="eastAsia" w:ascii="宋体" w:hAnsi="宋体"/>
              </w:rPr>
              <w:t>现场检查</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rPr>
            </w:pPr>
            <w:r>
              <w:rPr>
                <w:rFonts w:hint="eastAsia" w:ascii="宋体" w:hAnsi="宋体"/>
              </w:rPr>
              <w:t>政策法规和综合监管股、卫生计生监督执法大队</w:t>
            </w:r>
          </w:p>
        </w:tc>
        <w:tc>
          <w:tcPr>
            <w:tcW w:w="14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2023年11月30日前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51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rPr>
            </w:pPr>
            <w:r>
              <w:rPr>
                <w:rFonts w:hint="eastAsia" w:ascii="宋体" w:hAnsi="宋体"/>
              </w:rPr>
              <w:t>3</w:t>
            </w:r>
          </w:p>
        </w:tc>
        <w:tc>
          <w:tcPr>
            <w:tcW w:w="233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rPr>
            </w:pPr>
            <w:r>
              <w:rPr>
                <w:rFonts w:hint="eastAsia" w:ascii="宋体" w:hAnsi="宋体"/>
              </w:rPr>
              <w:t>对母婴保健专项技术服务机构及人员依法执业行为的监督检查</w:t>
            </w:r>
          </w:p>
        </w:tc>
        <w:tc>
          <w:tcPr>
            <w:tcW w:w="430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rPr>
            </w:pPr>
            <w:r>
              <w:rPr>
                <w:rFonts w:hint="eastAsia" w:ascii="宋体" w:hAnsi="宋体"/>
              </w:rPr>
              <w:t>从事婚前医学检查、产前诊断（筛查）、助产技术服务、计划生育技术服务的机构和人员是否取得资质，是否出具虚假医学证明文件，是否违规进行胎儿性别鉴定以及是否按照相应的技术标准和服务规范开展服务等。对从事孕产妇和儿童健康管理以及农村妇女“两癌”检查等重大妇幼卫生服务项目的服务行为等进行检查督导，看是否符合《中华人民共和国母婴保健法》等法律法规及其配套文件要求</w:t>
            </w:r>
          </w:p>
        </w:tc>
        <w:tc>
          <w:tcPr>
            <w:tcW w:w="108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rPr>
            </w:pPr>
            <w:r>
              <w:rPr>
                <w:rFonts w:hint="eastAsia" w:ascii="宋体" w:hAnsi="宋体"/>
              </w:rPr>
              <w:t>从事母婴保健工作的机构和人员</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20%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rPr>
            </w:pPr>
            <w:r>
              <w:rPr>
                <w:rFonts w:hint="eastAsia" w:ascii="宋体" w:hAnsi="宋体"/>
              </w:rPr>
              <w:t>查阅资料</w:t>
            </w:r>
          </w:p>
          <w:p>
            <w:pPr>
              <w:spacing w:line="300" w:lineRule="exact"/>
              <w:rPr>
                <w:rFonts w:ascii="宋体" w:hAnsi="宋体"/>
              </w:rPr>
            </w:pPr>
            <w:r>
              <w:rPr>
                <w:rFonts w:hint="eastAsia" w:ascii="宋体" w:hAnsi="宋体"/>
              </w:rPr>
              <w:t>现场检查</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rPr>
            </w:pPr>
            <w:r>
              <w:rPr>
                <w:rFonts w:hint="eastAsia" w:ascii="宋体" w:hAnsi="宋体"/>
              </w:rPr>
              <w:t>政策法规和综合监管股、卫生计生监督执法大队</w:t>
            </w:r>
          </w:p>
        </w:tc>
        <w:tc>
          <w:tcPr>
            <w:tcW w:w="14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2023年11月30日前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0" w:type="dxa"/>
            <w:vMerge w:val="restart"/>
            <w:tcBorders>
              <w:top w:val="nil"/>
              <w:left w:val="single" w:color="auto" w:sz="4" w:space="0"/>
              <w:bottom w:val="single" w:color="auto" w:sz="4" w:space="0"/>
              <w:right w:val="single" w:color="auto" w:sz="4" w:space="0"/>
            </w:tcBorders>
            <w:noWrap/>
            <w:vAlign w:val="center"/>
          </w:tcPr>
          <w:p>
            <w:pPr>
              <w:spacing w:line="300" w:lineRule="exact"/>
              <w:jc w:val="center"/>
              <w:rPr>
                <w:rFonts w:ascii="宋体" w:hAnsi="宋体"/>
              </w:rPr>
            </w:pPr>
            <w:r>
              <w:rPr>
                <w:rFonts w:hint="eastAsia" w:ascii="宋体" w:hAnsi="宋体"/>
              </w:rPr>
              <w:t>4</w:t>
            </w:r>
          </w:p>
        </w:tc>
        <w:tc>
          <w:tcPr>
            <w:tcW w:w="2339"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医疗机构及其从业人员监督检查</w:t>
            </w:r>
          </w:p>
        </w:tc>
        <w:tc>
          <w:tcPr>
            <w:tcW w:w="4305" w:type="dxa"/>
            <w:vMerge w:val="restart"/>
            <w:tcBorders>
              <w:top w:val="nil"/>
              <w:left w:val="single" w:color="auto" w:sz="4" w:space="0"/>
              <w:bottom w:val="single" w:color="auto" w:sz="4" w:space="0"/>
              <w:right w:val="single" w:color="auto" w:sz="4" w:space="0"/>
            </w:tcBorders>
            <w:vAlign w:val="center"/>
          </w:tcPr>
          <w:p>
            <w:pPr>
              <w:spacing w:line="300" w:lineRule="exact"/>
              <w:rPr>
                <w:rFonts w:ascii="宋体" w:hAnsi="宋体"/>
              </w:rPr>
            </w:pPr>
            <w:r>
              <w:rPr>
                <w:rFonts w:hint="eastAsia" w:ascii="宋体" w:hAnsi="宋体"/>
              </w:rPr>
              <w:t>医疗机构、医师、护士依法执业情况，临床重点专科，医院综合能力建设，医师“三基”训练，医疗核心制度，改善医疗服务，病历处方质量和“三合理”规范执行情况，医疗技术临床应用情况，医疗质量控制管理。</w:t>
            </w:r>
          </w:p>
        </w:tc>
        <w:tc>
          <w:tcPr>
            <w:tcW w:w="1082" w:type="dxa"/>
            <w:vMerge w:val="restart"/>
            <w:tcBorders>
              <w:top w:val="nil"/>
              <w:left w:val="single" w:color="auto" w:sz="4" w:space="0"/>
              <w:bottom w:val="single" w:color="auto" w:sz="4" w:space="0"/>
              <w:right w:val="single" w:color="auto" w:sz="4" w:space="0"/>
            </w:tcBorders>
            <w:vAlign w:val="center"/>
          </w:tcPr>
          <w:p>
            <w:pPr>
              <w:spacing w:line="300" w:lineRule="exact"/>
              <w:rPr>
                <w:rFonts w:ascii="宋体" w:hAnsi="宋体"/>
              </w:rPr>
            </w:pPr>
            <w:r>
              <w:rPr>
                <w:rFonts w:hint="eastAsia" w:ascii="宋体" w:hAnsi="宋体"/>
              </w:rPr>
              <w:t>全区各级各类医疗机构</w:t>
            </w:r>
          </w:p>
        </w:tc>
        <w:tc>
          <w:tcPr>
            <w:tcW w:w="1134"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医院20%、其他医疗机构5%</w:t>
            </w:r>
          </w:p>
        </w:tc>
        <w:tc>
          <w:tcPr>
            <w:tcW w:w="1134" w:type="dxa"/>
            <w:vMerge w:val="restart"/>
            <w:tcBorders>
              <w:top w:val="nil"/>
              <w:left w:val="single" w:color="auto" w:sz="4" w:space="0"/>
              <w:bottom w:val="single" w:color="auto" w:sz="4" w:space="0"/>
              <w:right w:val="single" w:color="auto" w:sz="4" w:space="0"/>
            </w:tcBorders>
            <w:vAlign w:val="center"/>
          </w:tcPr>
          <w:p>
            <w:pPr>
              <w:spacing w:line="300" w:lineRule="exact"/>
              <w:rPr>
                <w:rFonts w:ascii="宋体" w:hAnsi="宋体"/>
              </w:rPr>
            </w:pPr>
            <w:r>
              <w:rPr>
                <w:rFonts w:hint="eastAsia" w:ascii="宋体" w:hAnsi="宋体"/>
              </w:rPr>
              <w:t>查阅资料</w:t>
            </w:r>
          </w:p>
          <w:p>
            <w:pPr>
              <w:spacing w:line="300" w:lineRule="exact"/>
              <w:rPr>
                <w:rFonts w:ascii="宋体" w:hAnsi="宋体"/>
              </w:rPr>
            </w:pPr>
            <w:r>
              <w:rPr>
                <w:rFonts w:hint="eastAsia" w:ascii="宋体" w:hAnsi="宋体"/>
              </w:rPr>
              <w:t>现场检查</w:t>
            </w:r>
          </w:p>
        </w:tc>
        <w:tc>
          <w:tcPr>
            <w:tcW w:w="2126" w:type="dxa"/>
            <w:vMerge w:val="restart"/>
            <w:tcBorders>
              <w:top w:val="nil"/>
              <w:left w:val="single" w:color="auto" w:sz="4" w:space="0"/>
              <w:bottom w:val="single" w:color="auto" w:sz="4" w:space="0"/>
              <w:right w:val="single" w:color="auto" w:sz="4" w:space="0"/>
            </w:tcBorders>
            <w:vAlign w:val="center"/>
          </w:tcPr>
          <w:p>
            <w:pPr>
              <w:spacing w:line="300" w:lineRule="exact"/>
              <w:rPr>
                <w:rFonts w:ascii="宋体" w:hAnsi="宋体"/>
              </w:rPr>
            </w:pPr>
            <w:r>
              <w:rPr>
                <w:rFonts w:hint="eastAsia" w:ascii="宋体" w:hAnsi="宋体"/>
              </w:rPr>
              <w:t>政策法规和综合监管股、卫生计生监督执法大队</w:t>
            </w:r>
          </w:p>
        </w:tc>
        <w:tc>
          <w:tcPr>
            <w:tcW w:w="1450"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2023年11月30日前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23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43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10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1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0" w:type="dxa"/>
            <w:vMerge w:val="restart"/>
            <w:tcBorders>
              <w:top w:val="nil"/>
              <w:left w:val="single" w:color="auto" w:sz="4" w:space="0"/>
              <w:bottom w:val="single" w:color="auto" w:sz="4" w:space="0"/>
              <w:right w:val="single" w:color="auto" w:sz="4" w:space="0"/>
            </w:tcBorders>
            <w:noWrap/>
            <w:vAlign w:val="center"/>
          </w:tcPr>
          <w:p>
            <w:pPr>
              <w:spacing w:line="300" w:lineRule="exact"/>
              <w:jc w:val="center"/>
              <w:rPr>
                <w:rFonts w:ascii="宋体" w:hAnsi="宋体"/>
              </w:rPr>
            </w:pPr>
            <w:r>
              <w:rPr>
                <w:rFonts w:hint="eastAsia" w:ascii="宋体" w:hAnsi="宋体"/>
              </w:rPr>
              <w:t>5</w:t>
            </w:r>
          </w:p>
        </w:tc>
        <w:tc>
          <w:tcPr>
            <w:tcW w:w="2339" w:type="dxa"/>
            <w:vMerge w:val="restart"/>
            <w:tcBorders>
              <w:top w:val="nil"/>
              <w:left w:val="single" w:color="auto" w:sz="4" w:space="0"/>
              <w:bottom w:val="single" w:color="auto" w:sz="4" w:space="0"/>
              <w:right w:val="single" w:color="auto" w:sz="4" w:space="0"/>
            </w:tcBorders>
            <w:noWrap/>
            <w:vAlign w:val="center"/>
          </w:tcPr>
          <w:p>
            <w:pPr>
              <w:spacing w:line="300" w:lineRule="exact"/>
              <w:jc w:val="center"/>
              <w:rPr>
                <w:rFonts w:ascii="宋体" w:hAnsi="宋体"/>
              </w:rPr>
            </w:pPr>
            <w:r>
              <w:rPr>
                <w:rFonts w:hint="eastAsia" w:ascii="宋体" w:hAnsi="宋体"/>
              </w:rPr>
              <w:t>对学校、公共场所卫生监督检查</w:t>
            </w:r>
          </w:p>
        </w:tc>
        <w:tc>
          <w:tcPr>
            <w:tcW w:w="4305" w:type="dxa"/>
            <w:vMerge w:val="restart"/>
            <w:tcBorders>
              <w:top w:val="nil"/>
              <w:left w:val="single" w:color="auto" w:sz="4" w:space="0"/>
              <w:bottom w:val="single" w:color="auto" w:sz="4" w:space="0"/>
              <w:right w:val="single" w:color="auto" w:sz="4" w:space="0"/>
            </w:tcBorders>
            <w:vAlign w:val="center"/>
          </w:tcPr>
          <w:p>
            <w:pPr>
              <w:spacing w:line="300" w:lineRule="exact"/>
              <w:rPr>
                <w:rFonts w:ascii="宋体" w:hAnsi="宋体"/>
              </w:rPr>
            </w:pPr>
            <w:r>
              <w:rPr>
                <w:rFonts w:hint="eastAsia" w:ascii="宋体" w:hAnsi="宋体"/>
              </w:rPr>
              <w:t>对学校、公共场所卫生工作情况及卫生条件是否符合相关法律法规进行监督检查</w:t>
            </w:r>
          </w:p>
        </w:tc>
        <w:tc>
          <w:tcPr>
            <w:tcW w:w="1082" w:type="dxa"/>
            <w:vMerge w:val="restart"/>
            <w:tcBorders>
              <w:top w:val="nil"/>
              <w:left w:val="single" w:color="auto" w:sz="4" w:space="0"/>
              <w:bottom w:val="single" w:color="auto" w:sz="4" w:space="0"/>
              <w:right w:val="single" w:color="auto" w:sz="4" w:space="0"/>
            </w:tcBorders>
            <w:vAlign w:val="center"/>
          </w:tcPr>
          <w:p>
            <w:pPr>
              <w:spacing w:line="300" w:lineRule="exact"/>
              <w:rPr>
                <w:rFonts w:ascii="宋体" w:hAnsi="宋体"/>
              </w:rPr>
            </w:pPr>
            <w:r>
              <w:rPr>
                <w:rFonts w:hint="eastAsia" w:ascii="宋体" w:hAnsi="宋体"/>
              </w:rPr>
              <w:t>全区中小学校；公共场所</w:t>
            </w:r>
          </w:p>
        </w:tc>
        <w:tc>
          <w:tcPr>
            <w:tcW w:w="1134"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20%</w:t>
            </w:r>
          </w:p>
        </w:tc>
        <w:tc>
          <w:tcPr>
            <w:tcW w:w="1134" w:type="dxa"/>
            <w:vMerge w:val="restart"/>
            <w:tcBorders>
              <w:top w:val="nil"/>
              <w:left w:val="single" w:color="auto" w:sz="4" w:space="0"/>
              <w:bottom w:val="single" w:color="auto" w:sz="4" w:space="0"/>
              <w:right w:val="single" w:color="auto" w:sz="4" w:space="0"/>
            </w:tcBorders>
            <w:vAlign w:val="center"/>
          </w:tcPr>
          <w:p>
            <w:pPr>
              <w:spacing w:line="300" w:lineRule="exact"/>
              <w:rPr>
                <w:rFonts w:ascii="宋体" w:hAnsi="宋体"/>
              </w:rPr>
            </w:pPr>
            <w:r>
              <w:rPr>
                <w:rFonts w:hint="eastAsia" w:ascii="宋体" w:hAnsi="宋体"/>
              </w:rPr>
              <w:t>查阅资料</w:t>
            </w:r>
          </w:p>
          <w:p>
            <w:pPr>
              <w:spacing w:line="300" w:lineRule="exact"/>
              <w:rPr>
                <w:rFonts w:ascii="宋体" w:hAnsi="宋体"/>
              </w:rPr>
            </w:pPr>
            <w:r>
              <w:rPr>
                <w:rFonts w:hint="eastAsia" w:ascii="宋体" w:hAnsi="宋体"/>
              </w:rPr>
              <w:t>现场检查</w:t>
            </w:r>
          </w:p>
        </w:tc>
        <w:tc>
          <w:tcPr>
            <w:tcW w:w="2126" w:type="dxa"/>
            <w:vMerge w:val="restart"/>
            <w:tcBorders>
              <w:top w:val="nil"/>
              <w:left w:val="single" w:color="auto" w:sz="4" w:space="0"/>
              <w:bottom w:val="single" w:color="auto" w:sz="4" w:space="0"/>
              <w:right w:val="single" w:color="auto" w:sz="4" w:space="0"/>
            </w:tcBorders>
            <w:vAlign w:val="center"/>
          </w:tcPr>
          <w:p>
            <w:pPr>
              <w:spacing w:line="300" w:lineRule="exact"/>
              <w:rPr>
                <w:rFonts w:ascii="宋体" w:hAnsi="宋体"/>
              </w:rPr>
            </w:pPr>
            <w:r>
              <w:rPr>
                <w:rFonts w:hint="eastAsia" w:ascii="宋体" w:hAnsi="宋体"/>
              </w:rPr>
              <w:t>政策法规和综合监管股、卫生计生监督执法大队</w:t>
            </w:r>
          </w:p>
        </w:tc>
        <w:tc>
          <w:tcPr>
            <w:tcW w:w="1450"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2023年11月30日前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23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43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10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1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0"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rPr>
              <w:t>6</w:t>
            </w:r>
          </w:p>
        </w:tc>
        <w:tc>
          <w:tcPr>
            <w:tcW w:w="233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rPr>
              <w:t>对供水单位（含二次供水）的卫生监督检查</w:t>
            </w:r>
          </w:p>
        </w:tc>
        <w:tc>
          <w:tcPr>
            <w:tcW w:w="4305"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rPr>
            </w:pPr>
            <w:r>
              <w:rPr>
                <w:rFonts w:hint="eastAsia" w:ascii="宋体" w:hAnsi="宋体"/>
              </w:rPr>
              <w:t>1、供水单位供应的饮用水是否符合国家生活饮用水卫生标准；</w:t>
            </w:r>
          </w:p>
          <w:p>
            <w:pPr>
              <w:spacing w:line="280" w:lineRule="exact"/>
              <w:rPr>
                <w:rFonts w:ascii="宋体" w:hAnsi="宋体"/>
              </w:rPr>
            </w:pPr>
            <w:r>
              <w:rPr>
                <w:rFonts w:hint="eastAsia" w:ascii="宋体" w:hAnsi="宋体"/>
              </w:rPr>
              <w:t>2、供水单位新建、改建、扩建的饮用水供水工程项目，是否符合卫生要求；</w:t>
            </w:r>
          </w:p>
          <w:p>
            <w:pPr>
              <w:spacing w:line="280" w:lineRule="exact"/>
              <w:rPr>
                <w:rFonts w:ascii="宋体" w:hAnsi="宋体"/>
              </w:rPr>
            </w:pPr>
            <w:r>
              <w:rPr>
                <w:rFonts w:hint="eastAsia" w:ascii="宋体" w:hAnsi="宋体"/>
              </w:rPr>
              <w:t>3、供水单位是否建立饮用水卫生管理规章制度，配备专职或兼职人员，负责饮用水卫生管理工作；</w:t>
            </w:r>
          </w:p>
          <w:p>
            <w:pPr>
              <w:spacing w:line="280" w:lineRule="exact"/>
              <w:rPr>
                <w:rFonts w:ascii="宋体" w:hAnsi="宋体"/>
              </w:rPr>
            </w:pPr>
            <w:r>
              <w:rPr>
                <w:rFonts w:hint="eastAsia" w:ascii="宋体" w:hAnsi="宋体"/>
              </w:rPr>
              <w:t>4、集中式供水单位是否对水质进行日常性检验，并向当地人民政府卫生行政部门和建设行政主管部门报送检测资料；</w:t>
            </w:r>
          </w:p>
          <w:p>
            <w:pPr>
              <w:spacing w:line="280" w:lineRule="exact"/>
              <w:rPr>
                <w:rFonts w:ascii="宋体" w:hAnsi="宋体"/>
              </w:rPr>
            </w:pPr>
            <w:r>
              <w:rPr>
                <w:rFonts w:hint="eastAsia" w:ascii="宋体" w:hAnsi="宋体"/>
              </w:rPr>
              <w:t>5、直接从事供、管水的人员是否取得体检合格证。</w:t>
            </w:r>
          </w:p>
        </w:tc>
        <w:tc>
          <w:tcPr>
            <w:tcW w:w="1082"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rPr>
            </w:pPr>
            <w:r>
              <w:rPr>
                <w:rFonts w:hint="eastAsia" w:ascii="宋体" w:hAnsi="宋体"/>
              </w:rPr>
              <w:t>全区日供水1000吨的集中式供水及使用二次供水设施供水的单位</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rPr>
            </w:pPr>
            <w:r>
              <w:rPr>
                <w:rFonts w:hint="eastAsia" w:ascii="宋体" w:hAnsi="宋体"/>
              </w:rPr>
              <w:t>20%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rPr>
            </w:pPr>
            <w:r>
              <w:rPr>
                <w:rFonts w:hint="eastAsia" w:ascii="宋体" w:hAnsi="宋体"/>
              </w:rPr>
              <w:t>查阅资料</w:t>
            </w:r>
          </w:p>
          <w:p>
            <w:pPr>
              <w:spacing w:line="280" w:lineRule="exact"/>
              <w:rPr>
                <w:rFonts w:ascii="宋体" w:hAnsi="宋体"/>
              </w:rPr>
            </w:pPr>
            <w:r>
              <w:rPr>
                <w:rFonts w:hint="eastAsia" w:ascii="宋体" w:hAnsi="宋体"/>
              </w:rPr>
              <w:t>现场检查</w:t>
            </w:r>
          </w:p>
        </w:tc>
        <w:tc>
          <w:tcPr>
            <w:tcW w:w="2126" w:type="dxa"/>
            <w:tcBorders>
              <w:top w:val="single" w:color="auto" w:sz="4" w:space="0"/>
              <w:left w:val="single" w:color="auto" w:sz="4" w:space="0"/>
              <w:bottom w:val="single" w:color="auto" w:sz="4" w:space="0"/>
              <w:right w:val="single" w:color="auto" w:sz="4" w:space="0"/>
            </w:tcBorders>
            <w:noWrap/>
            <w:vAlign w:val="center"/>
          </w:tcPr>
          <w:p>
            <w:r>
              <w:rPr>
                <w:rFonts w:hint="eastAsia" w:ascii="宋体" w:hAnsi="宋体"/>
              </w:rPr>
              <w:t>政策法规和综合监管股、卫生计生监督执法大队</w:t>
            </w:r>
          </w:p>
        </w:tc>
        <w:tc>
          <w:tcPr>
            <w:tcW w:w="14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rPr>
            </w:pPr>
            <w:r>
              <w:rPr>
                <w:rFonts w:hint="eastAsia" w:ascii="宋体" w:hAnsi="宋体"/>
              </w:rPr>
              <w:t>2023年11月30日前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510" w:type="dxa"/>
            <w:tcBorders>
              <w:top w:val="nil"/>
              <w:left w:val="single" w:color="auto" w:sz="4" w:space="0"/>
              <w:bottom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rPr>
              <w:t>7</w:t>
            </w:r>
          </w:p>
        </w:tc>
        <w:tc>
          <w:tcPr>
            <w:tcW w:w="2339" w:type="dxa"/>
            <w:tcBorders>
              <w:top w:val="nil"/>
              <w:left w:val="single" w:color="auto" w:sz="4" w:space="0"/>
              <w:bottom w:val="single" w:color="auto" w:sz="4" w:space="0"/>
              <w:right w:val="single" w:color="auto" w:sz="4" w:space="0"/>
            </w:tcBorders>
            <w:noWrap/>
            <w:vAlign w:val="center"/>
          </w:tcPr>
          <w:p>
            <w:pPr>
              <w:spacing w:line="280" w:lineRule="exact"/>
              <w:rPr>
                <w:rFonts w:ascii="宋体" w:hAnsi="宋体"/>
              </w:rPr>
            </w:pPr>
            <w:r>
              <w:rPr>
                <w:rFonts w:hint="eastAsia" w:ascii="宋体" w:hAnsi="宋体"/>
              </w:rPr>
              <w:t>医院感染专项检查</w:t>
            </w:r>
          </w:p>
        </w:tc>
        <w:tc>
          <w:tcPr>
            <w:tcW w:w="4305" w:type="dxa"/>
            <w:tcBorders>
              <w:top w:val="nil"/>
              <w:left w:val="single" w:color="auto" w:sz="4" w:space="0"/>
              <w:bottom w:val="single" w:color="auto" w:sz="4" w:space="0"/>
              <w:right w:val="single" w:color="auto" w:sz="4" w:space="0"/>
            </w:tcBorders>
            <w:vAlign w:val="center"/>
          </w:tcPr>
          <w:p>
            <w:pPr>
              <w:spacing w:line="280" w:lineRule="exact"/>
              <w:rPr>
                <w:rFonts w:ascii="宋体" w:hAnsi="宋体"/>
              </w:rPr>
            </w:pPr>
            <w:r>
              <w:rPr>
                <w:rFonts w:hint="eastAsia" w:ascii="宋体" w:hAnsi="宋体"/>
              </w:rPr>
              <w:t>1、消毒灭菌情况；</w:t>
            </w:r>
          </w:p>
          <w:p>
            <w:pPr>
              <w:spacing w:line="280" w:lineRule="exact"/>
              <w:rPr>
                <w:rFonts w:ascii="宋体" w:hAnsi="宋体"/>
              </w:rPr>
            </w:pPr>
            <w:r>
              <w:rPr>
                <w:rFonts w:hint="eastAsia" w:ascii="宋体" w:hAnsi="宋体"/>
              </w:rPr>
              <w:t>2、医院感染监测情况；</w:t>
            </w:r>
          </w:p>
          <w:p>
            <w:pPr>
              <w:spacing w:line="280" w:lineRule="exact"/>
              <w:rPr>
                <w:rFonts w:ascii="宋体" w:hAnsi="宋体"/>
              </w:rPr>
            </w:pPr>
            <w:r>
              <w:rPr>
                <w:rFonts w:hint="eastAsia" w:ascii="宋体" w:hAnsi="宋体"/>
              </w:rPr>
              <w:t>3、抗菌药物合理使用；</w:t>
            </w:r>
          </w:p>
          <w:p>
            <w:pPr>
              <w:spacing w:line="280" w:lineRule="exact"/>
              <w:rPr>
                <w:rFonts w:ascii="宋体" w:hAnsi="宋体"/>
              </w:rPr>
            </w:pPr>
            <w:r>
              <w:rPr>
                <w:rFonts w:hint="eastAsia" w:ascii="宋体" w:hAnsi="宋体"/>
              </w:rPr>
              <w:t>4、医疗废物、废水管理等；</w:t>
            </w:r>
          </w:p>
          <w:p>
            <w:pPr>
              <w:spacing w:line="280" w:lineRule="exact"/>
              <w:rPr>
                <w:rFonts w:ascii="宋体" w:hAnsi="宋体"/>
              </w:rPr>
            </w:pPr>
            <w:r>
              <w:rPr>
                <w:rFonts w:hint="eastAsia" w:ascii="宋体" w:hAnsi="宋体"/>
              </w:rPr>
              <w:t>5、医务人员院感防护培训</w:t>
            </w:r>
          </w:p>
        </w:tc>
        <w:tc>
          <w:tcPr>
            <w:tcW w:w="1082" w:type="dxa"/>
            <w:tcBorders>
              <w:top w:val="nil"/>
              <w:left w:val="single" w:color="auto" w:sz="4" w:space="0"/>
              <w:bottom w:val="single" w:color="auto" w:sz="4" w:space="0"/>
              <w:right w:val="single" w:color="auto" w:sz="4" w:space="0"/>
            </w:tcBorders>
            <w:vAlign w:val="center"/>
          </w:tcPr>
          <w:p>
            <w:pPr>
              <w:spacing w:line="280" w:lineRule="exact"/>
              <w:rPr>
                <w:rFonts w:ascii="宋体" w:hAnsi="宋体"/>
              </w:rPr>
            </w:pPr>
            <w:r>
              <w:rPr>
                <w:rFonts w:hint="eastAsia" w:ascii="宋体" w:hAnsi="宋体"/>
              </w:rPr>
              <w:t>全区各级各类医疗机构</w:t>
            </w:r>
          </w:p>
        </w:tc>
        <w:tc>
          <w:tcPr>
            <w:tcW w:w="1134"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rPr>
            </w:pPr>
            <w:r>
              <w:rPr>
                <w:rFonts w:hint="eastAsia" w:ascii="宋体" w:hAnsi="宋体"/>
              </w:rPr>
              <w:t>医院20%、其他医疗机构5%</w:t>
            </w:r>
          </w:p>
        </w:tc>
        <w:tc>
          <w:tcPr>
            <w:tcW w:w="1134" w:type="dxa"/>
            <w:tcBorders>
              <w:top w:val="nil"/>
              <w:left w:val="single" w:color="auto" w:sz="4" w:space="0"/>
              <w:bottom w:val="single" w:color="auto" w:sz="4" w:space="0"/>
              <w:right w:val="single" w:color="auto" w:sz="4" w:space="0"/>
            </w:tcBorders>
            <w:vAlign w:val="center"/>
          </w:tcPr>
          <w:p>
            <w:pPr>
              <w:spacing w:line="280" w:lineRule="exact"/>
              <w:rPr>
                <w:rFonts w:ascii="宋体" w:hAnsi="宋体"/>
              </w:rPr>
            </w:pPr>
            <w:r>
              <w:rPr>
                <w:rFonts w:hint="eastAsia" w:ascii="宋体" w:hAnsi="宋体"/>
              </w:rPr>
              <w:t>查阅资料</w:t>
            </w:r>
          </w:p>
          <w:p>
            <w:pPr>
              <w:spacing w:line="280" w:lineRule="exact"/>
              <w:rPr>
                <w:rFonts w:ascii="宋体" w:hAnsi="宋体"/>
              </w:rPr>
            </w:pPr>
            <w:r>
              <w:rPr>
                <w:rFonts w:hint="eastAsia" w:ascii="宋体" w:hAnsi="宋体"/>
              </w:rPr>
              <w:t>现场检查</w:t>
            </w:r>
          </w:p>
          <w:p>
            <w:pPr>
              <w:spacing w:line="280" w:lineRule="exact"/>
              <w:rPr>
                <w:rFonts w:ascii="宋体" w:hAnsi="宋体"/>
              </w:rPr>
            </w:pPr>
          </w:p>
        </w:tc>
        <w:tc>
          <w:tcPr>
            <w:tcW w:w="2126" w:type="dxa"/>
            <w:tcBorders>
              <w:top w:val="nil"/>
              <w:left w:val="single" w:color="auto" w:sz="4" w:space="0"/>
              <w:bottom w:val="single" w:color="auto" w:sz="4" w:space="0"/>
              <w:right w:val="single" w:color="auto" w:sz="4" w:space="0"/>
            </w:tcBorders>
            <w:vAlign w:val="center"/>
          </w:tcPr>
          <w:p>
            <w:r>
              <w:rPr>
                <w:rFonts w:hint="eastAsia" w:ascii="宋体" w:hAnsi="宋体"/>
              </w:rPr>
              <w:t>政策法规和综合监管股、卫生计生监督执法大队</w:t>
            </w:r>
          </w:p>
        </w:tc>
        <w:tc>
          <w:tcPr>
            <w:tcW w:w="1450"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rPr>
            </w:pPr>
            <w:r>
              <w:rPr>
                <w:rFonts w:hint="eastAsia" w:ascii="宋体" w:hAnsi="宋体"/>
              </w:rPr>
              <w:t>2023年11月30日前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0" w:type="dxa"/>
            <w:vMerge w:val="restart"/>
            <w:tcBorders>
              <w:top w:val="nil"/>
              <w:left w:val="single" w:color="auto" w:sz="4" w:space="0"/>
              <w:bottom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rPr>
              <w:t>8</w:t>
            </w:r>
          </w:p>
        </w:tc>
        <w:tc>
          <w:tcPr>
            <w:tcW w:w="2339" w:type="dxa"/>
            <w:vMerge w:val="restart"/>
            <w:tcBorders>
              <w:top w:val="nil"/>
              <w:left w:val="single" w:color="auto" w:sz="4" w:space="0"/>
              <w:bottom w:val="single" w:color="auto" w:sz="4" w:space="0"/>
              <w:right w:val="single" w:color="auto" w:sz="4" w:space="0"/>
            </w:tcBorders>
            <w:vAlign w:val="center"/>
          </w:tcPr>
          <w:p>
            <w:pPr>
              <w:spacing w:line="280" w:lineRule="exact"/>
              <w:rPr>
                <w:rFonts w:ascii="宋体" w:hAnsi="宋体"/>
              </w:rPr>
            </w:pPr>
            <w:r>
              <w:rPr>
                <w:rFonts w:hint="eastAsia" w:ascii="宋体" w:hAnsi="宋体"/>
              </w:rPr>
              <w:t>用人单位职业卫生检查</w:t>
            </w:r>
          </w:p>
        </w:tc>
        <w:tc>
          <w:tcPr>
            <w:tcW w:w="4305" w:type="dxa"/>
            <w:vMerge w:val="restart"/>
            <w:tcBorders>
              <w:top w:val="nil"/>
              <w:left w:val="single" w:color="auto" w:sz="4" w:space="0"/>
              <w:bottom w:val="single" w:color="auto" w:sz="4" w:space="0"/>
              <w:right w:val="single" w:color="auto" w:sz="4" w:space="0"/>
            </w:tcBorders>
            <w:vAlign w:val="center"/>
          </w:tcPr>
          <w:p>
            <w:pPr>
              <w:spacing w:line="280" w:lineRule="exact"/>
              <w:rPr>
                <w:rFonts w:ascii="宋体" w:hAnsi="宋体"/>
              </w:rPr>
            </w:pPr>
            <w:r>
              <w:rPr>
                <w:rFonts w:hint="eastAsia" w:ascii="宋体" w:hAnsi="宋体"/>
              </w:rPr>
              <w:t>职业卫生管理规章制度建设；职业卫生健康档案；职业健康培训；单位“三同时”检查；职业健康体检情况；职业危害现状评价、检测情况；对劳动者的职业防护等情况检查。</w:t>
            </w:r>
          </w:p>
        </w:tc>
        <w:tc>
          <w:tcPr>
            <w:tcW w:w="1082" w:type="dxa"/>
            <w:vMerge w:val="restart"/>
            <w:tcBorders>
              <w:top w:val="nil"/>
              <w:left w:val="single" w:color="auto" w:sz="4" w:space="0"/>
              <w:bottom w:val="single" w:color="auto" w:sz="4" w:space="0"/>
              <w:right w:val="single" w:color="auto" w:sz="4" w:space="0"/>
            </w:tcBorders>
            <w:vAlign w:val="center"/>
          </w:tcPr>
          <w:p>
            <w:pPr>
              <w:spacing w:line="280" w:lineRule="exact"/>
              <w:rPr>
                <w:rFonts w:ascii="宋体" w:hAnsi="宋体"/>
              </w:rPr>
            </w:pPr>
            <w:r>
              <w:rPr>
                <w:rFonts w:hint="eastAsia" w:ascii="宋体" w:hAnsi="宋体"/>
              </w:rPr>
              <w:t>涉及职业危害用人单位</w:t>
            </w:r>
          </w:p>
        </w:tc>
        <w:tc>
          <w:tcPr>
            <w:tcW w:w="1134" w:type="dxa"/>
            <w:vMerge w:val="restart"/>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rPr>
            </w:pPr>
            <w:r>
              <w:rPr>
                <w:rFonts w:hint="eastAsia" w:ascii="宋体" w:hAnsi="宋体"/>
              </w:rPr>
              <w:t>5%</w:t>
            </w:r>
          </w:p>
        </w:tc>
        <w:tc>
          <w:tcPr>
            <w:tcW w:w="1134" w:type="dxa"/>
            <w:vMerge w:val="restart"/>
            <w:tcBorders>
              <w:top w:val="nil"/>
              <w:left w:val="single" w:color="auto" w:sz="4" w:space="0"/>
              <w:bottom w:val="single" w:color="auto" w:sz="4" w:space="0"/>
              <w:right w:val="single" w:color="auto" w:sz="4" w:space="0"/>
            </w:tcBorders>
            <w:vAlign w:val="center"/>
          </w:tcPr>
          <w:p>
            <w:pPr>
              <w:spacing w:line="280" w:lineRule="exact"/>
              <w:rPr>
                <w:rFonts w:ascii="宋体" w:hAnsi="宋体"/>
              </w:rPr>
            </w:pPr>
            <w:r>
              <w:rPr>
                <w:rFonts w:hint="eastAsia" w:ascii="宋体" w:hAnsi="宋体"/>
              </w:rPr>
              <w:t>查阅资料</w:t>
            </w:r>
          </w:p>
          <w:p>
            <w:pPr>
              <w:spacing w:line="280" w:lineRule="exact"/>
              <w:rPr>
                <w:rFonts w:ascii="宋体" w:hAnsi="宋体"/>
              </w:rPr>
            </w:pPr>
            <w:r>
              <w:rPr>
                <w:rFonts w:hint="eastAsia" w:ascii="宋体" w:hAnsi="宋体"/>
              </w:rPr>
              <w:t>现场检查</w:t>
            </w:r>
          </w:p>
        </w:tc>
        <w:tc>
          <w:tcPr>
            <w:tcW w:w="2126" w:type="dxa"/>
            <w:vMerge w:val="restart"/>
            <w:tcBorders>
              <w:top w:val="nil"/>
              <w:left w:val="single" w:color="auto" w:sz="4" w:space="0"/>
              <w:bottom w:val="single" w:color="auto" w:sz="4" w:space="0"/>
              <w:right w:val="single" w:color="auto" w:sz="4" w:space="0"/>
            </w:tcBorders>
            <w:vAlign w:val="center"/>
          </w:tcPr>
          <w:p>
            <w:pPr>
              <w:spacing w:line="280" w:lineRule="exact"/>
              <w:rPr>
                <w:rFonts w:ascii="宋体" w:hAnsi="宋体"/>
              </w:rPr>
            </w:pPr>
            <w:r>
              <w:rPr>
                <w:rFonts w:hint="eastAsia" w:ascii="宋体" w:hAnsi="宋体"/>
              </w:rPr>
              <w:t>政策法规和综合监管股、卫生计生监督执法大队</w:t>
            </w:r>
          </w:p>
        </w:tc>
        <w:tc>
          <w:tcPr>
            <w:tcW w:w="1450" w:type="dxa"/>
            <w:vMerge w:val="restart"/>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rPr>
            </w:pPr>
            <w:r>
              <w:rPr>
                <w:rFonts w:hint="eastAsia" w:ascii="宋体" w:hAnsi="宋体"/>
              </w:rPr>
              <w:t>2023年11月30日前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5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23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43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10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14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r>
    </w:tbl>
    <w:p>
      <w:pPr>
        <w:widowControl/>
        <w:jc w:val="left"/>
        <w:rPr>
          <w:rFonts w:ascii="宋体" w:hAnsi="宋体"/>
          <w:sz w:val="32"/>
          <w:szCs w:val="32"/>
        </w:rPr>
        <w:sectPr>
          <w:pgSz w:w="16838" w:h="11906" w:orient="landscape"/>
          <w:pgMar w:top="1803" w:right="1440" w:bottom="1803" w:left="1440" w:header="851" w:footer="1304" w:gutter="0"/>
          <w:pgNumType w:fmt="numberInDash"/>
          <w:cols w:space="720" w:num="1"/>
          <w:docGrid w:type="lines" w:linePitch="312" w:charSpace="0"/>
        </w:sectPr>
      </w:pPr>
    </w:p>
    <w:p>
      <w:pPr>
        <w:jc w:val="center"/>
        <w:rPr>
          <w:rFonts w:ascii="方正小标宋简体" w:hAnsi="方正小标宋_GBK" w:eastAsia="方正小标宋简体" w:cs="方正小标宋_GBK"/>
          <w:sz w:val="44"/>
          <w:szCs w:val="44"/>
        </w:rPr>
      </w:pPr>
      <w:r>
        <w:rPr>
          <w:rFonts w:hint="eastAsia" w:ascii="黑体" w:hAnsi="黑体" w:eastAsia="黑体"/>
          <w:sz w:val="32"/>
          <w:szCs w:val="32"/>
        </w:rPr>
        <w:t>2023年部门联合随机抽查工作计划表</w:t>
      </w:r>
    </w:p>
    <w:tbl>
      <w:tblPr>
        <w:tblStyle w:val="13"/>
        <w:tblW w:w="13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339"/>
        <w:gridCol w:w="3969"/>
        <w:gridCol w:w="1418"/>
        <w:gridCol w:w="1134"/>
        <w:gridCol w:w="1174"/>
        <w:gridCol w:w="1553"/>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序号</w:t>
            </w:r>
          </w:p>
        </w:tc>
        <w:tc>
          <w:tcPr>
            <w:tcW w:w="63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抽查项目</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检查对象</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抽查比例或户数</w:t>
            </w:r>
          </w:p>
        </w:tc>
        <w:tc>
          <w:tcPr>
            <w:tcW w:w="11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检查方式</w:t>
            </w:r>
          </w:p>
        </w:tc>
        <w:tc>
          <w:tcPr>
            <w:tcW w:w="155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联合部门</w:t>
            </w:r>
          </w:p>
        </w:tc>
        <w:tc>
          <w:tcPr>
            <w:tcW w:w="142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抽查类别</w:t>
            </w:r>
          </w:p>
        </w:tc>
        <w:tc>
          <w:tcPr>
            <w:tcW w:w="39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抽查事项</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5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jc w:val="center"/>
        </w:trPr>
        <w:tc>
          <w:tcPr>
            <w:tcW w:w="5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rPr>
            </w:pPr>
            <w:r>
              <w:rPr>
                <w:rFonts w:hint="eastAsia" w:ascii="宋体" w:hAnsi="宋体"/>
              </w:rPr>
              <w:t>1</w:t>
            </w:r>
          </w:p>
        </w:tc>
        <w:tc>
          <w:tcPr>
            <w:tcW w:w="233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r>
              <w:rPr>
                <w:rFonts w:hint="eastAsia" w:ascii="宋体" w:hAnsi="宋体"/>
              </w:rPr>
              <w:t>职业病防治监督检查</w:t>
            </w:r>
          </w:p>
        </w:tc>
        <w:tc>
          <w:tcPr>
            <w:tcW w:w="396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spacing w:val="-8"/>
              </w:rPr>
              <w:t>用人单位职业病防治管理措施落实、</w:t>
            </w:r>
            <w:r>
              <w:rPr>
                <w:rFonts w:hint="eastAsia" w:ascii="宋体" w:hAnsi="宋体"/>
              </w:rPr>
              <w:t>职业病危害项目、职业病危害因素日常监测、检测和评价等情况及用人单位劳动合同签订、职业病本人工伤保险权益享受情况。</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全区矿山、冶金、建材、化工等重点行业领域的企事业单位。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查阅资料</w:t>
            </w:r>
          </w:p>
          <w:p>
            <w:pPr>
              <w:jc w:val="center"/>
              <w:rPr>
                <w:rFonts w:ascii="宋体" w:hAnsi="宋体"/>
              </w:rPr>
            </w:pPr>
            <w:r>
              <w:rPr>
                <w:rFonts w:hint="eastAsia" w:ascii="宋体" w:hAnsi="宋体"/>
              </w:rPr>
              <w:t>现场检查</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区人社局</w:t>
            </w:r>
          </w:p>
        </w:tc>
        <w:tc>
          <w:tcPr>
            <w:tcW w:w="1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2023年10月底前</w:t>
            </w:r>
          </w:p>
        </w:tc>
      </w:tr>
    </w:tbl>
    <w:p>
      <w:r>
        <w:t xml:space="preserve">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 </w:t>
      </w:r>
    </w:p>
    <w:p>
      <w:pPr>
        <w:widowControl/>
        <w:jc w:val="left"/>
        <w:rPr>
          <w:rFonts w:ascii="黑体" w:hAnsi="黑体" w:eastAsia="黑体" w:cs="宋体"/>
          <w:sz w:val="32"/>
          <w:szCs w:val="32"/>
        </w:rPr>
        <w:sectPr>
          <w:pgSz w:w="16838" w:h="11906" w:orient="landscape"/>
          <w:pgMar w:top="1587" w:right="2098" w:bottom="1474" w:left="1984" w:header="851" w:footer="1417" w:gutter="0"/>
          <w:pgNumType w:fmt="numberInDash"/>
          <w:cols w:space="720" w:num="1"/>
          <w:docGrid w:type="lines" w:linePitch="312" w:charSpace="0"/>
        </w:sectPr>
      </w:pPr>
    </w:p>
    <w:p>
      <w:pPr>
        <w:spacing w:line="560" w:lineRule="exact"/>
        <w:ind w:firstLine="1760" w:firstLineChars="550"/>
        <w:rPr>
          <w:rFonts w:ascii="黑体" w:hAnsi="黑体" w:eastAsia="黑体"/>
          <w:sz w:val="32"/>
          <w:szCs w:val="32"/>
        </w:rPr>
      </w:pPr>
      <w:r>
        <w:rPr>
          <w:rFonts w:hint="eastAsia" w:ascii="黑体" w:hAnsi="黑体" w:eastAsia="黑体"/>
          <w:sz w:val="32"/>
          <w:szCs w:val="32"/>
        </w:rPr>
        <w:t>2023年国家卫生健康委员会抽查名单</w:t>
      </w:r>
    </w:p>
    <w:tbl>
      <w:tblPr>
        <w:tblStyle w:val="13"/>
        <w:tblW w:w="923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4890"/>
        <w:gridCol w:w="1033"/>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1" w:type="dxa"/>
            <w:vMerge w:val="restart"/>
            <w:noWrap/>
            <w:vAlign w:val="center"/>
          </w:tcPr>
          <w:p>
            <w:pPr>
              <w:jc w:val="center"/>
              <w:rPr>
                <w:rFonts w:ascii="宋体" w:hAnsi="宋体"/>
              </w:rPr>
            </w:pPr>
            <w:r>
              <w:rPr>
                <w:rFonts w:hint="eastAsia" w:ascii="宋体" w:hAnsi="宋体"/>
              </w:rPr>
              <w:t>任务类型</w:t>
            </w:r>
          </w:p>
        </w:tc>
        <w:tc>
          <w:tcPr>
            <w:tcW w:w="4890" w:type="dxa"/>
            <w:vMerge w:val="restart"/>
            <w:noWrap/>
            <w:vAlign w:val="center"/>
          </w:tcPr>
          <w:p>
            <w:pPr>
              <w:jc w:val="center"/>
              <w:rPr>
                <w:rFonts w:ascii="宋体" w:hAnsi="宋体"/>
              </w:rPr>
            </w:pPr>
            <w:r>
              <w:rPr>
                <w:rFonts w:hint="eastAsia" w:ascii="宋体" w:hAnsi="宋体"/>
              </w:rPr>
              <w:t>被监督单位</w:t>
            </w:r>
          </w:p>
        </w:tc>
        <w:tc>
          <w:tcPr>
            <w:tcW w:w="2201" w:type="dxa"/>
            <w:gridSpan w:val="2"/>
            <w:noWrap/>
            <w:vAlign w:val="center"/>
          </w:tcPr>
          <w:p>
            <w:pPr>
              <w:jc w:val="center"/>
              <w:rPr>
                <w:rFonts w:ascii="宋体" w:hAnsi="宋体"/>
              </w:rPr>
            </w:pPr>
            <w:r>
              <w:rPr>
                <w:rFonts w:hint="eastAsia" w:ascii="宋体" w:hAnsi="宋体"/>
              </w:rPr>
              <w:t>执法人员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1" w:type="dxa"/>
            <w:vMerge w:val="continue"/>
            <w:vAlign w:val="center"/>
          </w:tcPr>
          <w:p>
            <w:pPr>
              <w:widowControl/>
              <w:jc w:val="center"/>
              <w:rPr>
                <w:rFonts w:ascii="宋体" w:hAnsi="宋体"/>
              </w:rPr>
            </w:pPr>
          </w:p>
        </w:tc>
        <w:tc>
          <w:tcPr>
            <w:tcW w:w="4890" w:type="dxa"/>
            <w:vMerge w:val="continue"/>
            <w:vAlign w:val="center"/>
          </w:tcPr>
          <w:p>
            <w:pPr>
              <w:widowControl/>
              <w:jc w:val="center"/>
              <w:rPr>
                <w:rFonts w:ascii="宋体" w:hAnsi="宋体"/>
              </w:rPr>
            </w:pPr>
          </w:p>
        </w:tc>
        <w:tc>
          <w:tcPr>
            <w:tcW w:w="1033" w:type="dxa"/>
            <w:noWrap/>
            <w:vAlign w:val="center"/>
          </w:tcPr>
          <w:p>
            <w:pPr>
              <w:jc w:val="center"/>
              <w:rPr>
                <w:rFonts w:ascii="宋体" w:hAnsi="宋体"/>
              </w:rPr>
            </w:pPr>
            <w:r>
              <w:rPr>
                <w:rFonts w:hint="eastAsia" w:ascii="宋体" w:hAnsi="宋体"/>
              </w:rPr>
              <w:t>监督员1</w:t>
            </w:r>
          </w:p>
        </w:tc>
        <w:tc>
          <w:tcPr>
            <w:tcW w:w="1168" w:type="dxa"/>
            <w:noWrap/>
            <w:vAlign w:val="center"/>
          </w:tcPr>
          <w:p>
            <w:pPr>
              <w:jc w:val="center"/>
              <w:rPr>
                <w:rFonts w:ascii="宋体" w:hAnsi="宋体"/>
              </w:rPr>
            </w:pPr>
            <w:r>
              <w:rPr>
                <w:rFonts w:hint="eastAsia" w:ascii="宋体" w:hAnsi="宋体"/>
              </w:rPr>
              <w:t>监督员2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1" w:type="dxa"/>
            <w:noWrap/>
            <w:vAlign w:val="center"/>
          </w:tcPr>
          <w:p>
            <w:pPr>
              <w:widowControl/>
              <w:jc w:val="center"/>
              <w:textAlignment w:val="bottom"/>
              <w:rPr>
                <w:rFonts w:ascii="宋体" w:hAnsi="宋体"/>
              </w:rPr>
            </w:pPr>
            <w:r>
              <w:rPr>
                <w:rFonts w:ascii="Arial" w:hAnsi="Arial" w:cs="Arial"/>
                <w:color w:val="000000"/>
                <w:kern w:val="0"/>
                <w:sz w:val="20"/>
                <w:szCs w:val="20"/>
              </w:rPr>
              <w:t>传染病卫生</w:t>
            </w:r>
          </w:p>
        </w:tc>
        <w:tc>
          <w:tcPr>
            <w:tcW w:w="4890" w:type="dxa"/>
            <w:noWrap/>
            <w:vAlign w:val="center"/>
          </w:tcPr>
          <w:p>
            <w:pPr>
              <w:widowControl/>
              <w:jc w:val="center"/>
              <w:textAlignment w:val="bottom"/>
              <w:rPr>
                <w:rFonts w:ascii="宋体" w:hAnsi="宋体"/>
              </w:rPr>
            </w:pPr>
            <w:r>
              <w:rPr>
                <w:rFonts w:ascii="Arial" w:hAnsi="Arial" w:cs="Arial"/>
                <w:color w:val="000000"/>
                <w:kern w:val="0"/>
                <w:sz w:val="20"/>
                <w:szCs w:val="20"/>
              </w:rPr>
              <w:t>广元市朝天区大滩镇红光村卫生站</w:t>
            </w:r>
          </w:p>
        </w:tc>
        <w:tc>
          <w:tcPr>
            <w:tcW w:w="1033" w:type="dxa"/>
            <w:noWrap/>
            <w:vAlign w:val="center"/>
          </w:tcPr>
          <w:p>
            <w:pPr>
              <w:widowControl/>
              <w:jc w:val="center"/>
              <w:textAlignment w:val="bottom"/>
              <w:rPr>
                <w:rFonts w:ascii="宋体" w:hAnsi="宋体"/>
              </w:rPr>
            </w:pPr>
            <w:r>
              <w:rPr>
                <w:rFonts w:hint="eastAsia" w:ascii="宋体" w:hAnsi="宋体" w:cs="宋体"/>
                <w:color w:val="000000"/>
                <w:kern w:val="0"/>
                <w:sz w:val="20"/>
                <w:szCs w:val="20"/>
              </w:rPr>
              <w:t>张波</w:t>
            </w:r>
          </w:p>
        </w:tc>
        <w:tc>
          <w:tcPr>
            <w:tcW w:w="1168" w:type="dxa"/>
            <w:noWrap/>
            <w:vAlign w:val="center"/>
          </w:tcPr>
          <w:p>
            <w:pPr>
              <w:widowControl/>
              <w:jc w:val="center"/>
              <w:textAlignment w:val="bottom"/>
              <w:rPr>
                <w:rFonts w:ascii="宋体" w:hAnsi="宋体"/>
              </w:rPr>
            </w:pPr>
            <w:r>
              <w:rPr>
                <w:rStyle w:val="44"/>
                <w:rFonts w:hint="default"/>
              </w:rPr>
              <w:t>战应川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1" w:type="dxa"/>
            <w:noWrap/>
            <w:vAlign w:val="center"/>
          </w:tcPr>
          <w:p>
            <w:pPr>
              <w:widowControl/>
              <w:jc w:val="center"/>
              <w:textAlignment w:val="bottom"/>
              <w:rPr>
                <w:rFonts w:ascii="宋体" w:hAnsi="宋体"/>
              </w:rPr>
            </w:pPr>
            <w:r>
              <w:rPr>
                <w:rFonts w:ascii="Arial" w:hAnsi="Arial" w:cs="Arial"/>
                <w:color w:val="000000"/>
                <w:kern w:val="0"/>
                <w:sz w:val="20"/>
                <w:szCs w:val="20"/>
              </w:rPr>
              <w:t>传染病卫生</w:t>
            </w:r>
          </w:p>
        </w:tc>
        <w:tc>
          <w:tcPr>
            <w:tcW w:w="4890" w:type="dxa"/>
            <w:noWrap/>
            <w:vAlign w:val="center"/>
          </w:tcPr>
          <w:p>
            <w:pPr>
              <w:widowControl/>
              <w:jc w:val="center"/>
              <w:textAlignment w:val="bottom"/>
              <w:rPr>
                <w:rFonts w:ascii="宋体" w:hAnsi="宋体"/>
              </w:rPr>
            </w:pPr>
            <w:r>
              <w:rPr>
                <w:rFonts w:ascii="Arial" w:hAnsi="Arial" w:cs="Arial"/>
                <w:color w:val="000000"/>
                <w:kern w:val="0"/>
                <w:sz w:val="20"/>
                <w:szCs w:val="20"/>
              </w:rPr>
              <w:t>广元市朝天区朝天镇金堆村第一卫生站</w:t>
            </w:r>
          </w:p>
        </w:tc>
        <w:tc>
          <w:tcPr>
            <w:tcW w:w="1033" w:type="dxa"/>
            <w:noWrap/>
            <w:vAlign w:val="center"/>
          </w:tcPr>
          <w:p>
            <w:pPr>
              <w:widowControl/>
              <w:jc w:val="center"/>
              <w:textAlignment w:val="bottom"/>
              <w:rPr>
                <w:rFonts w:ascii="宋体" w:hAnsi="宋体"/>
              </w:rPr>
            </w:pPr>
            <w:r>
              <w:rPr>
                <w:rFonts w:ascii="Arial" w:hAnsi="Arial" w:cs="Arial"/>
                <w:color w:val="000000"/>
                <w:kern w:val="0"/>
                <w:sz w:val="20"/>
                <w:szCs w:val="20"/>
              </w:rPr>
              <w:t>刘骦</w:t>
            </w:r>
          </w:p>
        </w:tc>
        <w:tc>
          <w:tcPr>
            <w:tcW w:w="1168" w:type="dxa"/>
            <w:noWrap/>
            <w:vAlign w:val="center"/>
          </w:tcPr>
          <w:p>
            <w:pPr>
              <w:widowControl/>
              <w:jc w:val="center"/>
              <w:textAlignment w:val="bottom"/>
              <w:rPr>
                <w:rFonts w:ascii="宋体" w:hAnsi="宋体"/>
              </w:rPr>
            </w:pPr>
            <w:r>
              <w:rPr>
                <w:rFonts w:ascii="Arial" w:hAnsi="Arial" w:cs="Arial"/>
                <w:color w:val="000000"/>
                <w:kern w:val="0"/>
                <w:sz w:val="20"/>
                <w:szCs w:val="20"/>
              </w:rPr>
              <w:t>张波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1" w:type="dxa"/>
            <w:noWrap/>
            <w:vAlign w:val="center"/>
          </w:tcPr>
          <w:p>
            <w:pPr>
              <w:widowControl/>
              <w:jc w:val="center"/>
              <w:textAlignment w:val="bottom"/>
              <w:rPr>
                <w:rFonts w:ascii="宋体" w:hAnsi="宋体"/>
              </w:rPr>
            </w:pPr>
            <w:r>
              <w:rPr>
                <w:rFonts w:ascii="Arial" w:hAnsi="Arial" w:cs="Arial"/>
                <w:color w:val="000000"/>
                <w:kern w:val="0"/>
                <w:sz w:val="20"/>
                <w:szCs w:val="20"/>
              </w:rPr>
              <w:t>传染病卫生</w:t>
            </w:r>
          </w:p>
        </w:tc>
        <w:tc>
          <w:tcPr>
            <w:tcW w:w="4890" w:type="dxa"/>
            <w:noWrap/>
            <w:vAlign w:val="center"/>
          </w:tcPr>
          <w:p>
            <w:pPr>
              <w:widowControl/>
              <w:jc w:val="center"/>
              <w:textAlignment w:val="bottom"/>
              <w:rPr>
                <w:rFonts w:ascii="宋体" w:hAnsi="宋体"/>
              </w:rPr>
            </w:pPr>
            <w:r>
              <w:rPr>
                <w:rFonts w:ascii="Arial" w:hAnsi="Arial" w:cs="Arial"/>
                <w:color w:val="000000"/>
                <w:kern w:val="0"/>
                <w:sz w:val="20"/>
                <w:szCs w:val="20"/>
              </w:rPr>
              <w:t>广元市朝天区</w:t>
            </w:r>
            <w:r>
              <w:rPr>
                <w:rFonts w:hint="eastAsia" w:ascii="Arial" w:hAnsi="Arial" w:cs="Arial"/>
                <w:color w:val="000000"/>
                <w:kern w:val="0"/>
                <w:sz w:val="20"/>
                <w:szCs w:val="20"/>
              </w:rPr>
              <w:t>中子镇</w:t>
            </w:r>
            <w:r>
              <w:rPr>
                <w:rFonts w:ascii="Arial" w:hAnsi="Arial" w:cs="Arial"/>
                <w:color w:val="000000"/>
                <w:kern w:val="0"/>
                <w:sz w:val="20"/>
                <w:szCs w:val="20"/>
              </w:rPr>
              <w:t>校场村卫生室</w:t>
            </w:r>
          </w:p>
        </w:tc>
        <w:tc>
          <w:tcPr>
            <w:tcW w:w="1033" w:type="dxa"/>
            <w:noWrap/>
            <w:vAlign w:val="center"/>
          </w:tcPr>
          <w:p>
            <w:pPr>
              <w:widowControl/>
              <w:jc w:val="center"/>
              <w:textAlignment w:val="bottom"/>
              <w:rPr>
                <w:rFonts w:ascii="宋体" w:hAnsi="宋体"/>
              </w:rPr>
            </w:pPr>
            <w:r>
              <w:rPr>
                <w:rFonts w:ascii="Arial" w:hAnsi="Arial" w:cs="Arial"/>
                <w:color w:val="000000"/>
                <w:kern w:val="0"/>
                <w:sz w:val="20"/>
                <w:szCs w:val="20"/>
              </w:rPr>
              <w:t>刘骦</w:t>
            </w:r>
          </w:p>
        </w:tc>
        <w:tc>
          <w:tcPr>
            <w:tcW w:w="1168" w:type="dxa"/>
            <w:noWrap/>
            <w:vAlign w:val="center"/>
          </w:tcPr>
          <w:p>
            <w:pPr>
              <w:widowControl/>
              <w:jc w:val="center"/>
              <w:textAlignment w:val="bottom"/>
              <w:rPr>
                <w:rFonts w:ascii="宋体" w:hAnsi="宋体"/>
              </w:rPr>
            </w:pPr>
            <w:r>
              <w:rPr>
                <w:rFonts w:ascii="Arial" w:hAnsi="Arial" w:cs="Arial"/>
                <w:color w:val="000000"/>
                <w:kern w:val="0"/>
                <w:sz w:val="20"/>
                <w:szCs w:val="20"/>
              </w:rPr>
              <w:t>张波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1" w:type="dxa"/>
            <w:noWrap/>
            <w:vAlign w:val="center"/>
          </w:tcPr>
          <w:p>
            <w:pPr>
              <w:widowControl/>
              <w:jc w:val="center"/>
              <w:textAlignment w:val="bottom"/>
              <w:rPr>
                <w:rFonts w:ascii="宋体" w:hAnsi="宋体"/>
              </w:rPr>
            </w:pPr>
            <w:r>
              <w:rPr>
                <w:rFonts w:ascii="Arial" w:hAnsi="Arial" w:cs="Arial"/>
                <w:color w:val="000000"/>
                <w:kern w:val="0"/>
                <w:sz w:val="20"/>
                <w:szCs w:val="20"/>
              </w:rPr>
              <w:t>传染病卫生</w:t>
            </w:r>
          </w:p>
        </w:tc>
        <w:tc>
          <w:tcPr>
            <w:tcW w:w="4890" w:type="dxa"/>
            <w:noWrap/>
            <w:vAlign w:val="center"/>
          </w:tcPr>
          <w:p>
            <w:pPr>
              <w:widowControl/>
              <w:jc w:val="center"/>
              <w:textAlignment w:val="bottom"/>
              <w:rPr>
                <w:rFonts w:ascii="宋体" w:hAnsi="宋体"/>
              </w:rPr>
            </w:pPr>
            <w:r>
              <w:rPr>
                <w:rFonts w:ascii="Arial" w:hAnsi="Arial" w:cs="Arial"/>
                <w:color w:val="000000"/>
                <w:kern w:val="0"/>
                <w:sz w:val="20"/>
                <w:szCs w:val="20"/>
              </w:rPr>
              <w:t>广元市朝天区大滩镇柏杨卫生院</w:t>
            </w:r>
          </w:p>
        </w:tc>
        <w:tc>
          <w:tcPr>
            <w:tcW w:w="1033" w:type="dxa"/>
            <w:noWrap/>
            <w:vAlign w:val="center"/>
          </w:tcPr>
          <w:p>
            <w:pPr>
              <w:widowControl/>
              <w:jc w:val="center"/>
              <w:textAlignment w:val="bottom"/>
              <w:rPr>
                <w:rFonts w:ascii="宋体" w:hAnsi="宋体"/>
              </w:rPr>
            </w:pPr>
            <w:r>
              <w:rPr>
                <w:rFonts w:ascii="Arial" w:hAnsi="Arial" w:cs="Arial"/>
                <w:color w:val="000000"/>
                <w:kern w:val="0"/>
                <w:sz w:val="20"/>
                <w:szCs w:val="20"/>
              </w:rPr>
              <w:t>张波</w:t>
            </w:r>
          </w:p>
        </w:tc>
        <w:tc>
          <w:tcPr>
            <w:tcW w:w="1168" w:type="dxa"/>
            <w:noWrap/>
            <w:vAlign w:val="center"/>
          </w:tcPr>
          <w:p>
            <w:pPr>
              <w:widowControl/>
              <w:jc w:val="center"/>
              <w:textAlignment w:val="bottom"/>
              <w:rPr>
                <w:rFonts w:ascii="宋体" w:hAnsi="宋体"/>
              </w:rPr>
            </w:pPr>
            <w:r>
              <w:rPr>
                <w:rFonts w:ascii="Arial" w:hAnsi="Arial" w:cs="Arial"/>
                <w:color w:val="000000"/>
                <w:kern w:val="0"/>
                <w:sz w:val="20"/>
                <w:szCs w:val="20"/>
              </w:rPr>
              <w:t>杨其翰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1" w:type="dxa"/>
            <w:noWrap/>
            <w:vAlign w:val="center"/>
          </w:tcPr>
          <w:p>
            <w:pPr>
              <w:widowControl/>
              <w:jc w:val="center"/>
              <w:textAlignment w:val="bottom"/>
              <w:rPr>
                <w:rFonts w:ascii="宋体" w:hAnsi="宋体"/>
              </w:rPr>
            </w:pPr>
            <w:r>
              <w:rPr>
                <w:rFonts w:ascii="Arial" w:hAnsi="Arial" w:cs="Arial"/>
                <w:color w:val="000000"/>
                <w:kern w:val="0"/>
                <w:sz w:val="20"/>
                <w:szCs w:val="20"/>
              </w:rPr>
              <w:t>医疗卫生</w:t>
            </w:r>
          </w:p>
        </w:tc>
        <w:tc>
          <w:tcPr>
            <w:tcW w:w="4890" w:type="dxa"/>
            <w:noWrap/>
            <w:vAlign w:val="center"/>
          </w:tcPr>
          <w:p>
            <w:pPr>
              <w:widowControl/>
              <w:jc w:val="center"/>
              <w:textAlignment w:val="bottom"/>
              <w:rPr>
                <w:rFonts w:ascii="宋体" w:hAnsi="宋体"/>
              </w:rPr>
            </w:pPr>
            <w:r>
              <w:rPr>
                <w:rFonts w:ascii="Arial" w:hAnsi="Arial" w:cs="Arial"/>
                <w:color w:val="000000"/>
                <w:kern w:val="0"/>
                <w:sz w:val="20"/>
                <w:szCs w:val="20"/>
              </w:rPr>
              <w:t>广元市朝天区羊木镇五星村卫生站</w:t>
            </w:r>
          </w:p>
        </w:tc>
        <w:tc>
          <w:tcPr>
            <w:tcW w:w="1033" w:type="dxa"/>
            <w:noWrap/>
            <w:vAlign w:val="center"/>
          </w:tcPr>
          <w:p>
            <w:pPr>
              <w:widowControl/>
              <w:jc w:val="center"/>
              <w:textAlignment w:val="bottom"/>
              <w:rPr>
                <w:rFonts w:ascii="宋体" w:hAnsi="宋体"/>
              </w:rPr>
            </w:pPr>
            <w:r>
              <w:rPr>
                <w:rFonts w:ascii="Arial" w:hAnsi="Arial" w:cs="Arial"/>
                <w:color w:val="000000"/>
                <w:kern w:val="0"/>
                <w:sz w:val="20"/>
                <w:szCs w:val="20"/>
              </w:rPr>
              <w:t>张波</w:t>
            </w:r>
          </w:p>
        </w:tc>
        <w:tc>
          <w:tcPr>
            <w:tcW w:w="1168" w:type="dxa"/>
            <w:noWrap/>
            <w:vAlign w:val="center"/>
          </w:tcPr>
          <w:p>
            <w:pPr>
              <w:widowControl/>
              <w:jc w:val="center"/>
              <w:textAlignment w:val="bottom"/>
              <w:rPr>
                <w:rFonts w:ascii="宋体" w:hAnsi="宋体"/>
              </w:rPr>
            </w:pPr>
            <w:r>
              <w:rPr>
                <w:rFonts w:ascii="Arial" w:hAnsi="Arial" w:cs="Arial"/>
                <w:color w:val="000000"/>
                <w:kern w:val="0"/>
                <w:sz w:val="20"/>
                <w:szCs w:val="20"/>
              </w:rPr>
              <w:t>刘骦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1" w:type="dxa"/>
            <w:noWrap/>
            <w:vAlign w:val="center"/>
          </w:tcPr>
          <w:p>
            <w:pPr>
              <w:widowControl/>
              <w:jc w:val="center"/>
              <w:textAlignment w:val="bottom"/>
              <w:rPr>
                <w:rFonts w:ascii="宋体" w:hAnsi="宋体"/>
              </w:rPr>
            </w:pPr>
            <w:r>
              <w:rPr>
                <w:rFonts w:ascii="Arial" w:hAnsi="Arial" w:cs="Arial"/>
                <w:color w:val="000000"/>
                <w:kern w:val="0"/>
                <w:sz w:val="20"/>
                <w:szCs w:val="20"/>
              </w:rPr>
              <w:t>医疗卫生</w:t>
            </w:r>
          </w:p>
        </w:tc>
        <w:tc>
          <w:tcPr>
            <w:tcW w:w="4890" w:type="dxa"/>
            <w:noWrap/>
            <w:vAlign w:val="center"/>
          </w:tcPr>
          <w:p>
            <w:pPr>
              <w:widowControl/>
              <w:jc w:val="center"/>
              <w:textAlignment w:val="bottom"/>
              <w:rPr>
                <w:rFonts w:ascii="宋体" w:hAnsi="宋体"/>
              </w:rPr>
            </w:pPr>
            <w:r>
              <w:rPr>
                <w:rFonts w:ascii="Arial" w:hAnsi="Arial" w:cs="Arial"/>
                <w:color w:val="000000"/>
                <w:kern w:val="0"/>
                <w:sz w:val="20"/>
                <w:szCs w:val="20"/>
              </w:rPr>
              <w:t>广元市朝天区麻柳乡黄小村卫生站</w:t>
            </w:r>
          </w:p>
        </w:tc>
        <w:tc>
          <w:tcPr>
            <w:tcW w:w="1033" w:type="dxa"/>
            <w:noWrap/>
            <w:vAlign w:val="center"/>
          </w:tcPr>
          <w:p>
            <w:pPr>
              <w:widowControl/>
              <w:jc w:val="center"/>
              <w:textAlignment w:val="bottom"/>
              <w:rPr>
                <w:rFonts w:ascii="宋体" w:hAnsi="宋体"/>
              </w:rPr>
            </w:pPr>
            <w:r>
              <w:rPr>
                <w:rFonts w:ascii="Arial" w:hAnsi="Arial" w:cs="Arial"/>
                <w:color w:val="000000"/>
                <w:kern w:val="0"/>
                <w:sz w:val="20"/>
                <w:szCs w:val="20"/>
              </w:rPr>
              <w:t>杨其翰</w:t>
            </w:r>
          </w:p>
        </w:tc>
        <w:tc>
          <w:tcPr>
            <w:tcW w:w="1168" w:type="dxa"/>
            <w:noWrap/>
            <w:vAlign w:val="center"/>
          </w:tcPr>
          <w:p>
            <w:pPr>
              <w:widowControl/>
              <w:jc w:val="center"/>
              <w:textAlignment w:val="bottom"/>
              <w:rPr>
                <w:rFonts w:ascii="宋体" w:hAnsi="宋体"/>
              </w:rPr>
            </w:pPr>
            <w:r>
              <w:rPr>
                <w:rFonts w:ascii="Arial" w:hAnsi="Arial" w:cs="Arial"/>
                <w:color w:val="000000"/>
                <w:kern w:val="0"/>
                <w:sz w:val="20"/>
                <w:szCs w:val="20"/>
              </w:rPr>
              <w:t>张波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1" w:type="dxa"/>
            <w:noWrap/>
            <w:vAlign w:val="center"/>
          </w:tcPr>
          <w:p>
            <w:pPr>
              <w:widowControl/>
              <w:jc w:val="center"/>
              <w:textAlignment w:val="bottom"/>
              <w:rPr>
                <w:rFonts w:ascii="宋体" w:hAnsi="宋体"/>
              </w:rPr>
            </w:pPr>
            <w:r>
              <w:rPr>
                <w:rFonts w:ascii="Arial" w:hAnsi="Arial" w:cs="Arial"/>
                <w:color w:val="000000"/>
                <w:kern w:val="0"/>
                <w:sz w:val="20"/>
                <w:szCs w:val="20"/>
              </w:rPr>
              <w:t>医疗卫生</w:t>
            </w:r>
          </w:p>
        </w:tc>
        <w:tc>
          <w:tcPr>
            <w:tcW w:w="4890" w:type="dxa"/>
            <w:noWrap/>
            <w:vAlign w:val="center"/>
          </w:tcPr>
          <w:p>
            <w:pPr>
              <w:widowControl/>
              <w:jc w:val="center"/>
              <w:textAlignment w:val="bottom"/>
              <w:rPr>
                <w:rFonts w:ascii="宋体" w:hAnsi="宋体"/>
              </w:rPr>
            </w:pPr>
            <w:r>
              <w:rPr>
                <w:rFonts w:hint="eastAsia" w:ascii="宋体" w:hAnsi="宋体" w:cs="宋体"/>
                <w:color w:val="000000"/>
                <w:kern w:val="0"/>
                <w:sz w:val="20"/>
                <w:szCs w:val="20"/>
              </w:rPr>
              <w:t>广元市朝天区云雾山镇中坝村卫生室</w:t>
            </w:r>
          </w:p>
        </w:tc>
        <w:tc>
          <w:tcPr>
            <w:tcW w:w="1033" w:type="dxa"/>
            <w:noWrap/>
            <w:vAlign w:val="center"/>
          </w:tcPr>
          <w:p>
            <w:pPr>
              <w:widowControl/>
              <w:jc w:val="center"/>
              <w:textAlignment w:val="bottom"/>
              <w:rPr>
                <w:rFonts w:ascii="宋体" w:hAnsi="宋体"/>
              </w:rPr>
            </w:pPr>
            <w:r>
              <w:rPr>
                <w:rFonts w:ascii="Arial" w:hAnsi="Arial" w:cs="Arial"/>
                <w:color w:val="000000"/>
                <w:kern w:val="0"/>
                <w:sz w:val="20"/>
                <w:szCs w:val="20"/>
              </w:rPr>
              <w:t>杨其翰</w:t>
            </w:r>
          </w:p>
        </w:tc>
        <w:tc>
          <w:tcPr>
            <w:tcW w:w="1168" w:type="dxa"/>
            <w:noWrap/>
            <w:vAlign w:val="center"/>
          </w:tcPr>
          <w:p>
            <w:pPr>
              <w:widowControl/>
              <w:jc w:val="center"/>
              <w:textAlignment w:val="bottom"/>
              <w:rPr>
                <w:rFonts w:ascii="宋体" w:hAnsi="宋体"/>
              </w:rPr>
            </w:pPr>
            <w:r>
              <w:rPr>
                <w:rFonts w:ascii="Arial" w:hAnsi="Arial" w:cs="Arial"/>
                <w:color w:val="000000"/>
                <w:kern w:val="0"/>
                <w:sz w:val="20"/>
                <w:szCs w:val="20"/>
              </w:rPr>
              <w:t>张波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1" w:type="dxa"/>
            <w:noWrap/>
            <w:vAlign w:val="center"/>
          </w:tcPr>
          <w:p>
            <w:pPr>
              <w:widowControl/>
              <w:jc w:val="center"/>
              <w:textAlignment w:val="bottom"/>
              <w:rPr>
                <w:rFonts w:ascii="宋体" w:hAnsi="宋体"/>
              </w:rPr>
            </w:pPr>
            <w:r>
              <w:rPr>
                <w:rFonts w:ascii="Arial" w:hAnsi="Arial" w:cs="Arial"/>
                <w:color w:val="000000"/>
                <w:kern w:val="0"/>
                <w:sz w:val="20"/>
                <w:szCs w:val="20"/>
              </w:rPr>
              <w:t>公共场所卫生</w:t>
            </w:r>
          </w:p>
        </w:tc>
        <w:tc>
          <w:tcPr>
            <w:tcW w:w="4890" w:type="dxa"/>
            <w:noWrap/>
            <w:vAlign w:val="center"/>
          </w:tcPr>
          <w:p>
            <w:pPr>
              <w:widowControl/>
              <w:jc w:val="center"/>
              <w:textAlignment w:val="bottom"/>
              <w:rPr>
                <w:rFonts w:ascii="宋体" w:hAnsi="宋体"/>
              </w:rPr>
            </w:pPr>
            <w:r>
              <w:rPr>
                <w:rFonts w:ascii="Arial" w:hAnsi="Arial" w:cs="Arial"/>
                <w:color w:val="000000"/>
                <w:kern w:val="0"/>
                <w:sz w:val="20"/>
                <w:szCs w:val="20"/>
              </w:rPr>
              <w:t>四川凤凰酒店投资管理有限公司朝天大酒店分公司</w:t>
            </w:r>
          </w:p>
        </w:tc>
        <w:tc>
          <w:tcPr>
            <w:tcW w:w="1033" w:type="dxa"/>
            <w:noWrap/>
            <w:vAlign w:val="center"/>
          </w:tcPr>
          <w:p>
            <w:pPr>
              <w:widowControl/>
              <w:jc w:val="center"/>
              <w:textAlignment w:val="bottom"/>
              <w:rPr>
                <w:rFonts w:ascii="宋体" w:hAnsi="宋体"/>
              </w:rPr>
            </w:pPr>
            <w:r>
              <w:rPr>
                <w:rFonts w:ascii="Arial" w:hAnsi="Arial" w:cs="Arial"/>
                <w:color w:val="000000"/>
                <w:kern w:val="0"/>
                <w:sz w:val="20"/>
                <w:szCs w:val="20"/>
              </w:rPr>
              <w:t>刘骦</w:t>
            </w:r>
          </w:p>
        </w:tc>
        <w:tc>
          <w:tcPr>
            <w:tcW w:w="1168" w:type="dxa"/>
            <w:noWrap/>
            <w:vAlign w:val="center"/>
          </w:tcPr>
          <w:p>
            <w:pPr>
              <w:widowControl/>
              <w:jc w:val="center"/>
              <w:textAlignment w:val="bottom"/>
              <w:rPr>
                <w:rFonts w:ascii="宋体" w:hAnsi="宋体"/>
              </w:rPr>
            </w:pPr>
            <w:r>
              <w:rPr>
                <w:rFonts w:ascii="Arial" w:hAnsi="Arial" w:cs="Arial"/>
                <w:color w:val="000000"/>
                <w:kern w:val="0"/>
                <w:sz w:val="20"/>
                <w:szCs w:val="20"/>
              </w:rPr>
              <w:t>张波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1" w:type="dxa"/>
            <w:noWrap/>
            <w:vAlign w:val="center"/>
          </w:tcPr>
          <w:p>
            <w:pPr>
              <w:widowControl/>
              <w:jc w:val="center"/>
              <w:textAlignment w:val="bottom"/>
              <w:rPr>
                <w:rFonts w:ascii="宋体" w:hAnsi="宋体"/>
              </w:rPr>
            </w:pPr>
            <w:r>
              <w:rPr>
                <w:rFonts w:ascii="Arial" w:hAnsi="Arial" w:cs="Arial"/>
                <w:color w:val="000000"/>
                <w:kern w:val="0"/>
                <w:sz w:val="20"/>
                <w:szCs w:val="20"/>
              </w:rPr>
              <w:t>学校卫生</w:t>
            </w:r>
          </w:p>
        </w:tc>
        <w:tc>
          <w:tcPr>
            <w:tcW w:w="4890" w:type="dxa"/>
            <w:noWrap/>
            <w:vAlign w:val="center"/>
          </w:tcPr>
          <w:p>
            <w:pPr>
              <w:widowControl/>
              <w:jc w:val="center"/>
              <w:textAlignment w:val="bottom"/>
              <w:rPr>
                <w:rFonts w:ascii="宋体" w:hAnsi="宋体"/>
              </w:rPr>
            </w:pPr>
            <w:r>
              <w:rPr>
                <w:rFonts w:ascii="Arial" w:hAnsi="Arial" w:cs="Arial"/>
                <w:color w:val="000000"/>
                <w:kern w:val="0"/>
                <w:sz w:val="20"/>
                <w:szCs w:val="20"/>
              </w:rPr>
              <w:t>四川省广元市朝天中学</w:t>
            </w:r>
          </w:p>
        </w:tc>
        <w:tc>
          <w:tcPr>
            <w:tcW w:w="1033" w:type="dxa"/>
            <w:noWrap/>
            <w:vAlign w:val="center"/>
          </w:tcPr>
          <w:p>
            <w:pPr>
              <w:widowControl/>
              <w:jc w:val="center"/>
              <w:textAlignment w:val="bottom"/>
              <w:rPr>
                <w:rFonts w:ascii="宋体" w:hAnsi="宋体"/>
              </w:rPr>
            </w:pPr>
            <w:r>
              <w:rPr>
                <w:rFonts w:ascii="Arial" w:hAnsi="Arial" w:cs="Arial"/>
                <w:color w:val="000000"/>
                <w:kern w:val="0"/>
                <w:sz w:val="20"/>
                <w:szCs w:val="20"/>
              </w:rPr>
              <w:t>刘骦</w:t>
            </w:r>
          </w:p>
        </w:tc>
        <w:tc>
          <w:tcPr>
            <w:tcW w:w="1168" w:type="dxa"/>
            <w:noWrap/>
            <w:vAlign w:val="center"/>
          </w:tcPr>
          <w:p>
            <w:pPr>
              <w:widowControl/>
              <w:jc w:val="center"/>
              <w:textAlignment w:val="bottom"/>
              <w:rPr>
                <w:rFonts w:ascii="宋体" w:hAnsi="宋体"/>
              </w:rPr>
            </w:pPr>
            <w:r>
              <w:rPr>
                <w:rFonts w:ascii="Arial" w:hAnsi="Arial" w:cs="Arial"/>
                <w:color w:val="000000"/>
                <w:kern w:val="0"/>
                <w:sz w:val="20"/>
                <w:szCs w:val="20"/>
              </w:rPr>
              <w:t>张波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1" w:type="dxa"/>
            <w:noWrap/>
            <w:vAlign w:val="center"/>
          </w:tcPr>
          <w:p>
            <w:pPr>
              <w:widowControl/>
              <w:jc w:val="center"/>
              <w:textAlignment w:val="bottom"/>
              <w:rPr>
                <w:rFonts w:ascii="宋体" w:hAnsi="宋体"/>
              </w:rPr>
            </w:pPr>
            <w:r>
              <w:rPr>
                <w:rFonts w:ascii="Arial" w:hAnsi="Arial" w:cs="Arial"/>
                <w:color w:val="000000"/>
                <w:kern w:val="0"/>
                <w:sz w:val="20"/>
                <w:szCs w:val="20"/>
              </w:rPr>
              <w:t>学校卫生</w:t>
            </w:r>
          </w:p>
        </w:tc>
        <w:tc>
          <w:tcPr>
            <w:tcW w:w="4890" w:type="dxa"/>
            <w:noWrap/>
            <w:vAlign w:val="center"/>
          </w:tcPr>
          <w:p>
            <w:pPr>
              <w:widowControl/>
              <w:jc w:val="center"/>
              <w:textAlignment w:val="bottom"/>
              <w:rPr>
                <w:rFonts w:ascii="宋体" w:hAnsi="宋体"/>
              </w:rPr>
            </w:pPr>
            <w:r>
              <w:rPr>
                <w:rFonts w:ascii="Arial" w:hAnsi="Arial" w:cs="Arial"/>
                <w:color w:val="000000"/>
                <w:kern w:val="0"/>
                <w:sz w:val="20"/>
                <w:szCs w:val="20"/>
              </w:rPr>
              <w:t>广元市朝天区朝天镇第二小学</w:t>
            </w:r>
          </w:p>
        </w:tc>
        <w:tc>
          <w:tcPr>
            <w:tcW w:w="1033" w:type="dxa"/>
            <w:noWrap/>
            <w:vAlign w:val="center"/>
          </w:tcPr>
          <w:p>
            <w:pPr>
              <w:widowControl/>
              <w:jc w:val="center"/>
              <w:textAlignment w:val="bottom"/>
              <w:rPr>
                <w:rFonts w:ascii="宋体" w:hAnsi="宋体"/>
              </w:rPr>
            </w:pPr>
            <w:r>
              <w:rPr>
                <w:rFonts w:ascii="Arial" w:hAnsi="Arial" w:cs="Arial"/>
                <w:color w:val="000000"/>
                <w:kern w:val="0"/>
                <w:sz w:val="20"/>
                <w:szCs w:val="20"/>
              </w:rPr>
              <w:t>张波</w:t>
            </w:r>
          </w:p>
        </w:tc>
        <w:tc>
          <w:tcPr>
            <w:tcW w:w="1168" w:type="dxa"/>
            <w:noWrap/>
            <w:vAlign w:val="center"/>
          </w:tcPr>
          <w:p>
            <w:pPr>
              <w:widowControl/>
              <w:jc w:val="center"/>
              <w:textAlignment w:val="bottom"/>
              <w:rPr>
                <w:rFonts w:ascii="宋体" w:hAnsi="宋体"/>
              </w:rPr>
            </w:pPr>
            <w:r>
              <w:rPr>
                <w:rFonts w:ascii="Arial" w:hAnsi="Arial" w:cs="Arial"/>
                <w:color w:val="000000"/>
                <w:kern w:val="0"/>
                <w:sz w:val="20"/>
                <w:szCs w:val="20"/>
              </w:rPr>
              <w:t>杨其翰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1" w:type="dxa"/>
            <w:noWrap/>
            <w:vAlign w:val="center"/>
          </w:tcPr>
          <w:p>
            <w:pPr>
              <w:widowControl/>
              <w:jc w:val="center"/>
              <w:textAlignment w:val="bottom"/>
              <w:rPr>
                <w:rFonts w:ascii="宋体" w:hAnsi="宋体"/>
              </w:rPr>
            </w:pPr>
            <w:r>
              <w:rPr>
                <w:rFonts w:ascii="Arial" w:hAnsi="Arial" w:cs="Arial"/>
                <w:color w:val="000000"/>
                <w:kern w:val="0"/>
                <w:sz w:val="20"/>
                <w:szCs w:val="20"/>
              </w:rPr>
              <w:t>医疗卫生</w:t>
            </w:r>
          </w:p>
        </w:tc>
        <w:tc>
          <w:tcPr>
            <w:tcW w:w="4890" w:type="dxa"/>
            <w:noWrap/>
            <w:vAlign w:val="center"/>
          </w:tcPr>
          <w:p>
            <w:pPr>
              <w:widowControl/>
              <w:jc w:val="center"/>
              <w:textAlignment w:val="bottom"/>
              <w:rPr>
                <w:rFonts w:ascii="宋体" w:hAnsi="宋体"/>
              </w:rPr>
            </w:pPr>
            <w:r>
              <w:rPr>
                <w:rFonts w:ascii="Arial" w:hAnsi="Arial" w:cs="Arial"/>
                <w:color w:val="000000"/>
                <w:kern w:val="0"/>
                <w:sz w:val="20"/>
                <w:szCs w:val="20"/>
              </w:rPr>
              <w:t>广元市朝天区大滩镇中心卫生院文安分院</w:t>
            </w:r>
          </w:p>
        </w:tc>
        <w:tc>
          <w:tcPr>
            <w:tcW w:w="1033" w:type="dxa"/>
            <w:noWrap/>
            <w:vAlign w:val="center"/>
          </w:tcPr>
          <w:p>
            <w:pPr>
              <w:widowControl/>
              <w:jc w:val="center"/>
              <w:textAlignment w:val="bottom"/>
              <w:rPr>
                <w:rFonts w:ascii="宋体" w:hAnsi="宋体"/>
              </w:rPr>
            </w:pPr>
            <w:r>
              <w:rPr>
                <w:rFonts w:ascii="Arial" w:hAnsi="Arial" w:cs="Arial"/>
                <w:color w:val="000000"/>
                <w:kern w:val="0"/>
                <w:sz w:val="20"/>
                <w:szCs w:val="20"/>
              </w:rPr>
              <w:t>张波</w:t>
            </w:r>
          </w:p>
        </w:tc>
        <w:tc>
          <w:tcPr>
            <w:tcW w:w="1168" w:type="dxa"/>
            <w:noWrap/>
            <w:vAlign w:val="center"/>
          </w:tcPr>
          <w:p>
            <w:pPr>
              <w:widowControl/>
              <w:jc w:val="center"/>
              <w:textAlignment w:val="bottom"/>
              <w:rPr>
                <w:rFonts w:ascii="宋体" w:hAnsi="宋体"/>
              </w:rPr>
            </w:pPr>
            <w:r>
              <w:rPr>
                <w:rFonts w:ascii="Arial" w:hAnsi="Arial" w:cs="Arial"/>
                <w:color w:val="000000"/>
                <w:kern w:val="0"/>
                <w:sz w:val="20"/>
                <w:szCs w:val="20"/>
              </w:rPr>
              <w:t>刘骦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1" w:type="dxa"/>
            <w:noWrap/>
            <w:vAlign w:val="center"/>
          </w:tcPr>
          <w:p>
            <w:pPr>
              <w:widowControl/>
              <w:jc w:val="center"/>
              <w:textAlignment w:val="bottom"/>
              <w:rPr>
                <w:rFonts w:ascii="宋体" w:hAnsi="宋体"/>
              </w:rPr>
            </w:pPr>
            <w:r>
              <w:rPr>
                <w:rFonts w:ascii="Arial" w:hAnsi="Arial" w:cs="Arial"/>
                <w:color w:val="000000"/>
                <w:kern w:val="0"/>
                <w:sz w:val="20"/>
                <w:szCs w:val="20"/>
              </w:rPr>
              <w:t>医疗卫生</w:t>
            </w:r>
          </w:p>
        </w:tc>
        <w:tc>
          <w:tcPr>
            <w:tcW w:w="4890" w:type="dxa"/>
            <w:noWrap/>
            <w:vAlign w:val="center"/>
          </w:tcPr>
          <w:p>
            <w:pPr>
              <w:widowControl/>
              <w:jc w:val="center"/>
              <w:textAlignment w:val="bottom"/>
              <w:rPr>
                <w:rFonts w:ascii="宋体" w:hAnsi="宋体"/>
              </w:rPr>
            </w:pPr>
            <w:r>
              <w:rPr>
                <w:rFonts w:ascii="Arial" w:hAnsi="Arial" w:cs="Arial"/>
                <w:color w:val="000000"/>
                <w:kern w:val="0"/>
                <w:sz w:val="20"/>
                <w:szCs w:val="20"/>
              </w:rPr>
              <w:t>广元市朝天区朝天镇陈家卫生院</w:t>
            </w:r>
          </w:p>
        </w:tc>
        <w:tc>
          <w:tcPr>
            <w:tcW w:w="1033" w:type="dxa"/>
            <w:noWrap/>
            <w:vAlign w:val="center"/>
          </w:tcPr>
          <w:p>
            <w:pPr>
              <w:widowControl/>
              <w:jc w:val="center"/>
              <w:textAlignment w:val="bottom"/>
              <w:rPr>
                <w:rFonts w:ascii="宋体" w:hAnsi="宋体"/>
              </w:rPr>
            </w:pPr>
            <w:r>
              <w:rPr>
                <w:rFonts w:ascii="Arial" w:hAnsi="Arial" w:cs="Arial"/>
                <w:color w:val="000000"/>
                <w:kern w:val="0"/>
                <w:sz w:val="20"/>
                <w:szCs w:val="20"/>
              </w:rPr>
              <w:t>刘骦</w:t>
            </w:r>
          </w:p>
        </w:tc>
        <w:tc>
          <w:tcPr>
            <w:tcW w:w="1168" w:type="dxa"/>
            <w:noWrap/>
            <w:vAlign w:val="center"/>
          </w:tcPr>
          <w:p>
            <w:pPr>
              <w:widowControl/>
              <w:jc w:val="center"/>
              <w:textAlignment w:val="bottom"/>
              <w:rPr>
                <w:rFonts w:ascii="宋体" w:hAnsi="宋体"/>
              </w:rPr>
            </w:pPr>
            <w:r>
              <w:rPr>
                <w:rFonts w:ascii="Arial" w:hAnsi="Arial" w:cs="Arial"/>
                <w:color w:val="000000"/>
                <w:kern w:val="0"/>
                <w:sz w:val="20"/>
                <w:szCs w:val="20"/>
              </w:rPr>
              <w:t>张波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1" w:type="dxa"/>
            <w:noWrap/>
            <w:vAlign w:val="center"/>
          </w:tcPr>
          <w:p>
            <w:pPr>
              <w:widowControl/>
              <w:jc w:val="center"/>
              <w:textAlignment w:val="bottom"/>
              <w:rPr>
                <w:rFonts w:ascii="宋体" w:hAnsi="宋体"/>
              </w:rPr>
            </w:pPr>
            <w:r>
              <w:rPr>
                <w:rFonts w:ascii="Arial" w:hAnsi="Arial" w:cs="Arial"/>
                <w:color w:val="000000"/>
                <w:kern w:val="0"/>
                <w:sz w:val="20"/>
                <w:szCs w:val="20"/>
              </w:rPr>
              <w:t>公共场所卫生</w:t>
            </w:r>
          </w:p>
        </w:tc>
        <w:tc>
          <w:tcPr>
            <w:tcW w:w="4890" w:type="dxa"/>
            <w:noWrap/>
            <w:vAlign w:val="center"/>
          </w:tcPr>
          <w:p>
            <w:pPr>
              <w:widowControl/>
              <w:jc w:val="center"/>
              <w:textAlignment w:val="bottom"/>
              <w:rPr>
                <w:rFonts w:ascii="宋体" w:hAnsi="宋体"/>
              </w:rPr>
            </w:pPr>
            <w:r>
              <w:rPr>
                <w:rFonts w:ascii="Arial" w:hAnsi="Arial" w:cs="Arial"/>
                <w:color w:val="000000"/>
                <w:kern w:val="0"/>
                <w:sz w:val="20"/>
                <w:szCs w:val="20"/>
              </w:rPr>
              <w:t>福祥楼宾馆</w:t>
            </w:r>
          </w:p>
        </w:tc>
        <w:tc>
          <w:tcPr>
            <w:tcW w:w="1033" w:type="dxa"/>
            <w:noWrap/>
            <w:vAlign w:val="center"/>
          </w:tcPr>
          <w:p>
            <w:pPr>
              <w:widowControl/>
              <w:jc w:val="center"/>
              <w:textAlignment w:val="bottom"/>
              <w:rPr>
                <w:rFonts w:ascii="宋体" w:hAnsi="宋体"/>
              </w:rPr>
            </w:pPr>
            <w:r>
              <w:rPr>
                <w:rFonts w:ascii="Arial" w:hAnsi="Arial" w:cs="Arial"/>
                <w:color w:val="000000"/>
                <w:kern w:val="0"/>
                <w:sz w:val="20"/>
                <w:szCs w:val="20"/>
              </w:rPr>
              <w:t>战应川</w:t>
            </w:r>
          </w:p>
        </w:tc>
        <w:tc>
          <w:tcPr>
            <w:tcW w:w="1168" w:type="dxa"/>
            <w:noWrap/>
            <w:vAlign w:val="center"/>
          </w:tcPr>
          <w:p>
            <w:pPr>
              <w:widowControl/>
              <w:jc w:val="center"/>
              <w:textAlignment w:val="bottom"/>
              <w:rPr>
                <w:rFonts w:ascii="宋体" w:hAnsi="宋体"/>
              </w:rPr>
            </w:pPr>
            <w:r>
              <w:rPr>
                <w:rFonts w:ascii="Arial" w:hAnsi="Arial" w:cs="Arial"/>
                <w:color w:val="000000"/>
                <w:kern w:val="0"/>
                <w:sz w:val="20"/>
                <w:szCs w:val="20"/>
              </w:rPr>
              <w:t>张波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1" w:type="dxa"/>
            <w:noWrap/>
            <w:vAlign w:val="center"/>
          </w:tcPr>
          <w:p>
            <w:pPr>
              <w:widowControl/>
              <w:jc w:val="center"/>
              <w:textAlignment w:val="bottom"/>
              <w:rPr>
                <w:rFonts w:ascii="宋体" w:hAnsi="宋体"/>
              </w:rPr>
            </w:pPr>
            <w:r>
              <w:rPr>
                <w:rFonts w:ascii="Arial" w:hAnsi="Arial" w:cs="Arial"/>
                <w:color w:val="000000"/>
                <w:kern w:val="0"/>
                <w:sz w:val="20"/>
                <w:szCs w:val="20"/>
              </w:rPr>
              <w:t>公共场所卫生</w:t>
            </w:r>
          </w:p>
        </w:tc>
        <w:tc>
          <w:tcPr>
            <w:tcW w:w="4890" w:type="dxa"/>
            <w:noWrap/>
            <w:vAlign w:val="center"/>
          </w:tcPr>
          <w:p>
            <w:pPr>
              <w:widowControl/>
              <w:jc w:val="center"/>
              <w:textAlignment w:val="bottom"/>
              <w:rPr>
                <w:rFonts w:ascii="宋体" w:hAnsi="宋体"/>
              </w:rPr>
            </w:pPr>
            <w:r>
              <w:rPr>
                <w:rFonts w:ascii="Arial" w:hAnsi="Arial" w:cs="Arial"/>
                <w:color w:val="000000"/>
                <w:kern w:val="0"/>
                <w:sz w:val="20"/>
                <w:szCs w:val="20"/>
              </w:rPr>
              <w:t>田园宾馆</w:t>
            </w:r>
          </w:p>
        </w:tc>
        <w:tc>
          <w:tcPr>
            <w:tcW w:w="1033" w:type="dxa"/>
            <w:noWrap/>
            <w:vAlign w:val="center"/>
          </w:tcPr>
          <w:p>
            <w:pPr>
              <w:widowControl/>
              <w:jc w:val="center"/>
              <w:textAlignment w:val="bottom"/>
              <w:rPr>
                <w:rFonts w:ascii="宋体" w:hAnsi="宋体"/>
              </w:rPr>
            </w:pPr>
            <w:r>
              <w:rPr>
                <w:rFonts w:ascii="Arial" w:hAnsi="Arial" w:cs="Arial"/>
                <w:color w:val="000000"/>
                <w:kern w:val="0"/>
                <w:sz w:val="20"/>
                <w:szCs w:val="20"/>
              </w:rPr>
              <w:t>张波</w:t>
            </w:r>
          </w:p>
        </w:tc>
        <w:tc>
          <w:tcPr>
            <w:tcW w:w="1168" w:type="dxa"/>
            <w:noWrap/>
            <w:vAlign w:val="center"/>
          </w:tcPr>
          <w:p>
            <w:pPr>
              <w:widowControl/>
              <w:jc w:val="center"/>
              <w:textAlignment w:val="bottom"/>
              <w:rPr>
                <w:rFonts w:ascii="宋体" w:hAnsi="宋体"/>
              </w:rPr>
            </w:pPr>
            <w:r>
              <w:rPr>
                <w:rFonts w:ascii="Arial" w:hAnsi="Arial" w:cs="Arial"/>
                <w:color w:val="000000"/>
                <w:kern w:val="0"/>
                <w:sz w:val="20"/>
                <w:szCs w:val="20"/>
              </w:rPr>
              <w:t>刘骦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1" w:type="dxa"/>
            <w:noWrap/>
            <w:vAlign w:val="center"/>
          </w:tcPr>
          <w:p>
            <w:pPr>
              <w:widowControl/>
              <w:jc w:val="center"/>
              <w:textAlignment w:val="bottom"/>
              <w:rPr>
                <w:rFonts w:ascii="宋体" w:hAnsi="宋体"/>
              </w:rPr>
            </w:pPr>
            <w:r>
              <w:rPr>
                <w:rFonts w:ascii="Arial" w:hAnsi="Arial" w:cs="Arial"/>
                <w:color w:val="000000"/>
                <w:kern w:val="0"/>
                <w:sz w:val="20"/>
                <w:szCs w:val="20"/>
              </w:rPr>
              <w:t>公共场所卫生</w:t>
            </w:r>
          </w:p>
        </w:tc>
        <w:tc>
          <w:tcPr>
            <w:tcW w:w="4890" w:type="dxa"/>
            <w:noWrap/>
            <w:vAlign w:val="center"/>
          </w:tcPr>
          <w:p>
            <w:pPr>
              <w:widowControl/>
              <w:jc w:val="center"/>
              <w:textAlignment w:val="bottom"/>
              <w:rPr>
                <w:rFonts w:ascii="宋体" w:hAnsi="宋体"/>
              </w:rPr>
            </w:pPr>
            <w:r>
              <w:rPr>
                <w:rFonts w:ascii="Arial" w:hAnsi="Arial" w:cs="Arial"/>
                <w:color w:val="000000"/>
                <w:kern w:val="0"/>
                <w:sz w:val="20"/>
                <w:szCs w:val="20"/>
              </w:rPr>
              <w:t>中子美容美体</w:t>
            </w:r>
          </w:p>
        </w:tc>
        <w:tc>
          <w:tcPr>
            <w:tcW w:w="1033" w:type="dxa"/>
            <w:noWrap/>
            <w:vAlign w:val="center"/>
          </w:tcPr>
          <w:p>
            <w:pPr>
              <w:widowControl/>
              <w:jc w:val="center"/>
              <w:textAlignment w:val="bottom"/>
              <w:rPr>
                <w:rFonts w:ascii="宋体" w:hAnsi="宋体"/>
              </w:rPr>
            </w:pPr>
            <w:r>
              <w:rPr>
                <w:rFonts w:ascii="Arial" w:hAnsi="Arial" w:cs="Arial"/>
                <w:color w:val="000000"/>
                <w:kern w:val="0"/>
                <w:sz w:val="20"/>
                <w:szCs w:val="20"/>
              </w:rPr>
              <w:t>杨其翰</w:t>
            </w:r>
          </w:p>
        </w:tc>
        <w:tc>
          <w:tcPr>
            <w:tcW w:w="1168" w:type="dxa"/>
            <w:noWrap/>
            <w:vAlign w:val="center"/>
          </w:tcPr>
          <w:p>
            <w:pPr>
              <w:widowControl/>
              <w:jc w:val="center"/>
              <w:textAlignment w:val="bottom"/>
              <w:rPr>
                <w:rFonts w:ascii="宋体" w:hAnsi="宋体"/>
              </w:rPr>
            </w:pPr>
            <w:r>
              <w:rPr>
                <w:rFonts w:ascii="Arial" w:hAnsi="Arial" w:cs="Arial"/>
                <w:color w:val="000000"/>
                <w:kern w:val="0"/>
                <w:sz w:val="20"/>
                <w:szCs w:val="20"/>
              </w:rPr>
              <w:t>张波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1" w:type="dxa"/>
            <w:noWrap/>
            <w:vAlign w:val="center"/>
          </w:tcPr>
          <w:p>
            <w:pPr>
              <w:widowControl/>
              <w:jc w:val="center"/>
              <w:textAlignment w:val="bottom"/>
              <w:rPr>
                <w:rFonts w:ascii="宋体" w:hAnsi="宋体"/>
              </w:rPr>
            </w:pPr>
            <w:r>
              <w:rPr>
                <w:rFonts w:ascii="Arial" w:hAnsi="Arial" w:cs="Arial"/>
                <w:color w:val="000000"/>
                <w:kern w:val="0"/>
                <w:sz w:val="20"/>
                <w:szCs w:val="20"/>
              </w:rPr>
              <w:t>公共场所卫生</w:t>
            </w:r>
          </w:p>
        </w:tc>
        <w:tc>
          <w:tcPr>
            <w:tcW w:w="4890" w:type="dxa"/>
            <w:noWrap/>
            <w:vAlign w:val="center"/>
          </w:tcPr>
          <w:p>
            <w:pPr>
              <w:widowControl/>
              <w:jc w:val="center"/>
              <w:textAlignment w:val="bottom"/>
              <w:rPr>
                <w:rFonts w:ascii="宋体" w:hAnsi="宋体"/>
              </w:rPr>
            </w:pPr>
            <w:r>
              <w:rPr>
                <w:rFonts w:ascii="Arial" w:hAnsi="Arial" w:cs="Arial"/>
                <w:color w:val="000000"/>
                <w:kern w:val="0"/>
                <w:sz w:val="20"/>
                <w:szCs w:val="20"/>
              </w:rPr>
              <w:t>新型理发店</w:t>
            </w:r>
          </w:p>
        </w:tc>
        <w:tc>
          <w:tcPr>
            <w:tcW w:w="1033" w:type="dxa"/>
            <w:noWrap/>
            <w:vAlign w:val="center"/>
          </w:tcPr>
          <w:p>
            <w:pPr>
              <w:widowControl/>
              <w:jc w:val="center"/>
              <w:textAlignment w:val="bottom"/>
              <w:rPr>
                <w:rFonts w:ascii="宋体" w:hAnsi="宋体"/>
              </w:rPr>
            </w:pPr>
            <w:r>
              <w:rPr>
                <w:rFonts w:ascii="Arial" w:hAnsi="Arial" w:cs="Arial"/>
                <w:color w:val="000000"/>
                <w:kern w:val="0"/>
                <w:sz w:val="20"/>
                <w:szCs w:val="20"/>
              </w:rPr>
              <w:t>杨其翰</w:t>
            </w:r>
          </w:p>
        </w:tc>
        <w:tc>
          <w:tcPr>
            <w:tcW w:w="1168" w:type="dxa"/>
            <w:noWrap/>
            <w:vAlign w:val="center"/>
          </w:tcPr>
          <w:p>
            <w:pPr>
              <w:widowControl/>
              <w:jc w:val="center"/>
              <w:textAlignment w:val="bottom"/>
              <w:rPr>
                <w:rFonts w:ascii="宋体" w:hAnsi="宋体"/>
              </w:rPr>
            </w:pPr>
            <w:r>
              <w:rPr>
                <w:rFonts w:ascii="Arial" w:hAnsi="Arial" w:cs="Arial"/>
                <w:color w:val="000000"/>
                <w:kern w:val="0"/>
                <w:sz w:val="20"/>
                <w:szCs w:val="20"/>
              </w:rPr>
              <w:t>张波</w:t>
            </w:r>
          </w:p>
        </w:tc>
      </w:tr>
    </w:tbl>
    <w:p/>
    <w:p>
      <w:pPr>
        <w:spacing w:line="600" w:lineRule="exact"/>
        <w:ind w:firstLine="642" w:firstLineChars="200"/>
        <w:rPr>
          <w:rFonts w:ascii="楷体_GB2312" w:hAnsi="楷体_GB2312" w:eastAsia="楷体_GB2312" w:cs="楷体_GB2312"/>
          <w:b/>
          <w:sz w:val="32"/>
          <w:szCs w:val="32"/>
        </w:rPr>
      </w:pPr>
    </w:p>
    <w:p>
      <w:pPr>
        <w:spacing w:line="600" w:lineRule="exact"/>
        <w:ind w:firstLine="642" w:firstLineChars="200"/>
        <w:rPr>
          <w:rFonts w:ascii="楷体_GB2312" w:hAnsi="楷体_GB2312" w:eastAsia="楷体_GB2312" w:cs="楷体_GB2312"/>
          <w:b/>
          <w:sz w:val="32"/>
          <w:szCs w:val="32"/>
        </w:rPr>
      </w:pPr>
    </w:p>
    <w:p>
      <w:pPr>
        <w:spacing w:line="600" w:lineRule="exact"/>
        <w:ind w:firstLine="642" w:firstLineChars="200"/>
        <w:rPr>
          <w:rFonts w:ascii="楷体_GB2312" w:hAnsi="楷体_GB2312" w:eastAsia="楷体_GB2312" w:cs="楷体_GB2312"/>
          <w:b/>
          <w:sz w:val="32"/>
          <w:szCs w:val="32"/>
        </w:rPr>
        <w:sectPr>
          <w:footerReference r:id="rId4" w:type="default"/>
          <w:pgSz w:w="11906" w:h="16838"/>
          <w:pgMar w:top="2098" w:right="1474" w:bottom="1984" w:left="1587" w:header="851" w:footer="1417" w:gutter="0"/>
          <w:pgNumType w:fmt="numberInDash"/>
          <w:cols w:space="0" w:num="1"/>
          <w:docGrid w:type="lines" w:linePitch="312" w:charSpace="0"/>
        </w:sectPr>
      </w:pP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sz w:val="32"/>
          <w:szCs w:val="32"/>
        </w:rPr>
        <w:t>八、朝天区卫生健康局行政执法文书样式、行政执法案卷评查制度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（一）国家卫生健康委关于印发《卫生健康行政执法文书格式的通知》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（二）广元市卫生健康委关于印发《广元市卫生健康行政执法案卷评查办法的通知》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九、朝天区卫生健康局上年度双随机抽查结果、行政处罚和上年度行政执法数据总体情况。</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（一）上年度卫生计生监督执法行政执法数据总体情况。</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是行政许可。2022年，依法办理各类卫生行政审批事项319件，卫生行政审批按时办结率100%，全年来未发生卫生行政许可相关投诉事件，群众满意率达100%，真正做到零投诉，为我区卫健系统树立了良好的窗口形象。二是行政监督执法。2022年朝天卫生健康综合行政执法大队努力克服疫情影响，履职尽职，认真开展监督检查，严格依法执法。对全区各类被监管场所实施监督525余户（次），下达监督意见书221份，处罚违法行为77起，办理案件77件，罚款3.3万元，有力有序规范了医疗、公共卫生秩序。</w:t>
      </w:r>
    </w:p>
    <w:p>
      <w:pPr>
        <w:spacing w:line="560" w:lineRule="exact"/>
        <w:ind w:firstLine="640" w:firstLineChars="200"/>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（二）行政处罚、许可公示（网站）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1.朝天区人民政府官网</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eastAsia="仿宋_GB2312"/>
          <w:sz w:val="32"/>
          <w:szCs w:val="32"/>
        </w:rPr>
        <w:t>2.信用中国（四川广元）</w:t>
      </w:r>
    </w:p>
    <w:p>
      <w:pPr>
        <w:spacing w:line="56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十、朝天区卫生健康局实行行政执法三项制度方案</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按照《四川省卫生健康委员会重大行政执法决定法制审核实施办法》《广元市卫生健康部门全面推行行政执法公示制度》《广元市卫生健康监督执法全过程记录制度》执行。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十一、“一目录、五清单”</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hAnsi="仿宋_GB2312" w:eastAsia="仿宋_GB2312" w:cs="仿宋_GB2312"/>
          <w:color w:val="000000" w:themeColor="text1"/>
          <w:sz w:val="32"/>
          <w:szCs w:val="32"/>
        </w:rPr>
        <w:t>按照《广元市卫生健康领域涉企初次或轻微违法行为不予行政处罚和从轻减轻行政处罚实施办法》、</w:t>
      </w:r>
      <w:r>
        <w:rPr>
          <w:rFonts w:hint="eastAsia" w:ascii="仿宋_GB2312" w:eastAsia="仿宋_GB2312"/>
          <w:color w:val="000000"/>
          <w:sz w:val="32"/>
          <w:szCs w:val="32"/>
          <w:shd w:val="clear" w:color="auto" w:fill="FFFFFF"/>
        </w:rPr>
        <w:t>《四川省规范卫生健康行政处罚行政强制裁量权实施规则》、《四川省卫生健康行政处罚行政强制裁量实施标准》、《关于进一步推进职业卫生分类监督执法试点工作的通知》川卫办监管便函〔2023〕7号、《四川省卫生厅关于推行公共场所卫生监督量化分级管理制度的通知》川卫办发〔2009〕126号执行。</w:t>
      </w:r>
    </w:p>
    <w:sectPr>
      <w:pgSz w:w="11906" w:h="16838"/>
      <w:pgMar w:top="2098" w:right="1474" w:bottom="1984"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MingLiU_x0004_falt">
    <w:altName w:val="Noto Sans CJK SC"/>
    <w:panose1 w:val="00000000000000000000"/>
    <w:charset w:val="88"/>
    <w:family w:val="modern"/>
    <w:pitch w:val="default"/>
    <w:sig w:usb0="00000000" w:usb1="00000000" w:usb2="00000010" w:usb3="00000000" w:csb0="00100000" w:csb1="00000000"/>
  </w:font>
  <w:font w:name="方正书宋简体">
    <w:altName w:val="方正书宋_GBK"/>
    <w:panose1 w:val="00000000000000000000"/>
    <w:charset w:val="86"/>
    <w:family w:val="auto"/>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8"/>
                  <w:rPr>
                    <w:rFonts w:eastAsia="宋体"/>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- 352 -</w:t>
                </w:r>
                <w:r>
                  <w:rPr>
                    <w:rFonts w:hint="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joinstyle="miter"/>
          <v:imagedata o:title=""/>
          <o:lock v:ext="edit"/>
          <v:textbox inset="0mm,0mm,0mm,0mm" style="mso-fit-shape-to-text:t;">
            <w:txbxContent>
              <w:p>
                <w:pPr>
                  <w:pStyle w:val="8"/>
                  <w:rPr>
                    <w:rFonts w:eastAsia="宋体"/>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- 354 -</w:t>
                </w:r>
                <w:r>
                  <w:rPr>
                    <w:rFonts w:hint="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hideSpellingErrors/>
  <w:documentProtection w:enforcement="0"/>
  <w:defaultTabStop w:val="420"/>
  <w:drawingGridHorizontalSpacing w:val="105"/>
  <w:drawingGridVerticalSpacing w:val="159"/>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614F0"/>
    <w:rsid w:val="000054F3"/>
    <w:rsid w:val="00020248"/>
    <w:rsid w:val="00033022"/>
    <w:rsid w:val="000342D5"/>
    <w:rsid w:val="00041EAC"/>
    <w:rsid w:val="00044EA0"/>
    <w:rsid w:val="00062A22"/>
    <w:rsid w:val="00077C15"/>
    <w:rsid w:val="00082FB2"/>
    <w:rsid w:val="00084361"/>
    <w:rsid w:val="00092022"/>
    <w:rsid w:val="000951ED"/>
    <w:rsid w:val="000D58D9"/>
    <w:rsid w:val="001714B7"/>
    <w:rsid w:val="00177609"/>
    <w:rsid w:val="00185CC8"/>
    <w:rsid w:val="001A2585"/>
    <w:rsid w:val="001B3A01"/>
    <w:rsid w:val="001B3E70"/>
    <w:rsid w:val="001E1B5C"/>
    <w:rsid w:val="00221BDB"/>
    <w:rsid w:val="00236823"/>
    <w:rsid w:val="0024312F"/>
    <w:rsid w:val="002465BC"/>
    <w:rsid w:val="00261E8D"/>
    <w:rsid w:val="002775F8"/>
    <w:rsid w:val="002932E4"/>
    <w:rsid w:val="002C0890"/>
    <w:rsid w:val="002C58D3"/>
    <w:rsid w:val="002C5FD3"/>
    <w:rsid w:val="002D4900"/>
    <w:rsid w:val="002D6341"/>
    <w:rsid w:val="002E4A8C"/>
    <w:rsid w:val="002E6ABB"/>
    <w:rsid w:val="0033196D"/>
    <w:rsid w:val="00335FEF"/>
    <w:rsid w:val="00347707"/>
    <w:rsid w:val="00351F5B"/>
    <w:rsid w:val="00363720"/>
    <w:rsid w:val="00367747"/>
    <w:rsid w:val="003811D8"/>
    <w:rsid w:val="00382DEA"/>
    <w:rsid w:val="003841B6"/>
    <w:rsid w:val="0039688D"/>
    <w:rsid w:val="003E6AD3"/>
    <w:rsid w:val="003F16F0"/>
    <w:rsid w:val="003F6FA9"/>
    <w:rsid w:val="0040389B"/>
    <w:rsid w:val="00422C8C"/>
    <w:rsid w:val="00425564"/>
    <w:rsid w:val="004614F0"/>
    <w:rsid w:val="00462DE7"/>
    <w:rsid w:val="00483D16"/>
    <w:rsid w:val="0048776C"/>
    <w:rsid w:val="004A1A4D"/>
    <w:rsid w:val="004D2E66"/>
    <w:rsid w:val="00550DCC"/>
    <w:rsid w:val="00550E26"/>
    <w:rsid w:val="00554516"/>
    <w:rsid w:val="00561311"/>
    <w:rsid w:val="00584B3C"/>
    <w:rsid w:val="005A43BC"/>
    <w:rsid w:val="005D1E9C"/>
    <w:rsid w:val="005D1FDA"/>
    <w:rsid w:val="005E22ED"/>
    <w:rsid w:val="00606DC8"/>
    <w:rsid w:val="00640EF0"/>
    <w:rsid w:val="00660D9F"/>
    <w:rsid w:val="00662F31"/>
    <w:rsid w:val="00664242"/>
    <w:rsid w:val="006707DD"/>
    <w:rsid w:val="00680A4C"/>
    <w:rsid w:val="00686348"/>
    <w:rsid w:val="00700BAB"/>
    <w:rsid w:val="007064B4"/>
    <w:rsid w:val="00731589"/>
    <w:rsid w:val="007568E1"/>
    <w:rsid w:val="007832E4"/>
    <w:rsid w:val="007D3B41"/>
    <w:rsid w:val="007E16E8"/>
    <w:rsid w:val="007E72A8"/>
    <w:rsid w:val="007F6A31"/>
    <w:rsid w:val="008015CB"/>
    <w:rsid w:val="0087648E"/>
    <w:rsid w:val="0087658C"/>
    <w:rsid w:val="008917EE"/>
    <w:rsid w:val="008C0FB9"/>
    <w:rsid w:val="00917CC9"/>
    <w:rsid w:val="00954962"/>
    <w:rsid w:val="00960C4B"/>
    <w:rsid w:val="00987338"/>
    <w:rsid w:val="00990322"/>
    <w:rsid w:val="00990C8E"/>
    <w:rsid w:val="009B0E64"/>
    <w:rsid w:val="009B185E"/>
    <w:rsid w:val="009D257C"/>
    <w:rsid w:val="009D4EB9"/>
    <w:rsid w:val="009D7B6F"/>
    <w:rsid w:val="009E3EF1"/>
    <w:rsid w:val="00A02299"/>
    <w:rsid w:val="00A64A65"/>
    <w:rsid w:val="00A71347"/>
    <w:rsid w:val="00AD1F02"/>
    <w:rsid w:val="00AF5B49"/>
    <w:rsid w:val="00B06145"/>
    <w:rsid w:val="00B2215B"/>
    <w:rsid w:val="00B24211"/>
    <w:rsid w:val="00B403DD"/>
    <w:rsid w:val="00B57F23"/>
    <w:rsid w:val="00B612B9"/>
    <w:rsid w:val="00B62098"/>
    <w:rsid w:val="00B66F76"/>
    <w:rsid w:val="00B93F19"/>
    <w:rsid w:val="00BA4801"/>
    <w:rsid w:val="00BA62C6"/>
    <w:rsid w:val="00BB0DCA"/>
    <w:rsid w:val="00BB1F85"/>
    <w:rsid w:val="00BE4651"/>
    <w:rsid w:val="00BE6100"/>
    <w:rsid w:val="00BE6D69"/>
    <w:rsid w:val="00BF186F"/>
    <w:rsid w:val="00C03CCC"/>
    <w:rsid w:val="00C35EF1"/>
    <w:rsid w:val="00C370A1"/>
    <w:rsid w:val="00C42D40"/>
    <w:rsid w:val="00C50122"/>
    <w:rsid w:val="00C62224"/>
    <w:rsid w:val="00C75A57"/>
    <w:rsid w:val="00C86C0D"/>
    <w:rsid w:val="00CA1756"/>
    <w:rsid w:val="00CF76AA"/>
    <w:rsid w:val="00D03E59"/>
    <w:rsid w:val="00D048BB"/>
    <w:rsid w:val="00D128FF"/>
    <w:rsid w:val="00D14F42"/>
    <w:rsid w:val="00D2576B"/>
    <w:rsid w:val="00D430FD"/>
    <w:rsid w:val="00D714C7"/>
    <w:rsid w:val="00D717EA"/>
    <w:rsid w:val="00D81A49"/>
    <w:rsid w:val="00D81AFA"/>
    <w:rsid w:val="00D92AB4"/>
    <w:rsid w:val="00DC5E73"/>
    <w:rsid w:val="00DC6512"/>
    <w:rsid w:val="00E046A3"/>
    <w:rsid w:val="00E33EBC"/>
    <w:rsid w:val="00E44251"/>
    <w:rsid w:val="00EB077B"/>
    <w:rsid w:val="00EC7F74"/>
    <w:rsid w:val="00EF0F0B"/>
    <w:rsid w:val="00F1533F"/>
    <w:rsid w:val="00F26B9F"/>
    <w:rsid w:val="00F653F1"/>
    <w:rsid w:val="00F73CB8"/>
    <w:rsid w:val="00F772E0"/>
    <w:rsid w:val="00FA188A"/>
    <w:rsid w:val="00FB507B"/>
    <w:rsid w:val="00FC75D1"/>
    <w:rsid w:val="00FE2C59"/>
    <w:rsid w:val="02402EF5"/>
    <w:rsid w:val="037E4EF7"/>
    <w:rsid w:val="0459697B"/>
    <w:rsid w:val="05AA6A26"/>
    <w:rsid w:val="05CB7F64"/>
    <w:rsid w:val="060319E4"/>
    <w:rsid w:val="07FE71C7"/>
    <w:rsid w:val="091E10B3"/>
    <w:rsid w:val="09771917"/>
    <w:rsid w:val="09927F4C"/>
    <w:rsid w:val="09DD651D"/>
    <w:rsid w:val="0DFF7633"/>
    <w:rsid w:val="0EFD461D"/>
    <w:rsid w:val="11953791"/>
    <w:rsid w:val="14C14A38"/>
    <w:rsid w:val="14ED54AE"/>
    <w:rsid w:val="15004BD5"/>
    <w:rsid w:val="166C578D"/>
    <w:rsid w:val="1700336B"/>
    <w:rsid w:val="185A6CC3"/>
    <w:rsid w:val="18676A77"/>
    <w:rsid w:val="18D5353D"/>
    <w:rsid w:val="192C366E"/>
    <w:rsid w:val="193D05E0"/>
    <w:rsid w:val="19EF1CA8"/>
    <w:rsid w:val="1AE90CDB"/>
    <w:rsid w:val="1B373F47"/>
    <w:rsid w:val="1B4C5DED"/>
    <w:rsid w:val="1BD97C35"/>
    <w:rsid w:val="1E052E5D"/>
    <w:rsid w:val="1F41283B"/>
    <w:rsid w:val="2037341A"/>
    <w:rsid w:val="225C0BEF"/>
    <w:rsid w:val="23AD1C8F"/>
    <w:rsid w:val="252E55F3"/>
    <w:rsid w:val="253A24B2"/>
    <w:rsid w:val="260A4188"/>
    <w:rsid w:val="264E5A14"/>
    <w:rsid w:val="268B782F"/>
    <w:rsid w:val="273A3901"/>
    <w:rsid w:val="28B654CD"/>
    <w:rsid w:val="28F57870"/>
    <w:rsid w:val="2B2D5616"/>
    <w:rsid w:val="2C3A2402"/>
    <w:rsid w:val="2C5D0AA5"/>
    <w:rsid w:val="30080247"/>
    <w:rsid w:val="315A3A1F"/>
    <w:rsid w:val="3233026F"/>
    <w:rsid w:val="32DE7155"/>
    <w:rsid w:val="33097A63"/>
    <w:rsid w:val="33BA7B59"/>
    <w:rsid w:val="35A87D1F"/>
    <w:rsid w:val="37A62A11"/>
    <w:rsid w:val="37DD0A33"/>
    <w:rsid w:val="37E85296"/>
    <w:rsid w:val="38A21E8D"/>
    <w:rsid w:val="3A56550A"/>
    <w:rsid w:val="3A967597"/>
    <w:rsid w:val="3AB212A9"/>
    <w:rsid w:val="3B4D4A0C"/>
    <w:rsid w:val="3BE90536"/>
    <w:rsid w:val="3BFEDF73"/>
    <w:rsid w:val="3C7C1CBE"/>
    <w:rsid w:val="3C8F7CB3"/>
    <w:rsid w:val="3DA24CA1"/>
    <w:rsid w:val="3E39094F"/>
    <w:rsid w:val="3E9975BD"/>
    <w:rsid w:val="40D519F9"/>
    <w:rsid w:val="4291655D"/>
    <w:rsid w:val="42E45119"/>
    <w:rsid w:val="43B219F3"/>
    <w:rsid w:val="43CC07A4"/>
    <w:rsid w:val="447E2B8B"/>
    <w:rsid w:val="46FB5D9A"/>
    <w:rsid w:val="477814AA"/>
    <w:rsid w:val="47F76184"/>
    <w:rsid w:val="4AD67F9E"/>
    <w:rsid w:val="4B77279D"/>
    <w:rsid w:val="4B857BB7"/>
    <w:rsid w:val="4EEA3C51"/>
    <w:rsid w:val="4FFC41BC"/>
    <w:rsid w:val="50CE32FF"/>
    <w:rsid w:val="515F3E51"/>
    <w:rsid w:val="52355178"/>
    <w:rsid w:val="526C576D"/>
    <w:rsid w:val="52AB2E6E"/>
    <w:rsid w:val="5376248D"/>
    <w:rsid w:val="53D66108"/>
    <w:rsid w:val="547D2B7B"/>
    <w:rsid w:val="54F71AA3"/>
    <w:rsid w:val="55563820"/>
    <w:rsid w:val="55DE1254"/>
    <w:rsid w:val="562A20B8"/>
    <w:rsid w:val="575F6838"/>
    <w:rsid w:val="57B928E3"/>
    <w:rsid w:val="5B52654A"/>
    <w:rsid w:val="5B72529E"/>
    <w:rsid w:val="5B744735"/>
    <w:rsid w:val="5DBE1E60"/>
    <w:rsid w:val="5DE73A39"/>
    <w:rsid w:val="5E67534B"/>
    <w:rsid w:val="5F3E6478"/>
    <w:rsid w:val="5FF711CB"/>
    <w:rsid w:val="60702EBD"/>
    <w:rsid w:val="628541F3"/>
    <w:rsid w:val="629F7476"/>
    <w:rsid w:val="65206860"/>
    <w:rsid w:val="671A20B2"/>
    <w:rsid w:val="67D46CAB"/>
    <w:rsid w:val="67F347AA"/>
    <w:rsid w:val="687A49BC"/>
    <w:rsid w:val="6ABA3454"/>
    <w:rsid w:val="6CB32CCE"/>
    <w:rsid w:val="6D625A5E"/>
    <w:rsid w:val="6D7865E7"/>
    <w:rsid w:val="6D7A7C1C"/>
    <w:rsid w:val="6F901E6B"/>
    <w:rsid w:val="6FB26B77"/>
    <w:rsid w:val="71196222"/>
    <w:rsid w:val="724E1E63"/>
    <w:rsid w:val="72834151"/>
    <w:rsid w:val="73963D3A"/>
    <w:rsid w:val="74005FCC"/>
    <w:rsid w:val="75786D58"/>
    <w:rsid w:val="76A462A9"/>
    <w:rsid w:val="775FC1F0"/>
    <w:rsid w:val="77815D83"/>
    <w:rsid w:val="7800248B"/>
    <w:rsid w:val="7979784F"/>
    <w:rsid w:val="79BC0FB7"/>
    <w:rsid w:val="79BE27CC"/>
    <w:rsid w:val="7B0D73EB"/>
    <w:rsid w:val="7C6646D7"/>
    <w:rsid w:val="7D5D1221"/>
    <w:rsid w:val="7D9815F2"/>
    <w:rsid w:val="7E3F3654"/>
    <w:rsid w:val="7E741449"/>
    <w:rsid w:val="7EF7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6"/>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link w:val="27"/>
    <w:qFormat/>
    <w:uiPriority w:val="99"/>
    <w:pPr>
      <w:pBdr>
        <w:top w:val="dotted" w:color="622423" w:sz="4" w:space="1"/>
        <w:bottom w:val="dotted" w:color="622423" w:sz="4" w:space="1"/>
      </w:pBdr>
      <w:spacing w:before="300"/>
      <w:jc w:val="center"/>
      <w:outlineLvl w:val="2"/>
    </w:pPr>
    <w:rPr>
      <w:rFonts w:ascii="Times New Roman" w:hAnsi="Times New Roman"/>
      <w:caps/>
      <w:color w:val="622423"/>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7"/>
    <w:qFormat/>
    <w:uiPriority w:val="99"/>
    <w:pPr>
      <w:widowControl/>
      <w:spacing w:before="100" w:beforeAutospacing="1" w:after="100" w:afterAutospacing="1"/>
      <w:jc w:val="left"/>
    </w:pPr>
    <w:rPr>
      <w:rFonts w:ascii="宋体" w:hAnsi="宋体" w:cs="宋体"/>
      <w:kern w:val="0"/>
      <w:sz w:val="24"/>
    </w:rPr>
  </w:style>
  <w:style w:type="paragraph" w:styleId="5">
    <w:name w:val="Body Text Indent"/>
    <w:basedOn w:val="1"/>
    <w:link w:val="17"/>
    <w:semiHidden/>
    <w:unhideWhenUsed/>
    <w:qFormat/>
    <w:uiPriority w:val="99"/>
    <w:pPr>
      <w:spacing w:after="120"/>
      <w:ind w:left="420" w:leftChars="200"/>
    </w:pPr>
  </w:style>
  <w:style w:type="paragraph" w:styleId="6">
    <w:name w:val="Plain Text"/>
    <w:basedOn w:val="1"/>
    <w:link w:val="36"/>
    <w:qFormat/>
    <w:uiPriority w:val="0"/>
    <w:rPr>
      <w:rFonts w:ascii="宋体" w:hAnsi="Courier New" w:eastAsia="Times New Roman" w:cs="宋体"/>
      <w:szCs w:val="21"/>
    </w:rPr>
  </w:style>
  <w:style w:type="paragraph" w:styleId="7">
    <w:name w:val="Balloon Text"/>
    <w:basedOn w:val="1"/>
    <w:link w:val="18"/>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35"/>
    <w:qFormat/>
    <w:uiPriority w:val="99"/>
    <w:pPr>
      <w:spacing w:after="560"/>
      <w:jc w:val="center"/>
    </w:pPr>
    <w:rPr>
      <w:caps/>
      <w:spacing w:val="20"/>
      <w:kern w:val="0"/>
      <w:sz w:val="18"/>
      <w:szCs w:val="18"/>
    </w:rPr>
  </w:style>
  <w:style w:type="paragraph" w:styleId="11">
    <w:name w:val="HTML Preformatted"/>
    <w:basedOn w:val="1"/>
    <w:link w:val="3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cs="宋体"/>
      <w:kern w:val="0"/>
      <w:sz w:val="24"/>
    </w:rPr>
  </w:style>
  <w:style w:type="paragraph" w:styleId="12">
    <w:name w:val="Body Text First Indent 2"/>
    <w:basedOn w:val="5"/>
    <w:link w:val="21"/>
    <w:qFormat/>
    <w:uiPriority w:val="0"/>
    <w:pPr>
      <w:spacing w:after="0"/>
      <w:ind w:left="0" w:leftChars="0" w:firstLine="420" w:firstLineChars="200"/>
    </w:pPr>
    <w:rPr>
      <w:szCs w:val="22"/>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99"/>
    <w:rPr>
      <w:color w:val="0000FF"/>
      <w:u w:val="none"/>
    </w:rPr>
  </w:style>
  <w:style w:type="character" w:customStyle="1" w:styleId="17">
    <w:name w:val="正文文本缩进 Char"/>
    <w:basedOn w:val="15"/>
    <w:link w:val="5"/>
    <w:semiHidden/>
    <w:qFormat/>
    <w:uiPriority w:val="99"/>
    <w:rPr>
      <w:rFonts w:ascii="Calibri" w:hAnsi="Calibri"/>
      <w:kern w:val="2"/>
      <w:sz w:val="21"/>
      <w:szCs w:val="24"/>
    </w:rPr>
  </w:style>
  <w:style w:type="character" w:customStyle="1" w:styleId="18">
    <w:name w:val="批注框文本 Char"/>
    <w:basedOn w:val="15"/>
    <w:link w:val="7"/>
    <w:qFormat/>
    <w:uiPriority w:val="99"/>
    <w:rPr>
      <w:rFonts w:ascii="Calibri" w:hAnsi="Calibri" w:eastAsia="宋体" w:cs="Times New Roman"/>
      <w:sz w:val="18"/>
      <w:szCs w:val="18"/>
    </w:rPr>
  </w:style>
  <w:style w:type="character" w:customStyle="1" w:styleId="19">
    <w:name w:val="页脚 Char"/>
    <w:basedOn w:val="15"/>
    <w:link w:val="8"/>
    <w:qFormat/>
    <w:uiPriority w:val="99"/>
    <w:rPr>
      <w:sz w:val="18"/>
      <w:szCs w:val="18"/>
    </w:rPr>
  </w:style>
  <w:style w:type="character" w:customStyle="1" w:styleId="20">
    <w:name w:val="页眉 Char"/>
    <w:basedOn w:val="15"/>
    <w:link w:val="9"/>
    <w:qFormat/>
    <w:uiPriority w:val="99"/>
    <w:rPr>
      <w:sz w:val="18"/>
      <w:szCs w:val="18"/>
    </w:rPr>
  </w:style>
  <w:style w:type="character" w:customStyle="1" w:styleId="21">
    <w:name w:val="正文首行缩进 2 Char"/>
    <w:basedOn w:val="17"/>
    <w:link w:val="12"/>
    <w:qFormat/>
    <w:uiPriority w:val="0"/>
    <w:rPr>
      <w:szCs w:val="22"/>
    </w:rPr>
  </w:style>
  <w:style w:type="paragraph" w:customStyle="1" w:styleId="22">
    <w:name w:val="_Style 19"/>
    <w:basedOn w:val="1"/>
    <w:next w:val="1"/>
    <w:qFormat/>
    <w:uiPriority w:val="0"/>
    <w:pPr>
      <w:pBdr>
        <w:top w:val="single" w:color="auto" w:sz="6" w:space="1"/>
      </w:pBdr>
      <w:jc w:val="center"/>
    </w:pPr>
    <w:rPr>
      <w:rFonts w:ascii="Arial"/>
      <w:vanish/>
      <w:sz w:val="16"/>
    </w:rPr>
  </w:style>
  <w:style w:type="paragraph" w:customStyle="1" w:styleId="23">
    <w:name w:val="_Style 18"/>
    <w:basedOn w:val="1"/>
    <w:next w:val="1"/>
    <w:qFormat/>
    <w:uiPriority w:val="0"/>
    <w:pPr>
      <w:pBdr>
        <w:bottom w:val="single" w:color="auto" w:sz="6" w:space="1"/>
      </w:pBdr>
      <w:jc w:val="center"/>
    </w:pPr>
    <w:rPr>
      <w:rFonts w:ascii="Arial"/>
      <w:vanish/>
      <w:sz w:val="16"/>
    </w:rPr>
  </w:style>
  <w:style w:type="paragraph" w:styleId="24">
    <w:name w:val="List Paragraph"/>
    <w:basedOn w:val="1"/>
    <w:qFormat/>
    <w:uiPriority w:val="99"/>
    <w:pPr>
      <w:ind w:firstLine="420" w:firstLineChars="200"/>
    </w:pPr>
  </w:style>
  <w:style w:type="paragraph" w:customStyle="1" w:styleId="25">
    <w:name w:val="正文文本 (4)"/>
    <w:basedOn w:val="1"/>
    <w:qFormat/>
    <w:uiPriority w:val="0"/>
    <w:pPr>
      <w:shd w:val="clear" w:color="auto" w:fill="FFFFFF"/>
      <w:spacing w:line="600" w:lineRule="exact"/>
      <w:jc w:val="distribute"/>
    </w:pPr>
    <w:rPr>
      <w:rFonts w:ascii="MingLiU_x0004_falt" w:hAnsi="MingLiU_x0004_falt" w:eastAsia="MingLiU_x0004_falt" w:cs="MingLiU_x0004_falt"/>
      <w:color w:val="000000"/>
      <w:kern w:val="0"/>
      <w:sz w:val="32"/>
      <w:szCs w:val="32"/>
      <w:lang w:val="zh-TW" w:eastAsia="zh-TW"/>
    </w:rPr>
  </w:style>
  <w:style w:type="character" w:customStyle="1" w:styleId="26">
    <w:name w:val="标题 1 Char"/>
    <w:basedOn w:val="15"/>
    <w:link w:val="2"/>
    <w:qFormat/>
    <w:uiPriority w:val="0"/>
    <w:rPr>
      <w:rFonts w:ascii="宋体" w:hAnsi="宋体"/>
      <w:b/>
      <w:kern w:val="44"/>
      <w:sz w:val="48"/>
      <w:szCs w:val="48"/>
    </w:rPr>
  </w:style>
  <w:style w:type="character" w:customStyle="1" w:styleId="27">
    <w:name w:val="标题 3 Char"/>
    <w:basedOn w:val="15"/>
    <w:link w:val="3"/>
    <w:qFormat/>
    <w:uiPriority w:val="99"/>
    <w:rPr>
      <w:caps/>
      <w:color w:val="622423"/>
      <w:kern w:val="2"/>
      <w:sz w:val="24"/>
      <w:szCs w:val="24"/>
    </w:rPr>
  </w:style>
  <w:style w:type="character" w:customStyle="1" w:styleId="28">
    <w:name w:val="HTML 预设格式 Char"/>
    <w:basedOn w:val="15"/>
    <w:link w:val="11"/>
    <w:qFormat/>
    <w:uiPriority w:val="99"/>
    <w:rPr>
      <w:rFonts w:ascii="宋体" w:cs="宋体"/>
      <w:sz w:val="24"/>
      <w:szCs w:val="24"/>
    </w:rPr>
  </w:style>
  <w:style w:type="character" w:customStyle="1" w:styleId="29">
    <w:name w:val="无间隔 Char"/>
    <w:basedOn w:val="15"/>
    <w:link w:val="30"/>
    <w:qFormat/>
    <w:locked/>
    <w:uiPriority w:val="1"/>
    <w:rPr>
      <w:rFonts w:ascii="Calibri" w:hAnsi="Calibri"/>
    </w:rPr>
  </w:style>
  <w:style w:type="paragraph" w:styleId="30">
    <w:name w:val="No Spacing"/>
    <w:basedOn w:val="1"/>
    <w:link w:val="29"/>
    <w:qFormat/>
    <w:uiPriority w:val="1"/>
    <w:rPr>
      <w:kern w:val="0"/>
      <w:sz w:val="20"/>
      <w:szCs w:val="20"/>
    </w:rPr>
  </w:style>
  <w:style w:type="character" w:customStyle="1" w:styleId="31">
    <w:name w:val="副标题 Char"/>
    <w:basedOn w:val="15"/>
    <w:link w:val="10"/>
    <w:qFormat/>
    <w:uiPriority w:val="99"/>
    <w:rPr>
      <w:rFonts w:ascii="Calibri" w:hAnsi="Calibri"/>
      <w:caps/>
      <w:spacing w:val="20"/>
      <w:sz w:val="18"/>
      <w:szCs w:val="18"/>
    </w:rPr>
  </w:style>
  <w:style w:type="character" w:customStyle="1" w:styleId="32">
    <w:name w:val="zw Char"/>
    <w:link w:val="33"/>
    <w:qFormat/>
    <w:locked/>
    <w:uiPriority w:val="99"/>
    <w:rPr>
      <w:rFonts w:ascii="方正书宋简体" w:eastAsia="方正书宋简体"/>
      <w:color w:val="000000"/>
    </w:rPr>
  </w:style>
  <w:style w:type="paragraph" w:customStyle="1" w:styleId="33">
    <w:name w:val="zw"/>
    <w:basedOn w:val="1"/>
    <w:link w:val="32"/>
    <w:qFormat/>
    <w:uiPriority w:val="99"/>
    <w:pPr>
      <w:widowControl/>
      <w:spacing w:before="30"/>
      <w:ind w:left="100" w:right="100"/>
    </w:pPr>
    <w:rPr>
      <w:rFonts w:ascii="方正书宋简体" w:hAnsi="Times New Roman" w:eastAsia="方正书宋简体"/>
      <w:color w:val="000000"/>
      <w:kern w:val="0"/>
      <w:sz w:val="20"/>
      <w:szCs w:val="20"/>
    </w:rPr>
  </w:style>
  <w:style w:type="character" w:customStyle="1" w:styleId="34">
    <w:name w:val="正文文本 Char"/>
    <w:basedOn w:val="15"/>
    <w:link w:val="4"/>
    <w:qFormat/>
    <w:uiPriority w:val="99"/>
    <w:rPr>
      <w:rFonts w:ascii="宋体" w:hAnsi="宋体" w:cs="宋体"/>
      <w:sz w:val="24"/>
      <w:szCs w:val="24"/>
    </w:rPr>
  </w:style>
  <w:style w:type="character" w:customStyle="1" w:styleId="35">
    <w:name w:val="副标题 Char1"/>
    <w:basedOn w:val="15"/>
    <w:link w:val="10"/>
    <w:qFormat/>
    <w:uiPriority w:val="11"/>
    <w:rPr>
      <w:rFonts w:asciiTheme="majorHAnsi" w:hAnsiTheme="majorHAnsi" w:cstheme="majorBidi"/>
      <w:b/>
      <w:bCs/>
      <w:kern w:val="28"/>
      <w:sz w:val="32"/>
      <w:szCs w:val="32"/>
    </w:rPr>
  </w:style>
  <w:style w:type="character" w:customStyle="1" w:styleId="36">
    <w:name w:val="纯文本 Char"/>
    <w:basedOn w:val="15"/>
    <w:link w:val="6"/>
    <w:qFormat/>
    <w:uiPriority w:val="0"/>
    <w:rPr>
      <w:rFonts w:ascii="宋体" w:hAnsi="Courier New" w:eastAsia="Times New Roman" w:cs="宋体"/>
      <w:kern w:val="2"/>
      <w:sz w:val="21"/>
      <w:szCs w:val="21"/>
    </w:rPr>
  </w:style>
  <w:style w:type="character" w:customStyle="1" w:styleId="37">
    <w:name w:val="正文文本 Char1"/>
    <w:basedOn w:val="15"/>
    <w:link w:val="4"/>
    <w:semiHidden/>
    <w:qFormat/>
    <w:uiPriority w:val="99"/>
    <w:rPr>
      <w:rFonts w:ascii="Calibri" w:hAnsi="Calibri"/>
      <w:kern w:val="2"/>
      <w:sz w:val="21"/>
      <w:szCs w:val="24"/>
    </w:rPr>
  </w:style>
  <w:style w:type="character" w:customStyle="1" w:styleId="38">
    <w:name w:val="HTML 预设格式 Char1"/>
    <w:basedOn w:val="15"/>
    <w:link w:val="11"/>
    <w:semiHidden/>
    <w:qFormat/>
    <w:uiPriority w:val="99"/>
    <w:rPr>
      <w:rFonts w:ascii="Courier New" w:hAnsi="Courier New" w:cs="Courier New"/>
      <w:kern w:val="2"/>
    </w:rPr>
  </w:style>
  <w:style w:type="character" w:customStyle="1" w:styleId="39">
    <w:name w:val="17"/>
    <w:basedOn w:val="15"/>
    <w:qFormat/>
    <w:uiPriority w:val="0"/>
    <w:rPr>
      <w:rFonts w:hint="eastAsia" w:ascii="宋体" w:hAnsi="宋体" w:eastAsia="宋体"/>
      <w:color w:val="000000"/>
      <w:sz w:val="18"/>
      <w:szCs w:val="18"/>
    </w:rPr>
  </w:style>
  <w:style w:type="character" w:customStyle="1" w:styleId="40">
    <w:name w:val="15"/>
    <w:basedOn w:val="15"/>
    <w:qFormat/>
    <w:uiPriority w:val="0"/>
    <w:rPr>
      <w:rFonts w:hint="eastAsia" w:ascii="宋体" w:hAnsi="宋体" w:eastAsia="宋体"/>
      <w:color w:val="000000"/>
      <w:sz w:val="18"/>
      <w:szCs w:val="18"/>
    </w:rPr>
  </w:style>
  <w:style w:type="paragraph" w:customStyle="1" w:styleId="41">
    <w:name w:val="p0"/>
    <w:basedOn w:val="1"/>
    <w:qFormat/>
    <w:uiPriority w:val="99"/>
    <w:pPr>
      <w:widowControl/>
    </w:pPr>
    <w:rPr>
      <w:rFonts w:ascii="Times New Roman" w:hAnsi="Times New Roman"/>
      <w:kern w:val="0"/>
      <w:szCs w:val="21"/>
    </w:rPr>
  </w:style>
  <w:style w:type="character" w:customStyle="1" w:styleId="42">
    <w:name w:val="font31"/>
    <w:basedOn w:val="15"/>
    <w:qFormat/>
    <w:uiPriority w:val="0"/>
    <w:rPr>
      <w:rFonts w:hint="eastAsia" w:ascii="楷体_GB2312" w:eastAsia="楷体_GB2312" w:cs="楷体_GB2312"/>
      <w:color w:val="FF0000"/>
      <w:sz w:val="28"/>
      <w:szCs w:val="28"/>
      <w:u w:val="none"/>
    </w:rPr>
  </w:style>
  <w:style w:type="character" w:customStyle="1" w:styleId="43">
    <w:name w:val="font41"/>
    <w:basedOn w:val="15"/>
    <w:qFormat/>
    <w:uiPriority w:val="0"/>
    <w:rPr>
      <w:rFonts w:hint="eastAsia" w:ascii="楷体_GB2312" w:eastAsia="楷体_GB2312" w:cs="楷体_GB2312"/>
      <w:color w:val="000000"/>
      <w:sz w:val="28"/>
      <w:szCs w:val="28"/>
      <w:u w:val="none"/>
    </w:rPr>
  </w:style>
  <w:style w:type="character" w:customStyle="1" w:styleId="44">
    <w:name w:val="font0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355</Pages>
  <Words>59792</Words>
  <Characters>340820</Characters>
  <Lines>2840</Lines>
  <Paragraphs>799</Paragraphs>
  <TotalTime>4</TotalTime>
  <ScaleCrop>false</ScaleCrop>
  <LinksUpToDate>false</LinksUpToDate>
  <CharactersWithSpaces>399813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2023-06-15T03:21:00Z</dcterms:created>
  <dc:creator>政策法规与体制改革科（行政审批科）:赵丹</dc:creator>
  <cp:lastModifiedBy>user</cp:lastModifiedBy>
  <cp:lastPrinted>2020-06-11T07:43:00Z</cp:lastPrinted>
  <dcterms:modified xsi:type="dcterms:W3CDTF">2023-08-09T10:20:29Z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AC1CCABCAA0E4471A9788448ECAE84DF_13</vt:lpwstr>
  </property>
</Properties>
</file>