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336" w:type="dxa"/>
        <w:tblInd w:w="0" w:type="dxa"/>
        <w:tblLayout w:type="fixed"/>
        <w:tblCellMar>
          <w:top w:w="0" w:type="dxa"/>
          <w:left w:w="0" w:type="dxa"/>
          <w:bottom w:w="0" w:type="dxa"/>
          <w:right w:w="0" w:type="dxa"/>
        </w:tblCellMar>
      </w:tblPr>
      <w:tblGrid>
        <w:gridCol w:w="1080"/>
        <w:gridCol w:w="1879"/>
        <w:gridCol w:w="518"/>
        <w:gridCol w:w="2764"/>
        <w:gridCol w:w="7095"/>
      </w:tblGrid>
      <w:tr>
        <w:tblPrEx>
          <w:tblCellMar>
            <w:top w:w="0" w:type="dxa"/>
            <w:left w:w="0" w:type="dxa"/>
            <w:bottom w:w="0" w:type="dxa"/>
            <w:right w:w="0" w:type="dxa"/>
          </w:tblCellMar>
        </w:tblPrEx>
        <w:trPr>
          <w:trHeight w:val="640" w:hRule="atLeast"/>
        </w:trPr>
        <w:tc>
          <w:tcPr>
            <w:tcW w:w="1080" w:type="dxa"/>
            <w:tcBorders>
              <w:top w:val="nil"/>
              <w:left w:val="nil"/>
              <w:bottom w:val="nil"/>
              <w:right w:val="nil"/>
            </w:tcBorders>
            <w:noWrap/>
            <w:tcMar>
              <w:top w:w="15" w:type="dxa"/>
              <w:left w:w="15" w:type="dxa"/>
              <w:right w:w="15" w:type="dxa"/>
            </w:tcMar>
            <w:vAlign w:val="center"/>
          </w:tcPr>
          <w:p>
            <w:pPr>
              <w:textAlignment w:val="center"/>
              <w:rPr>
                <w:rFonts w:hint="eastAsia" w:ascii="宋体" w:hAnsi="宋体" w:eastAsia="宋体" w:cs="宋体"/>
                <w:color w:val="000000"/>
              </w:rPr>
            </w:pPr>
            <w:r>
              <w:rPr>
                <w:rFonts w:hint="eastAsia" w:ascii="宋体" w:hAnsi="宋体" w:eastAsia="宋体" w:cs="宋体"/>
                <w:color w:val="000000"/>
              </w:rPr>
              <w:t>附件1</w:t>
            </w:r>
          </w:p>
        </w:tc>
        <w:tc>
          <w:tcPr>
            <w:tcW w:w="1879"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rPr>
            </w:pPr>
          </w:p>
        </w:tc>
        <w:tc>
          <w:tcPr>
            <w:tcW w:w="518"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rPr>
            </w:pPr>
          </w:p>
        </w:tc>
        <w:tc>
          <w:tcPr>
            <w:tcW w:w="2764"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rPr>
            </w:pPr>
          </w:p>
        </w:tc>
        <w:tc>
          <w:tcPr>
            <w:tcW w:w="709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rPr>
            </w:pPr>
          </w:p>
        </w:tc>
      </w:tr>
      <w:tr>
        <w:tblPrEx>
          <w:tblCellMar>
            <w:top w:w="0" w:type="dxa"/>
            <w:left w:w="0" w:type="dxa"/>
            <w:bottom w:w="0" w:type="dxa"/>
            <w:right w:w="0" w:type="dxa"/>
          </w:tblCellMar>
        </w:tblPrEx>
        <w:trPr>
          <w:trHeight w:val="540" w:hRule="atLeast"/>
        </w:trPr>
        <w:tc>
          <w:tcPr>
            <w:tcW w:w="13336" w:type="dxa"/>
            <w:gridSpan w:val="5"/>
            <w:tcBorders>
              <w:top w:val="nil"/>
              <w:left w:val="nil"/>
              <w:bottom w:val="nil"/>
              <w:right w:val="nil"/>
            </w:tcBorders>
            <w:noWrap/>
            <w:tcMar>
              <w:top w:w="15" w:type="dxa"/>
              <w:left w:w="15" w:type="dxa"/>
              <w:right w:w="15" w:type="dxa"/>
            </w:tcMar>
            <w:vAlign w:val="center"/>
          </w:tcPr>
          <w:p>
            <w:pPr>
              <w:jc w:val="center"/>
              <w:textAlignment w:val="center"/>
              <w:rPr>
                <w:rFonts w:hint="eastAsia" w:ascii="宋体" w:hAnsi="宋体" w:eastAsia="宋体" w:cs="宋体"/>
                <w:color w:val="000000"/>
              </w:rPr>
            </w:pPr>
            <w:r>
              <w:rPr>
                <w:rFonts w:hint="eastAsia" w:ascii="宋体" w:hAnsi="宋体" w:eastAsia="宋体" w:cs="宋体"/>
                <w:color w:val="000000"/>
                <w:sz w:val="30"/>
                <w:szCs w:val="30"/>
              </w:rPr>
              <w:t xml:space="preserve">招聘单位基本情况 </w:t>
            </w:r>
          </w:p>
        </w:tc>
      </w:tr>
      <w:tr>
        <w:tblPrEx>
          <w:tblCellMar>
            <w:top w:w="0" w:type="dxa"/>
            <w:left w:w="0" w:type="dxa"/>
            <w:bottom w:w="0" w:type="dxa"/>
            <w:right w:w="0"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主管部门</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招聘单位</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经费形式</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单位地址</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主要职能简介</w:t>
            </w:r>
          </w:p>
        </w:tc>
      </w:tr>
      <w:tr>
        <w:tblPrEx>
          <w:tblCellMar>
            <w:top w:w="0" w:type="dxa"/>
            <w:left w:w="0" w:type="dxa"/>
            <w:bottom w:w="0" w:type="dxa"/>
            <w:right w:w="0"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广元市朝天区水利局</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广元市朝天区城乡供水总站</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广元市朝天区潜溪路二段130号</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主要负责做城乡供水工程的建设和经营管理指导，监督城乡供水质量和安全。</w:t>
            </w:r>
          </w:p>
        </w:tc>
      </w:tr>
      <w:tr>
        <w:tblPrEx>
          <w:tblCellMar>
            <w:top w:w="0" w:type="dxa"/>
            <w:left w:w="0" w:type="dxa"/>
            <w:bottom w:w="0" w:type="dxa"/>
            <w:right w:w="0" w:type="dxa"/>
          </w:tblCellMar>
        </w:tblPrEx>
        <w:trPr>
          <w:trHeight w:val="168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广元市朝天区水利工程建设管理站</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广元市朝天区潜溪路二段130号</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主要负责组建项目法人现场建设管理机构；负责办理工程质量监督、开工申请报告报批特拉手续；负责组织制订、上报在建工程</w:t>
            </w:r>
            <w:r>
              <w:rPr>
                <w:rFonts w:hint="eastAsia" w:ascii="黑体" w:hAnsi="宋体" w:eastAsia="黑体" w:cs="黑体"/>
                <w:color w:val="000000"/>
                <w:sz w:val="20"/>
                <w:szCs w:val="20"/>
                <w:lang w:eastAsia="zh-CN"/>
              </w:rPr>
              <w:t>度汛</w:t>
            </w:r>
            <w:r>
              <w:rPr>
                <w:rFonts w:hint="eastAsia" w:ascii="黑体" w:hAnsi="宋体" w:eastAsia="黑体" w:cs="黑体"/>
                <w:color w:val="000000"/>
                <w:sz w:val="20"/>
                <w:szCs w:val="20"/>
              </w:rPr>
              <w:t>方案，落实安全度汛措施，并对在建工程安全度汛负责；负责按照项目信息公开的要求向项目主管部门提供项目建设管理信息；负责组织编制竣工财务决算；负责工程档案资料的管理，包括对各参建单位所形成档案资料的收集，整理、归档工作进行监督、检查。</w:t>
            </w:r>
          </w:p>
        </w:tc>
      </w:tr>
      <w:tr>
        <w:tblPrEx>
          <w:tblCellMar>
            <w:top w:w="0" w:type="dxa"/>
            <w:left w:w="0" w:type="dxa"/>
            <w:bottom w:w="0" w:type="dxa"/>
            <w:right w:w="0" w:type="dxa"/>
          </w:tblCellMar>
        </w:tblPrEx>
        <w:trPr>
          <w:trHeight w:val="22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广元市朝天区行政审批局</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广元市朝天区政务服务和公共资源交易中心</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广元市朝天区朝天镇龙门街22号</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一、贯彻实施政务服务和公共资源交易服务相关法律、法规和政策，为政务服务和公共资源交易活动提供场所、设施和服务。</w:t>
            </w:r>
            <w:r>
              <w:rPr>
                <w:rFonts w:hint="eastAsia" w:ascii="宋体" w:hAnsi="宋体" w:eastAsia="宋体" w:cs="宋体"/>
                <w:color w:val="000000"/>
                <w:sz w:val="20"/>
                <w:szCs w:val="20"/>
              </w:rPr>
              <w:t xml:space="preserve"> </w:t>
            </w:r>
            <w:r>
              <w:rPr>
                <w:rFonts w:hint="eastAsia" w:ascii="黑体" w:hAnsi="宋体" w:eastAsia="黑体" w:cs="黑体"/>
                <w:color w:val="000000"/>
                <w:sz w:val="20"/>
                <w:szCs w:val="20"/>
              </w:rPr>
              <w:t>二、负责进入政务服务和公共资源交易中心的事项办理的指导监督。</w:t>
            </w:r>
            <w:r>
              <w:rPr>
                <w:rFonts w:hint="eastAsia" w:ascii="宋体" w:hAnsi="宋体" w:eastAsia="宋体" w:cs="宋体"/>
                <w:color w:val="000000"/>
                <w:sz w:val="20"/>
                <w:szCs w:val="20"/>
              </w:rPr>
              <w:t xml:space="preserve"> </w:t>
            </w:r>
            <w:r>
              <w:rPr>
                <w:rFonts w:hint="eastAsia" w:ascii="黑体" w:hAnsi="宋体" w:eastAsia="黑体" w:cs="黑体"/>
                <w:color w:val="000000"/>
                <w:sz w:val="20"/>
                <w:szCs w:val="20"/>
              </w:rPr>
              <w:t>三、负责实施政务服务大厅标准化、规范化、便民化的建设和服务工作；负责服务事项清理、办事材料精简、服务流程优化、办事指南规范的指导和管理；负责为企业和群众开展全程代办、协办和上门服务、延时服务、预约服务；负责审批服务事项</w:t>
            </w:r>
            <w:r>
              <w:rPr>
                <w:rFonts w:hint="eastAsia" w:ascii="宋体" w:hAnsi="宋体" w:eastAsia="宋体" w:cs="宋体"/>
                <w:color w:val="000000"/>
                <w:sz w:val="20"/>
                <w:szCs w:val="20"/>
              </w:rPr>
              <w:t>“</w:t>
            </w:r>
            <w:r>
              <w:rPr>
                <w:rFonts w:hint="eastAsia" w:ascii="黑体" w:hAnsi="宋体" w:eastAsia="黑体" w:cs="黑体"/>
                <w:color w:val="000000"/>
                <w:sz w:val="20"/>
                <w:szCs w:val="20"/>
              </w:rPr>
              <w:t>一网办</w:t>
            </w:r>
            <w:r>
              <w:rPr>
                <w:rFonts w:hint="eastAsia" w:ascii="宋体" w:hAnsi="宋体" w:eastAsia="宋体" w:cs="宋体"/>
                <w:color w:val="000000"/>
                <w:sz w:val="20"/>
                <w:szCs w:val="20"/>
              </w:rPr>
              <w:t>”“</w:t>
            </w:r>
            <w:r>
              <w:rPr>
                <w:rFonts w:hint="eastAsia" w:ascii="黑体" w:hAnsi="宋体" w:eastAsia="黑体" w:cs="黑体"/>
                <w:color w:val="000000"/>
                <w:sz w:val="20"/>
                <w:szCs w:val="20"/>
              </w:rPr>
              <w:t>一门办</w:t>
            </w:r>
            <w:r>
              <w:rPr>
                <w:rFonts w:hint="eastAsia" w:ascii="宋体" w:hAnsi="宋体" w:eastAsia="宋体" w:cs="宋体"/>
                <w:color w:val="000000"/>
                <w:sz w:val="20"/>
                <w:szCs w:val="20"/>
              </w:rPr>
              <w:t>”“</w:t>
            </w:r>
            <w:r>
              <w:rPr>
                <w:rFonts w:hint="eastAsia" w:ascii="黑体" w:hAnsi="宋体" w:eastAsia="黑体" w:cs="黑体"/>
                <w:color w:val="000000"/>
                <w:sz w:val="20"/>
                <w:szCs w:val="20"/>
              </w:rPr>
              <w:t>一次办</w:t>
            </w:r>
            <w:r>
              <w:rPr>
                <w:rFonts w:hint="eastAsia" w:ascii="宋体" w:hAnsi="宋体" w:eastAsia="宋体" w:cs="宋体"/>
                <w:color w:val="000000"/>
                <w:sz w:val="20"/>
                <w:szCs w:val="20"/>
              </w:rPr>
              <w:t>”</w:t>
            </w:r>
            <w:r>
              <w:rPr>
                <w:rFonts w:hint="eastAsia" w:ascii="黑体" w:hAnsi="宋体" w:eastAsia="黑体" w:cs="黑体"/>
                <w:color w:val="000000"/>
                <w:sz w:val="20"/>
                <w:szCs w:val="20"/>
              </w:rPr>
              <w:t>的工作协调，开展优质服务。</w:t>
            </w:r>
            <w:r>
              <w:rPr>
                <w:rFonts w:hint="eastAsia" w:ascii="宋体" w:hAnsi="宋体" w:eastAsia="宋体" w:cs="宋体"/>
                <w:color w:val="000000"/>
                <w:sz w:val="20"/>
                <w:szCs w:val="20"/>
              </w:rPr>
              <w:t xml:space="preserve"> </w:t>
            </w:r>
            <w:r>
              <w:rPr>
                <w:rFonts w:hint="eastAsia" w:ascii="黑体" w:hAnsi="宋体" w:eastAsia="黑体" w:cs="黑体"/>
                <w:color w:val="000000"/>
                <w:sz w:val="20"/>
                <w:szCs w:val="20"/>
              </w:rPr>
              <w:t>四、负责公共资源交易信息中心的建设和管理。五、</w:t>
            </w:r>
            <w:r>
              <w:rPr>
                <w:rFonts w:hint="eastAsia" w:ascii="宋体" w:hAnsi="宋体" w:eastAsia="宋体" w:cs="宋体"/>
                <w:color w:val="000000"/>
                <w:sz w:val="20"/>
                <w:szCs w:val="20"/>
              </w:rPr>
              <w:t xml:space="preserve"> </w:t>
            </w:r>
            <w:r>
              <w:rPr>
                <w:rFonts w:hint="eastAsia" w:ascii="黑体" w:hAnsi="宋体" w:eastAsia="黑体" w:cs="黑体"/>
                <w:color w:val="000000"/>
                <w:sz w:val="20"/>
                <w:szCs w:val="20"/>
              </w:rPr>
              <w:t>负责全区重大投资项目联合审批的相关服务工作。</w:t>
            </w:r>
            <w:r>
              <w:rPr>
                <w:rFonts w:hint="eastAsia" w:ascii="宋体" w:hAnsi="宋体" w:eastAsia="宋体" w:cs="宋体"/>
                <w:color w:val="000000"/>
                <w:sz w:val="20"/>
                <w:szCs w:val="20"/>
              </w:rPr>
              <w:t xml:space="preserve"> </w:t>
            </w:r>
          </w:p>
        </w:tc>
      </w:tr>
      <w:tr>
        <w:tblPrEx>
          <w:tblCellMar>
            <w:top w:w="0" w:type="dxa"/>
            <w:left w:w="0" w:type="dxa"/>
            <w:bottom w:w="0" w:type="dxa"/>
            <w:right w:w="0"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广元市城乡规划局朝天分局</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广元市城乡规划局朝天分局</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广元市朝天区朝天镇稼轩街</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承担朝天区城乡规划编制、城乡规划实施管理监督工作</w:t>
            </w:r>
          </w:p>
        </w:tc>
      </w:tr>
      <w:tr>
        <w:tblPrEx>
          <w:tblCellMar>
            <w:top w:w="0" w:type="dxa"/>
            <w:left w:w="0" w:type="dxa"/>
            <w:bottom w:w="0" w:type="dxa"/>
            <w:right w:w="0" w:type="dxa"/>
          </w:tblCellMar>
        </w:tblPrEx>
        <w:trPr>
          <w:trHeight w:val="11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中共广元市朝天区委宣传部</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广元日报社驻朝天记者站</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广元市朝天区朝天镇大中坝融媒体中心办公楼</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按照广元日报社的安排和策划，独立或协助完成重大或重要新闻采访任务；负责《广元日报》县区版组稿工作；负责本辖区新闻宣传工作；负责本县区通讯联络、培训工作，协助做好报纸发行工作。</w:t>
            </w:r>
          </w:p>
        </w:tc>
      </w:tr>
      <w:tr>
        <w:tblPrEx>
          <w:tblCellMar>
            <w:top w:w="0" w:type="dxa"/>
            <w:left w:w="0" w:type="dxa"/>
            <w:bottom w:w="0" w:type="dxa"/>
            <w:right w:w="0"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广元市朝天区交通运输局</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广元市朝天区公路养护段</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广元市朝天镇稼轩街清风大道一段</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承担辖区国、省、县、乡道公路养护、绿化、大中修及养护体制改革。</w:t>
            </w:r>
          </w:p>
        </w:tc>
      </w:tr>
      <w:tr>
        <w:tblPrEx>
          <w:tblCellMar>
            <w:top w:w="0" w:type="dxa"/>
            <w:left w:w="0" w:type="dxa"/>
            <w:bottom w:w="0" w:type="dxa"/>
            <w:right w:w="0"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广元市朝天区残疾人联合会</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广元市朝天区残疾人康复服务中心</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广元市朝天区朝天镇康福路2号</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负责组织全区残疾人开展康复训练，提供指导；做好残疾人用品用具的登记和供应服务等工作</w:t>
            </w:r>
          </w:p>
        </w:tc>
      </w:tr>
      <w:tr>
        <w:tblPrEx>
          <w:tblCellMar>
            <w:top w:w="0" w:type="dxa"/>
            <w:left w:w="0" w:type="dxa"/>
            <w:bottom w:w="0" w:type="dxa"/>
            <w:right w:w="0"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广元市朝天区卫生健康局</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微软雅黑" w:hAnsi="微软雅黑" w:cs="微软雅黑"/>
                <w:color w:val="000000"/>
                <w:sz w:val="20"/>
                <w:szCs w:val="20"/>
              </w:rPr>
            </w:pPr>
            <w:r>
              <w:rPr>
                <w:rFonts w:hint="eastAsia" w:ascii="微软雅黑" w:hAnsi="微软雅黑" w:cs="微软雅黑"/>
                <w:color w:val="000000"/>
                <w:sz w:val="20"/>
                <w:szCs w:val="20"/>
              </w:rPr>
              <w:t>广元市朝天区鱼洞卫生院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广元市朝天区鱼洞东沟村九组</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广元市朝天区青林卫生院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广元市朝天区水麿沟镇场镇</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广元市朝天区东溪河卫生院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广元市朝天区云雾山镇场镇</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广元市朝天区大滩中心卫生院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广元市朝天区大滩镇场镇</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广元市朝天区花石卫生院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广元市朝天区花石场镇</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广元市朝天区李家卫生院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广元市朝天区李家场镇</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广元市朝天区临溪卫生院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广元市朝天区临溪场镇宾临路</w:t>
            </w:r>
            <w:r>
              <w:rPr>
                <w:rFonts w:hint="eastAsia" w:ascii="宋体" w:hAnsi="宋体" w:eastAsia="宋体" w:cs="宋体"/>
                <w:color w:val="000000"/>
                <w:sz w:val="20"/>
                <w:szCs w:val="20"/>
              </w:rPr>
              <w:t>38</w:t>
            </w:r>
            <w:r>
              <w:rPr>
                <w:rFonts w:hint="eastAsia" w:ascii="微软雅黑" w:hAnsi="微软雅黑" w:cs="微软雅黑"/>
                <w:color w:val="000000"/>
                <w:sz w:val="20"/>
                <w:szCs w:val="20"/>
              </w:rPr>
              <w:t>号</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广元市朝天区宣河卫生院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广元市朝天区宣河场镇</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广元市朝天区平溪卫生院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广元市朝天区平溪场镇平安街</w:t>
            </w:r>
            <w:r>
              <w:rPr>
                <w:rFonts w:hint="eastAsia" w:ascii="宋体" w:hAnsi="宋体" w:eastAsia="宋体" w:cs="宋体"/>
                <w:color w:val="000000"/>
                <w:sz w:val="20"/>
                <w:szCs w:val="20"/>
              </w:rPr>
              <w:t>180</w:t>
            </w:r>
            <w:r>
              <w:rPr>
                <w:rFonts w:hint="eastAsia" w:ascii="微软雅黑" w:hAnsi="微软雅黑" w:cs="微软雅黑"/>
                <w:color w:val="000000"/>
                <w:sz w:val="20"/>
                <w:szCs w:val="20"/>
              </w:rPr>
              <w:t>号</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广元市朝天区柏杨卫生院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广元市朝天区柏杨场镇</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广元市朝天区两河口卫生院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广元市朝天区两河口场镇</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广元市朝天区中子中心卫生院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广元市朝天区中子镇场镇</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承担基本公共卫生服务、基本医疗服务及基层医疗卫生综合管理服务</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广元市朝天区中医医院</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差额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广元市朝天区朝天镇德胜街</w:t>
            </w:r>
            <w:r>
              <w:rPr>
                <w:rFonts w:hint="eastAsia" w:ascii="宋体" w:hAnsi="宋体" w:eastAsia="宋体" w:cs="宋体"/>
                <w:color w:val="000000"/>
                <w:sz w:val="20"/>
                <w:szCs w:val="20"/>
              </w:rPr>
              <w:t>102</w:t>
            </w:r>
            <w:r>
              <w:rPr>
                <w:rFonts w:hint="eastAsia" w:ascii="微软雅黑" w:hAnsi="微软雅黑" w:cs="微软雅黑"/>
                <w:color w:val="000000"/>
                <w:sz w:val="20"/>
                <w:szCs w:val="20"/>
              </w:rPr>
              <w:t>号</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承担医疗、教学、预防、保健、康复和急诊急救服务等职能</w:t>
            </w:r>
          </w:p>
        </w:tc>
      </w:tr>
      <w:tr>
        <w:tblPrEx>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广元市朝天区妇幼保健计划生育服务中心</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全额</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广元市朝天区朝天镇飞霞路</w:t>
            </w:r>
            <w:r>
              <w:rPr>
                <w:rFonts w:hint="eastAsia" w:ascii="宋体" w:hAnsi="宋体" w:eastAsia="宋体" w:cs="宋体"/>
                <w:color w:val="000000"/>
                <w:sz w:val="20"/>
                <w:szCs w:val="20"/>
              </w:rPr>
              <w:t>39</w:t>
            </w:r>
            <w:r>
              <w:rPr>
                <w:rFonts w:hint="eastAsia" w:ascii="微软雅黑" w:hAnsi="微软雅黑" w:cs="微软雅黑"/>
                <w:color w:val="000000"/>
                <w:sz w:val="20"/>
                <w:szCs w:val="20"/>
              </w:rPr>
              <w:t>号</w:t>
            </w:r>
          </w:p>
        </w:tc>
        <w:tc>
          <w:tcPr>
            <w:tcW w:w="7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承担妇幼健康公共卫生和计划生育技术服务等职能</w:t>
            </w:r>
          </w:p>
        </w:tc>
      </w:tr>
      <w:tr>
        <w:tblPrEx>
          <w:tblCellMar>
            <w:top w:w="0" w:type="dxa"/>
            <w:left w:w="0" w:type="dxa"/>
            <w:bottom w:w="0" w:type="dxa"/>
            <w:right w:w="0" w:type="dxa"/>
          </w:tblCellMar>
        </w:tblPrEx>
        <w:trPr>
          <w:trHeight w:val="760" w:hRule="atLeast"/>
        </w:trPr>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hint="eastAsia" w:ascii="黑体" w:hAnsi="宋体" w:cs="黑体"/>
                <w:color w:val="000000"/>
                <w:sz w:val="20"/>
                <w:szCs w:val="20"/>
              </w:rPr>
            </w:pPr>
            <w:r>
              <w:rPr>
                <w:rFonts w:hint="eastAsia" w:ascii="微软雅黑" w:hAnsi="微软雅黑" w:cs="微软雅黑"/>
                <w:color w:val="000000"/>
                <w:sz w:val="20"/>
                <w:szCs w:val="20"/>
              </w:rPr>
              <w:t>广元市朝天区曾家镇人民政府</w:t>
            </w:r>
          </w:p>
        </w:tc>
        <w:tc>
          <w:tcPr>
            <w:tcW w:w="18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广元市朝天区曾家镇人民政府便民服务中心</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 xml:space="preserve">全额 </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广元市朝天区曾家镇场镇</w:t>
            </w:r>
          </w:p>
        </w:tc>
        <w:tc>
          <w:tcPr>
            <w:tcW w:w="70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承担本部门财务相关工作</w:t>
            </w:r>
          </w:p>
        </w:tc>
      </w:tr>
      <w:tr>
        <w:tblPrEx>
          <w:tblCellMar>
            <w:top w:w="0" w:type="dxa"/>
            <w:left w:w="0" w:type="dxa"/>
            <w:bottom w:w="0" w:type="dxa"/>
            <w:right w:w="0" w:type="dxa"/>
          </w:tblCellMar>
        </w:tblPrEx>
        <w:trPr>
          <w:trHeight w:val="990" w:hRule="atLeast"/>
        </w:trPr>
        <w:tc>
          <w:tcPr>
            <w:tcW w:w="108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r>
              <w:rPr>
                <w:rFonts w:hint="eastAsia" w:ascii="微软雅黑" w:hAnsi="微软雅黑" w:cs="微软雅黑"/>
                <w:color w:val="000000"/>
                <w:sz w:val="20"/>
                <w:szCs w:val="20"/>
              </w:rPr>
              <w:t>广元市朝天区大滩镇人民政府</w:t>
            </w:r>
          </w:p>
        </w:tc>
        <w:tc>
          <w:tcPr>
            <w:tcW w:w="18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广元市朝天区大滩镇人民政府便民服务中心</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 xml:space="preserve">全额 </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广元市朝天区大滩镇场镇</w:t>
            </w:r>
          </w:p>
        </w:tc>
        <w:tc>
          <w:tcPr>
            <w:tcW w:w="709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承担本部门财务相关工作</w:t>
            </w:r>
          </w:p>
        </w:tc>
      </w:tr>
      <w:tr>
        <w:tblPrEx>
          <w:tblCellMar>
            <w:top w:w="0" w:type="dxa"/>
            <w:left w:w="0" w:type="dxa"/>
            <w:bottom w:w="0" w:type="dxa"/>
            <w:right w:w="0" w:type="dxa"/>
          </w:tblCellMar>
        </w:tblPrEx>
        <w:trPr>
          <w:trHeight w:val="1234" w:hRule="atLeast"/>
        </w:trPr>
        <w:tc>
          <w:tcPr>
            <w:tcW w:w="1080" w:type="dxa"/>
            <w:tcBorders>
              <w:top w:val="single" w:color="auto" w:sz="4" w:space="0"/>
              <w:left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r>
              <w:rPr>
                <w:rFonts w:hint="eastAsia" w:ascii="微软雅黑" w:hAnsi="微软雅黑" w:cs="微软雅黑"/>
                <w:color w:val="000000"/>
                <w:sz w:val="20"/>
                <w:szCs w:val="20"/>
              </w:rPr>
              <w:t>广元市朝天区李家镇人民政府</w:t>
            </w:r>
          </w:p>
        </w:tc>
        <w:tc>
          <w:tcPr>
            <w:tcW w:w="18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广元市朝天区李家镇人民政府便民服务中心</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ascii="微软雅黑" w:hAnsi="微软雅黑" w:cs="微软雅黑"/>
                <w:color w:val="000000"/>
                <w:sz w:val="20"/>
                <w:szCs w:val="20"/>
              </w:rPr>
              <w:t xml:space="preserve">全额 </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广元市朝天区李家镇场镇</w:t>
            </w:r>
          </w:p>
        </w:tc>
        <w:tc>
          <w:tcPr>
            <w:tcW w:w="709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承担本部门财务相关工作</w:t>
            </w:r>
          </w:p>
        </w:tc>
      </w:tr>
      <w:tr>
        <w:tblPrEx>
          <w:tblCellMar>
            <w:top w:w="0" w:type="dxa"/>
            <w:left w:w="0" w:type="dxa"/>
            <w:bottom w:w="0" w:type="dxa"/>
            <w:right w:w="0" w:type="dxa"/>
          </w:tblCellMar>
        </w:tblPrEx>
        <w:trPr>
          <w:trHeight w:val="1244" w:hRule="atLeast"/>
        </w:trPr>
        <w:tc>
          <w:tcPr>
            <w:tcW w:w="108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0"/>
                <w:szCs w:val="20"/>
              </w:rPr>
            </w:pPr>
            <w:r>
              <w:rPr>
                <w:rFonts w:hint="eastAsia" w:ascii="微软雅黑" w:hAnsi="微软雅黑" w:cs="微软雅黑"/>
                <w:color w:val="000000"/>
                <w:sz w:val="20"/>
                <w:szCs w:val="20"/>
              </w:rPr>
              <w:t>广元市朝天区云雾山镇人民政府</w:t>
            </w:r>
          </w:p>
        </w:tc>
        <w:tc>
          <w:tcPr>
            <w:tcW w:w="18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广元市朝天区云雾山镇人民政府便民服务中心</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微软雅黑" w:hAnsi="微软雅黑" w:cs="微软雅黑"/>
                <w:color w:val="000000"/>
                <w:sz w:val="20"/>
                <w:szCs w:val="20"/>
              </w:rPr>
            </w:pPr>
            <w:r>
              <w:rPr>
                <w:rFonts w:ascii="微软雅黑" w:hAnsi="微软雅黑" w:cs="微软雅黑"/>
                <w:color w:val="000000"/>
                <w:sz w:val="20"/>
                <w:szCs w:val="20"/>
              </w:rPr>
              <w:t xml:space="preserve">全额 </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广元市朝天区云雾山镇场镇</w:t>
            </w:r>
          </w:p>
        </w:tc>
        <w:tc>
          <w:tcPr>
            <w:tcW w:w="709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微软雅黑" w:hAnsi="微软雅黑" w:cs="微软雅黑"/>
                <w:color w:val="000000"/>
                <w:sz w:val="20"/>
                <w:szCs w:val="20"/>
              </w:rPr>
            </w:pPr>
            <w:r>
              <w:rPr>
                <w:rFonts w:hint="eastAsia" w:ascii="微软雅黑" w:hAnsi="微软雅黑" w:cs="微软雅黑"/>
                <w:color w:val="000000"/>
                <w:sz w:val="20"/>
                <w:szCs w:val="20"/>
              </w:rPr>
              <w:t>承担本部门财务相关工作</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6A92"/>
    <w:rsid w:val="003221F4"/>
    <w:rsid w:val="003E6A92"/>
    <w:rsid w:val="DDF3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322</Words>
  <Characters>1839</Characters>
  <Lines>15</Lines>
  <Paragraphs>4</Paragraphs>
  <TotalTime>1</TotalTime>
  <ScaleCrop>false</ScaleCrop>
  <LinksUpToDate>false</LinksUpToDate>
  <CharactersWithSpaces>2157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2020-09-25T15:19:00Z</dcterms:created>
  <dc:creator>Administrator</dc:creator>
  <cp:lastModifiedBy>user</cp:lastModifiedBy>
  <dcterms:modified xsi:type="dcterms:W3CDTF">2023-08-09T10:53:50Z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