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77193"/>
      <w:bookmarkStart w:id="3" w:name="_Toc15377425"/>
      <w:bookmarkStart w:id="4" w:name="_Toc15396475"/>
      <w:bookmarkStart w:id="5" w:name="_Toc15306267"/>
      <w:bookmarkStart w:id="73" w:name="_GoBack"/>
      <w:bookmarkEnd w:id="73"/>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宋体" w:hAnsi="宋体" w:cs="宋体"/>
          <w:color w:val="000000"/>
          <w:sz w:val="48"/>
          <w:szCs w:val="48"/>
        </w:rPr>
      </w:pPr>
      <w:r>
        <w:rPr>
          <w:rFonts w:ascii="宋体" w:hAnsi="宋体" w:cs="宋体"/>
          <w:color w:val="000000"/>
          <w:sz w:val="48"/>
          <w:szCs w:val="48"/>
        </w:rPr>
        <w:t>2021</w:t>
      </w:r>
      <w:r>
        <w:rPr>
          <w:rFonts w:hint="eastAsia" w:ascii="宋体" w:hAnsi="宋体" w:cs="宋体"/>
          <w:color w:val="000000"/>
          <w:sz w:val="48"/>
          <w:szCs w:val="48"/>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96598"/>
      <w:bookmarkStart w:id="7" w:name="_Toc15378442"/>
      <w:bookmarkStart w:id="8" w:name="_Toc15377426"/>
      <w:bookmarkStart w:id="9" w:name="_Toc15377194"/>
      <w:bookmarkStart w:id="10" w:name="_Toc15396476"/>
      <w:r>
        <w:rPr>
          <w:rFonts w:hint="eastAsia" w:ascii="宋体" w:hAnsi="宋体" w:cs="宋体"/>
          <w:color w:val="000000"/>
          <w:sz w:val="48"/>
          <w:szCs w:val="48"/>
        </w:rPr>
        <w:t>广元市朝天区</w:t>
      </w:r>
      <w:bookmarkStart w:id="11" w:name="_Toc15306268"/>
      <w:r>
        <w:rPr>
          <w:rFonts w:hint="eastAsia" w:ascii="宋体" w:hAnsi="宋体" w:cs="宋体"/>
          <w:color w:val="000000"/>
          <w:sz w:val="48"/>
          <w:szCs w:val="48"/>
        </w:rPr>
        <w:t>文化旅游和体育局</w:t>
      </w:r>
      <w:r>
        <w:rPr>
          <w:rFonts w:hint="eastAsia" w:ascii="宋体" w:hAnsi="宋体" w:cs="宋体"/>
          <w:color w:val="000000"/>
          <w:sz w:val="48"/>
          <w:szCs w:val="48"/>
          <w:lang w:eastAsia="zh-CN"/>
        </w:rPr>
        <w:t>部门</w:t>
      </w:r>
      <w:r>
        <w:rPr>
          <w:rFonts w:hint="eastAsia" w:ascii="宋体" w:hAnsi="宋体" w:cs="宋体"/>
          <w:color w:val="000000"/>
          <w:sz w:val="48"/>
          <w:szCs w:val="48"/>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2"/>
      </w:pPr>
      <w:r>
        <w:rPr>
          <w:rFonts w:hint="eastAsia"/>
        </w:rPr>
        <w:t>公开时间：</w:t>
      </w:r>
      <w:r>
        <w:t>2022年</w:t>
      </w:r>
      <w:r>
        <w:rPr>
          <w:rFonts w:hint="eastAsia"/>
        </w:rPr>
        <w:t>9月</w:t>
      </w:r>
      <w:r>
        <w:rPr>
          <w:rFonts w:hint="eastAsia"/>
          <w:lang w:val="en-US" w:eastAsia="zh-CN"/>
        </w:rPr>
        <w:t>28</w:t>
      </w:r>
      <w:r>
        <w:rPr>
          <w:rFonts w:hint="eastAsia"/>
        </w:rPr>
        <w:t>日</w:t>
      </w:r>
    </w:p>
    <w:p/>
    <w:p>
      <w:pPr>
        <w:pStyle w:val="12"/>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第一部分 部门概况</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一、基本职能及主要工作</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二、机构设置</w:t>
      </w:r>
    </w:p>
    <w:p>
      <w:pPr>
        <w:pStyle w:val="12"/>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第二部分 2021年度部门决算情况说明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一、收入支出决算总体情况说明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二、收入决算情况说明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三、支出决算情况说明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四、财政拨款收入支出决算总体情况说明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五、一般公共预算财政拨款支出决算情况说明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六、一般公共预算财政拨款基本支出决算情况说明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七、“三公”经费财政拨款支出决算情况说明</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八、政府性基金预算支出决算情况说明</w:t>
      </w:r>
    </w:p>
    <w:p>
      <w:pPr>
        <w:pStyle w:val="13"/>
        <w:adjustRightInd w:val="0"/>
        <w:snapToGrid w:val="0"/>
        <w:spacing w:line="440" w:lineRule="exact"/>
        <w:ind w:leftChars="0"/>
        <w:jc w:val="left"/>
        <w:rPr>
          <w:rFonts w:hint="eastAsia" w:ascii="宋体" w:hAnsi="宋体" w:eastAsia="宋体" w:cs="宋体"/>
          <w:sz w:val="24"/>
        </w:rPr>
      </w:pPr>
      <w:r>
        <w:rPr>
          <w:rFonts w:hint="eastAsia" w:ascii="宋体" w:hAnsi="宋体" w:eastAsia="宋体" w:cs="宋体"/>
          <w:sz w:val="24"/>
        </w:rPr>
        <w:t>九、国有资本经营预算支出决算情况说明</w:t>
      </w:r>
    </w:p>
    <w:p>
      <w:pPr>
        <w:adjustRightInd w:val="0"/>
        <w:snapToGrid w:val="0"/>
        <w:spacing w:line="440" w:lineRule="exact"/>
        <w:ind w:firstLine="420" w:firstLineChars="175"/>
        <w:jc w:val="left"/>
        <w:rPr>
          <w:rFonts w:hint="eastAsia" w:ascii="宋体" w:hAnsi="宋体" w:eastAsia="宋体" w:cs="宋体"/>
          <w:sz w:val="24"/>
        </w:rPr>
      </w:pPr>
      <w:r>
        <w:rPr>
          <w:rStyle w:val="18"/>
          <w:rFonts w:hint="eastAsia" w:ascii="宋体" w:hAnsi="宋体" w:eastAsia="宋体" w:cs="宋体"/>
          <w:color w:val="auto"/>
          <w:sz w:val="24"/>
          <w:u w:val="none"/>
        </w:rPr>
        <w:t>十、</w:t>
      </w:r>
      <w:r>
        <w:rPr>
          <w:rFonts w:hint="eastAsia" w:ascii="宋体" w:hAnsi="宋体" w:eastAsia="宋体" w:cs="宋体"/>
          <w:sz w:val="24"/>
        </w:rPr>
        <w:t>其他重要事项的情况说明</w:t>
      </w:r>
      <w:r>
        <w:rPr>
          <w:rFonts w:hint="eastAsia" w:ascii="宋体" w:hAnsi="宋体" w:eastAsia="宋体" w:cs="宋体"/>
          <w:sz w:val="24"/>
        </w:rPr>
        <w:tab/>
      </w:r>
    </w:p>
    <w:p>
      <w:pPr>
        <w:pStyle w:val="12"/>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第三部分 名词解释</w:t>
      </w:r>
    </w:p>
    <w:p>
      <w:pPr>
        <w:pStyle w:val="12"/>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第四部分 附件</w:t>
      </w:r>
    </w:p>
    <w:p>
      <w:pPr>
        <w:pStyle w:val="12"/>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第五部分 附表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一、收入支出决算总表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二、收入决算表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三、支出决算表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四、财政拨款收入支出决算总表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五、财政拨款支出决算明细表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六、一般公共预算财政拨款支出决算表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七、一般公共预算财政拨款支出决算明细表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八、一般公共预算财政拨款基本支出决算表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九、一般公共预算财政拨款项目支出决算表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十、一般公共预算财政拨款“三公”经费支出决算表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十一、政府性基金预算财政拨款收入支出决算表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十二、政府性基金预算财政拨款“三公”经费支出决算表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十三、国有资本经营预算财政拨款收入支出决算表</w:t>
      </w:r>
    </w:p>
    <w:p>
      <w:pPr>
        <w:pStyle w:val="13"/>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19"/>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12"/>
      <w:bookmarkEnd w:id="13"/>
    </w:p>
    <w:p>
      <w:pPr>
        <w:pStyle w:val="4"/>
        <w:rPr>
          <w:rStyle w:val="20"/>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0"/>
          <w:rFonts w:hint="eastAsia" w:ascii="黑体" w:hAnsi="黑体" w:eastAsia="黑体"/>
          <w:b w:val="0"/>
          <w:bCs w:val="0"/>
        </w:rPr>
        <w:t>本职能及主要工作</w:t>
      </w:r>
      <w:bookmarkEnd w:id="14"/>
      <w:bookmarkEnd w:id="15"/>
    </w:p>
    <w:p>
      <w:pPr>
        <w:pStyle w:val="2"/>
        <w:adjustRightInd w:val="0"/>
        <w:snapToGrid w:val="0"/>
        <w:spacing w:before="93" w:line="600" w:lineRule="exact"/>
        <w:outlineLvl w:val="2"/>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p>
    <w:p>
      <w:pPr>
        <w:spacing w:line="560" w:lineRule="exact"/>
        <w:ind w:firstLine="600" w:firstLineChars="200"/>
        <w:outlineLvl w:val="1"/>
        <w:rPr>
          <w:rFonts w:ascii="仿宋_GB2312" w:eastAsia="仿宋_GB2312"/>
          <w:sz w:val="30"/>
          <w:szCs w:val="30"/>
        </w:rPr>
      </w:pPr>
      <w:bookmarkStart w:id="18" w:name="_Toc15378446"/>
      <w:bookmarkStart w:id="19" w:name="_Toc15377199"/>
      <w:r>
        <w:rPr>
          <w:rFonts w:hint="eastAsia" w:ascii="仿宋_GB2312" w:eastAsia="仿宋_GB2312"/>
          <w:sz w:val="30"/>
          <w:szCs w:val="30"/>
        </w:rPr>
        <w:t>（一）贯彻执行党和国家有关文化、旅游、体育、广播电视和文物工作的方针政策和法律法规，拟订相关政策措施并组织实施，负责本部门依法行政工作。制定全区文化旅游、体育、广播电视、文物产业发展的地方标准和行业规范并组织实施。</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二）组织推动全区文化事业、文化产业、旅游业、体育业、广播电视业、文物事业和产业发展，拟订发展规划并组织实施。承接落实中国生态康养旅游名市建设工作，统筹推进文化旅游、体育、广播电视体制机制改革，推进旅游资源整合与开发，推进全域旅游，推进文化、旅游、体育融合发展。</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（三）管理全区性重大文化、旅游、广播电视、体育和文物活动，指导推进相关配套设施建设。</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四）指导管理文化艺术事业，推动艺术创作生产，扶持体现社会主义核心价值观、具有导向性代表性示范性的文艺作品，推动各门类艺术、各艺术品种发展，推动中华优秀传统文化、巴蜀文化和朝天特色文化传承发展。</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五）负责公共文化、旅游、体育、广播电视事业发展，推进全区文化、旅游、体育、广播电视公共服务体系建设，深入实施文化、旅游、体育、广播电视惠民工程，负责对全区文化、旅游、体育、广播电视公共服务设施的监督管理。统筹推进基本公共文化、旅游、体育、广播电视服务标准化、均等化。</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六）统筹规划全区群众体育发展和竞技体育发展，负责推行全民健身计划、推动国民体质监测和三级社会体育指导员培训工作。组织指导、协调配合各部门、各行业、各社会团体开展体育活动；指导和推动学校体育、城市体育、农村体育及其他社会体育的发展。指导体育训练、体育竞赛和运动员队伍建设，组织和统筹参加上级运动会，负责组织协调区级综合性运动会的竞赛工作。</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七）组织实施文化旅游资源普查、挖掘、保护与利用工作，监测文化旅游经济运行，促进文化旅游产业发展。推进文化、旅游、体育、广播电视科技创新发展，推进文化、旅游、体育、广播电视行业信息化、标准化建设。负责文化、旅游、体育、广播电视科技教育培训和人才培养工作。</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（八）负责非物质文化遗产保护，推动非物质文化遗产的保护、传承、普及、弘扬和振兴。</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九）管理和指导全区文物保护利用与考古工作。组织文物资源调查。负责全区文物保护单位申报等工作。负责组织遴选、申报区级（含区级）以上文物保护单位，指导监督博物馆和社会文物工作。组织实施申遗及管理工作。</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指导文化、旅游、体育、广播电视市场发展，对文化和旅游市场进行行业监管。依法规范文化、旅游、体育、广播电视市场。推进文化、旅游、体育、广播电视行业信用体系建设，负责监督管理全区体育彩票销售工作。</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一）负责文化、旅游、体育、广播电视和文物系统安全生产工作的综合协调与监督管理，对广播电视和文物系统、文化旅游体育园区、文化旅游体育市场、新业态安全生产和职业健康工作实施行业监督管理。制定职责范围内的安全生产年度监督检查计划并组织实施。</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（十二）统筹全区文化、旅游、体育、广播电视市场综合执法工作，组织查处辖区内文化、旅游、体育、广播电视市场的违法行为，加强行业监管和督查督办，维护市场秩序。</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（十三）制定全区文化旅游体育客源市场开发战略并组织实施，组织全区文化、旅游、体育形象的对外宣传和重大推广活动。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（十四）指导全区广播电视宣传和创作题材规划，负责监督管理全区广播电视节目、信息网络视听节目和公共视听载体播放的视听节目，审查其内容和质量，负责全区广播电视节目的进口和收录管理。</w:t>
      </w:r>
      <w:r>
        <w:rPr>
          <w:rFonts w:hint="eastAsia" w:ascii="仿宋_GB2312" w:hAnsi="FangSong_GB2312" w:eastAsia="仿宋_GB2312" w:cs="FangSong_GB2312"/>
          <w:sz w:val="30"/>
          <w:szCs w:val="30"/>
        </w:rPr>
        <w:t>负责推进广播电视与新媒体新技术新业态融合发展,推进广电网与电信网、互联网三网融合。</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（十五）</w:t>
      </w:r>
      <w:r>
        <w:rPr>
          <w:rFonts w:hint="eastAsia" w:ascii="仿宋_GB2312" w:hAnsi="FangSong_GB2312" w:eastAsia="仿宋_GB2312" w:cs="FangSong_GB2312"/>
          <w:sz w:val="30"/>
          <w:szCs w:val="30"/>
        </w:rPr>
        <w:t>负责对各类广播电视机构进行业务指导和行业监管,会同有关部门对网络视听节目服务机构进行管理。</w:t>
      </w:r>
      <w:r>
        <w:rPr>
          <w:rFonts w:hint="eastAsia" w:ascii="仿宋_GB2312" w:eastAsia="仿宋_GB2312"/>
          <w:sz w:val="30"/>
          <w:szCs w:val="30"/>
        </w:rPr>
        <w:t>指导全区广播电视科技工作，负责全区广播电视节目传输、监测、安全播出和广播电视、信息网络视听节目服务机构及业务的监管，指导对从事广播电视节目制作民办机构的监管工作。</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（十六）负责职责范围内的生态环境保护、审批服务便民化等工作。</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（十七）完成区委和区政府交办的其他任务。</w:t>
      </w:r>
    </w:p>
    <w:p>
      <w:pPr>
        <w:spacing w:line="560" w:lineRule="exact"/>
        <w:ind w:firstLine="600" w:firstLineChars="200"/>
        <w:outlineLvl w:val="1"/>
        <w:rPr>
          <w:rFonts w:ascii="仿宋_GB2312" w:eastAsia="仿宋_GB2312"/>
          <w:sz w:val="30"/>
          <w:szCs w:val="30"/>
        </w:rPr>
      </w:pPr>
      <w:r>
        <w:rPr>
          <w:rFonts w:hint="eastAsia" w:ascii="仿宋_GB2312" w:eastAsia="仿宋_GB2312"/>
          <w:sz w:val="30"/>
          <w:szCs w:val="30"/>
        </w:rPr>
        <w:t>（十八）职能转变。以人民美好生活为引导，统筹推进文化、旅游、体育、广播电视事业产业融合发展和文物保护利用传承。用好文化创意、科技创新和社会投资等新动能，促进文化、旅游、体育、广播电视与相关产业融合发展。巩固旅游业的战略性支柱产业地位，提升国家文化软实力、国际旅游竞争力。</w:t>
      </w:r>
    </w:p>
    <w:p>
      <w:pPr>
        <w:pStyle w:val="2"/>
        <w:adjustRightInd w:val="0"/>
        <w:snapToGrid w:val="0"/>
        <w:spacing w:before="93" w:line="600" w:lineRule="exact"/>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p>
    <w:p>
      <w:pPr>
        <w:pStyle w:val="7"/>
        <w:adjustRightInd w:val="0"/>
        <w:snapToGrid w:val="0"/>
        <w:spacing w:line="576" w:lineRule="exact"/>
        <w:ind w:firstLine="640" w:firstLineChars="200"/>
        <w:rPr>
          <w:rFonts w:ascii="仿宋_GB2312" w:hAnsi="仿宋_GB2312" w:eastAsia="仿宋_GB2312" w:cs="仿宋_GB2312"/>
          <w:color w:val="000000"/>
          <w:sz w:val="32"/>
          <w:szCs w:val="32"/>
        </w:rPr>
      </w:pPr>
      <w:bookmarkStart w:id="20" w:name="_Toc15377200"/>
      <w:bookmarkStart w:id="21" w:name="_Toc15396601"/>
      <w:r>
        <w:rPr>
          <w:rFonts w:hint="eastAsia" w:ascii="仿宋_GB2312" w:hAnsi="楷体_GB2312" w:eastAsia="仿宋_GB2312" w:cs="楷体_GB2312"/>
          <w:color w:val="000000"/>
          <w:sz w:val="32"/>
          <w:szCs w:val="32"/>
        </w:rPr>
        <w:t>一</w:t>
      </w:r>
      <w:r>
        <w:rPr>
          <w:rFonts w:hint="eastAsia" w:ascii="仿宋_GB2312" w:hAnsi="楷体_GB2312" w:eastAsia="仿宋_GB2312" w:cs="楷体_GB2312"/>
          <w:b/>
          <w:bCs/>
          <w:color w:val="000000"/>
          <w:sz w:val="32"/>
          <w:szCs w:val="32"/>
        </w:rPr>
        <w:t>是品牌创建成效显著。</w:t>
      </w:r>
      <w:r>
        <w:rPr>
          <w:rFonts w:hint="eastAsia" w:ascii="仿宋_GB2312" w:hAnsi="仿宋_GB2312" w:eastAsia="仿宋_GB2312" w:cs="仿宋_GB2312"/>
          <w:color w:val="000000"/>
          <w:sz w:val="32"/>
          <w:szCs w:val="32"/>
        </w:rPr>
        <w:t>成功创建成第三批天府旅游名县；成功创建成省级全域旅游示范区，目前正全面启动国家级全域旅游示范区创建；曾家镇成功创建为天府旅游名镇；罗圈岩村成功创建成省级乡村旅游重点村。</w:t>
      </w:r>
      <w:r>
        <w:rPr>
          <w:rFonts w:hint="eastAsia" w:ascii="仿宋_GB2312" w:eastAsia="仿宋_GB2312"/>
          <w:sz w:val="32"/>
          <w:szCs w:val="32"/>
        </w:rPr>
        <w:t>加强乡村旅游品牌培育，建成七彩滑道、岭上石林景点、岭上茶园、岭上果园、“岭上仙居”等体验业态，打造“岭上云隐”精品民宿和“岭上大堂”小型接待中心。</w:t>
      </w:r>
      <w:r>
        <w:rPr>
          <w:rFonts w:hint="eastAsia" w:ascii="仿宋_GB2312" w:hAnsi="仿宋_GB2312" w:eastAsia="仿宋_GB2312" w:cs="仿宋_GB2312"/>
          <w:color w:val="000000"/>
          <w:sz w:val="32"/>
          <w:szCs w:val="32"/>
        </w:rPr>
        <w:t>做好A级景区复检相关工作，指导推动景区实现了标准化提升。</w:t>
      </w:r>
    </w:p>
    <w:p>
      <w:pPr>
        <w:pStyle w:val="7"/>
        <w:adjustRightInd w:val="0"/>
        <w:snapToGrid w:val="0"/>
        <w:spacing w:line="576" w:lineRule="exact"/>
        <w:ind w:firstLine="642" w:firstLineChars="200"/>
        <w:rPr>
          <w:rFonts w:ascii="仿宋_GB2312" w:hAnsi="仿宋_GB2312" w:eastAsia="仿宋_GB2312" w:cs="仿宋_GB2312"/>
          <w:color w:val="000000"/>
          <w:sz w:val="32"/>
          <w:szCs w:val="32"/>
        </w:rPr>
      </w:pPr>
      <w:r>
        <w:rPr>
          <w:rFonts w:hint="eastAsia" w:ascii="仿宋_GB2312" w:hAnsi="楷体_GB2312" w:eastAsia="仿宋_GB2312" w:cs="楷体_GB2312"/>
          <w:b/>
          <w:bCs/>
          <w:color w:val="000000"/>
          <w:sz w:val="32"/>
          <w:szCs w:val="32"/>
        </w:rPr>
        <w:t>二是项目工作有序推进。</w:t>
      </w:r>
      <w:r>
        <w:rPr>
          <w:rFonts w:hint="eastAsia" w:ascii="仿宋_GB2312" w:hAnsi="仿宋_GB2312" w:eastAsia="仿宋_GB2312" w:cs="仿宋_GB2312"/>
          <w:color w:val="000000" w:themeColor="text1"/>
          <w:sz w:val="32"/>
          <w:szCs w:val="32"/>
        </w:rPr>
        <w:t>储备朝天区天池山户外营地建设、曾家山山地</w:t>
      </w:r>
      <w:r>
        <w:rPr>
          <w:rFonts w:hint="eastAsia" w:ascii="仿宋_GB2312" w:hAnsi="仿宋_GB2312" w:eastAsia="仿宋_GB2312" w:cs="仿宋_GB2312"/>
          <w:color w:val="000000"/>
          <w:sz w:val="32"/>
          <w:szCs w:val="32"/>
        </w:rPr>
        <w:t>体育公园建设等项目11个，总投资296.53亿元。抓项目建设。积极推进荣乐养生谷、曾家山原乡、云顶滑雪小镇等重点项目加快建设，曾家山智慧旅游项目、曾家山养生文化展览馆全面竣工；大安寺修缮、中子铺细石器文化博物馆加快推进。</w:t>
      </w:r>
      <w:r>
        <w:rPr>
          <w:rFonts w:hint="eastAsia" w:ascii="仿宋_GB2312" w:hAnsi="仿宋_GB2312" w:eastAsia="仿宋_GB2312" w:cs="仿宋_GB2312"/>
          <w:bCs/>
          <w:color w:val="000000"/>
          <w:sz w:val="32"/>
          <w:szCs w:val="32"/>
        </w:rPr>
        <w:t>抓项目资金争取。策划包装“明月峡蜀道文化产业示范园项目”通过全省竞演，成功争取全省文旅融合示范项目1200万元；</w:t>
      </w:r>
      <w:r>
        <w:rPr>
          <w:rFonts w:hint="eastAsia" w:ascii="仿宋_GB2312" w:hAnsi="仿宋_GB2312" w:eastAsia="仿宋_GB2312" w:cs="仿宋_GB2312"/>
          <w:color w:val="000000"/>
          <w:sz w:val="32"/>
          <w:szCs w:val="32"/>
        </w:rPr>
        <w:t>天府旅游名县获得3000万元奖励；加快中子铺遗址和曾家山、明月峡、水磨沟景区提升专项债项目包装争取。</w:t>
      </w:r>
    </w:p>
    <w:p>
      <w:pPr>
        <w:pStyle w:val="7"/>
        <w:adjustRightInd w:val="0"/>
        <w:snapToGrid w:val="0"/>
        <w:spacing w:line="576" w:lineRule="exact"/>
        <w:ind w:firstLine="642" w:firstLineChars="200"/>
        <w:rPr>
          <w:rFonts w:ascii="仿宋_GB2312" w:hAnsi="仿宋_GB2312" w:eastAsia="仿宋_GB2312" w:cs="仿宋_GB2312"/>
          <w:color w:val="000000"/>
          <w:sz w:val="32"/>
          <w:szCs w:val="32"/>
        </w:rPr>
      </w:pPr>
      <w:r>
        <w:rPr>
          <w:rFonts w:hint="eastAsia" w:ascii="仿宋_GB2312" w:hAnsi="楷体_GB2312" w:eastAsia="仿宋_GB2312" w:cs="楷体_GB2312"/>
          <w:b/>
          <w:bCs/>
          <w:color w:val="000000"/>
          <w:sz w:val="32"/>
          <w:szCs w:val="32"/>
        </w:rPr>
        <w:t>三是宣传营销取得突破。</w:t>
      </w:r>
      <w:r>
        <w:rPr>
          <w:rFonts w:hint="eastAsia" w:ascii="仿宋_GB2312" w:hAnsi="仿宋_GB2312" w:eastAsia="仿宋_GB2312" w:cs="仿宋_GB2312"/>
          <w:color w:val="000000"/>
          <w:sz w:val="32"/>
          <w:szCs w:val="32"/>
        </w:rPr>
        <w:t>高质量举办全省旅游景区发展大会、大蜀道文化旅游节和2021全市文旅发展大会等重大文旅节会，曾家山景区建设、标准化管理经验得到副省长罗强同志充分肯定，朝天文旅美誉度进一步提升。抓智慧营销。智慧营销实现突破，投入600余万元新建曾家山旅游大数据中心，与携程、马蜂窝等平台开展旅游产品网上“一站式”服务，持续推广“云游朝天”智能服务小程序，为游客提供导游导览、预约预订等完备的“吃住行游购娱”服务，实现“一部手机游朝天”。</w:t>
      </w:r>
    </w:p>
    <w:p>
      <w:pPr>
        <w:pStyle w:val="7"/>
        <w:adjustRightInd w:val="0"/>
        <w:snapToGrid w:val="0"/>
        <w:spacing w:line="576" w:lineRule="exact"/>
        <w:ind w:firstLine="642" w:firstLineChars="200"/>
        <w:rPr>
          <w:rFonts w:ascii="仿宋_GB2312" w:eastAsia="仿宋_GB2312"/>
          <w:sz w:val="32"/>
          <w:szCs w:val="32"/>
        </w:rPr>
      </w:pPr>
      <w:r>
        <w:rPr>
          <w:rFonts w:hint="eastAsia" w:ascii="仿宋_GB2312" w:hAnsi="楷体_GB2312" w:eastAsia="仿宋_GB2312" w:cs="楷体_GB2312"/>
          <w:b/>
          <w:bCs/>
          <w:color w:val="000000"/>
          <w:sz w:val="32"/>
          <w:szCs w:val="32"/>
        </w:rPr>
        <w:t>四是公共服务质效实现提升。</w:t>
      </w:r>
      <w:r>
        <w:rPr>
          <w:rFonts w:hint="eastAsia" w:ascii="仿宋_GB2312" w:hAnsi="宋体" w:eastAsia="仿宋_GB2312" w:cs="宋体"/>
          <w:color w:val="000000" w:themeColor="text1"/>
          <w:spacing w:val="-4"/>
          <w:sz w:val="32"/>
          <w:szCs w:val="32"/>
        </w:rPr>
        <w:t>大力开展庆祝建党100周年系列文艺活动和</w:t>
      </w:r>
      <w:r>
        <w:rPr>
          <w:rFonts w:hint="eastAsia" w:ascii="仿宋_GB2312" w:eastAsia="仿宋_GB2312"/>
          <w:sz w:val="32"/>
          <w:szCs w:val="32"/>
        </w:rPr>
        <w:t>群文活动，成功举办了迎新春美术作品、音乐舞蹈创作采风活动、</w:t>
      </w:r>
      <w:r>
        <w:rPr>
          <w:rFonts w:hint="eastAsia" w:ascii="仿宋_GB2312" w:eastAsia="仿宋_GB2312"/>
          <w:sz w:val="32"/>
          <w:szCs w:val="32"/>
          <w:lang w:eastAsia="zh-CN"/>
        </w:rPr>
        <w:t>庆祝建党100周年</w:t>
      </w:r>
      <w:r>
        <w:rPr>
          <w:rFonts w:hint="eastAsia" w:ascii="仿宋_GB2312" w:eastAsia="仿宋_GB2312"/>
          <w:sz w:val="32"/>
          <w:szCs w:val="32"/>
        </w:rPr>
        <w:t>“阅读之星”诵读大赛、广场舞大赛等系列活动，创作歌曲20余件、美术书法作品100件、舞蹈作品12件；承办了书香广元</w:t>
      </w:r>
      <w:r>
        <w:rPr>
          <w:rFonts w:hint="eastAsia" w:ascii="仿宋_GB2312" w:hAnsi="宋体" w:eastAsia="宋体" w:cs="宋体"/>
          <w:sz w:val="32"/>
          <w:szCs w:val="32"/>
        </w:rPr>
        <w:t>•</w:t>
      </w:r>
      <w:r>
        <w:rPr>
          <w:rFonts w:hint="eastAsia" w:ascii="仿宋_GB2312" w:hAnsi="仿宋_GB2312" w:eastAsia="仿宋_GB2312" w:cs="仿宋_GB2312"/>
          <w:sz w:val="32"/>
          <w:szCs w:val="32"/>
        </w:rPr>
        <w:t>全民阅读启动仪式、“永远跟党走万人踏歌行”大型群众文化活动、“颂百年辉煌</w:t>
      </w:r>
      <w:r>
        <w:rPr>
          <w:rFonts w:hint="eastAsia" w:ascii="仿宋_GB2312" w:eastAsia="仿宋_GB2312"/>
          <w:sz w:val="32"/>
          <w:szCs w:val="32"/>
        </w:rPr>
        <w:t xml:space="preserve"> 承千年技艺”全省非遗系列文化活动，开展知客讲党史暨送文艺下乡活动、送文艺进景区演出活动等群文活动85场次，为全区上下奋战“十四五”开局提供了优质精神食粮。加强国家级、省级非遗传承人管理，积极申报张菊花、刘三佳、方兴明、刘钦林为全省非物质文化遗产保护协会2020年度优秀传承人；文化扶贫被省文旅厅表彰为全省成功案例，麻柳刺绣传习所被命名为四川省级非遗扶贫就业工坊，朝天手工核桃饼制作技艺、中子月饼制作技艺被命名为第六批广元市非遗代表性项目名录；平溪傩戏和珊瑚玉雕被命名为广元市非遗扩展项目名录。组织全国史前考古专家对中子铺遗址及其周边环境进行了考察，对曾家山的文化资源进行全面摸排和考古调查，健全文物安全责任体</w:t>
      </w:r>
      <w:r>
        <w:rPr>
          <w:rFonts w:hint="eastAsia" w:ascii="仿宋_GB2312" w:hAnsi="宋体" w:eastAsia="仿宋_GB2312" w:cs="宋体"/>
          <w:color w:val="000000" w:themeColor="text1"/>
          <w:spacing w:val="-4"/>
          <w:sz w:val="32"/>
          <w:szCs w:val="32"/>
        </w:rPr>
        <w:t>系，全年开展文物巡查12次，确保了文物安全。</w:t>
      </w:r>
    </w:p>
    <w:p>
      <w:pPr>
        <w:pStyle w:val="4"/>
        <w:rPr>
          <w:rStyle w:val="20"/>
          <w:b w:val="0"/>
          <w:bCs w:val="0"/>
        </w:rPr>
      </w:pPr>
      <w:r>
        <w:rPr>
          <w:rFonts w:hint="eastAsia" w:ascii="黑体" w:eastAsia="黑体"/>
          <w:b w:val="0"/>
        </w:rPr>
        <w:t>二、</w:t>
      </w:r>
      <w:r>
        <w:rPr>
          <w:rFonts w:hint="eastAsia" w:ascii="黑体" w:hAnsi="黑体" w:eastAsia="黑体"/>
          <w:b w:val="0"/>
        </w:rPr>
        <w:t>机</w:t>
      </w:r>
      <w:r>
        <w:rPr>
          <w:rStyle w:val="20"/>
          <w:rFonts w:hint="eastAsia" w:ascii="黑体" w:hAnsi="黑体" w:eastAsia="黑体"/>
          <w:b w:val="0"/>
          <w:bCs w:val="0"/>
        </w:rPr>
        <w:t>构设置</w:t>
      </w:r>
      <w:bookmarkEnd w:id="20"/>
      <w:bookmarkEnd w:id="21"/>
    </w:p>
    <w:p>
      <w:pPr>
        <w:spacing w:line="600" w:lineRule="exact"/>
        <w:ind w:firstLine="642" w:firstLineChars="200"/>
        <w:rPr>
          <w:rFonts w:ascii="仿宋" w:hAnsi="仿宋" w:eastAsia="仿宋"/>
          <w:sz w:val="32"/>
          <w:szCs w:val="32"/>
        </w:rPr>
      </w:pPr>
      <w:bookmarkStart w:id="22" w:name="_Toc15377204"/>
      <w:bookmarkStart w:id="23" w:name="_Toc15396602"/>
      <w:r>
        <w:rPr>
          <w:rFonts w:hint="eastAsia" w:ascii="仿宋_GB2312" w:eastAsia="仿宋_GB2312" w:hAnsiTheme="minorHAnsi" w:cstheme="minorBidi"/>
          <w:b/>
          <w:bCs/>
          <w:sz w:val="32"/>
          <w:szCs w:val="32"/>
        </w:rPr>
        <w:t xml:space="preserve">   </w:t>
      </w:r>
      <w:r>
        <w:rPr>
          <w:rFonts w:hint="eastAsia" w:ascii="仿宋" w:hAnsi="仿宋" w:eastAsia="仿宋"/>
          <w:sz w:val="32"/>
          <w:szCs w:val="32"/>
        </w:rPr>
        <w:t xml:space="preserve"> 朝天区文化旅游和体育局属财政一级预算单位，现有机构数4个，总编制39人，其中:行政编制9人，参公管理7人，事业编制21人，工勤人员2人。</w:t>
      </w:r>
    </w:p>
    <w:p>
      <w:pPr>
        <w:pStyle w:val="3"/>
        <w:ind w:right="440"/>
        <w:jc w:val="center"/>
        <w:rPr>
          <w:rStyle w:val="19"/>
          <w:rFonts w:ascii="黑体" w:hAnsi="黑体" w:eastAsia="黑体"/>
          <w:b w:val="0"/>
          <w:bCs/>
        </w:rPr>
      </w:pPr>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9"/>
          <w:rFonts w:hint="eastAsia" w:ascii="黑体" w:hAnsi="黑体" w:eastAsia="黑体"/>
          <w:b w:val="0"/>
          <w:bCs/>
        </w:rPr>
        <w:t>部门决算情况说明</w:t>
      </w:r>
      <w:bookmarkEnd w:id="22"/>
      <w:bookmarkEnd w:id="23"/>
    </w:p>
    <w:p>
      <w:pPr>
        <w:pStyle w:val="30"/>
        <w:numPr>
          <w:ilvl w:val="0"/>
          <w:numId w:val="1"/>
        </w:numPr>
        <w:spacing w:line="600" w:lineRule="exact"/>
        <w:ind w:firstLineChars="0"/>
        <w:outlineLvl w:val="1"/>
        <w:rPr>
          <w:rStyle w:val="20"/>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0"/>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年度收、支总计4138.72万元。与</w:t>
      </w:r>
      <w:r>
        <w:rPr>
          <w:rFonts w:ascii="仿宋" w:hAnsi="仿宋" w:eastAsia="仿宋"/>
          <w:sz w:val="32"/>
          <w:szCs w:val="32"/>
        </w:rPr>
        <w:t>2020</w:t>
      </w:r>
      <w:r>
        <w:rPr>
          <w:rFonts w:hint="eastAsia" w:ascii="仿宋" w:hAnsi="仿宋" w:eastAsia="仿宋"/>
          <w:sz w:val="32"/>
          <w:szCs w:val="32"/>
        </w:rPr>
        <w:t>年相比，收、支总计各增加641.77万元，增长18</w:t>
      </w:r>
      <w:r>
        <w:rPr>
          <w:rFonts w:ascii="仿宋" w:hAnsi="仿宋" w:eastAsia="仿宋"/>
          <w:sz w:val="32"/>
          <w:szCs w:val="32"/>
        </w:rPr>
        <w:t>%</w:t>
      </w:r>
      <w:r>
        <w:rPr>
          <w:rFonts w:hint="eastAsia" w:ascii="仿宋" w:hAnsi="仿宋" w:eastAsia="仿宋"/>
          <w:sz w:val="32"/>
          <w:szCs w:val="32"/>
        </w:rPr>
        <w:t>。主要变动原因是2021年增加了创建天府旅游名县奖励资金。</w:t>
      </w:r>
    </w:p>
    <w:p>
      <w:pPr>
        <w:pStyle w:val="2"/>
        <w:spacing w:before="93"/>
      </w:pPr>
      <w:r>
        <w:rPr>
          <w:rFonts w:hint="eastAsia"/>
        </w:rPr>
        <w:drawing>
          <wp:anchor distT="0" distB="0" distL="114300" distR="114300" simplePos="0" relativeHeight="251659264" behindDoc="0" locked="0" layoutInCell="1" allowOverlap="1">
            <wp:simplePos x="0" y="0"/>
            <wp:positionH relativeFrom="column">
              <wp:posOffset>617220</wp:posOffset>
            </wp:positionH>
            <wp:positionV relativeFrom="paragraph">
              <wp:posOffset>-23495</wp:posOffset>
            </wp:positionV>
            <wp:extent cx="4389755" cy="2671445"/>
            <wp:effectExtent l="19050" t="0" r="10713"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0"/>
        <w:numPr>
          <w:ilvl w:val="0"/>
          <w:numId w:val="1"/>
        </w:numPr>
        <w:spacing w:line="600" w:lineRule="exact"/>
        <w:ind w:firstLineChars="0"/>
        <w:outlineLvl w:val="1"/>
        <w:rPr>
          <w:rStyle w:val="20"/>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0"/>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年本年收入合计4138.72万元，其中：一般公共预算财政拨款收入4138.72万元，占100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jc w:val="center"/>
        <w:outlineLvl w:val="1"/>
        <w:rPr>
          <w:rFonts w:ascii="仿宋" w:hAnsi="仿宋" w:eastAsia="仿宋"/>
          <w:b/>
          <w:color w:val="FF0000"/>
          <w:sz w:val="32"/>
          <w:szCs w:val="32"/>
        </w:rPr>
      </w:pPr>
      <w:r>
        <w:rPr>
          <w:rFonts w:hint="eastAsia" w:ascii="仿宋" w:hAnsi="仿宋" w:eastAsia="仿宋"/>
          <w:b/>
          <w:sz w:val="32"/>
          <w:szCs w:val="32"/>
        </w:rPr>
        <w:t>（注：数据来源于财决</w:t>
      </w:r>
      <w:r>
        <w:rPr>
          <w:rFonts w:ascii="仿宋" w:hAnsi="仿宋" w:eastAsia="仿宋"/>
          <w:b/>
          <w:sz w:val="32"/>
          <w:szCs w:val="32"/>
        </w:rPr>
        <w:t>01</w:t>
      </w:r>
      <w:r>
        <w:rPr>
          <w:rFonts w:hint="eastAsia" w:ascii="仿宋" w:hAnsi="仿宋" w:eastAsia="仿宋"/>
          <w:b/>
          <w:sz w:val="32"/>
          <w:szCs w:val="32"/>
        </w:rPr>
        <w:t>表）</w:t>
      </w:r>
    </w:p>
    <w:p>
      <w:pPr>
        <w:pStyle w:val="2"/>
        <w:spacing w:before="93"/>
        <w:jc w:val="center"/>
      </w:pPr>
      <w:r>
        <w:drawing>
          <wp:inline distT="0" distB="0" distL="0" distR="0">
            <wp:extent cx="4351020" cy="2337435"/>
            <wp:effectExtent l="19050" t="0" r="11126" b="5466"/>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30"/>
        <w:numPr>
          <w:ilvl w:val="0"/>
          <w:numId w:val="1"/>
        </w:numPr>
        <w:spacing w:line="600" w:lineRule="exact"/>
        <w:ind w:firstLineChars="0"/>
        <w:outlineLvl w:val="1"/>
        <w:rPr>
          <w:rStyle w:val="20"/>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0"/>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年本年支出合计4138.72万元，其中：基本支出973.84万元，占23.53</w:t>
      </w:r>
      <w:r>
        <w:rPr>
          <w:rFonts w:ascii="仿宋" w:hAnsi="仿宋" w:eastAsia="仿宋"/>
          <w:sz w:val="32"/>
          <w:szCs w:val="32"/>
        </w:rPr>
        <w:t>%</w:t>
      </w:r>
      <w:r>
        <w:rPr>
          <w:rFonts w:hint="eastAsia" w:ascii="仿宋" w:hAnsi="仿宋" w:eastAsia="仿宋"/>
          <w:sz w:val="32"/>
          <w:szCs w:val="32"/>
        </w:rPr>
        <w:t>；项目支出3164.88万元，占76.47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outlineLvl w:val="1"/>
        <w:rPr>
          <w:rFonts w:ascii="仿宋" w:hAnsi="仿宋" w:eastAsia="仿宋"/>
          <w:b/>
          <w:color w:val="FF0000"/>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pStyle w:val="2"/>
        <w:spacing w:before="93"/>
        <w:jc w:val="center"/>
      </w:pPr>
      <w:r>
        <w:drawing>
          <wp:inline distT="0" distB="0" distL="0" distR="0">
            <wp:extent cx="4578985" cy="2051050"/>
            <wp:effectExtent l="19050" t="0" r="11679" b="5963"/>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outlineLvl w:val="1"/>
        <w:rPr>
          <w:rStyle w:val="20"/>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0"/>
          <w:rFonts w:hint="eastAsia" w:ascii="黑体" w:hAnsi="黑体" w:eastAsia="黑体"/>
          <w:b w:val="0"/>
        </w:rPr>
        <w:t>政拨款收入支出决算总体情况说明</w:t>
      </w:r>
      <w:bookmarkEnd w:id="30"/>
      <w:bookmarkEnd w:id="31"/>
    </w:p>
    <w:p>
      <w:pPr>
        <w:spacing w:line="600" w:lineRule="exact"/>
        <w:ind w:firstLine="640"/>
        <w:jc w:val="center"/>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年财政拨款收、支总计4138.72万元。与</w:t>
      </w:r>
      <w:r>
        <w:rPr>
          <w:rFonts w:ascii="仿宋" w:hAnsi="仿宋" w:eastAsia="仿宋"/>
          <w:sz w:val="32"/>
          <w:szCs w:val="32"/>
        </w:rPr>
        <w:t>2020</w:t>
      </w:r>
      <w:r>
        <w:rPr>
          <w:rFonts w:hint="eastAsia" w:ascii="仿宋" w:hAnsi="仿宋" w:eastAsia="仿宋"/>
          <w:sz w:val="32"/>
          <w:szCs w:val="32"/>
        </w:rPr>
        <w:t>年相比，财政拨款收、支总计各增加641.77万元，增长18</w:t>
      </w:r>
      <w:r>
        <w:rPr>
          <w:rFonts w:ascii="仿宋" w:hAnsi="仿宋" w:eastAsia="仿宋"/>
          <w:sz w:val="32"/>
          <w:szCs w:val="32"/>
        </w:rPr>
        <w:t>%</w:t>
      </w:r>
      <w:r>
        <w:rPr>
          <w:rFonts w:hint="eastAsia" w:ascii="仿宋" w:hAnsi="仿宋" w:eastAsia="仿宋"/>
          <w:sz w:val="32"/>
          <w:szCs w:val="32"/>
        </w:rPr>
        <w:t xml:space="preserve">。主要变动原因是2021年增加了创建天府旅游名县奖励资金。  </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p>
    <w:p>
      <w:pPr>
        <w:pStyle w:val="2"/>
        <w:spacing w:before="93"/>
        <w:jc w:val="center"/>
      </w:pPr>
      <w:r>
        <w:drawing>
          <wp:inline distT="0" distB="0" distL="0" distR="0">
            <wp:extent cx="4577080" cy="2512060"/>
            <wp:effectExtent l="19050" t="0" r="13584" b="1987"/>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firstLineChars="200"/>
        <w:outlineLvl w:val="1"/>
        <w:rPr>
          <w:rStyle w:val="20"/>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年一般公共预算财政拨款支出4138.72万元，占本年支出合计的100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年相比，一般公共预算财政拨款支出增加641.77万元，增长18</w:t>
      </w:r>
      <w:r>
        <w:rPr>
          <w:rFonts w:ascii="仿宋" w:hAnsi="仿宋" w:eastAsia="仿宋"/>
          <w:sz w:val="32"/>
          <w:szCs w:val="32"/>
        </w:rPr>
        <w:t>%</w:t>
      </w:r>
      <w:r>
        <w:rPr>
          <w:rFonts w:hint="eastAsia" w:ascii="仿宋" w:hAnsi="仿宋" w:eastAsia="仿宋"/>
          <w:sz w:val="32"/>
          <w:szCs w:val="32"/>
        </w:rPr>
        <w:t>。主要变动原因是2021年增加了创建天府旅游名县奖励资金。</w:t>
      </w:r>
    </w:p>
    <w:p>
      <w:pPr>
        <w:pStyle w:val="2"/>
        <w:spacing w:before="93"/>
        <w:jc w:val="center"/>
      </w:pPr>
      <w:r>
        <w:drawing>
          <wp:inline distT="0" distB="0" distL="0" distR="0">
            <wp:extent cx="4573270" cy="2655570"/>
            <wp:effectExtent l="19050" t="0" r="17394"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_GB2312" w:eastAsia="仿宋_GB2312"/>
          <w:bCs/>
          <w:sz w:val="32"/>
          <w:szCs w:val="32"/>
        </w:rPr>
      </w:pPr>
      <w:r>
        <w:rPr>
          <w:rFonts w:ascii="仿宋" w:hAnsi="仿宋" w:eastAsia="仿宋"/>
          <w:sz w:val="32"/>
          <w:szCs w:val="32"/>
        </w:rPr>
        <w:t>2021</w:t>
      </w:r>
      <w:r>
        <w:rPr>
          <w:rFonts w:hint="eastAsia" w:ascii="仿宋" w:hAnsi="仿宋" w:eastAsia="仿宋"/>
          <w:sz w:val="32"/>
          <w:szCs w:val="32"/>
        </w:rPr>
        <w:t>年一般公共预算财政拨款支出4138.72万元，主要用于以下方面</w:t>
      </w:r>
      <w:r>
        <w:rPr>
          <w:rFonts w:ascii="仿宋" w:hAnsi="仿宋" w:eastAsia="仿宋"/>
          <w:sz w:val="32"/>
          <w:szCs w:val="32"/>
        </w:rPr>
        <w:t>:</w:t>
      </w:r>
      <w:r>
        <w:rPr>
          <w:rFonts w:hint="eastAsia" w:ascii="仿宋_GB2312" w:eastAsia="仿宋_GB2312"/>
          <w:bCs/>
          <w:sz w:val="32"/>
          <w:szCs w:val="32"/>
        </w:rPr>
        <w:t xml:space="preserve"> 文化旅游体育与传媒（类）支出3884.05万元，占93.85</w:t>
      </w:r>
      <w:r>
        <w:rPr>
          <w:rFonts w:ascii="仿宋_GB2312" w:eastAsia="仿宋_GB2312"/>
          <w:bCs/>
          <w:sz w:val="32"/>
          <w:szCs w:val="32"/>
        </w:rPr>
        <w:t>%</w:t>
      </w:r>
      <w:r>
        <w:rPr>
          <w:rFonts w:hint="eastAsia" w:ascii="仿宋_GB2312" w:eastAsia="仿宋_GB2312"/>
          <w:bCs/>
          <w:sz w:val="32"/>
          <w:szCs w:val="32"/>
        </w:rPr>
        <w:t>；社会保障和就业（类）支出85.06万元，占2.05</w:t>
      </w:r>
      <w:r>
        <w:rPr>
          <w:rFonts w:ascii="仿宋_GB2312" w:eastAsia="仿宋_GB2312"/>
          <w:bCs/>
          <w:sz w:val="32"/>
          <w:szCs w:val="32"/>
        </w:rPr>
        <w:t>%</w:t>
      </w:r>
      <w:r>
        <w:rPr>
          <w:rFonts w:hint="eastAsia" w:ascii="仿宋_GB2312" w:eastAsia="仿宋_GB2312"/>
          <w:bCs/>
          <w:sz w:val="32"/>
          <w:szCs w:val="32"/>
        </w:rPr>
        <w:t>；卫生健康支出35.88万元，占0.87</w:t>
      </w:r>
      <w:r>
        <w:rPr>
          <w:rFonts w:ascii="仿宋_GB2312" w:eastAsia="仿宋_GB2312"/>
          <w:bCs/>
          <w:sz w:val="32"/>
          <w:szCs w:val="32"/>
        </w:rPr>
        <w:t>%</w:t>
      </w:r>
      <w:r>
        <w:rPr>
          <w:rFonts w:hint="eastAsia" w:ascii="仿宋_GB2312" w:eastAsia="仿宋_GB2312"/>
          <w:bCs/>
          <w:sz w:val="32"/>
          <w:szCs w:val="32"/>
        </w:rPr>
        <w:t>；农林水支出81.71万元，占1.97%；住房保障支出52.03万元，占1.26</w:t>
      </w:r>
      <w:r>
        <w:rPr>
          <w:rFonts w:ascii="仿宋_GB2312" w:eastAsia="仿宋_GB2312"/>
          <w:bCs/>
          <w:sz w:val="32"/>
          <w:szCs w:val="32"/>
        </w:rPr>
        <w:t>%</w:t>
      </w:r>
      <w:r>
        <w:rPr>
          <w:rFonts w:hint="eastAsia" w:ascii="仿宋_GB2312" w:eastAsia="仿宋_GB2312"/>
          <w:bCs/>
          <w:sz w:val="32"/>
          <w:szCs w:val="32"/>
        </w:rPr>
        <w:t>。</w:t>
      </w:r>
    </w:p>
    <w:p>
      <w:pPr>
        <w:spacing w:line="600" w:lineRule="exact"/>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p>
    <w:p>
      <w:pPr>
        <w:spacing w:line="600" w:lineRule="exact"/>
        <w:ind w:firstLine="640"/>
        <w:rPr>
          <w:rFonts w:ascii="仿宋" w:hAnsi="仿宋" w:eastAsia="仿宋"/>
          <w:sz w:val="32"/>
          <w:szCs w:val="32"/>
        </w:rPr>
      </w:pPr>
    </w:p>
    <w:p>
      <w:pPr>
        <w:pStyle w:val="2"/>
        <w:spacing w:before="93"/>
      </w:pPr>
    </w:p>
    <w:p>
      <w:pPr>
        <w:pStyle w:val="2"/>
        <w:spacing w:before="93"/>
      </w:pPr>
    </w:p>
    <w:p>
      <w:pPr>
        <w:pStyle w:val="2"/>
        <w:spacing w:before="93"/>
        <w:jc w:val="center"/>
      </w:pPr>
      <w:r>
        <w:drawing>
          <wp:inline distT="0" distB="0" distL="0" distR="0">
            <wp:extent cx="4582795" cy="2726690"/>
            <wp:effectExtent l="19050" t="0" r="26919"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0" w:firstLineChars="200"/>
        <w:outlineLvl w:val="2"/>
        <w:rPr>
          <w:rFonts w:ascii="仿宋" w:hAnsi="仿宋" w:eastAsia="仿宋"/>
          <w:sz w:val="32"/>
          <w:szCs w:val="32"/>
        </w:rPr>
      </w:pPr>
      <w:bookmarkStart w:id="37" w:name="_Toc15377213"/>
      <w:bookmarkStart w:id="38" w:name="_Toc15378460"/>
      <w:bookmarkStart w:id="39" w:name="_Toc15377444"/>
      <w:r>
        <w:rPr>
          <w:rFonts w:ascii="仿宋" w:hAnsi="仿宋" w:eastAsia="仿宋"/>
          <w:sz w:val="32"/>
          <w:szCs w:val="32"/>
        </w:rPr>
        <w:t>2021</w:t>
      </w:r>
      <w:r>
        <w:rPr>
          <w:rFonts w:hint="eastAsia" w:ascii="仿宋" w:hAnsi="仿宋" w:eastAsia="仿宋"/>
          <w:sz w:val="32"/>
          <w:szCs w:val="32"/>
        </w:rPr>
        <w:t>年一般公共预算支出决算数为4138.72，完成预算100</w:t>
      </w:r>
      <w:r>
        <w:rPr>
          <w:rFonts w:ascii="仿宋" w:hAnsi="仿宋" w:eastAsia="仿宋"/>
          <w:sz w:val="32"/>
          <w:szCs w:val="32"/>
        </w:rPr>
        <w:t>%</w:t>
      </w:r>
      <w:r>
        <w:rPr>
          <w:rFonts w:hint="eastAsia" w:ascii="仿宋" w:hAnsi="仿宋" w:eastAsia="仿宋"/>
          <w:sz w:val="32"/>
          <w:szCs w:val="32"/>
        </w:rPr>
        <w:t>。其中：</w:t>
      </w:r>
      <w:bookmarkEnd w:id="37"/>
      <w:bookmarkEnd w:id="38"/>
      <w:bookmarkEnd w:id="39"/>
    </w:p>
    <w:p>
      <w:pPr>
        <w:spacing w:line="600" w:lineRule="exact"/>
        <w:ind w:firstLine="642" w:firstLineChars="20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．文化旅游体育与传媒</w:t>
      </w:r>
      <w:r>
        <w:rPr>
          <w:rFonts w:ascii="仿宋" w:hAnsi="仿宋" w:eastAsia="仿宋"/>
          <w:b/>
          <w:sz w:val="32"/>
          <w:szCs w:val="32"/>
        </w:rPr>
        <w:t>:</w:t>
      </w:r>
      <w:r>
        <w:rPr>
          <w:rFonts w:ascii="仿宋" w:hAnsi="仿宋" w:eastAsia="仿宋"/>
          <w:sz w:val="32"/>
          <w:szCs w:val="32"/>
        </w:rPr>
        <w:t xml:space="preserve"> </w:t>
      </w:r>
      <w:r>
        <w:rPr>
          <w:rFonts w:hint="eastAsia" w:ascii="仿宋" w:hAnsi="仿宋" w:eastAsia="仿宋"/>
          <w:sz w:val="32"/>
          <w:szCs w:val="32"/>
        </w:rPr>
        <w:t>支出决算为3884.05万元，完成预算100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t>2．社会保障和就业</w:t>
      </w:r>
      <w:r>
        <w:rPr>
          <w:rFonts w:ascii="仿宋" w:hAnsi="仿宋" w:eastAsia="仿宋"/>
          <w:b/>
          <w:sz w:val="32"/>
          <w:szCs w:val="32"/>
        </w:rPr>
        <w:t>:</w:t>
      </w:r>
      <w:r>
        <w:rPr>
          <w:rFonts w:ascii="仿宋" w:hAnsi="仿宋" w:eastAsia="仿宋"/>
          <w:sz w:val="32"/>
          <w:szCs w:val="32"/>
        </w:rPr>
        <w:t xml:space="preserve"> </w:t>
      </w:r>
      <w:r>
        <w:rPr>
          <w:rFonts w:hint="eastAsia" w:ascii="仿宋" w:hAnsi="仿宋" w:eastAsia="仿宋"/>
          <w:sz w:val="32"/>
          <w:szCs w:val="32"/>
        </w:rPr>
        <w:t>支出决算为85.06万元，完成预算100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医疗</w:t>
      </w:r>
      <w:r>
        <w:rPr>
          <w:rFonts w:hint="eastAsia" w:ascii="仿宋" w:hAnsi="仿宋" w:eastAsia="仿宋"/>
          <w:b/>
          <w:sz w:val="32"/>
          <w:szCs w:val="32"/>
        </w:rPr>
        <w:t>卫生健康与计划生育支出</w:t>
      </w:r>
      <w:r>
        <w:rPr>
          <w:rFonts w:ascii="仿宋" w:hAnsi="仿宋" w:eastAsia="仿宋"/>
          <w:b/>
          <w:sz w:val="32"/>
          <w:szCs w:val="32"/>
        </w:rPr>
        <w:t>:</w:t>
      </w:r>
      <w:r>
        <w:rPr>
          <w:rFonts w:hint="eastAsia" w:ascii="仿宋" w:hAnsi="仿宋" w:eastAsia="仿宋"/>
          <w:sz w:val="32"/>
          <w:szCs w:val="32"/>
        </w:rPr>
        <w:t>支出决算为35.88万元，完成预算100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t>4、住房保障支出：</w:t>
      </w:r>
      <w:r>
        <w:rPr>
          <w:rFonts w:hint="eastAsia" w:ascii="仿宋" w:hAnsi="仿宋" w:eastAsia="仿宋"/>
          <w:sz w:val="32"/>
          <w:szCs w:val="32"/>
        </w:rPr>
        <w:t>支出决算为52.03万元，完成预算100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t>5、农林水支出：</w:t>
      </w:r>
      <w:r>
        <w:rPr>
          <w:rFonts w:hint="eastAsia" w:ascii="仿宋" w:hAnsi="仿宋" w:eastAsia="仿宋"/>
          <w:sz w:val="32"/>
          <w:szCs w:val="32"/>
        </w:rPr>
        <w:t>支出决算为81.71万元，完成预算100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表和财决</w:t>
      </w:r>
      <w:r>
        <w:rPr>
          <w:rFonts w:ascii="仿宋" w:hAnsi="仿宋" w:eastAsia="仿宋"/>
          <w:b/>
          <w:sz w:val="32"/>
          <w:szCs w:val="32"/>
        </w:rPr>
        <w:t>08</w:t>
      </w:r>
      <w:r>
        <w:rPr>
          <w:rFonts w:hint="eastAsia" w:ascii="仿宋" w:hAnsi="仿宋" w:eastAsia="仿宋"/>
          <w:b/>
          <w:sz w:val="32"/>
          <w:szCs w:val="32"/>
        </w:rPr>
        <w:t>表）</w:t>
      </w:r>
    </w:p>
    <w:p>
      <w:pPr>
        <w:tabs>
          <w:tab w:val="right" w:pos="8306"/>
        </w:tabs>
        <w:spacing w:line="600" w:lineRule="exact"/>
        <w:ind w:firstLine="640"/>
        <w:outlineLvl w:val="1"/>
        <w:rPr>
          <w:rStyle w:val="20"/>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b w:val="0"/>
        </w:rPr>
        <w:t>般公共预算财政拨款基本支出决算情况说明</w:t>
      </w:r>
      <w:bookmarkEnd w:id="40"/>
      <w:bookmarkEnd w:id="41"/>
      <w:r>
        <w:rPr>
          <w:rStyle w:val="2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年一般公共预算财政拨款基本支出973.84万元，其中：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874.19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99.65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07</w:t>
      </w:r>
      <w:r>
        <w:rPr>
          <w:rFonts w:hint="eastAsia" w:ascii="仿宋" w:hAnsi="仿宋" w:eastAsia="仿宋"/>
          <w:b/>
          <w:sz w:val="32"/>
          <w:szCs w:val="32"/>
        </w:rPr>
        <w:t>表和财决</w:t>
      </w:r>
      <w:r>
        <w:rPr>
          <w:rFonts w:ascii="仿宋" w:hAnsi="仿宋" w:eastAsia="仿宋"/>
          <w:b/>
          <w:sz w:val="32"/>
          <w:szCs w:val="32"/>
        </w:rPr>
        <w:t>08-1</w:t>
      </w:r>
      <w:r>
        <w:rPr>
          <w:rFonts w:hint="eastAsia" w:ascii="仿宋" w:hAnsi="仿宋" w:eastAsia="仿宋"/>
          <w:b/>
          <w:sz w:val="32"/>
          <w:szCs w:val="32"/>
        </w:rPr>
        <w:t>表）</w:t>
      </w:r>
    </w:p>
    <w:p>
      <w:pPr>
        <w:spacing w:line="600" w:lineRule="exact"/>
        <w:ind w:firstLine="640"/>
        <w:outlineLvl w:val="1"/>
        <w:rPr>
          <w:rStyle w:val="20"/>
          <w:rFonts w:ascii="黑体" w:hAnsi="黑体" w:eastAsia="黑体"/>
          <w:b w:val="0"/>
        </w:rPr>
      </w:pPr>
      <w:bookmarkStart w:id="42" w:name="_Toc15396609"/>
      <w:bookmarkStart w:id="43" w:name="_Toc15377215"/>
      <w:r>
        <w:rPr>
          <w:rFonts w:hint="eastAsia" w:ascii="黑体" w:eastAsia="黑体"/>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年“三公”经费财政拨款支出决算为2.75万元，完成预算99.28</w:t>
      </w:r>
      <w:r>
        <w:rPr>
          <w:rFonts w:ascii="仿宋" w:hAnsi="仿宋" w:eastAsia="仿宋"/>
          <w:sz w:val="32"/>
          <w:szCs w:val="32"/>
        </w:rPr>
        <w:t>%</w:t>
      </w:r>
      <w:r>
        <w:rPr>
          <w:rFonts w:hint="eastAsia" w:ascii="仿宋" w:hAnsi="仿宋" w:eastAsia="仿宋"/>
          <w:sz w:val="32"/>
          <w:szCs w:val="32"/>
        </w:rPr>
        <w:t>，决算数小于预算数（或与预算数持平）的主要原因</w:t>
      </w:r>
      <w:r>
        <w:rPr>
          <w:rFonts w:hint="eastAsia" w:ascii="仿宋" w:hAnsi="仿宋" w:eastAsia="仿宋"/>
          <w:sz w:val="32"/>
          <w:szCs w:val="32"/>
          <w:lang w:eastAsia="zh-CN"/>
        </w:rPr>
        <w:t>是</w:t>
      </w:r>
      <w:r>
        <w:rPr>
          <w:rFonts w:hint="eastAsia" w:ascii="仿宋_GB2312" w:eastAsia="仿宋_GB2312"/>
          <w:bCs/>
          <w:sz w:val="32"/>
          <w:szCs w:val="32"/>
        </w:rPr>
        <w:t>厉行节约，缩减开支</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年“三公”经费财政拨款支出决算中，因公出国（境）费支出决算0万元；公务用车购置及运行维护费支出决算0万元；公务接待费支出决算2.75万元，占100</w:t>
      </w:r>
      <w:r>
        <w:rPr>
          <w:rFonts w:ascii="仿宋" w:hAnsi="仿宋" w:eastAsia="仿宋"/>
          <w:sz w:val="32"/>
          <w:szCs w:val="32"/>
        </w:rPr>
        <w:t>%</w:t>
      </w:r>
      <w:r>
        <w:rPr>
          <w:rFonts w:hint="eastAsia" w:ascii="仿宋" w:hAnsi="仿宋" w:eastAsia="仿宋"/>
          <w:sz w:val="32"/>
          <w:szCs w:val="32"/>
        </w:rPr>
        <w:t>。具体情况如下：</w:t>
      </w:r>
    </w:p>
    <w:p>
      <w:pPr>
        <w:pStyle w:val="2"/>
        <w:spacing w:before="93"/>
        <w:jc w:val="center"/>
      </w:pPr>
      <w:r>
        <w:drawing>
          <wp:inline distT="0" distB="0" distL="0" distR="0">
            <wp:extent cx="4554220" cy="2321560"/>
            <wp:effectExtent l="19050" t="0" r="17752" b="2319"/>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rPr>
        <w:t>2.75万元，</w:t>
      </w:r>
      <w:r>
        <w:rPr>
          <w:rStyle w:val="17"/>
          <w:rFonts w:hint="eastAsia" w:ascii="仿宋" w:hAnsi="仿宋" w:eastAsia="仿宋"/>
          <w:b w:val="0"/>
          <w:bCs/>
          <w:sz w:val="32"/>
          <w:szCs w:val="32"/>
        </w:rPr>
        <w:t>完成预算99.28</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年减少0.09万元，下降3.16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bCs/>
          <w:sz w:val="32"/>
          <w:szCs w:val="32"/>
        </w:rPr>
        <w:t>厉行节约，缩减开支</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2.75</w:t>
      </w:r>
      <w:r>
        <w:rPr>
          <w:rFonts w:hint="eastAsia" w:ascii="仿宋_GB2312" w:eastAsia="仿宋_GB2312"/>
          <w:sz w:val="32"/>
          <w:szCs w:val="32"/>
        </w:rPr>
        <w:t>万元。国内公务接待63批次，5252人次（不包括陪同人员），共计支出2.75万元，具体内容包括：天府旅游名县创建、执法队执法工作公务接待、中子铺遗址项目建设公务接待等。</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0"/>
          <w:rFonts w:ascii="黑体" w:hAnsi="黑体" w:eastAsia="黑体"/>
        </w:rPr>
      </w:pPr>
      <w:bookmarkStart w:id="46" w:name="_Toc15377218"/>
      <w:bookmarkStart w:id="47" w:name="_Toc15396610"/>
      <w:r>
        <w:rPr>
          <w:rFonts w:hint="eastAsia" w:ascii="黑体" w:eastAsia="黑体"/>
          <w:sz w:val="32"/>
          <w:szCs w:val="32"/>
        </w:rPr>
        <w:t>八、</w:t>
      </w:r>
      <w:r>
        <w:rPr>
          <w:rStyle w:val="20"/>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年政府性基金预算财政拨款支出0万元。</w:t>
      </w:r>
    </w:p>
    <w:p>
      <w:pPr>
        <w:numPr>
          <w:ilvl w:val="0"/>
          <w:numId w:val="2"/>
        </w:numPr>
        <w:spacing w:line="600" w:lineRule="exact"/>
        <w:ind w:firstLine="640"/>
        <w:outlineLvl w:val="1"/>
        <w:rPr>
          <w:rStyle w:val="20"/>
          <w:rFonts w:ascii="黑体" w:hAnsi="黑体" w:eastAsia="黑体"/>
          <w:b w:val="0"/>
        </w:rPr>
      </w:pPr>
      <w:bookmarkStart w:id="48" w:name="_Toc15396611"/>
      <w:bookmarkStart w:id="49" w:name="_Toc15377219"/>
      <w:r>
        <w:rPr>
          <w:rStyle w:val="20"/>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年国有资本经营预算财政拨款支出0万元。</w:t>
      </w:r>
    </w:p>
    <w:p>
      <w:pPr>
        <w:numPr>
          <w:ilvl w:val="0"/>
          <w:numId w:val="2"/>
        </w:numPr>
        <w:spacing w:line="600" w:lineRule="exact"/>
        <w:ind w:firstLine="640"/>
        <w:outlineLvl w:val="1"/>
        <w:rPr>
          <w:rStyle w:val="20"/>
          <w:rFonts w:ascii="黑体" w:hAnsi="黑体" w:eastAsia="黑体"/>
          <w:b w:val="0"/>
        </w:rPr>
      </w:pPr>
      <w:bookmarkStart w:id="50" w:name="_Toc15377221"/>
      <w:bookmarkStart w:id="51" w:name="_Toc15396612"/>
      <w:r>
        <w:rPr>
          <w:rStyle w:val="20"/>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color w:val="000000"/>
          <w:sz w:val="32"/>
          <w:szCs w:val="32"/>
        </w:rPr>
        <w:t>朝天区</w:t>
      </w:r>
      <w:r>
        <w:rPr>
          <w:rFonts w:ascii="仿宋_GB2312" w:eastAsia="仿宋_GB2312"/>
          <w:color w:val="000000"/>
          <w:sz w:val="32"/>
          <w:szCs w:val="32"/>
        </w:rPr>
        <w:t>文化旅游和体育局</w:t>
      </w:r>
      <w:r>
        <w:rPr>
          <w:rFonts w:hint="eastAsia" w:ascii="仿宋_GB2312" w:eastAsia="仿宋_GB2312"/>
          <w:sz w:val="32"/>
          <w:szCs w:val="32"/>
        </w:rPr>
        <w:t>机关运行经费支出99.65万元，比</w:t>
      </w:r>
      <w:r>
        <w:rPr>
          <w:rFonts w:ascii="仿宋_GB2312" w:eastAsia="仿宋_GB2312"/>
          <w:sz w:val="32"/>
          <w:szCs w:val="32"/>
        </w:rPr>
        <w:t>2020</w:t>
      </w:r>
      <w:r>
        <w:rPr>
          <w:rFonts w:hint="eastAsia" w:ascii="仿宋_GB2312" w:eastAsia="仿宋_GB2312"/>
          <w:sz w:val="32"/>
          <w:szCs w:val="32"/>
        </w:rPr>
        <w:t>年增加10.03万元，增长11</w:t>
      </w:r>
      <w:r>
        <w:rPr>
          <w:rFonts w:ascii="仿宋_GB2312" w:eastAsia="仿宋_GB2312"/>
          <w:sz w:val="32"/>
          <w:szCs w:val="32"/>
        </w:rPr>
        <w:t>%</w:t>
      </w:r>
      <w:r>
        <w:rPr>
          <w:rFonts w:hint="eastAsia" w:ascii="仿宋_GB2312" w:eastAsia="仿宋_GB2312"/>
          <w:sz w:val="32"/>
          <w:szCs w:val="32"/>
        </w:rPr>
        <w:t>。主要原因是2021年人员增加导致运行经费的增长。</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年，政府采购支出总额2471.98万元，其中：政府采购货物支出525.72万元、政府采购工程支出670.4万元、政府采购服务支出1275.86万元。主要用于大安寺</w:t>
      </w:r>
      <w:r>
        <w:rPr>
          <w:rFonts w:ascii="仿宋_GB2312" w:eastAsia="仿宋_GB2312"/>
          <w:sz w:val="32"/>
          <w:szCs w:val="32"/>
        </w:rPr>
        <w:t>修缮保护项目、曾家山大数据中心项目、广播电视户户通运行维护项目、曾家山旅游度假区重要节点及业态景观提升项目等</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朝天区</w:t>
      </w:r>
      <w:r>
        <w:rPr>
          <w:rFonts w:ascii="仿宋_GB2312" w:eastAsia="仿宋_GB2312"/>
          <w:color w:val="000000"/>
          <w:sz w:val="32"/>
          <w:szCs w:val="32"/>
        </w:rPr>
        <w:t>文化旅游和体育局</w:t>
      </w:r>
      <w:r>
        <w:rPr>
          <w:rFonts w:hint="eastAsia" w:ascii="仿宋_GB2312" w:eastAsia="仿宋_GB2312"/>
          <w:color w:val="000000"/>
          <w:sz w:val="32"/>
          <w:szCs w:val="32"/>
        </w:rPr>
        <w:t>共有车辆0辆。</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年度对5个预算项目开展了绩效自评。同时，本部门对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年朝天区</w:t>
      </w:r>
      <w:r>
        <w:rPr>
          <w:rFonts w:ascii="仿宋_GB2312" w:hAnsi="仿宋_GB2312" w:eastAsia="仿宋_GB2312" w:cs="仿宋_GB2312"/>
          <w:sz w:val="32"/>
          <w:szCs w:val="32"/>
        </w:rPr>
        <w:t>文化旅游和体育局</w:t>
      </w:r>
      <w:r>
        <w:rPr>
          <w:rFonts w:hint="eastAsia" w:ascii="仿宋_GB2312" w:hAnsi="仿宋_GB2312" w:eastAsia="仿宋_GB2312" w:cs="仿宋_GB2312"/>
          <w:sz w:val="32"/>
          <w:szCs w:val="32"/>
        </w:rPr>
        <w:t xml:space="preserve">整体绩效评价报告》见附件（第四部分）。                                                                                                           </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19"/>
          <w:rFonts w:hint="eastAsia" w:ascii="黑体" w:hAnsi="黑体" w:eastAsia="黑体"/>
          <w:b w:val="0"/>
        </w:rPr>
        <w:t>词解释</w:t>
      </w:r>
      <w:bookmarkEnd w:id="55"/>
      <w:bookmarkEnd w:id="56"/>
    </w:p>
    <w:p>
      <w:pPr>
        <w:spacing w:line="600" w:lineRule="exact"/>
        <w:jc w:val="left"/>
        <w:rPr>
          <w:rFonts w:ascii="宋体"/>
          <w:b/>
          <w:sz w:val="44"/>
          <w:szCs w:val="44"/>
        </w:rPr>
      </w:pP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文化旅游体育与传媒支出（类）207（款）01（项）01：指行政运行。</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 文化旅游体育与传媒支出（类）207（款）01（项）02：指一般行政事务管理。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 文化旅游体育与传媒支出（类）207（款）01（项）11：指文化创作与保护。</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 文化旅游体育与传媒支出（类）207（款）01（项）12：指文化和旅游市场管理。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6．文化旅游体育与传媒支出（类）207（款）01（项）99：指其他文化和旅游支出。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 文化旅游体育与传媒支出（类）207（款）02（项）04：指文物保护。</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 文化旅游体育与传媒支出（类）207（款）06（项）99：指其他新闻出版电影支出。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hint="eastAsia"/>
        </w:rPr>
        <w:t xml:space="preserve"> </w:t>
      </w:r>
      <w:r>
        <w:rPr>
          <w:rFonts w:hint="eastAsia" w:ascii="仿宋_GB2312" w:eastAsia="仿宋_GB2312"/>
          <w:color w:val="000000"/>
          <w:sz w:val="32"/>
          <w:szCs w:val="32"/>
        </w:rPr>
        <w:t>文化旅游体育与传媒支出（类）207（款）08（项）99：指其他广播电视支出。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10．文化旅游体育与传媒支出（类）207（款）09（项）04：指地方旅游开发项目补助。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 文化旅游体育与传媒支出（类）207（款）99（项）99：指其他文化旅游体育与传媒支出。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社会保障和就业（类）208（款）05（项）05：指机关事业单位基本养老保险缴费支出。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医疗卫生与计划生育（类）210（款）11（项）02：指事业单位医疗。</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住房保障（类）221（款）02（项）01：指住房公积金。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9"/>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600" w:lineRule="exact"/>
        <w:jc w:val="center"/>
        <w:rPr>
          <w:rFonts w:cs="宋体" w:asciiTheme="minorEastAsia" w:hAnsiTheme="minorEastAsia" w:eastAsiaTheme="minorEastAsia"/>
          <w:b/>
          <w:color w:val="000000"/>
          <w:kern w:val="0"/>
          <w:sz w:val="44"/>
          <w:szCs w:val="44"/>
        </w:rPr>
      </w:pPr>
      <w:r>
        <w:rPr>
          <w:rFonts w:cs="宋体" w:asciiTheme="minorEastAsia" w:hAnsiTheme="minorEastAsia" w:eastAsiaTheme="minorEastAsia"/>
          <w:b/>
          <w:color w:val="000000"/>
          <w:kern w:val="0"/>
          <w:sz w:val="44"/>
          <w:szCs w:val="44"/>
        </w:rPr>
        <w:t>广元市朝天区文化旅游和体育局</w:t>
      </w:r>
    </w:p>
    <w:p>
      <w:pPr>
        <w:spacing w:line="600" w:lineRule="exact"/>
        <w:jc w:val="center"/>
        <w:rPr>
          <w:rFonts w:ascii="方正小标宋简体" w:hAnsi="宋体" w:eastAsia="方正小标宋简体"/>
          <w:kern w:val="0"/>
          <w:sz w:val="40"/>
          <w:szCs w:val="44"/>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年整体绩效评价报告</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一、部门（单位）概况</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朝天区文化旅游和体育局属财政一级预算单位，现有机构数4个，总编制39人，其中:行政编制9人，参公管理7人，事业编制21人，工勤人员2人。</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（二）机构职能。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广元市朝天区文化旅游和体育局为区政府工作部门，负责全区文化旅游和体育工作，贯彻执行国家、省、市、区有关文化、旅游、体育、广播电视和文物等方面的方针、政策、法律、法规。拟定全区文化旅游、体育、广播电视、文物产业发展的地方标准和行业规范并组织实施。按照行政许可权限履行行政审批职能和文化市场综合执法。</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（三）人员概况。</w:t>
      </w:r>
    </w:p>
    <w:p>
      <w:pPr>
        <w:ind w:firstLine="640" w:firstLineChars="200"/>
        <w:rPr>
          <w:rFonts w:ascii="仿宋_GB2312" w:eastAsia="仿宋_GB2312"/>
          <w:sz w:val="32"/>
          <w:szCs w:val="32"/>
        </w:rPr>
      </w:pPr>
      <w:r>
        <w:rPr>
          <w:rFonts w:hint="eastAsia" w:ascii="仿宋_GB2312" w:eastAsia="仿宋_GB2312"/>
          <w:sz w:val="32"/>
          <w:szCs w:val="32"/>
        </w:rPr>
        <w:t>2021年末实有在职人员56人,其中:行政人员21人，参公管理人员4人，事业人员30人，工勤人员1人。固定资产总额16455.92万元。</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二、部门财政资金收支情况</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（一）部门财政资金收入情况。</w:t>
      </w:r>
    </w:p>
    <w:p>
      <w:pPr>
        <w:spacing w:line="600" w:lineRule="exact"/>
        <w:ind w:firstLine="640" w:firstLineChars="200"/>
        <w:rPr>
          <w:rFonts w:ascii="仿宋" w:hAnsi="仿宋" w:eastAsia="仿宋"/>
          <w:color w:val="000000"/>
          <w:sz w:val="32"/>
          <w:szCs w:val="32"/>
        </w:rPr>
      </w:pPr>
      <w:r>
        <w:rPr>
          <w:rFonts w:hint="eastAsia" w:ascii="仿宋_GB2312" w:eastAsia="仿宋_GB2312"/>
          <w:sz w:val="32"/>
          <w:szCs w:val="32"/>
        </w:rPr>
        <w:t>2021年度收入4138.72万元，其中年初预算3868.72万元，调整预算数4138.72万元</w:t>
      </w:r>
      <w:r>
        <w:rPr>
          <w:rFonts w:hint="eastAsia" w:ascii="仿宋" w:hAnsi="仿宋" w:eastAsia="仿宋"/>
          <w:color w:val="000000"/>
          <w:sz w:val="32"/>
          <w:szCs w:val="32"/>
        </w:rPr>
        <w:t>。</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2021年支出</w:t>
      </w:r>
      <w:r>
        <w:rPr>
          <w:rFonts w:hint="eastAsia" w:ascii="仿宋_GB2312" w:eastAsia="仿宋_GB2312"/>
          <w:sz w:val="32"/>
          <w:szCs w:val="32"/>
        </w:rPr>
        <w:t>4138.72万元。1、基本支出973.84万元，其中：工资福利支出</w:t>
      </w:r>
      <w:r>
        <w:rPr>
          <w:rFonts w:hint="eastAsia" w:ascii="仿宋" w:hAnsi="仿宋" w:eastAsia="仿宋"/>
          <w:sz w:val="32"/>
          <w:szCs w:val="32"/>
        </w:rPr>
        <w:t>874.19</w:t>
      </w:r>
      <w:r>
        <w:rPr>
          <w:rFonts w:hint="eastAsia" w:ascii="仿宋_GB2312" w:eastAsia="仿宋_GB2312"/>
          <w:sz w:val="32"/>
          <w:szCs w:val="32"/>
        </w:rPr>
        <w:t>万元，商品服务支出</w:t>
      </w:r>
      <w:r>
        <w:rPr>
          <w:rFonts w:hint="eastAsia" w:ascii="仿宋_GB2312" w:eastAsiaTheme="minorEastAsia"/>
          <w:sz w:val="32"/>
          <w:szCs w:val="32"/>
        </w:rPr>
        <w:t>99.65</w:t>
      </w:r>
      <w:r>
        <w:rPr>
          <w:rFonts w:hint="eastAsia" w:ascii="仿宋_GB2312" w:eastAsia="仿宋_GB2312"/>
          <w:sz w:val="32"/>
          <w:szCs w:val="32"/>
        </w:rPr>
        <w:t>万元。2、项目支出</w:t>
      </w:r>
      <w:r>
        <w:rPr>
          <w:rFonts w:hint="eastAsia" w:ascii="仿宋" w:hAnsi="仿宋" w:eastAsia="仿宋"/>
          <w:sz w:val="32"/>
          <w:szCs w:val="32"/>
        </w:rPr>
        <w:t>3164.88</w:t>
      </w:r>
      <w:r>
        <w:rPr>
          <w:rFonts w:hint="eastAsia" w:ascii="仿宋_GB2312" w:eastAsia="仿宋_GB2312"/>
          <w:sz w:val="32"/>
          <w:szCs w:val="32"/>
        </w:rPr>
        <w:t>万元。</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三、部门整体预算绩效管理情况</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（一）部门预算项目绩效管理。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我单位严格根据预算编制要求，认真编制了2021年预算，符合预算编制要求。</w:t>
      </w:r>
    </w:p>
    <w:p>
      <w:pPr>
        <w:adjustRightInd w:val="0"/>
        <w:snapToGrid w:val="0"/>
        <w:spacing w:line="560" w:lineRule="exact"/>
        <w:ind w:firstLine="420" w:firstLineChars="200"/>
        <w:jc w:val="left"/>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2021 年初预算安排3868.72万元，调整预算数为4138.72万元，支出4138.72万元，调整原因为向上争取项目资金增加。</w:t>
      </w:r>
    </w:p>
    <w:p>
      <w:pPr>
        <w:pStyle w:val="30"/>
        <w:widowControl/>
        <w:numPr>
          <w:ilvl w:val="0"/>
          <w:numId w:val="4"/>
        </w:numPr>
        <w:adjustRightInd w:val="0"/>
        <w:snapToGrid w:val="0"/>
        <w:spacing w:line="572" w:lineRule="exact"/>
        <w:ind w:firstLineChars="0"/>
        <w:contextualSpacing/>
        <w:jc w:val="left"/>
        <w:rPr>
          <w:rFonts w:ascii="仿宋_GB2312" w:eastAsia="仿宋_GB2312"/>
          <w:sz w:val="32"/>
          <w:szCs w:val="32"/>
        </w:rPr>
      </w:pPr>
      <w:r>
        <w:rPr>
          <w:rFonts w:hint="eastAsia" w:ascii="仿宋_GB2312" w:eastAsia="仿宋_GB2312"/>
          <w:sz w:val="32"/>
          <w:szCs w:val="32"/>
        </w:rPr>
        <w:t>结果应用情况。</w:t>
      </w:r>
    </w:p>
    <w:p>
      <w:pPr>
        <w:widowControl/>
        <w:adjustRightInd w:val="0"/>
        <w:snapToGrid w:val="0"/>
        <w:spacing w:line="572" w:lineRule="exact"/>
        <w:ind w:firstLine="640" w:firstLineChars="200"/>
        <w:contextualSpacing/>
        <w:jc w:val="left"/>
        <w:rPr>
          <w:rFonts w:ascii="仿宋" w:hAnsi="仿宋" w:eastAsia="仿宋" w:cs="??_GB2312"/>
          <w:sz w:val="32"/>
          <w:szCs w:val="32"/>
        </w:rPr>
      </w:pPr>
      <w:r>
        <w:rPr>
          <w:rFonts w:hint="eastAsia" w:ascii="仿宋" w:hAnsi="仿宋" w:eastAsia="仿宋" w:cs="??_GB2312"/>
          <w:sz w:val="32"/>
          <w:szCs w:val="32"/>
        </w:rPr>
        <w:t xml:space="preserve"> </w:t>
      </w:r>
      <w:r>
        <w:rPr>
          <w:rFonts w:ascii="仿宋" w:hAnsi="仿宋" w:eastAsia="仿宋" w:cs="??_GB2312"/>
          <w:sz w:val="32"/>
          <w:szCs w:val="32"/>
        </w:rPr>
        <w:t>通过绩效自评，进一步掌握了部门整体支出使用情况和取得的效果，总结了项目资金管理经验，发现了工作中存在的问题和不足，为下一步提高资金的使用效益、加强财政支出的规范化管理、健全和完善支出项目和资金使用管理办法、完善预算编制、加强绩效目标管理和绩效考核工作提供重要的参考依据。</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（三）自评质量</w:t>
      </w:r>
    </w:p>
    <w:p>
      <w:pPr>
        <w:pStyle w:val="34"/>
        <w:spacing w:before="178" w:beforeAutospacing="0" w:after="0" w:afterAutospacing="0" w:line="500" w:lineRule="exact"/>
        <w:ind w:firstLine="640" w:firstLineChars="200"/>
        <w:rPr>
          <w:rFonts w:ascii="仿宋" w:hAnsi="仿宋" w:eastAsia="仿宋" w:cs="??_GB2312"/>
          <w:kern w:val="2"/>
          <w:sz w:val="32"/>
          <w:szCs w:val="32"/>
        </w:rPr>
      </w:pPr>
      <w:r>
        <w:rPr>
          <w:rFonts w:ascii="仿宋" w:hAnsi="仿宋" w:eastAsia="仿宋" w:cs="??_GB2312"/>
          <w:kern w:val="2"/>
          <w:sz w:val="32"/>
          <w:szCs w:val="32"/>
        </w:rPr>
        <w:t>1.我单位根据绩效评定指标评价，整体自评指标得分</w:t>
      </w:r>
      <w:r>
        <w:rPr>
          <w:rFonts w:hint="eastAsia" w:ascii="仿宋" w:hAnsi="仿宋" w:eastAsia="仿宋" w:cs="??_GB2312"/>
          <w:kern w:val="2"/>
          <w:sz w:val="32"/>
          <w:szCs w:val="32"/>
        </w:rPr>
        <w:t>96</w:t>
      </w:r>
      <w:r>
        <w:rPr>
          <w:rFonts w:ascii="仿宋" w:hAnsi="仿宋" w:eastAsia="仿宋" w:cs="??_GB2312"/>
          <w:kern w:val="2"/>
          <w:sz w:val="32"/>
          <w:szCs w:val="32"/>
        </w:rPr>
        <w:t>分。</w:t>
      </w:r>
    </w:p>
    <w:p>
      <w:pPr>
        <w:pStyle w:val="34"/>
        <w:spacing w:before="178" w:beforeAutospacing="0" w:after="0" w:afterAutospacing="0" w:line="500" w:lineRule="exact"/>
        <w:ind w:firstLine="640" w:firstLineChars="200"/>
        <w:rPr>
          <w:rFonts w:ascii="仿宋" w:hAnsi="仿宋" w:eastAsia="仿宋" w:cs="??_GB2312"/>
          <w:kern w:val="2"/>
          <w:sz w:val="32"/>
          <w:szCs w:val="32"/>
        </w:rPr>
      </w:pPr>
      <w:r>
        <w:rPr>
          <w:rFonts w:ascii="仿宋" w:hAnsi="仿宋" w:eastAsia="仿宋" w:cs="??_GB2312"/>
          <w:kern w:val="2"/>
          <w:sz w:val="32"/>
          <w:szCs w:val="32"/>
        </w:rPr>
        <w:t>2.对项目绩效评定指标评价，将项目支出后的实际状况与项目申报的绩效目标进行对比分析。按项目实际支出和项目申报绩效目标进行对比分析自评得分</w:t>
      </w:r>
      <w:r>
        <w:rPr>
          <w:rFonts w:hint="eastAsia" w:ascii="仿宋" w:hAnsi="仿宋" w:eastAsia="仿宋" w:cs="??_GB2312"/>
          <w:kern w:val="2"/>
          <w:sz w:val="32"/>
          <w:szCs w:val="32"/>
        </w:rPr>
        <w:t>96</w:t>
      </w:r>
      <w:r>
        <w:rPr>
          <w:rFonts w:ascii="仿宋" w:hAnsi="仿宋" w:eastAsia="仿宋" w:cs="??_GB2312"/>
          <w:kern w:val="2"/>
          <w:sz w:val="32"/>
          <w:szCs w:val="32"/>
        </w:rPr>
        <w:t>分，所有项目均与批复下达相符。</w:t>
      </w:r>
    </w:p>
    <w:p>
      <w:pPr>
        <w:pStyle w:val="34"/>
        <w:spacing w:before="178" w:beforeAutospacing="0" w:after="0" w:afterAutospacing="0" w:line="500" w:lineRule="exact"/>
        <w:ind w:firstLine="640" w:firstLineChars="200"/>
        <w:rPr>
          <w:rFonts w:ascii="仿宋" w:hAnsi="仿宋" w:eastAsia="仿宋" w:cs="??_GB2312"/>
          <w:kern w:val="2"/>
          <w:sz w:val="32"/>
          <w:szCs w:val="32"/>
        </w:rPr>
      </w:pPr>
      <w:r>
        <w:rPr>
          <w:rFonts w:ascii="仿宋" w:hAnsi="仿宋" w:eastAsia="仿宋" w:cs="??_GB2312"/>
          <w:kern w:val="2"/>
          <w:sz w:val="32"/>
          <w:szCs w:val="32"/>
        </w:rPr>
        <w:t>3.我单位根据财政相关文件要求，进行了公开公示。</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四、评价结论及建议</w:t>
      </w:r>
    </w:p>
    <w:p>
      <w:pPr>
        <w:widowControl/>
        <w:adjustRightInd w:val="0"/>
        <w:snapToGrid w:val="0"/>
        <w:spacing w:line="576"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（一）评价结论。</w:t>
      </w:r>
    </w:p>
    <w:p>
      <w:pPr>
        <w:pStyle w:val="34"/>
        <w:spacing w:before="178" w:beforeAutospacing="0" w:after="0" w:afterAutospacing="0" w:line="500" w:lineRule="exact"/>
        <w:ind w:left="267" w:firstLine="640" w:firstLineChars="200"/>
        <w:rPr>
          <w:rFonts w:ascii="仿宋" w:hAnsi="仿宋" w:eastAsia="仿宋" w:cs="??_GB2312"/>
          <w:kern w:val="2"/>
          <w:sz w:val="32"/>
          <w:szCs w:val="32"/>
        </w:rPr>
      </w:pPr>
      <w:r>
        <w:rPr>
          <w:rFonts w:ascii="仿宋" w:hAnsi="仿宋" w:eastAsia="仿宋" w:cs="??_GB2312"/>
          <w:kern w:val="2"/>
          <w:sz w:val="32"/>
          <w:szCs w:val="32"/>
        </w:rPr>
        <w:t>从整体上看，</w:t>
      </w:r>
      <w:r>
        <w:rPr>
          <w:rFonts w:hint="eastAsia" w:ascii="仿宋" w:hAnsi="仿宋" w:eastAsia="仿宋" w:cs="??_GB2312"/>
          <w:kern w:val="2"/>
          <w:sz w:val="32"/>
          <w:szCs w:val="32"/>
        </w:rPr>
        <w:t>2021</w:t>
      </w:r>
      <w:r>
        <w:rPr>
          <w:rFonts w:ascii="仿宋" w:hAnsi="仿宋" w:eastAsia="仿宋" w:cs="??_GB2312"/>
          <w:kern w:val="2"/>
          <w:sz w:val="32"/>
          <w:szCs w:val="32"/>
        </w:rPr>
        <w:t>年我局资金运行维护决策正确，资金管理规范，政策执行有力，有效发挥了财政资金的使用效率。在人员经费支出、公共支出严格执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（二）存在问题。</w:t>
      </w:r>
    </w:p>
    <w:p>
      <w:pPr>
        <w:spacing w:line="580" w:lineRule="exact"/>
        <w:ind w:left="958" w:leftChars="304" w:hanging="320" w:hangingChars="1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、年初编制的预算不够精确，导致年内预算追加较大。</w:t>
      </w:r>
    </w:p>
    <w:p>
      <w:pPr>
        <w:spacing w:line="580" w:lineRule="exact"/>
        <w:ind w:left="958" w:leftChars="304" w:hanging="320" w:hangingChars="100"/>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_GB2312"/>
          <w:sz w:val="32"/>
          <w:szCs w:val="32"/>
        </w:rPr>
        <w:t>、预算执行还有待加强，年终有结余，加快支出。</w:t>
      </w:r>
    </w:p>
    <w:p>
      <w:pPr>
        <w:adjustRightInd w:val="0"/>
        <w:snapToGrid w:val="0"/>
        <w:spacing w:line="560" w:lineRule="exact"/>
        <w:ind w:firstLine="640" w:firstLineChars="200"/>
        <w:jc w:val="left"/>
        <w:rPr>
          <w:rFonts w:ascii="仿宋" w:hAnsi="仿宋" w:eastAsia="仿宋" w:cs="??_GB2312"/>
          <w:sz w:val="32"/>
          <w:szCs w:val="32"/>
        </w:rPr>
      </w:pPr>
      <w:r>
        <w:rPr>
          <w:rFonts w:hint="eastAsia" w:ascii="仿宋_GB2312" w:hAnsi="仿宋_GB2312" w:eastAsia="仿宋_GB2312" w:cs="仿宋_GB2312"/>
          <w:sz w:val="32"/>
          <w:szCs w:val="32"/>
        </w:rPr>
        <w:t>3、</w:t>
      </w:r>
      <w:r>
        <w:rPr>
          <w:rFonts w:hint="eastAsia" w:ascii="仿宋" w:hAnsi="仿宋" w:eastAsia="仿宋" w:cs="??_GB2312"/>
          <w:sz w:val="32"/>
          <w:szCs w:val="32"/>
        </w:rPr>
        <w:t>财务管理及会计核算有待加强，工作人员业务水平有待进一步提高。</w:t>
      </w:r>
    </w:p>
    <w:p>
      <w:pPr>
        <w:widowControl/>
        <w:adjustRightInd w:val="0"/>
        <w:snapToGrid w:val="0"/>
        <w:spacing w:line="576"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（三）改进建议。</w:t>
      </w:r>
    </w:p>
    <w:p>
      <w:pPr>
        <w:adjustRightInd w:val="0"/>
        <w:snapToGrid w:val="0"/>
        <w:spacing w:line="560" w:lineRule="exact"/>
        <w:ind w:firstLine="640" w:firstLineChars="200"/>
        <w:jc w:val="left"/>
        <w:rPr>
          <w:rFonts w:ascii="仿宋" w:hAnsi="仿宋" w:eastAsia="仿宋" w:cs="??_GB2312"/>
          <w:kern w:val="0"/>
          <w:sz w:val="32"/>
          <w:szCs w:val="32"/>
        </w:rPr>
      </w:pPr>
      <w:r>
        <w:rPr>
          <w:rFonts w:hint="eastAsia" w:ascii="仿宋_GB2312" w:hAnsi="仿宋_GB2312" w:eastAsia="仿宋_GB2312" w:cs="仿宋_GB2312"/>
          <w:sz w:val="32"/>
          <w:szCs w:val="32"/>
        </w:rPr>
        <w:t>1、</w:t>
      </w:r>
      <w:r>
        <w:rPr>
          <w:rFonts w:hint="eastAsia" w:ascii="仿宋" w:hAnsi="仿宋" w:eastAsia="仿宋" w:cs="??_GB2312"/>
          <w:kern w:val="0"/>
          <w:sz w:val="32"/>
          <w:szCs w:val="32"/>
        </w:rPr>
        <w:t>加强绩效目标管理和审核，将绩效目标设置作为预算安排的前置条件，提高绩效目标编报质量，形成项目实施、监控、结果评价的依据。</w:t>
      </w:r>
    </w:p>
    <w:p>
      <w:pPr>
        <w:pStyle w:val="2"/>
        <w:spacing w:before="93"/>
        <w:ind w:firstLine="640" w:firstLineChars="200"/>
        <w:rPr>
          <w:rFonts w:ascii="仿宋" w:hAnsi="仿宋" w:eastAsia="仿宋" w:cs="??_GB2312"/>
          <w:sz w:val="32"/>
          <w:szCs w:val="32"/>
        </w:rPr>
      </w:pPr>
      <w:r>
        <w:rPr>
          <w:rFonts w:hint="eastAsia" w:ascii="仿宋" w:hAnsi="仿宋" w:eastAsia="仿宋" w:cs="??_GB2312"/>
          <w:sz w:val="32"/>
          <w:szCs w:val="32"/>
        </w:rPr>
        <w:t>2、细化预算编制工作。认真做好预算的编制，进一步加强内部机构各部门的预算管理意识，严格按照预算编制的相关制度和要求进行预算编制。</w:t>
      </w:r>
    </w:p>
    <w:p>
      <w:pPr>
        <w:pStyle w:val="2"/>
        <w:spacing w:before="93"/>
        <w:ind w:firstLine="640" w:firstLineChars="200"/>
        <w:rPr>
          <w:rFonts w:hAnsi="宋体" w:cs="宋体"/>
          <w:sz w:val="32"/>
          <w:szCs w:val="32"/>
          <w:shd w:val="clear" w:color="auto" w:fill="FFFFFF"/>
          <w:lang w:val="zh-CN"/>
        </w:rPr>
      </w:pPr>
    </w:p>
    <w:p>
      <w:pPr>
        <w:adjustRightInd w:val="0"/>
        <w:snapToGrid w:val="0"/>
        <w:spacing w:line="560" w:lineRule="exact"/>
        <w:jc w:val="center"/>
        <w:rPr>
          <w:rFonts w:hint="eastAsia" w:asciiTheme="minorEastAsia" w:hAnsiTheme="minorEastAsia" w:eastAsiaTheme="minorEastAsia" w:cstheme="minorBidi"/>
          <w:kern w:val="0"/>
          <w:sz w:val="44"/>
          <w:szCs w:val="44"/>
        </w:rPr>
      </w:pPr>
    </w:p>
    <w:p>
      <w:pPr>
        <w:spacing w:line="600" w:lineRule="exact"/>
        <w:jc w:val="center"/>
        <w:rPr>
          <w:rFonts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广元市朝天区文化旅游和体育局</w:t>
      </w: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关于三馆一站免费开放专项资金绩效自评报告</w:t>
      </w:r>
    </w:p>
    <w:p>
      <w:pPr>
        <w:pStyle w:val="2"/>
        <w:spacing w:before="93"/>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为加强三馆一站免费开放专项资金</w:t>
      </w:r>
      <w:r>
        <w:rPr>
          <w:rFonts w:hint="eastAsia" w:ascii="仿宋_GB2312" w:hAnsi="FangSong_GB2312" w:eastAsia="仿宋_GB2312" w:cs="FangSong_GB2312"/>
          <w:sz w:val="32"/>
          <w:szCs w:val="32"/>
        </w:rPr>
        <w:t>规范管</w:t>
      </w:r>
      <w:r>
        <w:rPr>
          <w:rFonts w:hint="eastAsia" w:ascii="仿宋_GB2312" w:eastAsia="仿宋_GB2312"/>
          <w:sz w:val="32"/>
          <w:szCs w:val="32"/>
        </w:rPr>
        <w:t>理，提高资金使用效率，</w:t>
      </w:r>
      <w:r>
        <w:rPr>
          <w:rFonts w:hint="eastAsia" w:ascii="仿宋_GB2312" w:hAnsi="FangSong_GB2312" w:eastAsia="仿宋_GB2312" w:cs="FangSong_GB2312"/>
          <w:sz w:val="32"/>
          <w:szCs w:val="32"/>
        </w:rPr>
        <w:t>根据《广元市朝天区区级预算绩效运行监控管理暂行办法的通知》要</w:t>
      </w:r>
      <w:r>
        <w:rPr>
          <w:rFonts w:hint="eastAsia" w:ascii="仿宋_GB2312" w:eastAsia="仿宋_GB2312"/>
          <w:sz w:val="32"/>
          <w:szCs w:val="32"/>
        </w:rPr>
        <w:t>求，我局高度重视，及时对2021年三馆一站免费开放专项资金使用情况进行绩效自评，现将相关情况报告如下：</w:t>
      </w:r>
    </w:p>
    <w:p>
      <w:pPr>
        <w:adjustRightInd w:val="0"/>
        <w:snapToGrid w:val="0"/>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区现有公共图书馆、文化馆各1个，以及25个乡镇综合文化站。“三馆一站”免费开放专项资金项目,是我区实施的重要文化惠民项目。我局主要职能是监督“三馆一站”免费开放专项资金的合理、规范、安全使用。</w:t>
      </w:r>
    </w:p>
    <w:p>
      <w:pPr>
        <w:adjustRightInd w:val="0"/>
        <w:snapToGrid w:val="0"/>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二、资金到位情况</w:t>
      </w:r>
    </w:p>
    <w:p>
      <w:pPr>
        <w:spacing w:line="560" w:lineRule="exact"/>
        <w:ind w:firstLine="640" w:firstLineChars="200"/>
        <w:rPr>
          <w:rFonts w:ascii="FangSong_GB2312"/>
          <w:sz w:val="32"/>
          <w:szCs w:val="32"/>
        </w:rPr>
      </w:pPr>
      <w:r>
        <w:rPr>
          <w:rFonts w:hint="eastAsia" w:ascii="FangSong_GB2312"/>
          <w:sz w:val="32"/>
          <w:szCs w:val="32"/>
        </w:rPr>
        <w:t>“三馆一站”是公益性窗口服务单位，所需资金均按规定由国家和地方财政预算，项目无自筹资金。</w:t>
      </w:r>
    </w:p>
    <w:tbl>
      <w:tblPr>
        <w:tblStyle w:val="15"/>
        <w:tblW w:w="8580" w:type="dxa"/>
        <w:tblInd w:w="93" w:type="dxa"/>
        <w:tblLayout w:type="fixed"/>
        <w:tblCellMar>
          <w:top w:w="0" w:type="dxa"/>
          <w:left w:w="108" w:type="dxa"/>
          <w:bottom w:w="0" w:type="dxa"/>
          <w:right w:w="108" w:type="dxa"/>
        </w:tblCellMar>
      </w:tblPr>
      <w:tblGrid>
        <w:gridCol w:w="718"/>
        <w:gridCol w:w="1684"/>
        <w:gridCol w:w="982"/>
        <w:gridCol w:w="984"/>
        <w:gridCol w:w="821"/>
        <w:gridCol w:w="1045"/>
        <w:gridCol w:w="1046"/>
        <w:gridCol w:w="1300"/>
      </w:tblGrid>
      <w:tr>
        <w:tblPrEx>
          <w:tblCellMar>
            <w:top w:w="0" w:type="dxa"/>
            <w:left w:w="108" w:type="dxa"/>
            <w:bottom w:w="0" w:type="dxa"/>
            <w:right w:w="108" w:type="dxa"/>
          </w:tblCellMar>
        </w:tblPrEx>
        <w:trPr>
          <w:trHeight w:val="1709" w:hRule="exac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序号</w:t>
            </w:r>
          </w:p>
        </w:tc>
        <w:tc>
          <w:tcPr>
            <w:tcW w:w="1684"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部门</w:t>
            </w:r>
          </w:p>
        </w:tc>
        <w:tc>
          <w:tcPr>
            <w:tcW w:w="982"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资金计划</w:t>
            </w:r>
          </w:p>
        </w:tc>
        <w:tc>
          <w:tcPr>
            <w:tcW w:w="984"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资金到位</w:t>
            </w:r>
          </w:p>
        </w:tc>
        <w:tc>
          <w:tcPr>
            <w:tcW w:w="821"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其中：中央补助80%</w:t>
            </w:r>
          </w:p>
        </w:tc>
        <w:tc>
          <w:tcPr>
            <w:tcW w:w="1045"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其中：省级补助6%</w:t>
            </w:r>
          </w:p>
        </w:tc>
        <w:tc>
          <w:tcPr>
            <w:tcW w:w="1046"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其中：县级配套14%</w:t>
            </w:r>
          </w:p>
        </w:tc>
        <w:tc>
          <w:tcPr>
            <w:tcW w:w="1300" w:type="dxa"/>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b/>
                <w:bCs/>
                <w:color w:val="333333"/>
                <w:sz w:val="24"/>
              </w:rPr>
            </w:pPr>
            <w:r>
              <w:rPr>
                <w:rFonts w:hint="eastAsia" w:ascii="FangSong_GB2312" w:hAnsi="宋体" w:cs="宋体"/>
                <w:b/>
                <w:bCs/>
                <w:color w:val="333333"/>
                <w:sz w:val="24"/>
              </w:rPr>
              <w:t>资金性质</w:t>
            </w:r>
          </w:p>
        </w:tc>
      </w:tr>
      <w:tr>
        <w:tblPrEx>
          <w:tblCellMar>
            <w:top w:w="0" w:type="dxa"/>
            <w:left w:w="108" w:type="dxa"/>
            <w:bottom w:w="0" w:type="dxa"/>
            <w:right w:w="108" w:type="dxa"/>
          </w:tblCellMar>
        </w:tblPrEx>
        <w:trPr>
          <w:trHeight w:val="619" w:hRule="exact"/>
        </w:trPr>
        <w:tc>
          <w:tcPr>
            <w:tcW w:w="718" w:type="dxa"/>
            <w:tcBorders>
              <w:top w:val="nil"/>
              <w:left w:val="single" w:color="auto" w:sz="8" w:space="0"/>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1</w:t>
            </w:r>
          </w:p>
        </w:tc>
        <w:tc>
          <w:tcPr>
            <w:tcW w:w="16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图书馆</w:t>
            </w:r>
          </w:p>
        </w:tc>
        <w:tc>
          <w:tcPr>
            <w:tcW w:w="982"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20</w:t>
            </w:r>
          </w:p>
        </w:tc>
        <w:tc>
          <w:tcPr>
            <w:tcW w:w="9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20</w:t>
            </w:r>
          </w:p>
        </w:tc>
        <w:tc>
          <w:tcPr>
            <w:tcW w:w="821"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16</w:t>
            </w:r>
          </w:p>
        </w:tc>
        <w:tc>
          <w:tcPr>
            <w:tcW w:w="1045"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1.2</w:t>
            </w:r>
          </w:p>
        </w:tc>
        <w:tc>
          <w:tcPr>
            <w:tcW w:w="1046"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2.8</w:t>
            </w:r>
          </w:p>
        </w:tc>
        <w:tc>
          <w:tcPr>
            <w:tcW w:w="1300"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预算资金</w:t>
            </w:r>
          </w:p>
        </w:tc>
      </w:tr>
      <w:tr>
        <w:tblPrEx>
          <w:tblCellMar>
            <w:top w:w="0" w:type="dxa"/>
            <w:left w:w="108" w:type="dxa"/>
            <w:bottom w:w="0" w:type="dxa"/>
            <w:right w:w="108" w:type="dxa"/>
          </w:tblCellMar>
        </w:tblPrEx>
        <w:trPr>
          <w:trHeight w:val="619" w:hRule="exact"/>
        </w:trPr>
        <w:tc>
          <w:tcPr>
            <w:tcW w:w="718" w:type="dxa"/>
            <w:tcBorders>
              <w:top w:val="nil"/>
              <w:left w:val="single" w:color="auto" w:sz="8" w:space="0"/>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2</w:t>
            </w:r>
          </w:p>
        </w:tc>
        <w:tc>
          <w:tcPr>
            <w:tcW w:w="16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文化馆</w:t>
            </w:r>
          </w:p>
        </w:tc>
        <w:tc>
          <w:tcPr>
            <w:tcW w:w="982"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20</w:t>
            </w:r>
          </w:p>
        </w:tc>
        <w:tc>
          <w:tcPr>
            <w:tcW w:w="9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20</w:t>
            </w:r>
          </w:p>
        </w:tc>
        <w:tc>
          <w:tcPr>
            <w:tcW w:w="821"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16</w:t>
            </w:r>
          </w:p>
        </w:tc>
        <w:tc>
          <w:tcPr>
            <w:tcW w:w="1045"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1.2</w:t>
            </w:r>
          </w:p>
        </w:tc>
        <w:tc>
          <w:tcPr>
            <w:tcW w:w="1046"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2.8</w:t>
            </w:r>
          </w:p>
        </w:tc>
        <w:tc>
          <w:tcPr>
            <w:tcW w:w="1300"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预算资金</w:t>
            </w:r>
          </w:p>
        </w:tc>
      </w:tr>
      <w:tr>
        <w:tblPrEx>
          <w:tblCellMar>
            <w:top w:w="0" w:type="dxa"/>
            <w:left w:w="108" w:type="dxa"/>
            <w:bottom w:w="0" w:type="dxa"/>
            <w:right w:w="108" w:type="dxa"/>
          </w:tblCellMar>
        </w:tblPrEx>
        <w:trPr>
          <w:trHeight w:val="619" w:hRule="exact"/>
        </w:trPr>
        <w:tc>
          <w:tcPr>
            <w:tcW w:w="718" w:type="dxa"/>
            <w:tcBorders>
              <w:top w:val="nil"/>
              <w:left w:val="single" w:color="auto" w:sz="8" w:space="0"/>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3</w:t>
            </w:r>
          </w:p>
        </w:tc>
        <w:tc>
          <w:tcPr>
            <w:tcW w:w="16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乡镇综合文化站</w:t>
            </w:r>
          </w:p>
        </w:tc>
        <w:tc>
          <w:tcPr>
            <w:tcW w:w="982"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125</w:t>
            </w:r>
          </w:p>
        </w:tc>
        <w:tc>
          <w:tcPr>
            <w:tcW w:w="9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125</w:t>
            </w:r>
          </w:p>
        </w:tc>
        <w:tc>
          <w:tcPr>
            <w:tcW w:w="821"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100</w:t>
            </w:r>
          </w:p>
        </w:tc>
        <w:tc>
          <w:tcPr>
            <w:tcW w:w="1045"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7.5</w:t>
            </w:r>
          </w:p>
        </w:tc>
        <w:tc>
          <w:tcPr>
            <w:tcW w:w="1046"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17.5</w:t>
            </w:r>
          </w:p>
        </w:tc>
        <w:tc>
          <w:tcPr>
            <w:tcW w:w="1300" w:type="dxa"/>
            <w:tcBorders>
              <w:top w:val="nil"/>
              <w:left w:val="nil"/>
              <w:bottom w:val="single" w:color="auto" w:sz="4" w:space="0"/>
              <w:right w:val="single" w:color="auto"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预算资金</w:t>
            </w:r>
          </w:p>
        </w:tc>
      </w:tr>
      <w:tr>
        <w:tblPrEx>
          <w:tblCellMar>
            <w:top w:w="0" w:type="dxa"/>
            <w:left w:w="108" w:type="dxa"/>
            <w:bottom w:w="0" w:type="dxa"/>
            <w:right w:w="108" w:type="dxa"/>
          </w:tblCellMar>
        </w:tblPrEx>
        <w:trPr>
          <w:trHeight w:val="619" w:hRule="exact"/>
        </w:trPr>
        <w:tc>
          <w:tcPr>
            <w:tcW w:w="718" w:type="dxa"/>
            <w:tcBorders>
              <w:top w:val="single" w:color="auto" w:sz="8" w:space="0"/>
              <w:left w:val="single" w:color="auto" w:sz="8" w:space="0"/>
              <w:bottom w:val="single" w:color="auto" w:sz="8" w:space="0"/>
              <w:right w:val="single" w:color="000000" w:sz="8" w:space="0"/>
            </w:tcBorders>
            <w:shd w:val="clear" w:color="auto" w:fill="auto"/>
            <w:vAlign w:val="center"/>
          </w:tcPr>
          <w:p>
            <w:pPr>
              <w:spacing w:line="560" w:lineRule="exact"/>
              <w:jc w:val="center"/>
              <w:rPr>
                <w:rFonts w:ascii="FangSong_GB2312" w:hAnsi="宋体" w:cs="宋体"/>
                <w:color w:val="333333"/>
                <w:sz w:val="24"/>
              </w:rPr>
            </w:pPr>
            <w:r>
              <w:rPr>
                <w:rFonts w:hint="eastAsia" w:ascii="FangSong_GB2312" w:hAnsi="宋体" w:cs="宋体"/>
                <w:color w:val="333333"/>
                <w:sz w:val="24"/>
              </w:rPr>
              <w:t>合计（万元）</w:t>
            </w:r>
          </w:p>
        </w:tc>
        <w:tc>
          <w:tcPr>
            <w:tcW w:w="16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color w:val="333333"/>
                <w:sz w:val="24"/>
              </w:rPr>
            </w:pPr>
          </w:p>
        </w:tc>
        <w:tc>
          <w:tcPr>
            <w:tcW w:w="982"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165</w:t>
            </w:r>
          </w:p>
        </w:tc>
        <w:tc>
          <w:tcPr>
            <w:tcW w:w="984"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165</w:t>
            </w:r>
          </w:p>
        </w:tc>
        <w:tc>
          <w:tcPr>
            <w:tcW w:w="821"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132</w:t>
            </w:r>
          </w:p>
        </w:tc>
        <w:tc>
          <w:tcPr>
            <w:tcW w:w="1045" w:type="dxa"/>
            <w:tcBorders>
              <w:top w:val="nil"/>
              <w:left w:val="nil"/>
              <w:bottom w:val="single" w:color="auto" w:sz="8" w:space="0"/>
              <w:right w:val="single" w:color="auto" w:sz="8"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9.9</w:t>
            </w:r>
          </w:p>
        </w:tc>
        <w:tc>
          <w:tcPr>
            <w:tcW w:w="1046" w:type="dxa"/>
            <w:tcBorders>
              <w:top w:val="nil"/>
              <w:left w:val="nil"/>
              <w:bottom w:val="single" w:color="auto" w:sz="8" w:space="0"/>
              <w:right w:val="single" w:color="auto" w:sz="4" w:space="0"/>
            </w:tcBorders>
            <w:shd w:val="clear" w:color="auto" w:fill="auto"/>
            <w:vAlign w:val="center"/>
          </w:tcPr>
          <w:p>
            <w:pPr>
              <w:spacing w:line="560" w:lineRule="exact"/>
              <w:jc w:val="center"/>
              <w:rPr>
                <w:rFonts w:ascii="FangSong_GB2312" w:hAnsi="宋体" w:cs="宋体" w:eastAsiaTheme="minorEastAsia"/>
                <w:color w:val="333333"/>
                <w:sz w:val="24"/>
              </w:rPr>
            </w:pPr>
            <w:r>
              <w:rPr>
                <w:rFonts w:hint="eastAsia" w:ascii="FangSong_GB2312" w:hAnsi="宋体" w:cs="宋体" w:eastAsiaTheme="minorEastAsia"/>
                <w:color w:val="333333"/>
                <w:sz w:val="24"/>
              </w:rPr>
              <w:t>23.1</w:t>
            </w:r>
          </w:p>
        </w:tc>
        <w:tc>
          <w:tcPr>
            <w:tcW w:w="13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FangSong_GB2312" w:hAnsi="宋体" w:cs="宋体"/>
                <w:color w:val="333333"/>
                <w:sz w:val="24"/>
              </w:rPr>
            </w:pPr>
          </w:p>
        </w:tc>
      </w:tr>
    </w:tbl>
    <w:p>
      <w:pPr>
        <w:spacing w:line="560" w:lineRule="exact"/>
        <w:ind w:firstLine="640" w:firstLineChars="200"/>
        <w:rPr>
          <w:rFonts w:ascii="FangSong_GB2312" w:cs="仿宋" w:hAnsiTheme="minorEastAsia"/>
          <w:color w:val="333333"/>
          <w:sz w:val="32"/>
          <w:szCs w:val="32"/>
        </w:rPr>
      </w:pPr>
      <w:r>
        <w:rPr>
          <w:rFonts w:hint="eastAsia" w:ascii="FangSong_GB2312" w:cs="仿宋" w:hAnsiTheme="minorEastAsia"/>
          <w:color w:val="333333"/>
          <w:sz w:val="32"/>
          <w:szCs w:val="32"/>
        </w:rPr>
        <w:t>202</w:t>
      </w:r>
      <w:r>
        <w:rPr>
          <w:rFonts w:hint="eastAsia" w:ascii="FangSong_GB2312" w:cs="仿宋" w:hAnsiTheme="minorEastAsia" w:eastAsiaTheme="minorEastAsia"/>
          <w:color w:val="333333"/>
          <w:sz w:val="32"/>
          <w:szCs w:val="32"/>
        </w:rPr>
        <w:t>1</w:t>
      </w:r>
      <w:r>
        <w:rPr>
          <w:rFonts w:hint="eastAsia" w:ascii="FangSong_GB2312" w:cs="仿宋" w:hAnsiTheme="minorEastAsia"/>
          <w:color w:val="333333"/>
          <w:sz w:val="32"/>
          <w:szCs w:val="32"/>
        </w:rPr>
        <w:t>年中央、省级补助资金</w:t>
      </w:r>
      <w:r>
        <w:rPr>
          <w:rFonts w:hint="eastAsia" w:ascii="FangSong_GB2312" w:cs="仿宋" w:hAnsiTheme="minorEastAsia" w:eastAsiaTheme="minorEastAsia"/>
          <w:color w:val="333333"/>
          <w:sz w:val="32"/>
          <w:szCs w:val="32"/>
        </w:rPr>
        <w:t>141.9</w:t>
      </w:r>
      <w:r>
        <w:rPr>
          <w:rFonts w:hint="eastAsia" w:ascii="FangSong_GB2312" w:cs="仿宋" w:hAnsiTheme="minorEastAsia"/>
          <w:color w:val="333333"/>
          <w:sz w:val="32"/>
          <w:szCs w:val="32"/>
        </w:rPr>
        <w:t>万元，地方配套</w:t>
      </w:r>
      <w:r>
        <w:rPr>
          <w:rFonts w:hint="eastAsia" w:ascii="FangSong_GB2312" w:cs="仿宋" w:hAnsiTheme="minorEastAsia" w:eastAsiaTheme="minorEastAsia"/>
          <w:color w:val="333333"/>
          <w:sz w:val="32"/>
          <w:szCs w:val="32"/>
        </w:rPr>
        <w:t>23.1</w:t>
      </w:r>
      <w:r>
        <w:rPr>
          <w:rFonts w:hint="eastAsia" w:ascii="FangSong_GB2312" w:cs="仿宋" w:hAnsiTheme="minorEastAsia"/>
          <w:color w:val="333333"/>
          <w:sz w:val="32"/>
          <w:szCs w:val="32"/>
        </w:rPr>
        <w:t>万元，共计</w:t>
      </w:r>
      <w:r>
        <w:rPr>
          <w:rFonts w:hint="eastAsia" w:ascii="FangSong_GB2312" w:cs="仿宋" w:hAnsiTheme="minorEastAsia" w:eastAsiaTheme="minorEastAsia"/>
          <w:color w:val="333333"/>
          <w:sz w:val="32"/>
          <w:szCs w:val="32"/>
        </w:rPr>
        <w:t>165</w:t>
      </w:r>
      <w:r>
        <w:rPr>
          <w:rFonts w:hint="eastAsia" w:ascii="FangSong_GB2312" w:cs="仿宋" w:hAnsiTheme="minorEastAsia"/>
          <w:color w:val="333333"/>
          <w:sz w:val="32"/>
          <w:szCs w:val="32"/>
        </w:rPr>
        <w:t>万元；中央、省、县财政已经按经费使用单位拨付到位，资金到位率100%。</w:t>
      </w:r>
    </w:p>
    <w:p>
      <w:pPr>
        <w:adjustRightInd w:val="0"/>
        <w:snapToGrid w:val="0"/>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三、资金使用情况</w:t>
      </w:r>
    </w:p>
    <w:p>
      <w:pPr>
        <w:spacing w:line="560" w:lineRule="exact"/>
        <w:ind w:firstLine="640"/>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图书馆：2021年用于开展阅读推广、宣传活动、文化信息资源共享工程、公共电子阅览室服务及设备运行维护13.84万元；办公业务费用及零星业务设备更新等7.27万元。合计免费开放支出21.11万元。</w:t>
      </w:r>
    </w:p>
    <w:p>
      <w:pPr>
        <w:spacing w:line="560" w:lineRule="exact"/>
        <w:ind w:firstLine="640"/>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文化馆开展宣传活动、组织群众文化活动及办公业务费用52.9万元；业务用房修缮及器材设备更新等零星支出15万元。合计免费开放支出67.9万元。</w:t>
      </w:r>
    </w:p>
    <w:p>
      <w:pPr>
        <w:spacing w:line="560" w:lineRule="exact"/>
        <w:ind w:firstLine="320" w:firstLineChars="100"/>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 xml:space="preserve">  乡镇文化站：25个乡镇综合文化站送文化下乡及乡镇组织本辖区内文化建设民生工程的文化活动及培训，免费开放支出76.5万元。</w:t>
      </w:r>
    </w:p>
    <w:p>
      <w:pPr>
        <w:pStyle w:val="14"/>
        <w:widowControl w:val="0"/>
        <w:spacing w:line="560" w:lineRule="exact"/>
        <w:ind w:firstLine="640"/>
        <w:jc w:val="both"/>
        <w:rPr>
          <w:rFonts w:ascii="FangSong_GB2312" w:eastAsia="FangSong_GB2312" w:cs="仿宋" w:hAnsiTheme="minorEastAsia"/>
          <w:color w:val="333333"/>
          <w:kern w:val="2"/>
          <w:sz w:val="32"/>
          <w:szCs w:val="32"/>
        </w:rPr>
      </w:pPr>
      <w:r>
        <w:rPr>
          <w:rFonts w:hint="eastAsia" w:ascii="FangSong_GB2312" w:eastAsia="FangSong_GB2312" w:cs="仿宋" w:hAnsiTheme="minorEastAsia"/>
          <w:color w:val="333333"/>
          <w:kern w:val="2"/>
          <w:sz w:val="32"/>
          <w:szCs w:val="32"/>
        </w:rPr>
        <w:t>“三馆一站”免费开放项目资金支出中，我局严格按照专项资金预算指标、使用范围、支出标准以及项目进度及时支付项目资金，在项目资金使用中，严格执行《中央补助地方美术馆、文化馆、图书馆、文化站免费开放专项资金管理使用办法》和《乡镇综合文化站(馆)免费开放资金管理使用办法》，不存在违规违纪现象。</w:t>
      </w:r>
    </w:p>
    <w:p>
      <w:pPr>
        <w:adjustRightInd w:val="0"/>
        <w:snapToGrid w:val="0"/>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四、项目绩效情况</w:t>
      </w:r>
    </w:p>
    <w:p>
      <w:pPr>
        <w:spacing w:line="560" w:lineRule="exact"/>
        <w:ind w:firstLine="627" w:firstLineChars="196"/>
        <w:rPr>
          <w:rFonts w:hint="eastAsia" w:asciiTheme="minorEastAsia" w:hAnsiTheme="minorEastAsia" w:eastAsiaTheme="minorEastAsia" w:cstheme="minorEastAsia"/>
          <w:color w:val="000000"/>
          <w:sz w:val="32"/>
          <w:szCs w:val="32"/>
          <w:lang w:val="zh-CN"/>
        </w:rPr>
      </w:pPr>
      <w:r>
        <w:rPr>
          <w:rFonts w:hint="eastAsia" w:ascii="KaiTi_GB2312" w:hAnsi="KaiTi_GB2312" w:eastAsia="KaiTi_GB2312" w:cs="KaiTi_GB2312"/>
          <w:color w:val="000000"/>
          <w:sz w:val="32"/>
          <w:szCs w:val="32"/>
          <w:lang w:val="zh-CN"/>
        </w:rPr>
        <w:t>（</w:t>
      </w:r>
      <w:r>
        <w:rPr>
          <w:rFonts w:hint="eastAsia" w:ascii="KaiTi_GB2312" w:hAnsi="KaiTi_GB2312" w:eastAsia="KaiTi_GB2312" w:cs="KaiTi_GB2312"/>
          <w:color w:val="000000"/>
          <w:sz w:val="32"/>
          <w:szCs w:val="32"/>
        </w:rPr>
        <w:t>一）</w:t>
      </w:r>
      <w:r>
        <w:rPr>
          <w:rFonts w:hint="eastAsia" w:asciiTheme="minorEastAsia" w:hAnsiTheme="minorEastAsia" w:eastAsiaTheme="minorEastAsia" w:cstheme="minorEastAsia"/>
          <w:color w:val="000000"/>
          <w:sz w:val="32"/>
          <w:szCs w:val="32"/>
          <w:lang w:val="zh-CN"/>
        </w:rPr>
        <w:t>项目完成情况</w:t>
      </w:r>
    </w:p>
    <w:p>
      <w:pPr>
        <w:spacing w:line="560" w:lineRule="exact"/>
        <w:ind w:firstLine="627" w:firstLineChars="196"/>
        <w:rPr>
          <w:rFonts w:hint="eastAsia" w:ascii="FangSong_GB2312" w:eastAsia="FangSong_GB2312" w:cs="仿宋" w:hAnsiTheme="minorEastAsia"/>
          <w:color w:val="333333"/>
          <w:kern w:val="2"/>
          <w:sz w:val="32"/>
          <w:szCs w:val="32"/>
          <w:lang w:val="en-US" w:eastAsia="zh-CN" w:bidi="ar-SA"/>
        </w:rPr>
      </w:pPr>
      <w:r>
        <w:rPr>
          <w:rFonts w:hint="eastAsia" w:cs="仿宋" w:asciiTheme="minorEastAsia" w:hAnsiTheme="minorEastAsia" w:eastAsiaTheme="minorEastAsia"/>
          <w:color w:val="000000"/>
          <w:sz w:val="32"/>
          <w:szCs w:val="32"/>
        </w:rPr>
        <w:t xml:space="preserve"> </w:t>
      </w:r>
      <w:r>
        <w:rPr>
          <w:rFonts w:hint="eastAsia" w:ascii="FangSong_GB2312" w:eastAsia="FangSong_GB2312" w:cs="仿宋" w:hAnsiTheme="minorEastAsia"/>
          <w:color w:val="333333"/>
          <w:kern w:val="2"/>
          <w:sz w:val="32"/>
          <w:szCs w:val="32"/>
          <w:lang w:val="en-US" w:eastAsia="zh-CN" w:bidi="ar-SA"/>
        </w:rPr>
        <w:t>“三馆一站”面向社会全面开放，全年惠及群众180万人次。举办“文化下乡活动”50余场次、“送图书下乡”“送戏下乡”150场次、还先后走进全区25个乡镇、10余所中小学进行文艺演出，开展群文辅导、讲座、排练，让广大老百姓在自己家门口就能享受到免费的文化服务。</w:t>
      </w:r>
    </w:p>
    <w:p>
      <w:pPr>
        <w:spacing w:line="560" w:lineRule="exact"/>
        <w:ind w:firstLine="627" w:firstLineChars="196"/>
        <w:rPr>
          <w:rFonts w:hint="eastAsia" w:asciiTheme="minorEastAsia" w:hAnsiTheme="minorEastAsia" w:eastAsiaTheme="minorEastAsia" w:cstheme="minorEastAsia"/>
          <w:color w:val="000000"/>
          <w:sz w:val="32"/>
          <w:szCs w:val="32"/>
          <w:lang w:val="zh-CN"/>
        </w:rPr>
      </w:pPr>
      <w:r>
        <w:rPr>
          <w:rFonts w:hint="eastAsia" w:ascii="KaiTi_GB2312" w:hAnsi="KaiTi_GB2312" w:eastAsia="KaiTi_GB2312" w:cs="KaiTi_GB2312"/>
          <w:color w:val="000000"/>
          <w:sz w:val="32"/>
          <w:szCs w:val="32"/>
          <w:lang w:val="zh-CN"/>
        </w:rPr>
        <w:t>（</w:t>
      </w:r>
      <w:r>
        <w:rPr>
          <w:rFonts w:hint="eastAsia" w:ascii="KaiTi_GB2312" w:hAnsi="KaiTi_GB2312" w:eastAsia="KaiTi_GB2312" w:cs="KaiTi_GB2312"/>
          <w:color w:val="000000"/>
          <w:sz w:val="32"/>
          <w:szCs w:val="32"/>
        </w:rPr>
        <w:t>二）</w:t>
      </w:r>
      <w:r>
        <w:rPr>
          <w:rFonts w:hint="eastAsia" w:asciiTheme="minorEastAsia" w:hAnsiTheme="minorEastAsia" w:eastAsiaTheme="minorEastAsia" w:cstheme="minorEastAsia"/>
          <w:color w:val="000000"/>
          <w:sz w:val="32"/>
          <w:szCs w:val="32"/>
          <w:lang w:val="zh-CN"/>
        </w:rPr>
        <w:t>目标质量完成情况</w:t>
      </w:r>
    </w:p>
    <w:p>
      <w:pPr>
        <w:spacing w:line="560" w:lineRule="exact"/>
        <w:ind w:firstLine="627" w:firstLineChars="196"/>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朝天区文化馆被国家文化部评定为“二级文化馆”，区图书馆被国家文化部评定为“二级图书馆”；实施免费开放后不存在违规收费现象。购买服务、文化下乡措施得力。</w:t>
      </w:r>
    </w:p>
    <w:p>
      <w:pPr>
        <w:spacing w:line="560" w:lineRule="exact"/>
        <w:ind w:firstLine="627" w:firstLineChars="196"/>
        <w:rPr>
          <w:rFonts w:hint="eastAsia" w:asciiTheme="minorEastAsia" w:hAnsiTheme="minorEastAsia" w:eastAsiaTheme="minorEastAsia" w:cstheme="minorEastAsia"/>
          <w:color w:val="000000"/>
          <w:sz w:val="32"/>
          <w:szCs w:val="32"/>
          <w:lang w:val="zh-CN"/>
        </w:rPr>
      </w:pPr>
      <w:r>
        <w:rPr>
          <w:rFonts w:hint="eastAsia" w:ascii="KaiTi_GB2312" w:hAnsi="KaiTi_GB2312" w:eastAsia="KaiTi_GB2312" w:cs="KaiTi_GB2312"/>
          <w:color w:val="000000"/>
          <w:sz w:val="32"/>
          <w:szCs w:val="32"/>
          <w:lang w:val="zh-CN"/>
        </w:rPr>
        <w:t>（</w:t>
      </w:r>
      <w:r>
        <w:rPr>
          <w:rFonts w:hint="eastAsia" w:ascii="KaiTi_GB2312" w:hAnsi="KaiTi_GB2312" w:eastAsia="KaiTi_GB2312" w:cs="KaiTi_GB2312"/>
          <w:color w:val="000000"/>
          <w:sz w:val="32"/>
          <w:szCs w:val="32"/>
        </w:rPr>
        <w:t>三）</w:t>
      </w:r>
      <w:r>
        <w:rPr>
          <w:rFonts w:hint="eastAsia" w:asciiTheme="minorEastAsia" w:hAnsiTheme="minorEastAsia" w:eastAsiaTheme="minorEastAsia" w:cstheme="minorEastAsia"/>
          <w:color w:val="000000"/>
          <w:sz w:val="32"/>
          <w:szCs w:val="32"/>
          <w:lang w:val="zh-CN"/>
        </w:rPr>
        <w:t>目标进度完成情况</w:t>
      </w:r>
    </w:p>
    <w:p>
      <w:pPr>
        <w:spacing w:line="560" w:lineRule="exact"/>
        <w:rPr>
          <w:rFonts w:hint="eastAsia" w:ascii="FangSong_GB2312" w:eastAsia="FangSong_GB2312" w:cs="仿宋" w:hAnsiTheme="minorEastAsia"/>
          <w:color w:val="333333"/>
          <w:kern w:val="2"/>
          <w:sz w:val="32"/>
          <w:szCs w:val="32"/>
          <w:lang w:val="en-US" w:eastAsia="zh-CN" w:bidi="ar-SA"/>
        </w:rPr>
      </w:pPr>
      <w:r>
        <w:rPr>
          <w:rFonts w:hint="eastAsia" w:cs="FangSong_GB2312" w:asciiTheme="minorEastAsia" w:hAnsiTheme="minorEastAsia" w:eastAsiaTheme="minorEastAsia"/>
          <w:color w:val="000000"/>
          <w:sz w:val="32"/>
          <w:szCs w:val="32"/>
        </w:rPr>
        <w:t xml:space="preserve">   </w:t>
      </w:r>
      <w:r>
        <w:rPr>
          <w:rFonts w:cs="FangSong_GB2312" w:asciiTheme="minorEastAsia" w:hAnsiTheme="minorEastAsia" w:eastAsiaTheme="minorEastAsia"/>
          <w:color w:val="000000"/>
          <w:sz w:val="32"/>
          <w:szCs w:val="32"/>
        </w:rPr>
        <w:t xml:space="preserve"> </w:t>
      </w:r>
      <w:r>
        <w:rPr>
          <w:rFonts w:hint="eastAsia" w:ascii="FangSong_GB2312" w:eastAsia="FangSong_GB2312" w:cs="仿宋" w:hAnsiTheme="minorEastAsia"/>
          <w:color w:val="333333"/>
          <w:kern w:val="2"/>
          <w:sz w:val="32"/>
          <w:szCs w:val="32"/>
          <w:lang w:val="en-US" w:eastAsia="zh-CN" w:bidi="ar-SA"/>
        </w:rPr>
        <w:t>“三馆一站”面向社会全面全天候免费开放，全区群众年均20万人次受益。全面优质高效完成了目标任务。</w:t>
      </w:r>
    </w:p>
    <w:p>
      <w:pPr>
        <w:spacing w:line="560" w:lineRule="exact"/>
        <w:ind w:firstLine="627" w:firstLineChars="196"/>
        <w:rPr>
          <w:rFonts w:hint="eastAsia" w:asciiTheme="minorEastAsia" w:hAnsiTheme="minorEastAsia" w:eastAsiaTheme="minorEastAsia" w:cstheme="minorEastAsia"/>
          <w:color w:val="000000"/>
          <w:sz w:val="32"/>
          <w:szCs w:val="32"/>
          <w:lang w:val="zh-CN"/>
        </w:rPr>
      </w:pPr>
      <w:r>
        <w:rPr>
          <w:rFonts w:hint="eastAsia" w:ascii="KaiTi_GB2312" w:hAnsi="KaiTi_GB2312" w:eastAsia="KaiTi_GB2312" w:cs="KaiTi_GB2312"/>
          <w:color w:val="000000"/>
          <w:sz w:val="32"/>
          <w:szCs w:val="32"/>
          <w:lang w:val="zh-CN"/>
        </w:rPr>
        <w:t>（</w:t>
      </w:r>
      <w:r>
        <w:rPr>
          <w:rFonts w:hint="eastAsia" w:ascii="KaiTi_GB2312" w:hAnsi="KaiTi_GB2312" w:eastAsia="KaiTi_GB2312" w:cs="KaiTi_GB2312"/>
          <w:color w:val="000000"/>
          <w:sz w:val="32"/>
          <w:szCs w:val="32"/>
        </w:rPr>
        <w:t>四）</w:t>
      </w:r>
      <w:r>
        <w:rPr>
          <w:rFonts w:hint="eastAsia" w:asciiTheme="minorEastAsia" w:hAnsiTheme="minorEastAsia" w:eastAsiaTheme="minorEastAsia" w:cstheme="minorEastAsia"/>
          <w:color w:val="000000"/>
          <w:sz w:val="32"/>
          <w:szCs w:val="32"/>
          <w:lang w:val="zh-CN"/>
        </w:rPr>
        <w:t>项目效益情况</w:t>
      </w:r>
    </w:p>
    <w:p>
      <w:pPr>
        <w:spacing w:line="560" w:lineRule="exact"/>
        <w:ind w:firstLine="640" w:firstLineChars="200"/>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三馆一站”免费开放坚持以人为本、注重民生、优化服务，提高公共文化服务水平，文化惠民深入人心。通过会议、公告、电视广播、制作手册等多种方式多方式进行广泛宣传，群众对三馆免费开放政策的知晓率和认知率普遍提高。</w:t>
      </w:r>
    </w:p>
    <w:p>
      <w:pPr>
        <w:spacing w:line="560" w:lineRule="exact"/>
        <w:ind w:firstLine="640" w:firstLineChars="200"/>
        <w:rPr>
          <w:rFonts w:hint="eastAsia" w:asciiTheme="minorEastAsia" w:hAnsiTheme="minorEastAsia" w:eastAsiaTheme="minorEastAsia" w:cstheme="minorEastAsia"/>
          <w:color w:val="000000"/>
          <w:sz w:val="32"/>
          <w:szCs w:val="32"/>
          <w:lang w:val="zh-CN"/>
        </w:rPr>
      </w:pPr>
      <w:r>
        <w:rPr>
          <w:rFonts w:hint="eastAsia" w:ascii="KaiTi_GB2312" w:hAnsi="KaiTi_GB2312" w:eastAsia="KaiTi_GB2312" w:cs="KaiTi_GB2312"/>
          <w:color w:val="000000"/>
          <w:sz w:val="32"/>
          <w:szCs w:val="32"/>
          <w:lang w:val="zh-CN"/>
        </w:rPr>
        <w:t>（</w:t>
      </w:r>
      <w:r>
        <w:rPr>
          <w:rFonts w:hint="eastAsia" w:ascii="KaiTi_GB2312" w:hAnsi="KaiTi_GB2312" w:eastAsia="KaiTi_GB2312" w:cs="KaiTi_GB2312"/>
          <w:color w:val="000000"/>
          <w:sz w:val="32"/>
          <w:szCs w:val="32"/>
        </w:rPr>
        <w:t>五）</w:t>
      </w:r>
      <w:r>
        <w:rPr>
          <w:rFonts w:hint="eastAsia" w:asciiTheme="minorEastAsia" w:hAnsiTheme="minorEastAsia" w:eastAsiaTheme="minorEastAsia" w:cstheme="minorEastAsia"/>
          <w:color w:val="000000"/>
          <w:sz w:val="32"/>
          <w:szCs w:val="32"/>
          <w:lang w:val="zh-CN"/>
        </w:rPr>
        <w:t>项目的可持续性效益</w:t>
      </w:r>
    </w:p>
    <w:p>
      <w:pPr>
        <w:spacing w:line="560" w:lineRule="exact"/>
        <w:ind w:firstLine="640" w:firstLineChars="200"/>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“三馆一站”免费开放项目为经常性项目，国家及地方财政每年均适当给予补助，保障项目可持续性。</w:t>
      </w:r>
    </w:p>
    <w:p>
      <w:pPr>
        <w:spacing w:line="560" w:lineRule="exact"/>
        <w:ind w:firstLine="320" w:firstLineChars="100"/>
        <w:rPr>
          <w:rFonts w:hint="eastAsia" w:asciiTheme="minorEastAsia" w:hAnsiTheme="minorEastAsia" w:eastAsiaTheme="minorEastAsia" w:cstheme="minorEastAsia"/>
          <w:color w:val="000000"/>
          <w:sz w:val="32"/>
          <w:szCs w:val="32"/>
          <w:lang w:val="zh-CN"/>
        </w:rPr>
      </w:pPr>
      <w:r>
        <w:rPr>
          <w:rFonts w:hint="eastAsia" w:ascii="FangSong_GB2312" w:cs="仿宋" w:hAnsiTheme="minorEastAsia"/>
          <w:color w:val="333333"/>
          <w:sz w:val="32"/>
          <w:szCs w:val="32"/>
        </w:rPr>
        <w:t>（六）</w:t>
      </w:r>
      <w:r>
        <w:rPr>
          <w:rFonts w:hint="eastAsia" w:asciiTheme="minorEastAsia" w:hAnsiTheme="minorEastAsia" w:eastAsiaTheme="minorEastAsia" w:cstheme="minorEastAsia"/>
          <w:color w:val="000000"/>
          <w:sz w:val="32"/>
          <w:szCs w:val="32"/>
          <w:lang w:val="zh-CN"/>
        </w:rPr>
        <w:t>项目的受众满意度</w:t>
      </w:r>
    </w:p>
    <w:p>
      <w:pPr>
        <w:spacing w:line="560" w:lineRule="exact"/>
        <w:ind w:firstLine="640" w:firstLineChars="200"/>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三馆一站”免费开放过程中充分发挥了地方文化队伍和文艺骨干作用，大力开展城乡群众积极参与的群众文化活动，让广大城乡群众享受文化成果。不仅大力弘扬传播本地特色文化，同时还将文化大餐送到群众家门口。</w:t>
      </w:r>
    </w:p>
    <w:p>
      <w:pPr>
        <w:spacing w:line="560" w:lineRule="exact"/>
        <w:ind w:firstLine="627" w:firstLineChars="196"/>
        <w:rPr>
          <w:rFonts w:ascii="KaiTi_GB2312" w:hAnsi="KaiTi_GB2312" w:eastAsia="KaiTi_GB2312" w:cs="KaiTi_GB2312"/>
          <w:color w:val="000000"/>
          <w:sz w:val="32"/>
          <w:szCs w:val="32"/>
          <w:lang w:val="zh-CN"/>
        </w:rPr>
      </w:pPr>
      <w:r>
        <w:rPr>
          <w:rFonts w:hint="eastAsia" w:ascii="KaiTi_GB2312" w:hAnsi="KaiTi_GB2312" w:eastAsia="KaiTi_GB2312" w:cs="KaiTi_GB2312"/>
          <w:color w:val="000000"/>
          <w:sz w:val="32"/>
          <w:szCs w:val="32"/>
          <w:lang w:val="zh-CN"/>
        </w:rPr>
        <w:t>五、问题及建议</w:t>
      </w:r>
    </w:p>
    <w:p>
      <w:pPr>
        <w:tabs>
          <w:tab w:val="left" w:pos="718"/>
        </w:tabs>
        <w:spacing w:line="560" w:lineRule="exact"/>
        <w:ind w:firstLine="640" w:firstLineChars="200"/>
        <w:rPr>
          <w:rFonts w:ascii="KaiTi_GB2312" w:hAnsi="KaiTi_GB2312" w:eastAsia="KaiTi_GB2312" w:cs="KaiTi_GB2312"/>
          <w:color w:val="000000"/>
          <w:sz w:val="32"/>
          <w:szCs w:val="32"/>
          <w:lang w:val="zh-CN"/>
        </w:rPr>
      </w:pPr>
      <w:r>
        <w:rPr>
          <w:rFonts w:hint="eastAsia" w:ascii="KaiTi_GB2312" w:hAnsi="KaiTi_GB2312" w:eastAsia="KaiTi_GB2312" w:cs="KaiTi_GB2312"/>
          <w:color w:val="000000"/>
          <w:sz w:val="32"/>
          <w:szCs w:val="32"/>
          <w:lang w:val="zh-CN"/>
        </w:rPr>
        <w:t>（一）存在的问题</w:t>
      </w:r>
    </w:p>
    <w:p>
      <w:pPr>
        <w:adjustRightInd w:val="0"/>
        <w:snapToGrid w:val="0"/>
        <w:spacing w:line="560" w:lineRule="exact"/>
        <w:ind w:firstLine="627" w:firstLineChars="196"/>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一是市、县级财政投入力度不大，区财政仅仅按政策给予配套，“三馆一站”免费开放工作要做好，要得到社会的认可，还需地方财政不断加大投入力度。二是对乡镇文化站免费开放资金使用监督检查的力度不够。</w:t>
      </w:r>
    </w:p>
    <w:p>
      <w:pPr>
        <w:tabs>
          <w:tab w:val="left" w:pos="718"/>
        </w:tabs>
        <w:spacing w:line="560" w:lineRule="exact"/>
        <w:ind w:firstLine="640" w:firstLineChars="200"/>
        <w:rPr>
          <w:rFonts w:ascii="KaiTi_GB2312" w:hAnsi="KaiTi_GB2312" w:eastAsia="KaiTi_GB2312" w:cs="KaiTi_GB2312"/>
          <w:color w:val="000000"/>
          <w:sz w:val="32"/>
          <w:szCs w:val="32"/>
          <w:lang w:val="zh-CN"/>
        </w:rPr>
      </w:pPr>
      <w:r>
        <w:rPr>
          <w:rFonts w:hint="eastAsia" w:ascii="KaiTi_GB2312" w:hAnsi="KaiTi_GB2312" w:eastAsia="KaiTi_GB2312" w:cs="KaiTi_GB2312"/>
          <w:color w:val="000000"/>
          <w:sz w:val="32"/>
          <w:szCs w:val="32"/>
          <w:lang w:val="zh-CN"/>
        </w:rPr>
        <w:t>（二）相关建议</w:t>
      </w:r>
    </w:p>
    <w:p>
      <w:pPr>
        <w:adjustRightInd w:val="0"/>
        <w:snapToGrid w:val="0"/>
        <w:spacing w:line="560" w:lineRule="exact"/>
        <w:ind w:firstLine="627" w:firstLineChars="196"/>
        <w:rPr>
          <w:rFonts w:hint="eastAsia" w:ascii="FangSong_GB2312" w:eastAsia="FangSong_GB2312" w:cs="仿宋" w:hAnsiTheme="minorEastAsia"/>
          <w:color w:val="333333"/>
          <w:kern w:val="2"/>
          <w:sz w:val="32"/>
          <w:szCs w:val="32"/>
          <w:lang w:val="en-US" w:eastAsia="zh-CN" w:bidi="ar-SA"/>
        </w:rPr>
      </w:pPr>
      <w:r>
        <w:rPr>
          <w:rFonts w:hint="eastAsia" w:ascii="FangSong_GB2312" w:eastAsia="FangSong_GB2312" w:cs="仿宋" w:hAnsiTheme="minorEastAsia"/>
          <w:color w:val="333333"/>
          <w:kern w:val="2"/>
          <w:sz w:val="32"/>
          <w:szCs w:val="32"/>
          <w:lang w:val="en-US" w:eastAsia="zh-CN" w:bidi="ar-SA"/>
        </w:rPr>
        <w:t>一是区级财政应加大对公益性场馆免费开放的更多投入，确保“三馆一站”免费开放工作有力、有序开展。二是加强人才队伍建设，扩大编制，加大专业人才招聘力度。文化馆是一个专业技能很强的部门，缺少专业技能人才，工作举步维艰。三是对乡镇的免费开放资金预算应根据乡镇人口多少、地域面积大小以及免费开放力度等多方面因素来划分资金额度。四是建议努力创新服务内容，丰富主题，提升免费开放的品牌化水平。贯彻以人为本、贴近生活、贴近实际、贴近群众，既提供雅俗共赏的普适性内容，也提供雅俗分赏的对象化内容，引导服务对象成为参与公共文化创造的主体。</w:t>
      </w:r>
    </w:p>
    <w:p>
      <w:pPr>
        <w:spacing w:line="600" w:lineRule="exact"/>
        <w:jc w:val="center"/>
        <w:outlineLvl w:val="0"/>
        <w:rPr>
          <w:rFonts w:hint="eastAsia" w:ascii="黑体" w:hAnsi="黑体" w:eastAsia="黑体"/>
          <w:sz w:val="44"/>
          <w:szCs w:val="44"/>
        </w:rPr>
      </w:pPr>
      <w:bookmarkStart w:id="59" w:name="_Toc15396618"/>
    </w:p>
    <w:tbl>
      <w:tblPr>
        <w:tblStyle w:val="15"/>
        <w:tblW w:w="11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080"/>
        <w:gridCol w:w="1283"/>
        <w:gridCol w:w="1927"/>
        <w:gridCol w:w="1223"/>
        <w:gridCol w:w="331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5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0215"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中央和省美术馆 公共图书馆 文化馆（站）免费开放专项资金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5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0215"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363"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15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46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2363"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15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46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2363"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150"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2363"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150"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2363"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150"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2363"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150"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51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578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5513"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“三馆一站”面向社会全面开放，全年惠及群众180万人次。举办“文化下乡活动”50余场次、“送图书下乡”150场次。</w:t>
            </w:r>
          </w:p>
        </w:tc>
        <w:tc>
          <w:tcPr>
            <w:tcW w:w="5782" w:type="dxa"/>
            <w:gridSpan w:val="2"/>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“三馆一站”面向社会全面开放，全年惠及群众180万人次。举办“文化下乡活动”50余场次、“送图书下乡”150场次。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4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8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年度完成送图书、文化下乡数量</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=150场</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150场</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到达乡镇个数</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=25个</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25个</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到达贫困村个数</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=64个</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64个</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全年免费开放天数</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≥360天</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文化下乡及戏曲下乡演出覆盖率（≥**%）</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任务完成及时率（≥**%）</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资金控制在预算内</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≤165万元</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165万元</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8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群众对三馆免费开放政策的知晓率和认知率</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让贫困地区人民共享文化成果</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2467" w:type="dxa"/>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223" w:type="dxa"/>
            <w:shd w:val="clear" w:color="auto" w:fill="auto"/>
            <w:vAlign w:val="center"/>
          </w:tcPr>
          <w:p>
            <w:pPr>
              <w:jc w:val="both"/>
              <w:rPr>
                <w:rFonts w:hint="eastAsia" w:ascii="宋体" w:hAnsi="宋体" w:eastAsia="宋体" w:cs="宋体"/>
                <w:i w:val="0"/>
                <w:iCs w:val="0"/>
                <w:color w:val="000000"/>
                <w:sz w:val="18"/>
                <w:szCs w:val="18"/>
                <w:u w:val="none"/>
              </w:rPr>
            </w:pPr>
          </w:p>
        </w:tc>
        <w:tc>
          <w:tcPr>
            <w:tcW w:w="3315" w:type="dxa"/>
            <w:shd w:val="clear" w:color="auto" w:fill="auto"/>
            <w:vAlign w:val="center"/>
          </w:tcPr>
          <w:p>
            <w:pPr>
              <w:jc w:val="both"/>
              <w:rPr>
                <w:rFonts w:hint="eastAsia" w:ascii="宋体" w:hAnsi="宋体" w:eastAsia="宋体" w:cs="宋体"/>
                <w:i w:val="0"/>
                <w:iCs w:val="0"/>
                <w:color w:val="000000"/>
                <w:sz w:val="18"/>
                <w:szCs w:val="18"/>
                <w:u w:val="none"/>
              </w:rPr>
            </w:pP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传承优秀文化、本土文化、民族文化</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2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持续送图书及文化下乡时间</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33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467" w:type="dxa"/>
            <w:shd w:val="clear" w:color="auto" w:fill="auto"/>
            <w:vAlign w:val="center"/>
          </w:tcPr>
          <w:p>
            <w:pPr>
              <w:jc w:val="both"/>
              <w:rPr>
                <w:rFonts w:hint="eastAsia" w:ascii="宋体" w:hAnsi="宋体" w:eastAsia="宋体" w:cs="宋体"/>
                <w:i w:val="0"/>
                <w:iCs w:val="0"/>
                <w:color w:val="000000"/>
                <w:sz w:val="18"/>
                <w:szCs w:val="18"/>
                <w:u w:val="none"/>
              </w:rPr>
            </w:pPr>
          </w:p>
        </w:tc>
      </w:tr>
    </w:tbl>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广元市朝天区文化旅游和体育局</w:t>
      </w: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关于广播电视户户通运行维护项目绩效报告</w:t>
      </w:r>
    </w:p>
    <w:p>
      <w:pPr>
        <w:pStyle w:val="2"/>
        <w:spacing w:before="93"/>
      </w:pPr>
    </w:p>
    <w:p>
      <w:pPr>
        <w:spacing w:line="620" w:lineRule="exact"/>
        <w:ind w:firstLine="640" w:firstLineChars="200"/>
        <w:rPr>
          <w:rFonts w:hint="eastAsia" w:ascii="仿宋_GB2312" w:hAnsi="仿宋" w:eastAsia="仿宋_GB2312" w:cs="仿宋"/>
          <w:color w:val="000000"/>
          <w:sz w:val="32"/>
          <w:szCs w:val="32"/>
        </w:rPr>
      </w:pPr>
      <w:r>
        <w:rPr>
          <w:rFonts w:hint="eastAsia" w:ascii="仿宋_GB2312" w:eastAsia="仿宋_GB2312"/>
          <w:sz w:val="32"/>
          <w:szCs w:val="32"/>
        </w:rPr>
        <w:t>为切实加强广播电视</w:t>
      </w:r>
      <w:r>
        <w:rPr>
          <w:rFonts w:hint="eastAsia" w:ascii="仿宋_GB2312" w:hAnsi="仿宋_GB2312" w:eastAsia="仿宋_GB2312" w:cs="仿宋_GB2312"/>
          <w:sz w:val="32"/>
          <w:szCs w:val="32"/>
        </w:rPr>
        <w:t>公共服务体系运行维护</w:t>
      </w:r>
      <w:r>
        <w:rPr>
          <w:rFonts w:hint="eastAsia" w:ascii="仿宋_GB2312" w:eastAsia="仿宋_GB2312"/>
          <w:sz w:val="32"/>
          <w:szCs w:val="32"/>
        </w:rPr>
        <w:t>专项资金的使用、提高专项资金使用效率，确保专项资金安全、规范运行。我局高度重视，</w:t>
      </w:r>
      <w:r>
        <w:rPr>
          <w:rFonts w:hint="eastAsia" w:ascii="仿宋_GB2312" w:hAnsi="仿宋" w:eastAsia="仿宋_GB2312" w:cs="仿宋"/>
          <w:color w:val="000000"/>
          <w:sz w:val="32"/>
          <w:szCs w:val="32"/>
        </w:rPr>
        <w:t>结合区域实际</w:t>
      </w:r>
      <w:r>
        <w:rPr>
          <w:rFonts w:hint="eastAsia" w:ascii="仿宋_GB2312" w:eastAsia="仿宋_GB2312"/>
          <w:sz w:val="32"/>
          <w:szCs w:val="32"/>
        </w:rPr>
        <w:t>精心组织实施，对照省市要求及时自查，责成专人进行全面评估。</w:t>
      </w:r>
      <w:r>
        <w:rPr>
          <w:rFonts w:hint="eastAsia" w:ascii="仿宋_GB2312" w:hAnsi="仿宋" w:eastAsia="仿宋_GB2312" w:cs="仿宋"/>
          <w:color w:val="000000"/>
          <w:sz w:val="32"/>
          <w:szCs w:val="32"/>
        </w:rPr>
        <w:t>现将我区2021广播电视公共服务体系运行维护项目绩效自评如下：</w:t>
      </w:r>
    </w:p>
    <w:p>
      <w:pPr>
        <w:spacing w:line="620" w:lineRule="exact"/>
        <w:ind w:firstLine="642" w:firstLineChars="200"/>
        <w:rPr>
          <w:rFonts w:ascii="黑体" w:hAnsi="黑体" w:eastAsia="黑体" w:cs="黑体"/>
          <w:b/>
          <w:bCs/>
          <w:color w:val="000000"/>
          <w:sz w:val="32"/>
          <w:szCs w:val="32"/>
          <w:lang w:val="zh-CN"/>
        </w:rPr>
      </w:pPr>
      <w:r>
        <w:rPr>
          <w:rFonts w:hint="eastAsia" w:ascii="黑体" w:hAnsi="黑体" w:eastAsia="黑体" w:cs="黑体"/>
          <w:b/>
          <w:bCs/>
          <w:color w:val="000000"/>
          <w:sz w:val="32"/>
          <w:szCs w:val="32"/>
        </w:rPr>
        <w:t>一、</w:t>
      </w:r>
      <w:r>
        <w:rPr>
          <w:rFonts w:hint="eastAsia" w:ascii="黑体" w:hAnsi="黑体" w:eastAsia="黑体" w:cs="黑体"/>
          <w:b/>
          <w:bCs/>
          <w:color w:val="000000"/>
          <w:sz w:val="32"/>
          <w:szCs w:val="32"/>
          <w:lang w:val="zh-CN"/>
        </w:rPr>
        <w:t>项目概况</w:t>
      </w:r>
    </w:p>
    <w:p>
      <w:pPr>
        <w:spacing w:line="620" w:lineRule="exact"/>
        <w:ind w:firstLine="642" w:firstLineChars="200"/>
        <w:rPr>
          <w:rFonts w:ascii="楷体" w:hAnsi="楷体" w:eastAsia="楷体" w:cs="楷体"/>
          <w:b/>
          <w:bCs/>
          <w:color w:val="000000"/>
          <w:sz w:val="32"/>
          <w:szCs w:val="32"/>
          <w:lang w:val="zh-CN"/>
        </w:rPr>
      </w:pPr>
      <w:r>
        <w:rPr>
          <w:rFonts w:hint="eastAsia" w:ascii="楷体" w:hAnsi="楷体" w:eastAsia="楷体" w:cs="楷体"/>
          <w:b/>
          <w:bCs/>
          <w:color w:val="000000"/>
          <w:sz w:val="32"/>
          <w:szCs w:val="32"/>
          <w:lang w:val="zh-CN"/>
        </w:rPr>
        <w:t>（一）项目基本情况</w:t>
      </w:r>
    </w:p>
    <w:p>
      <w:pPr>
        <w:snapToGrid w:val="0"/>
        <w:spacing w:line="580" w:lineRule="atLeast"/>
        <w:ind w:firstLine="640" w:firstLineChars="200"/>
        <w:jc w:val="left"/>
        <w:rPr>
          <w:rStyle w:val="35"/>
          <w:rFonts w:hint="eastAsia" w:ascii="仿宋_GB2312" w:hAnsi="仿宋_GB2312" w:eastAsia="仿宋_GB2312" w:cs="仿宋_GB2312"/>
          <w:sz w:val="32"/>
          <w:szCs w:val="32"/>
        </w:rPr>
      </w:pPr>
      <w:r>
        <w:rPr>
          <w:rFonts w:hint="eastAsia" w:ascii="仿宋_GB2312" w:hAnsi="仿宋" w:eastAsia="仿宋_GB2312" w:cs="仿宋"/>
          <w:color w:val="000000"/>
          <w:sz w:val="32"/>
          <w:szCs w:val="32"/>
        </w:rPr>
        <w:t>朝天区2021广播电视运行维护项目专项资金189.18万元，其中：</w:t>
      </w:r>
      <w:r>
        <w:rPr>
          <w:rFonts w:hint="eastAsia" w:ascii="仿宋_GB2312" w:eastAsia="仿宋_GB2312"/>
          <w:sz w:val="32"/>
          <w:szCs w:val="32"/>
        </w:rPr>
        <w:t>省级计划147万元，除去省级代扣21.77万元外省级实际下拨补助资金125.23万元，市级配套24.5万元，区级配套39.45万元。该项目的实施主要</w:t>
      </w:r>
      <w:r>
        <w:rPr>
          <w:rStyle w:val="35"/>
          <w:rFonts w:hint="eastAsia" w:ascii="仿宋_GB2312" w:hAnsi="仿宋_GB2312" w:eastAsia="仿宋_GB2312" w:cs="仿宋_GB2312"/>
          <w:color w:val="000000"/>
          <w:kern w:val="0"/>
          <w:sz w:val="32"/>
          <w:szCs w:val="32"/>
        </w:rPr>
        <w:t>为全区提供突发事件应急广播服务；</w:t>
      </w:r>
      <w:r>
        <w:rPr>
          <w:rStyle w:val="35"/>
          <w:rFonts w:hint="eastAsia" w:ascii="仿宋_GB2312" w:hAnsi="仿宋_GB2312" w:eastAsia="仿宋_GB2312" w:cs="仿宋_GB2312"/>
          <w:sz w:val="32"/>
          <w:szCs w:val="32"/>
        </w:rPr>
        <w:t>广播电视户户通工程运行维护；广播电视公共服务网点服务；广播电视发射台正常运行；保障全区3.95万户（其中：直播卫星3.4万户、地面数字电视0.55万户）电视户户通设施设备长期通、优质通；保障全区12个乡镇124个行政村15个社区和1200个组终端的应急广播村村响正常播放；确保</w:t>
      </w:r>
      <w:r>
        <w:rPr>
          <w:rFonts w:hint="eastAsia" w:ascii="仿宋_GB2312" w:hAnsi="仿宋" w:eastAsia="仿宋_GB2312" w:cs="仿宋"/>
          <w:color w:val="000000"/>
          <w:sz w:val="32"/>
          <w:szCs w:val="32"/>
        </w:rPr>
        <w:t>14个无线地面数字电视高山基站的正常运行；确保</w:t>
      </w:r>
      <w:r>
        <w:rPr>
          <w:rStyle w:val="35"/>
          <w:rFonts w:hint="eastAsia" w:ascii="仿宋_GB2312" w:hAnsi="仿宋_GB2312" w:eastAsia="仿宋_GB2312" w:cs="仿宋_GB2312"/>
          <w:sz w:val="32"/>
          <w:szCs w:val="32"/>
        </w:rPr>
        <w:t>235个广播电视公共服务网点的规范服务；</w:t>
      </w:r>
      <w:r>
        <w:rPr>
          <w:rFonts w:hint="eastAsia" w:ascii="仿宋_GB2312" w:eastAsia="仿宋_GB2312"/>
          <w:sz w:val="32"/>
          <w:szCs w:val="32"/>
        </w:rPr>
        <w:t>实现</w:t>
      </w:r>
      <w:r>
        <w:rPr>
          <w:rFonts w:hint="eastAsia" w:ascii="仿宋_GB2312" w:eastAsia="仿宋_GB2312" w:cs="宋体"/>
          <w:sz w:val="32"/>
          <w:szCs w:val="32"/>
        </w:rPr>
        <w:t>全区电视覆盖率达到100</w:t>
      </w:r>
      <w:r>
        <w:rPr>
          <w:rFonts w:hint="eastAsia" w:ascii="仿宋_GB2312" w:eastAsia="仿宋_GB2312"/>
          <w:sz w:val="32"/>
          <w:szCs w:val="32"/>
        </w:rPr>
        <w:t>%</w:t>
      </w:r>
      <w:r>
        <w:rPr>
          <w:rFonts w:hint="eastAsia" w:ascii="仿宋_GB2312" w:eastAsia="仿宋_GB2312" w:cs="宋体"/>
          <w:sz w:val="32"/>
          <w:szCs w:val="32"/>
        </w:rPr>
        <w:t>，本地节目覆盖达到了</w:t>
      </w:r>
      <w:r>
        <w:rPr>
          <w:rFonts w:hint="eastAsia" w:ascii="仿宋_GB2312" w:eastAsia="仿宋_GB2312"/>
          <w:sz w:val="32"/>
          <w:szCs w:val="32"/>
        </w:rPr>
        <w:t>80%，</w:t>
      </w:r>
      <w:r>
        <w:rPr>
          <w:rStyle w:val="35"/>
          <w:rFonts w:hint="eastAsia" w:ascii="仿宋_GB2312" w:hAnsi="仿宋_GB2312" w:eastAsia="仿宋_GB2312" w:cs="仿宋_GB2312"/>
          <w:sz w:val="32"/>
          <w:szCs w:val="32"/>
        </w:rPr>
        <w:t>确保我区公共服务运行落到实处。</w:t>
      </w:r>
    </w:p>
    <w:p>
      <w:pPr>
        <w:spacing w:line="580" w:lineRule="atLeas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为加强全区广播电视公共服务监督管理，确保项目运行规范高效，我区层层压实责任，明确工作目标任务，先后制定了《朝天区广播村村响管理办法（试行）》《朝天区乡镇广播村村响运行维护管理考核细则》《区文旅体局公共服务运行维护管理办法》《2021年广播村村响、电视户户通、高山无线发射基站运行维护督查方案》《区文旅体局公共服务运行维护（代维公司）考核细则》等相关文件，建立了长效管理机制和年终量化考核体系，进一步规范了公共服务运行，确保了项目的高质量实施。</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天区文化旅游和体育局是2021年广播电视运行维护项目的实施主管单位，主要负责项目方案编制、备案、立项、招投标及项目日常事务管理，对项目的实施、资金的分配、管理、拨付等进行了详细的规范，负责项目资金审核，按项目进度拨付资金；负责项目监管，确保项目规范化实施等。</w:t>
      </w:r>
    </w:p>
    <w:p>
      <w:pPr>
        <w:spacing w:line="620" w:lineRule="exact"/>
        <w:ind w:firstLine="642" w:firstLineChars="200"/>
        <w:rPr>
          <w:rFonts w:ascii="楷体" w:hAnsi="楷体" w:eastAsia="楷体" w:cs="楷体"/>
          <w:b/>
          <w:bCs/>
          <w:color w:val="000000"/>
          <w:sz w:val="32"/>
          <w:szCs w:val="32"/>
          <w:lang w:val="zh-CN"/>
        </w:rPr>
      </w:pPr>
      <w:r>
        <w:rPr>
          <w:rFonts w:hint="eastAsia" w:ascii="楷体" w:hAnsi="楷体" w:eastAsia="楷体" w:cs="楷体"/>
          <w:b/>
          <w:bCs/>
          <w:color w:val="000000"/>
          <w:sz w:val="32"/>
          <w:szCs w:val="32"/>
          <w:lang w:val="zh-CN"/>
        </w:rPr>
        <w:t>（二）项目绩效目标</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根据朝天区广播电视运行维护实际，2021年主要完成以下项目绩效目标。</w:t>
      </w:r>
    </w:p>
    <w:p>
      <w:pPr>
        <w:spacing w:line="620" w:lineRule="exact"/>
        <w:ind w:firstLine="642" w:firstLineChars="200"/>
        <w:rPr>
          <w:rFonts w:hint="eastAsia" w:ascii="仿宋_GB2312" w:eastAsia="仿宋_GB2312"/>
          <w:sz w:val="32"/>
          <w:szCs w:val="32"/>
        </w:rPr>
      </w:pPr>
      <w:r>
        <w:rPr>
          <w:rFonts w:hint="eastAsia" w:ascii="仿宋" w:hAnsi="仿宋" w:eastAsia="仿宋" w:cs="仿宋"/>
          <w:b/>
          <w:bCs/>
          <w:color w:val="000000"/>
          <w:sz w:val="32"/>
          <w:szCs w:val="32"/>
        </w:rPr>
        <w:t>1.应急广播村村响系统运行维护。</w:t>
      </w:r>
      <w:r>
        <w:rPr>
          <w:rFonts w:hint="eastAsia" w:ascii="仿宋_GB2312" w:eastAsia="仿宋_GB2312"/>
          <w:sz w:val="32"/>
          <w:szCs w:val="32"/>
        </w:rPr>
        <w:t>实现全区12个乡镇139个行政村（社区）1200个组的终端2300个喇叭的应急广播村村响网络传输中断率≤0.05%，应急广播村村响工程按规定做到按时播放率≥95%，村村响日播放时长≥3小时，日播放频次≥3次，应急广播村村响终端接收正常率≥98%。</w:t>
      </w:r>
    </w:p>
    <w:p>
      <w:pPr>
        <w:spacing w:line="620" w:lineRule="exact"/>
        <w:ind w:firstLine="642" w:firstLineChars="200"/>
        <w:rPr>
          <w:rFonts w:hint="eastAsia" w:ascii="仿宋_GB2312" w:hAnsi="仿宋" w:eastAsia="仿宋_GB2312" w:cs="仿宋"/>
          <w:b/>
          <w:bCs/>
          <w:color w:val="000000"/>
          <w:sz w:val="32"/>
          <w:szCs w:val="32"/>
        </w:rPr>
      </w:pPr>
      <w:r>
        <w:rPr>
          <w:rFonts w:hint="eastAsia" w:ascii="仿宋" w:hAnsi="仿宋" w:eastAsia="仿宋" w:cs="仿宋"/>
          <w:b/>
          <w:bCs/>
          <w:color w:val="000000"/>
          <w:sz w:val="32"/>
          <w:szCs w:val="32"/>
        </w:rPr>
        <w:t>2.</w:t>
      </w:r>
      <w:r>
        <w:rPr>
          <w:rStyle w:val="35"/>
          <w:rFonts w:hint="eastAsia" w:ascii="仿宋_GB2312" w:hAnsi="仿宋_GB2312" w:cs="仿宋_GB2312"/>
          <w:b/>
          <w:bCs/>
          <w:sz w:val="32"/>
          <w:szCs w:val="32"/>
        </w:rPr>
        <w:t>区级应急广播播控平台运行服务。</w:t>
      </w:r>
      <w:r>
        <w:rPr>
          <w:rStyle w:val="35"/>
          <w:rFonts w:hint="eastAsia" w:ascii="仿宋_GB2312" w:hAnsi="仿宋_GB2312" w:eastAsia="仿宋_GB2312" w:cs="仿宋_GB2312"/>
          <w:sz w:val="32"/>
          <w:szCs w:val="32"/>
        </w:rPr>
        <w:t>确保已建成的区级应急广播平台100%正常运行，与上级互联互通，应急信息转发率100%。</w:t>
      </w:r>
    </w:p>
    <w:p>
      <w:pPr>
        <w:spacing w:line="580" w:lineRule="atLeast"/>
        <w:ind w:firstLine="642" w:firstLineChars="200"/>
        <w:rPr>
          <w:rStyle w:val="35"/>
          <w:rFonts w:hint="eastAsia" w:ascii="仿宋_GB2312" w:hAnsi="仿宋_GB2312" w:eastAsia="仿宋_GB2312" w:cs="仿宋_GB2312"/>
          <w:sz w:val="32"/>
          <w:szCs w:val="32"/>
        </w:rPr>
      </w:pPr>
      <w:r>
        <w:rPr>
          <w:rFonts w:hint="eastAsia" w:ascii="仿宋" w:hAnsi="仿宋" w:eastAsia="仿宋" w:cs="仿宋"/>
          <w:b/>
          <w:bCs/>
          <w:color w:val="000000"/>
          <w:sz w:val="32"/>
          <w:szCs w:val="32"/>
        </w:rPr>
        <w:t>3.电视户户通运行维护。</w:t>
      </w:r>
      <w:r>
        <w:rPr>
          <w:rFonts w:hint="eastAsia" w:ascii="仿宋_GB2312" w:hAnsi="仿宋" w:eastAsia="仿宋_GB2312" w:cs="仿宋"/>
          <w:color w:val="000000"/>
          <w:sz w:val="32"/>
          <w:szCs w:val="32"/>
        </w:rPr>
        <w:t>切实加强运行维护管理服务质量，着力提高用户满意度。</w:t>
      </w:r>
      <w:r>
        <w:rPr>
          <w:rStyle w:val="35"/>
          <w:rFonts w:hint="eastAsia" w:ascii="仿宋_GB2312" w:hAnsi="仿宋_GB2312" w:eastAsia="仿宋_GB2312" w:cs="仿宋_GB2312"/>
          <w:bCs/>
          <w:color w:val="000000"/>
          <w:sz w:val="32"/>
          <w:szCs w:val="32"/>
        </w:rPr>
        <w:t>确保</w:t>
      </w:r>
      <w:r>
        <w:rPr>
          <w:rStyle w:val="35"/>
          <w:rFonts w:hint="eastAsia" w:ascii="仿宋_GB2312" w:hAnsi="仿宋_GB2312" w:eastAsia="仿宋_GB2312" w:cs="仿宋_GB2312"/>
          <w:sz w:val="32"/>
          <w:szCs w:val="32"/>
        </w:rPr>
        <w:t>全区3.95万余户的电视户户通工程正常运行≥95%，智慧广电APP用户信息录入率100%，APP线上线下派单率≥100%，广播电视公共服务能力得到提升，群众满意率≥95%。</w:t>
      </w:r>
    </w:p>
    <w:p>
      <w:pPr>
        <w:spacing w:line="620"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4.高山基站运行维护。</w:t>
      </w:r>
      <w:r>
        <w:rPr>
          <w:rFonts w:hint="eastAsia" w:ascii="仿宋" w:hAnsi="仿宋" w:eastAsia="仿宋" w:cs="仿宋"/>
          <w:color w:val="000000"/>
          <w:sz w:val="32"/>
          <w:szCs w:val="32"/>
        </w:rPr>
        <w:t>做好14个无线地面数字电视高山基站的运行维护，确保设备完好和运行正常，停播率≤0.05%，保障群众正常免费收听收看广播电视节目，确保本地节目优质接收，群众满意率≥95%。</w:t>
      </w:r>
    </w:p>
    <w:p>
      <w:pPr>
        <w:spacing w:line="620"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5.广播电视公共服务网点规范运行。</w:t>
      </w:r>
      <w:r>
        <w:rPr>
          <w:rFonts w:hint="eastAsia" w:ascii="仿宋" w:hAnsi="仿宋" w:eastAsia="仿宋" w:cs="仿宋"/>
          <w:color w:val="000000"/>
          <w:sz w:val="32"/>
          <w:szCs w:val="32"/>
        </w:rPr>
        <w:t>确保235个广播电视公共服务网点的规范运行，网点信息准确率达到100%，做好各类台账的登记、数据上报。</w:t>
      </w:r>
    </w:p>
    <w:p>
      <w:pPr>
        <w:spacing w:line="620"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6.低保户服务。</w:t>
      </w:r>
      <w:r>
        <w:rPr>
          <w:rFonts w:hint="eastAsia" w:ascii="仿宋" w:hAnsi="仿宋" w:eastAsia="仿宋" w:cs="仿宋"/>
          <w:color w:val="000000"/>
          <w:sz w:val="32"/>
          <w:szCs w:val="32"/>
        </w:rPr>
        <w:t>为低保户提供免费或低收费收看有线数字电视服务，保障全区650户免费收看有线数字电视服务。</w:t>
      </w:r>
    </w:p>
    <w:p>
      <w:pPr>
        <w:spacing w:line="620" w:lineRule="exact"/>
        <w:ind w:firstLine="642" w:firstLineChars="200"/>
        <w:rPr>
          <w:rFonts w:ascii="楷体" w:hAnsi="楷体" w:eastAsia="楷体" w:cs="楷体"/>
          <w:b/>
          <w:bCs/>
          <w:color w:val="000000"/>
          <w:sz w:val="32"/>
          <w:szCs w:val="32"/>
          <w:lang w:val="zh-CN"/>
        </w:rPr>
      </w:pPr>
      <w:r>
        <w:rPr>
          <w:rFonts w:hint="eastAsia" w:ascii="楷体" w:hAnsi="楷体" w:eastAsia="楷体" w:cs="楷体"/>
          <w:b/>
          <w:bCs/>
          <w:color w:val="000000"/>
          <w:sz w:val="32"/>
          <w:szCs w:val="32"/>
          <w:lang w:val="zh-CN"/>
        </w:rPr>
        <w:t>（三）项目自评步骤及方法</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绩效自评的目的是强化项目绩效管理责任，提高财政资金的使用效益和管理水平。本次项目绩效自评遵循科学公正、统筹兼顾、公开透明的基本原则。实施步骤：一是准备阶段，组织学习财政支出绩效自评的相关规定，确定评价范围和对象，明确评价的目的、内容、任务、依据，掌握评价的时间和有关要求。二是实施阶段，安排绩效自评工作，制定评价指标体系；组织单位自评并完成和上报自评报告。三是总结阶段，总结评价工作经验，进行一步完善绩效自评指标体系，装订归档绩效自评资料。</w:t>
      </w:r>
    </w:p>
    <w:p>
      <w:pPr>
        <w:spacing w:line="620" w:lineRule="exact"/>
        <w:ind w:firstLine="642"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二、项目资金申报及使用情况</w:t>
      </w:r>
    </w:p>
    <w:p>
      <w:pPr>
        <w:spacing w:line="620" w:lineRule="exact"/>
        <w:ind w:firstLine="642" w:firstLineChars="200"/>
        <w:rPr>
          <w:rFonts w:ascii="楷体" w:hAnsi="楷体" w:eastAsia="楷体" w:cs="楷体"/>
          <w:b/>
          <w:bCs/>
          <w:color w:val="000000"/>
          <w:sz w:val="32"/>
          <w:szCs w:val="32"/>
          <w:lang w:val="zh-CN"/>
        </w:rPr>
      </w:pPr>
      <w:r>
        <w:rPr>
          <w:rFonts w:hint="eastAsia" w:ascii="楷体" w:hAnsi="楷体" w:eastAsia="楷体" w:cs="楷体"/>
          <w:b/>
          <w:bCs/>
          <w:color w:val="000000"/>
          <w:sz w:val="32"/>
          <w:szCs w:val="32"/>
          <w:lang w:val="zh-CN"/>
        </w:rPr>
        <w:t>（一）项目资金申报及批复情况</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四川省广播电视局《关于印发&lt;2021年全省30件民生实事广播电视运行维护实施方案&gt;的通知》（川广办发〔2021〕4号）、四川省财政厅四川省广播电视局《关于下达2021年省级公共文化服务体系建设专项资金（广播电视户户通运行维护）预算的通知》（川财教〔2021〕39号），下达我区广播电视户户通运行维护专项资金125.23万元。</w:t>
      </w:r>
    </w:p>
    <w:p>
      <w:pPr>
        <w:spacing w:line="620" w:lineRule="exact"/>
        <w:ind w:firstLine="642" w:firstLineChars="200"/>
        <w:rPr>
          <w:rFonts w:ascii="楷体" w:hAnsi="楷体" w:eastAsia="楷体" w:cs="楷体"/>
          <w:b/>
          <w:bCs/>
          <w:color w:val="000000"/>
          <w:sz w:val="32"/>
          <w:szCs w:val="32"/>
          <w:lang w:val="zh-CN"/>
        </w:rPr>
      </w:pPr>
      <w:r>
        <w:rPr>
          <w:rFonts w:hint="eastAsia" w:ascii="楷体" w:hAnsi="楷体" w:eastAsia="楷体" w:cs="楷体"/>
          <w:b/>
          <w:bCs/>
          <w:color w:val="000000"/>
          <w:sz w:val="32"/>
          <w:szCs w:val="32"/>
          <w:lang w:val="zh-CN"/>
        </w:rPr>
        <w:t>（二）资金计划、到位及使用情况</w:t>
      </w:r>
    </w:p>
    <w:p>
      <w:pPr>
        <w:spacing w:line="600" w:lineRule="exact"/>
        <w:ind w:firstLine="642" w:firstLineChars="200"/>
        <w:rPr>
          <w:rFonts w:hint="eastAsia" w:ascii="仿宋_GB2312" w:eastAsia="仿宋_GB2312"/>
          <w:sz w:val="32"/>
          <w:szCs w:val="32"/>
        </w:rPr>
      </w:pPr>
      <w:r>
        <w:rPr>
          <w:rFonts w:hint="eastAsia" w:ascii="仿宋" w:hAnsi="仿宋" w:eastAsia="仿宋" w:cs="仿宋"/>
          <w:b/>
          <w:bCs/>
          <w:color w:val="000000"/>
          <w:sz w:val="32"/>
          <w:szCs w:val="32"/>
          <w:lang w:val="zh-CN"/>
        </w:rPr>
        <w:t>1．资金计划</w:t>
      </w:r>
      <w:r>
        <w:rPr>
          <w:rFonts w:hint="eastAsia" w:ascii="仿宋" w:hAnsi="仿宋" w:eastAsia="仿宋" w:cs="仿宋"/>
          <w:color w:val="000000"/>
          <w:sz w:val="32"/>
          <w:szCs w:val="32"/>
          <w:lang w:val="zh-CN"/>
        </w:rPr>
        <w:t>。</w:t>
      </w:r>
      <w:r>
        <w:rPr>
          <w:rFonts w:hint="eastAsia" w:ascii="仿宋_GB2312" w:hAnsi="仿宋" w:eastAsia="仿宋_GB2312" w:cs="仿宋"/>
          <w:color w:val="000000"/>
          <w:sz w:val="32"/>
          <w:szCs w:val="32"/>
          <w:lang w:val="zh-CN"/>
        </w:rPr>
        <w:t>朝天区</w:t>
      </w:r>
      <w:r>
        <w:rPr>
          <w:rFonts w:hint="eastAsia" w:ascii="仿宋_GB2312" w:hAnsi="仿宋" w:eastAsia="仿宋_GB2312" w:cs="仿宋"/>
          <w:color w:val="000000"/>
          <w:sz w:val="32"/>
          <w:szCs w:val="32"/>
        </w:rPr>
        <w:t>2021年</w:t>
      </w:r>
      <w:r>
        <w:rPr>
          <w:rFonts w:hint="eastAsia" w:ascii="仿宋_GB2312" w:eastAsia="仿宋_GB2312"/>
          <w:sz w:val="32"/>
          <w:szCs w:val="32"/>
        </w:rPr>
        <w:t>广播电视</w:t>
      </w:r>
      <w:r>
        <w:rPr>
          <w:rFonts w:hint="eastAsia" w:ascii="仿宋_GB2312" w:hAnsi="仿宋_GB2312" w:eastAsia="仿宋_GB2312" w:cs="仿宋_GB2312"/>
          <w:sz w:val="32"/>
          <w:szCs w:val="32"/>
        </w:rPr>
        <w:t>公共服务体系运行</w:t>
      </w:r>
      <w:r>
        <w:rPr>
          <w:rFonts w:hint="eastAsia" w:ascii="仿宋_GB2312" w:eastAsia="仿宋_GB2312"/>
          <w:sz w:val="32"/>
          <w:szCs w:val="32"/>
        </w:rPr>
        <w:t>维护专项补助经费省级147万元（其中省级代扣21.77万元），实际省级下拨补助资金125.23万元，市级配套24.5万元，区级配套39.45万元，共计189.18万元。</w:t>
      </w:r>
    </w:p>
    <w:p>
      <w:pPr>
        <w:pStyle w:val="2"/>
        <w:spacing w:before="93"/>
        <w:ind w:firstLine="640" w:firstLineChars="200"/>
        <w:rPr>
          <w:sz w:val="32"/>
          <w:szCs w:val="32"/>
        </w:rPr>
      </w:pPr>
      <w:r>
        <w:rPr>
          <w:rFonts w:hint="eastAsia" w:hAnsi="仿宋_GB2312" w:cs="仿宋_GB2312"/>
          <w:sz w:val="32"/>
          <w:szCs w:val="32"/>
        </w:rPr>
        <w:t>项目资金计划用于农村应急广播村村响体系建设的运行维护，地面无线数字电视高山无线基站的运行维护，村村通、户户通、无线数字电视机顶盒接收设备的维护，全区广播电视传输主干线光纤链路的运行维护，为全区低保户或低收费收看有线电视服务、其他直接保障广播村村响、电视户户通工程正常运转的其它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资金使用计划分两个部分：一是采用招标方式确定运行维护单位，负责全区整个广播电视运行维护工作。二是划拨专款给12个乡镇，由各乡镇具体负责区域内的村级应急广播系统运行维护工作。</w:t>
      </w:r>
    </w:p>
    <w:p>
      <w:pPr>
        <w:spacing w:line="600" w:lineRule="exact"/>
        <w:ind w:firstLine="642" w:firstLineChars="200"/>
        <w:rPr>
          <w:rFonts w:ascii="仿宋" w:hAnsi="仿宋" w:eastAsia="仿宋" w:cs="仿宋"/>
          <w:color w:val="000000"/>
          <w:sz w:val="32"/>
          <w:szCs w:val="32"/>
        </w:rPr>
      </w:pPr>
      <w:r>
        <w:rPr>
          <w:rFonts w:hint="eastAsia" w:ascii="仿宋_GB2312"/>
          <w:b/>
          <w:bCs/>
          <w:sz w:val="32"/>
          <w:szCs w:val="32"/>
        </w:rPr>
        <w:t>2.资金到位。</w:t>
      </w:r>
      <w:r>
        <w:rPr>
          <w:rFonts w:hint="eastAsia" w:ascii="仿宋" w:hAnsi="仿宋" w:eastAsia="仿宋" w:cs="仿宋"/>
          <w:color w:val="000000"/>
          <w:sz w:val="32"/>
          <w:szCs w:val="32"/>
        </w:rPr>
        <w:t>2021年广播电视户户通运行维护省级专项资金125.23万元，到位率100%。</w:t>
      </w:r>
      <w:r>
        <w:rPr>
          <w:rFonts w:hint="eastAsia" w:ascii="仿宋_GB2312"/>
          <w:sz w:val="32"/>
          <w:szCs w:val="32"/>
        </w:rPr>
        <w:t>市级配套24.5万元，到位率100%。</w:t>
      </w:r>
      <w:r>
        <w:rPr>
          <w:rFonts w:hint="eastAsia" w:ascii="仿宋" w:hAnsi="仿宋" w:eastAsia="仿宋" w:cs="仿宋"/>
          <w:color w:val="000000"/>
          <w:sz w:val="32"/>
          <w:szCs w:val="32"/>
        </w:rPr>
        <w:t>区本级配套39.45万元，到位率100%。</w:t>
      </w:r>
    </w:p>
    <w:p>
      <w:pPr>
        <w:pStyle w:val="2"/>
        <w:spacing w:before="93"/>
        <w:rPr>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 xml:space="preserve"> 3.资金使用。</w:t>
      </w:r>
    </w:p>
    <w:p>
      <w:pPr>
        <w:spacing w:line="580" w:lineRule="atLeast"/>
        <w:ind w:firstLine="642" w:firstLineChars="200"/>
        <w:jc w:val="left"/>
        <w:rPr>
          <w:rStyle w:val="35"/>
          <w:rFonts w:ascii="仿宋_GB2312" w:hAnsi="仿宋_GB2312" w:cs="仿宋_GB2312"/>
          <w:b/>
          <w:sz w:val="32"/>
          <w:szCs w:val="32"/>
        </w:rPr>
      </w:pPr>
      <w:r>
        <w:rPr>
          <w:rStyle w:val="35"/>
          <w:rFonts w:hint="eastAsia" w:ascii="仿宋_GB2312" w:hAnsi="仿宋_GB2312" w:cs="仿宋_GB2312"/>
          <w:b/>
          <w:sz w:val="32"/>
          <w:szCs w:val="32"/>
        </w:rPr>
        <w:t xml:space="preserve">（1）村级应急广播系统运行维护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12个乡镇和原214个村广播村村响平台的运行维护，按1000元/村的标准补助，支出22.6万元。</w:t>
      </w:r>
    </w:p>
    <w:p>
      <w:pPr>
        <w:spacing w:line="600" w:lineRule="exact"/>
        <w:ind w:firstLine="642" w:firstLineChars="200"/>
        <w:rPr>
          <w:rFonts w:ascii="仿宋_GB2312"/>
          <w:b/>
          <w:bCs/>
          <w:sz w:val="32"/>
          <w:szCs w:val="32"/>
        </w:rPr>
      </w:pPr>
      <w:r>
        <w:rPr>
          <w:rFonts w:hint="eastAsia" w:ascii="仿宋_GB2312"/>
          <w:b/>
          <w:bCs/>
          <w:sz w:val="32"/>
          <w:szCs w:val="32"/>
        </w:rPr>
        <w:t>（2）区级应急广播播控平台运行维护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加强运行维护管理，确保已建成的区级应急广播播控平台和区级应急广播村村响平台正常运行，支出16.4万元。</w:t>
      </w:r>
    </w:p>
    <w:p>
      <w:pPr>
        <w:spacing w:line="580" w:lineRule="atLeast"/>
        <w:ind w:firstLine="642" w:firstLineChars="200"/>
        <w:jc w:val="left"/>
        <w:rPr>
          <w:rStyle w:val="35"/>
          <w:rFonts w:ascii="仿宋_GB2312" w:hAnsi="仿宋_GB2312" w:cs="仿宋_GB2312"/>
          <w:b/>
          <w:sz w:val="32"/>
          <w:szCs w:val="32"/>
        </w:rPr>
      </w:pPr>
      <w:r>
        <w:rPr>
          <w:rStyle w:val="35"/>
          <w:rFonts w:hint="eastAsia" w:ascii="仿宋_GB2312" w:hAnsi="仿宋_GB2312" w:cs="仿宋_GB2312"/>
          <w:b/>
          <w:sz w:val="32"/>
          <w:szCs w:val="32"/>
        </w:rPr>
        <w:t>（3）电视户户通（村村通）设备维护维修补助费用</w:t>
      </w:r>
    </w:p>
    <w:p>
      <w:pPr>
        <w:spacing w:line="580" w:lineRule="atLeast"/>
        <w:ind w:firstLine="640" w:firstLineChars="200"/>
        <w:rPr>
          <w:rStyle w:val="35"/>
          <w:rFonts w:ascii="仿宋_GB2312" w:hAnsi="仿宋_GB2312" w:eastAsia="仿宋_GB2312" w:cs="仿宋_GB2312"/>
          <w:sz w:val="32"/>
          <w:szCs w:val="32"/>
        </w:rPr>
      </w:pPr>
      <w:r>
        <w:rPr>
          <w:rStyle w:val="35"/>
          <w:rFonts w:hint="eastAsia" w:ascii="仿宋_GB2312" w:hAnsi="仿宋_GB2312" w:eastAsia="仿宋_GB2312" w:cs="仿宋_GB2312"/>
          <w:sz w:val="32"/>
          <w:szCs w:val="32"/>
        </w:rPr>
        <w:t>按10元/台的标准补助维修经费和交通补贴，支出39.5万元（含购置200套高清直播卫星接收机）。</w:t>
      </w:r>
    </w:p>
    <w:p>
      <w:pPr>
        <w:spacing w:line="580" w:lineRule="atLeast"/>
        <w:ind w:firstLine="640" w:firstLineChars="200"/>
        <w:rPr>
          <w:rStyle w:val="35"/>
          <w:rFonts w:ascii="仿宋_GB2312" w:hAnsi="仿宋_GB2312" w:cs="仿宋_GB2312"/>
          <w:b/>
          <w:sz w:val="32"/>
          <w:szCs w:val="32"/>
        </w:rPr>
      </w:pPr>
      <w:r>
        <w:rPr>
          <w:rStyle w:val="35"/>
          <w:rFonts w:hint="eastAsia" w:ascii="仿宋_GB2312" w:hAnsi="仿宋_GB2312" w:eastAsia="仿宋_GB2312" w:cs="仿宋_GB2312"/>
          <w:sz w:val="32"/>
          <w:szCs w:val="32"/>
        </w:rPr>
        <w:t>（4）</w:t>
      </w:r>
      <w:r>
        <w:rPr>
          <w:rStyle w:val="35"/>
          <w:rFonts w:hint="eastAsia" w:ascii="仿宋_GB2312" w:hAnsi="仿宋_GB2312" w:cs="仿宋_GB2312"/>
          <w:b/>
          <w:sz w:val="32"/>
          <w:szCs w:val="32"/>
        </w:rPr>
        <w:t>全区撤乡并镇强村并组设备系统并网改码费用</w:t>
      </w:r>
    </w:p>
    <w:p>
      <w:pPr>
        <w:spacing w:line="580" w:lineRule="atLeast"/>
        <w:ind w:firstLine="640" w:firstLineChars="200"/>
        <w:rPr>
          <w:rStyle w:val="35"/>
          <w:rFonts w:hint="eastAsia" w:ascii="仿宋_GB2312" w:hAnsi="仿宋_GB2312" w:eastAsia="仿宋_GB2312" w:cs="仿宋_GB2312"/>
          <w:sz w:val="32"/>
          <w:szCs w:val="32"/>
        </w:rPr>
      </w:pPr>
      <w:r>
        <w:rPr>
          <w:rStyle w:val="35"/>
          <w:rFonts w:hint="eastAsia" w:ascii="仿宋_GB2312" w:hAnsi="仿宋_GB2312" w:eastAsia="仿宋_GB2312" w:cs="仿宋_GB2312"/>
          <w:sz w:val="32"/>
          <w:szCs w:val="32"/>
        </w:rPr>
        <w:t>系统改码内容包括</w:t>
      </w:r>
      <w:r>
        <w:rPr>
          <w:rStyle w:val="35"/>
          <w:rFonts w:hint="eastAsia" w:ascii="仿宋_GB2312" w:hAnsi="仿宋_GB2312" w:eastAsia="仿宋_GB2312" w:cs="仿宋_GB2312"/>
          <w:bCs/>
          <w:sz w:val="32"/>
          <w:szCs w:val="32"/>
        </w:rPr>
        <w:t>12个乡镇广播平台，被撤89个村平台，600</w:t>
      </w:r>
      <w:r>
        <w:rPr>
          <w:rStyle w:val="35"/>
          <w:rFonts w:hint="eastAsia" w:ascii="仿宋_GB2312" w:hAnsi="仿宋_GB2312" w:eastAsia="仿宋_GB2312" w:cs="仿宋_GB2312"/>
          <w:sz w:val="32"/>
          <w:szCs w:val="32"/>
        </w:rPr>
        <w:t xml:space="preserve">个村民小组终端等，支出26万元。 </w:t>
      </w:r>
    </w:p>
    <w:p>
      <w:pPr>
        <w:numPr>
          <w:ilvl w:val="0"/>
          <w:numId w:val="5"/>
        </w:numPr>
        <w:spacing w:line="580" w:lineRule="atLeast"/>
        <w:ind w:firstLine="642" w:firstLineChars="200"/>
        <w:rPr>
          <w:rFonts w:ascii="仿宋_GB2312" w:hAnsi="仿宋_GB2312" w:cs="仿宋_GB2312"/>
          <w:sz w:val="32"/>
          <w:szCs w:val="32"/>
        </w:rPr>
      </w:pPr>
      <w:r>
        <w:rPr>
          <w:rStyle w:val="35"/>
          <w:rFonts w:hint="eastAsia" w:ascii="仿宋_GB2312" w:hAnsi="仿宋_GB2312" w:cs="仿宋_GB2312"/>
          <w:b/>
          <w:bCs/>
          <w:sz w:val="32"/>
          <w:szCs w:val="32"/>
        </w:rPr>
        <w:t>公共服务网点维修维护补助，广播村村响电视户户通维护设备购买，</w:t>
      </w:r>
      <w:r>
        <w:rPr>
          <w:rFonts w:hint="eastAsia" w:ascii="仿宋_GB2312" w:hAnsi="仿宋_GB2312" w:cs="仿宋_GB2312"/>
          <w:b/>
          <w:bCs/>
          <w:sz w:val="32"/>
          <w:szCs w:val="32"/>
        </w:rPr>
        <w:t>广播电视传输主干线光纤链路维护等费用</w:t>
      </w:r>
      <w:r>
        <w:rPr>
          <w:rFonts w:hint="eastAsia" w:ascii="仿宋_GB2312" w:hAnsi="仿宋_GB2312" w:cs="仿宋_GB2312"/>
          <w:sz w:val="32"/>
          <w:szCs w:val="32"/>
        </w:rPr>
        <w:t>。</w:t>
      </w:r>
    </w:p>
    <w:p>
      <w:pPr>
        <w:spacing w:line="600" w:lineRule="exact"/>
        <w:ind w:firstLine="640" w:firstLineChars="200"/>
        <w:rPr>
          <w:rFonts w:ascii="仿宋_GB2312"/>
          <w:sz w:val="32"/>
          <w:szCs w:val="32"/>
        </w:rPr>
      </w:pPr>
      <w:r>
        <w:rPr>
          <w:rFonts w:hint="eastAsia" w:ascii="仿宋_GB2312" w:hAnsi="仿宋_GB2312" w:cs="仿宋_GB2312"/>
          <w:sz w:val="32"/>
          <w:szCs w:val="32"/>
        </w:rPr>
        <w:t xml:space="preserve"> </w:t>
      </w:r>
      <w:r>
        <w:rPr>
          <w:rFonts w:hint="eastAsia" w:ascii="仿宋_GB2312"/>
          <w:sz w:val="32"/>
          <w:szCs w:val="32"/>
        </w:rPr>
        <w:t>该项全年支出25.62万元。</w:t>
      </w:r>
    </w:p>
    <w:p>
      <w:pPr>
        <w:spacing w:line="600" w:lineRule="exact"/>
        <w:ind w:firstLine="642" w:firstLineChars="200"/>
        <w:rPr>
          <w:rStyle w:val="35"/>
          <w:rFonts w:ascii="仿宋_GB2312" w:hAnsi="仿宋_GB2312" w:cs="仿宋_GB2312"/>
          <w:b/>
          <w:bCs/>
          <w:sz w:val="32"/>
          <w:szCs w:val="32"/>
        </w:rPr>
      </w:pPr>
      <w:r>
        <w:rPr>
          <w:rFonts w:hint="eastAsia" w:ascii="仿宋_GB2312"/>
          <w:b/>
          <w:bCs/>
          <w:sz w:val="32"/>
          <w:szCs w:val="32"/>
        </w:rPr>
        <w:t>（6）为低保户</w:t>
      </w:r>
      <w:r>
        <w:rPr>
          <w:rStyle w:val="35"/>
          <w:rFonts w:hint="eastAsia" w:ascii="仿宋_GB2312" w:hAnsi="仿宋_GB2312" w:cs="仿宋_GB2312"/>
          <w:b/>
          <w:bCs/>
          <w:sz w:val="32"/>
          <w:szCs w:val="32"/>
        </w:rPr>
        <w:t>提供免费或低收费收看有线数字电视服务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本地区低保户符合免费收看有线数字电视服务有560户，每户每年免基本收视费276元，支出15.46万元。</w:t>
      </w:r>
    </w:p>
    <w:p>
      <w:pPr>
        <w:spacing w:line="600" w:lineRule="exact"/>
        <w:ind w:firstLine="642" w:firstLineChars="200"/>
        <w:rPr>
          <w:rFonts w:ascii="仿宋_GB2312"/>
          <w:sz w:val="32"/>
          <w:szCs w:val="32"/>
        </w:rPr>
      </w:pPr>
      <w:r>
        <w:rPr>
          <w:rFonts w:hint="eastAsia" w:ascii="仿宋_GB2312"/>
          <w:b/>
          <w:bCs/>
          <w:sz w:val="32"/>
          <w:szCs w:val="32"/>
        </w:rPr>
        <w:t>（7）乡（镇）广播村村响终端维修维护补助费用</w:t>
      </w:r>
      <w:r>
        <w:rPr>
          <w:rFonts w:hint="eastAsia" w:ascii="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朝天区“广播村村响”运行维护管理考核细则》广朝广电领办发([2020]01号)文件精神，由各乡镇负责本区域广播村村响工作，全区根据各乡镇村村响年度目标完成情况进行考核，按照考核结果给予一定的运行维护经费补助，全年补助资金支出27.78万元。</w:t>
      </w:r>
    </w:p>
    <w:p>
      <w:pPr>
        <w:spacing w:line="600" w:lineRule="exact"/>
        <w:ind w:firstLine="642" w:firstLineChars="200"/>
        <w:rPr>
          <w:rFonts w:ascii="仿宋_GB2312"/>
          <w:b/>
          <w:bCs/>
          <w:sz w:val="32"/>
          <w:szCs w:val="32"/>
        </w:rPr>
      </w:pPr>
      <w:r>
        <w:rPr>
          <w:rFonts w:hint="eastAsia" w:ascii="仿宋_GB2312"/>
          <w:b/>
          <w:bCs/>
          <w:sz w:val="32"/>
          <w:szCs w:val="32"/>
        </w:rPr>
        <w:t>（8）乡镇、村前端机房监控安装费用。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为确保广播村村响安全播出工作，实现全区12个乡镇139个行政村（社区）24小时实时监控。全年支出费用15.82万元。</w:t>
      </w:r>
    </w:p>
    <w:p>
      <w:pPr>
        <w:spacing w:line="620" w:lineRule="exact"/>
        <w:ind w:firstLine="642" w:firstLineChars="200"/>
        <w:rPr>
          <w:rFonts w:ascii="楷体" w:hAnsi="楷体" w:eastAsia="楷体" w:cs="楷体"/>
          <w:b/>
          <w:bCs/>
          <w:color w:val="000000"/>
          <w:sz w:val="32"/>
          <w:szCs w:val="32"/>
          <w:lang w:val="zh-CN"/>
        </w:rPr>
      </w:pPr>
      <w:r>
        <w:rPr>
          <w:rFonts w:hint="eastAsia" w:ascii="楷体" w:hAnsi="楷体" w:eastAsia="楷体" w:cs="楷体"/>
          <w:b/>
          <w:bCs/>
          <w:color w:val="000000"/>
          <w:sz w:val="32"/>
          <w:szCs w:val="32"/>
          <w:lang w:val="zh-CN"/>
        </w:rPr>
        <w:t>（三）项目财务管理情况</w:t>
      </w:r>
    </w:p>
    <w:p>
      <w:pPr>
        <w:spacing w:line="576"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一是切实规范管理，健全财务制度。</w:t>
      </w:r>
      <w:r>
        <w:rPr>
          <w:rFonts w:hint="eastAsia" w:ascii="仿宋" w:hAnsi="仿宋" w:eastAsia="仿宋" w:cs="仿宋"/>
          <w:color w:val="000000"/>
          <w:sz w:val="32"/>
          <w:szCs w:val="32"/>
        </w:rPr>
        <w:t>不断完善修订项目财务管理制度，严格按照要求执行。在项目实施过程中，采取设立专职项目财务会计、建立项目财务专账等方式进行及时核算。项目资金支付严格按照项目合同约定条款及项目实施进度申报、支付项目款，严把项目资金支付审核关，杜绝多支、少支情况发生，提高了资金使用的社会效益。</w:t>
      </w:r>
    </w:p>
    <w:p>
      <w:pPr>
        <w:spacing w:line="576"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二是加强监督检查，资金专款专用。</w:t>
      </w:r>
      <w:r>
        <w:rPr>
          <w:rFonts w:hint="eastAsia" w:ascii="仿宋" w:hAnsi="仿宋" w:eastAsia="仿宋" w:cs="仿宋"/>
          <w:color w:val="000000"/>
          <w:sz w:val="32"/>
          <w:szCs w:val="32"/>
        </w:rPr>
        <w:t>做好专项资金跟踪监督检查，成立专项资金监督检查领导小组，对专项资金使用情况进行全方位跟踪监督检查。自觉接受本级财政和上级部门的审计、监督和管理，在整个专项资金的使用过程中，未发现违规使用、挪用、截留资金的现象。</w:t>
      </w:r>
    </w:p>
    <w:p>
      <w:pPr>
        <w:spacing w:line="576"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三是适时绩效评价，发挥资金效益。</w:t>
      </w:r>
      <w:r>
        <w:rPr>
          <w:rFonts w:hint="eastAsia" w:ascii="仿宋" w:hAnsi="仿宋" w:eastAsia="仿宋" w:cs="仿宋"/>
          <w:color w:val="000000"/>
          <w:sz w:val="32"/>
          <w:szCs w:val="32"/>
        </w:rPr>
        <w:t>切实加强对专项资金投入使用后所产生的社会效益分析，充分发挥资金使用效益。成立项目建设领导小组，定期组织项目领导小组对上年度所实施的专项资金项目进行绩效评价分析，对产生社会效益好的和不好的项目，我们都要进行对比、分析，及时调整项目实施思路及实施方案，尽量使资金投入到能产生最大社会效益的项目中去，惠及大多数群众。</w:t>
      </w:r>
    </w:p>
    <w:p>
      <w:pPr>
        <w:spacing w:line="620" w:lineRule="exact"/>
        <w:ind w:firstLine="642"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三、项目实施及管理情况</w:t>
      </w:r>
    </w:p>
    <w:p>
      <w:pPr>
        <w:spacing w:line="620" w:lineRule="exact"/>
        <w:ind w:firstLine="642" w:firstLineChars="200"/>
        <w:rPr>
          <w:rFonts w:hint="eastAsia" w:ascii="仿宋_GB2312" w:hAnsi="仿宋" w:eastAsia="仿宋_GB2312" w:cs="仿宋"/>
          <w:color w:val="000000"/>
          <w:sz w:val="32"/>
          <w:szCs w:val="32"/>
        </w:rPr>
      </w:pPr>
      <w:r>
        <w:rPr>
          <w:rFonts w:hint="eastAsia" w:ascii="楷体" w:hAnsi="楷体" w:eastAsia="楷体" w:cs="楷体"/>
          <w:b/>
          <w:bCs/>
          <w:color w:val="000000"/>
          <w:sz w:val="32"/>
          <w:szCs w:val="32"/>
          <w:lang w:val="zh-CN"/>
        </w:rPr>
        <w:t>（一）项目组织架构及实施流程。</w:t>
      </w:r>
      <w:r>
        <w:rPr>
          <w:rFonts w:hint="eastAsia" w:ascii="仿宋_GB2312" w:hAnsi="仿宋" w:eastAsia="仿宋_GB2312" w:cs="仿宋"/>
          <w:color w:val="000000"/>
          <w:sz w:val="32"/>
          <w:szCs w:val="32"/>
        </w:rPr>
        <w:t>成立朝天区2021年广播电视运行维护项目领导小组,定期召开专题会议研究，确保项目的组织和实施。首先针对项目的前期规划、资金配套进行论证和安排;其次对项目建设提出具体要求，所有配送设备均按照政府采购招投标方式进行;最后对项目进行严格的竣工验收、审计查审，确保省级补助资金及县本级资金的合理使用。</w:t>
      </w:r>
    </w:p>
    <w:p>
      <w:pPr>
        <w:spacing w:line="620" w:lineRule="exact"/>
        <w:ind w:firstLine="642" w:firstLineChars="200"/>
        <w:rPr>
          <w:rFonts w:hint="eastAsia" w:ascii="仿宋_GB2312" w:hAnsi="仿宋" w:eastAsia="仿宋_GB2312" w:cs="仿宋"/>
          <w:color w:val="000000"/>
          <w:sz w:val="32"/>
          <w:szCs w:val="32"/>
          <w:lang w:val="zh-CN"/>
        </w:rPr>
      </w:pPr>
      <w:r>
        <w:rPr>
          <w:rFonts w:hint="eastAsia" w:ascii="楷体" w:hAnsi="楷体" w:eastAsia="楷体" w:cs="楷体"/>
          <w:b/>
          <w:bCs/>
          <w:color w:val="000000"/>
          <w:sz w:val="32"/>
          <w:szCs w:val="32"/>
          <w:lang w:val="zh-CN"/>
        </w:rPr>
        <w:t>（</w:t>
      </w:r>
      <w:r>
        <w:rPr>
          <w:rFonts w:hint="eastAsia" w:ascii="楷体" w:hAnsi="楷体" w:eastAsia="楷体" w:cs="楷体"/>
          <w:b/>
          <w:bCs/>
          <w:color w:val="000000"/>
          <w:sz w:val="32"/>
          <w:szCs w:val="32"/>
        </w:rPr>
        <w:t>二</w:t>
      </w:r>
      <w:r>
        <w:rPr>
          <w:rFonts w:hint="eastAsia" w:ascii="楷体" w:hAnsi="楷体" w:eastAsia="楷体" w:cs="楷体"/>
          <w:b/>
          <w:bCs/>
          <w:color w:val="000000"/>
          <w:sz w:val="32"/>
          <w:szCs w:val="32"/>
          <w:lang w:val="zh-CN"/>
        </w:rPr>
        <w:t>）项目管理情况。</w:t>
      </w:r>
      <w:r>
        <w:rPr>
          <w:rFonts w:hint="eastAsia" w:ascii="仿宋_GB2312" w:hAnsi="仿宋" w:eastAsia="仿宋_GB2312" w:cs="仿宋"/>
          <w:color w:val="000000"/>
          <w:sz w:val="32"/>
          <w:szCs w:val="32"/>
        </w:rPr>
        <w:t>2021年广播电视运行维护项目严格按照《政府采购法》要求实行政府采购。项目实施严格按照相关法律法规执行，按四川省应急广播技术标准和广播电视运行维护安装规范要求进行。全部189.18万元用于广播电视户户通运行维护经费。</w:t>
      </w:r>
    </w:p>
    <w:p>
      <w:pPr>
        <w:spacing w:line="620" w:lineRule="exact"/>
        <w:ind w:firstLine="642" w:firstLineChars="200"/>
        <w:rPr>
          <w:rFonts w:ascii="仿宋" w:hAnsi="仿宋" w:eastAsia="仿宋" w:cs="仿宋"/>
          <w:color w:val="000000"/>
          <w:sz w:val="32"/>
          <w:szCs w:val="32"/>
          <w:lang w:val="zh-CN"/>
        </w:rPr>
      </w:pPr>
      <w:r>
        <w:rPr>
          <w:rFonts w:hint="eastAsia" w:ascii="楷体" w:hAnsi="楷体" w:eastAsia="楷体" w:cs="楷体"/>
          <w:b/>
          <w:bCs/>
          <w:color w:val="000000"/>
          <w:sz w:val="32"/>
          <w:szCs w:val="32"/>
          <w:lang w:val="zh-CN"/>
        </w:rPr>
        <w:t>（三）项目监管情况。</w:t>
      </w:r>
      <w:r>
        <w:rPr>
          <w:rFonts w:hint="eastAsia" w:ascii="仿宋" w:hAnsi="仿宋" w:eastAsia="仿宋" w:cs="仿宋"/>
          <w:color w:val="000000"/>
          <w:sz w:val="32"/>
          <w:szCs w:val="32"/>
        </w:rPr>
        <w:t>按照规定的程序设立项目，项目符合本单位的职能要求;在实际执行过程中，严格按照项目预算执行，严格执行项目财务管理相关制度，专款专用，规范使用项目资金。保障项目资金用实、用好、发挥效能。对项目实施过程进行认真控制和监督，充分发挥项目资金的使用效益，不存在违规违纪现象。</w:t>
      </w:r>
    </w:p>
    <w:p>
      <w:pPr>
        <w:spacing w:line="620" w:lineRule="exact"/>
        <w:ind w:firstLine="642" w:firstLineChars="200"/>
        <w:rPr>
          <w:rFonts w:ascii="黑体" w:hAnsi="黑体" w:eastAsia="黑体" w:cs="黑体"/>
          <w:b/>
          <w:bCs/>
          <w:color w:val="000000"/>
          <w:sz w:val="32"/>
          <w:szCs w:val="32"/>
          <w:lang w:val="zh-CN"/>
        </w:rPr>
      </w:pPr>
      <w:r>
        <w:rPr>
          <w:rFonts w:hint="eastAsia" w:ascii="黑体" w:hAnsi="黑体" w:eastAsia="黑体" w:cs="黑体"/>
          <w:b/>
          <w:bCs/>
          <w:color w:val="000000"/>
          <w:sz w:val="32"/>
          <w:szCs w:val="32"/>
        </w:rPr>
        <w:t>四、项目绩效情况</w:t>
      </w:r>
      <w:r>
        <w:rPr>
          <w:rFonts w:hint="eastAsia" w:ascii="黑体" w:hAnsi="黑体" w:eastAsia="黑体" w:cs="黑体"/>
          <w:b/>
          <w:bCs/>
          <w:color w:val="000000"/>
          <w:sz w:val="32"/>
          <w:szCs w:val="32"/>
          <w:lang w:val="zh-CN"/>
        </w:rPr>
        <w:tab/>
      </w:r>
    </w:p>
    <w:p>
      <w:pPr>
        <w:spacing w:line="580" w:lineRule="atLeast"/>
        <w:ind w:firstLine="642" w:firstLineChars="200"/>
        <w:jc w:val="left"/>
        <w:rPr>
          <w:rFonts w:ascii="仿宋" w:hAnsi="仿宋" w:eastAsia="仿宋" w:cs="仿宋"/>
          <w:sz w:val="32"/>
          <w:szCs w:val="32"/>
        </w:rPr>
      </w:pPr>
      <w:r>
        <w:rPr>
          <w:rFonts w:hint="eastAsia" w:ascii="楷体" w:hAnsi="楷体" w:eastAsia="楷体" w:cs="楷体"/>
          <w:b/>
          <w:bCs/>
          <w:color w:val="000000"/>
          <w:sz w:val="32"/>
          <w:szCs w:val="32"/>
          <w:lang w:val="zh-CN"/>
        </w:rPr>
        <w:t>（一）项目完成情况。</w:t>
      </w:r>
      <w:r>
        <w:rPr>
          <w:rFonts w:hint="eastAsia" w:ascii="仿宋_GB2312" w:hAnsi="仿宋" w:eastAsia="仿宋_GB2312" w:cs="仿宋"/>
          <w:color w:val="000000"/>
          <w:sz w:val="32"/>
          <w:szCs w:val="32"/>
        </w:rPr>
        <w:t>一是完成</w:t>
      </w:r>
      <w:r>
        <w:rPr>
          <w:rFonts w:hint="eastAsia" w:ascii="仿宋_GB2312" w:eastAsia="仿宋_GB2312"/>
          <w:sz w:val="32"/>
          <w:szCs w:val="32"/>
        </w:rPr>
        <w:t>12个乡镇广播平台，原214个村（包括社区居委会）广播村村响平台的运行维护365次；二是完成区级应急广播平台运行维护24次，</w:t>
      </w:r>
      <w:r>
        <w:rPr>
          <w:rStyle w:val="35"/>
          <w:rFonts w:hint="eastAsia" w:ascii="仿宋_GB2312" w:hAnsi="仿宋_GB2312" w:eastAsia="仿宋_GB2312" w:cs="仿宋_GB2312"/>
          <w:sz w:val="32"/>
          <w:szCs w:val="32"/>
        </w:rPr>
        <w:t>确保已建成的区级应急广播平台100%正常运行，与上级互联互通，应急信息转发率100%；三是做好</w:t>
      </w:r>
      <w:r>
        <w:rPr>
          <w:rStyle w:val="35"/>
          <w:rFonts w:hint="eastAsia" w:ascii="仿宋_GB2312" w:hAnsi="仿宋_GB2312" w:eastAsia="仿宋_GB2312" w:cs="仿宋_GB2312"/>
          <w:bCs/>
          <w:sz w:val="32"/>
          <w:szCs w:val="32"/>
        </w:rPr>
        <w:t>电视户户通（村村通）设备维护，</w:t>
      </w:r>
      <w:r>
        <w:rPr>
          <w:rStyle w:val="35"/>
          <w:rFonts w:hint="eastAsia" w:ascii="仿宋_GB2312" w:hAnsi="仿宋_GB2312" w:eastAsia="仿宋_GB2312" w:cs="仿宋_GB2312"/>
          <w:sz w:val="32"/>
          <w:szCs w:val="32"/>
        </w:rPr>
        <w:t>购置200套高清直播卫星接收机。四是完成12个乡镇89个村平台600个村民小组终端改码工作；五是做好公共服务网点维修维护，广播村村响电视户户通维护设备购买，</w:t>
      </w:r>
      <w:r>
        <w:rPr>
          <w:rFonts w:hint="eastAsia" w:ascii="仿宋_GB2312" w:hAnsi="仿宋_GB2312" w:eastAsia="仿宋_GB2312" w:cs="仿宋_GB2312"/>
          <w:sz w:val="32"/>
          <w:szCs w:val="32"/>
        </w:rPr>
        <w:t>广播电视传输主干线光纤链路维护；六是</w:t>
      </w:r>
      <w:r>
        <w:rPr>
          <w:rStyle w:val="35"/>
          <w:rFonts w:hint="eastAsia" w:ascii="仿宋_GB2312" w:hAnsi="仿宋_GB2312" w:eastAsia="仿宋_GB2312" w:cs="仿宋_GB2312"/>
          <w:sz w:val="32"/>
          <w:szCs w:val="32"/>
        </w:rPr>
        <w:t>为560户低保户提供免费或低收费收看有线数字电视服务；七是做好</w:t>
      </w:r>
      <w:r>
        <w:rPr>
          <w:rFonts w:hint="eastAsia" w:ascii="仿宋_GB2312" w:eastAsia="仿宋_GB2312"/>
          <w:sz w:val="32"/>
          <w:szCs w:val="32"/>
        </w:rPr>
        <w:t>乡镇广播村村响终端维修维护工作。八是完成乡镇、村前端机房监控安装，实现全区12个乡镇139个行政村24小时实时监控；</w:t>
      </w:r>
      <w:r>
        <w:rPr>
          <w:rFonts w:hint="eastAsia" w:ascii="仿宋_GB2312" w:hAnsi="仿宋" w:eastAsia="仿宋_GB2312" w:cs="仿宋"/>
          <w:color w:val="000000"/>
          <w:sz w:val="32"/>
          <w:szCs w:val="32"/>
        </w:rPr>
        <w:t>九是完成全区脱贫攻坚与乡村振兴有效衔接应急广播巩固</w:t>
      </w:r>
      <w:r>
        <w:rPr>
          <w:rFonts w:hint="eastAsia" w:ascii="仿宋" w:hAnsi="仿宋" w:eastAsia="仿宋" w:cs="仿宋"/>
          <w:color w:val="000000"/>
          <w:sz w:val="32"/>
          <w:szCs w:val="32"/>
        </w:rPr>
        <w:t>提升；十是保障区委区政府交办的临时性、突发性的广播电视应急保障运行维护任务。</w:t>
      </w:r>
    </w:p>
    <w:p>
      <w:pPr>
        <w:spacing w:line="620" w:lineRule="exact"/>
        <w:ind w:firstLine="642" w:firstLineChars="200"/>
        <w:rPr>
          <w:rFonts w:ascii="仿宋" w:hAnsi="仿宋" w:eastAsia="仿宋" w:cs="仿宋"/>
          <w:color w:val="000000"/>
          <w:sz w:val="32"/>
          <w:szCs w:val="32"/>
          <w:lang w:val="zh-CN"/>
        </w:rPr>
      </w:pPr>
      <w:r>
        <w:rPr>
          <w:rFonts w:hint="eastAsia" w:ascii="楷体" w:hAnsi="楷体" w:eastAsia="楷体" w:cs="楷体"/>
          <w:b/>
          <w:bCs/>
          <w:color w:val="000000"/>
          <w:sz w:val="32"/>
          <w:szCs w:val="32"/>
          <w:lang w:val="zh-CN"/>
        </w:rPr>
        <w:t>（二）项目效益情况。</w:t>
      </w:r>
      <w:r>
        <w:rPr>
          <w:rFonts w:hint="eastAsia" w:ascii="仿宋" w:hAnsi="仿宋" w:eastAsia="仿宋" w:cs="仿宋"/>
          <w:color w:val="000000"/>
          <w:sz w:val="32"/>
          <w:szCs w:val="32"/>
        </w:rPr>
        <w:t>广播电视户户通运行维护项目的持续实施，保证了全区广大偏远山区群众能清晰收听收看广播电视节目，让中央及省市节目以及朝天本地广播电视节目走进千家万户。及时将区委区政府的声音传递到全区群众中，同时让重要紧急信息可及时传达到广大群众中间，对突发事件处理提供了高效可靠的安全渠道。社会公众对收看收听质量满意度逐年提高，满足了社会公众对广播节目收听和电视节目收看的基本公共文化服务需求。</w:t>
      </w:r>
    </w:p>
    <w:p>
      <w:pPr>
        <w:spacing w:line="620" w:lineRule="exact"/>
        <w:ind w:firstLine="642"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五、评价结论及建议</w:t>
      </w:r>
    </w:p>
    <w:p>
      <w:pPr>
        <w:spacing w:line="620" w:lineRule="exact"/>
        <w:ind w:firstLine="642" w:firstLineChars="200"/>
        <w:rPr>
          <w:rFonts w:ascii="仿宋" w:hAnsi="仿宋" w:eastAsia="仿宋" w:cs="仿宋"/>
          <w:color w:val="000000"/>
          <w:sz w:val="32"/>
          <w:szCs w:val="32"/>
        </w:rPr>
      </w:pPr>
      <w:r>
        <w:rPr>
          <w:rFonts w:hint="eastAsia" w:ascii="楷体" w:hAnsi="楷体" w:eastAsia="楷体" w:cs="楷体"/>
          <w:b/>
          <w:bCs/>
          <w:color w:val="000000"/>
          <w:sz w:val="32"/>
          <w:szCs w:val="32"/>
          <w:lang w:val="zh-CN"/>
        </w:rPr>
        <w:t>（一）评价结论。</w:t>
      </w:r>
      <w:r>
        <w:rPr>
          <w:rFonts w:hint="eastAsia" w:ascii="仿宋" w:hAnsi="仿宋" w:eastAsia="仿宋" w:cs="仿宋"/>
          <w:color w:val="000000"/>
          <w:sz w:val="32"/>
          <w:szCs w:val="32"/>
        </w:rPr>
        <w:t>对照绩效评价指标体系，2021年广播电视运行维护目标明确，管理到位，资金使用规范，按照项目规定的时间高效、有序地完成了各项目标任务，评价结果为优。</w:t>
      </w:r>
    </w:p>
    <w:p>
      <w:pPr>
        <w:spacing w:line="576" w:lineRule="exact"/>
        <w:ind w:firstLine="642" w:firstLineChars="200"/>
        <w:rPr>
          <w:rFonts w:ascii="仿宋" w:hAnsi="仿宋" w:eastAsia="仿宋" w:cs="仿宋"/>
          <w:color w:val="000000"/>
          <w:sz w:val="32"/>
          <w:szCs w:val="32"/>
        </w:rPr>
      </w:pPr>
      <w:r>
        <w:rPr>
          <w:rFonts w:hint="eastAsia" w:ascii="楷体" w:hAnsi="楷体" w:eastAsia="楷体" w:cs="楷体"/>
          <w:b/>
          <w:bCs/>
          <w:color w:val="000000"/>
          <w:sz w:val="32"/>
          <w:szCs w:val="32"/>
          <w:lang w:val="zh-CN"/>
        </w:rPr>
        <w:t>（二）存在的问题。</w:t>
      </w:r>
      <w:r>
        <w:rPr>
          <w:rFonts w:hint="eastAsia" w:ascii="仿宋" w:hAnsi="仿宋" w:eastAsia="仿宋" w:cs="仿宋"/>
          <w:color w:val="000000"/>
          <w:sz w:val="32"/>
          <w:szCs w:val="32"/>
        </w:rPr>
        <w:t>一是我区广播电视公共服务体系运行维护维修量大、面宽，缺乏专业技术维修人员；二是部分乡镇虽建有公共服务网点，但无固定场所、无专职人员，网点作用发挥不够；三是目前“户户通”运行维护资金严重不足。</w:t>
      </w:r>
    </w:p>
    <w:p>
      <w:pPr>
        <w:spacing w:line="576" w:lineRule="exact"/>
        <w:ind w:firstLine="642"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lang w:val="zh-CN"/>
        </w:rPr>
        <w:t>（三）相关建议。</w:t>
      </w:r>
      <w:r>
        <w:rPr>
          <w:rFonts w:hint="eastAsia" w:ascii="仿宋" w:hAnsi="仿宋" w:eastAsia="仿宋" w:cs="仿宋"/>
          <w:color w:val="000000"/>
          <w:sz w:val="32"/>
          <w:szCs w:val="32"/>
        </w:rPr>
        <w:t>一是健全运维体系。研究形成一套行之有效的公共服务运行维护管理体系，确保广播电视优质通、长期通；二是加强人才队伍建设。优化队伍结构，努力提高专业人员政治素质、业务素质,多渠道培养一支思想先进、业务过硬的维修队伍。三是积极主动寻求政策、资金、技术支持，建设形式多样、快捷高效、贴近群众的公共服务体系，努力缩小广播电视公共服务城乡差距，充分保障偏远山区群众享受广播电视基本公共服务权益，不断满足广大群众对美好生活的需求。</w:t>
      </w:r>
    </w:p>
    <w:p>
      <w:pPr>
        <w:pStyle w:val="2"/>
        <w:rPr>
          <w:rFonts w:hint="eastAsia"/>
        </w:rPr>
      </w:pPr>
    </w:p>
    <w:tbl>
      <w:tblPr>
        <w:tblStyle w:val="15"/>
        <w:tblW w:w="12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080"/>
        <w:gridCol w:w="1413"/>
        <w:gridCol w:w="1995"/>
        <w:gridCol w:w="2373"/>
        <w:gridCol w:w="2533"/>
        <w:gridCol w:w="2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04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村村通运行维护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04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朝天区文化旅游和体育局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广播村村响维修维护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高山无线发射基站维修维护15座                                           34000户直播卫星运行维护                                                             26000户有线电视运行维护</w:t>
            </w:r>
          </w:p>
        </w:tc>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广播村村响维修维护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高山无线发射基站维修维护15座                                          34000户直播卫星运行维护                                                             26000户有线电视运行维护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基站运行维护</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≥15座</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‘=15座</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直播卫星运行维护</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≥34000户</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有线电视运行维护</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≥26000户</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确保电视用户正常收看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确保广播正常转播</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任务完成及时率（≥**%）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资金控制在预算内</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≤189.18万元</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189.18万元</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解决全区人民听广播、看电视难的问题</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满足了社会公众对广播节目收听和电视节目收看的基本公共文化服务需求。</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2"/>
        <w:spacing w:before="93"/>
      </w:pPr>
    </w:p>
    <w:p>
      <w:pPr>
        <w:pStyle w:val="36"/>
        <w:spacing w:line="240" w:lineRule="auto"/>
        <w:jc w:val="center"/>
        <w:rPr>
          <w:rFonts w:hint="eastAsia" w:ascii="宋体" w:hAnsi="宋体" w:cs="方正小标宋简体"/>
          <w:b/>
          <w:sz w:val="36"/>
          <w:szCs w:val="36"/>
        </w:rPr>
      </w:pPr>
    </w:p>
    <w:p>
      <w:pPr>
        <w:pStyle w:val="36"/>
        <w:spacing w:line="240" w:lineRule="auto"/>
        <w:jc w:val="center"/>
        <w:rPr>
          <w:rFonts w:hint="eastAsia" w:ascii="宋体" w:hAnsi="宋体" w:cs="方正小标宋简体"/>
          <w:b/>
          <w:sz w:val="36"/>
          <w:szCs w:val="36"/>
        </w:rPr>
      </w:pPr>
    </w:p>
    <w:p>
      <w:pPr>
        <w:pStyle w:val="36"/>
        <w:spacing w:line="240" w:lineRule="auto"/>
        <w:jc w:val="center"/>
        <w:rPr>
          <w:rFonts w:hint="eastAsia" w:ascii="宋体" w:hAnsi="宋体" w:cs="方正小标宋简体"/>
          <w:b/>
          <w:sz w:val="36"/>
          <w:szCs w:val="36"/>
        </w:rPr>
      </w:pP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广元市朝天区文化旅游和体育局</w:t>
      </w: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关于国家全域旅游示范区创建项目绩效评价的报告</w:t>
      </w:r>
    </w:p>
    <w:p>
      <w:pPr>
        <w:adjustRightInd w:val="0"/>
        <w:snapToGrid w:val="0"/>
        <w:spacing w:line="520" w:lineRule="exact"/>
        <w:ind w:firstLine="960" w:firstLineChars="300"/>
        <w:rPr>
          <w:rFonts w:hint="eastAsia" w:ascii="黑体" w:hAnsi="宋体" w:eastAsia="黑体"/>
          <w:sz w:val="32"/>
          <w:szCs w:val="32"/>
        </w:rPr>
      </w:pPr>
    </w:p>
    <w:p>
      <w:pPr>
        <w:adjustRightInd w:val="0"/>
        <w:snapToGrid w:val="0"/>
        <w:spacing w:line="520" w:lineRule="exact"/>
        <w:ind w:firstLine="960" w:firstLineChars="3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576" w:lineRule="exact"/>
        <w:ind w:firstLine="642" w:firstLineChars="200"/>
        <w:rPr>
          <w:rFonts w:hint="eastAsia" w:ascii="仿宋_GB2312" w:hAnsi="仿宋_GB2312" w:eastAsia="仿宋_GB2312" w:cs="仿宋_GB2312"/>
          <w:color w:val="FF0000"/>
          <w:sz w:val="32"/>
          <w:szCs w:val="32"/>
          <w:lang w:val="zh-CN"/>
        </w:rPr>
      </w:pPr>
      <w:r>
        <w:rPr>
          <w:rFonts w:hint="eastAsia" w:ascii="楷体_GB2312" w:hAnsi="宋体" w:eastAsia="楷体_GB2312"/>
          <w:b/>
          <w:sz w:val="32"/>
          <w:szCs w:val="32"/>
          <w:lang w:val="zh-CN"/>
        </w:rPr>
        <w:t>（一）项目资金申报及批复情况。</w:t>
      </w:r>
      <w:r>
        <w:rPr>
          <w:rFonts w:hint="eastAsia" w:ascii="仿宋_GB2312" w:eastAsia="仿宋_GB2312"/>
          <w:sz w:val="32"/>
          <w:szCs w:val="32"/>
        </w:rPr>
        <w:t>为进一步加快全区旅游业与信息产业融合发展、提升旅游产业素质及景区信息化服务水平，我</w:t>
      </w:r>
      <w:r>
        <w:rPr>
          <w:rFonts w:hint="eastAsia" w:ascii="仿宋_GB2312" w:hAnsi="宋体" w:eastAsia="仿宋_GB2312"/>
          <w:sz w:val="32"/>
          <w:szCs w:val="32"/>
          <w:lang w:val="zh-CN"/>
        </w:rPr>
        <w:t>局</w:t>
      </w:r>
      <w:r>
        <w:rPr>
          <w:rFonts w:hint="eastAsia" w:ascii="仿宋_GB2312" w:eastAsia="仿宋_GB2312"/>
          <w:sz w:val="32"/>
          <w:szCs w:val="32"/>
        </w:rPr>
        <w:t>于2017年12月开始实施国家全域旅游项目。</w:t>
      </w:r>
      <w:r>
        <w:rPr>
          <w:rFonts w:hint="eastAsia" w:ascii="仿宋_GB2312" w:hAnsi="宋体" w:eastAsia="仿宋_GB2312"/>
          <w:sz w:val="32"/>
          <w:szCs w:val="32"/>
          <w:lang w:val="zh-CN"/>
        </w:rPr>
        <w:t>根据上级要求编报了</w:t>
      </w:r>
      <w:r>
        <w:rPr>
          <w:rFonts w:hint="eastAsia" w:ascii="仿宋_GB2312" w:hAnsi="宋体" w:eastAsia="仿宋_GB2312"/>
          <w:sz w:val="32"/>
          <w:szCs w:val="32"/>
        </w:rPr>
        <w:t>国家全域旅游项目基金方案，</w:t>
      </w:r>
      <w:r>
        <w:rPr>
          <w:rFonts w:hint="eastAsia" w:ascii="仿宋_GB2312" w:hAnsi="宋体" w:eastAsia="仿宋_GB2312"/>
          <w:sz w:val="32"/>
          <w:szCs w:val="32"/>
          <w:lang w:val="zh-CN"/>
        </w:rPr>
        <w:t>方案上报省财政厅、省文化和旅游厅审核通过并以（川财教〔20</w:t>
      </w:r>
      <w:r>
        <w:rPr>
          <w:rFonts w:hint="eastAsia" w:ascii="仿宋_GB2312" w:hAnsi="宋体" w:eastAsia="仿宋_GB2312"/>
          <w:sz w:val="32"/>
          <w:szCs w:val="32"/>
        </w:rPr>
        <w:t>20</w:t>
      </w:r>
      <w:r>
        <w:rPr>
          <w:rFonts w:hint="eastAsia" w:ascii="仿宋_GB2312" w:hAnsi="宋体" w:eastAsia="仿宋_GB2312"/>
          <w:sz w:val="32"/>
          <w:szCs w:val="32"/>
          <w:lang w:val="zh-CN"/>
        </w:rPr>
        <w:t>〕</w:t>
      </w:r>
      <w:r>
        <w:rPr>
          <w:rFonts w:hint="eastAsia" w:ascii="仿宋_GB2312" w:hAnsi="宋体" w:eastAsia="仿宋_GB2312"/>
          <w:sz w:val="32"/>
          <w:szCs w:val="32"/>
        </w:rPr>
        <w:t xml:space="preserve"> </w:t>
      </w:r>
      <w:r>
        <w:rPr>
          <w:rFonts w:hint="eastAsia" w:ascii="仿宋_GB2312" w:hAnsi="宋体" w:eastAsia="仿宋_GB2312"/>
          <w:sz w:val="32"/>
          <w:szCs w:val="32"/>
          <w:lang w:val="zh-CN"/>
        </w:rPr>
        <w:t>号）文件下达了专项经费预算。</w:t>
      </w:r>
    </w:p>
    <w:p>
      <w:pPr>
        <w:snapToGrid w:val="0"/>
        <w:spacing w:line="580" w:lineRule="exact"/>
        <w:ind w:firstLine="642" w:firstLineChars="200"/>
        <w:rPr>
          <w:rFonts w:hint="eastAsia" w:ascii="仿宋_GB2312" w:hAnsi="宋体" w:eastAsia="仿宋_GB2312"/>
          <w:sz w:val="32"/>
          <w:szCs w:val="32"/>
        </w:rPr>
      </w:pPr>
      <w:r>
        <w:rPr>
          <w:rFonts w:hint="eastAsia" w:ascii="楷体_GB2312" w:hAnsi="宋体" w:eastAsia="楷体_GB2312"/>
          <w:b/>
          <w:sz w:val="32"/>
          <w:szCs w:val="32"/>
          <w:lang w:val="zh-CN"/>
        </w:rPr>
        <w:t>（二）项目绩效目标。</w:t>
      </w:r>
      <w:r>
        <w:rPr>
          <w:rFonts w:hint="eastAsia" w:ascii="仿宋_GB2312" w:eastAsia="仿宋_GB2312"/>
          <w:sz w:val="32"/>
          <w:szCs w:val="32"/>
          <w:lang w:val="zh-CN"/>
        </w:rPr>
        <w:t>朝天旅游大数据中心建设：</w:t>
      </w:r>
      <w:r>
        <w:rPr>
          <w:rFonts w:hint="eastAsia" w:ascii="仿宋_GB2312" w:eastAsia="仿宋_GB2312"/>
          <w:sz w:val="32"/>
          <w:szCs w:val="32"/>
        </w:rPr>
        <w:t>智慧旅游建设及运营、旅游大数据中心装修及安装、旅游大数据中心软件开发、旅游大数据中心MAS平台建设及接口分享、智能终端机旅游系统、智慧旅游地图及小程序开发等。</w:t>
      </w:r>
    </w:p>
    <w:p>
      <w:pPr>
        <w:adjustRightInd w:val="0"/>
        <w:snapToGrid w:val="0"/>
        <w:spacing w:line="52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2</w:t>
      </w:r>
      <w:r>
        <w:rPr>
          <w:rFonts w:hint="eastAsia" w:ascii="仿宋_GB2312" w:hAnsi="宋体" w:eastAsia="仿宋_GB2312"/>
          <w:sz w:val="32"/>
          <w:szCs w:val="32"/>
        </w:rPr>
        <w:t>021</w:t>
      </w:r>
      <w:r>
        <w:rPr>
          <w:rFonts w:hint="eastAsia" w:ascii="仿宋_GB2312" w:hAnsi="宋体" w:eastAsia="仿宋_GB2312"/>
          <w:sz w:val="32"/>
          <w:szCs w:val="32"/>
          <w:lang w:val="zh-CN"/>
        </w:rPr>
        <w:t>年</w:t>
      </w:r>
      <w:r>
        <w:rPr>
          <w:rFonts w:hint="eastAsia" w:ascii="仿宋_GB2312" w:hAnsi="宋体" w:eastAsia="仿宋_GB2312"/>
          <w:sz w:val="32"/>
          <w:szCs w:val="32"/>
        </w:rPr>
        <w:t>国家全域旅游示范区创建资金</w:t>
      </w:r>
      <w:r>
        <w:rPr>
          <w:rFonts w:hint="eastAsia" w:ascii="仿宋_GB2312" w:hAnsi="宋体" w:eastAsia="仿宋_GB2312"/>
          <w:sz w:val="32"/>
          <w:szCs w:val="32"/>
          <w:lang w:val="zh-CN"/>
        </w:rPr>
        <w:t>全部按照项目要求进行专项使用。</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76" w:lineRule="exact"/>
        <w:ind w:firstLine="720"/>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（一）资金计划、到位及使用情况</w:t>
      </w:r>
    </w:p>
    <w:p>
      <w:pPr>
        <w:spacing w:line="576"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年，我局到位</w:t>
      </w:r>
      <w:r>
        <w:rPr>
          <w:rFonts w:hint="eastAsia" w:ascii="仿宋_GB2312" w:hAnsi="仿宋_GB2312" w:eastAsia="仿宋_GB2312" w:cs="仿宋_GB2312"/>
          <w:sz w:val="32"/>
          <w:szCs w:val="32"/>
        </w:rPr>
        <w:t>国家全域旅游示范区创建资金160</w:t>
      </w:r>
      <w:r>
        <w:rPr>
          <w:rFonts w:hint="eastAsia" w:ascii="仿宋_GB2312" w:hAnsi="仿宋_GB2312" w:eastAsia="仿宋_GB2312" w:cs="仿宋_GB2312"/>
          <w:sz w:val="32"/>
          <w:szCs w:val="32"/>
          <w:lang w:val="zh-CN"/>
        </w:rPr>
        <w:t>万元,资金到位率100%。</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该</w:t>
      </w:r>
      <w:r>
        <w:rPr>
          <w:rFonts w:hint="eastAsia" w:ascii="仿宋_GB2312" w:hAnsi="宋体" w:eastAsia="仿宋_GB2312"/>
          <w:sz w:val="32"/>
          <w:szCs w:val="32"/>
        </w:rPr>
        <w:t>项目总投资942.83万元，其中</w:t>
      </w:r>
      <w:r>
        <w:rPr>
          <w:rFonts w:hint="eastAsia" w:ascii="仿宋_GB2312" w:hAnsi="仿宋_GB2312" w:eastAsia="仿宋_GB2312" w:cs="仿宋_GB2312"/>
          <w:sz w:val="32"/>
          <w:szCs w:val="32"/>
        </w:rPr>
        <w:t>国家全域旅游项目资金160</w:t>
      </w:r>
      <w:r>
        <w:rPr>
          <w:rFonts w:hint="eastAsia" w:ascii="仿宋_GB2312" w:hAnsi="仿宋_GB2312" w:eastAsia="仿宋_GB2312" w:cs="仿宋_GB2312"/>
          <w:sz w:val="32"/>
          <w:szCs w:val="32"/>
          <w:lang w:val="zh-CN"/>
        </w:rPr>
        <w:t>万元，</w:t>
      </w:r>
      <w:r>
        <w:rPr>
          <w:rFonts w:hint="eastAsia" w:ascii="仿宋_GB2312" w:hAnsi="宋体" w:eastAsia="仿宋_GB2312"/>
          <w:sz w:val="32"/>
          <w:szCs w:val="32"/>
        </w:rPr>
        <w:t>其余资金由项目实施单位自筹解决。该</w:t>
      </w:r>
      <w:r>
        <w:rPr>
          <w:rFonts w:hint="eastAsia" w:ascii="仿宋_GB2312" w:hAnsi="仿宋_GB2312" w:eastAsia="仿宋_GB2312" w:cs="仿宋_GB2312"/>
          <w:sz w:val="32"/>
          <w:szCs w:val="32"/>
          <w:lang w:val="zh-CN"/>
        </w:rPr>
        <w:t>项目资金执行率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所有资金的支付合规合法，与规划方案相符。</w:t>
      </w:r>
    </w:p>
    <w:p>
      <w:pPr>
        <w:adjustRightInd w:val="0"/>
        <w:snapToGrid w:val="0"/>
        <w:spacing w:line="52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（二）项目财务管理情况</w:t>
      </w:r>
    </w:p>
    <w:p>
      <w:pPr>
        <w:spacing w:line="576"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为使用好</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年我</w:t>
      </w:r>
      <w:r>
        <w:rPr>
          <w:rFonts w:hint="eastAsia" w:ascii="仿宋_GB2312" w:hAnsi="仿宋_GB2312" w:eastAsia="仿宋_GB2312" w:cs="仿宋_GB2312"/>
          <w:sz w:val="32"/>
          <w:szCs w:val="32"/>
        </w:rPr>
        <w:t>国家全域旅游示范区创建项目资金</w:t>
      </w:r>
      <w:r>
        <w:rPr>
          <w:rFonts w:hint="eastAsia" w:ascii="仿宋_GB2312" w:hAnsi="仿宋_GB2312" w:eastAsia="仿宋_GB2312" w:cs="仿宋_GB2312"/>
          <w:color w:val="000000"/>
          <w:sz w:val="32"/>
          <w:szCs w:val="32"/>
          <w:lang w:val="zh-CN"/>
        </w:rPr>
        <w:t>，我局在开展认真细致的摸底调查基础上，根据各项目实施村的实际情况，上报了项目资金分配实施方案，经区领导签批后，按照项目建设标准及工作要求进行实施。我局严格按照专项资金管理办法执行，实行专款专用，没有挪用、截留现象。</w:t>
      </w:r>
    </w:p>
    <w:p>
      <w:pPr>
        <w:adjustRightInd w:val="0"/>
        <w:snapToGrid w:val="0"/>
        <w:spacing w:line="52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（三）项目组织实施情况</w:t>
      </w:r>
    </w:p>
    <w:p>
      <w:pPr>
        <w:spacing w:line="576"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在项目实施过程中，我局组成专门班子，实行领导亲自抓，专人具体负责，对项目统筹规划，统一管理，编制了项目实施方案，明确了项目建设地点、建设内容、投资规模、进度安排、建设方式、保障措施等，确保规划项目的科学性、实用性和效益性；制定并完善了工程建设、设备采购等管理制度，严格按照中央、省级专项资金项目建设的相关要求组织了实施；资金拨付严格按财政资金管理办法相关规定进行。</w:t>
      </w:r>
    </w:p>
    <w:p>
      <w:pPr>
        <w:adjustRightInd w:val="0"/>
        <w:snapToGrid w:val="0"/>
        <w:spacing w:line="520" w:lineRule="exact"/>
        <w:ind w:firstLine="720"/>
        <w:rPr>
          <w:rFonts w:ascii="仿宋_GB2312" w:hAnsi="宋体"/>
          <w:color w:val="000000"/>
          <w:sz w:val="32"/>
          <w:szCs w:val="32"/>
          <w:lang w:val="zh-CN"/>
        </w:rPr>
      </w:pPr>
      <w:r>
        <w:rPr>
          <w:rFonts w:hint="eastAsia" w:ascii="黑体" w:hAnsi="宋体" w:eastAsia="黑体"/>
          <w:color w:val="000000"/>
          <w:sz w:val="32"/>
          <w:szCs w:val="32"/>
        </w:rPr>
        <w:t>三、目标完成情况</w:t>
      </w:r>
      <w:r>
        <w:rPr>
          <w:rFonts w:hint="eastAsia" w:ascii="仿宋_GB2312" w:hAnsi="宋体"/>
          <w:color w:val="000000"/>
          <w:sz w:val="32"/>
          <w:szCs w:val="32"/>
          <w:lang w:val="zh-CN"/>
        </w:rPr>
        <w:tab/>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一是完成朝天区</w:t>
      </w:r>
      <w:r>
        <w:rPr>
          <w:rFonts w:hint="eastAsia" w:ascii="仿宋_GB2312" w:eastAsia="仿宋_GB2312"/>
          <w:sz w:val="32"/>
          <w:szCs w:val="32"/>
        </w:rPr>
        <w:t>智慧旅游建设及运营项目、旅游大数据中心软件开发、大数据中心MAS平台建设及接口分享。</w:t>
      </w:r>
      <w:r>
        <w:rPr>
          <w:rFonts w:hint="eastAsia" w:ascii="仿宋_GB2312" w:hAnsi="宋体" w:eastAsia="仿宋_GB2312"/>
          <w:sz w:val="32"/>
          <w:szCs w:val="32"/>
        </w:rPr>
        <w:t>二是完成</w:t>
      </w:r>
      <w:r>
        <w:rPr>
          <w:rFonts w:hint="eastAsia" w:ascii="仿宋_GB2312" w:eastAsia="仿宋_GB2312"/>
          <w:sz w:val="32"/>
          <w:szCs w:val="32"/>
        </w:rPr>
        <w:t>智能终端机旅游系统、智慧旅游地图及小程序开发等。</w:t>
      </w:r>
    </w:p>
    <w:p>
      <w:pPr>
        <w:numPr>
          <w:ilvl w:val="0"/>
          <w:numId w:val="6"/>
        </w:numPr>
        <w:adjustRightInd w:val="0"/>
        <w:snapToGrid w:val="0"/>
        <w:spacing w:line="520" w:lineRule="exact"/>
        <w:ind w:firstLine="720"/>
        <w:rPr>
          <w:rFonts w:ascii="黑体" w:hAnsi="宋体" w:eastAsia="黑体"/>
          <w:color w:val="000000"/>
          <w:sz w:val="32"/>
          <w:szCs w:val="32"/>
        </w:rPr>
      </w:pPr>
      <w:r>
        <w:rPr>
          <w:rFonts w:hint="eastAsia" w:ascii="黑体" w:hAnsi="宋体" w:eastAsia="黑体"/>
          <w:color w:val="000000"/>
          <w:sz w:val="32"/>
          <w:szCs w:val="32"/>
        </w:rPr>
        <w:t>项目效益情况</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经济效益：</w:t>
      </w:r>
      <w:r>
        <w:rPr>
          <w:rFonts w:hint="eastAsia" w:ascii="仿宋_GB2312" w:eastAsia="仿宋_GB2312"/>
          <w:sz w:val="32"/>
          <w:szCs w:val="32"/>
        </w:rPr>
        <w:t>通过旅游大数据平台建设，有效掌握游客来源和游客到朝天后的行为分析。比如：过夜情况、线路选择情况、出行方式等有效的数据，为后续全域客流管理和精准营销提供数据支撑。</w:t>
      </w:r>
    </w:p>
    <w:p>
      <w:pPr>
        <w:spacing w:line="520" w:lineRule="exact"/>
        <w:ind w:firstLine="640" w:firstLineChars="200"/>
        <w:rPr>
          <w:rFonts w:hint="eastAsia" w:ascii="仿宋_GB2312" w:eastAsia="仿宋_GB2312"/>
          <w:sz w:val="32"/>
          <w:szCs w:val="32"/>
        </w:rPr>
      </w:pPr>
      <w:r>
        <w:rPr>
          <w:rFonts w:hint="eastAsia" w:ascii="仿宋_GB2312" w:hAnsi="宋体" w:eastAsia="仿宋_GB2312"/>
          <w:sz w:val="32"/>
          <w:szCs w:val="32"/>
        </w:rPr>
        <w:t>社会效益：</w:t>
      </w:r>
      <w:r>
        <w:rPr>
          <w:rFonts w:hint="eastAsia" w:ascii="仿宋_GB2312" w:eastAsia="仿宋_GB2312"/>
          <w:sz w:val="32"/>
          <w:szCs w:val="32"/>
        </w:rPr>
        <w:t>通过游客来朝天的吃住行，游购娱的相关消费数据分析，对全区景区、餐饮饭店、住宿酒店、购物场所、交通站点、娱乐场所等提供有效的排行指数，通过朝天旅游微信公众平台和云游朝天小程序将我们优质的产品和企业推送给相关游客，提高精准服务的目的。</w:t>
      </w:r>
    </w:p>
    <w:p>
      <w:pPr>
        <w:spacing w:line="520" w:lineRule="exact"/>
        <w:ind w:firstLine="640" w:firstLineChars="200"/>
        <w:rPr>
          <w:rFonts w:hint="eastAsia" w:ascii="仿宋_GB2312" w:eastAsia="仿宋_GB2312"/>
          <w:sz w:val="32"/>
          <w:szCs w:val="32"/>
        </w:rPr>
      </w:pPr>
      <w:r>
        <w:rPr>
          <w:rFonts w:hint="eastAsia" w:ascii="仿宋_GB2312" w:hAnsi="宋体" w:eastAsia="仿宋_GB2312"/>
          <w:sz w:val="32"/>
          <w:szCs w:val="32"/>
        </w:rPr>
        <w:t>可持续影响：</w:t>
      </w:r>
      <w:r>
        <w:rPr>
          <w:rFonts w:hint="eastAsia" w:ascii="仿宋_GB2312" w:eastAsia="仿宋_GB2312"/>
          <w:sz w:val="32"/>
          <w:szCs w:val="32"/>
        </w:rPr>
        <w:t>针对旅游管理者、游客和涉旅企业三大群体，长期提供智慧监管、智慧服务、智慧运营和应急指挥四大功能。</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满意度指标完成情况分析：旅游行业经营主体满意度达到98%,涉旅企业满意度达到97%，游客满意度达到98%。</w:t>
      </w:r>
    </w:p>
    <w:p>
      <w:pPr>
        <w:adjustRightInd w:val="0"/>
        <w:snapToGrid w:val="0"/>
        <w:spacing w:line="520" w:lineRule="exact"/>
        <w:ind w:firstLine="720"/>
        <w:rPr>
          <w:rFonts w:ascii="黑体" w:hAnsi="宋体" w:eastAsia="黑体"/>
          <w:color w:val="000000"/>
          <w:sz w:val="32"/>
          <w:szCs w:val="32"/>
        </w:rPr>
      </w:pPr>
      <w:r>
        <w:rPr>
          <w:rFonts w:hint="eastAsia" w:ascii="黑体" w:hAnsi="宋体" w:eastAsia="黑体"/>
          <w:color w:val="000000"/>
          <w:sz w:val="32"/>
          <w:szCs w:val="32"/>
        </w:rPr>
        <w:t>五、工作建议</w:t>
      </w:r>
    </w:p>
    <w:p>
      <w:pPr>
        <w:adjustRightInd w:val="0"/>
        <w:snapToGrid w:val="0"/>
        <w:spacing w:line="60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由于我局财力有限，资金投入主要依靠国家、省、市级财政项目补助，国家全域旅游创建与相关要求还存在一定的差距。</w:t>
      </w:r>
      <w:r>
        <w:rPr>
          <w:rFonts w:hint="eastAsia" w:ascii="仿宋_GB2312" w:hAnsi="仿宋_GB2312" w:eastAsia="仿宋_GB2312" w:cs="仿宋_GB2312"/>
          <w:color w:val="000000"/>
          <w:sz w:val="32"/>
          <w:szCs w:val="32"/>
          <w:lang w:val="zh-CN"/>
        </w:rPr>
        <w:t>建议上级文旅部门加大对我局文化和旅游</w:t>
      </w:r>
      <w:r>
        <w:rPr>
          <w:rFonts w:hint="eastAsia"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lang w:val="zh-CN"/>
        </w:rPr>
        <w:t>专项资金的</w:t>
      </w:r>
      <w:r>
        <w:rPr>
          <w:rFonts w:hint="eastAsia" w:ascii="仿宋_GB2312" w:hAnsi="仿宋_GB2312" w:eastAsia="仿宋_GB2312" w:cs="仿宋_GB2312"/>
          <w:color w:val="000000"/>
          <w:sz w:val="32"/>
          <w:szCs w:val="32"/>
        </w:rPr>
        <w:t>投入。</w:t>
      </w:r>
    </w:p>
    <w:p>
      <w:pPr>
        <w:pStyle w:val="2"/>
        <w:rPr>
          <w:rFonts w:hint="eastAsia"/>
        </w:rPr>
      </w:pPr>
    </w:p>
    <w:tbl>
      <w:tblPr>
        <w:tblStyle w:val="15"/>
        <w:tblW w:w="12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80"/>
        <w:gridCol w:w="1410"/>
        <w:gridCol w:w="1980"/>
        <w:gridCol w:w="2370"/>
        <w:gridCol w:w="253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0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国家全域旅游示范区创建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0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朝天区文化旅游和体育局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完成旅游风景道建设，完成水磨沟至大滩旅游环线全域标识系统建设，景区提升打造。</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完成旅游风景道建设，完成水磨沟至大滩旅游环线全域标识系统建设，景区提升打造。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旅游风景道建设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≥55公里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55公里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全域旅游标识系统建设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≥90处</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90处</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力争成功创建成国家全域旅游示范区</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全年12个月。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≤12个月</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预算范围内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≤160万元</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带动旅游收入增长率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带动就业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促进文旅产业实现高质量发展。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rPr>
      </w:pPr>
    </w:p>
    <w:p>
      <w:pPr>
        <w:jc w:val="center"/>
        <w:rPr>
          <w:rFonts w:hint="eastAsia" w:ascii="方正小标宋简体" w:hAnsi="方正小标宋简体" w:eastAsia="方正小标宋简体" w:cs="方正小标宋简体"/>
          <w:sz w:val="36"/>
          <w:szCs w:val="36"/>
        </w:rPr>
      </w:pP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广元市朝天区文化旅游和体育局</w:t>
      </w: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关于戏曲进乡村项目绩效自评报告</w:t>
      </w:r>
    </w:p>
    <w:p>
      <w:pPr>
        <w:pStyle w:val="2"/>
        <w:spacing w:before="93"/>
      </w:pPr>
    </w:p>
    <w:p>
      <w:pPr>
        <w:numPr>
          <w:ilvl w:val="0"/>
          <w:numId w:val="7"/>
        </w:numPr>
        <w:rPr>
          <w:rFonts w:ascii="黑体" w:hAnsi="黑体" w:eastAsia="黑体" w:cs="黑体"/>
          <w:sz w:val="32"/>
          <w:szCs w:val="32"/>
        </w:rPr>
      </w:pPr>
      <w:r>
        <w:rPr>
          <w:rFonts w:hint="eastAsia" w:ascii="黑体" w:hAnsi="黑体" w:eastAsia="黑体" w:cs="黑体"/>
          <w:sz w:val="32"/>
          <w:szCs w:val="32"/>
        </w:rPr>
        <w:t>基本情况</w:t>
      </w:r>
    </w:p>
    <w:p>
      <w:pPr>
        <w:numPr>
          <w:ilvl w:val="0"/>
          <w:numId w:val="8"/>
        </w:num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转移支付概况</w:t>
      </w:r>
    </w:p>
    <w:p>
      <w:pPr>
        <w:numPr>
          <w:ilvl w:val="0"/>
          <w:numId w:val="9"/>
        </w:numPr>
        <w:ind w:firstLine="640" w:firstLineChars="200"/>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政策背景</w:t>
      </w:r>
    </w:p>
    <w:p>
      <w:pPr>
        <w:pStyle w:val="30"/>
        <w:spacing w:line="520" w:lineRule="exact"/>
        <w:ind w:left="420" w:firstLine="480" w:firstLineChars="150"/>
        <w:rPr>
          <w:rFonts w:ascii="仿宋_GB2312" w:hAnsi="仿宋_GB2312" w:eastAsia="仿宋_GB2312" w:cs="仿宋_GB2312"/>
          <w:sz w:val="32"/>
        </w:rPr>
      </w:pPr>
      <w:r>
        <w:rPr>
          <w:rFonts w:hint="eastAsia" w:ascii="仿宋_GB2312" w:hAnsi="仿宋_GB2312" w:eastAsia="仿宋_GB2312" w:cs="仿宋_GB2312"/>
          <w:sz w:val="32"/>
        </w:rPr>
        <w:t>我区根据上级要求编报了我区2021年度濒危剧种免费或低价票演出项目建设方案，方案上报省财政厅、省文化和旅游厅审核通过并以（广朝财教〔2021〕63号）文件下达了专项经费预算。</w:t>
      </w:r>
    </w:p>
    <w:p>
      <w:pPr>
        <w:numPr>
          <w:ilvl w:val="0"/>
          <w:numId w:val="9"/>
        </w:numPr>
        <w:ind w:firstLine="642"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资金情况</w:t>
      </w:r>
    </w:p>
    <w:p>
      <w:pPr>
        <w:pStyle w:val="30"/>
        <w:spacing w:line="576"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送戏下乡项目所有资金均按相关规定由国家和地方财政预算，无自筹资金。2021年送戏下乡项目54万元，资金到位率100%。</w:t>
      </w:r>
    </w:p>
    <w:p>
      <w:pPr>
        <w:pStyle w:val="6"/>
      </w:pPr>
    </w:p>
    <w:p>
      <w:pPr>
        <w:numPr>
          <w:ilvl w:val="0"/>
          <w:numId w:val="8"/>
        </w:num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整体绩效目标情况</w:t>
      </w:r>
    </w:p>
    <w:p>
      <w:pPr>
        <w:pStyle w:val="30"/>
        <w:spacing w:line="576" w:lineRule="exact"/>
        <w:ind w:firstLine="566" w:firstLineChars="177"/>
        <w:rPr>
          <w:rFonts w:ascii="仿宋_GB2312" w:eastAsia="仿宋_GB2312"/>
          <w:color w:val="000000"/>
          <w:sz w:val="32"/>
          <w:szCs w:val="32"/>
        </w:rPr>
      </w:pPr>
      <w:r>
        <w:rPr>
          <w:rFonts w:hint="eastAsia" w:ascii="仿宋_GB2312" w:hAnsi="宋体" w:eastAsia="仿宋_GB2312" w:cs="宋体"/>
          <w:color w:val="000000"/>
          <w:sz w:val="32"/>
          <w:szCs w:val="32"/>
        </w:rPr>
        <w:t>2021年中央补助地方送戏下乡资金54万元</w:t>
      </w:r>
      <w:r>
        <w:rPr>
          <w:rFonts w:hint="eastAsia" w:ascii="仿宋_GB2312" w:hAnsi="仿宋_GB2312" w:eastAsia="仿宋_GB2312" w:cs="仿宋_GB2312"/>
          <w:sz w:val="32"/>
          <w:szCs w:val="32"/>
        </w:rPr>
        <w:t>（广朝财教〔2021〕6</w:t>
      </w:r>
      <w:r>
        <w:rPr>
          <w:rFonts w:hint="eastAsia" w:ascii="仿宋_GB2312" w:hAnsi="宋体" w:eastAsia="仿宋_GB2312" w:cs="宋体"/>
          <w:color w:val="000000"/>
          <w:sz w:val="32"/>
          <w:szCs w:val="32"/>
        </w:rPr>
        <w:t>3号文件下达了专项经费预算。1-12月完成任务108场次，</w:t>
      </w:r>
      <w:r>
        <w:rPr>
          <w:rFonts w:hint="eastAsia" w:ascii="仿宋_GB2312" w:eastAsia="仿宋_GB2312"/>
          <w:color w:val="000000"/>
          <w:sz w:val="32"/>
          <w:szCs w:val="32"/>
        </w:rPr>
        <w:t>每场演出补助标准核定为5000元。</w:t>
      </w:r>
    </w:p>
    <w:p>
      <w:pPr>
        <w:numPr>
          <w:ilvl w:val="0"/>
          <w:numId w:val="7"/>
        </w:numPr>
        <w:rPr>
          <w:rFonts w:ascii="黑体" w:hAnsi="黑体" w:eastAsia="黑体" w:cs="黑体"/>
          <w:sz w:val="32"/>
          <w:szCs w:val="32"/>
        </w:rPr>
      </w:pPr>
      <w:r>
        <w:rPr>
          <w:rFonts w:hint="eastAsia" w:ascii="黑体" w:hAnsi="黑体" w:eastAsia="黑体" w:cs="黑体"/>
          <w:sz w:val="32"/>
          <w:szCs w:val="32"/>
        </w:rPr>
        <w:t>综合评价结论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依据《关于开展2021年度中央对地方转移支付预算执行情况绩效自评工作的通知》（广朝财发（2021）63号）》要求，确定的2021年度送戏曲下乡项目的整体绩效情况，绩效自评开展绩效评价。通过项目实施的相关材料进行综合分析，2021年度送戏曲下乡项目实施取得预期效果,达到预期绩效目标要求。</w:t>
      </w:r>
    </w:p>
    <w:p>
      <w:pPr>
        <w:numPr>
          <w:ilvl w:val="0"/>
          <w:numId w:val="7"/>
        </w:numPr>
        <w:rPr>
          <w:rFonts w:ascii="黑体" w:hAnsi="黑体" w:eastAsia="黑体" w:cs="黑体"/>
          <w:sz w:val="32"/>
          <w:szCs w:val="32"/>
        </w:rPr>
      </w:pPr>
      <w:r>
        <w:rPr>
          <w:rFonts w:hint="eastAsia" w:ascii="黑体" w:hAnsi="黑体" w:eastAsia="黑体" w:cs="黑体"/>
          <w:sz w:val="32"/>
          <w:szCs w:val="32"/>
        </w:rPr>
        <w:t>绩效目标完成情况分析</w:t>
      </w:r>
    </w:p>
    <w:p>
      <w:pPr>
        <w:numPr>
          <w:ilvl w:val="0"/>
          <w:numId w:val="10"/>
        </w:numPr>
        <w:rPr>
          <w:rFonts w:ascii="黑体" w:hAnsi="黑体" w:eastAsia="黑体" w:cs="黑体"/>
          <w:sz w:val="32"/>
          <w:szCs w:val="32"/>
        </w:rPr>
      </w:pPr>
      <w:r>
        <w:rPr>
          <w:rFonts w:hint="eastAsia" w:ascii="黑体" w:hAnsi="黑体" w:eastAsia="黑体" w:cs="黑体"/>
          <w:sz w:val="32"/>
          <w:szCs w:val="32"/>
        </w:rPr>
        <w:t>资金情况分析</w:t>
      </w:r>
    </w:p>
    <w:p>
      <w:pPr>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rPr>
        <w:t>2021年中央补助地方送戏下乡资金54万</w:t>
      </w:r>
      <w:r>
        <w:rPr>
          <w:rFonts w:hint="eastAsia" w:hAnsi="宋体" w:cs="宋体"/>
          <w:color w:val="000000"/>
          <w:kern w:val="0"/>
          <w:sz w:val="32"/>
          <w:szCs w:val="32"/>
        </w:rPr>
        <w:t>元，</w:t>
      </w:r>
      <w:r>
        <w:rPr>
          <w:rFonts w:hint="eastAsia" w:ascii="仿宋_GB2312" w:hAnsi="仿宋_GB2312" w:eastAsia="仿宋_GB2312" w:cs="仿宋_GB2312"/>
          <w:sz w:val="32"/>
          <w:szCs w:val="32"/>
        </w:rPr>
        <w:t>广朝财教〔2021〕63号），资金来源为中央支持地方公共文化服务体系建设补助资金。</w:t>
      </w:r>
    </w:p>
    <w:p>
      <w:pPr>
        <w:numPr>
          <w:ilvl w:val="0"/>
          <w:numId w:val="10"/>
        </w:num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总体目标完成情况分析</w:t>
      </w:r>
    </w:p>
    <w:p>
      <w:pPr>
        <w:widowControl/>
        <w:spacing w:line="576" w:lineRule="exact"/>
        <w:ind w:firstLine="594"/>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rPr>
        <w:t>2021年中央补助地方送戏下乡资金54万元，任务108场次，1-12月完成108场次。</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（三）绩效指标完成情况分析</w:t>
      </w:r>
    </w:p>
    <w:p>
      <w:pPr>
        <w:widowControl/>
        <w:spacing w:line="576"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公共文化服务体系建设是一项惠民工程，关系群众享受优质文化生活，关系和谐小康社会建设。中央对基层公共文化服务体系建设的投入通过“送戏下乡”开展“送文化下乡”活动108场次。2021年区文化旅游和体育局精心筹备，组织优质戏剧文化演出剧目。演出剧目包括《传承》《粉墨春秋》《花好月圆》《国风古韵》等。艺术家们真实细腻、幽默生动的表演，丰富多彩的艺术表演形式赢得了广大群众的喝彩，让来看戏的村民热情高涨，络绎不绝。通过送戏下乡惠民演出，既丰富了老百姓的精神文化生活，又有效促进了我区新农村建设，同时也对助力我区脱贫攻坚，建设幸福美丽新朝天增光添彩。</w:t>
      </w:r>
    </w:p>
    <w:p>
      <w:pPr>
        <w:numPr>
          <w:ilvl w:val="0"/>
          <w:numId w:val="7"/>
        </w:numPr>
        <w:rPr>
          <w:rFonts w:ascii="黑体" w:hAnsi="黑体" w:eastAsia="黑体" w:cs="黑体"/>
          <w:sz w:val="32"/>
          <w:szCs w:val="32"/>
        </w:rPr>
      </w:pPr>
      <w:r>
        <w:rPr>
          <w:rFonts w:hint="eastAsia" w:ascii="黑体" w:hAnsi="黑体" w:eastAsia="黑体" w:cs="黑体"/>
          <w:sz w:val="32"/>
          <w:szCs w:val="32"/>
        </w:rPr>
        <w:t>发现的主要问题和改进措施</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（一）主要问题</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仿宋"/>
          <w:bCs/>
          <w:color w:val="000000"/>
          <w:sz w:val="32"/>
          <w:szCs w:val="32"/>
        </w:rPr>
        <w:t>一是缺乏地方文艺人才和文艺演出队伍。二是地方财力有限，投入公共文化服务体系建设资金不足。三是中央补助地方公共文化服务体系建设重点项目“送戏下乡”每场5000元的补助标准较低，完成任务较困难。四是文艺节目形式缺乏创新。现阶段“送戏下乡”的节目在形式上无新意，容易产生审美疲劳，缺少与基层群众的互动。</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（二）改进措施</w:t>
      </w:r>
    </w:p>
    <w:p>
      <w:pPr>
        <w:ind w:firstLine="640" w:firstLineChars="200"/>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一是加强基层文艺人才队伍建设，希望省、市对基层文艺人才和文艺爱好者加强业务培训。二是由于地方财力有限，需上级财政加大对偏远山区公共文化服务体系建设投入，特别是提高“送戏下乡”的补助标准，才能完成通过政府购买优秀文艺节目，让广大群众享受到均等的文化服务。三是创新节目形式，通过各省，各市优秀演出团体交流和沟通，局内组织不同形式的培训，培育出更多的具有地方特色戏曲作品。</w:t>
      </w:r>
    </w:p>
    <w:p>
      <w:pPr>
        <w:rPr>
          <w:rFonts w:ascii="黑体" w:hAnsi="黑体" w:eastAsia="黑体" w:cs="黑体"/>
          <w:sz w:val="32"/>
          <w:szCs w:val="32"/>
        </w:rPr>
      </w:pPr>
      <w:r>
        <w:rPr>
          <w:rFonts w:hint="eastAsia" w:ascii="黑体" w:hAnsi="黑体" w:eastAsia="黑体" w:cs="黑体"/>
          <w:sz w:val="32"/>
          <w:szCs w:val="32"/>
        </w:rPr>
        <w:t>五、绩效自评结果拟应用和公开情况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国家、省加大对我区专项资金的投入，不断改善了基层文化设施，不断构建了公共文化服务体系，不断深化和丰富了送戏曲下乡的内容，扎实推动了文化的均等化、基本化、便利化。扩大了实施范围和效果，提高了群众的满意度和知晓率，越来越多的群众从活动中增长知识，充分感受精神文化产品带来的乐趣。</w:t>
      </w:r>
    </w:p>
    <w:p>
      <w:pPr>
        <w:pStyle w:val="2"/>
      </w:pPr>
    </w:p>
    <w:p>
      <w:pPr>
        <w:pStyle w:val="6"/>
      </w:pPr>
    </w:p>
    <w:tbl>
      <w:tblPr>
        <w:tblStyle w:val="15"/>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00"/>
        <w:gridCol w:w="1950"/>
        <w:gridCol w:w="2190"/>
        <w:gridCol w:w="1869"/>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戏曲进乡村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广元市朝天区文化旅游和体育局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执行数（万元）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幼圆" w:hAnsi="幼圆" w:eastAsia="幼圆" w:cs="幼圆"/>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2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完成送戏下乡108场。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完成送戏下乡108场。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目标完成值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完成指标</w:t>
            </w:r>
          </w:p>
        </w:tc>
        <w:tc>
          <w:tcPr>
            <w:tcW w:w="19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演出场次</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节目个数</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节目套数</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戏曲节目占比</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幼圆" w:hAnsi="幼圆" w:eastAsia="幼圆" w:cs="幼圆"/>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丰富了朝天区人民群众精神文化生活</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提升乡村生活品味</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幼圆" w:hAnsi="幼圆" w:eastAsia="幼圆" w:cs="幼圆"/>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持续提升朝天区人民群众精神文化生活</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服务群众满意度</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广元市朝天区文化旅游和体育局</w:t>
      </w:r>
    </w:p>
    <w:p>
      <w:pPr>
        <w:spacing w:line="600" w:lineRule="exact"/>
        <w:jc w:val="center"/>
        <w:rPr>
          <w:rFonts w:hint="eastAsia"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关于公共数字文化建设绩效自评报告</w:t>
      </w:r>
    </w:p>
    <w:p>
      <w:pP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w:t>
      </w:r>
      <w:r>
        <w:rPr>
          <w:rFonts w:hint="eastAsia" w:ascii="黑体" w:hAnsi="黑体" w:eastAsia="黑体" w:cs="黑体"/>
          <w:sz w:val="32"/>
          <w:szCs w:val="32"/>
        </w:rPr>
        <w:t>基本情况</w:t>
      </w:r>
    </w:p>
    <w:p>
      <w:pPr>
        <w:pStyle w:val="30"/>
        <w:numPr>
          <w:ilvl w:val="0"/>
          <w:numId w:val="11"/>
        </w:numPr>
        <w:ind w:firstLineChars="0"/>
        <w:rPr>
          <w:rFonts w:ascii="方正小标宋简体" w:hAnsi="方正小标宋简体" w:eastAsia="方正小标宋简体" w:cs="方正小标宋简体"/>
          <w:sz w:val="36"/>
          <w:szCs w:val="36"/>
        </w:rPr>
      </w:pPr>
      <w:r>
        <w:rPr>
          <w:rFonts w:hint="eastAsia" w:ascii="楷体_GB2312" w:hAnsi="楷体_GB2312" w:eastAsia="楷体_GB2312" w:cs="楷体_GB2312"/>
          <w:b/>
          <w:bCs/>
          <w:sz w:val="32"/>
          <w:szCs w:val="32"/>
        </w:rPr>
        <w:t>转移支付概况</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1、政策背景</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公共数字文化建设，提升我区全民艺术普及数字化服务水平，推动公共文化云建设项目有序实施。根据四川省文化和旅游厅《关于做好2021年公共数字文化建设工作的通知》（川旅文办发【2021】32号）文件要求，并结合我区实际，制订方案，更好的完善我区公共数字文化建设。</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、资金情况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公共数字文化建设项目预算总投资13万元（广朝财教〔2021〕63号），资金来源为中央支持地方公共文化服务体系建设补助资金。</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（二）整体绩效目标情况</w:t>
      </w:r>
    </w:p>
    <w:p>
      <w:pPr>
        <w:spacing w:line="576" w:lineRule="exact"/>
        <w:ind w:firstLine="640" w:firstLineChars="200"/>
      </w:pPr>
      <w:r>
        <w:rPr>
          <w:rFonts w:hint="eastAsia" w:ascii="仿宋_GB2312" w:hAnsi="仿宋_GB2312" w:eastAsia="仿宋_GB2312" w:cs="仿宋_GB2312"/>
          <w:sz w:val="32"/>
          <w:szCs w:val="32"/>
        </w:rPr>
        <w:t>一是更新与推送在线场馆及活动信息目标达到100%；二是基层文创、非遗等产品、本地相关产品图文信息目标达到100%；三是开展“乡村网红”培育计划、基层群众文化活动等专题直录播活动目标达到100%；四是新媒体宣传与服务推广活动目标达到100%。</w:t>
      </w:r>
    </w:p>
    <w:p>
      <w:pPr>
        <w:pStyle w:val="30"/>
        <w:numPr>
          <w:ilvl w:val="0"/>
          <w:numId w:val="12"/>
        </w:numPr>
        <w:ind w:firstLineChars="0"/>
        <w:rPr>
          <w:rFonts w:ascii="黑体" w:hAnsi="黑体" w:eastAsia="黑体" w:cs="黑体"/>
          <w:sz w:val="32"/>
          <w:szCs w:val="32"/>
        </w:rPr>
      </w:pPr>
      <w:r>
        <w:rPr>
          <w:rFonts w:hint="eastAsia" w:ascii="黑体" w:hAnsi="黑体" w:eastAsia="黑体" w:cs="黑体"/>
          <w:sz w:val="32"/>
          <w:szCs w:val="32"/>
        </w:rPr>
        <w:t>综合评价结论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依据《关于开展2021年度中央对地方转移支付预算执行情况绩效自评工作的通知》（广朝财发（2021）63号）》要求，确定的公共数字文化建设项目整体绩效情况，绩效自评开展绩效评价。通过项目实施的相关材料进行综合分析，公共数字文化建设项目实施取得预期效果,达到预期绩效目标要求。</w:t>
      </w:r>
    </w:p>
    <w:p>
      <w:pPr>
        <w:pStyle w:val="30"/>
        <w:numPr>
          <w:ilvl w:val="0"/>
          <w:numId w:val="12"/>
        </w:numPr>
        <w:ind w:firstLineChars="0"/>
        <w:rPr>
          <w:rFonts w:ascii="黑体" w:hAnsi="黑体" w:eastAsia="黑体" w:cs="黑体"/>
          <w:sz w:val="32"/>
          <w:szCs w:val="32"/>
        </w:rPr>
      </w:pPr>
      <w:r>
        <w:rPr>
          <w:rFonts w:hint="eastAsia" w:ascii="黑体" w:hAnsi="黑体" w:eastAsia="黑体" w:cs="黑体"/>
          <w:sz w:val="32"/>
          <w:szCs w:val="32"/>
        </w:rPr>
        <w:t>绩效目标完成情况分析</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（一）资金情况分析</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一是强化组织领导。为确保项目顺利实施，做到分工明确，责任到头。我区特成立由局长为组长、分管副局长为副组长、相关股室和责任单位为成员的项目领导小组。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严格资金使用。本项目严格遵守专项资金使用相关规定，按照“谁使用、谁负责”的原则，实行专户管理，封闭运行，专款专用，切实提高资金使用效益。严格履行项目政府采购制度，加强项目推进和预算资金执行进度，确保按期完成建设任务，接受财政、审计、纪检等部门的监督检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三是确保中央支持地方公共文化服务体系建设补助资金13万元严格用于公共数字文化建设项目。</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（二）总体目标完成情况分析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一是更新与推送在线场馆及活动信息；二是基层文创、非遗等产品、本地相关产品图文信息；三是开展“乡村网红”培育计划、基层群众文化活动等专题直录播活动；四是新媒体宣传与服务推广活动。</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（三）绩效指标完成情况分析</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我区文化馆、图书馆一直致力于基层群众文化工作的开展，取得了一些成效。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一是更新与推送在线场馆及活动信息130条；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二是基层文创、非遗等产品、本地相关产品图文信息发布80条；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三是开展“乡村网红”培育计划、基层群众文化活动等专题直录播活动3场；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四是新媒体宣传与服务推广活动1场。</w:t>
      </w:r>
    </w:p>
    <w:p>
      <w:pPr>
        <w:numPr>
          <w:ilvl w:val="0"/>
          <w:numId w:val="12"/>
        </w:numPr>
        <w:rPr>
          <w:rFonts w:ascii="黑体" w:hAnsi="黑体" w:eastAsia="黑体" w:cs="黑体"/>
          <w:sz w:val="32"/>
          <w:szCs w:val="32"/>
        </w:rPr>
      </w:pPr>
      <w:r>
        <w:rPr>
          <w:rFonts w:hint="eastAsia" w:ascii="黑体" w:hAnsi="黑体" w:eastAsia="黑体" w:cs="黑体"/>
          <w:sz w:val="32"/>
          <w:szCs w:val="32"/>
        </w:rPr>
        <w:t>发现的主要问题和改进措施</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（一）主要问题</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仿宋"/>
          <w:bCs/>
          <w:color w:val="000000"/>
          <w:sz w:val="32"/>
          <w:szCs w:val="32"/>
        </w:rPr>
        <w:t>一是地方文艺人才和文创、非遗产品等较为稀缺。二是地方财力有限，投入</w:t>
      </w:r>
      <w:r>
        <w:rPr>
          <w:rFonts w:hint="eastAsia" w:ascii="仿宋_GB2312" w:hAnsi="仿宋_GB2312" w:eastAsia="仿宋_GB2312" w:cs="仿宋_GB2312"/>
          <w:sz w:val="32"/>
          <w:szCs w:val="32"/>
        </w:rPr>
        <w:t>公共数字文化</w:t>
      </w:r>
      <w:r>
        <w:rPr>
          <w:rFonts w:hint="eastAsia" w:ascii="仿宋_GB2312" w:hAnsi="宋体" w:eastAsia="仿宋_GB2312" w:cs="仿宋"/>
          <w:bCs/>
          <w:color w:val="000000"/>
          <w:sz w:val="32"/>
          <w:szCs w:val="32"/>
        </w:rPr>
        <w:t>建设资金不足。三是群文活动形式缺乏创新。现阶段基层群众文化活动在形式上无新意，导致公共文化推送信息较为单一，缺少与基层群众的互动。</w:t>
      </w: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（二）改进措施</w:t>
      </w:r>
    </w:p>
    <w:p>
      <w:pPr>
        <w:adjustRightInd w:val="0"/>
        <w:snapToGrid w:val="0"/>
        <w:spacing w:line="576"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一是招聘专业人员加入文化馆数字化建设工作，在梳理以前工作的同时，完善平台相关模块资料上传工作。</w:t>
      </w:r>
    </w:p>
    <w:p>
      <w:pPr>
        <w:adjustRightInd w:val="0"/>
        <w:snapToGrid w:val="0"/>
        <w:spacing w:line="576"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二是依托文化活动组织业务,开展百姓舞台数字资源建设。组织群众文化活动是文化馆的重要业务,将群众参与性较强的文化活动如广场舞蹈比赛，春节广场文化活动通过直、录播,形成线上线下联动,产生鲜活的群众文化资源，加大网络平台宣传力度，从而进一步提升公共数字文化效能。</w:t>
      </w:r>
    </w:p>
    <w:p>
      <w:pPr>
        <w:adjustRightInd w:val="0"/>
        <w:snapToGrid w:val="0"/>
        <w:spacing w:line="576"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三是利用文化遗产日及节日习俗等时机进行的专项宣传展示活动,将非质文化遗产资料数字化等工作。</w:t>
      </w:r>
    </w:p>
    <w:p>
      <w:pPr>
        <w:numPr>
          <w:ilvl w:val="0"/>
          <w:numId w:val="12"/>
        </w:numPr>
        <w:rPr>
          <w:rFonts w:ascii="黑体" w:hAnsi="黑体" w:eastAsia="黑体" w:cs="黑体"/>
          <w:sz w:val="32"/>
          <w:szCs w:val="32"/>
        </w:rPr>
      </w:pPr>
      <w:r>
        <w:rPr>
          <w:rFonts w:hint="eastAsia" w:ascii="黑体" w:hAnsi="黑体" w:eastAsia="黑体" w:cs="黑体"/>
          <w:sz w:val="32"/>
          <w:szCs w:val="32"/>
        </w:rPr>
        <w:t>绩效自评结果拟应用和公开情况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国家、省加大对我区专项资金的投入，不断改善了基层文化设施，不断构建了新的公共数字文化建设，扎实推动了文化的均等化、基本化、便利化。公共数字化项目建设也将严把意识形态关，广泛利用智游天府平台、朝天文旅、文化朝天等新媒体开展线上展示及活动信息的宣传推广，切实提升我区全民艺术普及水平，确保公共数字文化建设成果全民共享。</w:t>
      </w:r>
    </w:p>
    <w:tbl>
      <w:tblPr>
        <w:tblStyle w:val="15"/>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425"/>
        <w:gridCol w:w="1710"/>
        <w:gridCol w:w="2385"/>
        <w:gridCol w:w="1914"/>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公共数字文化建设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广元市朝天区文化旅游和体育局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执行数（万元）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幼圆" w:hAnsi="幼圆" w:eastAsia="幼圆" w:cs="幼圆"/>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40" w:hRule="atLeast"/>
          <w:jc w:val="center"/>
        </w:trPr>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开展基层活动直录播活动，更新与推进在现场馆及活动信息，线上展示基层文创、非遗等产品，开展新媒体宣传与服务推广活动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开展基层活动直录播活动，更新与推进在现场馆及活动信息，线上展示基层文创、非遗等产品，开展新媒体宣传与服务推广活动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75"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4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目标完成值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完成指标</w:t>
            </w:r>
          </w:p>
        </w:tc>
        <w:tc>
          <w:tcPr>
            <w:tcW w:w="171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新媒体宣传与服务推广活动</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default" w:ascii="幼圆" w:hAnsi="幼圆" w:eastAsia="幼圆" w:cs="幼圆"/>
                <w:i w:val="0"/>
                <w:iCs w:val="0"/>
                <w:color w:val="000000"/>
                <w:kern w:val="0"/>
                <w:sz w:val="24"/>
                <w:szCs w:val="24"/>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直录播活动</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幼圆" w:hAnsi="幼圆" w:eastAsia="幼圆" w:cs="幼圆"/>
                <w:i w:val="0"/>
                <w:iCs w:val="0"/>
                <w:color w:val="000000"/>
                <w:kern w:val="0"/>
                <w:sz w:val="24"/>
                <w:szCs w:val="24"/>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基层文创、非遗等产品、本地相关产品图文信息发布</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r>
              <w:rPr>
                <w:rFonts w:hint="default" w:ascii="幼圆" w:hAnsi="幼圆" w:eastAsia="幼圆" w:cs="幼圆"/>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公共数字文化建设率</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活动开展和信息推送及时率</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7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幼圆" w:hAnsi="幼圆" w:eastAsia="幼圆" w:cs="幼圆"/>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丰富了朝天区人民群众精神文化生活</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提升全民艺术普及服务水平，确保公共文化云建设成果全民共享</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幼圆" w:hAnsi="幼圆" w:eastAsia="幼圆" w:cs="幼圆"/>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持续提升朝天区人民群众精神文化生活</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default" w:ascii="幼圆" w:hAnsi="幼圆" w:eastAsia="幼圆" w:cs="幼圆"/>
                <w:i w:val="0"/>
                <w:iCs w:val="0"/>
                <w:color w:val="000000"/>
                <w:kern w:val="0"/>
                <w:sz w:val="24"/>
                <w:szCs w:val="24"/>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7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7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服务群众满意度</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大于等于95%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幼圆" w:hAnsi="幼圆" w:eastAsia="幼圆" w:cs="幼圆"/>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pPr>
        <w:spacing w:line="576" w:lineRule="exact"/>
        <w:ind w:left="3360" w:leftChars="1200" w:hanging="840" w:hangingChars="400"/>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spacing w:before="93"/>
        <w:rPr>
          <w:rFonts w:hint="eastAsia"/>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0"/>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0"/>
          <w:rFonts w:hint="eastAsia" w:ascii="仿宋" w:hAnsi="仿宋" w:eastAsia="仿宋"/>
          <w:b w:val="0"/>
          <w:bCs w:val="0"/>
        </w:rPr>
        <w:t>入决算表</w:t>
      </w:r>
      <w:bookmarkEnd w:id="61"/>
    </w:p>
    <w:p>
      <w:pPr>
        <w:pStyle w:val="4"/>
        <w:rPr>
          <w:rFonts w:ascii="仿宋" w:hAnsi="仿宋" w:eastAsia="仿宋"/>
        </w:rPr>
      </w:pPr>
      <w:bookmarkStart w:id="62" w:name="_Toc15396621"/>
      <w:r>
        <w:rPr>
          <w:rStyle w:val="20"/>
          <w:rFonts w:hint="eastAsia" w:ascii="仿宋" w:hAnsi="仿宋" w:eastAsia="仿宋"/>
          <w:b w:val="0"/>
          <w:bCs w:val="0"/>
        </w:rPr>
        <w:t>三、</w:t>
      </w:r>
      <w:r>
        <w:rPr>
          <w:rFonts w:hint="eastAsia" w:ascii="仿宋" w:hAnsi="仿宋" w:eastAsia="仿宋"/>
          <w:b w:val="0"/>
        </w:rPr>
        <w:t>支</w:t>
      </w:r>
      <w:r>
        <w:rPr>
          <w:rStyle w:val="20"/>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0"/>
          <w:rFonts w:hint="eastAsia" w:ascii="仿宋" w:hAnsi="仿宋" w:eastAsia="仿宋"/>
          <w:b w:val="0"/>
          <w:bCs w:val="0"/>
        </w:rPr>
        <w:t>四、</w:t>
      </w:r>
      <w:r>
        <w:rPr>
          <w:rFonts w:hint="eastAsia" w:ascii="仿宋" w:hAnsi="仿宋" w:eastAsia="仿宋"/>
          <w:b w:val="0"/>
        </w:rPr>
        <w:t>财</w:t>
      </w:r>
      <w:r>
        <w:rPr>
          <w:rStyle w:val="20"/>
          <w:rFonts w:hint="eastAsia" w:ascii="仿宋" w:hAnsi="仿宋" w:eastAsia="仿宋"/>
          <w:b w:val="0"/>
          <w:bCs w:val="0"/>
        </w:rPr>
        <w:t>政拨款收入支出决算总表</w:t>
      </w:r>
      <w:bookmarkEnd w:id="63"/>
    </w:p>
    <w:p>
      <w:pPr>
        <w:pStyle w:val="4"/>
        <w:rPr>
          <w:rStyle w:val="20"/>
          <w:rFonts w:ascii="仿宋" w:hAnsi="仿宋" w:eastAsia="仿宋"/>
          <w:b w:val="0"/>
          <w:bCs w:val="0"/>
        </w:rPr>
      </w:pPr>
      <w:bookmarkStart w:id="64" w:name="_Toc15396623"/>
      <w:r>
        <w:rPr>
          <w:rStyle w:val="20"/>
          <w:rFonts w:hint="eastAsia" w:ascii="仿宋" w:hAnsi="仿宋" w:eastAsia="仿宋"/>
          <w:b w:val="0"/>
          <w:bCs w:val="0"/>
        </w:rPr>
        <w:t>五、</w:t>
      </w:r>
      <w:r>
        <w:rPr>
          <w:rFonts w:hint="eastAsia" w:ascii="仿宋" w:hAnsi="仿宋" w:eastAsia="仿宋"/>
          <w:b w:val="0"/>
        </w:rPr>
        <w:t>财</w:t>
      </w:r>
      <w:r>
        <w:rPr>
          <w:rStyle w:val="20"/>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0"/>
          <w:rFonts w:hint="eastAsia" w:ascii="仿宋" w:hAnsi="仿宋" w:eastAsia="仿宋"/>
          <w:b w:val="0"/>
          <w:bCs w:val="0"/>
        </w:rPr>
        <w:t>六、</w:t>
      </w:r>
      <w:r>
        <w:rPr>
          <w:rFonts w:hint="eastAsia" w:ascii="仿宋" w:hAnsi="仿宋" w:eastAsia="仿宋"/>
          <w:b w:val="0"/>
        </w:rPr>
        <w:t>一</w:t>
      </w:r>
      <w:r>
        <w:rPr>
          <w:rStyle w:val="20"/>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0"/>
          <w:rFonts w:hint="eastAsia" w:ascii="仿宋" w:hAnsi="仿宋" w:eastAsia="仿宋"/>
          <w:b w:val="0"/>
          <w:bCs w:val="0"/>
        </w:rPr>
        <w:t>七、</w:t>
      </w:r>
      <w:r>
        <w:rPr>
          <w:rFonts w:hint="eastAsia" w:ascii="仿宋" w:hAnsi="仿宋" w:eastAsia="仿宋"/>
          <w:b w:val="0"/>
        </w:rPr>
        <w:t>一</w:t>
      </w:r>
      <w:r>
        <w:rPr>
          <w:rStyle w:val="20"/>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0"/>
          <w:rFonts w:hint="eastAsia" w:ascii="仿宋" w:hAnsi="仿宋" w:eastAsia="仿宋"/>
          <w:b w:val="0"/>
          <w:bCs w:val="0"/>
        </w:rPr>
        <w:t>八、</w:t>
      </w:r>
      <w:r>
        <w:rPr>
          <w:rFonts w:hint="eastAsia" w:ascii="仿宋" w:hAnsi="仿宋" w:eastAsia="仿宋"/>
          <w:b w:val="0"/>
        </w:rPr>
        <w:t>一</w:t>
      </w:r>
      <w:r>
        <w:rPr>
          <w:rStyle w:val="20"/>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0"/>
          <w:rFonts w:hint="eastAsia" w:ascii="仿宋" w:hAnsi="仿宋" w:eastAsia="仿宋"/>
          <w:b w:val="0"/>
          <w:bCs w:val="0"/>
        </w:rPr>
        <w:t>九、</w:t>
      </w:r>
      <w:r>
        <w:rPr>
          <w:rFonts w:hint="eastAsia" w:ascii="仿宋" w:hAnsi="仿宋" w:eastAsia="仿宋"/>
          <w:b w:val="0"/>
        </w:rPr>
        <w:t>一</w:t>
      </w:r>
      <w:r>
        <w:rPr>
          <w:rStyle w:val="20"/>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0"/>
          <w:rFonts w:hint="eastAsia" w:ascii="仿宋" w:hAnsi="仿宋" w:eastAsia="仿宋"/>
          <w:b w:val="0"/>
          <w:bCs w:val="0"/>
        </w:rPr>
        <w:t>十、</w:t>
      </w:r>
      <w:r>
        <w:rPr>
          <w:rFonts w:hint="eastAsia" w:ascii="仿宋" w:hAnsi="仿宋" w:eastAsia="仿宋"/>
          <w:b w:val="0"/>
        </w:rPr>
        <w:t>一</w:t>
      </w:r>
      <w:r>
        <w:rPr>
          <w:rStyle w:val="20"/>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0"/>
          <w:rFonts w:hint="eastAsia" w:ascii="仿宋" w:hAnsi="仿宋" w:eastAsia="仿宋"/>
          <w:b w:val="0"/>
          <w:bCs w:val="0"/>
        </w:rPr>
        <w:t>十一、</w:t>
      </w:r>
      <w:r>
        <w:rPr>
          <w:rFonts w:hint="eastAsia" w:ascii="仿宋" w:hAnsi="仿宋" w:eastAsia="仿宋"/>
          <w:b w:val="0"/>
        </w:rPr>
        <w:t>政</w:t>
      </w:r>
      <w:r>
        <w:rPr>
          <w:rStyle w:val="20"/>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0"/>
          <w:rFonts w:hint="eastAsia" w:ascii="仿宋" w:hAnsi="仿宋" w:eastAsia="仿宋"/>
          <w:b w:val="0"/>
          <w:bCs w:val="0"/>
        </w:rPr>
        <w:t>十二、</w:t>
      </w:r>
      <w:r>
        <w:rPr>
          <w:rFonts w:hint="eastAsia" w:ascii="仿宋" w:hAnsi="仿宋" w:eastAsia="仿宋"/>
          <w:b w:val="0"/>
        </w:rPr>
        <w:t>政</w:t>
      </w:r>
      <w:r>
        <w:rPr>
          <w:rStyle w:val="20"/>
          <w:rFonts w:hint="eastAsia" w:ascii="仿宋" w:hAnsi="仿宋" w:eastAsia="仿宋"/>
          <w:b w:val="0"/>
          <w:bCs w:val="0"/>
        </w:rPr>
        <w:t>府性基金预算财政拨款“三公”经费支出决算表</w:t>
      </w:r>
      <w:bookmarkEnd w:id="71"/>
    </w:p>
    <w:p>
      <w:pPr>
        <w:pStyle w:val="4"/>
        <w:rPr>
          <w:rStyle w:val="20"/>
          <w:rFonts w:ascii="仿宋" w:hAnsi="仿宋" w:eastAsia="仿宋"/>
          <w:b w:val="0"/>
          <w:bCs w:val="0"/>
        </w:rPr>
      </w:pPr>
      <w:bookmarkStart w:id="72" w:name="_Toc15396631"/>
      <w:r>
        <w:rPr>
          <w:rStyle w:val="20"/>
          <w:rFonts w:hint="eastAsia" w:ascii="仿宋" w:hAnsi="仿宋" w:eastAsia="仿宋"/>
          <w:b w:val="0"/>
          <w:bCs w:val="0"/>
        </w:rPr>
        <w:t>十三、</w:t>
      </w:r>
      <w:r>
        <w:rPr>
          <w:rFonts w:hint="eastAsia" w:ascii="仿宋" w:hAnsi="仿宋" w:eastAsia="仿宋"/>
          <w:b w:val="0"/>
        </w:rPr>
        <w:t>国</w:t>
      </w:r>
      <w:r>
        <w:rPr>
          <w:rStyle w:val="20"/>
          <w:rFonts w:hint="eastAsia" w:ascii="仿宋" w:hAnsi="仿宋" w:eastAsia="仿宋"/>
          <w:b w:val="0"/>
          <w:bCs w:val="0"/>
        </w:rPr>
        <w:t>有资本经营预算财政拨款收入支出决算表</w:t>
      </w:r>
      <w:bookmarkEnd w:id="72"/>
    </w:p>
    <w:p>
      <w:pPr>
        <w:rPr>
          <w:rFonts w:eastAsia="仿宋"/>
        </w:rPr>
      </w:pPr>
      <w:r>
        <w:rPr>
          <w:rStyle w:val="20"/>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080" w:bottom="1440" w:left="1080"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A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KaiTi_GB2312">
    <w:panose1 w:val="02010609030101010101"/>
    <w:charset w:val="86"/>
    <w:family w:val="roma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幼圆">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50</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18604"/>
    <w:multiLevelType w:val="singleLevel"/>
    <w:tmpl w:val="90718604"/>
    <w:lvl w:ilvl="0" w:tentative="0">
      <w:start w:val="1"/>
      <w:numFmt w:val="decimal"/>
      <w:suff w:val="nothing"/>
      <w:lvlText w:val="%1、"/>
      <w:lvlJc w:val="left"/>
    </w:lvl>
  </w:abstractNum>
  <w:abstractNum w:abstractNumId="1">
    <w:nsid w:val="95502A80"/>
    <w:multiLevelType w:val="singleLevel"/>
    <w:tmpl w:val="95502A80"/>
    <w:lvl w:ilvl="0" w:tentative="0">
      <w:start w:val="5"/>
      <w:numFmt w:val="decimal"/>
      <w:suff w:val="nothing"/>
      <w:lvlText w:val="（%1）"/>
      <w:lvlJc w:val="left"/>
    </w:lvl>
  </w:abstractNum>
  <w:abstractNum w:abstractNumId="2">
    <w:nsid w:val="BD46E485"/>
    <w:multiLevelType w:val="singleLevel"/>
    <w:tmpl w:val="BD46E485"/>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E95C6599"/>
    <w:multiLevelType w:val="singleLevel"/>
    <w:tmpl w:val="E95C6599"/>
    <w:lvl w:ilvl="0" w:tentative="0">
      <w:start w:val="1"/>
      <w:numFmt w:val="chineseCounting"/>
      <w:suff w:val="nothing"/>
      <w:lvlText w:val="%1、"/>
      <w:lvlJc w:val="left"/>
      <w:rPr>
        <w:rFonts w:hint="eastAsia"/>
      </w:rPr>
    </w:lvl>
  </w:abstractNum>
  <w:abstractNum w:abstractNumId="6">
    <w:nsid w:val="FAE46851"/>
    <w:multiLevelType w:val="singleLevel"/>
    <w:tmpl w:val="FAE46851"/>
    <w:lvl w:ilvl="0" w:tentative="0">
      <w:start w:val="1"/>
      <w:numFmt w:val="chineseCounting"/>
      <w:suff w:val="nothing"/>
      <w:lvlText w:val="（%1）"/>
      <w:lvlJc w:val="left"/>
      <w:rPr>
        <w:rFonts w:hint="eastAsia"/>
      </w:rPr>
    </w:lvl>
  </w:abstractNum>
  <w:abstractNum w:abstractNumId="7">
    <w:nsid w:val="10EB2CE8"/>
    <w:multiLevelType w:val="multilevel"/>
    <w:tmpl w:val="10EB2CE8"/>
    <w:lvl w:ilvl="0" w:tentative="0">
      <w:start w:val="1"/>
      <w:numFmt w:val="japaneseCounting"/>
      <w:lvlText w:val="（%1）"/>
      <w:lvlJc w:val="left"/>
      <w:pPr>
        <w:ind w:left="1080" w:hanging="1080"/>
      </w:pPr>
      <w:rPr>
        <w:rFonts w:hint="default" w:ascii="楷体_GB2312" w:hAnsi="楷体_GB2312" w:eastAsia="楷体_GB2312" w:cs="楷体_GB2312"/>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9">
    <w:nsid w:val="1380A6DE"/>
    <w:multiLevelType w:val="singleLevel"/>
    <w:tmpl w:val="1380A6DE"/>
    <w:lvl w:ilvl="0" w:tentative="0">
      <w:start w:val="4"/>
      <w:numFmt w:val="chineseCounting"/>
      <w:suff w:val="nothing"/>
      <w:lvlText w:val="%1、"/>
      <w:lvlJc w:val="left"/>
      <w:rPr>
        <w:rFonts w:hint="eastAsia"/>
      </w:rPr>
    </w:lvl>
  </w:abstractNum>
  <w:abstractNum w:abstractNumId="10">
    <w:nsid w:val="58E343F1"/>
    <w:multiLevelType w:val="multilevel"/>
    <w:tmpl w:val="58E343F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34A6B21"/>
    <w:multiLevelType w:val="multilevel"/>
    <w:tmpl w:val="634A6B21"/>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8"/>
  </w:num>
  <w:num w:numId="2">
    <w:abstractNumId w:val="3"/>
  </w:num>
  <w:num w:numId="3">
    <w:abstractNumId w:val="4"/>
  </w:num>
  <w:num w:numId="4">
    <w:abstractNumId w:val="11"/>
  </w:num>
  <w:num w:numId="5">
    <w:abstractNumId w:val="1"/>
  </w:num>
  <w:num w:numId="6">
    <w:abstractNumId w:val="9"/>
  </w:num>
  <w:num w:numId="7">
    <w:abstractNumId w:val="5"/>
  </w:num>
  <w:num w:numId="8">
    <w:abstractNumId w:val="6"/>
  </w:num>
  <w:num w:numId="9">
    <w:abstractNumId w:val="0"/>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zYjIzYTU0YWUwMDg5NTZhZWE0Zjc1NmNjMWFhMWQifQ=="/>
  </w:docVars>
  <w:rsids>
    <w:rsidRoot w:val="00F1361C"/>
    <w:rsid w:val="000222C6"/>
    <w:rsid w:val="000236C4"/>
    <w:rsid w:val="0002549F"/>
    <w:rsid w:val="00035F54"/>
    <w:rsid w:val="00041E4C"/>
    <w:rsid w:val="000444F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754"/>
    <w:rsid w:val="000C3467"/>
    <w:rsid w:val="000C3CA6"/>
    <w:rsid w:val="000D1267"/>
    <w:rsid w:val="000D1D50"/>
    <w:rsid w:val="000D5782"/>
    <w:rsid w:val="000E6613"/>
    <w:rsid w:val="000E7119"/>
    <w:rsid w:val="000F130E"/>
    <w:rsid w:val="000F302B"/>
    <w:rsid w:val="00104656"/>
    <w:rsid w:val="00114E9B"/>
    <w:rsid w:val="00140D9A"/>
    <w:rsid w:val="00142216"/>
    <w:rsid w:val="00144D6A"/>
    <w:rsid w:val="0014729F"/>
    <w:rsid w:val="00157BAB"/>
    <w:rsid w:val="001654D1"/>
    <w:rsid w:val="00166B05"/>
    <w:rsid w:val="00174518"/>
    <w:rsid w:val="0018106D"/>
    <w:rsid w:val="001877A7"/>
    <w:rsid w:val="00191536"/>
    <w:rsid w:val="001923BF"/>
    <w:rsid w:val="0019537E"/>
    <w:rsid w:val="00196687"/>
    <w:rsid w:val="001C0962"/>
    <w:rsid w:val="001C4E90"/>
    <w:rsid w:val="001D040F"/>
    <w:rsid w:val="001D4D03"/>
    <w:rsid w:val="001D7531"/>
    <w:rsid w:val="001E737D"/>
    <w:rsid w:val="001F0592"/>
    <w:rsid w:val="001F2B33"/>
    <w:rsid w:val="001F7506"/>
    <w:rsid w:val="002006CD"/>
    <w:rsid w:val="00202B36"/>
    <w:rsid w:val="00204B7A"/>
    <w:rsid w:val="00204CDE"/>
    <w:rsid w:val="0021101A"/>
    <w:rsid w:val="00220536"/>
    <w:rsid w:val="00222D0A"/>
    <w:rsid w:val="00231500"/>
    <w:rsid w:val="00233374"/>
    <w:rsid w:val="00235629"/>
    <w:rsid w:val="002358AE"/>
    <w:rsid w:val="002367A7"/>
    <w:rsid w:val="00260C38"/>
    <w:rsid w:val="002616C0"/>
    <w:rsid w:val="00265372"/>
    <w:rsid w:val="002662AA"/>
    <w:rsid w:val="00274D94"/>
    <w:rsid w:val="00280496"/>
    <w:rsid w:val="00281245"/>
    <w:rsid w:val="00290EB1"/>
    <w:rsid w:val="002925A4"/>
    <w:rsid w:val="00294DC9"/>
    <w:rsid w:val="00295495"/>
    <w:rsid w:val="002A31DE"/>
    <w:rsid w:val="002A3623"/>
    <w:rsid w:val="002B2613"/>
    <w:rsid w:val="002B2F32"/>
    <w:rsid w:val="002D6D05"/>
    <w:rsid w:val="002F0F72"/>
    <w:rsid w:val="002F1818"/>
    <w:rsid w:val="002F567B"/>
    <w:rsid w:val="003216A9"/>
    <w:rsid w:val="00327FEC"/>
    <w:rsid w:val="00335A74"/>
    <w:rsid w:val="003434B9"/>
    <w:rsid w:val="00353F98"/>
    <w:rsid w:val="003617CE"/>
    <w:rsid w:val="0036561B"/>
    <w:rsid w:val="0037013F"/>
    <w:rsid w:val="00380C92"/>
    <w:rsid w:val="00382B01"/>
    <w:rsid w:val="003904A8"/>
    <w:rsid w:val="003A484F"/>
    <w:rsid w:val="003A4883"/>
    <w:rsid w:val="003B0BE0"/>
    <w:rsid w:val="003B0C1B"/>
    <w:rsid w:val="003B1709"/>
    <w:rsid w:val="003B4AD3"/>
    <w:rsid w:val="003B688C"/>
    <w:rsid w:val="003C0291"/>
    <w:rsid w:val="003C39AE"/>
    <w:rsid w:val="003C7B60"/>
    <w:rsid w:val="003D0C0F"/>
    <w:rsid w:val="003D0D33"/>
    <w:rsid w:val="003D1FB2"/>
    <w:rsid w:val="003D44CC"/>
    <w:rsid w:val="003D66DA"/>
    <w:rsid w:val="003E1310"/>
    <w:rsid w:val="003E6F55"/>
    <w:rsid w:val="004027BB"/>
    <w:rsid w:val="00406254"/>
    <w:rsid w:val="004069C2"/>
    <w:rsid w:val="00412B23"/>
    <w:rsid w:val="00413331"/>
    <w:rsid w:val="004223DE"/>
    <w:rsid w:val="00434489"/>
    <w:rsid w:val="00437085"/>
    <w:rsid w:val="004425AD"/>
    <w:rsid w:val="00443880"/>
    <w:rsid w:val="004464F4"/>
    <w:rsid w:val="004601F0"/>
    <w:rsid w:val="0046184A"/>
    <w:rsid w:val="00471401"/>
    <w:rsid w:val="00473F31"/>
    <w:rsid w:val="004753D1"/>
    <w:rsid w:val="0048263A"/>
    <w:rsid w:val="00487E5D"/>
    <w:rsid w:val="004A16D5"/>
    <w:rsid w:val="004A388A"/>
    <w:rsid w:val="004A711F"/>
    <w:rsid w:val="004B163C"/>
    <w:rsid w:val="004B199D"/>
    <w:rsid w:val="004B4690"/>
    <w:rsid w:val="004C1978"/>
    <w:rsid w:val="004E0A2D"/>
    <w:rsid w:val="004E206B"/>
    <w:rsid w:val="004E6DF7"/>
    <w:rsid w:val="004F0FBD"/>
    <w:rsid w:val="00504A31"/>
    <w:rsid w:val="00505A47"/>
    <w:rsid w:val="00512FDA"/>
    <w:rsid w:val="00520DA0"/>
    <w:rsid w:val="005415AD"/>
    <w:rsid w:val="00550C42"/>
    <w:rsid w:val="00554A15"/>
    <w:rsid w:val="005655C5"/>
    <w:rsid w:val="005664BB"/>
    <w:rsid w:val="00566FFA"/>
    <w:rsid w:val="0057391D"/>
    <w:rsid w:val="0057481D"/>
    <w:rsid w:val="00581109"/>
    <w:rsid w:val="0058486E"/>
    <w:rsid w:val="00585B33"/>
    <w:rsid w:val="0059014D"/>
    <w:rsid w:val="00591545"/>
    <w:rsid w:val="005B5C64"/>
    <w:rsid w:val="005C5337"/>
    <w:rsid w:val="005C6BD0"/>
    <w:rsid w:val="005D1C8B"/>
    <w:rsid w:val="005D468D"/>
    <w:rsid w:val="005D5CED"/>
    <w:rsid w:val="005F1A4C"/>
    <w:rsid w:val="00605688"/>
    <w:rsid w:val="006070AF"/>
    <w:rsid w:val="00607A8B"/>
    <w:rsid w:val="00607E6C"/>
    <w:rsid w:val="006101B1"/>
    <w:rsid w:val="00610ED7"/>
    <w:rsid w:val="00614E44"/>
    <w:rsid w:val="0062270A"/>
    <w:rsid w:val="00622830"/>
    <w:rsid w:val="00622B21"/>
    <w:rsid w:val="00623DA0"/>
    <w:rsid w:val="006242BE"/>
    <w:rsid w:val="00630AEF"/>
    <w:rsid w:val="006325F8"/>
    <w:rsid w:val="00633463"/>
    <w:rsid w:val="00634C9A"/>
    <w:rsid w:val="006440E4"/>
    <w:rsid w:val="00653800"/>
    <w:rsid w:val="006538A7"/>
    <w:rsid w:val="0066343B"/>
    <w:rsid w:val="00664777"/>
    <w:rsid w:val="006748A4"/>
    <w:rsid w:val="00681A31"/>
    <w:rsid w:val="00683E73"/>
    <w:rsid w:val="006A3141"/>
    <w:rsid w:val="006A5E34"/>
    <w:rsid w:val="006B2422"/>
    <w:rsid w:val="006B2B9A"/>
    <w:rsid w:val="006B6F66"/>
    <w:rsid w:val="006C1937"/>
    <w:rsid w:val="006F020C"/>
    <w:rsid w:val="006F2B04"/>
    <w:rsid w:val="006F4367"/>
    <w:rsid w:val="00703CB1"/>
    <w:rsid w:val="007127B7"/>
    <w:rsid w:val="00713766"/>
    <w:rsid w:val="0071798E"/>
    <w:rsid w:val="007416B6"/>
    <w:rsid w:val="00746F48"/>
    <w:rsid w:val="0075404D"/>
    <w:rsid w:val="0076182A"/>
    <w:rsid w:val="00767B7E"/>
    <w:rsid w:val="00772D4C"/>
    <w:rsid w:val="007770C3"/>
    <w:rsid w:val="00784D24"/>
    <w:rsid w:val="00785FBA"/>
    <w:rsid w:val="00786E4A"/>
    <w:rsid w:val="007875EB"/>
    <w:rsid w:val="0079426B"/>
    <w:rsid w:val="007A47A7"/>
    <w:rsid w:val="007D1682"/>
    <w:rsid w:val="007D17EA"/>
    <w:rsid w:val="007D312A"/>
    <w:rsid w:val="007D3F19"/>
    <w:rsid w:val="007E23B0"/>
    <w:rsid w:val="007E23E5"/>
    <w:rsid w:val="007E285E"/>
    <w:rsid w:val="007F1991"/>
    <w:rsid w:val="007F2C2F"/>
    <w:rsid w:val="007F2FE7"/>
    <w:rsid w:val="007F55FC"/>
    <w:rsid w:val="007F5665"/>
    <w:rsid w:val="00800112"/>
    <w:rsid w:val="0080033A"/>
    <w:rsid w:val="0080044D"/>
    <w:rsid w:val="00803A14"/>
    <w:rsid w:val="00804081"/>
    <w:rsid w:val="00813348"/>
    <w:rsid w:val="0082117F"/>
    <w:rsid w:val="008253BB"/>
    <w:rsid w:val="0083706E"/>
    <w:rsid w:val="008403B1"/>
    <w:rsid w:val="008408F6"/>
    <w:rsid w:val="008423A5"/>
    <w:rsid w:val="00846A22"/>
    <w:rsid w:val="00850625"/>
    <w:rsid w:val="00853718"/>
    <w:rsid w:val="00855221"/>
    <w:rsid w:val="00860645"/>
    <w:rsid w:val="00871F71"/>
    <w:rsid w:val="00872FD8"/>
    <w:rsid w:val="00874B38"/>
    <w:rsid w:val="00885AF4"/>
    <w:rsid w:val="00892A9D"/>
    <w:rsid w:val="008939CD"/>
    <w:rsid w:val="008B768C"/>
    <w:rsid w:val="008C0C8D"/>
    <w:rsid w:val="008C0E46"/>
    <w:rsid w:val="008C1DA4"/>
    <w:rsid w:val="008C30FD"/>
    <w:rsid w:val="008C4DB1"/>
    <w:rsid w:val="008C4EAF"/>
    <w:rsid w:val="008C5176"/>
    <w:rsid w:val="008C51FA"/>
    <w:rsid w:val="008C7FD0"/>
    <w:rsid w:val="008E1DE7"/>
    <w:rsid w:val="008E707C"/>
    <w:rsid w:val="00900B08"/>
    <w:rsid w:val="00902155"/>
    <w:rsid w:val="00902FA3"/>
    <w:rsid w:val="00923564"/>
    <w:rsid w:val="0092392E"/>
    <w:rsid w:val="009315F9"/>
    <w:rsid w:val="00933499"/>
    <w:rsid w:val="00935C98"/>
    <w:rsid w:val="0093667C"/>
    <w:rsid w:val="00946945"/>
    <w:rsid w:val="009472BD"/>
    <w:rsid w:val="00951248"/>
    <w:rsid w:val="0095152F"/>
    <w:rsid w:val="00954C49"/>
    <w:rsid w:val="00955E37"/>
    <w:rsid w:val="0097099F"/>
    <w:rsid w:val="00970CED"/>
    <w:rsid w:val="00971997"/>
    <w:rsid w:val="00971FFC"/>
    <w:rsid w:val="00973D10"/>
    <w:rsid w:val="009747FB"/>
    <w:rsid w:val="00975B9D"/>
    <w:rsid w:val="0098660A"/>
    <w:rsid w:val="009931C3"/>
    <w:rsid w:val="009A2B25"/>
    <w:rsid w:val="009B2C43"/>
    <w:rsid w:val="009B4EAE"/>
    <w:rsid w:val="009B7573"/>
    <w:rsid w:val="009C22F4"/>
    <w:rsid w:val="009C2A4B"/>
    <w:rsid w:val="009C2E98"/>
    <w:rsid w:val="009D3447"/>
    <w:rsid w:val="009D4711"/>
    <w:rsid w:val="009F1185"/>
    <w:rsid w:val="009F18CD"/>
    <w:rsid w:val="009F2A13"/>
    <w:rsid w:val="009F40AB"/>
    <w:rsid w:val="009F7527"/>
    <w:rsid w:val="00A04EB0"/>
    <w:rsid w:val="00A13CC1"/>
    <w:rsid w:val="00A16847"/>
    <w:rsid w:val="00A237D8"/>
    <w:rsid w:val="00A268C4"/>
    <w:rsid w:val="00A307CD"/>
    <w:rsid w:val="00A331C8"/>
    <w:rsid w:val="00A40A00"/>
    <w:rsid w:val="00A4142F"/>
    <w:rsid w:val="00A422EB"/>
    <w:rsid w:val="00A446CD"/>
    <w:rsid w:val="00A45BB7"/>
    <w:rsid w:val="00A56DF2"/>
    <w:rsid w:val="00A56E6E"/>
    <w:rsid w:val="00A67AB5"/>
    <w:rsid w:val="00A70114"/>
    <w:rsid w:val="00A733B2"/>
    <w:rsid w:val="00A740D8"/>
    <w:rsid w:val="00A741C2"/>
    <w:rsid w:val="00A82465"/>
    <w:rsid w:val="00A91760"/>
    <w:rsid w:val="00A93B00"/>
    <w:rsid w:val="00A93C21"/>
    <w:rsid w:val="00AA6740"/>
    <w:rsid w:val="00AA6F33"/>
    <w:rsid w:val="00AB30F8"/>
    <w:rsid w:val="00AB64C9"/>
    <w:rsid w:val="00AC3C6A"/>
    <w:rsid w:val="00AD37A6"/>
    <w:rsid w:val="00AD5620"/>
    <w:rsid w:val="00AD656B"/>
    <w:rsid w:val="00AD7C1B"/>
    <w:rsid w:val="00AE16BA"/>
    <w:rsid w:val="00AE1EBE"/>
    <w:rsid w:val="00B03C9D"/>
    <w:rsid w:val="00B060AE"/>
    <w:rsid w:val="00B10517"/>
    <w:rsid w:val="00B14714"/>
    <w:rsid w:val="00B14E76"/>
    <w:rsid w:val="00B161B8"/>
    <w:rsid w:val="00B2048C"/>
    <w:rsid w:val="00B2790A"/>
    <w:rsid w:val="00B310B9"/>
    <w:rsid w:val="00B35F3F"/>
    <w:rsid w:val="00B36CBB"/>
    <w:rsid w:val="00B425E0"/>
    <w:rsid w:val="00B42911"/>
    <w:rsid w:val="00B440AA"/>
    <w:rsid w:val="00B44B70"/>
    <w:rsid w:val="00B53C56"/>
    <w:rsid w:val="00B57DAF"/>
    <w:rsid w:val="00B72C55"/>
    <w:rsid w:val="00B76909"/>
    <w:rsid w:val="00B77EA6"/>
    <w:rsid w:val="00B81598"/>
    <w:rsid w:val="00B841F1"/>
    <w:rsid w:val="00B90634"/>
    <w:rsid w:val="00B91C8F"/>
    <w:rsid w:val="00B944D6"/>
    <w:rsid w:val="00BA045B"/>
    <w:rsid w:val="00BA777E"/>
    <w:rsid w:val="00BB4DF0"/>
    <w:rsid w:val="00BC289F"/>
    <w:rsid w:val="00BC2D50"/>
    <w:rsid w:val="00BC5361"/>
    <w:rsid w:val="00BC5460"/>
    <w:rsid w:val="00BC6B50"/>
    <w:rsid w:val="00BD0E25"/>
    <w:rsid w:val="00BF5BD6"/>
    <w:rsid w:val="00C03B7C"/>
    <w:rsid w:val="00C03E31"/>
    <w:rsid w:val="00C100FE"/>
    <w:rsid w:val="00C12335"/>
    <w:rsid w:val="00C22DBE"/>
    <w:rsid w:val="00C305F4"/>
    <w:rsid w:val="00C33E72"/>
    <w:rsid w:val="00C354B2"/>
    <w:rsid w:val="00C35554"/>
    <w:rsid w:val="00C42709"/>
    <w:rsid w:val="00C5158C"/>
    <w:rsid w:val="00C533CC"/>
    <w:rsid w:val="00C57472"/>
    <w:rsid w:val="00C5751C"/>
    <w:rsid w:val="00C61BFC"/>
    <w:rsid w:val="00C62B85"/>
    <w:rsid w:val="00C65438"/>
    <w:rsid w:val="00C87FD8"/>
    <w:rsid w:val="00C91381"/>
    <w:rsid w:val="00C91CBB"/>
    <w:rsid w:val="00CB4E70"/>
    <w:rsid w:val="00CC09B6"/>
    <w:rsid w:val="00CC666F"/>
    <w:rsid w:val="00CD18C2"/>
    <w:rsid w:val="00CD1E3F"/>
    <w:rsid w:val="00CD491A"/>
    <w:rsid w:val="00CE1660"/>
    <w:rsid w:val="00CE44F6"/>
    <w:rsid w:val="00CE49DA"/>
    <w:rsid w:val="00CE5DFE"/>
    <w:rsid w:val="00CE7B61"/>
    <w:rsid w:val="00CF5D06"/>
    <w:rsid w:val="00D00095"/>
    <w:rsid w:val="00D114F0"/>
    <w:rsid w:val="00D1281C"/>
    <w:rsid w:val="00D167FE"/>
    <w:rsid w:val="00D20620"/>
    <w:rsid w:val="00D254F7"/>
    <w:rsid w:val="00D26091"/>
    <w:rsid w:val="00D2685C"/>
    <w:rsid w:val="00D3484D"/>
    <w:rsid w:val="00D34E7C"/>
    <w:rsid w:val="00D35489"/>
    <w:rsid w:val="00D36AFE"/>
    <w:rsid w:val="00D46C05"/>
    <w:rsid w:val="00D51276"/>
    <w:rsid w:val="00D7035F"/>
    <w:rsid w:val="00D738A7"/>
    <w:rsid w:val="00D84A51"/>
    <w:rsid w:val="00D94049"/>
    <w:rsid w:val="00D9563A"/>
    <w:rsid w:val="00D97EB7"/>
    <w:rsid w:val="00DA07F2"/>
    <w:rsid w:val="00DA17AF"/>
    <w:rsid w:val="00DA634F"/>
    <w:rsid w:val="00DA65AC"/>
    <w:rsid w:val="00DB1913"/>
    <w:rsid w:val="00DC092C"/>
    <w:rsid w:val="00DC2C2C"/>
    <w:rsid w:val="00DC410D"/>
    <w:rsid w:val="00DC5A81"/>
    <w:rsid w:val="00DC68CA"/>
    <w:rsid w:val="00DC7CBA"/>
    <w:rsid w:val="00DD73B7"/>
    <w:rsid w:val="00DF28BC"/>
    <w:rsid w:val="00DF34B9"/>
    <w:rsid w:val="00DF3BA7"/>
    <w:rsid w:val="00E01053"/>
    <w:rsid w:val="00E01C52"/>
    <w:rsid w:val="00E079D1"/>
    <w:rsid w:val="00E07ACF"/>
    <w:rsid w:val="00E12DC6"/>
    <w:rsid w:val="00E133DD"/>
    <w:rsid w:val="00E331A1"/>
    <w:rsid w:val="00E33202"/>
    <w:rsid w:val="00E336A9"/>
    <w:rsid w:val="00E37F61"/>
    <w:rsid w:val="00E472B1"/>
    <w:rsid w:val="00E50624"/>
    <w:rsid w:val="00E511FF"/>
    <w:rsid w:val="00E568DF"/>
    <w:rsid w:val="00E61E46"/>
    <w:rsid w:val="00E64269"/>
    <w:rsid w:val="00E77A92"/>
    <w:rsid w:val="00E82267"/>
    <w:rsid w:val="00E853CE"/>
    <w:rsid w:val="00E867B6"/>
    <w:rsid w:val="00EA010F"/>
    <w:rsid w:val="00EC60F0"/>
    <w:rsid w:val="00ED1B63"/>
    <w:rsid w:val="00ED3C1F"/>
    <w:rsid w:val="00ED4085"/>
    <w:rsid w:val="00ED420E"/>
    <w:rsid w:val="00ED6FBE"/>
    <w:rsid w:val="00EE2F57"/>
    <w:rsid w:val="00EE3DE4"/>
    <w:rsid w:val="00EE4F8F"/>
    <w:rsid w:val="00EF4C34"/>
    <w:rsid w:val="00EF77C6"/>
    <w:rsid w:val="00F05438"/>
    <w:rsid w:val="00F1361C"/>
    <w:rsid w:val="00F151A0"/>
    <w:rsid w:val="00F156F0"/>
    <w:rsid w:val="00F1594A"/>
    <w:rsid w:val="00F160C7"/>
    <w:rsid w:val="00F2408F"/>
    <w:rsid w:val="00F240E9"/>
    <w:rsid w:val="00F25871"/>
    <w:rsid w:val="00F3591B"/>
    <w:rsid w:val="00F36D8F"/>
    <w:rsid w:val="00F402BC"/>
    <w:rsid w:val="00F417B1"/>
    <w:rsid w:val="00F45853"/>
    <w:rsid w:val="00F460B7"/>
    <w:rsid w:val="00F602DF"/>
    <w:rsid w:val="00F738F3"/>
    <w:rsid w:val="00F754A1"/>
    <w:rsid w:val="00F778C9"/>
    <w:rsid w:val="00F81FD9"/>
    <w:rsid w:val="00F841AA"/>
    <w:rsid w:val="00F8449D"/>
    <w:rsid w:val="00F84A94"/>
    <w:rsid w:val="00F87E96"/>
    <w:rsid w:val="00FA23E8"/>
    <w:rsid w:val="00FD2794"/>
    <w:rsid w:val="00FD3CC1"/>
    <w:rsid w:val="00FF1E02"/>
    <w:rsid w:val="00FF30B4"/>
    <w:rsid w:val="03B770C2"/>
    <w:rsid w:val="04F73FB5"/>
    <w:rsid w:val="05AC6E21"/>
    <w:rsid w:val="064E7EBC"/>
    <w:rsid w:val="066E0107"/>
    <w:rsid w:val="07996F6E"/>
    <w:rsid w:val="09A7659F"/>
    <w:rsid w:val="0A2032A3"/>
    <w:rsid w:val="0A634F0B"/>
    <w:rsid w:val="0DF71DE8"/>
    <w:rsid w:val="101860EC"/>
    <w:rsid w:val="10C055FF"/>
    <w:rsid w:val="118107EC"/>
    <w:rsid w:val="12C028F6"/>
    <w:rsid w:val="13D50BC4"/>
    <w:rsid w:val="16BB723D"/>
    <w:rsid w:val="16C45CFF"/>
    <w:rsid w:val="174A36DB"/>
    <w:rsid w:val="17984446"/>
    <w:rsid w:val="19D875C3"/>
    <w:rsid w:val="1A983FEE"/>
    <w:rsid w:val="1BE8440E"/>
    <w:rsid w:val="1D155CEE"/>
    <w:rsid w:val="22B42350"/>
    <w:rsid w:val="23614286"/>
    <w:rsid w:val="23860B96"/>
    <w:rsid w:val="240371BF"/>
    <w:rsid w:val="2524556B"/>
    <w:rsid w:val="25BA62C8"/>
    <w:rsid w:val="25DF2720"/>
    <w:rsid w:val="29954C8F"/>
    <w:rsid w:val="29FD04D3"/>
    <w:rsid w:val="2C7D7761"/>
    <w:rsid w:val="2C8A61B5"/>
    <w:rsid w:val="2D616C31"/>
    <w:rsid w:val="2DF04E50"/>
    <w:rsid w:val="319F7F4E"/>
    <w:rsid w:val="339E5A5A"/>
    <w:rsid w:val="35E36D7D"/>
    <w:rsid w:val="36AA5135"/>
    <w:rsid w:val="37724211"/>
    <w:rsid w:val="37E16F03"/>
    <w:rsid w:val="3D98207C"/>
    <w:rsid w:val="3EC5671A"/>
    <w:rsid w:val="41B4781F"/>
    <w:rsid w:val="429E4757"/>
    <w:rsid w:val="441427F7"/>
    <w:rsid w:val="44E268DA"/>
    <w:rsid w:val="475E6263"/>
    <w:rsid w:val="481B4154"/>
    <w:rsid w:val="49E36EF3"/>
    <w:rsid w:val="4A627F82"/>
    <w:rsid w:val="4B4F25DA"/>
    <w:rsid w:val="4BE068DB"/>
    <w:rsid w:val="4D577224"/>
    <w:rsid w:val="4E7455DD"/>
    <w:rsid w:val="4EAB630A"/>
    <w:rsid w:val="4ECE2238"/>
    <w:rsid w:val="503264DF"/>
    <w:rsid w:val="54170D5F"/>
    <w:rsid w:val="582232DD"/>
    <w:rsid w:val="5AF92295"/>
    <w:rsid w:val="5C4A0002"/>
    <w:rsid w:val="5C9D4D8F"/>
    <w:rsid w:val="5CBD1826"/>
    <w:rsid w:val="5CD71FC4"/>
    <w:rsid w:val="62AE204C"/>
    <w:rsid w:val="63D438A3"/>
    <w:rsid w:val="65A05841"/>
    <w:rsid w:val="66C86AFA"/>
    <w:rsid w:val="69DE1829"/>
    <w:rsid w:val="6C4A05C8"/>
    <w:rsid w:val="6E7E3605"/>
    <w:rsid w:val="6FF5CC65"/>
    <w:rsid w:val="706E56AB"/>
    <w:rsid w:val="715C0E4B"/>
    <w:rsid w:val="72220BB6"/>
    <w:rsid w:val="72734D90"/>
    <w:rsid w:val="73AD73D5"/>
    <w:rsid w:val="73B6EB34"/>
    <w:rsid w:val="744C6DA7"/>
    <w:rsid w:val="78A771BA"/>
    <w:rsid w:val="797E5812"/>
    <w:rsid w:val="79EE5BA4"/>
    <w:rsid w:val="7A6115EB"/>
    <w:rsid w:val="7A894339"/>
    <w:rsid w:val="7ABC0582"/>
    <w:rsid w:val="7AF03132"/>
    <w:rsid w:val="7DB36DE3"/>
    <w:rsid w:val="7EC860DC"/>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24"/>
      <w:szCs w:val="20"/>
    </w:rPr>
  </w:style>
  <w:style w:type="paragraph" w:styleId="6">
    <w:name w:val="Normal Indent"/>
    <w:basedOn w:val="1"/>
    <w:unhideWhenUsed/>
    <w:qFormat/>
    <w:uiPriority w:val="99"/>
    <w:pPr>
      <w:ind w:firstLine="420" w:firstLineChars="200"/>
    </w:pPr>
    <w:rPr>
      <w:rFonts w:ascii="Calibri" w:hAnsi="Calibri"/>
    </w:rPr>
  </w:style>
  <w:style w:type="paragraph" w:styleId="7">
    <w:name w:val="Salutation"/>
    <w:basedOn w:val="1"/>
    <w:next w:val="1"/>
    <w:link w:val="33"/>
    <w:qFormat/>
    <w:uiPriority w:val="99"/>
    <w:rPr>
      <w:rFonts w:asciiTheme="minorHAnsi" w:hAnsiTheme="minorHAnsi" w:eastAsiaTheme="minorEastAsia" w:cstheme="minorBidi"/>
    </w:r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3"/>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uiPriority w:val="0"/>
    <w:pPr>
      <w:widowControl/>
      <w:jc w:val="left"/>
    </w:pPr>
    <w:rPr>
      <w:rFonts w:ascii="宋体" w:hAnsi="宋体" w:cs="宋体"/>
      <w:kern w:val="0"/>
      <w:sz w:val="24"/>
    </w:r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标题 1 Char"/>
    <w:basedOn w:val="16"/>
    <w:link w:val="3"/>
    <w:qFormat/>
    <w:locked/>
    <w:uiPriority w:val="99"/>
    <w:rPr>
      <w:rFonts w:ascii="Times New Roman" w:hAnsi="Times New Roman" w:cs="Times New Roman"/>
      <w:b/>
      <w:bCs/>
      <w:kern w:val="44"/>
      <w:sz w:val="44"/>
      <w:szCs w:val="44"/>
    </w:rPr>
  </w:style>
  <w:style w:type="character" w:customStyle="1" w:styleId="20">
    <w:name w:val="标题 2 Char"/>
    <w:basedOn w:val="16"/>
    <w:link w:val="4"/>
    <w:qFormat/>
    <w:locked/>
    <w:uiPriority w:val="99"/>
    <w:rPr>
      <w:rFonts w:ascii="Cambria" w:hAnsi="Cambria" w:eastAsia="宋体" w:cs="Times New Roman"/>
      <w:b/>
      <w:bCs/>
      <w:kern w:val="2"/>
      <w:sz w:val="32"/>
      <w:szCs w:val="32"/>
    </w:rPr>
  </w:style>
  <w:style w:type="character" w:customStyle="1" w:styleId="21">
    <w:name w:val="标题 3 Char"/>
    <w:basedOn w:val="16"/>
    <w:link w:val="5"/>
    <w:qFormat/>
    <w:locked/>
    <w:uiPriority w:val="99"/>
    <w:rPr>
      <w:rFonts w:ascii="Times New Roman" w:hAnsi="Times New Roman" w:cs="Times New Roman"/>
      <w:b/>
      <w:bCs/>
      <w:kern w:val="2"/>
      <w:sz w:val="32"/>
      <w:szCs w:val="32"/>
    </w:rPr>
  </w:style>
  <w:style w:type="character" w:customStyle="1" w:styleId="22">
    <w:name w:val="Body Text Char"/>
    <w:basedOn w:val="16"/>
    <w:link w:val="2"/>
    <w:semiHidden/>
    <w:qFormat/>
    <w:uiPriority w:val="99"/>
    <w:rPr>
      <w:rFonts w:ascii="Times New Roman" w:hAnsi="Times New Roman" w:cs="Times New Roman"/>
      <w:sz w:val="24"/>
      <w:szCs w:val="24"/>
    </w:rPr>
  </w:style>
  <w:style w:type="character" w:customStyle="1" w:styleId="23">
    <w:name w:val="批注框文本 Char"/>
    <w:basedOn w:val="16"/>
    <w:link w:val="9"/>
    <w:semiHidden/>
    <w:qFormat/>
    <w:locked/>
    <w:uiPriority w:val="99"/>
    <w:rPr>
      <w:rFonts w:ascii="Times New Roman" w:hAnsi="Times New Roman" w:cs="Times New Roman"/>
      <w:kern w:val="2"/>
      <w:sz w:val="18"/>
      <w:szCs w:val="18"/>
    </w:rPr>
  </w:style>
  <w:style w:type="character" w:customStyle="1" w:styleId="24">
    <w:name w:val="Footer Char"/>
    <w:basedOn w:val="16"/>
    <w:link w:val="10"/>
    <w:semiHidden/>
    <w:qFormat/>
    <w:uiPriority w:val="99"/>
    <w:rPr>
      <w:rFonts w:ascii="Times New Roman" w:hAnsi="Times New Roman" w:cs="Times New Roman"/>
      <w:sz w:val="18"/>
      <w:szCs w:val="18"/>
    </w:rPr>
  </w:style>
  <w:style w:type="character" w:customStyle="1" w:styleId="25">
    <w:name w:val="Header Char"/>
    <w:basedOn w:val="16"/>
    <w:link w:val="11"/>
    <w:semiHidden/>
    <w:qFormat/>
    <w:uiPriority w:val="99"/>
    <w:rPr>
      <w:rFonts w:ascii="Times New Roman" w:hAnsi="Times New Roman" w:cs="Times New Roman"/>
      <w:sz w:val="18"/>
      <w:szCs w:val="18"/>
    </w:rPr>
  </w:style>
  <w:style w:type="character" w:customStyle="1" w:styleId="26">
    <w:name w:val="页眉 Char"/>
    <w:link w:val="11"/>
    <w:semiHidden/>
    <w:qFormat/>
    <w:locked/>
    <w:uiPriority w:val="99"/>
    <w:rPr>
      <w:sz w:val="18"/>
    </w:rPr>
  </w:style>
  <w:style w:type="character" w:customStyle="1" w:styleId="27">
    <w:name w:val="页脚 Char"/>
    <w:link w:val="10"/>
    <w:qFormat/>
    <w:locked/>
    <w:uiPriority w:val="99"/>
    <w:rPr>
      <w:sz w:val="18"/>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称呼 Char"/>
    <w:basedOn w:val="16"/>
    <w:link w:val="7"/>
    <w:qFormat/>
    <w:uiPriority w:val="0"/>
    <w:rPr>
      <w:rFonts w:asciiTheme="minorHAnsi" w:hAnsiTheme="minorHAnsi" w:eastAsiaTheme="minorEastAsia" w:cstheme="minorBidi"/>
      <w:szCs w:val="24"/>
    </w:rPr>
  </w:style>
  <w:style w:type="paragraph" w:customStyle="1" w:styleId="34">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NormalCharacter"/>
    <w:semiHidden/>
    <w:qFormat/>
    <w:uiPriority w:val="0"/>
  </w:style>
  <w:style w:type="paragraph" w:customStyle="1" w:styleId="36">
    <w:name w:val="四号正文"/>
    <w:basedOn w:val="1"/>
    <w:qFormat/>
    <w:uiPriority w:val="0"/>
    <w:pPr>
      <w:spacing w:line="360" w:lineRule="auto"/>
    </w:pPr>
    <w:rPr>
      <w:rFonts w:ascii="??" w:hAnsi="??" w:cs="宋体"/>
      <w:color w:val="000000"/>
      <w:kern w:val="0"/>
      <w:sz w:val="28"/>
      <w:szCs w:val="21"/>
    </w:rPr>
  </w:style>
  <w:style w:type="character" w:customStyle="1" w:styleId="37">
    <w:name w:val="font3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22&#24180;\2021&#24180;&#20915;&#31639;\2021&#24180;&#20915;&#31639;&#20844;&#24320;\&#30011;&#22270;&#24037;&#208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圆柱!$B$1</c:f>
              <c:strCache>
                <c:ptCount val="1"/>
                <c:pt idx="0">
                  <c:v>2020年、2021年财政拨款收、支决算总计变动情况（单位：万元）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圆柱!$A$2:$A$5</c:f>
              <c:strCache>
                <c:ptCount val="4"/>
                <c:pt idx="0">
                  <c:v>2020年收入</c:v>
                </c:pt>
                <c:pt idx="1">
                  <c:v>2021年收入</c:v>
                </c:pt>
                <c:pt idx="2">
                  <c:v>2020年支出</c:v>
                </c:pt>
                <c:pt idx="3">
                  <c:v>2021年支出</c:v>
                </c:pt>
              </c:strCache>
            </c:strRef>
          </c:cat>
          <c:val>
            <c:numRef>
              <c:f>圆柱!$B$2:$B$5</c:f>
              <c:numCache>
                <c:formatCode>General</c:formatCode>
                <c:ptCount val="4"/>
                <c:pt idx="0">
                  <c:v>3496.95</c:v>
                </c:pt>
                <c:pt idx="1">
                  <c:v>4138.72</c:v>
                </c:pt>
                <c:pt idx="2">
                  <c:v>3496.95</c:v>
                </c:pt>
                <c:pt idx="3">
                  <c:v>4138.72</c:v>
                </c:pt>
              </c:numCache>
            </c:numRef>
          </c:val>
        </c:ser>
        <c:dLbls>
          <c:showLegendKey val="false"/>
          <c:showVal val="true"/>
          <c:showCatName val="false"/>
          <c:showSerName val="false"/>
          <c:showPercent val="false"/>
          <c:showBubbleSize val="false"/>
        </c:dLbls>
        <c:gapWidth val="150"/>
        <c:axId val="171792256"/>
        <c:axId val="173555712"/>
      </c:barChart>
      <c:catAx>
        <c:axId val="17179225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3555712"/>
        <c:crosses val="autoZero"/>
        <c:auto val="true"/>
        <c:lblAlgn val="ctr"/>
        <c:lblOffset val="100"/>
        <c:noMultiLvlLbl val="false"/>
      </c:catAx>
      <c:valAx>
        <c:axId val="17355571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1792256"/>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总收入!$B$1</c:f>
              <c:strCache>
                <c:ptCount val="1"/>
                <c:pt idx="0">
                  <c:v>收入决算结构（单位：万元）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dLbl>
              <c:idx val="2"/>
              <c:delete val="true"/>
            </c:dLbl>
            <c:dLbl>
              <c:idx val="3"/>
              <c:delete val="true"/>
            </c:dLbl>
            <c:dLbl>
              <c:idx val="4"/>
              <c:delete val="true"/>
            </c:dLbl>
            <c:dLbl>
              <c:idx val="5"/>
              <c:delete val="true"/>
            </c:dLbl>
            <c:dLbl>
              <c:idx val="6"/>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总收入!$A$2:$A$8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总收入!$B$2:$B$8</c:f>
              <c:numCache>
                <c:formatCode>General</c:formatCode>
                <c:ptCount val="7"/>
                <c:pt idx="0">
                  <c:v>4138.72</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支出结构!$B$1</c:f>
              <c:strCache>
                <c:ptCount val="1"/>
                <c:pt idx="0">
                  <c:v>支出决算结构（单位：万元）</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支出结构!$A$2:$A$3</c:f>
              <c:strCache>
                <c:ptCount val="2"/>
                <c:pt idx="0">
                  <c:v>基本支出</c:v>
                </c:pt>
                <c:pt idx="1">
                  <c:v>项目支出</c:v>
                </c:pt>
              </c:strCache>
            </c:strRef>
          </c:cat>
          <c:val>
            <c:numRef>
              <c:f>支出结构!$B$2:$B$3</c:f>
              <c:numCache>
                <c:formatCode>General</c:formatCode>
                <c:ptCount val="2"/>
                <c:pt idx="0">
                  <c:v>973.839999999999</c:v>
                </c:pt>
                <c:pt idx="1">
                  <c:v>3164.88</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圆柱!$B$1</c:f>
              <c:strCache>
                <c:ptCount val="1"/>
                <c:pt idx="0">
                  <c:v>2020年、2021年财政拨款收、支决算总计变动情况（单位：万元）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圆柱!$A$2:$A$5</c:f>
              <c:strCache>
                <c:ptCount val="4"/>
                <c:pt idx="0">
                  <c:v>2020年收入</c:v>
                </c:pt>
                <c:pt idx="1">
                  <c:v>2021年收入</c:v>
                </c:pt>
                <c:pt idx="2">
                  <c:v>2020年支出</c:v>
                </c:pt>
                <c:pt idx="3">
                  <c:v>2021年支出</c:v>
                </c:pt>
              </c:strCache>
            </c:strRef>
          </c:cat>
          <c:val>
            <c:numRef>
              <c:f>圆柱!$B$2:$B$5</c:f>
              <c:numCache>
                <c:formatCode>General</c:formatCode>
                <c:ptCount val="4"/>
                <c:pt idx="0">
                  <c:v>3496.95</c:v>
                </c:pt>
                <c:pt idx="1">
                  <c:v>4138.72</c:v>
                </c:pt>
                <c:pt idx="2">
                  <c:v>3496.95</c:v>
                </c:pt>
                <c:pt idx="3">
                  <c:v>4138.72</c:v>
                </c:pt>
              </c:numCache>
            </c:numRef>
          </c:val>
        </c:ser>
        <c:dLbls>
          <c:showLegendKey val="false"/>
          <c:showVal val="true"/>
          <c:showCatName val="false"/>
          <c:showSerName val="false"/>
          <c:showPercent val="false"/>
          <c:showBubbleSize val="false"/>
        </c:dLbls>
        <c:gapWidth val="150"/>
        <c:axId val="200006272"/>
        <c:axId val="200053120"/>
      </c:barChart>
      <c:catAx>
        <c:axId val="20000627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0053120"/>
        <c:crosses val="autoZero"/>
        <c:auto val="true"/>
        <c:lblAlgn val="ctr"/>
        <c:lblOffset val="100"/>
        <c:noMultiLvlLbl val="false"/>
      </c:catAx>
      <c:valAx>
        <c:axId val="2000531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0006272"/>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Sheet2!$B$1</c:f>
              <c:strCache>
                <c:ptCount val="1"/>
                <c:pt idx="0">
                  <c:v>一般公共预算财政拨款支出决算变动情况（单位：万元）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Sheet2!$A$2:$A$3</c:f>
              <c:strCache>
                <c:ptCount val="2"/>
                <c:pt idx="0">
                  <c:v>2020年支出</c:v>
                </c:pt>
                <c:pt idx="1">
                  <c:v>2021年支出</c:v>
                </c:pt>
              </c:strCache>
            </c:strRef>
          </c:cat>
          <c:val>
            <c:numRef>
              <c:f>Sheet2!$B$2:$B$3</c:f>
              <c:numCache>
                <c:formatCode>General</c:formatCode>
                <c:ptCount val="2"/>
                <c:pt idx="0">
                  <c:v>3327.45</c:v>
                </c:pt>
                <c:pt idx="1">
                  <c:v>4138.72</c:v>
                </c:pt>
              </c:numCache>
            </c:numRef>
          </c:val>
        </c:ser>
        <c:dLbls>
          <c:showLegendKey val="false"/>
          <c:showVal val="true"/>
          <c:showCatName val="false"/>
          <c:showSerName val="false"/>
          <c:showPercent val="false"/>
          <c:showBubbleSize val="false"/>
        </c:dLbls>
        <c:gapWidth val="150"/>
        <c:axId val="201304320"/>
        <c:axId val="201982720"/>
      </c:barChart>
      <c:catAx>
        <c:axId val="20130432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1982720"/>
        <c:crosses val="autoZero"/>
        <c:auto val="true"/>
        <c:lblAlgn val="ctr"/>
        <c:lblOffset val="100"/>
        <c:noMultiLvlLbl val="false"/>
      </c:catAx>
      <c:valAx>
        <c:axId val="2019827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1304320"/>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一般公共预算财政拨款支出决算结构（单位：万元）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Sheet1!$A$2:$A$7</c:f>
              <c:strCache>
                <c:ptCount val="5"/>
                <c:pt idx="0">
                  <c:v>文化体育与传媒支出</c:v>
                </c:pt>
                <c:pt idx="1">
                  <c:v>社会保障和就业支出</c:v>
                </c:pt>
                <c:pt idx="2">
                  <c:v>医疗卫生支出</c:v>
                </c:pt>
                <c:pt idx="3">
                  <c:v>农林水支出</c:v>
                </c:pt>
                <c:pt idx="4">
                  <c:v>住房保障支出</c:v>
                </c:pt>
              </c:strCache>
            </c:strRef>
          </c:cat>
          <c:val>
            <c:numRef>
              <c:f>Sheet1!$B$2:$B$7</c:f>
              <c:numCache>
                <c:formatCode>General</c:formatCode>
                <c:ptCount val="6"/>
                <c:pt idx="0">
                  <c:v>3884.05</c:v>
                </c:pt>
                <c:pt idx="1">
                  <c:v>85.06</c:v>
                </c:pt>
                <c:pt idx="2">
                  <c:v>35.88</c:v>
                </c:pt>
                <c:pt idx="3">
                  <c:v>81.71</c:v>
                </c:pt>
                <c:pt idx="4">
                  <c:v>52.03</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Sheet4!$B$1</c:f>
              <c:strCache>
                <c:ptCount val="1"/>
                <c:pt idx="0">
                  <c:v>“三公”经费财政拨款支出结构图（单位：万元）</c:v>
                </c:pt>
              </c:strCache>
            </c:strRef>
          </c:tx>
          <c:explosion val="0"/>
          <c:dPt>
            <c:idx val="0"/>
            <c:bubble3D val="false"/>
          </c:dPt>
          <c:dLbls>
            <c:dLbl>
              <c:idx val="0"/>
              <c:layout>
                <c:manualLayout>
                  <c:x val="-0.00449475065616798"/>
                  <c:y val="-0.35438867016623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Sheet4!$A$2</c:f>
              <c:strCache>
                <c:ptCount val="1"/>
                <c:pt idx="0">
                  <c:v>公务接待费支出</c:v>
                </c:pt>
              </c:strCache>
            </c:strRef>
          </c:cat>
          <c:val>
            <c:numRef>
              <c:f>Sheet4!$B$2</c:f>
              <c:numCache>
                <c:formatCode>General</c:formatCode>
                <c:ptCount val="1"/>
                <c:pt idx="0">
                  <c:v>2.75</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50</Pages>
  <Words>20864</Words>
  <Characters>22211</Characters>
  <Lines>144</Lines>
  <Paragraphs>40</Paragraphs>
  <TotalTime>905</TotalTime>
  <ScaleCrop>false</ScaleCrop>
  <LinksUpToDate>false</LinksUpToDate>
  <CharactersWithSpaces>23144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2022-09-06T00:05:00Z</dcterms:created>
  <dc:creator>曹颖</dc:creator>
  <cp:lastModifiedBy>user</cp:lastModifiedBy>
  <cp:lastPrinted>2022-08-09T01:11:00Z</cp:lastPrinted>
  <dcterms:modified xsi:type="dcterms:W3CDTF">2023-08-29T10:22:04Z</dcterms:modified>
  <dc:title>四川省***</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0723438CF0BA4B5EAEDE01A44ED9D88F</vt:lpwstr>
  </property>
</Properties>
</file>