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广元市朝天区</w:t>
      </w:r>
      <w:r>
        <w:rPr>
          <w:rFonts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年市场监管领域部门联合“双随机、一公开”监管计划</w:t>
      </w:r>
    </w:p>
    <w:tbl>
      <w:tblPr>
        <w:tblStyle w:val="6"/>
        <w:tblW w:w="15464" w:type="dxa"/>
        <w:tblInd w:w="-5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268"/>
        <w:gridCol w:w="1417"/>
        <w:gridCol w:w="709"/>
        <w:gridCol w:w="850"/>
        <w:gridCol w:w="3815"/>
        <w:gridCol w:w="1080"/>
        <w:gridCol w:w="1201"/>
        <w:gridCol w:w="2268"/>
        <w:gridCol w:w="708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计划名称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抽查对象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事项类别</w:t>
            </w:r>
          </w:p>
        </w:tc>
        <w:tc>
          <w:tcPr>
            <w:tcW w:w="5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牵头发起部门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联合抽查部门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联合抽查部门联合抽查事项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检查时间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抽查比例或户数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抽查内容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抽查方式</w:t>
            </w: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-619" w:leftChars="-295" w:firstLine="0" w:firstLineChars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年国家投资工程建设项目招标投标部门联合双随机检查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在建的国家投资工程建设项目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区发展和改革局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项目招投标法律法规执行情况；相关制度和相关规定执行情况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在建项目主管部门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年政策性储备粮和小包装应急粮油部门联合双随机检查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全区各级储备粮承储企业仓间货位、小包装应急粮油储备单位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区发展和改革局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政策性储备粮库存粮食数量、质量、轮换计划、统计帐、资金帐；小包装应急粮油数量、质量、超期储存、帐实相符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区财政局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年校外培训机构部门联合双随机检查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校外培训机构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区教育和科学技术局</w:t>
            </w:r>
          </w:p>
        </w:tc>
        <w:tc>
          <w:tcPr>
            <w:tcW w:w="3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按照“双减”政策相关要求对校外培训机构办学情况进行检查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区民政局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民非登记情况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7-9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校外培训机构广告发布情况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年特定餐饮服务单位食品安全部门联合双随机检查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学校食堂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经营资质、人员管理、过程控制等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区教育和科学技术局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学校、托幼机构等食堂食品安全、经营资质、人员管理、过程控制的检查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春秋各一次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年医疗机构特种设备部门联合双随机检查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三落实、两有证、一检验、一预案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区卫生健康局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医疗机构把电梯、压力容器纳入安全管理范畴以及执行落实情况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年互联网上网服务营业场所部门联合双随机检查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互联网上网服务营业场所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区文化旅游和体育局</w:t>
            </w:r>
          </w:p>
        </w:tc>
        <w:tc>
          <w:tcPr>
            <w:tcW w:w="3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依照《互联网上网服务营业场所管理条例》开展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区公安分局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安全检查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区消防和救援大队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用火用电、消防通道、消防设施设备检查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年旅馆业抽查部门联合双随机检查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纳入旅馆业系统管理的宾馆、旅店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区公安分局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住宿人员登记情况，是否达到“四实”要求；治安防范情况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年度报告公示信息的检查。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年爆破作业单位部门联合双随机检查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爆破作业单位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区公安分局</w:t>
            </w:r>
          </w:p>
        </w:tc>
        <w:tc>
          <w:tcPr>
            <w:tcW w:w="3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爆破作业人员和民爆物品的品种、数量、来源与公安机关许可信息是否一致；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民爆物品储存库技防、人防、物防、犬防等治安防范措施落实情况；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民爆物品流向信息的查验、登记、备案、信息采集和报送情况；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实有民爆物品的品种、数量、来源、登记标示于台账结存信息是否一致；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实有民爆物品的警示、登记标示质量是否可靠、信息是否准确。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现场检查、网络、书面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区应急管理局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企业安全生产经营情况的检查。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年农业生产资料部门联合双随机检查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农药、肥料、种子、兽药、饲料及饲料添加剂、农业机械生产经营者等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区农业农村局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农药生产经营资质、档案管理、台账管理、农药标识标签等。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肥料产品质量、肥料登记证及肥料标签等。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种子经营主体是否合法，是否依法备案登记；种子标签和使用说明是否规范；销售行为合法性及种子质量是否达标。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执行《兽药生产质量管理规范》情况，安全生产情况。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执行《饲料质量安全管理规范》情况，安全生产等情况。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农业机械制造商名称、地址一致性；获证产品一致性；证书和标志使用情况。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现场检查、抽样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肥料产品质量监督抽查、化肥生产许可获证企业监督检查。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年度报告公示信息的检查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年种畜禽、水生野生动物养殖部门联合双随机检查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经营利用水生野生动物及其制品的市场主体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区农业农村局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水生野生动物经营利用证是否有效、是否年检、经营品种及数量是否符合规定。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实地核查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按职责进行检查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年房地产开发企业经营行为部门联合双随机检查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房地产开发企业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区住房和城乡建设局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房地产开发企业的经营活动是否符合房地产开发相关规定。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现场检查、书面、网络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房地产开发企业自媒体广告发布情况的检查、年度报告公示信息的检查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年物业服务部门联合双随机检查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物业服务企业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区住房和城乡建设局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物业服务企业经营活动是否符合《四川省物业管理条例》等相关规定。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电梯等特种设备使用安全管理的检查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年建筑市场部门联合双随机检查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在建建筑工程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区住房和城乡建设局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起重机械设备使用是否违反《建筑起重机械安全监督管理规定》第十七条、第二十八条、第二十九条、第三十条、第三十一条、第三十二条、第三十三条等规定。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现场检查、书面、网络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“两工地”起重机械检验机构持续满足许可情况检查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年燃气经营部门联合双随机检查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燃气企业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区住房和城乡建设局</w:t>
            </w:r>
          </w:p>
        </w:tc>
        <w:tc>
          <w:tcPr>
            <w:tcW w:w="3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是否取得燃气经营许可证；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燃气经营许可证是否在有效期内；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是否在许可证所规定的经营范围内进行经营活动；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燃气安全生产经营管理情况是否符合规定。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现场检查、书面、网络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燃气相关特种设备安全检查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年各类用人单位工资支付情况部门联合双随机检查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各类用人单位（与劳动者建立劳动关系）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区人力资源和社会保障局</w:t>
            </w:r>
          </w:p>
        </w:tc>
        <w:tc>
          <w:tcPr>
            <w:tcW w:w="3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遵守工资支付有关法律法规情形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现场检查、网络、第三方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区住房和城乡建设局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年劳务派遣用工部门联合双随机检查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劳务派遣相关单位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区人力资源和社会保障局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遵守劳务派遣有关法律法规情形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年职业病防治部门联合双随机检查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矿山、冶金、建材、化工等重点行业领域的企事业单位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区卫生健康局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用人单位职业病防治管理措施落实、职业病危害因素日常监测、检测和评价等情况及用人单位劳动合同签订、职业病本人工伤保险权益享受情况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区人力资源和社会保障局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遵守劳动合同有关情况检查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年汽车流通市场（新车）部门联合双随机检查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新车销售市场经营主体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区商务局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按照《汽车销售管理办法》内容要求，根据职能职责进行检查。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年汽车流通市场（二手）部门联合双随机检查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二手车交易市场和二手车经营主体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区商务局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按照《二手车流通管理办法》内容要求，根据职能职责进行检查。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年养老机构部门联合双随机检查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区内养老机构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区民政局</w:t>
            </w:r>
          </w:p>
        </w:tc>
        <w:tc>
          <w:tcPr>
            <w:tcW w:w="3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证照检查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区卫生健康局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年交通运输行业部门联合双随机检查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道路危险货物运输企业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区交通运输局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道路危险货物运输企业的检查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区应急管理局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危险化学品生产、存储、使用和经营环节安全生产情况的检查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年车辆维修企业部门联合双随机检查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汽车维修企业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区交通运输局</w:t>
            </w:r>
          </w:p>
        </w:tc>
        <w:tc>
          <w:tcPr>
            <w:tcW w:w="3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对车辆维修企业经营活动进行检查。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现场检查、网络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朝天生态环境局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维修企业污染源防治措施的检查。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年消防安全部门联合双随机检查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使用领域单位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区消防和救援大队</w:t>
            </w:r>
          </w:p>
        </w:tc>
        <w:tc>
          <w:tcPr>
            <w:tcW w:w="3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按照《消防法》《四川省消防条例》要求实施。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按职责进行检查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区应急管理局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区教育和科学技术局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区公安分局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年城市建筑垃圾处置部门联合双随机检查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建筑垃圾处置企业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区综合行政执法局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建筑垃圾处置核准时间；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建筑垃圾运输时间、路线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朝天生态环境局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生态环境事项检查。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年大型户外广告部门联合双随机检查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设置企业或个体经营户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区综合行政执法局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宣传品设置审批时间、尺寸、位置。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区自然资源分局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取得许可证、安装情况检查。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年工业园区污水处理部门联合双随机检查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朝天生态环境局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按照《中华人民共和国水污染防治法》等要求实施。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区经济和信息化局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按部门职责开展检查。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年统计执法部门联合双随机检查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规模以上工业企业、限额以上批零住餐企业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区统计局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按部门职责开展检查。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年度报告公示信息的检查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年医保基金合法使用情况部门联合双随机检查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全区定点医药机构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区医保局</w:t>
            </w:r>
          </w:p>
        </w:tc>
        <w:tc>
          <w:tcPr>
            <w:tcW w:w="3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按照营业证照规定范围经营情况以及是否存在涉嫌欺诈骗保行为。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对药品经营行为的检查。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年成品油市场部门联合双随机检查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成品油批发、零售、仓储经营单位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区经济和信息化局</w:t>
            </w:r>
          </w:p>
        </w:tc>
        <w:tc>
          <w:tcPr>
            <w:tcW w:w="3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依法取得成品油零售经营资格证书的成品油经营企业管理不规范、安全消防环保设施设备陈旧、进油渠道不明确、购销台账不完善和未批先建、擅自改（扩）建等行为进行规范和整治。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查处无照、超范围经营，查处不符合国家标准油品、违反价格销售、使用未经检定计量器具等行为进行查处和整治。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区应急管理局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安全生产执法专项检查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朝天生态环境局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负责对环保设施设备陈旧、油气回收治理、危废的检查。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区公安分局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加油站（点）购买散装汽油查，及时发现隐患并督促其整改。依法打击成品油非法经营、运输、储存的违法犯罪活动。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年烟花爆竹经营企业部门联合双随机检查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烟花爆竹经营企业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区应急管理局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烟花爆竹经营企业是否按规定取得相应许可证。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烟花爆竹经营企业的安全生产主体责任、法律法规、规章、制度等落实情况。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实地核查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区公安分局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烟花爆竹经营企业运输、燃放情况的检查。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年非煤矿山部门联合双随机检查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非煤矿山（含地质勘探）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区应急管理局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企业的安全生产主体责任、法律、法规、规章、制度等落实情况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查阅安全生产资料、实地现场检查检查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区自然资源分局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朝天区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年工矿商贸及危险化学品企业部门联合双随机检查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工矿商贸及危险化学品企业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区应急管理局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企业的安全生产主体责任、法律、法规、规章、制度等落实情况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查阅安全生产资料、实地现场检查检查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区经济和信息化局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按部门职责进行检查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</w:tr>
    </w:tbl>
    <w:p>
      <w:pPr>
        <w:spacing w:line="0" w:lineRule="atLeast"/>
      </w:pPr>
      <w:r>
        <w:rPr>
          <w:rFonts w:hint="eastAsia"/>
        </w:rPr>
        <w:t>备注：</w:t>
      </w:r>
    </w:p>
    <w:p>
      <w:pPr>
        <w:widowControl/>
        <w:spacing w:line="0" w:lineRule="atLeast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1</w:t>
      </w:r>
      <w:r>
        <w:rPr>
          <w:rFonts w:hint="eastAsia" w:ascii="宋体" w:hAnsi="宋体" w:cs="宋体"/>
          <w:color w:val="000000"/>
          <w:kern w:val="0"/>
          <w:sz w:val="22"/>
        </w:rPr>
        <w:t>、本计划的抽查市场主体比例，可根据“双随机、一公开”监管与信用风险分类监管、大数据分析监管等结合，调整市场主体抽查比例和频次。</w:t>
      </w:r>
    </w:p>
    <w:p>
      <w:pPr>
        <w:widowControl/>
        <w:spacing w:line="0" w:lineRule="atLeast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2</w:t>
      </w:r>
      <w:r>
        <w:rPr>
          <w:rFonts w:hint="eastAsia" w:ascii="宋体" w:hAnsi="宋体" w:cs="宋体"/>
          <w:color w:val="000000"/>
          <w:kern w:val="0"/>
          <w:sz w:val="22"/>
        </w:rPr>
        <w:t>、请各成员单位按质按量完成区级年度计划，并按本部门年度计划开展好“双随机、一公开”监管工作。</w:t>
      </w:r>
    </w:p>
    <w:p>
      <w:pPr>
        <w:ind w:left="-619" w:leftChars="-295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zE2ZmY2YTVhMzE0Zjg1ZDNkMGViMjlmNWM1M2MifQ=="/>
  </w:docVars>
  <w:rsids>
    <w:rsidRoot w:val="7CAD2213"/>
    <w:rsid w:val="7CA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iPriority w:val="0"/>
    <w:pPr>
      <w:spacing w:before="100" w:beforeAutospacing="1"/>
      <w:ind w:firstLine="420" w:firstLineChars="200"/>
    </w:pPr>
    <w:rPr>
      <w:rFonts w:cs="宋体"/>
      <w:szCs w:val="21"/>
    </w:rPr>
  </w:style>
  <w:style w:type="paragraph" w:styleId="3">
    <w:name w:val="Body Text Indent"/>
    <w:basedOn w:val="1"/>
    <w:semiHidden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2023-09-13T09:52:00Z</dcterms:created>
  <dc:creator>====</dc:creator>
  <cp:lastModifiedBy>====</cp:lastModifiedBy>
  <dcterms:modified xsi:type="dcterms:W3CDTF">2023-09-13T09:52:57Z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C6041BEA8B364AE086E795B462426CAB_11</vt:lpwstr>
  </property>
</Properties>
</file>