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425"/>
      <w:bookmarkStart w:id="1" w:name="_Toc15396597"/>
      <w:bookmarkStart w:id="2" w:name="_Toc15377193"/>
      <w:bookmarkStart w:id="3" w:name="_Toc1539647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rPr>
      </w:pPr>
      <w:bookmarkStart w:id="6" w:name="_Toc24460"/>
      <w:bookmarkStart w:id="7" w:name="_Toc3582"/>
      <w:bookmarkStart w:id="8" w:name="_Toc264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9" w:name="_Toc15396598"/>
      <w:bookmarkStart w:id="10" w:name="_Toc15378442"/>
      <w:bookmarkStart w:id="11" w:name="_Toc15377426"/>
      <w:bookmarkStart w:id="12" w:name="_Toc9665"/>
      <w:bookmarkStart w:id="13" w:name="_Toc22584"/>
      <w:bookmarkStart w:id="14" w:name="_Toc15396476"/>
      <w:bookmarkStart w:id="15" w:name="_Toc24172"/>
      <w:bookmarkStart w:id="16" w:name="_Toc15377194"/>
      <w:r>
        <w:rPr>
          <w:rFonts w:hint="eastAsia" w:ascii="方正小标宋简体" w:hAnsi="方正小标宋简体" w:eastAsia="方正小标宋简体" w:cs="方正小标宋简体"/>
          <w:color w:val="auto"/>
          <w:sz w:val="72"/>
          <w:szCs w:val="72"/>
          <w:highlight w:val="none"/>
        </w:rPr>
        <w:t>四川省</w:t>
      </w:r>
      <w:bookmarkEnd w:id="5"/>
      <w:bookmarkStart w:id="17" w:name="_Toc15306268"/>
      <w:r>
        <w:rPr>
          <w:rFonts w:hint="eastAsia" w:ascii="方正小标宋简体" w:hAnsi="方正小标宋简体" w:eastAsia="方正小标宋简体" w:cs="方正小标宋简体"/>
          <w:color w:val="auto"/>
          <w:sz w:val="72"/>
          <w:szCs w:val="72"/>
          <w:highlight w:val="none"/>
          <w:lang w:eastAsia="zh-CN"/>
        </w:rPr>
        <w:t>广元市朝天区</w:t>
      </w:r>
      <w:r>
        <w:rPr>
          <w:rFonts w:hint="eastAsia" w:ascii="方正小标宋简体" w:hAnsi="方正小标宋简体" w:eastAsia="方正小标宋简体" w:cs="方正小标宋简体"/>
          <w:color w:val="auto"/>
          <w:sz w:val="72"/>
          <w:szCs w:val="72"/>
          <w:highlight w:val="none"/>
          <w:lang w:val="en-US" w:eastAsia="zh-CN"/>
        </w:rPr>
        <w:t>粮食和物资储备中心</w:t>
      </w:r>
      <w:r>
        <w:rPr>
          <w:rFonts w:hint="eastAsia" w:ascii="方正小标宋简体" w:hAnsi="方正小标宋简体" w:eastAsia="方正小标宋简体" w:cs="方正小标宋简体"/>
          <w:color w:val="auto"/>
          <w:sz w:val="72"/>
          <w:szCs w:val="72"/>
          <w:highlight w:val="none"/>
        </w:rPr>
        <w:t>决算</w:t>
      </w:r>
      <w:bookmarkEnd w:id="9"/>
      <w:bookmarkEnd w:id="10"/>
      <w:bookmarkEnd w:id="11"/>
      <w:bookmarkEnd w:id="12"/>
      <w:bookmarkEnd w:id="13"/>
      <w:bookmarkEnd w:id="14"/>
      <w:bookmarkEnd w:id="15"/>
      <w:bookmarkEnd w:id="16"/>
      <w:bookmarkEnd w:id="17"/>
      <w:r>
        <w:rPr>
          <w:rFonts w:hint="eastAsia" w:ascii="方正小标宋简体" w:hAnsi="方正小标宋简体" w:eastAsia="方正小标宋简体" w:cs="方正小标宋简体"/>
          <w:color w:val="auto"/>
          <w:sz w:val="72"/>
          <w:szCs w:val="72"/>
          <w:highlight w:val="none"/>
          <w:lang w:eastAsia="zh-CN"/>
        </w:rPr>
        <w:t>公开</w:t>
      </w:r>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6850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ind w:left="0" w:leftChars="0" w:right="0" w:rightChars="0" w:firstLine="0" w:firstLineChars="0"/>
            <w:jc w:val="center"/>
            <w:rPr>
              <w:rFonts w:ascii="Times New Roman" w:hAnsi="Times New Roman" w:eastAsia="仿宋_GB2312" w:cs="Times New Roman"/>
              <w:kern w:val="2"/>
              <w:sz w:val="32"/>
              <w:szCs w:val="24"/>
              <w:lang w:val="en-US" w:eastAsia="zh-CN" w:bidi="ar-SA"/>
            </w:rPr>
          </w:pPr>
          <w:bookmarkStart w:id="18" w:name="_Toc15396599"/>
          <w:bookmarkStart w:id="19" w:name="_Toc15377196"/>
          <w:r>
            <w:rPr>
              <w:rFonts w:hint="eastAsia" w:ascii="黑体" w:hAnsi="黑体" w:eastAsia="黑体" w:cs="黑体"/>
              <w:b w:val="0"/>
              <w:bCs w:val="0"/>
              <w:sz w:val="36"/>
              <w:szCs w:val="44"/>
            </w:rPr>
            <w:t>目</w:t>
          </w:r>
          <w:r>
            <w:rPr>
              <w:rFonts w:hint="eastAsia" w:ascii="黑体" w:hAnsi="黑体" w:eastAsia="黑体" w:cs="黑体"/>
              <w:b w:val="0"/>
              <w:bCs w:val="0"/>
              <w:sz w:val="36"/>
              <w:szCs w:val="44"/>
              <w:lang w:val="en-US" w:eastAsia="zh-CN"/>
            </w:rPr>
            <w:t xml:space="preserve">  </w:t>
          </w:r>
          <w:r>
            <w:rPr>
              <w:rFonts w:hint="eastAsia" w:ascii="黑体" w:hAnsi="黑体" w:eastAsia="黑体" w:cs="黑体"/>
              <w:b w:val="0"/>
              <w:bCs w:val="0"/>
              <w:sz w:val="36"/>
              <w:szCs w:val="44"/>
            </w:rPr>
            <w:t>录</w:t>
          </w:r>
          <w:r>
            <w:fldChar w:fldCharType="begin"/>
          </w:r>
          <w:r>
            <w:instrText xml:space="preserve">TOC \o "1-3" \h \u </w:instrText>
          </w:r>
          <w:r>
            <w:fldChar w:fldCharType="separate"/>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_Toc27275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部门概况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_Toc17849 </w:instrText>
          </w:r>
          <w:r>
            <w:rPr>
              <w:rFonts w:hint="eastAsia" w:ascii="宋体" w:hAnsi="宋体" w:eastAsia="宋体" w:cs="宋体"/>
              <w:sz w:val="24"/>
              <w:szCs w:val="24"/>
            </w:rPr>
            <w:fldChar w:fldCharType="separate"/>
          </w:r>
          <w:r>
            <w:rPr>
              <w:rFonts w:hint="eastAsia" w:ascii="宋体" w:hAnsi="宋体" w:eastAsia="宋体" w:cs="宋体"/>
              <w:sz w:val="24"/>
              <w:szCs w:val="24"/>
            </w:rPr>
            <w:t>一、基本职能及主要工作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_Toc17849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_Toc10280 </w:instrText>
          </w:r>
          <w:r>
            <w:rPr>
              <w:rFonts w:hint="eastAsia" w:ascii="宋体" w:hAnsi="宋体" w:eastAsia="宋体" w:cs="宋体"/>
              <w:sz w:val="24"/>
              <w:szCs w:val="24"/>
            </w:rPr>
            <w:fldChar w:fldCharType="separate"/>
          </w:r>
          <w:r>
            <w:rPr>
              <w:rFonts w:hint="eastAsia" w:ascii="宋体" w:hAnsi="宋体" w:eastAsia="宋体" w:cs="宋体"/>
              <w:sz w:val="24"/>
              <w:szCs w:val="24"/>
            </w:rPr>
            <w:t>（一）主要职能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_Toc10280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_Toc26019 </w:instrText>
          </w:r>
          <w:r>
            <w:rPr>
              <w:rFonts w:hint="eastAsia" w:ascii="宋体" w:hAnsi="宋体" w:eastAsia="宋体" w:cs="宋体"/>
              <w:sz w:val="24"/>
              <w:szCs w:val="24"/>
            </w:rPr>
            <w:fldChar w:fldCharType="separate"/>
          </w:r>
          <w:r>
            <w:rPr>
              <w:rFonts w:hint="eastAsia" w:ascii="宋体" w:hAnsi="宋体" w:eastAsia="宋体" w:cs="宋体"/>
              <w:sz w:val="24"/>
              <w:szCs w:val="24"/>
            </w:rPr>
            <w:t>（二）20</w:t>
          </w:r>
          <w:r>
            <w:rPr>
              <w:rFonts w:hint="eastAsia" w:ascii="宋体" w:hAnsi="宋体" w:eastAsia="宋体" w:cs="宋体"/>
              <w:sz w:val="24"/>
              <w:szCs w:val="24"/>
              <w:lang w:val="en-US" w:eastAsia="zh-CN"/>
            </w:rPr>
            <w:t>21</w:t>
          </w:r>
          <w:r>
            <w:rPr>
              <w:rFonts w:hint="eastAsia" w:ascii="宋体" w:hAnsi="宋体" w:eastAsia="宋体" w:cs="宋体"/>
              <w:sz w:val="24"/>
              <w:szCs w:val="24"/>
            </w:rPr>
            <w:t>年重点工作完成情况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_Toc26019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_Toc31950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_Toc3752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 xml:space="preserve"> 2021年度</w:t>
          </w:r>
          <w:r>
            <w:rPr>
              <w:rFonts w:hint="eastAsia" w:ascii="宋体" w:hAnsi="宋体" w:eastAsia="宋体" w:cs="宋体"/>
              <w:sz w:val="24"/>
              <w:szCs w:val="24"/>
            </w:rPr>
            <w:t>部门决算情况说明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_Toc3752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_Toc16501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_Toc27824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_Toc27824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_Toc18188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_Toc18188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_Toc6987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_Toc23910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_Toc32380 </w:instrText>
          </w:r>
          <w:r>
            <w:rPr>
              <w:rFonts w:hint="eastAsia" w:ascii="宋体" w:hAnsi="宋体" w:eastAsia="宋体" w:cs="宋体"/>
              <w:sz w:val="24"/>
              <w:szCs w:val="24"/>
            </w:rPr>
            <w:fldChar w:fldCharType="separate"/>
          </w:r>
          <w:r>
            <w:rPr>
              <w:rFonts w:hint="eastAsia" w:ascii="宋体" w:hAnsi="宋体" w:eastAsia="宋体" w:cs="宋体"/>
              <w:sz w:val="24"/>
              <w:szCs w:val="24"/>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_Toc32380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_Toc14645 </w:instrText>
          </w:r>
          <w:r>
            <w:rPr>
              <w:rFonts w:hint="eastAsia" w:ascii="宋体" w:hAnsi="宋体" w:eastAsia="宋体" w:cs="宋体"/>
              <w:sz w:val="24"/>
              <w:szCs w:val="24"/>
            </w:rPr>
            <w:fldChar w:fldCharType="separate"/>
          </w:r>
          <w:r>
            <w:rPr>
              <w:rFonts w:hint="eastAsia" w:ascii="宋体" w:hAnsi="宋体" w:eastAsia="宋体" w:cs="宋体"/>
              <w:sz w:val="24"/>
              <w:szCs w:val="24"/>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_Toc14645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_Toc29323 </w:instrText>
          </w:r>
          <w:r>
            <w:rPr>
              <w:rFonts w:hint="eastAsia" w:ascii="宋体" w:hAnsi="宋体" w:eastAsia="宋体" w:cs="宋体"/>
              <w:sz w:val="24"/>
              <w:szCs w:val="24"/>
            </w:rPr>
            <w:fldChar w:fldCharType="separate"/>
          </w:r>
          <w:r>
            <w:rPr>
              <w:rFonts w:hint="eastAsia" w:ascii="宋体" w:hAnsi="宋体" w:eastAsia="宋体" w:cs="宋体"/>
              <w:sz w:val="24"/>
              <w:szCs w:val="24"/>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_Toc32692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_Toc32692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_Toc2984 </w:instrText>
          </w:r>
          <w:r>
            <w:rPr>
              <w:rFonts w:hint="eastAsia" w:ascii="宋体" w:hAnsi="宋体" w:eastAsia="宋体" w:cs="宋体"/>
              <w:sz w:val="24"/>
              <w:szCs w:val="24"/>
            </w:rP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_Toc28848 </w:instrText>
          </w:r>
          <w:r>
            <w:rPr>
              <w:rFonts w:hint="eastAsia" w:ascii="宋体" w:hAnsi="宋体" w:eastAsia="宋体" w:cs="宋体"/>
              <w:sz w:val="24"/>
              <w:szCs w:val="24"/>
            </w:rPr>
            <w:fldChar w:fldCharType="separate"/>
          </w:r>
          <w:r>
            <w:rPr>
              <w:rFonts w:hint="eastAsia" w:ascii="宋体" w:hAnsi="宋体" w:eastAsia="宋体" w:cs="宋体"/>
              <w:sz w:val="24"/>
              <w:szCs w:val="24"/>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_Toc28848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_Toc32096 </w:instrText>
          </w:r>
          <w:r>
            <w:rPr>
              <w:rFonts w:hint="eastAsia" w:ascii="宋体" w:hAnsi="宋体" w:eastAsia="宋体" w:cs="宋体"/>
              <w:sz w:val="24"/>
              <w:szCs w:val="24"/>
            </w:rPr>
            <w:fldChar w:fldCharType="separate"/>
          </w:r>
          <w:r>
            <w:rPr>
              <w:rFonts w:hint="eastAsia" w:ascii="宋体" w:hAnsi="宋体" w:eastAsia="宋体" w:cs="宋体"/>
              <w:sz w:val="24"/>
              <w:szCs w:val="24"/>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_Toc24744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_Toc24744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_Toc9396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十、预算绩效管理情况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_Toc12568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十一、</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_Toc24186 </w:instrText>
          </w:r>
          <w:r>
            <w:rPr>
              <w:rFonts w:hint="eastAsia" w:ascii="宋体" w:hAnsi="宋体" w:eastAsia="宋体" w:cs="宋体"/>
              <w:sz w:val="24"/>
              <w:szCs w:val="24"/>
            </w:rPr>
            <w:fldChar w:fldCharType="separate"/>
          </w:r>
          <w:r>
            <w:rPr>
              <w:rFonts w:hint="eastAsia" w:ascii="宋体" w:hAnsi="宋体" w:eastAsia="宋体" w:cs="宋体"/>
              <w:sz w:val="24"/>
              <w:szCs w:val="24"/>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_Toc29527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_Toc29527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_Toc17685 </w:instrText>
          </w:r>
          <w:r>
            <w:rPr>
              <w:rFonts w:hint="eastAsia" w:ascii="宋体" w:hAnsi="宋体" w:eastAsia="宋体" w:cs="宋体"/>
              <w:sz w:val="24"/>
              <w:szCs w:val="24"/>
            </w:rPr>
            <w:fldChar w:fldCharType="separate"/>
          </w:r>
          <w:r>
            <w:rPr>
              <w:rFonts w:hint="eastAsia" w:ascii="宋体" w:hAnsi="宋体" w:eastAsia="宋体" w:cs="宋体"/>
              <w:sz w:val="24"/>
              <w:szCs w:val="24"/>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_Toc17685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_Toc22408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_Toc22408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_Toc18900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第五部分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_Toc28913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_Toc6439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_Toc6439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_Toc19183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_Toc29513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_Toc29513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_Toc19035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_Toc19035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_Toc31033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_Toc8976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_Toc18983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_Toc20285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_Toc20285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_Toc22619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_Toc7571 </w:instrText>
          </w:r>
          <w:r>
            <w:rPr>
              <w:rFonts w:hint="eastAsia" w:ascii="宋体" w:hAnsi="宋体" w:eastAsia="宋体" w:cs="宋体"/>
              <w:sz w:val="24"/>
              <w:szCs w:val="24"/>
            </w:rPr>
            <w:fldChar w:fldCharType="separate"/>
          </w:r>
          <w:r>
            <w:rPr>
              <w:rFonts w:hint="eastAsia" w:ascii="宋体" w:hAnsi="宋体" w:eastAsia="宋体" w:cs="宋体"/>
              <w:sz w:val="24"/>
              <w:szCs w:val="24"/>
            </w:rPr>
            <w:t>十、一般公共预算财政拨款“三公”经费支出决算表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_Toc28448 </w:instrText>
          </w:r>
          <w:r>
            <w:rPr>
              <w:rFonts w:hint="eastAsia" w:ascii="宋体" w:hAnsi="宋体" w:eastAsia="宋体" w:cs="宋体"/>
              <w:sz w:val="24"/>
              <w:szCs w:val="24"/>
            </w:rPr>
            <w:fldChar w:fldCharType="separate"/>
          </w:r>
          <w:r>
            <w:rPr>
              <w:rFonts w:hint="eastAsia" w:ascii="宋体" w:hAnsi="宋体" w:eastAsia="宋体" w:cs="宋体"/>
              <w:sz w:val="24"/>
              <w:szCs w:val="24"/>
            </w:rPr>
            <w:t>十一、政府性基金预算财政拨款收入支出决算表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_Toc28448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_Toc3597 </w:instrText>
          </w:r>
          <w:r>
            <w:rPr>
              <w:rFonts w:hint="eastAsia" w:ascii="宋体" w:hAnsi="宋体" w:eastAsia="宋体" w:cs="宋体"/>
              <w:sz w:val="24"/>
              <w:szCs w:val="24"/>
            </w:rPr>
            <w:fldChar w:fldCharType="separate"/>
          </w:r>
          <w:r>
            <w:rPr>
              <w:rFonts w:hint="eastAsia" w:ascii="宋体" w:hAnsi="宋体" w:eastAsia="宋体" w:cs="宋体"/>
              <w:sz w:val="24"/>
              <w:szCs w:val="24"/>
            </w:rPr>
            <w:t>十二、政府性基金预算财政拨款“三公”经费支出决算表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_Toc3597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_Toc20729 </w:instrText>
          </w:r>
          <w:r>
            <w:rPr>
              <w:rFonts w:hint="eastAsia" w:ascii="宋体" w:hAnsi="宋体" w:eastAsia="宋体" w:cs="宋体"/>
              <w:sz w:val="24"/>
              <w:szCs w:val="24"/>
            </w:rPr>
            <w:fldChar w:fldCharType="separate"/>
          </w:r>
          <w:r>
            <w:rPr>
              <w:rFonts w:hint="eastAsia" w:ascii="宋体" w:hAnsi="宋体" w:eastAsia="宋体" w:cs="宋体"/>
              <w:sz w:val="24"/>
              <w:szCs w:val="24"/>
            </w:rPr>
            <w:t>十三、国有资本经营预算</w:t>
          </w:r>
          <w:r>
            <w:rPr>
              <w:rFonts w:hint="eastAsia" w:ascii="宋体" w:hAnsi="宋体" w:eastAsia="宋体" w:cs="宋体"/>
              <w:sz w:val="24"/>
              <w:szCs w:val="24"/>
              <w:lang w:eastAsia="zh-CN"/>
            </w:rPr>
            <w:t>财政拨款收入</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_Toc22985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_Toc22985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0" w:beforeLines="0" w:after="0" w:afterLines="0" w:line="240" w:lineRule="auto"/>
            <w:ind w:left="0" w:leftChars="0" w:right="0" w:rightChars="0" w:firstLine="0" w:firstLineChars="0"/>
            <w:jc w:val="center"/>
          </w:pPr>
          <w:r>
            <w:fldChar w:fldCharType="end"/>
          </w:r>
        </w:p>
      </w:sdtContent>
    </w:sdt>
    <w:p>
      <w:pPr>
        <w:pStyle w:val="3"/>
        <w:bidi w:val="0"/>
        <w:rPr>
          <w:rFonts w:hint="eastAsia"/>
        </w:rPr>
        <w:sectPr>
          <w:footerReference r:id="rId6" w:type="first"/>
          <w:footerReference r:id="rId5" w:type="default"/>
          <w:pgSz w:w="11906" w:h="16838"/>
          <w:pgMar w:top="2098" w:right="1474" w:bottom="1984" w:left="1587" w:header="851" w:footer="1361" w:gutter="0"/>
          <w:pgBorders>
            <w:top w:val="none" w:sz="0" w:space="0"/>
            <w:left w:val="none" w:sz="0" w:space="0"/>
            <w:bottom w:val="none" w:sz="0" w:space="0"/>
            <w:right w:val="none" w:sz="0" w:space="0"/>
          </w:pgBorders>
          <w:pgNumType w:fmt="decimal" w:start="1"/>
          <w:cols w:space="0" w:num="1"/>
          <w:rtlGutter w:val="0"/>
          <w:docGrid w:type="lines" w:linePitch="439" w:charSpace="0"/>
        </w:sectPr>
      </w:pPr>
    </w:p>
    <w:p>
      <w:pPr>
        <w:pStyle w:val="3"/>
        <w:bidi w:val="0"/>
      </w:pPr>
      <w:bookmarkStart w:id="20" w:name="_Toc27275"/>
      <w:r>
        <w:rPr>
          <w:rFonts w:hint="eastAsia"/>
        </w:rPr>
        <w:t>第一部分 部门概况</w:t>
      </w:r>
      <w:bookmarkEnd w:id="18"/>
      <w:bookmarkEnd w:id="19"/>
      <w:bookmarkEnd w:id="20"/>
    </w:p>
    <w:p>
      <w:pPr>
        <w:widowControl/>
        <w:jc w:val="left"/>
        <w:rPr>
          <w:rFonts w:ascii="黑体" w:eastAsia="黑体"/>
          <w:color w:val="auto"/>
          <w:sz w:val="32"/>
          <w:szCs w:val="32"/>
          <w:highlight w:val="none"/>
        </w:rPr>
      </w:pPr>
    </w:p>
    <w:p>
      <w:pPr>
        <w:pStyle w:val="4"/>
        <w:bidi w:val="0"/>
      </w:pPr>
      <w:bookmarkStart w:id="21" w:name="_Toc17849"/>
      <w:bookmarkStart w:id="22" w:name="_Toc15396600"/>
      <w:bookmarkStart w:id="23" w:name="_Toc15377197"/>
      <w:r>
        <w:rPr>
          <w:rFonts w:hint="eastAsia"/>
        </w:rPr>
        <w:t>一、基本职能及主要工作</w:t>
      </w:r>
      <w:bookmarkEnd w:id="21"/>
      <w:bookmarkEnd w:id="22"/>
      <w:bookmarkEnd w:id="23"/>
    </w:p>
    <w:p>
      <w:pPr>
        <w:pStyle w:val="5"/>
        <w:bidi w:val="0"/>
        <w:rPr>
          <w:rFonts w:hint="eastAsia"/>
        </w:rPr>
      </w:pPr>
      <w:bookmarkStart w:id="24" w:name="_Toc10280"/>
      <w:bookmarkStart w:id="25" w:name="_Toc15378445"/>
      <w:bookmarkStart w:id="26" w:name="_Toc15377198"/>
      <w:r>
        <w:rPr>
          <w:rFonts w:hint="eastAsia"/>
        </w:rPr>
        <w:t>（一）主要职能</w:t>
      </w:r>
      <w:bookmarkEnd w:id="24"/>
    </w:p>
    <w:bookmarkEnd w:id="25"/>
    <w:bookmarkEnd w:id="26"/>
    <w:p>
      <w:pPr>
        <w:spacing w:line="576" w:lineRule="exact"/>
        <w:ind w:firstLine="640" w:firstLineChars="200"/>
        <w:rPr>
          <w:rFonts w:ascii="仿宋_GB2312" w:eastAsia="仿宋_GB2312"/>
          <w:sz w:val="32"/>
          <w:szCs w:val="32"/>
        </w:rPr>
      </w:pPr>
      <w:bookmarkStart w:id="27" w:name="_Toc26019"/>
      <w:bookmarkStart w:id="28" w:name="_Toc15378446"/>
      <w:bookmarkStart w:id="29" w:name="_Toc15377199"/>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贯彻执行国家粮食流通和物资储备管理的方针政策及法律法规。拟定全区粮食流通和物资储备管理的办法措施，提出发展现代粮食流通产业战略建议，研究提出全区粮食流通和物资储备体制改革方案并组织实施。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）研究提出应急储备规划和区级救灾物资储备计划的建议，组织实施区级应急储备和救灾物资的收储、轮换和日常管理，落实有关动用计划和指令，组织指导全区物资储备统计工作。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负责全区粮食宏观调控具体工作，承担粮食预警监测和应急责任。提出全区粮食宏观调控、总量平衡以及粮食流通规划的建议。监督执行粮食最低收购价政策及临时收储政策，负责全区粮食余缺调剂，指导区内粮食销售工作。保障政策性粮食的供应，提高全区粮食供应保障能力。组织指导全区粮食统计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4</w:t>
      </w:r>
      <w:r>
        <w:rPr>
          <w:rFonts w:hint="eastAsia" w:ascii="仿宋_GB2312" w:eastAsia="仿宋_GB2312"/>
          <w:sz w:val="32"/>
          <w:szCs w:val="32"/>
        </w:rPr>
        <w:t>）负责区级储备粮管理，指导全区储备粮体系建设。提出区级储备粮总体布局和收储、轮换、动用计划建议并组织实施，监督检查区级储备粮库存数量、质量和储存安全。指导协调政策性粮食购销和粮食产销合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5</w:t>
      </w:r>
      <w:r>
        <w:rPr>
          <w:rFonts w:hint="eastAsia" w:ascii="仿宋_GB2312" w:eastAsia="仿宋_GB2312"/>
          <w:sz w:val="32"/>
          <w:szCs w:val="32"/>
        </w:rPr>
        <w:t>）贯彻执行国家粮食和物资储备仓储管理有关技术标准和规范，负责全区物资储存、流通运输有关技术规范指导、监督工作。负责全区粮食收购、储存环节和政策性用粮质量安全，负责全区粮食流通、加工行业安全生产工作的监督管理，承担物资储备承储单位和全区粮食行业安全生产、抢险救灾工作，指导全市农村科学储粮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6</w:t>
      </w:r>
      <w:r>
        <w:rPr>
          <w:rFonts w:hint="eastAsia" w:ascii="仿宋_GB2312" w:eastAsia="仿宋_GB2312"/>
          <w:sz w:val="32"/>
          <w:szCs w:val="32"/>
        </w:rPr>
        <w:t>）制订粮食流通产业发展规划，提出促进全区粮食流通产业发展的政策建议并督促落实。指导、协调全区粮食流通基础设施建设，管理有关储备基础设施、粮食流通设施国家投资项目。制订全区粮食仓储、加工和物流体系建设规划并组织实施。拟订全区粮食市场体系发展规划，指导行业网点建设。开展粮食行业对外合作与交流，协助做好优质粮油的推广、开发工作。指导粮食企业科技进步、技术改造和新技术推广应用，指导粮油企业开展惠农服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7</w:t>
      </w:r>
      <w:r>
        <w:rPr>
          <w:rFonts w:hint="eastAsia" w:ascii="仿宋_GB2312" w:eastAsia="仿宋_GB2312"/>
          <w:sz w:val="32"/>
          <w:szCs w:val="32"/>
        </w:rPr>
        <w:t>）负责粮食流通行业管理，制定行业和人才发展规划，指导行业的职业技术教育和培训，负责本单位人事管理、全系统劳动及社会保障的服务和管理工作。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8</w:t>
      </w:r>
      <w:r>
        <w:rPr>
          <w:rFonts w:hint="eastAsia" w:ascii="仿宋_GB2312" w:eastAsia="仿宋_GB2312"/>
          <w:sz w:val="32"/>
          <w:szCs w:val="32"/>
        </w:rPr>
        <w:t>）负责职责范围内的职业健康、生态环境保护、审批服务便民化等工作。</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sz w:val="32"/>
          <w:szCs w:val="32"/>
          <w:lang w:val="en-US" w:eastAsia="zh-CN"/>
        </w:rPr>
        <w:t>9</w:t>
      </w:r>
      <w:r>
        <w:rPr>
          <w:rFonts w:hint="eastAsia" w:ascii="仿宋_GB2312" w:eastAsia="仿宋_GB2312"/>
          <w:sz w:val="32"/>
          <w:szCs w:val="32"/>
        </w:rPr>
        <w:t>）完成区委、区政府以及区发展改革局交办的其他任务。</w:t>
      </w:r>
    </w:p>
    <w:p>
      <w:pPr>
        <w:pStyle w:val="5"/>
        <w:bidi w:val="0"/>
        <w:rPr>
          <w:rFonts w:hint="eastAsia"/>
        </w:rPr>
      </w:pPr>
      <w:r>
        <w:rPr>
          <w:rFonts w:hint="eastAsia"/>
        </w:rPr>
        <w:t>（二）</w:t>
      </w:r>
      <w:r>
        <w:t>20</w:t>
      </w:r>
      <w:r>
        <w:rPr>
          <w:rFonts w:hint="eastAsia"/>
          <w:lang w:val="en-US" w:eastAsia="zh-CN"/>
        </w:rPr>
        <w:t>21</w:t>
      </w:r>
      <w:r>
        <w:rPr>
          <w:rFonts w:hint="eastAsia"/>
        </w:rPr>
        <w:t>年重点工作完成情况</w:t>
      </w:r>
      <w:bookmarkEnd w:id="27"/>
      <w:bookmarkEnd w:id="28"/>
      <w:bookmarkEnd w:id="29"/>
    </w:p>
    <w:p>
      <w:pPr>
        <w:spacing w:line="576" w:lineRule="exact"/>
        <w:ind w:firstLine="640" w:firstLineChars="200"/>
        <w:rPr>
          <w:rFonts w:ascii="仿宋" w:hAnsi="仿宋" w:eastAsia="仿宋"/>
          <w:szCs w:val="32"/>
        </w:rPr>
      </w:pPr>
      <w:bookmarkStart w:id="30" w:name="_Toc15396601"/>
      <w:bookmarkStart w:id="31" w:name="_Toc31950"/>
      <w:bookmarkStart w:id="32" w:name="_Toc15377200"/>
      <w:r>
        <w:rPr>
          <w:rFonts w:hint="eastAsia" w:ascii="楷体_GB2312" w:eastAsia="楷体_GB2312"/>
        </w:rPr>
        <w:t>（一）全力做好</w:t>
      </w:r>
      <w:r>
        <w:rPr>
          <w:rFonts w:hint="eastAsia" w:ascii="楷体_GB2312" w:hAnsi="Calibri" w:eastAsia="楷体_GB2312"/>
        </w:rPr>
        <w:t>粮油市场保供稳价</w:t>
      </w:r>
      <w:r>
        <w:rPr>
          <w:rFonts w:hint="eastAsia" w:ascii="楷体_GB2312" w:eastAsia="楷体_GB2312"/>
        </w:rPr>
        <w:t>工作。</w:t>
      </w:r>
      <w:r>
        <w:rPr>
          <w:rFonts w:hint="eastAsia" w:ascii="楷体_GB2312" w:hAnsi="Calibri" w:eastAsia="楷体_GB2312"/>
        </w:rPr>
        <w:t>一是</w:t>
      </w:r>
      <w:r>
        <w:rPr>
          <w:rFonts w:hint="eastAsia" w:ascii="仿宋" w:hAnsi="仿宋" w:eastAsia="仿宋"/>
          <w:szCs w:val="32"/>
        </w:rPr>
        <w:t>强化组织保障。完善《粮油食品安全应急供应预案》，为粮油市场保供稳价工作提供了坚强的组织保障。</w:t>
      </w:r>
      <w:r>
        <w:rPr>
          <w:rFonts w:hint="eastAsia" w:ascii="楷体_GB2312" w:hAnsi="Calibri" w:eastAsia="楷体_GB2312"/>
        </w:rPr>
        <w:t>二是</w:t>
      </w:r>
      <w:r>
        <w:rPr>
          <w:rFonts w:hint="eastAsia" w:ascii="仿宋" w:hAnsi="仿宋" w:eastAsia="仿宋"/>
          <w:szCs w:val="32"/>
        </w:rPr>
        <w:t>压实责任，确保疫期间粮油市场稳定。</w:t>
      </w:r>
      <w:r>
        <w:rPr>
          <w:rFonts w:hint="eastAsia" w:ascii="楷体_GB2312" w:hAnsi="Calibri" w:eastAsia="楷体_GB2312"/>
        </w:rPr>
        <w:t>三是</w:t>
      </w:r>
      <w:r>
        <w:rPr>
          <w:rFonts w:hint="eastAsia" w:ascii="仿宋" w:hAnsi="仿宋" w:eastAsia="仿宋"/>
          <w:szCs w:val="32"/>
        </w:rPr>
        <w:t>摸清家底。全面掌握了全区粮油保供基本情况，保证市场供应不脱销、不断档，确保市场粮油供应稳定。</w:t>
      </w:r>
    </w:p>
    <w:p>
      <w:pPr>
        <w:spacing w:line="576" w:lineRule="exact"/>
        <w:ind w:firstLine="640" w:firstLineChars="200"/>
        <w:rPr>
          <w:rFonts w:ascii="仿宋" w:hAnsi="仿宋" w:eastAsia="仿宋"/>
          <w:szCs w:val="32"/>
        </w:rPr>
      </w:pPr>
      <w:r>
        <w:rPr>
          <w:rFonts w:hint="eastAsia" w:ascii="楷体_GB2312" w:eastAsia="楷体_GB2312"/>
        </w:rPr>
        <w:t>（二）认真落实粮食安全党政同责工作。</w:t>
      </w:r>
      <w:r>
        <w:rPr>
          <w:rFonts w:hint="eastAsia" w:ascii="楷体_GB2312" w:hAnsi="Calibri" w:eastAsia="楷体_GB2312"/>
        </w:rPr>
        <w:t>一是</w:t>
      </w:r>
      <w:r>
        <w:rPr>
          <w:rFonts w:hint="eastAsia" w:ascii="仿宋" w:hAnsi="仿宋" w:eastAsia="仿宋"/>
          <w:szCs w:val="32"/>
        </w:rPr>
        <w:t>根据考核办法，组织召开了朝天区粮食安全党政同责考核专题会议，细化对乡镇和相关部门的工作职责，落实应急责任，强化保障体系，确保粮食安全工作责任落地落实。</w:t>
      </w:r>
      <w:r>
        <w:rPr>
          <w:rFonts w:hint="eastAsia" w:ascii="楷体_GB2312" w:hAnsi="Calibri" w:eastAsia="楷体_GB2312"/>
        </w:rPr>
        <w:t>二是</w:t>
      </w:r>
      <w:r>
        <w:rPr>
          <w:rFonts w:hint="eastAsia" w:ascii="仿宋" w:hAnsi="仿宋" w:eastAsia="仿宋"/>
          <w:szCs w:val="32"/>
        </w:rPr>
        <w:t>建立健全日常监督检查和考核机制，完善储备粮管理措施办法，堵塞管理漏洞，防范化解风险隐患，《广元市朝天区区级储备粮油管理办法》经八届区人民政府第3次会议审定通过印发实施。</w:t>
      </w:r>
      <w:r>
        <w:rPr>
          <w:rFonts w:hint="eastAsia" w:ascii="楷体_GB2312" w:hAnsi="Calibri" w:eastAsia="楷体_GB2312"/>
        </w:rPr>
        <w:t>三是</w:t>
      </w:r>
      <w:r>
        <w:rPr>
          <w:rFonts w:hint="eastAsia" w:ascii="仿宋" w:hAnsi="仿宋" w:eastAsia="仿宋"/>
          <w:szCs w:val="32"/>
        </w:rPr>
        <w:t>加强与各部门的信息联络和与上级部门的沟通协调，及时收集完善相关资料，按时报送工作动态信息，力争粮食安全党政同责考核走在全市前列。</w:t>
      </w:r>
    </w:p>
    <w:p>
      <w:pPr>
        <w:ind w:firstLine="640" w:firstLineChars="200"/>
        <w:rPr>
          <w:rFonts w:ascii="仿宋" w:hAnsi="仿宋" w:eastAsia="仿宋"/>
          <w:szCs w:val="32"/>
        </w:rPr>
      </w:pPr>
      <w:r>
        <w:rPr>
          <w:rFonts w:hint="eastAsia" w:ascii="楷体_GB2312" w:hAnsi="楷体_GB2312" w:eastAsia="楷体_GB2312" w:cs="楷体_GB2312"/>
          <w:szCs w:val="32"/>
        </w:rPr>
        <w:t>（三）积极配合完成区委巡察组专项巡察工作。</w:t>
      </w:r>
      <w:r>
        <w:rPr>
          <w:rFonts w:hint="eastAsia" w:ascii="仿宋" w:hAnsi="仿宋" w:eastAsia="仿宋"/>
          <w:szCs w:val="32"/>
        </w:rPr>
        <w:t>2021年10月9日至11月9日，区委第四巡察组对区粮食和物资储备中心开展了专项巡察。为切实增强对巡察反馈问题的整改落实，我中心成立巡察反馈问题整改工作领导小组，坚持把整改工作和中心工作任务有机结合起来，认真分析原因，制定整改措施，细化工作责任，明确完成时限，建立问题台账，实行“销号”管理，切实整改到位。</w:t>
      </w:r>
    </w:p>
    <w:p>
      <w:pPr>
        <w:spacing w:line="576" w:lineRule="exact"/>
        <w:ind w:firstLine="640" w:firstLineChars="200"/>
        <w:rPr>
          <w:rFonts w:ascii="仿宋" w:hAnsi="仿宋" w:eastAsia="仿宋"/>
          <w:szCs w:val="32"/>
        </w:rPr>
      </w:pPr>
      <w:r>
        <w:rPr>
          <w:rFonts w:hint="eastAsia" w:ascii="楷体_GB2312" w:hAnsi="楷体_GB2312" w:eastAsia="楷体_GB2312" w:cs="楷体_GB2312"/>
          <w:bCs/>
          <w:color w:val="000000" w:themeColor="text1"/>
          <w:kern w:val="0"/>
          <w:szCs w:val="32"/>
          <w14:textFill>
            <w14:solidFill>
              <w14:schemeClr w14:val="tx1"/>
            </w14:solidFill>
          </w14:textFill>
        </w:rPr>
        <w:t>（四）扎实抓好区级储备粮油管理工作。</w:t>
      </w:r>
      <w:r>
        <w:rPr>
          <w:rFonts w:hint="eastAsia" w:ascii="楷体_GB2312" w:hAnsi="Calibri" w:eastAsia="楷体_GB2312"/>
        </w:rPr>
        <w:t>一是</w:t>
      </w:r>
      <w:r>
        <w:rPr>
          <w:rFonts w:hint="eastAsia" w:ascii="仿宋" w:hAnsi="仿宋" w:eastAsia="仿宋"/>
          <w:szCs w:val="32"/>
        </w:rPr>
        <w:t>加强与农发行、区财政局配合，加大对承储企业的日常监管力度，定期对储备粮数量、质量进行抽查检查，确保储备粮管理规范，库存数量真实，质量保证，需要时调得出、用得上。</w:t>
      </w:r>
      <w:r>
        <w:rPr>
          <w:rFonts w:hint="eastAsia" w:ascii="楷体_GB2312" w:hAnsi="Calibri" w:eastAsia="楷体_GB2312"/>
        </w:rPr>
        <w:t>二是</w:t>
      </w:r>
      <w:r>
        <w:rPr>
          <w:rFonts w:hint="eastAsia" w:ascii="仿宋" w:hAnsi="仿宋" w:eastAsia="仿宋"/>
          <w:szCs w:val="32"/>
        </w:rPr>
        <w:t>对朝天粮库所存储备粮定期进行粮情检测。在汛期来临前，对仓房四周、粮食化学药剂保管使用、安全用电等情况进行了集中排查，及时消除安全隐患，杜绝各类事故的发生，确保储备粮储存安全。</w:t>
      </w:r>
      <w:r>
        <w:rPr>
          <w:rFonts w:hint="eastAsia" w:ascii="楷体_GB2312" w:hAnsi="Calibri" w:eastAsia="楷体_GB2312"/>
        </w:rPr>
        <w:t>三是</w:t>
      </w:r>
      <w:r>
        <w:rPr>
          <w:rFonts w:hint="eastAsia" w:ascii="仿宋" w:hAnsi="仿宋" w:eastAsia="仿宋"/>
          <w:szCs w:val="32"/>
        </w:rPr>
        <w:t>加强粮油储备工作，全区共储存原粮2500吨，小包装大米200吨，小包装菜籽油40吨，粮食库存数量真实、质量可靠。</w:t>
      </w:r>
    </w:p>
    <w:p>
      <w:pPr>
        <w:spacing w:line="576" w:lineRule="exact"/>
        <w:ind w:firstLine="640" w:firstLineChars="200"/>
        <w:rPr>
          <w:rFonts w:ascii="仿宋" w:hAnsi="仿宋" w:eastAsia="仿宋"/>
          <w:szCs w:val="32"/>
        </w:rPr>
      </w:pPr>
      <w:r>
        <w:rPr>
          <w:rFonts w:hint="eastAsia" w:ascii="楷体_GB2312" w:hAnsi="楷体_GB2312" w:eastAsia="楷体_GB2312" w:cs="楷体_GB2312"/>
          <w:color w:val="000000" w:themeColor="text1"/>
          <w:kern w:val="0"/>
          <w:szCs w:val="32"/>
          <w14:textFill>
            <w14:solidFill>
              <w14:schemeClr w14:val="tx1"/>
            </w14:solidFill>
          </w14:textFill>
        </w:rPr>
        <w:t>（五）</w:t>
      </w:r>
      <w:r>
        <w:rPr>
          <w:rFonts w:hint="eastAsia" w:ascii="楷体_GB2312" w:hAnsi="楷体_GB2312" w:eastAsia="楷体_GB2312" w:cs="楷体_GB2312"/>
          <w:kern w:val="0"/>
          <w:szCs w:val="32"/>
        </w:rPr>
        <w:t>有序做好2021区级地方储备粮食轮换工作。</w:t>
      </w:r>
      <w:r>
        <w:rPr>
          <w:rFonts w:hint="eastAsia" w:ascii="仿宋" w:hAnsi="仿宋" w:eastAsia="仿宋"/>
          <w:szCs w:val="32"/>
        </w:rPr>
        <w:t>统筹安排部署轮换工作，相关部门联合开展市场询价工作，加强轮换过程的管理和监督检查，严格轮换程序、规范轮换资料，确保账实相符，截止12月底，1000吨小麦已全部轮出，新入库的1500吨小麦已完成入库750吨，目前还在陆续入库，确保在规定的时间要求内完成粮食轮换工作。</w:t>
      </w:r>
    </w:p>
    <w:p>
      <w:pPr>
        <w:widowControl/>
        <w:ind w:firstLine="640" w:firstLineChars="200"/>
        <w:jc w:val="left"/>
        <w:rPr>
          <w:rFonts w:ascii="仿宋" w:hAnsi="仿宋" w:eastAsia="仿宋"/>
          <w:szCs w:val="32"/>
        </w:rPr>
      </w:pPr>
      <w:r>
        <w:rPr>
          <w:rFonts w:hint="eastAsia" w:ascii="楷体_GB2312" w:hAnsi="楷体_GB2312" w:eastAsia="楷体_GB2312" w:cs="楷体_GB2312"/>
          <w:color w:val="000000"/>
          <w:szCs w:val="32"/>
        </w:rPr>
        <w:t>（六）积极向上争取项目和资金。</w:t>
      </w:r>
      <w:r>
        <w:rPr>
          <w:rFonts w:hint="eastAsia" w:ascii="楷体_GB2312" w:hAnsi="Calibri" w:eastAsia="楷体_GB2312"/>
        </w:rPr>
        <w:t>一是</w:t>
      </w:r>
      <w:r>
        <w:rPr>
          <w:rFonts w:hint="eastAsia" w:ascii="仿宋" w:hAnsi="仿宋" w:eastAsia="仿宋"/>
          <w:szCs w:val="32"/>
        </w:rPr>
        <w:t>固定资产投资全面完成。我中心今年的固投任务是3000万元，已完成固投3425万元，完成任务3000万元的114.17%，完成情况位于区级部门前列。</w:t>
      </w:r>
      <w:r>
        <w:rPr>
          <w:rFonts w:hint="eastAsia" w:ascii="楷体_GB2312" w:hAnsi="Calibri" w:eastAsia="楷体_GB2312"/>
        </w:rPr>
        <w:t>二是</w:t>
      </w:r>
      <w:r>
        <w:rPr>
          <w:rFonts w:hint="eastAsia" w:ascii="仿宋" w:hAnsi="仿宋" w:eastAsia="仿宋"/>
          <w:szCs w:val="32"/>
        </w:rPr>
        <w:t>积极向上争取各类项目和补助资金。当年争取到中央预算内洪灾水毁资金40万元，商品粮大市奖励资金100万元，争取资金总量较上年增长180%。救灾物资储备库项目已申报落实。</w:t>
      </w:r>
      <w:r>
        <w:rPr>
          <w:rFonts w:hint="eastAsia" w:ascii="楷体_GB2312" w:hAnsi="Calibri" w:eastAsia="楷体_GB2312"/>
        </w:rPr>
        <w:t>三是</w:t>
      </w:r>
      <w:r>
        <w:rPr>
          <w:rFonts w:hint="eastAsia" w:ascii="仿宋" w:hAnsi="仿宋" w:eastAsia="仿宋"/>
          <w:szCs w:val="32"/>
        </w:rPr>
        <w:t>全力推动羊木国家石油储备基地项目前期工作。羊木国家石油储备基地项目初步成功进入</w:t>
      </w:r>
      <w:r>
        <w:rPr>
          <w:rFonts w:ascii="仿宋" w:hAnsi="仿宋" w:eastAsia="仿宋"/>
          <w:szCs w:val="32"/>
        </w:rPr>
        <w:t>国储四期库址</w:t>
      </w:r>
      <w:r>
        <w:rPr>
          <w:rFonts w:hint="eastAsia" w:ascii="仿宋" w:hAnsi="仿宋" w:eastAsia="仿宋"/>
          <w:szCs w:val="32"/>
        </w:rPr>
        <w:t>地名单，中石油管道局已于近期到我区开展项目预可研论证等前期工作。</w:t>
      </w:r>
    </w:p>
    <w:p>
      <w:pPr>
        <w:pStyle w:val="2"/>
        <w:ind w:firstLine="600" w:firstLineChars="200"/>
        <w:rPr>
          <w:rFonts w:ascii="仿宋" w:hAnsi="仿宋" w:eastAsia="仿宋"/>
        </w:rPr>
      </w:pPr>
      <w:r>
        <w:rPr>
          <w:rFonts w:hint="eastAsia" w:ascii="仿宋" w:hAnsi="仿宋" w:eastAsia="仿宋"/>
        </w:rPr>
        <w:t>同时，我中心按照要求做好区委区政府交办的其他工作。</w:t>
      </w:r>
    </w:p>
    <w:p>
      <w:pPr>
        <w:spacing w:line="576" w:lineRule="exact"/>
        <w:ind w:firstLine="640" w:firstLineChars="200"/>
        <w:rPr>
          <w:rFonts w:ascii="仿宋" w:hAnsi="仿宋" w:eastAsia="仿宋"/>
          <w:szCs w:val="32"/>
        </w:rPr>
      </w:pPr>
      <w:r>
        <w:rPr>
          <w:rFonts w:hint="eastAsia" w:ascii="楷体_GB2312" w:hAnsi="仿宋" w:eastAsia="楷体_GB2312"/>
          <w:szCs w:val="32"/>
        </w:rPr>
        <w:t>(</w:t>
      </w:r>
      <w:r>
        <w:rPr>
          <w:rFonts w:hint="eastAsia" w:ascii="楷体_GB2312" w:hAnsi="仿宋" w:eastAsia="楷体_GB2312"/>
          <w:szCs w:val="32"/>
          <w:lang w:val="en-US" w:eastAsia="zh-CN"/>
        </w:rPr>
        <w:t>七</w:t>
      </w:r>
      <w:r>
        <w:rPr>
          <w:rFonts w:hint="eastAsia" w:ascii="楷体_GB2312" w:hAnsi="仿宋" w:eastAsia="楷体_GB2312"/>
          <w:szCs w:val="32"/>
        </w:rPr>
        <w:t>)区级储备粮油轮换工作规范有序。</w:t>
      </w:r>
      <w:r>
        <w:rPr>
          <w:rFonts w:hint="eastAsia" w:ascii="仿宋" w:hAnsi="仿宋" w:eastAsia="仿宋"/>
          <w:szCs w:val="32"/>
        </w:rPr>
        <w:t>根据区级储备粮油储存轮换时限，我中心及时向区政府常务会提交了储备粮轮换有关请</w:t>
      </w:r>
      <w:r>
        <w:rPr>
          <w:rFonts w:hint="eastAsia" w:ascii="仿宋" w:hAnsi="仿宋" w:eastAsia="仿宋"/>
          <w:color w:val="auto"/>
          <w:szCs w:val="32"/>
        </w:rPr>
        <w:t>求和建议，经八届区人民政府第4次会议这审议，全区建立区级储备粮以来第一次以政府党组的名义向区委常委会报送了储备粮轮换工作实施方案（送审稿）的请示，八届区委第10次常委会原则同意。我中心严格按照朝天区《2021年区级储备粮食轮换工作实施方案》，切实</w:t>
      </w:r>
      <w:r>
        <w:rPr>
          <w:rFonts w:hint="eastAsia" w:ascii="仿宋" w:hAnsi="仿宋" w:eastAsia="仿宋"/>
          <w:szCs w:val="32"/>
        </w:rPr>
        <w:t>加强储备粮轮换过程的管理和监督检查，成立工作领导小组，强化轮换的品种、数量、费用，年底全面完成了轮出任务。新入库的1500吨小麦已完成入库750吨，目前还在陆续入库，确保在规定的时间要求内完成粮食轮换工作。</w:t>
      </w:r>
    </w:p>
    <w:p>
      <w:pPr>
        <w:spacing w:line="576" w:lineRule="exact"/>
        <w:ind w:firstLine="627" w:firstLineChars="196"/>
        <w:jc w:val="left"/>
        <w:rPr>
          <w:rFonts w:ascii="仿宋_GB2312" w:hAnsi="仿宋" w:eastAsia="仿宋_GB2312" w:cs="宋体"/>
          <w:color w:val="000000"/>
          <w:kern w:val="0"/>
          <w:szCs w:val="32"/>
        </w:rPr>
      </w:pPr>
      <w:r>
        <w:rPr>
          <w:rFonts w:hint="eastAsia" w:ascii="楷体_GB2312" w:hAnsi="仿宋" w:eastAsia="楷体_GB2312"/>
          <w:szCs w:val="32"/>
        </w:rPr>
        <w:t>（</w:t>
      </w:r>
      <w:r>
        <w:rPr>
          <w:rFonts w:hint="eastAsia" w:ascii="楷体_GB2312" w:hAnsi="仿宋" w:eastAsia="楷体_GB2312"/>
          <w:szCs w:val="32"/>
          <w:lang w:val="en-US" w:eastAsia="zh-CN"/>
        </w:rPr>
        <w:t>八</w:t>
      </w:r>
      <w:r>
        <w:rPr>
          <w:rFonts w:hint="eastAsia" w:ascii="楷体_GB2312" w:hAnsi="仿宋" w:eastAsia="楷体_GB2312"/>
          <w:szCs w:val="32"/>
        </w:rPr>
        <w:t>）努力加强救灾物资储备工作。</w:t>
      </w:r>
      <w:r>
        <w:rPr>
          <w:rFonts w:hint="eastAsia" w:ascii="仿宋" w:hAnsi="仿宋" w:eastAsia="仿宋" w:cs="宋体"/>
          <w:kern w:val="0"/>
          <w:szCs w:val="32"/>
          <w:lang w:val="zh-CN"/>
        </w:rPr>
        <w:t>按照全区机构职能调整的统一部署，全区救灾物资储备管理的职能已规范到区粮食和物资储备中心，由粮食和物资部门负责储备管理，为加强和规范全区救灾物资储备统一管理，提高突发事件的应对能力，保障应急所需，我中心成立专门股室，落实专门人员实行分级负责，主动与职能划转部门对接落实，物资交接等工作正有条不紊推进。</w:t>
      </w:r>
    </w:p>
    <w:p>
      <w:pPr>
        <w:spacing w:line="576" w:lineRule="exact"/>
        <w:ind w:firstLine="640" w:firstLineChars="200"/>
        <w:jc w:val="left"/>
        <w:rPr>
          <w:rFonts w:ascii="仿宋" w:hAnsi="仿宋" w:eastAsia="仿宋" w:cs="宋体"/>
          <w:kern w:val="0"/>
          <w:szCs w:val="32"/>
          <w:lang w:val="zh-CN"/>
        </w:rPr>
      </w:pPr>
      <w:r>
        <w:rPr>
          <w:rFonts w:hint="eastAsia" w:ascii="楷体_GB2312" w:hAnsi="仿宋" w:eastAsia="楷体_GB2312"/>
          <w:szCs w:val="32"/>
        </w:rPr>
        <w:t>（</w:t>
      </w:r>
      <w:r>
        <w:rPr>
          <w:rFonts w:hint="eastAsia" w:ascii="楷体_GB2312" w:hAnsi="仿宋" w:eastAsia="楷体_GB2312"/>
          <w:szCs w:val="32"/>
          <w:lang w:val="en-US" w:eastAsia="zh-CN"/>
        </w:rPr>
        <w:t>九</w:t>
      </w:r>
      <w:r>
        <w:rPr>
          <w:rFonts w:hint="eastAsia" w:ascii="楷体_GB2312" w:hAnsi="仿宋" w:eastAsia="楷体_GB2312"/>
          <w:szCs w:val="32"/>
        </w:rPr>
        <w:t>）扎实开展羊木国家石油储备基地项目的前期工作。</w:t>
      </w:r>
      <w:r>
        <w:rPr>
          <w:rFonts w:hint="eastAsia" w:ascii="仿宋" w:hAnsi="仿宋" w:eastAsia="仿宋" w:cs="宋体"/>
          <w:kern w:val="0"/>
          <w:szCs w:val="32"/>
          <w:lang w:val="zh-CN"/>
        </w:rPr>
        <w:t>2021年以来，我中心主动担当，真抓实干，强力抓好项争取工作，经过入省进京多渠道、多方努力争取，我区</w:t>
      </w:r>
      <w:r>
        <w:rPr>
          <w:rFonts w:hint="eastAsia" w:ascii="仿宋" w:hAnsi="仿宋" w:eastAsia="仿宋"/>
          <w:szCs w:val="32"/>
        </w:rPr>
        <w:t>羊木国家石油储备基地项目</w:t>
      </w:r>
      <w:r>
        <w:rPr>
          <w:rFonts w:hint="eastAsia" w:ascii="仿宋" w:hAnsi="仿宋" w:eastAsia="仿宋" w:cs="宋体"/>
          <w:kern w:val="0"/>
          <w:szCs w:val="32"/>
          <w:lang w:val="zh-CN"/>
        </w:rPr>
        <w:t>初步成功进入</w:t>
      </w:r>
      <w:r>
        <w:rPr>
          <w:rFonts w:ascii="仿宋" w:hAnsi="仿宋" w:eastAsia="仿宋" w:cs="宋体"/>
          <w:kern w:val="0"/>
          <w:szCs w:val="32"/>
          <w:lang w:val="zh-CN"/>
        </w:rPr>
        <w:t>国储四期库址</w:t>
      </w:r>
      <w:r>
        <w:rPr>
          <w:rFonts w:hint="eastAsia" w:ascii="仿宋" w:hAnsi="仿宋" w:eastAsia="仿宋" w:cs="宋体"/>
          <w:kern w:val="0"/>
          <w:szCs w:val="32"/>
          <w:lang w:val="zh-CN"/>
        </w:rPr>
        <w:t>地名单。中石油管道局已于近期到我区开展项目预可研论证等前期各项工作，重大项目争取工作取得重大突破。</w:t>
      </w:r>
    </w:p>
    <w:p>
      <w:pPr>
        <w:spacing w:line="576" w:lineRule="exact"/>
        <w:ind w:firstLine="640" w:firstLineChars="200"/>
        <w:jc w:val="left"/>
        <w:rPr>
          <w:rFonts w:hint="eastAsia"/>
        </w:rPr>
      </w:pPr>
      <w:r>
        <w:rPr>
          <w:rFonts w:hint="eastAsia" w:ascii="楷体_GB2312" w:hAnsi="仿宋" w:eastAsia="楷体_GB2312"/>
          <w:szCs w:val="32"/>
        </w:rPr>
        <w:t>（</w:t>
      </w:r>
      <w:r>
        <w:rPr>
          <w:rFonts w:hint="eastAsia" w:ascii="楷体_GB2312" w:hAnsi="仿宋" w:eastAsia="楷体_GB2312"/>
          <w:szCs w:val="32"/>
          <w:lang w:val="en-US" w:eastAsia="zh-CN"/>
        </w:rPr>
        <w:t>十</w:t>
      </w:r>
      <w:r>
        <w:rPr>
          <w:rFonts w:hint="eastAsia" w:ascii="楷体_GB2312" w:hAnsi="仿宋" w:eastAsia="楷体_GB2312"/>
          <w:szCs w:val="32"/>
        </w:rPr>
        <w:t>）积极打造朝天品牌。</w:t>
      </w:r>
      <w:r>
        <w:rPr>
          <w:rFonts w:hint="eastAsia" w:ascii="仿宋" w:hAnsi="仿宋" w:eastAsia="仿宋"/>
          <w:szCs w:val="32"/>
          <w:lang w:val="zh-CN"/>
        </w:rPr>
        <w:t>为贯彻落实中央、国务院关于粮食安全党政同责和加强世界粮食日的宣传，区委区政府分管领导亲自带队，组织我区裕宏粮油购销有限公司，月桂食品有限责任公司等五家企业参加了2021年世界粮食日和粮食安全宣传周四川主会场（广元）活动暨“广元造”特色农产品展销会。朝天造的垭垭月饼、乡村幺妹香辣酱、岚晟灵芝茶、曾家山玉米糁等特色农产品参展，深受老百姓的青睐，得到一致好评。同时，为了巩固和发展省际间粮油经济贸易合作，广元市朝天区粮食和物资储备中心与汉中市宁强县粮食和物资储备局签定了粮食产销战略合作协议并缔结友好睦邻单位，共同在粮食收储、粮食加工、企业发展、经验成果等方面着力，构建粮食安全链，带动粮食产业发展。</w:t>
      </w:r>
    </w:p>
    <w:p>
      <w:pPr>
        <w:pStyle w:val="4"/>
        <w:bidi w:val="0"/>
      </w:pPr>
      <w:r>
        <w:rPr>
          <w:rFonts w:hint="eastAsia"/>
        </w:rPr>
        <w:t>二、机构设置</w:t>
      </w:r>
      <w:bookmarkEnd w:id="30"/>
      <w:bookmarkEnd w:id="31"/>
      <w:bookmarkEnd w:id="32"/>
    </w:p>
    <w:p>
      <w:pPr>
        <w:spacing w:line="580" w:lineRule="exact"/>
        <w:ind w:firstLine="640" w:firstLineChars="200"/>
        <w:rPr>
          <w:rFonts w:hint="eastAsia" w:ascii="仿宋" w:hAnsi="仿宋" w:eastAsia="仿宋" w:cs="仿宋_GB2312"/>
          <w:color w:val="C00000"/>
          <w:sz w:val="32"/>
          <w:szCs w:val="32"/>
          <w:lang w:eastAsia="zh-CN"/>
        </w:rPr>
      </w:pPr>
      <w:bookmarkStart w:id="33" w:name="_Toc15377204"/>
      <w:bookmarkStart w:id="34" w:name="_Toc3752"/>
      <w:bookmarkStart w:id="35" w:name="_Toc15396602"/>
      <w:r>
        <w:rPr>
          <w:rFonts w:ascii="仿宋" w:hAnsi="仿宋" w:eastAsia="仿宋" w:cs="仿宋_GB2312"/>
          <w:sz w:val="32"/>
          <w:szCs w:val="32"/>
        </w:rPr>
        <w:t>（</w:t>
      </w:r>
      <w:r>
        <w:rPr>
          <w:rFonts w:ascii="仿宋" w:hAnsi="仿宋" w:eastAsia="仿宋" w:cs="仿宋_GB2312"/>
          <w:color w:val="auto"/>
          <w:sz w:val="32"/>
          <w:szCs w:val="32"/>
        </w:rPr>
        <w:t>一）机构组成。内设</w:t>
      </w:r>
      <w:r>
        <w:rPr>
          <w:rFonts w:hint="eastAsia" w:ascii="仿宋" w:hAnsi="仿宋" w:eastAsia="仿宋" w:cs="仿宋_GB2312"/>
          <w:color w:val="auto"/>
          <w:sz w:val="32"/>
          <w:szCs w:val="32"/>
          <w:lang w:eastAsia="zh-CN"/>
        </w:rPr>
        <w:t>办公室、</w:t>
      </w:r>
      <w:r>
        <w:rPr>
          <w:rFonts w:hint="eastAsia" w:ascii="仿宋" w:hAnsi="仿宋" w:eastAsia="仿宋" w:cs="仿宋_GB2312"/>
          <w:color w:val="auto"/>
          <w:sz w:val="32"/>
          <w:szCs w:val="32"/>
          <w:lang w:val="en-US" w:eastAsia="zh-CN"/>
        </w:rPr>
        <w:t>调控股、物资储备股、仓储管理股三股一室</w:t>
      </w:r>
      <w:r>
        <w:rPr>
          <w:rFonts w:hint="eastAsia" w:ascii="仿宋" w:hAnsi="仿宋" w:eastAsia="仿宋" w:cs="仿宋_GB2312"/>
          <w:color w:val="auto"/>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履行政府行政职能，服务“三农”。业务范围：</w:t>
      </w:r>
      <w:r>
        <w:rPr>
          <w:rFonts w:hint="eastAsia" w:ascii="仿宋" w:hAnsi="仿宋" w:eastAsia="仿宋" w:cs="仿宋_GB2312"/>
          <w:sz w:val="32"/>
          <w:szCs w:val="32"/>
          <w:lang w:val="en-US" w:eastAsia="zh-CN"/>
        </w:rPr>
        <w:t>1、贯彻执行国家粮食流通和储备粮管理方针政和法律法规；监督全区粮食流通市场，审核、发放《粮食收购许可证》负责全区粮食行政执工作；2、指导全区粮食储备体系建设，做好中央和省、市、区储备粮的管理工作。3、负责敞开收购农民余粮工作的落实；4、负责社会粮食流通，缺粮户、灾民口粮供应，指导全区粮油产业化发展工作，负责区内粮食安全预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ind w:firstLine="720" w:firstLineChars="225"/>
        <w:rPr>
          <w:rFonts w:hint="eastAsia"/>
        </w:rPr>
      </w:pPr>
      <w:r>
        <w:rPr>
          <w:rFonts w:hint="eastAsia" w:ascii="仿宋" w:hAnsi="仿宋" w:eastAsia="仿宋" w:cs="仿宋_GB2312"/>
          <w:sz w:val="32"/>
          <w:szCs w:val="32"/>
        </w:rPr>
        <w:t>区</w:t>
      </w:r>
      <w:r>
        <w:rPr>
          <w:rFonts w:hint="eastAsia" w:ascii="仿宋" w:hAnsi="仿宋" w:eastAsia="仿宋" w:cs="仿宋_GB2312"/>
          <w:sz w:val="32"/>
          <w:szCs w:val="32"/>
          <w:lang w:val="en-US" w:eastAsia="zh-CN"/>
        </w:rPr>
        <w:t>粮储中心</w:t>
      </w:r>
      <w:r>
        <w:rPr>
          <w:rFonts w:hint="eastAsia" w:ascii="仿宋" w:hAnsi="仿宋" w:eastAsia="仿宋" w:cs="仿宋_GB2312"/>
          <w:sz w:val="32"/>
          <w:szCs w:val="32"/>
        </w:rPr>
        <w:t>共有编制</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人，其中：</w:t>
      </w:r>
      <w:r>
        <w:rPr>
          <w:rFonts w:hint="eastAsia" w:ascii="仿宋" w:hAnsi="仿宋" w:eastAsia="仿宋" w:cs="仿宋_GB2312"/>
          <w:sz w:val="32"/>
          <w:szCs w:val="32"/>
          <w:lang w:eastAsia="zh-CN"/>
        </w:rPr>
        <w:t>事业</w:t>
      </w:r>
      <w:r>
        <w:rPr>
          <w:rFonts w:hint="eastAsia" w:ascii="仿宋" w:hAnsi="仿宋" w:eastAsia="仿宋" w:cs="仿宋_GB2312"/>
          <w:sz w:val="32"/>
          <w:szCs w:val="32"/>
        </w:rPr>
        <w:t>编制</w:t>
      </w:r>
      <w:r>
        <w:rPr>
          <w:rFonts w:hint="eastAsia" w:ascii="仿宋" w:hAnsi="仿宋" w:eastAsia="仿宋" w:cs="仿宋_GB2312"/>
          <w:sz w:val="32"/>
          <w:szCs w:val="32"/>
          <w:lang w:val="en-US" w:eastAsia="zh-CN"/>
        </w:rPr>
        <w:t>15</w:t>
      </w:r>
      <w:r>
        <w:rPr>
          <w:rFonts w:hint="eastAsia" w:ascii="仿宋" w:hAnsi="仿宋" w:eastAsia="仿宋" w:cs="仿宋_GB2312"/>
          <w:sz w:val="32"/>
          <w:szCs w:val="32"/>
        </w:rPr>
        <w:t>人。20</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年初实有在职人员</w:t>
      </w:r>
      <w:r>
        <w:rPr>
          <w:rFonts w:hint="eastAsia" w:ascii="仿宋" w:hAnsi="仿宋" w:eastAsia="仿宋" w:cs="仿宋_GB2312"/>
          <w:sz w:val="32"/>
          <w:szCs w:val="32"/>
          <w:lang w:val="en-US" w:eastAsia="zh-CN"/>
        </w:rPr>
        <w:t>13</w:t>
      </w:r>
      <w:r>
        <w:rPr>
          <w:rFonts w:hint="eastAsia" w:ascii="仿宋" w:hAnsi="仿宋" w:eastAsia="仿宋" w:cs="仿宋_GB2312"/>
          <w:sz w:val="32"/>
          <w:szCs w:val="32"/>
        </w:rPr>
        <w:t>人,其中：</w:t>
      </w:r>
      <w:r>
        <w:rPr>
          <w:rFonts w:hint="eastAsia" w:ascii="仿宋" w:hAnsi="仿宋" w:eastAsia="仿宋" w:cs="仿宋_GB2312"/>
          <w:sz w:val="32"/>
          <w:szCs w:val="32"/>
          <w:lang w:eastAsia="zh-CN"/>
        </w:rPr>
        <w:t>工勤</w:t>
      </w:r>
      <w:r>
        <w:rPr>
          <w:rFonts w:hint="eastAsia" w:ascii="仿宋" w:hAnsi="仿宋" w:eastAsia="仿宋" w:cs="仿宋_GB2312"/>
          <w:sz w:val="32"/>
          <w:szCs w:val="32"/>
        </w:rPr>
        <w:t>人员</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人，参公人员</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人。</w:t>
      </w:r>
    </w:p>
    <w:p>
      <w:pPr>
        <w:pStyle w:val="3"/>
        <w:bidi w:val="0"/>
        <w:ind w:firstLine="440" w:firstLineChars="100"/>
        <w:jc w:val="both"/>
        <w:rPr>
          <w:rFonts w:hint="eastAsia"/>
        </w:rPr>
      </w:pPr>
    </w:p>
    <w:p>
      <w:pPr>
        <w:pStyle w:val="3"/>
        <w:bidi w:val="0"/>
        <w:ind w:firstLine="440" w:firstLineChars="100"/>
        <w:jc w:val="both"/>
        <w:rPr>
          <w:rFonts w:hint="eastAsia"/>
          <w:lang w:val="en-US" w:eastAsia="zh-CN"/>
        </w:rPr>
      </w:pPr>
      <w:r>
        <w:rPr>
          <w:rFonts w:hint="eastAsia"/>
        </w:rPr>
        <w:t xml:space="preserve">第二部分 </w:t>
      </w:r>
      <w:r>
        <w:rPr>
          <w:rFonts w:hint="eastAsia"/>
          <w:lang w:val="en-US" w:eastAsia="zh-CN"/>
        </w:rPr>
        <w:t>2021年度</w:t>
      </w:r>
      <w:r>
        <w:rPr>
          <w:rFonts w:hint="eastAsia"/>
        </w:rPr>
        <w:t>部门决算情况说明</w:t>
      </w:r>
      <w:bookmarkEnd w:id="33"/>
      <w:bookmarkEnd w:id="34"/>
      <w:bookmarkEnd w:id="35"/>
      <w:bookmarkStart w:id="36" w:name="_Toc16501"/>
      <w:bookmarkStart w:id="37" w:name="_Toc15396603"/>
      <w:bookmarkStart w:id="38" w:name="_Toc15377205"/>
    </w:p>
    <w:p>
      <w:pPr>
        <w:pStyle w:val="4"/>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pStyle w:val="4"/>
        <w:pageBreakBefore w:val="0"/>
        <w:widowControl w:val="0"/>
        <w:kinsoku/>
        <w:wordWrap/>
        <w:overflowPunct/>
        <w:topLinePunct w:val="0"/>
        <w:autoSpaceDE/>
        <w:autoSpaceDN/>
        <w:bidi w:val="0"/>
        <w:adjustRightInd/>
        <w:snapToGrid/>
        <w:spacing w:line="520" w:lineRule="exact"/>
        <w:textAlignment w:val="auto"/>
      </w:pPr>
      <w:r>
        <w:rPr>
          <w:rFonts w:hint="eastAsia"/>
          <w:lang w:val="en-US" w:eastAsia="zh-CN"/>
        </w:rPr>
        <w:t>一、</w:t>
      </w:r>
      <w:r>
        <w:rPr>
          <w:rFonts w:hint="eastAsia"/>
        </w:rPr>
        <w:t>收入支出决算总体情况说明</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20</w:t>
      </w:r>
      <w:r>
        <w:rPr>
          <w:rFonts w:hint="eastAsia"/>
          <w:lang w:val="en-US" w:eastAsia="zh-CN"/>
        </w:rPr>
        <w:t>21</w:t>
      </w:r>
      <w:r>
        <w:rPr>
          <w:rFonts w:hint="eastAsia"/>
        </w:rPr>
        <w:t>年度收</w:t>
      </w:r>
      <w:r>
        <w:rPr>
          <w:rFonts w:hint="eastAsia"/>
          <w:lang w:eastAsia="zh-CN"/>
        </w:rPr>
        <w:t>、支</w:t>
      </w:r>
      <w:r>
        <w:rPr>
          <w:rFonts w:hint="eastAsia"/>
          <w:lang w:val="en-US" w:eastAsia="zh-CN"/>
        </w:rPr>
        <w:t>506.15</w:t>
      </w:r>
      <w:r>
        <w:rPr>
          <w:rFonts w:hint="eastAsia"/>
        </w:rPr>
        <w:t>万元</w:t>
      </w:r>
      <w:r>
        <w:rPr>
          <w:rFonts w:hint="eastAsia"/>
          <w:lang w:eastAsia="zh-CN"/>
        </w:rPr>
        <w:t>，</w:t>
      </w:r>
      <w:r>
        <w:rPr>
          <w:rFonts w:hint="eastAsia"/>
        </w:rPr>
        <w:t>与20</w:t>
      </w:r>
      <w:r>
        <w:rPr>
          <w:rFonts w:hint="eastAsia"/>
          <w:lang w:val="en-US" w:eastAsia="zh-CN"/>
        </w:rPr>
        <w:t>20</w:t>
      </w:r>
      <w:r>
        <w:rPr>
          <w:rFonts w:hint="eastAsia"/>
        </w:rPr>
        <w:t>年</w:t>
      </w:r>
      <w:r>
        <w:rPr>
          <w:rFonts w:hint="eastAsia"/>
          <w:lang w:val="en-US" w:eastAsia="zh-CN"/>
        </w:rPr>
        <w:t>1041万元</w:t>
      </w:r>
      <w:r>
        <w:rPr>
          <w:rFonts w:hint="eastAsia"/>
        </w:rPr>
        <w:t>相比</w:t>
      </w:r>
      <w:r>
        <w:rPr>
          <w:rFonts w:hint="eastAsia"/>
          <w:lang w:eastAsia="zh-CN"/>
        </w:rPr>
        <w:t>收、支各</w:t>
      </w:r>
      <w:r>
        <w:rPr>
          <w:rFonts w:hint="eastAsia"/>
          <w:lang w:val="en-US" w:eastAsia="zh-CN"/>
        </w:rPr>
        <w:t>减少534.85</w:t>
      </w:r>
      <w:r>
        <w:rPr>
          <w:rFonts w:hint="eastAsia"/>
        </w:rPr>
        <w:t>万元，</w:t>
      </w:r>
      <w:r>
        <w:rPr>
          <w:rFonts w:hint="eastAsia"/>
          <w:lang w:val="en-US" w:eastAsia="zh-CN"/>
        </w:rPr>
        <w:t>减少51</w:t>
      </w:r>
      <w:r>
        <w:rPr>
          <w:rFonts w:hint="eastAsia"/>
        </w:rPr>
        <w:t>%</w:t>
      </w:r>
      <w:r>
        <w:rPr>
          <w:rFonts w:hint="eastAsia"/>
          <w:lang w:eastAsia="zh-CN"/>
        </w:rPr>
        <w:t>。</w:t>
      </w:r>
      <w:r>
        <w:rPr>
          <w:rFonts w:hint="eastAsia"/>
        </w:rPr>
        <w:t>主要变动原因是</w:t>
      </w:r>
      <w:r>
        <w:rPr>
          <w:rFonts w:hint="eastAsia"/>
          <w:lang w:eastAsia="zh-CN"/>
        </w:rPr>
        <w:t>项目</w:t>
      </w:r>
      <w:r>
        <w:rPr>
          <w:rFonts w:hint="eastAsia"/>
          <w:lang w:val="en-US" w:eastAsia="zh-CN"/>
        </w:rPr>
        <w:t>减少</w:t>
      </w:r>
      <w:r>
        <w:rPr>
          <w:rFonts w:hint="eastAsia"/>
        </w:rPr>
        <w:t>。</w:t>
      </w:r>
    </w:p>
    <w:p>
      <w:pPr>
        <w:pStyle w:val="2"/>
        <w:rPr>
          <w:rFonts w:hint="eastAsia"/>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349250</wp:posOffset>
            </wp:positionH>
            <wp:positionV relativeFrom="paragraph">
              <wp:posOffset>146050</wp:posOffset>
            </wp:positionV>
            <wp:extent cx="4806950" cy="2728595"/>
            <wp:effectExtent l="4445" t="4445" r="19685" b="10160"/>
            <wp:wrapThrough wrapText="bothSides">
              <wp:wrapPolygon>
                <wp:start x="-20" y="-35"/>
                <wp:lineTo x="-20" y="21560"/>
                <wp:lineTo x="21551" y="21560"/>
                <wp:lineTo x="21551" y="-35"/>
                <wp:lineTo x="-20" y="-35"/>
              </wp:wrapPolygon>
            </wp:wrapThrough>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ind w:left="0" w:leftChars="0" w:firstLine="0" w:firstLineChars="0"/>
        <w:rPr>
          <w:rFonts w:hint="eastAsia"/>
        </w:rPr>
      </w:pPr>
    </w:p>
    <w:p>
      <w:pPr>
        <w:pStyle w:val="2"/>
        <w:rPr>
          <w:rFonts w:hint="eastAsia"/>
        </w:rPr>
      </w:pPr>
    </w:p>
    <w:p>
      <w:pPr>
        <w:pStyle w:val="2"/>
        <w:ind w:left="0" w:leftChars="0" w:firstLine="0" w:firstLineChars="0"/>
        <w:rPr>
          <w:rFonts w:hint="eastAsia"/>
        </w:rPr>
      </w:pPr>
    </w:p>
    <w:p>
      <w:pPr>
        <w:pStyle w:val="2"/>
        <w:rPr>
          <w:rFonts w:hint="eastAsia"/>
        </w:rPr>
      </w:pPr>
    </w:p>
    <w:p>
      <w:pPr>
        <w:pStyle w:val="2"/>
        <w:rPr>
          <w:rFonts w:hint="eastAsia"/>
        </w:rPr>
      </w:pPr>
    </w:p>
    <w:p>
      <w:pPr>
        <w:spacing w:line="600" w:lineRule="exact"/>
        <w:ind w:left="0" w:leftChars="0" w:right="0" w:rightChars="0" w:firstLine="640" w:firstLineChars="200"/>
        <w:jc w:val="both"/>
        <w:rPr>
          <w:rFonts w:hint="eastAsia"/>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bookmarkStart w:id="39" w:name="_Toc15396604"/>
      <w:bookmarkStart w:id="40" w:name="_Toc15377206"/>
    </w:p>
    <w:p>
      <w:pPr>
        <w:pStyle w:val="4"/>
        <w:bidi w:val="0"/>
      </w:pPr>
      <w:bookmarkStart w:id="41" w:name="_Toc27824"/>
      <w:r>
        <w:rPr>
          <w:rFonts w:hint="eastAsia"/>
          <w:lang w:eastAsia="zh-CN"/>
        </w:rPr>
        <w:t>二、</w:t>
      </w:r>
      <w:r>
        <w:rPr>
          <w:rFonts w:hint="eastAsia"/>
        </w:rPr>
        <w:t>收入决算情况说明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color w:val="auto"/>
          <w:sz w:val="32"/>
          <w:szCs w:val="32"/>
          <w:highlight w:val="none"/>
        </w:rPr>
      </w:pPr>
      <w:bookmarkStart w:id="42" w:name="_Toc18270"/>
      <w:bookmarkStart w:id="43" w:name="_Toc31753"/>
      <w:bookmarkStart w:id="44" w:name="_Toc90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年本年收入合计</w:t>
      </w:r>
      <w:r>
        <w:rPr>
          <w:rFonts w:hint="eastAsia" w:ascii="仿宋_GB2312" w:hAnsi="仿宋_GB2312" w:cs="仿宋_GB2312"/>
          <w:sz w:val="32"/>
          <w:szCs w:val="32"/>
          <w:lang w:val="en-US" w:eastAsia="zh-CN"/>
        </w:rPr>
        <w:t>506.15</w:t>
      </w:r>
      <w:r>
        <w:rPr>
          <w:rFonts w:hint="eastAsia" w:ascii="仿宋_GB2312" w:hAnsi="仿宋_GB2312" w:eastAsia="仿宋_GB2312" w:cs="仿宋_GB2312"/>
          <w:sz w:val="32"/>
          <w:szCs w:val="32"/>
        </w:rPr>
        <w:t>万元，一般公共预</w:t>
      </w:r>
      <w:r>
        <w:rPr>
          <w:rFonts w:hint="eastAsia" w:ascii="仿宋_GB2312" w:hAnsi="仿宋_GB2312" w:eastAsia="仿宋_GB2312" w:cs="仿宋_GB2312"/>
          <w:spacing w:val="-6"/>
          <w:sz w:val="32"/>
          <w:szCs w:val="32"/>
        </w:rPr>
        <w:t>算财政拨款收入</w:t>
      </w:r>
      <w:r>
        <w:rPr>
          <w:rFonts w:hint="eastAsia" w:ascii="仿宋_GB2312" w:hAnsi="仿宋_GB2312" w:cs="仿宋_GB2312"/>
          <w:spacing w:val="-6"/>
          <w:sz w:val="32"/>
          <w:szCs w:val="32"/>
          <w:lang w:val="en-US" w:eastAsia="zh-CN"/>
        </w:rPr>
        <w:t>506.15</w:t>
      </w:r>
      <w:r>
        <w:rPr>
          <w:rFonts w:hint="eastAsia" w:ascii="仿宋_GB2312" w:hAnsi="仿宋_GB2312" w:eastAsia="仿宋_GB2312" w:cs="仿宋_GB2312"/>
          <w:spacing w:val="-6"/>
          <w:sz w:val="32"/>
          <w:szCs w:val="32"/>
        </w:rPr>
        <w:t>万元，占100%</w:t>
      </w:r>
      <w:r>
        <w:rPr>
          <w:rFonts w:hint="eastAsia" w:ascii="仿宋_GB2312" w:hAnsi="仿宋_GB2312" w:eastAsia="仿宋_GB2312" w:cs="仿宋_GB2312"/>
          <w:spacing w:val="-6"/>
          <w:sz w:val="32"/>
          <w:szCs w:val="32"/>
          <w:lang w:eastAsia="zh-CN"/>
        </w:rPr>
        <w:t>。</w:t>
      </w:r>
      <w:bookmarkEnd w:id="42"/>
      <w:bookmarkEnd w:id="43"/>
      <w:bookmarkEnd w:id="44"/>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383540</wp:posOffset>
            </wp:positionH>
            <wp:positionV relativeFrom="paragraph">
              <wp:posOffset>61595</wp:posOffset>
            </wp:positionV>
            <wp:extent cx="4926330" cy="2006600"/>
            <wp:effectExtent l="4445" t="4445" r="22225" b="825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（图2：收入决算结构图）（饼状图）</w:t>
      </w:r>
    </w:p>
    <w:p>
      <w:pPr>
        <w:pStyle w:val="4"/>
        <w:bidi w:val="0"/>
      </w:pPr>
      <w:bookmarkStart w:id="45" w:name="_Toc18188"/>
      <w:bookmarkStart w:id="46" w:name="_Toc15377207"/>
      <w:bookmarkStart w:id="47" w:name="_Toc15396605"/>
      <w:r>
        <w:rPr>
          <w:rFonts w:hint="eastAsia"/>
          <w:lang w:eastAsia="zh-CN"/>
        </w:rPr>
        <w:t>三、</w:t>
      </w:r>
      <w:r>
        <w:rPr>
          <w:rFonts w:hint="eastAsia"/>
        </w:rPr>
        <w:t>支出决算情况说明</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eastAsia="仿宋_GB2312"/>
          <w:color w:val="FF0000"/>
          <w:sz w:val="32"/>
          <w:szCs w:val="32"/>
        </w:rPr>
        <w:drawing>
          <wp:anchor distT="0" distB="0" distL="114300" distR="114300" simplePos="0" relativeHeight="251662336" behindDoc="0" locked="0" layoutInCell="1" allowOverlap="1">
            <wp:simplePos x="0" y="0"/>
            <wp:positionH relativeFrom="column">
              <wp:posOffset>288290</wp:posOffset>
            </wp:positionH>
            <wp:positionV relativeFrom="paragraph">
              <wp:posOffset>77470</wp:posOffset>
            </wp:positionV>
            <wp:extent cx="5069205" cy="2129790"/>
            <wp:effectExtent l="4445" t="4445" r="12700"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年本年支出合计</w:t>
      </w:r>
      <w:r>
        <w:rPr>
          <w:rFonts w:hint="eastAsia" w:ascii="仿宋_GB2312" w:hAnsi="仿宋_GB2312" w:cs="仿宋_GB2312"/>
          <w:sz w:val="32"/>
          <w:szCs w:val="32"/>
          <w:lang w:val="en-US" w:eastAsia="zh-CN"/>
        </w:rPr>
        <w:t>506.15</w:t>
      </w:r>
      <w:r>
        <w:rPr>
          <w:rFonts w:hint="eastAsia" w:ascii="仿宋_GB2312" w:hAnsi="仿宋_GB2312" w:eastAsia="仿宋_GB2312" w:cs="仿宋_GB2312"/>
          <w:sz w:val="32"/>
          <w:szCs w:val="32"/>
        </w:rPr>
        <w:t>万元，其中：基本支出</w:t>
      </w:r>
      <w:r>
        <w:rPr>
          <w:rFonts w:hint="eastAsia" w:ascii="仿宋_GB2312" w:hAnsi="仿宋_GB2312" w:cs="仿宋_GB2312"/>
          <w:sz w:val="32"/>
          <w:szCs w:val="32"/>
          <w:lang w:val="en-US" w:eastAsia="zh-CN"/>
        </w:rPr>
        <w:t>209.96</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41</w:t>
      </w:r>
      <w:r>
        <w:rPr>
          <w:rFonts w:hint="eastAsia" w:ascii="仿宋_GB2312" w:hAnsi="仿宋_GB2312" w:eastAsia="仿宋_GB2312" w:cs="仿宋_GB2312"/>
          <w:sz w:val="32"/>
          <w:szCs w:val="32"/>
        </w:rPr>
        <w:t>%；项目支出</w:t>
      </w:r>
      <w:r>
        <w:rPr>
          <w:rFonts w:hint="eastAsia" w:ascii="仿宋_GB2312" w:hAnsi="仿宋_GB2312" w:cs="仿宋_GB2312"/>
          <w:sz w:val="32"/>
          <w:szCs w:val="32"/>
          <w:lang w:val="en-US" w:eastAsia="zh-CN"/>
        </w:rPr>
        <w:t>296.18</w:t>
      </w:r>
      <w:r>
        <w:rPr>
          <w:rFonts w:hint="eastAsia" w:ascii="仿宋_GB2312" w:hAnsi="仿宋_GB2312" w:eastAsia="仿宋_GB2312" w:cs="仿宋_GB2312"/>
          <w:sz w:val="32"/>
          <w:szCs w:val="32"/>
        </w:rPr>
        <w:t>万元，占</w:t>
      </w:r>
      <w:r>
        <w:rPr>
          <w:rFonts w:hint="eastAsia" w:ascii="仿宋_GB2312" w:hAnsi="仿宋_GB2312" w:cs="仿宋_GB2312"/>
          <w:sz w:val="32"/>
          <w:szCs w:val="32"/>
          <w:lang w:val="en-US" w:eastAsia="zh-CN"/>
        </w:rPr>
        <w:t>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4"/>
        <w:bidi w:val="0"/>
      </w:pPr>
      <w:bookmarkStart w:id="48" w:name="_Toc15396606"/>
      <w:bookmarkStart w:id="49" w:name="_Toc15377208"/>
      <w:bookmarkStart w:id="50" w:name="_Toc6987"/>
      <w:r>
        <w:rPr>
          <w:rFonts w:hint="eastAsia"/>
        </w:rPr>
        <w:t>四、财政拨款收入支出决算总体情况说明</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财政拨款收、支总计</w:t>
      </w:r>
      <w:r>
        <w:rPr>
          <w:rFonts w:hint="eastAsia" w:ascii="仿宋_GB2312" w:hAnsi="仿宋_GB2312" w:cs="仿宋_GB2312"/>
          <w:sz w:val="32"/>
          <w:szCs w:val="32"/>
          <w:lang w:val="en-US" w:eastAsia="zh-CN"/>
        </w:rPr>
        <w:t>506.15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w:t>
      </w:r>
      <w:r>
        <w:rPr>
          <w:rFonts w:hint="eastAsia" w:ascii="仿宋_GB2312" w:hAnsi="仿宋_GB2312" w:eastAsia="仿宋_GB2312" w:cs="仿宋_GB2312"/>
          <w:sz w:val="32"/>
          <w:szCs w:val="32"/>
          <w:lang w:eastAsia="zh-CN"/>
        </w:rPr>
        <w:t>、支总计减少</w:t>
      </w:r>
      <w:r>
        <w:rPr>
          <w:rFonts w:hint="eastAsia" w:ascii="仿宋_GB2312" w:hAnsi="仿宋_GB2312" w:cs="仿宋_GB2312"/>
          <w:sz w:val="32"/>
          <w:szCs w:val="32"/>
          <w:lang w:val="en-US" w:eastAsia="zh-CN"/>
        </w:rPr>
        <w:t>534.85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cs="仿宋_GB2312"/>
          <w:sz w:val="32"/>
          <w:szCs w:val="32"/>
          <w:lang w:val="en-US" w:eastAsia="zh-CN"/>
        </w:rPr>
        <w:t>51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项目减少</w:t>
      </w:r>
      <w:r>
        <w:rPr>
          <w:rFonts w:hint="eastAsia" w:ascii="仿宋_GB2312" w:hAnsi="仿宋_GB2312" w:eastAsia="仿宋_GB2312" w:cs="仿宋_GB2312"/>
          <w:sz w:val="32"/>
          <w:szCs w:val="32"/>
        </w:rPr>
        <w:t>。</w:t>
      </w:r>
    </w:p>
    <w:p>
      <w:pPr>
        <w:spacing w:line="600" w:lineRule="exact"/>
        <w:ind w:left="0" w:leftChars="0" w:right="0" w:rightChars="0" w:firstLine="0" w:firstLineChars="0"/>
        <w:jc w:val="center"/>
        <w:rPr>
          <w:rFonts w:ascii="仿宋" w:hAnsi="仿宋" w:eastAsia="仿宋"/>
          <w:b/>
          <w:color w:val="auto"/>
          <w:sz w:val="32"/>
          <w:szCs w:val="32"/>
          <w:highlight w:val="none"/>
        </w:rPr>
      </w:pPr>
      <w:r>
        <w:rPr>
          <w:rFonts w:hint="eastAsia" w:ascii="仿宋" w:hAnsi="仿宋" w:eastAsia="仿宋"/>
          <w:b/>
          <w:color w:val="00B050"/>
          <w:sz w:val="32"/>
          <w:szCs w:val="32"/>
        </w:rPr>
        <w:drawing>
          <wp:anchor distT="0" distB="0" distL="114300" distR="114300" simplePos="0" relativeHeight="251663360" behindDoc="0" locked="0" layoutInCell="1" allowOverlap="1">
            <wp:simplePos x="0" y="0"/>
            <wp:positionH relativeFrom="column">
              <wp:align>center</wp:align>
            </wp:positionH>
            <wp:positionV relativeFrom="paragraph">
              <wp:posOffset>71755</wp:posOffset>
            </wp:positionV>
            <wp:extent cx="4915535" cy="2320925"/>
            <wp:effectExtent l="4445" t="4445" r="1397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（图4：财政拨款收、支决算总计变动情况）（柱状图）</w:t>
      </w:r>
    </w:p>
    <w:p>
      <w:pPr>
        <w:pStyle w:val="4"/>
        <w:bidi w:val="0"/>
      </w:pPr>
      <w:bookmarkStart w:id="51" w:name="_Toc15377209"/>
      <w:bookmarkStart w:id="52" w:name="_Toc15396607"/>
      <w:bookmarkStart w:id="53" w:name="_Toc23910"/>
      <w:r>
        <w:rPr>
          <w:rFonts w:hint="eastAsia"/>
        </w:rPr>
        <w:t>五、一般公共预算财政拨款支出决算情况说明</w:t>
      </w:r>
      <w:bookmarkEnd w:id="51"/>
      <w:bookmarkEnd w:id="52"/>
      <w:bookmarkEnd w:id="53"/>
    </w:p>
    <w:p>
      <w:pPr>
        <w:pStyle w:val="5"/>
        <w:bidi w:val="0"/>
        <w:rPr>
          <w:rFonts w:hint="eastAsia"/>
        </w:rPr>
      </w:pPr>
      <w:bookmarkStart w:id="54" w:name="_Toc15377210"/>
      <w:bookmarkStart w:id="55" w:name="_Toc32380"/>
      <w:r>
        <w:rPr>
          <w:rFonts w:hint="eastAsia"/>
        </w:rPr>
        <w:t>（一）一般公共预算财政拨款支出决算总体情况</w:t>
      </w:r>
      <w:bookmarkEnd w:id="54"/>
      <w:bookmarkEnd w:id="55"/>
    </w:p>
    <w:p>
      <w:pPr>
        <w:bidi w:val="0"/>
        <w:rPr>
          <w:rFonts w:hint="eastAsia"/>
          <w:lang w:eastAsia="zh-CN"/>
        </w:rPr>
      </w:pPr>
      <w:r>
        <w:rPr>
          <w:rFonts w:hint="eastAsia"/>
        </w:rPr>
        <w:t>20</w:t>
      </w:r>
      <w:r>
        <w:rPr>
          <w:rFonts w:hint="eastAsia"/>
          <w:lang w:val="en-US" w:eastAsia="zh-CN"/>
        </w:rPr>
        <w:t>21</w:t>
      </w:r>
      <w:r>
        <w:rPr>
          <w:rFonts w:hint="eastAsia"/>
        </w:rPr>
        <w:t>年一般公共预算财政拨款支出</w:t>
      </w:r>
      <w:r>
        <w:rPr>
          <w:rFonts w:hint="eastAsia"/>
          <w:lang w:val="en-US" w:eastAsia="zh-CN"/>
        </w:rPr>
        <w:t>506.15</w:t>
      </w:r>
      <w:r>
        <w:rPr>
          <w:rFonts w:hint="eastAsia"/>
        </w:rPr>
        <w:t>万元，占本年支出合计的100%。与20</w:t>
      </w:r>
      <w:r>
        <w:rPr>
          <w:rFonts w:hint="eastAsia"/>
          <w:lang w:val="en-US" w:eastAsia="zh-CN"/>
        </w:rPr>
        <w:t>20</w:t>
      </w:r>
      <w:r>
        <w:rPr>
          <w:rFonts w:hint="eastAsia"/>
        </w:rPr>
        <w:t>年相比，一般公共预算财政拨款</w:t>
      </w:r>
      <w:r>
        <w:rPr>
          <w:rFonts w:hint="eastAsia"/>
          <w:lang w:eastAsia="zh-CN"/>
        </w:rPr>
        <w:t>减少</w:t>
      </w:r>
      <w:r>
        <w:rPr>
          <w:rFonts w:hint="eastAsia"/>
          <w:lang w:val="en-US" w:eastAsia="zh-CN"/>
        </w:rPr>
        <w:t>534.85</w:t>
      </w:r>
      <w:r>
        <w:rPr>
          <w:rFonts w:hint="eastAsia"/>
        </w:rPr>
        <w:t>万元，</w:t>
      </w:r>
      <w:r>
        <w:rPr>
          <w:rFonts w:hint="eastAsia"/>
          <w:lang w:eastAsia="zh-CN"/>
        </w:rPr>
        <w:t>下降</w:t>
      </w:r>
      <w:r>
        <w:rPr>
          <w:rFonts w:hint="eastAsia"/>
          <w:lang w:val="en-US" w:eastAsia="zh-CN"/>
        </w:rPr>
        <w:t>51</w:t>
      </w:r>
      <w:r>
        <w:rPr>
          <w:rFonts w:hint="eastAsia"/>
        </w:rPr>
        <w:t>%。</w:t>
      </w:r>
      <w:r>
        <w:rPr>
          <w:rFonts w:hint="eastAsia"/>
          <w:lang w:eastAsia="zh-CN"/>
        </w:rPr>
        <w:t>主要变动原因是项目减少。</w:t>
      </w: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377190</wp:posOffset>
            </wp:positionH>
            <wp:positionV relativeFrom="paragraph">
              <wp:posOffset>92075</wp:posOffset>
            </wp:positionV>
            <wp:extent cx="4786630" cy="3031490"/>
            <wp:effectExtent l="4445" t="4445" r="9525"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auto"/>
          <w:sz w:val="32"/>
          <w:szCs w:val="32"/>
          <w:highlight w:val="none"/>
        </w:rPr>
        <w:t>（图5：一般公共预算财政拨款支出决算变动情况（柱状图）</w:t>
      </w:r>
    </w:p>
    <w:p>
      <w:pPr>
        <w:pStyle w:val="5"/>
        <w:bidi w:val="0"/>
      </w:pPr>
      <w:bookmarkStart w:id="56" w:name="_Toc14645"/>
      <w:r>
        <w:rPr>
          <w:rFonts w:hint="eastAsia"/>
        </w:rPr>
        <w:t>（二）一般公共预算财政拨款支出决算结构情况</w:t>
      </w:r>
      <w:bookmarkEnd w:id="56"/>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年一般公共预算财政拨款支出</w:t>
      </w:r>
      <w:r>
        <w:rPr>
          <w:rFonts w:hint="eastAsia" w:ascii="仿宋" w:hAnsi="仿宋" w:eastAsia="仿宋" w:cs="仿宋"/>
          <w:color w:val="000000"/>
          <w:sz w:val="32"/>
          <w:szCs w:val="32"/>
          <w:lang w:val="en-US" w:eastAsia="zh-CN"/>
        </w:rPr>
        <w:t>506.15</w:t>
      </w:r>
      <w:r>
        <w:rPr>
          <w:rFonts w:hint="eastAsia" w:ascii="仿宋" w:hAnsi="仿宋" w:eastAsia="仿宋" w:cs="仿宋"/>
          <w:color w:val="000000"/>
          <w:sz w:val="32"/>
          <w:szCs w:val="32"/>
        </w:rPr>
        <w:t>万元，</w:t>
      </w:r>
      <w:r>
        <w:rPr>
          <w:rFonts w:hint="eastAsia" w:ascii="仿宋" w:hAnsi="仿宋" w:eastAsia="仿宋" w:cs="仿宋"/>
          <w:color w:val="000000" w:themeColor="text1"/>
          <w:sz w:val="32"/>
          <w:szCs w:val="32"/>
          <w14:textFill>
            <w14:solidFill>
              <w14:schemeClr w14:val="tx1"/>
            </w14:solidFill>
          </w14:textFill>
        </w:rPr>
        <w:t>主要用于以下方面</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一般公共服务（类）</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lang w:val="en-US" w:eastAsia="zh-CN"/>
          <w14:textFill>
            <w14:solidFill>
              <w14:schemeClr w14:val="tx1"/>
            </w14:solidFill>
          </w14:textFill>
        </w:rPr>
        <w:t>462.04</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91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农林水事务</w:t>
      </w:r>
      <w:r>
        <w:rPr>
          <w:rFonts w:hint="eastAsia" w:ascii="仿宋" w:hAnsi="仿宋" w:eastAsia="仿宋" w:cs="仿宋"/>
          <w:b/>
          <w:color w:val="000000" w:themeColor="text1"/>
          <w:sz w:val="32"/>
          <w:szCs w:val="32"/>
          <w14:textFill>
            <w14:solidFill>
              <w14:schemeClr w14:val="tx1"/>
            </w14:solidFill>
          </w14:textFill>
        </w:rPr>
        <w:t>（类）</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lang w:val="en-US" w:eastAsia="zh-CN"/>
          <w14:textFill>
            <w14:solidFill>
              <w14:schemeClr w14:val="tx1"/>
            </w14:solidFill>
          </w14:textFill>
        </w:rPr>
        <w:t>0.8</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0.16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社会保障和就业（类）</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lang w:val="en-US" w:eastAsia="zh-CN"/>
          <w14:textFill>
            <w14:solidFill>
              <w14:schemeClr w14:val="tx1"/>
            </w14:solidFill>
          </w14:textFill>
        </w:rPr>
        <w:t>22.17</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4.6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卫生健康支出</w:t>
      </w:r>
      <w:r>
        <w:rPr>
          <w:rFonts w:hint="eastAsia" w:ascii="仿宋" w:hAnsi="仿宋" w:eastAsia="仿宋" w:cs="仿宋"/>
          <w:b w:val="0"/>
          <w:bCs w:val="0"/>
          <w:color w:val="000000" w:themeColor="text1"/>
          <w:sz w:val="32"/>
          <w:szCs w:val="32"/>
          <w:lang w:val="en-US" w:eastAsia="zh-CN"/>
          <w14:textFill>
            <w14:solidFill>
              <w14:schemeClr w14:val="tx1"/>
            </w14:solidFill>
          </w14:textFill>
        </w:rPr>
        <w:t>9.94</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住房保障支出</w:t>
      </w:r>
      <w:r>
        <w:rPr>
          <w:rFonts w:hint="eastAsia" w:ascii="仿宋" w:hAnsi="仿宋" w:eastAsia="仿宋" w:cs="仿宋"/>
          <w:b w:val="0"/>
          <w:bCs w:val="0"/>
          <w:color w:val="000000" w:themeColor="text1"/>
          <w:sz w:val="32"/>
          <w:szCs w:val="32"/>
          <w:lang w:val="en-US" w:eastAsia="zh-CN"/>
          <w14:textFill>
            <w14:solidFill>
              <w14:schemeClr w14:val="tx1"/>
            </w14:solidFill>
          </w14:textFill>
        </w:rPr>
        <w:t>11.2</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2.24</w:t>
      </w:r>
      <w:r>
        <w:rPr>
          <w:rFonts w:hint="eastAsia" w:ascii="仿宋" w:hAnsi="仿宋" w:eastAsia="仿宋" w:cs="仿宋"/>
          <w:color w:val="000000" w:themeColor="text1"/>
          <w:sz w:val="32"/>
          <w:szCs w:val="32"/>
          <w14:textFill>
            <w14:solidFill>
              <w14:schemeClr w14:val="tx1"/>
            </w14:solidFill>
          </w14:textFill>
        </w:rPr>
        <w:t>%。</w:t>
      </w:r>
      <w:bookmarkStart w:id="57" w:name="_Toc15377212"/>
    </w:p>
    <w:p>
      <w:pPr>
        <w:bidi w:val="0"/>
        <w:rPr>
          <w:rFonts w:hint="default" w:ascii="Times New Roman" w:hAnsi="Times New Roman" w:eastAsia="仿宋_GB2312" w:cs="Times New Roman"/>
          <w:kern w:val="2"/>
          <w:sz w:val="32"/>
          <w:szCs w:val="24"/>
          <w:lang w:val="en-US" w:eastAsia="zh-CN" w:bidi="ar-SA"/>
        </w:rPr>
      </w:pPr>
    </w:p>
    <w:p>
      <w:pPr>
        <w:tabs>
          <w:tab w:val="left" w:pos="6661"/>
        </w:tabs>
        <w:bidi w:val="0"/>
        <w:jc w:val="left"/>
        <w:rPr>
          <w:rFonts w:hint="default"/>
          <w:lang w:val="en-US" w:eastAsia="zh-CN"/>
        </w:rPr>
      </w:pPr>
      <w:r>
        <w:rPr>
          <w:rFonts w:hint="eastAsia"/>
          <w:lang w:val="en-US" w:eastAsia="zh-CN"/>
        </w:rPr>
        <w:tab/>
      </w: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354965</wp:posOffset>
            </wp:positionH>
            <wp:positionV relativeFrom="paragraph">
              <wp:posOffset>196215</wp:posOffset>
            </wp:positionV>
            <wp:extent cx="4897755" cy="2656205"/>
            <wp:effectExtent l="4445" t="4445" r="12700" b="635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rPr>
        <w:t>（图6：一般公共预算财政拨款支出决算结构）（饼状图）</w:t>
      </w:r>
    </w:p>
    <w:p>
      <w:pPr>
        <w:pStyle w:val="5"/>
        <w:bidi w:val="0"/>
      </w:pPr>
      <w:bookmarkStart w:id="58" w:name="_Toc29323"/>
      <w:r>
        <w:rPr>
          <w:rFonts w:hint="eastAsia"/>
        </w:rPr>
        <w:t>（三）一般公共预算财政拨款支出决算具体情况</w:t>
      </w:r>
      <w:bookmarkEnd w:id="57"/>
      <w:bookmarkEnd w:id="58"/>
    </w:p>
    <w:p>
      <w:pPr>
        <w:keepNext w:val="0"/>
        <w:keepLines w:val="0"/>
        <w:pageBreakBefore w:val="0"/>
        <w:widowControl w:val="0"/>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b/>
          <w:bCs/>
          <w:sz w:val="32"/>
          <w:szCs w:val="32"/>
        </w:rPr>
      </w:pPr>
      <w:bookmarkStart w:id="59" w:name="_Toc15377444"/>
      <w:bookmarkStart w:id="60" w:name="_Toc15378460"/>
      <w:bookmarkStart w:id="61" w:name="_Toc15377213"/>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年一般公共预算支出决算数为</w:t>
      </w:r>
      <w:r>
        <w:rPr>
          <w:rFonts w:hint="eastAsia" w:ascii="仿宋_GB2312" w:hAnsi="仿宋_GB2312" w:cs="仿宋_GB2312"/>
          <w:b/>
          <w:bCs/>
          <w:sz w:val="32"/>
          <w:szCs w:val="32"/>
          <w:lang w:val="en-US" w:eastAsia="zh-CN"/>
        </w:rPr>
        <w:t>506.15</w:t>
      </w:r>
      <w:r>
        <w:rPr>
          <w:rFonts w:hint="eastAsia" w:ascii="仿宋_GB2312" w:hAnsi="仿宋_GB2312" w:eastAsia="仿宋_GB2312" w:cs="仿宋_GB2312"/>
          <w:b/>
          <w:bCs/>
          <w:sz w:val="32"/>
          <w:szCs w:val="32"/>
        </w:rPr>
        <w:t>万元，完成预算</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%。其中：</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行政运行支出（2010401）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166.65</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2.一般行政管理事务支出（2010402）</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0.24</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numPr>
          <w:ilvl w:val="0"/>
          <w:numId w:val="0"/>
        </w:numPr>
        <w:kinsoku/>
        <w:wordWrap/>
        <w:overflowPunct/>
        <w:topLinePunct w:val="0"/>
        <w:bidi w:val="0"/>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3.住房公积金支出（2210201）</w:t>
      </w:r>
      <w:r>
        <w:rPr>
          <w:rFonts w:hint="eastAsia" w:ascii="仿宋_GB2312" w:hAnsi="仿宋_GB2312" w:eastAsia="仿宋_GB2312" w:cs="仿宋_GB2312"/>
          <w:sz w:val="32"/>
          <w:szCs w:val="32"/>
        </w:rPr>
        <w:t>支出决算数为</w:t>
      </w:r>
      <w:r>
        <w:rPr>
          <w:rFonts w:hint="eastAsia" w:ascii="仿宋_GB2312" w:hAnsi="仿宋_GB2312" w:cs="仿宋_GB2312"/>
          <w:sz w:val="32"/>
          <w:szCs w:val="32"/>
          <w:lang w:val="en-US" w:eastAsia="zh-CN"/>
        </w:rPr>
        <w:t>11.2</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其他粮油事务支出</w:t>
      </w: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2220199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296.18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%，决算数和预算数持平。</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208</w:t>
      </w:r>
      <w:r>
        <w:rPr>
          <w:rFonts w:hint="eastAsia" w:ascii="仿宋_GB2312" w:hAnsi="仿宋_GB2312" w:eastAsia="仿宋_GB2312" w:cs="仿宋_GB2312"/>
          <w:b/>
          <w:bCs/>
          <w:sz w:val="32"/>
          <w:szCs w:val="32"/>
          <w:lang w:val="en-US" w:eastAsia="zh-CN"/>
        </w:rPr>
        <w:t>0505</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22.17</w:t>
      </w:r>
      <w:r>
        <w:rPr>
          <w:rFonts w:hint="eastAsia" w:ascii="仿宋_GB2312" w:hAnsi="仿宋_GB2312" w:eastAsia="仿宋_GB2312" w:cs="仿宋_GB2312"/>
          <w:spacing w:val="-6"/>
          <w:sz w:val="32"/>
          <w:szCs w:val="32"/>
        </w:rPr>
        <w:t>万元，完成预算</w:t>
      </w:r>
      <w:r>
        <w:rPr>
          <w:rFonts w:hint="eastAsia" w:ascii="仿宋_GB2312" w:hAnsi="仿宋_GB2312" w:eastAsia="仿宋_GB2312" w:cs="仿宋_GB2312"/>
          <w:spacing w:val="-6"/>
          <w:sz w:val="32"/>
          <w:szCs w:val="32"/>
          <w:lang w:val="en-US" w:eastAsia="zh-CN"/>
        </w:rPr>
        <w:t>98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差异原因是人员变动经费减少。</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sz w:val="32"/>
          <w:szCs w:val="32"/>
          <w:lang w:val="en-US" w:eastAsia="zh-CN"/>
        </w:rPr>
        <w:t>6</w:t>
      </w:r>
      <w:r>
        <w:rPr>
          <w:rFonts w:hint="eastAsia" w:ascii="仿宋_GB2312" w:hAnsi="仿宋_GB2312" w:eastAsia="仿宋_GB2312" w:cs="仿宋_GB2312"/>
          <w:b/>
          <w:bCs/>
          <w:sz w:val="32"/>
          <w:szCs w:val="32"/>
        </w:rPr>
        <w:t>.医疗卫生与计划生育（2101101）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9.94</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,决算数与预算数持平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76" w:lineRule="exact"/>
        <w:ind w:left="0" w:leftChars="0" w:firstLine="643" w:firstLineChars="200"/>
        <w:textAlignment w:val="auto"/>
        <w:rPr>
          <w:rFonts w:ascii="仿宋" w:hAnsi="仿宋" w:eastAsia="仿宋"/>
          <w:b/>
          <w:color w:val="auto"/>
          <w:sz w:val="32"/>
          <w:szCs w:val="32"/>
          <w:highlight w:val="none"/>
        </w:rPr>
      </w:pPr>
      <w:r>
        <w:rPr>
          <w:rFonts w:hint="eastAsia" w:ascii="仿宋_GB2312" w:hAnsi="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其他扶贫支出（2130599</w:t>
      </w:r>
      <w:r>
        <w:rPr>
          <w:rFonts w:hint="eastAsia" w:ascii="仿宋_GB2312" w:hAnsi="仿宋_GB2312" w:eastAsia="仿宋_GB2312" w:cs="仿宋_GB2312"/>
          <w:sz w:val="32"/>
          <w:szCs w:val="32"/>
        </w:rPr>
        <w:t>）：支出决算为</w:t>
      </w:r>
      <w:r>
        <w:rPr>
          <w:rFonts w:hint="eastAsia" w:ascii="仿宋_GB2312" w:hAnsi="仿宋_GB2312" w:cs="仿宋_GB2312"/>
          <w:sz w:val="32"/>
          <w:szCs w:val="32"/>
          <w:lang w:val="en-US" w:eastAsia="zh-CN"/>
        </w:rPr>
        <w:t>0.8</w:t>
      </w:r>
      <w:r>
        <w:rPr>
          <w:rFonts w:hint="eastAsia" w:ascii="仿宋_GB2312" w:hAnsi="仿宋_GB2312" w:eastAsia="仿宋_GB2312" w:cs="仿宋_GB2312"/>
          <w:sz w:val="32"/>
          <w:szCs w:val="32"/>
        </w:rPr>
        <w:t>万元，完成预算100%，决算数和预算数持平。</w:t>
      </w:r>
      <w:bookmarkEnd w:id="59"/>
      <w:bookmarkEnd w:id="60"/>
      <w:bookmarkEnd w:id="61"/>
    </w:p>
    <w:p>
      <w:pPr>
        <w:pStyle w:val="4"/>
        <w:bidi w:val="0"/>
      </w:pPr>
      <w:bookmarkStart w:id="62" w:name="_Toc32692"/>
      <w:bookmarkStart w:id="63" w:name="_Toc15396608"/>
      <w:bookmarkStart w:id="64" w:name="_Toc15377214"/>
      <w:r>
        <w:rPr>
          <w:rFonts w:hint="eastAsia"/>
        </w:rPr>
        <w:t>六、一般公共预算财政拨款基本支出决算情况说明</w:t>
      </w:r>
      <w:bookmarkEnd w:id="62"/>
      <w:bookmarkEnd w:id="63"/>
      <w:bookmarkEnd w:id="64"/>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cs="仿宋_GB2312"/>
          <w:color w:val="auto"/>
          <w:sz w:val="32"/>
          <w:szCs w:val="32"/>
          <w:highlight w:val="none"/>
          <w:lang w:val="en-US" w:eastAsia="zh-CN"/>
        </w:rPr>
        <w:t>506.15</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184.25</w:t>
      </w:r>
      <w:r>
        <w:rPr>
          <w:rFonts w:hint="eastAsia" w:ascii="仿宋_GB2312" w:hAnsi="仿宋_GB2312" w:eastAsia="仿宋_GB2312" w:cs="仿宋_GB2312"/>
          <w:color w:val="auto"/>
          <w:sz w:val="32"/>
          <w:szCs w:val="32"/>
          <w:highlight w:val="none"/>
        </w:rPr>
        <w:t>万元，主要包括：基本工资、津贴补贴、</w:t>
      </w:r>
      <w:r>
        <w:rPr>
          <w:rFonts w:hint="eastAsia" w:ascii="仿宋_GB2312" w:hAnsi="仿宋_GB2312" w:cs="仿宋_GB2312"/>
          <w:color w:val="auto"/>
          <w:sz w:val="32"/>
          <w:szCs w:val="32"/>
          <w:highlight w:val="none"/>
          <w:lang w:eastAsia="zh-CN"/>
        </w:rPr>
        <w:t>奖金、</w:t>
      </w:r>
      <w:r>
        <w:rPr>
          <w:rFonts w:hint="eastAsia" w:ascii="仿宋_GB2312" w:hAnsi="仿宋_GB2312" w:eastAsia="仿宋_GB2312" w:cs="仿宋_GB2312"/>
          <w:color w:val="auto"/>
          <w:sz w:val="32"/>
          <w:szCs w:val="32"/>
          <w:highlight w:val="none"/>
        </w:rPr>
        <w:t>绩效工资、机关事业单位基本养老保险缴费、职业年金缴费、</w:t>
      </w:r>
      <w:r>
        <w:rPr>
          <w:rFonts w:hint="eastAsia" w:ascii="仿宋_GB2312" w:hAnsi="仿宋_GB2312" w:cs="仿宋_GB2312"/>
          <w:color w:val="auto"/>
          <w:sz w:val="32"/>
          <w:szCs w:val="32"/>
          <w:highlight w:val="none"/>
          <w:lang w:eastAsia="zh-CN"/>
        </w:rPr>
        <w:t>职工基本医疗缴费</w:t>
      </w:r>
      <w:r>
        <w:rPr>
          <w:rFonts w:hint="eastAsia" w:ascii="仿宋_GB2312" w:hAnsi="仿宋_GB2312" w:eastAsia="仿宋_GB2312" w:cs="仿宋_GB2312"/>
          <w:color w:val="auto"/>
          <w:sz w:val="32"/>
          <w:szCs w:val="32"/>
          <w:highlight w:val="none"/>
        </w:rPr>
        <w:t>、其他工资福利支出、生活补助、奖励金、住房公积金。</w:t>
      </w:r>
    </w:p>
    <w:p>
      <w:pPr>
        <w:spacing w:line="600" w:lineRule="exact"/>
        <w:ind w:firstLine="645"/>
        <w:rPr>
          <w:rFonts w:ascii="仿宋" w:hAnsi="仿宋" w:eastAsia="仿宋"/>
          <w:b/>
          <w:color w:val="auto"/>
          <w:sz w:val="32"/>
          <w:szCs w:val="32"/>
          <w:highlight w:val="none"/>
        </w:rPr>
      </w:pPr>
      <w:r>
        <w:rPr>
          <w:rFonts w:hint="eastAsia" w:ascii="仿宋_GB2312" w:hAnsi="仿宋_GB2312" w:eastAsia="仿宋_GB2312" w:cs="仿宋_GB2312"/>
          <w:color w:val="auto"/>
          <w:sz w:val="32"/>
          <w:szCs w:val="32"/>
          <w:highlight w:val="none"/>
          <w:lang w:eastAsia="zh-CN"/>
        </w:rPr>
        <w:t>日常</w:t>
      </w:r>
      <w:r>
        <w:rPr>
          <w:rFonts w:hint="eastAsia" w:ascii="仿宋_GB2312" w:hAnsi="仿宋_GB2312" w:eastAsia="仿宋_GB2312" w:cs="仿宋_GB2312"/>
          <w:color w:val="auto"/>
          <w:sz w:val="32"/>
          <w:szCs w:val="32"/>
          <w:highlight w:val="none"/>
        </w:rPr>
        <w:t>公用经费</w:t>
      </w:r>
      <w:r>
        <w:rPr>
          <w:rFonts w:hint="eastAsia" w:ascii="仿宋_GB2312" w:hAnsi="仿宋_GB2312" w:cs="仿宋_GB2312"/>
          <w:color w:val="auto"/>
          <w:sz w:val="32"/>
          <w:szCs w:val="32"/>
          <w:highlight w:val="none"/>
          <w:lang w:val="en-US" w:eastAsia="zh-CN"/>
        </w:rPr>
        <w:t>25.71</w:t>
      </w:r>
      <w:r>
        <w:rPr>
          <w:rFonts w:hint="eastAsia" w:ascii="仿宋_GB2312" w:hAnsi="仿宋_GB2312" w:eastAsia="仿宋_GB2312" w:cs="仿宋_GB2312"/>
          <w:color w:val="auto"/>
          <w:sz w:val="32"/>
          <w:szCs w:val="32"/>
          <w:highlight w:val="none"/>
        </w:rPr>
        <w:t>万元，主要包括：办公费、印刷费、水费、电费、邮电费、差旅费、维修（护）费、会议费、公务接待费、劳务费、其他交通费。</w:t>
      </w:r>
    </w:p>
    <w:p>
      <w:pPr>
        <w:pStyle w:val="4"/>
        <w:bidi w:val="0"/>
      </w:pPr>
      <w:bookmarkStart w:id="65" w:name="_Toc15396609"/>
      <w:bookmarkStart w:id="66" w:name="_Toc15377215"/>
      <w:bookmarkStart w:id="67" w:name="_Toc2984"/>
      <w:r>
        <w:rPr>
          <w:rFonts w:hint="eastAsia"/>
        </w:rPr>
        <w:t>七、“三公”经费财政拨款支出决算情况说明</w:t>
      </w:r>
      <w:bookmarkEnd w:id="65"/>
      <w:bookmarkEnd w:id="66"/>
      <w:bookmarkEnd w:id="67"/>
    </w:p>
    <w:p>
      <w:pPr>
        <w:pStyle w:val="5"/>
        <w:bidi w:val="0"/>
      </w:pPr>
      <w:bookmarkStart w:id="68" w:name="_Toc15377216"/>
      <w:bookmarkStart w:id="69" w:name="_Toc28848"/>
      <w:r>
        <w:rPr>
          <w:rFonts w:hint="eastAsia"/>
        </w:rPr>
        <w:t>（一）“三公”经费财政拨款支出决算总体情况说明</w:t>
      </w:r>
      <w:bookmarkEnd w:id="68"/>
      <w:bookmarkEnd w:id="69"/>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98</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，决算数小于预算数（或与预算数持平）的主要原因是</w:t>
      </w:r>
      <w:r>
        <w:rPr>
          <w:rFonts w:hint="eastAsia" w:ascii="仿宋" w:hAnsi="仿宋" w:eastAsia="仿宋"/>
          <w:color w:val="auto"/>
          <w:sz w:val="32"/>
          <w:szCs w:val="32"/>
          <w:highlight w:val="none"/>
          <w:lang w:eastAsia="zh-CN"/>
        </w:rPr>
        <w:t>厉行节约，压缩支出</w:t>
      </w:r>
      <w:r>
        <w:rPr>
          <w:rFonts w:hint="eastAsia" w:ascii="仿宋" w:hAnsi="仿宋" w:eastAsia="仿宋"/>
          <w:color w:val="auto"/>
          <w:sz w:val="32"/>
          <w:szCs w:val="32"/>
          <w:highlight w:val="none"/>
        </w:rPr>
        <w:t>。</w:t>
      </w:r>
    </w:p>
    <w:p>
      <w:pPr>
        <w:pStyle w:val="5"/>
        <w:bidi w:val="0"/>
      </w:pPr>
      <w:bookmarkStart w:id="70" w:name="_Toc32096"/>
      <w:bookmarkStart w:id="71" w:name="_Toc15377217"/>
      <w:r>
        <w:rPr>
          <w:rFonts w:hint="eastAsia"/>
        </w:rPr>
        <w:t>（二）“三公”经费财政拨款支出决算具体情况说明</w:t>
      </w:r>
      <w:bookmarkEnd w:id="70"/>
      <w:bookmarkEnd w:id="7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1.23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6432" behindDoc="1" locked="0" layoutInCell="1" allowOverlap="1">
            <wp:simplePos x="0" y="0"/>
            <wp:positionH relativeFrom="column">
              <wp:align>center</wp:align>
            </wp:positionH>
            <wp:positionV relativeFrom="paragraph">
              <wp:posOffset>154940</wp:posOffset>
            </wp:positionV>
            <wp:extent cx="4786630" cy="2803525"/>
            <wp:effectExtent l="4445" t="4445" r="952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left="0" w:leftChars="0" w:right="0" w:rightChars="0" w:firstLine="0" w:firstLineChars="0"/>
        <w:jc w:val="center"/>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3" w:firstLineChars="20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因公出国（境）团组次。出国（境）比</w:t>
      </w:r>
      <w:r>
        <w:rPr>
          <w:rFonts w:hint="eastAsia" w:ascii="仿宋_GB2312" w:eastAsia="仿宋_GB2312"/>
          <w:color w:val="auto"/>
          <w:sz w:val="32"/>
          <w:szCs w:val="32"/>
          <w:highlight w:val="none"/>
          <w:lang w:val="en-US" w:eastAsia="zh-CN"/>
        </w:rPr>
        <w:t>2020年增加/减少0次0人。</w:t>
      </w:r>
    </w:p>
    <w:p>
      <w:pPr>
        <w:spacing w:line="600" w:lineRule="exact"/>
        <w:ind w:firstLine="643" w:firstLineChars="200"/>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b/>
          <w:color w:val="auto"/>
          <w:sz w:val="32"/>
          <w:szCs w:val="32"/>
          <w:highlight w:val="none"/>
          <w:lang w:val="en-US" w:eastAsia="zh-CN"/>
        </w:rPr>
        <w:t>1.23</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98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接待人次减少</w:t>
      </w:r>
      <w:r>
        <w:rPr>
          <w:rFonts w:hint="eastAsia" w:ascii="仿宋_GB2312" w:eastAsia="仿宋_GB2312"/>
          <w:color w:val="auto"/>
          <w:sz w:val="32"/>
          <w:szCs w:val="32"/>
          <w:highlight w:val="none"/>
        </w:rPr>
        <w:t>。其中：</w:t>
      </w:r>
    </w:p>
    <w:p>
      <w:pPr>
        <w:spacing w:line="600" w:lineRule="exact"/>
        <w:ind w:firstLine="640"/>
        <w:rPr>
          <w:rFonts w:hint="eastAsia" w:ascii="黑体"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1.23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color w:val="auto"/>
          <w:sz w:val="32"/>
          <w:szCs w:val="32"/>
          <w:highlight w:val="none"/>
          <w:lang w:val="en-US" w:eastAsia="zh-CN"/>
        </w:rPr>
        <w:t>13</w:t>
      </w:r>
      <w:r>
        <w:rPr>
          <w:rFonts w:hint="eastAsia" w:ascii="仿宋_GB2312" w:eastAsia="仿宋_GB2312"/>
          <w:color w:val="auto"/>
          <w:sz w:val="32"/>
          <w:szCs w:val="32"/>
          <w:highlight w:val="none"/>
        </w:rPr>
        <w:t>批次，</w:t>
      </w:r>
      <w:r>
        <w:rPr>
          <w:rFonts w:hint="eastAsia" w:ascii="仿宋_GB2312"/>
          <w:color w:val="auto"/>
          <w:sz w:val="32"/>
          <w:szCs w:val="32"/>
          <w:highlight w:val="none"/>
          <w:lang w:val="en-US" w:eastAsia="zh-CN"/>
        </w:rPr>
        <w:t>184</w:t>
      </w:r>
      <w:r>
        <w:rPr>
          <w:rFonts w:hint="eastAsia" w:ascii="仿宋_GB2312" w:eastAsia="仿宋_GB2312"/>
          <w:color w:val="auto"/>
          <w:sz w:val="32"/>
          <w:szCs w:val="32"/>
          <w:highlight w:val="none"/>
        </w:rPr>
        <w:t>人次（不包括陪同人员），共计支出</w:t>
      </w:r>
      <w:r>
        <w:rPr>
          <w:rFonts w:hint="eastAsia" w:ascii="仿宋_GB2312"/>
          <w:color w:val="auto"/>
          <w:sz w:val="32"/>
          <w:szCs w:val="32"/>
          <w:highlight w:val="none"/>
          <w:lang w:val="en-US" w:eastAsia="zh-CN"/>
        </w:rPr>
        <w:t>1.23</w:t>
      </w:r>
      <w:r>
        <w:rPr>
          <w:rFonts w:hint="eastAsia" w:ascii="仿宋_GB2312" w:eastAsia="仿宋_GB2312"/>
          <w:color w:val="auto"/>
          <w:sz w:val="32"/>
          <w:szCs w:val="32"/>
          <w:highlight w:val="none"/>
        </w:rPr>
        <w:t>万元</w:t>
      </w:r>
      <w:bookmarkStart w:id="72" w:name="_Toc15377218"/>
      <w:bookmarkStart w:id="73" w:name="_Toc15396610"/>
      <w:r>
        <w:rPr>
          <w:rFonts w:hint="eastAsia" w:ascii="仿宋_GB2312" w:eastAsia="仿宋_GB2312"/>
          <w:color w:val="auto"/>
          <w:sz w:val="32"/>
          <w:szCs w:val="32"/>
          <w:highlight w:val="none"/>
          <w:lang w:eastAsia="zh-CN"/>
        </w:rPr>
        <w:t>。</w:t>
      </w:r>
    </w:p>
    <w:p>
      <w:pPr>
        <w:pStyle w:val="4"/>
        <w:bidi w:val="0"/>
      </w:pPr>
      <w:bookmarkStart w:id="74" w:name="_Toc24744"/>
      <w:r>
        <w:rPr>
          <w:rFonts w:hint="eastAsia"/>
        </w:rPr>
        <w:t>八、政府性基金预算支出决算情况说明</w:t>
      </w:r>
      <w:bookmarkEnd w:id="72"/>
      <w:bookmarkEnd w:id="73"/>
      <w:bookmarkEnd w:id="74"/>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bidi w:val="0"/>
      </w:pPr>
      <w:bookmarkStart w:id="75" w:name="_Toc15396611"/>
      <w:bookmarkStart w:id="76" w:name="_Toc15377219"/>
      <w:bookmarkStart w:id="77" w:name="_Toc9396"/>
      <w:r>
        <w:rPr>
          <w:rFonts w:hint="eastAsia"/>
          <w:lang w:val="en-US" w:eastAsia="zh-CN"/>
        </w:rPr>
        <w:t>九、</w:t>
      </w:r>
      <w:r>
        <w:rPr>
          <w:rFonts w:hint="eastAsia"/>
        </w:rPr>
        <w:t>国有资本经营预算支出决算情况说明</w:t>
      </w:r>
      <w:bookmarkEnd w:id="75"/>
      <w:bookmarkEnd w:id="76"/>
      <w:bookmarkEnd w:id="77"/>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78" w:name="_Toc15377221"/>
      <w:bookmarkStart w:id="79" w:name="_Toc15396612"/>
    </w:p>
    <w:p>
      <w:pPr>
        <w:pStyle w:val="4"/>
        <w:bidi w:val="0"/>
        <w:rPr>
          <w:rFonts w:hint="eastAsia"/>
        </w:rPr>
      </w:pPr>
      <w:bookmarkStart w:id="80" w:name="_Toc12568"/>
      <w:r>
        <w:rPr>
          <w:rFonts w:hint="eastAsia"/>
          <w:lang w:val="en-US" w:eastAsia="zh-CN"/>
        </w:rPr>
        <w:t>十、预算绩效管理情况</w:t>
      </w:r>
      <w:bookmarkEnd w:id="80"/>
    </w:p>
    <w:p>
      <w:pPr>
        <w:spacing w:line="600" w:lineRule="exact"/>
        <w:ind w:firstLine="640" w:firstLineChars="200"/>
        <w:outlineLvl w:val="1"/>
        <w:rPr>
          <w:rFonts w:hint="eastAsia"/>
        </w:rPr>
      </w:pPr>
      <w:bookmarkStart w:id="81" w:name="_Toc30923"/>
      <w:bookmarkStart w:id="82" w:name="_Toc23493"/>
      <w:bookmarkStart w:id="83" w:name="_Toc12193"/>
      <w:r>
        <w:rPr>
          <w:rFonts w:hint="eastAsia" w:ascii="仿宋_GB2312" w:hAnsi="仿宋_GB2312" w:eastAsia="仿宋_GB2312" w:cs="仿宋_GB2312"/>
          <w:color w:val="auto"/>
          <w:sz w:val="32"/>
          <w:szCs w:val="32"/>
        </w:rPr>
        <w:t>根据预算绩效管理要求，本部门在2021年度预算编制阶段，对</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个项目开展了绩效自评。同时，本部门对2021年部门整体开展绩效自评，《2021年广元市朝天区</w:t>
      </w:r>
      <w:r>
        <w:rPr>
          <w:rFonts w:hint="eastAsia" w:ascii="仿宋_GB2312" w:hAnsi="仿宋_GB2312" w:cs="仿宋_GB2312"/>
          <w:color w:val="auto"/>
          <w:sz w:val="32"/>
          <w:szCs w:val="32"/>
          <w:lang w:val="en-US" w:eastAsia="zh-CN"/>
        </w:rPr>
        <w:t>粮食和物资储备中心</w:t>
      </w:r>
      <w:r>
        <w:rPr>
          <w:rFonts w:hint="eastAsia" w:ascii="仿宋_GB2312" w:hAnsi="仿宋_GB2312" w:eastAsia="仿宋_GB2312" w:cs="仿宋_GB2312"/>
          <w:color w:val="auto"/>
          <w:sz w:val="32"/>
          <w:szCs w:val="32"/>
        </w:rPr>
        <w:t>整体绩效评价报告》见附件（第四部分）。</w:t>
      </w:r>
      <w:bookmarkEnd w:id="81"/>
      <w:bookmarkEnd w:id="82"/>
      <w:bookmarkEnd w:id="83"/>
    </w:p>
    <w:p>
      <w:pPr>
        <w:pStyle w:val="4"/>
        <w:bidi w:val="0"/>
        <w:ind w:left="0" w:leftChars="0" w:firstLine="640" w:firstLineChars="200"/>
        <w:rPr>
          <w:rFonts w:hint="eastAsia"/>
        </w:rPr>
      </w:pPr>
      <w:bookmarkStart w:id="84" w:name="_Toc26362"/>
      <w:r>
        <w:rPr>
          <w:rFonts w:hint="eastAsia"/>
          <w:lang w:val="en-US" w:eastAsia="zh-CN"/>
        </w:rPr>
        <w:t>十一、</w:t>
      </w:r>
      <w:r>
        <w:rPr>
          <w:rFonts w:hint="eastAsia"/>
        </w:rPr>
        <w:t>其他重要事项的情况说明</w:t>
      </w:r>
      <w:bookmarkEnd w:id="78"/>
      <w:bookmarkEnd w:id="79"/>
      <w:bookmarkEnd w:id="84"/>
    </w:p>
    <w:p>
      <w:pPr>
        <w:pStyle w:val="5"/>
        <w:bidi w:val="0"/>
      </w:pPr>
      <w:bookmarkStart w:id="85" w:name="_Toc24186"/>
      <w:bookmarkStart w:id="86" w:name="_Toc15377222"/>
      <w:r>
        <w:rPr>
          <w:rFonts w:hint="eastAsia"/>
        </w:rPr>
        <w:t>（一）机关运行经费支出情况</w:t>
      </w:r>
      <w:bookmarkEnd w:id="85"/>
      <w:bookmarkEnd w:id="86"/>
    </w:p>
    <w:p>
      <w:pPr>
        <w:spacing w:line="600" w:lineRule="exact"/>
        <w:ind w:firstLine="640" w:firstLineChars="200"/>
        <w:rPr>
          <w:rFonts w:hint="eastAsia" w:ascii="仿宋" w:hAnsi="仿宋" w:eastAsia="仿宋" w:cs="仿宋"/>
          <w:b/>
          <w:bCs w:val="0"/>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机关运行经费支出</w:t>
      </w:r>
      <w:r>
        <w:rPr>
          <w:rFonts w:hint="eastAsia" w:ascii="仿宋_GB2312"/>
          <w:color w:val="auto"/>
          <w:sz w:val="32"/>
          <w:szCs w:val="32"/>
          <w:highlight w:val="none"/>
          <w:lang w:val="en-US" w:eastAsia="zh-CN"/>
        </w:rPr>
        <w:t>25.71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color w:val="auto"/>
          <w:sz w:val="32"/>
          <w:szCs w:val="32"/>
          <w:highlight w:val="none"/>
          <w:lang w:val="en-US" w:eastAsia="zh-CN"/>
        </w:rPr>
        <w:t>减少1</w:t>
      </w:r>
      <w:r>
        <w:rPr>
          <w:rFonts w:hint="eastAsia" w:ascii="仿宋_GB2312" w:eastAsia="仿宋_GB2312"/>
          <w:color w:val="auto"/>
          <w:sz w:val="32"/>
          <w:szCs w:val="32"/>
          <w:highlight w:val="none"/>
        </w:rPr>
        <w:t>万元，</w:t>
      </w:r>
      <w:r>
        <w:rPr>
          <w:rFonts w:hint="eastAsia" w:ascii="仿宋_GB2312"/>
          <w:color w:val="auto"/>
          <w:sz w:val="32"/>
          <w:szCs w:val="32"/>
          <w:highlight w:val="none"/>
          <w:lang w:val="en-US" w:eastAsia="zh-CN"/>
        </w:rPr>
        <w:t>减少7.7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w:t>
      </w:r>
      <w:r>
        <w:rPr>
          <w:rFonts w:hint="eastAsia" w:ascii="仿宋_GB2312"/>
          <w:color w:val="auto"/>
          <w:sz w:val="32"/>
          <w:szCs w:val="32"/>
          <w:highlight w:val="none"/>
          <w:lang w:val="en-US" w:eastAsia="zh-CN"/>
        </w:rPr>
        <w:t>减少</w:t>
      </w:r>
      <w:r>
        <w:rPr>
          <w:rFonts w:hint="eastAsia" w:ascii="仿宋_GB2312" w:eastAsia="仿宋_GB2312"/>
          <w:color w:val="auto"/>
          <w:sz w:val="32"/>
          <w:szCs w:val="32"/>
          <w:highlight w:val="none"/>
          <w:lang w:eastAsia="zh-CN"/>
        </w:rPr>
        <w:t>。</w:t>
      </w:r>
    </w:p>
    <w:p>
      <w:pPr>
        <w:pStyle w:val="5"/>
        <w:bidi w:val="0"/>
      </w:pPr>
      <w:bookmarkStart w:id="87" w:name="_Toc29527"/>
      <w:bookmarkStart w:id="88" w:name="_Toc15377223"/>
      <w:r>
        <w:rPr>
          <w:rFonts w:hint="eastAsia"/>
        </w:rPr>
        <w:t>（二）政府采购支出情况</w:t>
      </w:r>
      <w:bookmarkEnd w:id="87"/>
      <w:bookmarkEnd w:id="88"/>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s="仿宋_GB2312"/>
          <w:sz w:val="32"/>
          <w:szCs w:val="32"/>
        </w:rPr>
        <w:t>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eastAsia="zh-CN"/>
        </w:rPr>
        <w:t>授予中小企业合同金额</w:t>
      </w:r>
      <w:r>
        <w:rPr>
          <w:rFonts w:hint="eastAsia" w:ascii="仿宋_GB2312" w:hAnsi="仿宋_GB2312" w:eastAsia="仿宋_GB2312" w:cs="仿宋_GB2312"/>
          <w:spacing w:val="-6"/>
          <w:sz w:val="32"/>
          <w:szCs w:val="32"/>
          <w:lang w:val="en-US" w:eastAsia="zh-CN"/>
        </w:rPr>
        <w:t>0万元。</w:t>
      </w:r>
    </w:p>
    <w:p>
      <w:pPr>
        <w:pStyle w:val="5"/>
        <w:bidi w:val="0"/>
      </w:pPr>
      <w:bookmarkStart w:id="89" w:name="_Toc15377224"/>
      <w:bookmarkStart w:id="90" w:name="_Toc17685"/>
      <w:r>
        <w:rPr>
          <w:rFonts w:hint="eastAsia"/>
        </w:rPr>
        <w:t>（三）国有资产占有使用情况</w:t>
      </w:r>
      <w:bookmarkEnd w:id="89"/>
      <w:bookmarkEnd w:id="90"/>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3"/>
        <w:bidi w:val="0"/>
        <w:rPr>
          <w:rFonts w:hint="eastAsia"/>
        </w:rPr>
      </w:pPr>
      <w:bookmarkStart w:id="91" w:name="_Toc22408"/>
      <w:r>
        <w:rPr>
          <w:rFonts w:hint="eastAsia"/>
        </w:rPr>
        <w:t>第三部分  名词解释</w:t>
      </w:r>
      <w:bookmarkEnd w:id="91"/>
    </w:p>
    <w:p>
      <w:pPr>
        <w:keepNext w:val="0"/>
        <w:keepLines w:val="0"/>
        <w:pageBreakBefore w:val="0"/>
        <w:kinsoku/>
        <w:wordWrap/>
        <w:overflowPunct/>
        <w:topLinePunct w:val="0"/>
        <w:autoSpaceDE/>
        <w:autoSpaceDN/>
        <w:bidi w:val="0"/>
        <w:adjustRightInd/>
        <w:snapToGrid/>
        <w:spacing w:line="576" w:lineRule="exact"/>
        <w:jc w:val="both"/>
        <w:textAlignment w:val="auto"/>
        <w:rPr>
          <w:rFonts w:ascii="宋体" w:hAnsi="宋体"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kern w:val="2"/>
          <w:sz w:val="32"/>
          <w:szCs w:val="32"/>
          <w:lang w:val="en-US" w:eastAsia="zh-CN" w:bidi="ar"/>
        </w:rPr>
        <w:t>1.财政拨款收入：</w:t>
      </w:r>
      <w:r>
        <w:rPr>
          <w:rFonts w:hint="eastAsia" w:ascii="仿宋_GB2312" w:hAnsi="仿宋_GB2312" w:eastAsia="仿宋_GB2312" w:cs="仿宋_GB2312"/>
          <w:spacing w:val="0"/>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bCs/>
          <w:color w:val="000000"/>
          <w:kern w:val="2"/>
          <w:sz w:val="32"/>
          <w:szCs w:val="32"/>
          <w:lang w:val="en-US" w:eastAsia="zh-CN" w:bidi="ar"/>
        </w:rPr>
        <w:t>2</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发展与改革事务行政运行</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3</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发展与改革一般行政管理事务</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w:t>
      </w:r>
      <w:r>
        <w:rPr>
          <w:rFonts w:hint="eastAsia" w:ascii="仿宋_GB2312" w:hAnsi="仿宋_GB2312" w:eastAsia="仿宋_GB2312" w:cs="仿宋_GB2312"/>
          <w:sz w:val="32"/>
          <w:szCs w:val="32"/>
        </w:rPr>
        <w:t>单位）未单独设置项级科目的其他项目支出。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b w:val="0"/>
          <w:bCs w:val="0"/>
          <w:spacing w:val="-11"/>
          <w:sz w:val="32"/>
          <w:szCs w:val="32"/>
          <w:lang w:val="en-US" w:eastAsia="zh-CN"/>
        </w:rPr>
      </w:pPr>
      <w:r>
        <w:rPr>
          <w:rFonts w:hint="eastAsia" w:ascii="仿宋_GB2312" w:hAnsi="仿宋_GB2312" w:cs="仿宋_GB2312"/>
          <w:b/>
          <w:bCs/>
          <w:color w:val="000000"/>
          <w:kern w:val="2"/>
          <w:sz w:val="32"/>
          <w:szCs w:val="32"/>
          <w:lang w:val="en-US" w:eastAsia="zh-CN" w:bidi="ar"/>
        </w:rPr>
        <w:t>4</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bCs/>
          <w:color w:val="000000"/>
          <w:spacing w:val="-11"/>
          <w:kern w:val="2"/>
          <w:sz w:val="32"/>
          <w:szCs w:val="32"/>
          <w:lang w:val="en-US" w:eastAsia="zh-CN" w:bidi="ar"/>
        </w:rPr>
        <w:t>一般公共服务支出（类）</w:t>
      </w:r>
      <w:r>
        <w:rPr>
          <w:rFonts w:hint="eastAsia" w:ascii="仿宋_GB2312" w:hAnsi="仿宋_GB2312" w:cs="仿宋_GB2312"/>
          <w:b/>
          <w:bCs/>
          <w:color w:val="000000"/>
          <w:spacing w:val="-11"/>
          <w:kern w:val="2"/>
          <w:sz w:val="32"/>
          <w:szCs w:val="32"/>
          <w:lang w:val="en-US" w:eastAsia="zh-CN" w:bidi="ar"/>
        </w:rPr>
        <w:t>01</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99</w:t>
      </w:r>
      <w:r>
        <w:rPr>
          <w:rFonts w:hint="eastAsia" w:ascii="仿宋_GB2312" w:hAnsi="仿宋_GB2312" w:eastAsia="仿宋_GB2312" w:cs="仿宋_GB2312"/>
          <w:b/>
          <w:bCs/>
          <w:color w:val="000000"/>
          <w:spacing w:val="-11"/>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其他粮油事务支出，指</w:t>
      </w:r>
      <w:r>
        <w:rPr>
          <w:rFonts w:hint="eastAsia" w:ascii="仿宋_GB2312" w:hAnsi="仿宋_GB2312" w:eastAsia="仿宋_GB2312" w:cs="仿宋_GB2312"/>
          <w:b w:val="0"/>
          <w:bCs w:val="0"/>
          <w:color w:val="000000"/>
          <w:spacing w:val="-11"/>
          <w:kern w:val="2"/>
          <w:sz w:val="32"/>
          <w:szCs w:val="32"/>
          <w:lang w:val="en-US" w:eastAsia="zh-CN" w:bidi="ar"/>
        </w:rPr>
        <w:t>其他</w:t>
      </w:r>
      <w:r>
        <w:rPr>
          <w:rFonts w:hint="eastAsia" w:ascii="仿宋_GB2312" w:hAnsi="仿宋_GB2312" w:cs="仿宋_GB2312"/>
          <w:b w:val="0"/>
          <w:bCs w:val="0"/>
          <w:color w:val="000000"/>
          <w:spacing w:val="-11"/>
          <w:kern w:val="2"/>
          <w:sz w:val="32"/>
          <w:szCs w:val="32"/>
          <w:lang w:val="en-US" w:eastAsia="zh-CN" w:bidi="ar"/>
        </w:rPr>
        <w:t>粮油</w:t>
      </w:r>
      <w:r>
        <w:rPr>
          <w:rFonts w:hint="eastAsia" w:ascii="仿宋_GB2312" w:hAnsi="仿宋_GB2312" w:eastAsia="仿宋_GB2312" w:cs="仿宋_GB2312"/>
          <w:b w:val="0"/>
          <w:bCs w:val="0"/>
          <w:color w:val="000000"/>
          <w:spacing w:val="-11"/>
          <w:kern w:val="2"/>
          <w:sz w:val="32"/>
          <w:szCs w:val="32"/>
          <w:lang w:val="en-US" w:eastAsia="zh-CN" w:bidi="ar"/>
        </w:rPr>
        <w:t>事务支出</w:t>
      </w:r>
      <w:r>
        <w:rPr>
          <w:rFonts w:hint="eastAsia" w:ascii="仿宋_GB2312" w:hAnsi="仿宋_GB2312" w:cs="仿宋_GB2312"/>
          <w:b w:val="0"/>
          <w:bCs w:val="0"/>
          <w:color w:val="000000"/>
          <w:spacing w:val="-11"/>
          <w:kern w:val="2"/>
          <w:sz w:val="32"/>
          <w:szCs w:val="32"/>
          <w:lang w:val="en-US" w:eastAsia="zh-CN" w:bidi="ar"/>
        </w:rPr>
        <w:t>，</w:t>
      </w:r>
      <w:r>
        <w:rPr>
          <w:rFonts w:hint="eastAsia" w:ascii="仿宋_GB2312" w:hAnsi="仿宋_GB2312" w:eastAsia="仿宋_GB2312" w:cs="仿宋_GB2312"/>
          <w:b w:val="0"/>
          <w:bCs w:val="0"/>
          <w:spacing w:val="-11"/>
          <w:sz w:val="32"/>
          <w:szCs w:val="32"/>
        </w:rPr>
        <w:t>反映其他</w:t>
      </w:r>
      <w:r>
        <w:rPr>
          <w:rFonts w:hint="eastAsia" w:ascii="仿宋_GB2312" w:hAnsi="仿宋_GB2312" w:cs="仿宋_GB2312"/>
          <w:b w:val="0"/>
          <w:bCs w:val="0"/>
          <w:spacing w:val="-11"/>
          <w:sz w:val="32"/>
          <w:szCs w:val="32"/>
          <w:lang w:eastAsia="zh-CN"/>
        </w:rPr>
        <w:t>粮油管理</w:t>
      </w:r>
      <w:r>
        <w:rPr>
          <w:rFonts w:hint="eastAsia" w:ascii="仿宋_GB2312" w:hAnsi="仿宋_GB2312" w:eastAsia="仿宋_GB2312" w:cs="仿宋_GB2312"/>
          <w:b w:val="0"/>
          <w:bCs w:val="0"/>
          <w:spacing w:val="-11"/>
          <w:sz w:val="32"/>
          <w:szCs w:val="32"/>
        </w:rPr>
        <w:t>事务的支</w:t>
      </w:r>
      <w:r>
        <w:rPr>
          <w:rFonts w:hint="eastAsia" w:ascii="仿宋_GB2312" w:hAnsi="仿宋_GB2312" w:eastAsia="仿宋_GB2312" w:cs="仿宋_GB2312"/>
          <w:spacing w:val="-11"/>
          <w:sz w:val="32"/>
          <w:szCs w:val="32"/>
        </w:rPr>
        <w:t>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cs="仿宋_GB2312"/>
          <w:b/>
          <w:bCs/>
          <w:color w:val="000000"/>
          <w:kern w:val="2"/>
          <w:sz w:val="32"/>
          <w:szCs w:val="32"/>
          <w:lang w:val="en-US" w:eastAsia="zh-CN" w:bidi="ar"/>
        </w:rPr>
        <w:t>5</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bCs/>
          <w:color w:val="000000"/>
          <w:spacing w:val="-11"/>
          <w:kern w:val="2"/>
          <w:sz w:val="32"/>
          <w:szCs w:val="32"/>
          <w:lang w:val="en-US" w:eastAsia="zh-CN" w:bidi="ar"/>
        </w:rPr>
        <w:t>社会保障和就业支出（类）</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指</w:t>
      </w:r>
      <w:r>
        <w:rPr>
          <w:rFonts w:hint="eastAsia" w:ascii="仿宋_GB2312" w:hAnsi="仿宋_GB2312" w:eastAsia="仿宋_GB2312" w:cs="仿宋_GB2312"/>
          <w:b w:val="0"/>
          <w:bCs w:val="0"/>
          <w:color w:val="000000"/>
          <w:spacing w:val="-11"/>
          <w:kern w:val="2"/>
          <w:sz w:val="32"/>
          <w:szCs w:val="32"/>
          <w:lang w:val="en-US" w:eastAsia="zh-CN" w:bidi="ar"/>
        </w:rPr>
        <w:t>机关事业单位基本养老保险缴费支出</w:t>
      </w:r>
      <w:r>
        <w:rPr>
          <w:rFonts w:hint="eastAsia" w:ascii="仿宋_GB2312" w:hAnsi="仿宋_GB2312" w:cs="仿宋_GB2312"/>
          <w:b w:val="0"/>
          <w:bCs w:val="0"/>
          <w:color w:val="000000"/>
          <w:spacing w:val="-11"/>
          <w:kern w:val="2"/>
          <w:sz w:val="32"/>
          <w:szCs w:val="32"/>
          <w:lang w:val="en-US" w:eastAsia="zh-CN" w:bidi="ar"/>
        </w:rPr>
        <w:t>，</w:t>
      </w:r>
      <w:r>
        <w:rPr>
          <w:rFonts w:hint="eastAsia" w:ascii="仿宋_GB2312" w:hAnsi="仿宋_GB2312" w:eastAsia="仿宋_GB2312" w:cs="仿宋_GB2312"/>
          <w:spacing w:val="-11"/>
          <w:sz w:val="32"/>
          <w:szCs w:val="32"/>
        </w:rPr>
        <w:t>反映机关事业单位实施养老保险制度由单位缴纳的基本养老保险缴费支出。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6</w:t>
      </w:r>
      <w:r>
        <w:rPr>
          <w:rFonts w:hint="eastAsia" w:ascii="仿宋_GB2312" w:hAnsi="仿宋_GB2312" w:eastAsia="仿宋_GB2312" w:cs="仿宋_GB2312"/>
          <w:b/>
          <w:bCs/>
          <w:color w:val="000000"/>
          <w:kern w:val="2"/>
          <w:sz w:val="32"/>
          <w:szCs w:val="32"/>
          <w:lang w:val="en-US" w:eastAsia="zh-CN" w:bidi="ar"/>
        </w:rPr>
        <w:t>.住房保障支出（类）</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住房公积金，</w:t>
      </w:r>
      <w:r>
        <w:rPr>
          <w:rFonts w:hint="eastAsia" w:ascii="仿宋_GB2312" w:hAnsi="仿宋_GB2312" w:eastAsia="仿宋_GB2312" w:cs="仿宋_GB2312"/>
          <w:b w:val="0"/>
          <w:bCs w:val="0"/>
          <w:sz w:val="32"/>
          <w:szCs w:val="32"/>
        </w:rPr>
        <w:t>指</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7</w:t>
      </w:r>
      <w:r>
        <w:rPr>
          <w:rFonts w:hint="eastAsia" w:ascii="仿宋_GB2312" w:hAnsi="仿宋_GB2312" w:eastAsia="仿宋_GB2312" w:cs="仿宋_GB2312"/>
          <w:b/>
          <w:bCs/>
          <w:color w:val="000000"/>
          <w:kern w:val="2"/>
          <w:sz w:val="32"/>
          <w:szCs w:val="32"/>
          <w:lang w:val="en-US" w:eastAsia="zh-CN" w:bidi="ar"/>
        </w:rPr>
        <w:t>.医疗卫生与计划生育（类</w:t>
      </w:r>
      <w:r>
        <w:rPr>
          <w:rFonts w:hint="eastAsia" w:ascii="仿宋_GB2312" w:hAnsi="仿宋_GB2312" w:cs="仿宋_GB2312"/>
          <w:b/>
          <w:bCs/>
          <w:color w:val="000000"/>
          <w:kern w:val="2"/>
          <w:sz w:val="32"/>
          <w:szCs w:val="32"/>
          <w:lang w:val="en-US" w:eastAsia="zh-CN" w:bidi="ar"/>
        </w:rPr>
        <w:t>）11</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行政单位医疗</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rPr>
        <w:t>指单位职工医疗保险等支出。</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b/>
          <w:bCs/>
          <w:color w:val="000000"/>
          <w:kern w:val="2"/>
          <w:sz w:val="32"/>
          <w:szCs w:val="32"/>
          <w:lang w:val="en-US" w:eastAsia="zh-CN" w:bidi="ar"/>
        </w:rPr>
        <w:t>8</w:t>
      </w:r>
      <w:r>
        <w:rPr>
          <w:rFonts w:hint="eastAsia" w:ascii="仿宋_GB2312" w:hAnsi="仿宋_GB2312" w:eastAsia="仿宋_GB2312" w:cs="仿宋_GB2312"/>
          <w:b/>
          <w:bCs/>
          <w:color w:val="000000"/>
          <w:kern w:val="2"/>
          <w:sz w:val="32"/>
          <w:szCs w:val="32"/>
          <w:lang w:val="en-US" w:eastAsia="zh-CN" w:bidi="ar"/>
        </w:rPr>
        <w:t>.基本支出：</w:t>
      </w:r>
      <w:r>
        <w:rPr>
          <w:rFonts w:hint="eastAsia" w:ascii="仿宋_GB2312" w:hAnsi="仿宋_GB2312" w:eastAsia="仿宋_GB2312" w:cs="仿宋_GB2312"/>
          <w:sz w:val="32"/>
          <w:szCs w:val="32"/>
        </w:rPr>
        <w:t>指为保障机构正常运转、完成日常工作任务而</w:t>
      </w:r>
      <w:bookmarkStart w:id="113" w:name="_GoBack"/>
      <w:r>
        <w:rPr>
          <w:rFonts w:hint="eastAsia" w:ascii="仿宋_GB2312" w:hAnsi="仿宋_GB2312" w:eastAsia="仿宋_GB2312" w:cs="仿宋_GB2312"/>
          <w:sz w:val="32"/>
          <w:szCs w:val="32"/>
        </w:rPr>
        <w:t>发生的人员支出和公用支出。</w:t>
      </w:r>
    </w:p>
    <w:p>
      <w:pPr>
        <w:pStyle w:val="12"/>
        <w:keepNext w:val="0"/>
        <w:keepLines w:val="0"/>
        <w:pageBreakBefore w:val="0"/>
        <w:kinsoku/>
        <w:wordWrap/>
        <w:overflowPunct/>
        <w:topLinePunct w:val="0"/>
        <w:autoSpaceDE/>
        <w:autoSpaceDN/>
        <w:bidi w:val="0"/>
        <w:spacing w:line="576"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color w:val="000000"/>
          <w:kern w:val="2"/>
          <w:sz w:val="32"/>
          <w:szCs w:val="32"/>
          <w:lang w:val="en-US" w:eastAsia="zh-CN" w:bidi="ar"/>
        </w:rPr>
        <w:t>9</w:t>
      </w:r>
      <w:r>
        <w:rPr>
          <w:rFonts w:hint="eastAsia" w:ascii="仿宋_GB2312" w:hAnsi="仿宋_GB2312" w:eastAsia="仿宋_GB2312" w:cs="仿宋_GB2312"/>
          <w:b/>
          <w:bCs/>
          <w:color w:val="000000"/>
          <w:kern w:val="2"/>
          <w:sz w:val="32"/>
          <w:szCs w:val="32"/>
          <w:lang w:val="en-US" w:eastAsia="zh-CN" w:bidi="ar"/>
        </w:rPr>
        <w:t>.农林水（类）</w:t>
      </w:r>
      <w:r>
        <w:rPr>
          <w:rFonts w:hint="eastAsia" w:ascii="仿宋_GB2312" w:hAnsi="仿宋_GB2312" w:cs="仿宋_GB2312"/>
          <w:b/>
          <w:bCs/>
          <w:color w:val="000000"/>
          <w:kern w:val="2"/>
          <w:sz w:val="32"/>
          <w:szCs w:val="32"/>
          <w:lang w:val="en-US" w:eastAsia="zh-CN" w:bidi="ar"/>
        </w:rPr>
        <w:t>05</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99</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其他扶贫支出</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lang w:val="en-US" w:eastAsia="zh-CN"/>
        </w:rPr>
        <w:t>指驻村第一书记及工作队员工作经费。</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10</w:t>
      </w:r>
      <w:r>
        <w:rPr>
          <w:rFonts w:hint="eastAsia" w:ascii="仿宋_GB2312" w:hAnsi="仿宋_GB2312" w:eastAsia="仿宋_GB2312" w:cs="仿宋_GB2312"/>
          <w:b/>
          <w:bCs/>
          <w:color w:val="000000"/>
          <w:kern w:val="2"/>
          <w:sz w:val="32"/>
          <w:szCs w:val="32"/>
          <w:lang w:val="en-US" w:eastAsia="zh-CN" w:bidi="ar"/>
        </w:rPr>
        <w:t>.项目支出：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w:t>
      </w:r>
      <w:r>
        <w:rPr>
          <w:rFonts w:hint="eastAsia" w:ascii="仿宋_GB2312" w:hAnsi="仿宋_GB2312" w:cs="仿宋_GB2312"/>
          <w:b/>
          <w:bCs/>
          <w:color w:val="000000"/>
          <w:kern w:val="2"/>
          <w:sz w:val="32"/>
          <w:szCs w:val="32"/>
          <w:lang w:val="en-US" w:eastAsia="zh-CN" w:bidi="ar"/>
        </w:rPr>
        <w:t>1</w:t>
      </w:r>
      <w:r>
        <w:rPr>
          <w:rFonts w:hint="eastAsia" w:ascii="仿宋_GB2312" w:hAnsi="仿宋_GB2312" w:eastAsia="仿宋_GB2312" w:cs="仿宋_GB2312"/>
          <w:b/>
          <w:bCs/>
          <w:color w:val="000000"/>
          <w:kern w:val="2"/>
          <w:sz w:val="32"/>
          <w:szCs w:val="32"/>
          <w:lang w:val="en-US" w:eastAsia="zh-CN" w:bidi="ar"/>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0"/>
        </w:numPr>
        <w:spacing w:line="600" w:lineRule="exact"/>
        <w:ind w:firstLine="643" w:firstLineChars="200"/>
        <w:jc w:val="both"/>
        <w:outlineLvl w:val="0"/>
        <w:rPr>
          <w:rFonts w:ascii="宋体"/>
          <w:b/>
          <w:color w:val="auto"/>
          <w:sz w:val="44"/>
          <w:szCs w:val="44"/>
          <w:highlight w:val="none"/>
        </w:rPr>
      </w:pPr>
      <w:bookmarkStart w:id="92" w:name="_Toc32667"/>
      <w:bookmarkStart w:id="93" w:name="_Toc8267"/>
      <w:bookmarkStart w:id="94" w:name="_Toc7963"/>
      <w:r>
        <w:rPr>
          <w:rFonts w:hint="eastAsia" w:ascii="仿宋_GB2312" w:hAnsi="仿宋_GB2312" w:eastAsia="仿宋_GB2312" w:cs="仿宋_GB2312"/>
          <w:b/>
          <w:bCs/>
          <w:color w:val="000000"/>
          <w:kern w:val="2"/>
          <w:sz w:val="32"/>
          <w:szCs w:val="32"/>
          <w:lang w:val="en-US" w:eastAsia="zh-CN" w:bidi="ar"/>
        </w:rPr>
        <w:t>1</w:t>
      </w:r>
      <w:r>
        <w:rPr>
          <w:rFonts w:hint="eastAsia" w:ascii="仿宋_GB2312" w:hAnsi="仿宋_GB2312" w:cs="仿宋_GB2312"/>
          <w:b/>
          <w:bCs/>
          <w:color w:val="000000"/>
          <w:kern w:val="2"/>
          <w:sz w:val="32"/>
          <w:szCs w:val="32"/>
          <w:lang w:val="en-US" w:eastAsia="zh-CN" w:bidi="ar"/>
        </w:rPr>
        <w:t>2</w:t>
      </w:r>
      <w:r>
        <w:rPr>
          <w:rFonts w:hint="eastAsia" w:ascii="仿宋_GB2312" w:hAnsi="仿宋_GB2312" w:eastAsia="仿宋_GB2312" w:cs="仿宋_GB2312"/>
          <w:b/>
          <w:bCs/>
          <w:color w:val="000000"/>
          <w:kern w:val="2"/>
          <w:sz w:val="32"/>
          <w:szCs w:val="32"/>
          <w:lang w:val="en-US" w:eastAsia="zh-CN" w:bidi="ar"/>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End w:id="92"/>
      <w:bookmarkEnd w:id="93"/>
      <w:bookmarkEnd w:id="94"/>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其他费用。</w:t>
      </w:r>
    </w:p>
    <w:bookmarkEnd w:id="113"/>
    <w:p>
      <w:pPr>
        <w:pStyle w:val="19"/>
        <w:spacing w:line="560" w:lineRule="exact"/>
        <w:ind w:firstLine="640" w:firstLineChars="200"/>
        <w:rPr>
          <w:rFonts w:ascii="仿宋_GB2312" w:eastAsia="仿宋_GB2312"/>
          <w:color w:val="auto"/>
          <w:sz w:val="32"/>
          <w:szCs w:val="32"/>
          <w:highlight w:val="none"/>
        </w:rPr>
      </w:pPr>
    </w:p>
    <w:p>
      <w:pPr>
        <w:spacing w:line="600" w:lineRule="exact"/>
        <w:ind w:left="0" w:leftChars="0" w:firstLine="0" w:firstLineChars="0"/>
        <w:jc w:val="center"/>
        <w:outlineLvl w:val="0"/>
        <w:rPr>
          <w:rStyle w:val="20"/>
          <w:rFonts w:hint="eastAsia"/>
        </w:rPr>
      </w:pPr>
      <w:bookmarkStart w:id="95" w:name="_Toc15396614"/>
      <w:bookmarkStart w:id="96" w:name="_Toc18900"/>
      <w:bookmarkStart w:id="97" w:name="_Toc15377226"/>
    </w:p>
    <w:p>
      <w:pPr>
        <w:spacing w:line="600" w:lineRule="exact"/>
        <w:ind w:left="0" w:leftChars="0" w:firstLine="0" w:firstLineChars="0"/>
        <w:jc w:val="center"/>
        <w:outlineLvl w:val="0"/>
        <w:rPr>
          <w:rStyle w:val="20"/>
          <w:rFonts w:hint="eastAsia"/>
        </w:rPr>
      </w:pPr>
    </w:p>
    <w:p>
      <w:pPr>
        <w:spacing w:line="600" w:lineRule="exact"/>
        <w:ind w:left="0" w:leftChars="0" w:firstLine="0" w:firstLineChars="0"/>
        <w:jc w:val="center"/>
        <w:outlineLvl w:val="0"/>
        <w:rPr>
          <w:rStyle w:val="20"/>
          <w:rFonts w:hint="eastAsia"/>
        </w:rPr>
      </w:pPr>
    </w:p>
    <w:p>
      <w:pPr>
        <w:spacing w:line="600" w:lineRule="exact"/>
        <w:ind w:left="0" w:leftChars="0" w:firstLine="0" w:firstLineChars="0"/>
        <w:jc w:val="center"/>
        <w:outlineLvl w:val="0"/>
        <w:rPr>
          <w:rStyle w:val="20"/>
          <w:rFonts w:hint="eastAsia" w:ascii="黑体" w:hAnsi="黑体" w:eastAsia="黑体"/>
          <w:b w:val="0"/>
          <w:color w:val="auto"/>
          <w:highlight w:val="none"/>
          <w:lang w:eastAsia="zh-CN"/>
        </w:rPr>
      </w:pPr>
      <w:r>
        <w:rPr>
          <w:rStyle w:val="20"/>
          <w:rFonts w:hint="eastAsia"/>
        </w:rPr>
        <w:t>第四部分 附件</w:t>
      </w:r>
      <w:bookmarkEnd w:id="95"/>
      <w:bookmarkEnd w:id="96"/>
    </w:p>
    <w:p>
      <w:pPr>
        <w:widowControl/>
        <w:spacing w:line="580" w:lineRule="exact"/>
        <w:ind w:left="0" w:leftChars="0" w:firstLine="0" w:firstLineChars="0"/>
        <w:contextualSpacing/>
        <w:jc w:val="both"/>
        <w:rPr>
          <w:rFonts w:hint="eastAsia" w:ascii="宋体" w:hAnsi="宋体" w:eastAsia="宋体" w:cs="Times New Roman"/>
          <w:b/>
          <w:sz w:val="44"/>
          <w:szCs w:val="44"/>
          <w:shd w:val="clear" w:color="auto" w:fill="FFFFFF"/>
        </w:rPr>
      </w:pPr>
    </w:p>
    <w:p>
      <w:pPr>
        <w:widowControl/>
        <w:spacing w:line="580" w:lineRule="exact"/>
        <w:contextualSpacing/>
        <w:jc w:val="center"/>
        <w:rPr>
          <w:rFonts w:hint="eastAsia" w:ascii="宋体" w:hAnsi="宋体" w:eastAsia="宋体" w:cs="Times New Roman"/>
          <w:b/>
          <w:sz w:val="44"/>
          <w:szCs w:val="44"/>
          <w:shd w:val="clear" w:color="auto" w:fill="FFFFFF"/>
        </w:rPr>
      </w:pPr>
      <w:r>
        <w:rPr>
          <w:rFonts w:hint="eastAsia" w:ascii="宋体" w:hAnsi="宋体" w:eastAsia="宋体" w:cs="Times New Roman"/>
          <w:b/>
          <w:sz w:val="44"/>
          <w:szCs w:val="44"/>
          <w:shd w:val="clear" w:color="auto" w:fill="FFFFFF"/>
        </w:rPr>
        <w:t>2022年部门整体支出绩效自评报告</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theme="minorBidi"/>
          <w:kern w:val="2"/>
          <w:sz w:val="32"/>
          <w:szCs w:val="32"/>
          <w:lang w:val="en-US" w:eastAsia="zh-CN" w:bidi="ar-SA"/>
        </w:rPr>
        <w:t>朝天区粮食和物资储备中心下设三股一室，分别是办公室、粮食调控股、物资储备股、粮食流通股。</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pStyle w:val="6"/>
        <w:rPr>
          <w:rFonts w:hint="eastAsia" w:ascii="楷体_GB2312" w:hAnsi="Times New Roman" w:eastAsia="楷体_GB2312" w:cs="Times New Roman"/>
          <w:color w:val="000000"/>
          <w:kern w:val="0"/>
          <w:sz w:val="32"/>
          <w:szCs w:val="32"/>
          <w:shd w:val="clear" w:color="auto" w:fill="FFFFFF"/>
        </w:rPr>
      </w:pPr>
      <w:r>
        <w:rPr>
          <w:rFonts w:hint="eastAsia" w:hAnsi="仿宋_GB2312"/>
          <w:szCs w:val="32"/>
        </w:rPr>
        <w:t>广元市朝天区粮食</w:t>
      </w:r>
      <w:r>
        <w:rPr>
          <w:rFonts w:hint="eastAsia" w:hAnsi="仿宋_GB2312"/>
          <w:szCs w:val="32"/>
          <w:lang w:eastAsia="zh-CN"/>
        </w:rPr>
        <w:t>和物资储备中心</w:t>
      </w:r>
      <w:r>
        <w:rPr>
          <w:rFonts w:hint="eastAsia" w:hAnsi="仿宋_GB2312"/>
          <w:szCs w:val="32"/>
        </w:rPr>
        <w:t>作为区政府职能部门，负责国家粮食购销及价格政策的执行和全区储备粮的管理、粮食流通领域的行政执法、管理与协调工作；引导全区粮食种植结构调整；加强粮食购销、储运和市场供应管理，切实履行粮食总量平衡、稳定市场粮价、粮食安全预警、救灾救济等行政职能。</w:t>
      </w:r>
    </w:p>
    <w:p>
      <w:pPr>
        <w:widowControl/>
        <w:numPr>
          <w:ilvl w:val="0"/>
          <w:numId w:val="1"/>
        </w:numPr>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人员概况</w:t>
      </w:r>
    </w:p>
    <w:p>
      <w:pPr>
        <w:widowControl/>
        <w:numPr>
          <w:ilvl w:val="0"/>
          <w:numId w:val="0"/>
        </w:numPr>
        <w:autoSpaceDE w:val="0"/>
        <w:adjustRightInd w:val="0"/>
        <w:snapToGrid w:val="0"/>
        <w:spacing w:line="500" w:lineRule="exact"/>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lang w:val="en-US" w:eastAsia="zh-CN"/>
        </w:rPr>
        <w:t xml:space="preserve">     </w:t>
      </w:r>
      <w:r>
        <w:rPr>
          <w:rFonts w:hint="eastAsia" w:ascii="仿宋_GB2312" w:hAnsi="仿宋_GB2312" w:eastAsia="仿宋_GB2312" w:cstheme="minorBidi"/>
          <w:kern w:val="2"/>
          <w:sz w:val="32"/>
          <w:szCs w:val="32"/>
          <w:lang w:val="en-US" w:eastAsia="zh-CN" w:bidi="ar-SA"/>
        </w:rPr>
        <w:t>朝天区粮食和物资储备中心参公事业编制人数9人，实有人员12人，公务员9人，机关工勤人员3人。</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二、部门财政资金收支情况</w:t>
      </w:r>
    </w:p>
    <w:p>
      <w:pPr>
        <w:widowControl/>
        <w:autoSpaceDE w:val="0"/>
        <w:adjustRightInd w:val="0"/>
        <w:snapToGrid w:val="0"/>
        <w:spacing w:line="500" w:lineRule="exact"/>
        <w:ind w:firstLine="640" w:firstLineChars="200"/>
        <w:contextualSpacing/>
        <w:jc w:val="left"/>
        <w:rPr>
          <w:rFonts w:hint="eastAsia" w:ascii="楷体_GB2312" w:hAnsi="Times New Roman" w:eastAsia="仿宋"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rPr>
        <w:t>（一）部门财政资金收入情况。</w:t>
      </w:r>
      <w:r>
        <w:rPr>
          <w:rFonts w:hint="eastAsia" w:ascii="仿宋" w:hAnsi="仿宋" w:eastAsia="仿宋" w:cs="仿宋"/>
          <w:sz w:val="32"/>
          <w:szCs w:val="32"/>
          <w:lang w:eastAsia="zh-CN"/>
        </w:rPr>
        <w:t>粮食和物资储备中心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506.15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widowControl/>
        <w:autoSpaceDE w:val="0"/>
        <w:adjustRightInd w:val="0"/>
        <w:snapToGrid w:val="0"/>
        <w:spacing w:line="500" w:lineRule="exact"/>
        <w:ind w:firstLine="640" w:firstLineChars="200"/>
        <w:contextualSpacing/>
        <w:jc w:val="left"/>
        <w:rPr>
          <w:rFonts w:hint="default" w:ascii="仿宋_GB2312" w:hAnsi="Times New Roman" w:eastAsia="仿宋"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rPr>
        <w:t>（二）部门财政资金支出情况。</w:t>
      </w:r>
      <w:r>
        <w:rPr>
          <w:rFonts w:hint="eastAsia" w:ascii="仿宋" w:hAnsi="仿宋" w:eastAsia="仿宋" w:cs="仿宋"/>
          <w:sz w:val="32"/>
          <w:szCs w:val="32"/>
          <w:lang w:eastAsia="zh-CN"/>
        </w:rPr>
        <w:t>粮食和物资储备中心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支</w:t>
      </w:r>
      <w:r>
        <w:rPr>
          <w:rFonts w:hint="eastAsia" w:ascii="仿宋" w:hAnsi="仿宋" w:eastAsia="仿宋" w:cs="仿宋"/>
          <w:sz w:val="32"/>
          <w:szCs w:val="32"/>
        </w:rPr>
        <w:t>入总数</w:t>
      </w:r>
      <w:r>
        <w:rPr>
          <w:rFonts w:hint="eastAsia" w:ascii="仿宋" w:hAnsi="仿宋" w:eastAsia="仿宋" w:cs="仿宋"/>
          <w:sz w:val="32"/>
          <w:szCs w:val="32"/>
          <w:lang w:val="en-US" w:eastAsia="zh-CN"/>
        </w:rPr>
        <w:t>506.15</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p>
    <w:p>
      <w:pPr>
        <w:widowControl/>
        <w:autoSpaceDE w:val="0"/>
        <w:adjustRightInd w:val="0"/>
        <w:snapToGrid w:val="0"/>
        <w:spacing w:line="500" w:lineRule="exact"/>
        <w:ind w:firstLine="640" w:firstLineChars="200"/>
        <w:contextualSpacing/>
        <w:jc w:val="left"/>
        <w:rPr>
          <w:rFonts w:hint="eastAsia"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28"/>
          <w:szCs w:val="28"/>
          <w:shd w:val="clear" w:color="auto" w:fill="FFFFFF"/>
        </w:rPr>
        <w:t>（根据适用指标体系进行调整）</w:t>
      </w:r>
    </w:p>
    <w:p>
      <w:pPr>
        <w:pStyle w:val="14"/>
        <w:keepNext w:val="0"/>
        <w:keepLines w:val="0"/>
        <w:pageBreakBefore w:val="0"/>
        <w:widowControl/>
        <w:suppressLineNumbers w:val="0"/>
        <w:kinsoku/>
        <w:wordWrap/>
        <w:overflowPunct/>
        <w:topLinePunct w:val="0"/>
        <w:autoSpaceDN/>
        <w:bidi w:val="0"/>
        <w:spacing w:before="0" w:beforeAutospacing="0" w:after="0" w:afterAutospacing="0" w:line="600" w:lineRule="exact"/>
        <w:ind w:right="0" w:firstLine="640" w:firstLineChars="200"/>
        <w:jc w:val="both"/>
        <w:textAlignment w:val="auto"/>
        <w:rPr>
          <w:rFonts w:hint="eastAsia" w:ascii="仿宋_GB2312" w:hAnsi="Times New Roman" w:eastAsia="仿宋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lang w:eastAsia="zh-CN"/>
        </w:rPr>
        <w:t>（一）</w:t>
      </w:r>
      <w:r>
        <w:rPr>
          <w:rFonts w:hint="eastAsia" w:ascii="楷体_GB2312" w:hAnsi="Times New Roman" w:eastAsia="楷体_GB2312" w:cs="Times New Roman"/>
          <w:color w:val="000000"/>
          <w:kern w:val="0"/>
          <w:sz w:val="32"/>
          <w:szCs w:val="32"/>
          <w:shd w:val="clear" w:color="auto" w:fill="FFFFFF"/>
        </w:rPr>
        <w:t>部门预算项目绩效管理。</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我</w:t>
      </w:r>
      <w:r>
        <w:rPr>
          <w:rFonts w:hint="eastAsia" w:ascii="仿宋_GB2312"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中主在</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编制202</w:t>
      </w:r>
      <w:r>
        <w:rPr>
          <w:rFonts w:hint="eastAsia" w:ascii="仿宋_GB2312"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年度部门预算时，全面</w:t>
      </w:r>
      <w:r>
        <w:rPr>
          <w:rFonts w:hint="eastAsia" w:ascii="仿宋_GB2312" w:hAnsi="Times New Roman" w:eastAsia="仿宋_GB2312" w:cs="Times New Roman"/>
          <w:color w:val="000000"/>
          <w:kern w:val="0"/>
          <w:sz w:val="32"/>
          <w:szCs w:val="32"/>
          <w:shd w:val="clear" w:color="auto" w:fill="FFFFFF"/>
        </w:rPr>
        <w:t>设置部门、单位和政策项目绩效目标。绩效目标严格设置产出指标中的数量、质量、时效、成本等指标，效益指标中的经济效益、社会效益、可持续性影响和服务对象满意度等绩效指标。</w:t>
      </w:r>
    </w:p>
    <w:p>
      <w:pPr>
        <w:pStyle w:val="14"/>
        <w:keepNext w:val="0"/>
        <w:keepLines w:val="0"/>
        <w:pageBreakBefore w:val="0"/>
        <w:widowControl/>
        <w:suppressLineNumbers w:val="0"/>
        <w:kinsoku/>
        <w:wordWrap/>
        <w:overflowPunct/>
        <w:topLinePunct w:val="0"/>
        <w:autoSpaceDN/>
        <w:bidi w:val="0"/>
        <w:spacing w:before="0" w:beforeAutospacing="0" w:after="0" w:afterAutospacing="0" w:line="600" w:lineRule="exact"/>
        <w:ind w:right="0" w:firstLine="640" w:firstLineChars="200"/>
        <w:jc w:val="both"/>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20</w:t>
      </w:r>
      <w:r>
        <w:rPr>
          <w:rFonts w:hint="eastAsia" w:ascii="仿宋_GB2312" w:hAnsi="Times New Roman" w:eastAsia="仿宋_GB2312" w:cs="Times New Roman"/>
          <w:color w:val="000000"/>
          <w:kern w:val="0"/>
          <w:sz w:val="32"/>
          <w:szCs w:val="32"/>
          <w:shd w:val="clear" w:color="auto" w:fill="FFFFFF"/>
          <w:lang w:val="en-US" w:eastAsia="zh-CN"/>
        </w:rPr>
        <w:t>21</w:t>
      </w:r>
      <w:r>
        <w:rPr>
          <w:rFonts w:hint="eastAsia" w:ascii="仿宋_GB2312" w:hAnsi="Times New Roman" w:eastAsia="仿宋_GB2312" w:cs="Times New Roman"/>
          <w:color w:val="000000"/>
          <w:kern w:val="0"/>
          <w:sz w:val="32"/>
          <w:szCs w:val="32"/>
          <w:shd w:val="clear" w:color="auto" w:fill="FFFFFF"/>
        </w:rPr>
        <w:t>年度我部门预算</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项目支出</w:t>
      </w:r>
      <w:r>
        <w:rPr>
          <w:rFonts w:hint="eastAsia" w:ascii="仿宋_GB2312" w:hAnsi="仿宋" w:eastAsia="仿宋_GB2312" w:cs="Times New Roman"/>
          <w:color w:val="000000" w:themeColor="text1"/>
          <w:sz w:val="32"/>
          <w:szCs w:val="32"/>
          <w:lang w:eastAsia="zh-CN"/>
          <w14:textFill>
            <w14:solidFill>
              <w14:schemeClr w14:val="tx1"/>
            </w14:solidFill>
          </w14:textFill>
        </w:rPr>
        <w:t>项目支出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40</w:t>
      </w:r>
      <w:r>
        <w:rPr>
          <w:rFonts w:hint="eastAsia" w:ascii="仿宋_GB2312" w:hAnsi="仿宋" w:eastAsia="仿宋_GB2312" w:cs="Times New Roman"/>
          <w:color w:val="000000" w:themeColor="text1"/>
          <w:sz w:val="32"/>
          <w:szCs w:val="32"/>
          <w:lang w:eastAsia="zh-CN"/>
          <w14:textFill>
            <w14:solidFill>
              <w14:schemeClr w14:val="tx1"/>
            </w14:solidFill>
          </w14:textFill>
        </w:rPr>
        <w:t>万元</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，开展绩效自评项目金额合计</w:t>
      </w:r>
      <w:r>
        <w:rPr>
          <w:rFonts w:hint="eastAsia" w:ascii="仿宋_GB2312" w:hAnsi="仿宋" w:eastAsia="仿宋_GB2312" w:cs="Times New Roman"/>
          <w:color w:val="000000" w:themeColor="text1"/>
          <w:sz w:val="32"/>
          <w:szCs w:val="32"/>
          <w:lang w:eastAsia="zh-CN"/>
          <w14:textFill>
            <w14:solidFill>
              <w14:schemeClr w14:val="tx1"/>
            </w14:solidFill>
          </w14:textFill>
        </w:rPr>
        <w:t>项目支出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40</w:t>
      </w:r>
      <w:r>
        <w:rPr>
          <w:rFonts w:hint="eastAsia" w:ascii="仿宋_GB2312" w:hAnsi="仿宋" w:eastAsia="仿宋_GB2312" w:cs="Times New Roman"/>
          <w:color w:val="000000" w:themeColor="text1"/>
          <w:sz w:val="32"/>
          <w:szCs w:val="32"/>
          <w:lang w:eastAsia="zh-CN"/>
          <w14:textFill>
            <w14:solidFill>
              <w14:schemeClr w14:val="tx1"/>
            </w14:solidFill>
          </w14:textFill>
        </w:rPr>
        <w:t>万元</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w:t>
      </w:r>
      <w:r>
        <w:rPr>
          <w:rFonts w:hint="eastAsia" w:ascii="仿宋_GB2312" w:hAnsi="Times New Roman" w:eastAsia="仿宋_GB2312" w:cs="Times New Roman"/>
          <w:color w:val="000000"/>
          <w:kern w:val="0"/>
          <w:sz w:val="32"/>
          <w:szCs w:val="32"/>
          <w:shd w:val="clear" w:color="auto" w:fill="FFFFFF"/>
        </w:rPr>
        <w:t>开展绩效自评项目支出总额占本部门预算项目支出总额的比例100%。项目绩效自评情况如下：部门预算项目总个数</w:t>
      </w:r>
      <w:r>
        <w:rPr>
          <w:rFonts w:hint="eastAsia" w:ascii="仿宋_GB2312" w:hAnsi="Times New Roman" w:eastAsia="仿宋_GB2312" w:cs="Times New Roman"/>
          <w:color w:val="000000"/>
          <w:kern w:val="0"/>
          <w:sz w:val="32"/>
          <w:szCs w:val="32"/>
          <w:shd w:val="clear" w:color="auto" w:fill="FFFFFF"/>
          <w:lang w:val="en-US" w:eastAsia="zh-CN"/>
        </w:rPr>
        <w:t>5</w:t>
      </w:r>
      <w:r>
        <w:rPr>
          <w:rFonts w:hint="eastAsia" w:ascii="仿宋_GB2312" w:hAnsi="Times New Roman" w:eastAsia="仿宋_GB2312" w:cs="Times New Roman"/>
          <w:color w:val="000000"/>
          <w:kern w:val="0"/>
          <w:sz w:val="32"/>
          <w:szCs w:val="32"/>
          <w:shd w:val="clear" w:color="auto" w:fill="FFFFFF"/>
        </w:rPr>
        <w:t>个，自评项目</w:t>
      </w:r>
      <w:r>
        <w:rPr>
          <w:rFonts w:hint="eastAsia" w:ascii="仿宋_GB2312" w:hAnsi="Times New Roman" w:eastAsia="仿宋_GB2312" w:cs="Times New Roman"/>
          <w:color w:val="000000"/>
          <w:kern w:val="0"/>
          <w:sz w:val="32"/>
          <w:szCs w:val="32"/>
          <w:shd w:val="clear" w:color="auto" w:fill="FFFFFF"/>
          <w:lang w:val="en-US" w:eastAsia="zh-CN"/>
        </w:rPr>
        <w:t>2</w:t>
      </w:r>
      <w:r>
        <w:rPr>
          <w:rFonts w:hint="eastAsia" w:ascii="仿宋_GB2312" w:hAnsi="Times New Roman" w:eastAsia="仿宋_GB2312" w:cs="Times New Roman"/>
          <w:color w:val="000000"/>
          <w:kern w:val="0"/>
          <w:sz w:val="32"/>
          <w:szCs w:val="32"/>
          <w:shd w:val="clear" w:color="auto" w:fill="FFFFFF"/>
        </w:rPr>
        <w:t>个，自评价平均分</w:t>
      </w:r>
      <w:r>
        <w:rPr>
          <w:rFonts w:hint="eastAsia" w:ascii="仿宋_GB2312" w:hAnsi="Times New Roman" w:eastAsia="仿宋_GB2312" w:cs="Times New Roman"/>
          <w:color w:val="000000"/>
          <w:kern w:val="0"/>
          <w:sz w:val="32"/>
          <w:szCs w:val="32"/>
          <w:shd w:val="clear" w:color="auto" w:fill="FFFFFF"/>
          <w:lang w:val="en-US" w:eastAsia="zh-CN"/>
        </w:rPr>
        <w:t>90</w:t>
      </w:r>
      <w:r>
        <w:rPr>
          <w:rFonts w:hint="eastAsia" w:ascii="仿宋_GB2312" w:hAnsi="Times New Roman" w:eastAsia="仿宋_GB2312" w:cs="Times New Roman"/>
          <w:color w:val="000000"/>
          <w:kern w:val="0"/>
          <w:sz w:val="32"/>
          <w:szCs w:val="32"/>
          <w:shd w:val="clear" w:color="auto" w:fill="FFFFFF"/>
        </w:rPr>
        <w:t>分。</w:t>
      </w:r>
    </w:p>
    <w:p>
      <w:pPr>
        <w:pStyle w:val="14"/>
        <w:keepNext w:val="0"/>
        <w:keepLines w:val="0"/>
        <w:pageBreakBefore w:val="0"/>
        <w:widowControl/>
        <w:suppressLineNumbers w:val="0"/>
        <w:kinsoku/>
        <w:wordWrap/>
        <w:overflowPunct/>
        <w:topLinePunct w:val="0"/>
        <w:autoSpaceDN/>
        <w:bidi w:val="0"/>
        <w:spacing w:before="0" w:beforeAutospacing="0" w:after="0" w:afterAutospacing="0" w:line="600" w:lineRule="exact"/>
        <w:ind w:right="0" w:firstLine="640" w:firstLineChars="200"/>
        <w:jc w:val="both"/>
        <w:textAlignment w:val="auto"/>
        <w:rPr>
          <w:rFonts w:hint="eastAsia" w:ascii="仿宋_GB2312" w:hAnsi="Times New Roman" w:eastAsia="仿宋_GB2312" w:cs="Times New Roman"/>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项目支出经费使用与工作执行进度紧密结合，年初制定的项目工作任务目标100%按时完成；各项目均达到实际的成效，效率指标达优，工作成本节约，没有出现工作质量不高，工作拖欠的现象；项目的社会效益良好，服务对象满意度高。</w:t>
      </w:r>
    </w:p>
    <w:p>
      <w:pPr>
        <w:pStyle w:val="14"/>
        <w:keepNext w:val="0"/>
        <w:keepLines w:val="0"/>
        <w:pageBreakBefore w:val="0"/>
        <w:widowControl/>
        <w:numPr>
          <w:ilvl w:val="0"/>
          <w:numId w:val="2"/>
        </w:numPr>
        <w:suppressLineNumbers w:val="0"/>
        <w:kinsoku/>
        <w:wordWrap/>
        <w:overflowPunct/>
        <w:topLinePunct w:val="0"/>
        <w:autoSpaceDN/>
        <w:bidi w:val="0"/>
        <w:spacing w:before="0" w:beforeAutospacing="0" w:after="0" w:afterAutospacing="0" w:line="600" w:lineRule="exact"/>
        <w:ind w:left="0" w:right="0" w:firstLine="420"/>
        <w:jc w:val="both"/>
        <w:textAlignment w:val="auto"/>
        <w:rPr>
          <w:rFonts w:hint="eastAsia" w:ascii="仿宋_GB2312" w:hAnsi="Times New Roman" w:eastAsia="仿宋_GB2312" w:cs="Times New Roman"/>
          <w:color w:val="000000"/>
          <w:kern w:val="0"/>
          <w:sz w:val="32"/>
          <w:szCs w:val="32"/>
          <w:shd w:val="clear" w:color="auto" w:fill="FFFFFF"/>
          <w:lang w:val="en-US" w:eastAsia="zh-CN" w:bidi="ar"/>
        </w:rPr>
      </w:pPr>
      <w:r>
        <w:rPr>
          <w:rFonts w:hint="eastAsia" w:ascii="楷体_GB2312" w:hAnsi="Times New Roman" w:eastAsia="楷体_GB2312" w:cs="Times New Roman"/>
          <w:color w:val="000000"/>
          <w:kern w:val="0"/>
          <w:sz w:val="32"/>
          <w:szCs w:val="32"/>
          <w:shd w:val="clear" w:color="auto" w:fill="FFFFFF"/>
        </w:rPr>
        <w:t>结果应用情况。</w:t>
      </w:r>
      <w:r>
        <w:rPr>
          <w:rFonts w:hint="eastAsia" w:ascii="仿宋_GB2312" w:hAnsi="Times New Roman" w:eastAsia="仿宋_GB2312" w:cs="Times New Roman"/>
          <w:color w:val="000000"/>
          <w:kern w:val="0"/>
          <w:sz w:val="32"/>
          <w:szCs w:val="32"/>
          <w:shd w:val="clear" w:color="auto" w:fill="FFFFFF"/>
        </w:rPr>
        <w:t>根据预算绩效管理要求，我</w:t>
      </w:r>
      <w:r>
        <w:rPr>
          <w:rFonts w:hint="eastAsia" w:ascii="仿宋_GB2312" w:hAnsi="Times New Roman" w:eastAsia="仿宋_GB2312" w:cs="Times New Roman"/>
          <w:color w:val="000000"/>
          <w:kern w:val="0"/>
          <w:sz w:val="32"/>
          <w:szCs w:val="32"/>
          <w:shd w:val="clear" w:color="auto" w:fill="FFFFFF"/>
          <w:lang w:eastAsia="zh-CN"/>
        </w:rPr>
        <w:t>中心</w:t>
      </w:r>
      <w:r>
        <w:rPr>
          <w:rFonts w:hint="eastAsia" w:ascii="仿宋_GB2312" w:hAnsi="Times New Roman" w:eastAsia="仿宋_GB2312" w:cs="Times New Roman"/>
          <w:color w:val="000000"/>
          <w:kern w:val="0"/>
          <w:sz w:val="32"/>
          <w:szCs w:val="32"/>
          <w:shd w:val="clear" w:color="auto" w:fill="FFFFFF"/>
        </w:rPr>
        <w:t>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r>
        <w:rPr>
          <w:rFonts w:hint="eastAsia" w:ascii="仿宋_GB2312" w:hAnsi="Times New Roman" w:eastAsia="仿宋_GB2312" w:cs="Times New Roman"/>
          <w:color w:val="000000"/>
          <w:kern w:val="0"/>
          <w:sz w:val="32"/>
          <w:szCs w:val="32"/>
          <w:shd w:val="clear" w:color="auto" w:fill="FFFFFF"/>
          <w:lang w:val="en-US" w:eastAsia="zh-CN"/>
        </w:rPr>
        <w:t>我中心</w:t>
      </w:r>
      <w:r>
        <w:rPr>
          <w:rFonts w:hint="eastAsia" w:ascii="仿宋_GB2312" w:hAnsi="Times New Roman" w:eastAsia="仿宋_GB2312" w:cs="Times New Roman"/>
          <w:color w:val="000000"/>
          <w:kern w:val="0"/>
          <w:sz w:val="32"/>
          <w:szCs w:val="32"/>
          <w:shd w:val="clear" w:color="auto" w:fill="FFFFFF"/>
        </w:rPr>
        <w:t>制定了《</w:t>
      </w:r>
      <w:r>
        <w:rPr>
          <w:rFonts w:hint="eastAsia" w:ascii="仿宋_GB2312" w:hAnsi="Times New Roman" w:eastAsia="仿宋_GB2312" w:cs="Times New Roman"/>
          <w:color w:val="000000"/>
          <w:kern w:val="0"/>
          <w:sz w:val="32"/>
          <w:szCs w:val="32"/>
          <w:shd w:val="clear" w:color="auto" w:fill="FFFFFF"/>
          <w:lang w:val="en-US" w:eastAsia="zh-CN"/>
        </w:rPr>
        <w:t>粮食和物资储备中心</w:t>
      </w:r>
      <w:r>
        <w:rPr>
          <w:rFonts w:hint="eastAsia" w:ascii="仿宋_GB2312" w:hAnsi="Times New Roman" w:eastAsia="仿宋_GB2312" w:cs="Times New Roman"/>
          <w:color w:val="000000"/>
          <w:kern w:val="0"/>
          <w:sz w:val="32"/>
          <w:szCs w:val="32"/>
          <w:shd w:val="clear" w:color="auto" w:fill="FFFFFF"/>
        </w:rPr>
        <w:t>关于全面推进预算绩效管理实施意见》《</w:t>
      </w:r>
      <w:r>
        <w:rPr>
          <w:rFonts w:hint="eastAsia" w:ascii="仿宋_GB2312" w:hAnsi="Times New Roman" w:eastAsia="仿宋_GB2312" w:cs="Times New Roman"/>
          <w:color w:val="000000"/>
          <w:kern w:val="0"/>
          <w:sz w:val="32"/>
          <w:szCs w:val="32"/>
          <w:shd w:val="clear" w:color="auto" w:fill="FFFFFF"/>
          <w:lang w:val="en-US" w:eastAsia="zh-CN"/>
        </w:rPr>
        <w:t>粮食和物资储备中心</w:t>
      </w:r>
      <w:r>
        <w:rPr>
          <w:rFonts w:hint="eastAsia" w:ascii="仿宋_GB2312" w:hAnsi="Times New Roman" w:eastAsia="仿宋_GB2312" w:cs="Times New Roman"/>
          <w:color w:val="000000"/>
          <w:kern w:val="0"/>
          <w:sz w:val="32"/>
          <w:szCs w:val="32"/>
          <w:shd w:val="clear" w:color="auto" w:fill="FFFFFF"/>
        </w:rPr>
        <w:t>预算绩效管理工作实施方案》《</w:t>
      </w:r>
      <w:r>
        <w:rPr>
          <w:rFonts w:hint="eastAsia" w:ascii="仿宋_GB2312" w:hAnsi="Times New Roman" w:eastAsia="仿宋_GB2312" w:cs="Times New Roman"/>
          <w:color w:val="000000"/>
          <w:kern w:val="0"/>
          <w:sz w:val="32"/>
          <w:szCs w:val="32"/>
          <w:shd w:val="clear" w:color="auto" w:fill="FFFFFF"/>
          <w:lang w:val="en-US" w:eastAsia="zh-CN"/>
        </w:rPr>
        <w:t>粮食和物资储备中心</w:t>
      </w:r>
      <w:r>
        <w:rPr>
          <w:rFonts w:hint="eastAsia" w:ascii="仿宋_GB2312" w:hAnsi="Times New Roman" w:eastAsia="仿宋_GB2312" w:cs="Times New Roman"/>
          <w:color w:val="000000"/>
          <w:kern w:val="0"/>
          <w:sz w:val="32"/>
          <w:szCs w:val="32"/>
          <w:shd w:val="clear" w:color="auto" w:fill="FFFFFF"/>
        </w:rPr>
        <w:t>预算绩效管理工作考核办法》等，建立了绩效管理贯穿预算全过程的机制。</w:t>
      </w:r>
    </w:p>
    <w:p>
      <w:pPr>
        <w:pStyle w:val="14"/>
        <w:keepNext w:val="0"/>
        <w:keepLines w:val="0"/>
        <w:pageBreakBefore w:val="0"/>
        <w:widowControl/>
        <w:numPr>
          <w:ilvl w:val="0"/>
          <w:numId w:val="0"/>
        </w:numPr>
        <w:suppressLineNumbers w:val="0"/>
        <w:kinsoku/>
        <w:wordWrap/>
        <w:overflowPunct/>
        <w:topLinePunct w:val="0"/>
        <w:autoSpaceDN/>
        <w:bidi w:val="0"/>
        <w:spacing w:before="0" w:beforeAutospacing="0" w:after="0" w:afterAutospacing="0" w:line="600" w:lineRule="exact"/>
        <w:ind w:right="0" w:rightChars="0" w:firstLine="640" w:firstLineChars="200"/>
        <w:jc w:val="both"/>
        <w:textAlignment w:val="auto"/>
        <w:rPr>
          <w:rFonts w:hint="eastAsia" w:ascii="仿宋_GB2312" w:hAnsi="Times New Roman" w:eastAsia="仿宋_GB2312" w:cs="Times New Roman"/>
          <w:color w:val="000000"/>
          <w:kern w:val="0"/>
          <w:sz w:val="32"/>
          <w:szCs w:val="32"/>
          <w:shd w:val="clear" w:color="auto" w:fill="FFFFFF"/>
          <w:lang w:val="en-US" w:eastAsia="zh-CN" w:bidi="ar"/>
        </w:rPr>
      </w:pPr>
      <w:r>
        <w:rPr>
          <w:rFonts w:hint="eastAsia" w:ascii="楷体_GB2312" w:hAnsi="Times New Roman" w:eastAsia="楷体_GB2312" w:cs="Times New Roman"/>
          <w:color w:val="000000"/>
          <w:kern w:val="0"/>
          <w:sz w:val="32"/>
          <w:szCs w:val="32"/>
          <w:shd w:val="clear" w:color="auto" w:fill="FFFFFF"/>
          <w:lang w:val="en-US" w:eastAsia="zh-CN"/>
        </w:rPr>
        <w:t>(三)</w:t>
      </w:r>
      <w:r>
        <w:rPr>
          <w:rFonts w:hint="eastAsia" w:ascii="楷体_GB2312" w:hAnsi="Times New Roman" w:eastAsia="楷体_GB2312" w:cs="Times New Roman"/>
          <w:color w:val="000000"/>
          <w:kern w:val="0"/>
          <w:sz w:val="32"/>
          <w:szCs w:val="32"/>
          <w:shd w:val="clear" w:color="auto" w:fill="FFFFFF"/>
        </w:rPr>
        <w:t>自评质量。</w:t>
      </w:r>
      <w:r>
        <w:rPr>
          <w:rFonts w:hint="eastAsia" w:ascii="仿宋_GB2312" w:hAnsi="Times New Roman" w:eastAsia="仿宋_GB2312" w:cs="Times New Roman"/>
          <w:color w:val="000000"/>
          <w:kern w:val="0"/>
          <w:sz w:val="32"/>
          <w:szCs w:val="32"/>
          <w:shd w:val="clear" w:color="auto" w:fill="FFFFFF"/>
          <w:lang w:val="en-US" w:eastAsia="zh-CN" w:bidi="ar"/>
        </w:rPr>
        <w:t>2021年，我中心努力做好财政预算收入、支出以及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中心实际过程中支出进行合理化分配，以达到合理高效地运用资金、提升资金的产出结果、节约成本与资源、提高部门的办事效率的目的。</w:t>
      </w:r>
    </w:p>
    <w:p>
      <w:pPr>
        <w:widowControl/>
        <w:autoSpaceDE w:val="0"/>
        <w:adjustRightInd w:val="0"/>
        <w:snapToGrid w:val="0"/>
        <w:spacing w:line="500" w:lineRule="exact"/>
        <w:ind w:firstLine="640" w:firstLineChars="200"/>
        <w:contextualSpacing/>
        <w:jc w:val="left"/>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（一）自评结论</w:t>
      </w:r>
    </w:p>
    <w:p>
      <w:pPr>
        <w:spacing w:line="600" w:lineRule="exact"/>
        <w:ind w:firstLine="600" w:firstLineChars="200"/>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朝天区粮食和物资储备中心成立绩效评价工作组，对中心2021年度部门整体支出进行了绩效自评，根据2021年区级部门整体支出绩效评价指标体系，通过查阅收集相关资料、审查账簿凭证、现场查看项目具体实施情况，采取目标预定与实施效果比较法，对评价对象进行定量定性分析和综合汇总分析，最终确定项目实施效果是否与年初计划相符等，评价得分90分，评价结论为“优秀”。</w:t>
      </w:r>
    </w:p>
    <w:p>
      <w:pPr>
        <w:spacing w:line="600" w:lineRule="exact"/>
        <w:ind w:firstLine="640" w:firstLineChars="200"/>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（二）存在问题</w:t>
      </w:r>
    </w:p>
    <w:p>
      <w:pPr>
        <w:spacing w:line="600" w:lineRule="exact"/>
        <w:ind w:firstLine="600" w:firstLineChars="200"/>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1、预算编制工作有待细化。预算编制不够明确和细化，预算执行力度还要进一步加强。</w:t>
      </w:r>
    </w:p>
    <w:p>
      <w:pPr>
        <w:spacing w:line="600" w:lineRule="exact"/>
        <w:ind w:firstLine="600" w:firstLineChars="200"/>
        <w:rPr>
          <w:rFonts w:hint="eastAsia" w:ascii="方正仿宋简体" w:eastAsia="方正仿宋简体"/>
          <w:sz w:val="30"/>
          <w:szCs w:val="30"/>
          <w:lang w:val="en-US" w:eastAsia="zh-CN"/>
        </w:rPr>
      </w:pPr>
      <w:r>
        <w:rPr>
          <w:rFonts w:hint="eastAsia" w:ascii="方正仿宋简体" w:eastAsia="方正仿宋简体"/>
          <w:sz w:val="30"/>
          <w:szCs w:val="30"/>
          <w:lang w:val="en-US" w:eastAsia="zh-CN"/>
        </w:rPr>
        <w:t>2、对绩效目标认知度不够。</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（三）改进建议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1、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pStyle w:val="14"/>
        <w:keepNext w:val="0"/>
        <w:keepLines w:val="0"/>
        <w:pageBreakBefore w:val="0"/>
        <w:widowControl/>
        <w:suppressLineNumbers w:val="0"/>
        <w:kinsoku/>
        <w:wordWrap/>
        <w:overflowPunct/>
        <w:topLinePunct w:val="0"/>
        <w:autoSpaceDN/>
        <w:bidi w:val="0"/>
        <w:spacing w:before="0" w:beforeAutospacing="0" w:after="0" w:afterAutospacing="0" w:line="600" w:lineRule="exact"/>
        <w:ind w:left="0" w:right="0" w:firstLine="420"/>
        <w:jc w:val="both"/>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仿宋_GB2312" w:hAnsi="Times New Roman" w:eastAsia="仿宋_GB2312" w:cs="Times New Roman"/>
          <w:color w:val="000000"/>
          <w:kern w:val="0"/>
          <w:sz w:val="32"/>
          <w:szCs w:val="32"/>
          <w:shd w:val="clear" w:color="auto" w:fill="FFFFFF"/>
          <w:lang w:val="en-US" w:eastAsia="zh-CN" w:bidi="ar-SA"/>
        </w:rPr>
        <w:t>2、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pPr>
        <w:autoSpaceDE w:val="0"/>
        <w:spacing w:line="576" w:lineRule="exact"/>
        <w:ind w:firstLine="3520" w:firstLineChars="1100"/>
        <w:rPr>
          <w:rFonts w:hint="eastAsia"/>
        </w:rPr>
      </w:pPr>
    </w:p>
    <w:p>
      <w:pPr>
        <w:keepNext w:val="0"/>
        <w:keepLines w:val="0"/>
        <w:pageBreakBefore w:val="0"/>
        <w:kinsoku/>
        <w:wordWrap/>
        <w:overflowPunct/>
        <w:topLinePunct w:val="0"/>
        <w:autoSpaceDE/>
        <w:autoSpaceDN/>
        <w:bidi w:val="0"/>
        <w:spacing w:line="572" w:lineRule="exact"/>
        <w:jc w:val="center"/>
        <w:textAlignment w:val="auto"/>
        <w:rPr>
          <w:rFonts w:hint="eastAsia"/>
          <w:color w:val="auto"/>
          <w:highlight w:val="none"/>
          <w:lang w:val="zh-CN"/>
        </w:rPr>
      </w:pPr>
    </w:p>
    <w:p>
      <w:pPr>
        <w:autoSpaceDE w:val="0"/>
        <w:spacing w:line="580" w:lineRule="exact"/>
        <w:jc w:val="center"/>
        <w:rPr>
          <w:rFonts w:hint="eastAsia" w:ascii="方正大标宋简体" w:hAnsi="方正大标宋简体" w:eastAsia="方正大标宋简体" w:cs="方正大标宋简体"/>
          <w:bCs/>
          <w:color w:val="000000"/>
          <w:spacing w:val="-6"/>
          <w:kern w:val="0"/>
          <w:sz w:val="44"/>
          <w:szCs w:val="44"/>
        </w:rPr>
      </w:pPr>
    </w:p>
    <w:p>
      <w:pPr>
        <w:autoSpaceDE w:val="0"/>
        <w:spacing w:line="580" w:lineRule="exact"/>
        <w:ind w:left="0" w:leftChars="0" w:firstLine="0" w:firstLineChars="0"/>
        <w:jc w:val="both"/>
        <w:rPr>
          <w:rFonts w:hint="eastAsia" w:ascii="方正大标宋简体" w:hAnsi="方正大标宋简体" w:eastAsia="方正大标宋简体" w:cs="方正大标宋简体"/>
          <w:bCs/>
          <w:color w:val="000000"/>
          <w:spacing w:val="-6"/>
          <w:kern w:val="0"/>
          <w:sz w:val="44"/>
          <w:szCs w:val="44"/>
        </w:rPr>
      </w:pPr>
    </w:p>
    <w:p>
      <w:pPr>
        <w:autoSpaceDE w:val="0"/>
        <w:spacing w:line="580" w:lineRule="exact"/>
        <w:ind w:left="0" w:leftChars="0" w:firstLine="0" w:firstLineChars="0"/>
        <w:jc w:val="both"/>
        <w:rPr>
          <w:rFonts w:hint="eastAsia" w:ascii="方正大标宋简体" w:hAnsi="方正大标宋简体" w:eastAsia="方正大标宋简体" w:cs="方正大标宋简体"/>
          <w:bCs/>
          <w:color w:val="000000"/>
          <w:spacing w:val="-6"/>
          <w:kern w:val="0"/>
          <w:sz w:val="44"/>
          <w:szCs w:val="44"/>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spacing w:line="576" w:lineRule="exact"/>
        <w:ind w:firstLine="640" w:firstLineChars="200"/>
        <w:rPr>
          <w:rFonts w:hint="eastAsia" w:ascii="仿宋_GB2312" w:cs="宋体"/>
          <w:kern w:val="0"/>
          <w:sz w:val="30"/>
          <w:szCs w:val="30"/>
          <w:lang w:val="en-US" w:eastAsia="zh-CN"/>
        </w:rPr>
      </w:pPr>
      <w:r>
        <w:rPr>
          <w:rFonts w:hint="eastAsia" w:ascii="仿宋_GB2312" w:hAnsi="仿宋_GB2312" w:eastAsia="仿宋_GB2312" w:cs="仿宋_GB2312"/>
          <w:sz w:val="32"/>
          <w:szCs w:val="32"/>
        </w:rPr>
        <w:t>为深入贯彻习近平总书记关于防汛减灾重要指示批示精神，全面落实省、市、区委政府关于防汛减灾工作的相关部署，坚持人民至上、生命至上，始终保持高度警惕，全力抓好行业安全生产工作。今年入汛以来，我区多地普降大到暴雨持续时间较长，造成朝天、羊木、文昌路粮库、道路、堡坎、院墙院坝等不同程度的受灾受损，为及时对受灾受损的粮库设施进行修复，确保粮库储粮安全稳定</w:t>
      </w:r>
      <w:r>
        <w:rPr>
          <w:rFonts w:hint="eastAsia" w:ascii="仿宋_GB2312" w:hAnsi="仿宋_GB2312" w:eastAsia="仿宋_GB2312" w:cs="仿宋_GB2312"/>
          <w:sz w:val="32"/>
          <w:szCs w:val="32"/>
          <w:lang w:eastAsia="zh-CN"/>
        </w:rPr>
        <w:t>。</w:t>
      </w:r>
      <w:r>
        <w:rPr>
          <w:rFonts w:hint="eastAsia" w:ascii="仿宋_GB2312" w:cs="宋体"/>
          <w:kern w:val="0"/>
          <w:sz w:val="30"/>
          <w:szCs w:val="30"/>
          <w:lang w:val="en-US" w:eastAsia="zh-CN"/>
        </w:rPr>
        <w:t xml:space="preserve"> </w:t>
      </w:r>
      <w:r>
        <w:rPr>
          <w:rFonts w:hint="eastAsia" w:ascii="仿宋_GB2312" w:hAnsi="Times New Roman" w:eastAsia="仿宋_GB2312"/>
          <w:bCs/>
          <w:sz w:val="32"/>
          <w:szCs w:val="32"/>
        </w:rPr>
        <w:t>进一步排查摸清我区粮食行业今年因暴雨导致的受灾受损情况，排除安全隐患，力争在10月底对各粮库水毁设施全面修复完成，为行业安全生产提供坚实保障。</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（二）项目预算情况：</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（三）项目绩效目标：项目预期预算绩效目标和绩效指标设定情况，包括预期总目标及阶段性目标，衡量绩效目标实现程度的评价指标、标准等。</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autoSpaceDE w:val="0"/>
        <w:spacing w:line="540" w:lineRule="exact"/>
        <w:ind w:firstLine="616" w:firstLineChars="200"/>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年全年支出</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洪灾水毁修复资金15</w:t>
      </w:r>
      <w:r>
        <w:rPr>
          <w:rFonts w:hint="eastAsia" w:ascii="仿宋_GB2312" w:hAnsi="仿宋_GB2312" w:eastAsia="仿宋_GB2312" w:cs="仿宋_GB2312"/>
          <w:sz w:val="32"/>
          <w:szCs w:val="32"/>
          <w:lang w:val="zh-CN"/>
        </w:rPr>
        <w:t>万元，结余</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lang w:val="zh-CN"/>
        </w:rPr>
        <w:t>主要用于新打</w:t>
      </w:r>
      <w:r>
        <w:rPr>
          <w:rFonts w:hint="eastAsia" w:ascii="仿宋_GB2312" w:hAnsi="仿宋_GB2312" w:cs="仿宋_GB2312"/>
          <w:sz w:val="32"/>
          <w:szCs w:val="32"/>
          <w:lang w:val="zh-CN"/>
        </w:rPr>
        <w:t>混凝土</w:t>
      </w:r>
      <w:r>
        <w:rPr>
          <w:rFonts w:hint="eastAsia" w:ascii="仿宋_GB2312" w:hAnsi="仿宋_GB2312" w:eastAsia="仿宋_GB2312" w:cs="仿宋_GB2312"/>
          <w:sz w:val="32"/>
          <w:szCs w:val="32"/>
          <w:lang w:val="zh-CN"/>
        </w:rPr>
        <w:t>院坝1000平方米、堡坎20米、花台、围墙，预埋钢结构底座，配套附属设施；恢复羊木粮库路面15米；排危伐树，回填原水池，维修文昌路仓房屋顶600平方米，墙面翻新，恢复院坝200平方米。新做花台80米，堡坎10米，新建</w:t>
      </w:r>
      <w:r>
        <w:rPr>
          <w:rFonts w:hint="eastAsia" w:ascii="仿宋_GB2312" w:hAnsi="仿宋_GB2312" w:cs="仿宋_GB2312"/>
          <w:sz w:val="32"/>
          <w:szCs w:val="32"/>
          <w:lang w:val="zh-CN"/>
        </w:rPr>
        <w:t>混凝土</w:t>
      </w:r>
      <w:r>
        <w:rPr>
          <w:rFonts w:hint="eastAsia" w:ascii="仿宋_GB2312" w:hAnsi="仿宋_GB2312" w:eastAsia="仿宋_GB2312" w:cs="仿宋_GB2312"/>
          <w:sz w:val="32"/>
          <w:szCs w:val="32"/>
          <w:lang w:val="zh-CN"/>
        </w:rPr>
        <w:t xml:space="preserve">梯步、栏杆，维修大门，绿化，健身器材等。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1.依法设立会计机构，分设了出纳。</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2.内部管理制度。内部财务管理制度健全，主要建立了《货币资金管理制度》、《岗位责任书》、《财务费用审批制度》、《会计档案管理制度》、《资产管理制度》等。</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说明项目组织管理架构及具体实施流程，主要包括机构设置、监管措施、执行相关管理制度（如招投标、政府采购、项目公示等）相关情况，其中：基建项目还应介绍基本建设程序执行情况，并对相关问题进行说明。</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00" w:firstLineChars="200"/>
        <w:rPr>
          <w:rFonts w:hint="eastAsia" w:ascii="仿宋_GB2312"/>
          <w:sz w:val="30"/>
          <w:szCs w:val="30"/>
        </w:rPr>
      </w:pPr>
      <w:r>
        <w:rPr>
          <w:rFonts w:hint="eastAsia" w:ascii="仿宋_GB2312"/>
          <w:sz w:val="30"/>
          <w:szCs w:val="30"/>
        </w:rPr>
        <w:t>我区成立了项目工作领导小组，区粮食</w:t>
      </w:r>
      <w:r>
        <w:rPr>
          <w:rFonts w:hint="eastAsia" w:ascii="仿宋_GB2312"/>
          <w:sz w:val="30"/>
          <w:szCs w:val="30"/>
          <w:lang w:val="en-US" w:eastAsia="zh-CN"/>
        </w:rPr>
        <w:t>和物资储备中心</w:t>
      </w:r>
      <w:r>
        <w:rPr>
          <w:rFonts w:hint="eastAsia" w:ascii="仿宋_GB2312"/>
          <w:sz w:val="30"/>
          <w:szCs w:val="30"/>
        </w:rPr>
        <w:t>成立了项目实施工作领导小组，对项目进行监管和指导，项目严格按照程序操作，实行政府公开招标，施工过程中严格按照质量要求进行，项目组织管理有序、实施规范、建设顺利。</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djustRightInd w:val="0"/>
        <w:snapToGrid w:val="0"/>
        <w:spacing w:line="580" w:lineRule="exact"/>
        <w:ind w:firstLine="720"/>
        <w:rPr>
          <w:rFonts w:ascii="仿宋_GB2312" w:hAnsi="宋体"/>
          <w:sz w:val="30"/>
          <w:szCs w:val="30"/>
          <w:lang w:val="zh-CN"/>
        </w:rPr>
      </w:pPr>
      <w:r>
        <w:rPr>
          <w:rFonts w:hint="eastAsia" w:ascii="仿宋_GB2312" w:hAnsi="宋体"/>
          <w:sz w:val="30"/>
          <w:szCs w:val="30"/>
          <w:lang w:val="zh-CN"/>
        </w:rPr>
        <w:t>从项目经济效益、社会效益、生态效益、可持续效益、公平性以及服务对象满意度等方面对项目效益进行全面分析评价。</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color w:val="000000"/>
          <w:kern w:val="0"/>
          <w:sz w:val="32"/>
          <w:szCs w:val="32"/>
          <w:shd w:val="clear" w:color="auto" w:fill="FFFFFF"/>
          <w:lang w:val="en-US" w:eastAsia="zh-CN" w:bidi="ar-SA"/>
        </w:rPr>
        <w:t>财政管理还不够规范，财经纪律还有待进一步加强。</w:t>
      </w:r>
    </w:p>
    <w:p>
      <w:pPr>
        <w:pStyle w:val="19"/>
        <w:rPr>
          <w:rFonts w:hint="eastAsia" w:ascii="仿宋_GB2312" w:hAnsi="仿宋_GB2312" w:eastAsia="仿宋_GB2312" w:cs="仿宋_GB2312"/>
          <w:spacing w:val="-6"/>
          <w:sz w:val="32"/>
          <w:szCs w:val="32"/>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仿宋" w:eastAsia="仿宋_GB2312" w:cs="Calibri"/>
          <w:color w:val="auto"/>
          <w:kern w:val="2"/>
          <w:sz w:val="32"/>
          <w:szCs w:val="32"/>
          <w:lang w:val="en-US" w:eastAsia="zh-TW" w:bidi="ar-SA"/>
        </w:rPr>
        <w:t>提高舆论引导水平，壮大工作队伍，扩大对外</w:t>
      </w:r>
      <w:r>
        <w:rPr>
          <w:rFonts w:hint="eastAsia" w:ascii="仿宋_GB2312" w:hAnsi="仿宋" w:eastAsia="仿宋_GB2312" w:cs="Calibri"/>
          <w:color w:val="auto"/>
          <w:kern w:val="2"/>
          <w:sz w:val="32"/>
          <w:szCs w:val="32"/>
          <w:lang w:val="en-US" w:eastAsia="zh-CN" w:bidi="ar-SA"/>
        </w:rPr>
        <w:t>宣传</w:t>
      </w:r>
      <w:r>
        <w:rPr>
          <w:rFonts w:hint="eastAsia" w:ascii="仿宋_GB2312" w:hAnsi="仿宋" w:eastAsia="仿宋_GB2312" w:cs="Calibri"/>
          <w:color w:val="auto"/>
          <w:kern w:val="2"/>
          <w:sz w:val="32"/>
          <w:szCs w:val="32"/>
          <w:lang w:val="en-US" w:eastAsia="zh-TW" w:bidi="ar-SA"/>
        </w:rPr>
        <w:t>力度，拓宽舆情收集渠道和化解途径，努力在理论武装、舆论引导等意识形态工作方面取得新进展。</w:t>
      </w:r>
    </w:p>
    <w:p>
      <w:pPr>
        <w:pStyle w:val="19"/>
        <w:rPr>
          <w:rFonts w:hint="eastAsia" w:ascii="仿宋_GB2312" w:hAnsi="仿宋_GB2312" w:eastAsia="仿宋_GB2312" w:cs="仿宋_GB2312"/>
          <w:spacing w:val="-6"/>
          <w:sz w:val="32"/>
          <w:szCs w:val="32"/>
          <w:lang w:val="en-US" w:eastAsia="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p>
      <w:pPr>
        <w:widowControl/>
        <w:adjustRightInd w:val="0"/>
        <w:snapToGrid w:val="0"/>
        <w:spacing w:line="580" w:lineRule="exact"/>
        <w:ind w:left="0" w:leftChars="0" w:firstLine="0" w:firstLineChars="0"/>
        <w:contextualSpacing/>
        <w:jc w:val="left"/>
        <w:rPr>
          <w:rFonts w:hint="eastAsia" w:ascii="黑体" w:hAnsi="黑体" w:eastAsia="黑体" w:cs="黑体"/>
          <w:kern w:val="0"/>
          <w:sz w:val="32"/>
          <w:szCs w:val="32"/>
          <w:shd w:val="clear" w:color="auto" w:fill="FFFFFF"/>
          <w:lang w:val="zh-CN"/>
        </w:rPr>
      </w:pPr>
    </w:p>
    <w:p>
      <w:pPr>
        <w:autoSpaceDE w:val="0"/>
        <w:spacing w:line="540" w:lineRule="exact"/>
        <w:jc w:val="center"/>
        <w:rPr>
          <w:rFonts w:hint="eastAsia" w:ascii="方正大标宋简体" w:hAnsi="??" w:eastAsia="方正大标宋简体" w:cs="Times New Roman"/>
          <w:b/>
          <w:color w:val="000000"/>
          <w:spacing w:val="-6"/>
          <w:kern w:val="0"/>
          <w:sz w:val="44"/>
          <w:szCs w:val="44"/>
        </w:rPr>
      </w:pPr>
    </w:p>
    <w:p>
      <w:pPr>
        <w:autoSpaceDE w:val="0"/>
        <w:spacing w:line="540" w:lineRule="exact"/>
        <w:ind w:left="0" w:leftChars="0" w:firstLine="0" w:firstLineChars="0"/>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spacing w:line="576" w:lineRule="exact"/>
        <w:ind w:firstLine="640" w:firstLineChars="200"/>
        <w:rPr>
          <w:rFonts w:hint="eastAsia" w:ascii="仿宋_GB2312" w:cs="宋体"/>
          <w:kern w:val="0"/>
          <w:sz w:val="30"/>
          <w:szCs w:val="30"/>
          <w:lang w:val="en-US" w:eastAsia="zh-CN"/>
        </w:rPr>
      </w:pPr>
      <w:r>
        <w:rPr>
          <w:rFonts w:hint="eastAsia" w:ascii="仿宋_GB2312" w:hAnsi="仿宋_GB2312" w:eastAsia="仿宋_GB2312" w:cs="仿宋_GB2312"/>
          <w:sz w:val="32"/>
          <w:szCs w:val="32"/>
        </w:rPr>
        <w:t>为深入贯彻习近平总书记关于防汛减灾重要指示批示精神，全面落实省、市、区委政府关于防汛减灾工作的相关部署，坚持人民至上、生命至上，始终保持高度警惕，全力抓好行业安全生产工作。今年入汛以来，我区多地普降大到暴雨持续时间较长，造成朝天、羊木、文昌路粮库、道路、堡坎、院墙院坝等不同程度的受灾受损，为及时对受灾受损的粮库设施进行修复，确保粮库储粮安全稳定</w:t>
      </w:r>
      <w:r>
        <w:rPr>
          <w:rFonts w:hint="eastAsia" w:ascii="仿宋_GB2312" w:hAnsi="仿宋_GB2312" w:eastAsia="仿宋_GB2312" w:cs="仿宋_GB2312"/>
          <w:sz w:val="32"/>
          <w:szCs w:val="32"/>
          <w:lang w:eastAsia="zh-CN"/>
        </w:rPr>
        <w:t>。</w:t>
      </w:r>
      <w:r>
        <w:rPr>
          <w:rFonts w:hint="eastAsia" w:ascii="仿宋_GB2312" w:cs="宋体"/>
          <w:kern w:val="0"/>
          <w:sz w:val="30"/>
          <w:szCs w:val="30"/>
          <w:lang w:val="en-US" w:eastAsia="zh-CN"/>
        </w:rPr>
        <w:t xml:space="preserve"> </w:t>
      </w:r>
      <w:r>
        <w:rPr>
          <w:rFonts w:hint="eastAsia" w:ascii="仿宋_GB2312" w:hAnsi="Times New Roman" w:eastAsia="仿宋_GB2312"/>
          <w:bCs/>
          <w:sz w:val="32"/>
          <w:szCs w:val="32"/>
        </w:rPr>
        <w:t>进一步排查摸清我区粮食行业今年因暴雨导致的受灾受损情况，排除安全隐患，力争在10月底对各粮库水毁设施全面修复完成，为行业安全生产提供坚实保障。</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（二）项目预算情况：</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（三）项目绩效目标：项目预期预算绩效目标和绩效指标设定情况，包括预期总目标及阶段性目标，衡量绩效目标实现程度的评价指标、标准等。</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autoSpaceDE w:val="0"/>
        <w:spacing w:line="540" w:lineRule="exact"/>
        <w:ind w:firstLine="616" w:firstLineChars="200"/>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年全年支出</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洪灾水毁修复资金15</w:t>
      </w:r>
      <w:r>
        <w:rPr>
          <w:rFonts w:hint="eastAsia" w:ascii="仿宋_GB2312" w:hAnsi="仿宋_GB2312" w:eastAsia="仿宋_GB2312" w:cs="仿宋_GB2312"/>
          <w:sz w:val="32"/>
          <w:szCs w:val="32"/>
          <w:lang w:val="zh-CN"/>
        </w:rPr>
        <w:t>万元，结余</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lang w:val="zh-CN"/>
        </w:rPr>
        <w:t>主要用于新打</w:t>
      </w:r>
      <w:r>
        <w:rPr>
          <w:rFonts w:hint="eastAsia" w:ascii="仿宋_GB2312" w:hAnsi="仿宋_GB2312" w:cs="仿宋_GB2312"/>
          <w:sz w:val="32"/>
          <w:szCs w:val="32"/>
          <w:lang w:val="zh-CN"/>
        </w:rPr>
        <w:t>混凝土</w:t>
      </w:r>
      <w:r>
        <w:rPr>
          <w:rFonts w:hint="eastAsia" w:ascii="仿宋_GB2312" w:hAnsi="仿宋_GB2312" w:eastAsia="仿宋_GB2312" w:cs="仿宋_GB2312"/>
          <w:sz w:val="32"/>
          <w:szCs w:val="32"/>
          <w:lang w:val="zh-CN"/>
        </w:rPr>
        <w:t>院坝1000平方米、堡坎20米、花台、围墙，预埋钢结构底座，配套附属设施；恢复羊木粮库路面15米；排危伐树，回填原水池，维修文昌路仓房屋顶600平方米，墙面翻新，恢复院坝200平方米。新做花台80米，堡坎10米，新建</w:t>
      </w:r>
      <w:r>
        <w:rPr>
          <w:rFonts w:hint="eastAsia" w:ascii="仿宋_GB2312" w:hAnsi="仿宋_GB2312" w:cs="仿宋_GB2312"/>
          <w:sz w:val="32"/>
          <w:szCs w:val="32"/>
          <w:lang w:val="zh-CN"/>
        </w:rPr>
        <w:t>混凝土</w:t>
      </w:r>
      <w:r>
        <w:rPr>
          <w:rFonts w:hint="eastAsia" w:ascii="仿宋_GB2312" w:hAnsi="仿宋_GB2312" w:eastAsia="仿宋_GB2312" w:cs="仿宋_GB2312"/>
          <w:sz w:val="32"/>
          <w:szCs w:val="32"/>
          <w:lang w:val="zh-CN"/>
        </w:rPr>
        <w:t xml:space="preserve">梯步、栏杆，维修大门，绿化，健身器材等。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1.依法设立会计机构，分设了出纳。</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2.内部管理制度。内部财务管理制度健全，主要建立了《货币资金管理制度》、《岗位责任书》、《财务费用审批制度》、《会计档案管理制度》、《资产管理制度》等。</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说明项目组织管理架构及具体实施流程，主要包括机构设置、监管措施、执行相关管理制度（如招投标、政府采购、项目公示等）相关情况，其中：基建项目还应介绍基本建设程序执行情况，并对相关问题进行说明。</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00" w:firstLineChars="200"/>
        <w:rPr>
          <w:rFonts w:hint="eastAsia" w:ascii="仿宋_GB2312"/>
          <w:sz w:val="30"/>
          <w:szCs w:val="30"/>
        </w:rPr>
      </w:pPr>
      <w:r>
        <w:rPr>
          <w:rFonts w:hint="eastAsia" w:ascii="仿宋_GB2312"/>
          <w:sz w:val="30"/>
          <w:szCs w:val="30"/>
        </w:rPr>
        <w:t>我区成立了项目工作领导小组，区粮食</w:t>
      </w:r>
      <w:r>
        <w:rPr>
          <w:rFonts w:hint="eastAsia" w:ascii="仿宋_GB2312"/>
          <w:sz w:val="30"/>
          <w:szCs w:val="30"/>
          <w:lang w:val="en-US" w:eastAsia="zh-CN"/>
        </w:rPr>
        <w:t>和物资储备中心</w:t>
      </w:r>
      <w:r>
        <w:rPr>
          <w:rFonts w:hint="eastAsia" w:ascii="仿宋_GB2312"/>
          <w:sz w:val="30"/>
          <w:szCs w:val="30"/>
        </w:rPr>
        <w:t>成立了项目实施工作领导小组，对项目进行监管和指导，项目严格按照程序操作，实行政府公开招标，施工过程中严格按照质量要求进行，项目组织管理有序、实施规范、建设顺利。</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djustRightInd w:val="0"/>
        <w:snapToGrid w:val="0"/>
        <w:spacing w:line="580" w:lineRule="exact"/>
        <w:ind w:firstLine="720"/>
        <w:rPr>
          <w:rFonts w:ascii="仿宋_GB2312" w:hAnsi="宋体"/>
          <w:sz w:val="30"/>
          <w:szCs w:val="30"/>
          <w:lang w:val="zh-CN"/>
        </w:rPr>
      </w:pPr>
      <w:r>
        <w:rPr>
          <w:rFonts w:hint="eastAsia" w:ascii="仿宋_GB2312" w:hAnsi="宋体"/>
          <w:sz w:val="30"/>
          <w:szCs w:val="30"/>
          <w:lang w:val="zh-CN"/>
        </w:rPr>
        <w:t>从项目经济效益、社会效益、生态效益、可持续效益、公平性以及服务对象满意度等方面对项目效益进行全面分析评价。</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color w:val="000000"/>
          <w:kern w:val="0"/>
          <w:sz w:val="32"/>
          <w:szCs w:val="32"/>
          <w:shd w:val="clear" w:color="auto" w:fill="FFFFFF"/>
          <w:lang w:val="en-US" w:eastAsia="zh-CN" w:bidi="ar-SA"/>
        </w:rPr>
        <w:t>财政管理还不够规范，财经纪律还有待进一步加强。</w:t>
      </w:r>
    </w:p>
    <w:p>
      <w:pPr>
        <w:pStyle w:val="2"/>
        <w:ind w:left="0" w:leftChars="0" w:firstLine="0" w:firstLineChars="0"/>
        <w:rPr>
          <w:rFonts w:hint="eastAsia" w:ascii="黑体" w:hAnsi="黑体" w:eastAsia="黑体" w:cs="黑体"/>
          <w:b w:val="0"/>
          <w:bCs/>
          <w:sz w:val="32"/>
          <w:szCs w:val="32"/>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仿宋" w:eastAsia="仿宋_GB2312" w:cs="Calibri"/>
          <w:color w:val="auto"/>
          <w:kern w:val="2"/>
          <w:sz w:val="32"/>
          <w:szCs w:val="32"/>
          <w:lang w:val="en-US" w:eastAsia="zh-TW" w:bidi="ar-SA"/>
        </w:rPr>
        <w:t>提高舆论引导水平，壮大工作队伍，扩大对外</w:t>
      </w:r>
      <w:r>
        <w:rPr>
          <w:rFonts w:hint="eastAsia" w:ascii="仿宋_GB2312" w:hAnsi="仿宋" w:eastAsia="仿宋_GB2312" w:cs="Calibri"/>
          <w:color w:val="auto"/>
          <w:kern w:val="2"/>
          <w:sz w:val="32"/>
          <w:szCs w:val="32"/>
          <w:lang w:val="en-US" w:eastAsia="zh-CN" w:bidi="ar-SA"/>
        </w:rPr>
        <w:t>宣传</w:t>
      </w:r>
      <w:r>
        <w:rPr>
          <w:rFonts w:hint="eastAsia" w:ascii="仿宋_GB2312" w:hAnsi="仿宋" w:eastAsia="仿宋_GB2312" w:cs="Calibri"/>
          <w:color w:val="auto"/>
          <w:kern w:val="2"/>
          <w:sz w:val="32"/>
          <w:szCs w:val="32"/>
          <w:lang w:val="en-US" w:eastAsia="zh-TW" w:bidi="ar-SA"/>
        </w:rPr>
        <w:t>力度，拓宽舆情收集渠道和化解途径，努力在理论武装、舆论引导等意识形态工作方面取得新进展。</w:t>
      </w: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附表</w:t>
      </w:r>
    </w:p>
    <w:p>
      <w:pPr>
        <w:pStyle w:val="2"/>
        <w:ind w:left="0" w:leftChars="0" w:right="0" w:rightChars="0" w:firstLine="0" w:firstLineChars="0"/>
        <w:jc w:val="center"/>
        <w:rPr>
          <w:rFonts w:hint="eastAsia" w:ascii="方正小标宋简体" w:hAnsi="方正小标宋简体" w:eastAsia="方正小标宋简体" w:cs="方正小标宋简体"/>
          <w:b w:val="0"/>
          <w:bCs/>
          <w:color w:val="auto"/>
          <w:sz w:val="44"/>
          <w:szCs w:val="44"/>
          <w:highlight w:val="none"/>
          <w:lang w:val="zh-CN"/>
        </w:rPr>
      </w:pPr>
      <w:r>
        <w:rPr>
          <w:rFonts w:hint="eastAsia" w:ascii="方正小标宋简体" w:hAnsi="方正小标宋简体" w:eastAsia="方正小标宋简体" w:cs="方正小标宋简体"/>
          <w:b w:val="0"/>
          <w:bCs/>
          <w:sz w:val="44"/>
          <w:szCs w:val="44"/>
        </w:rPr>
        <w:t>2021年部门预算项目绩效目标自评</w:t>
      </w:r>
    </w:p>
    <w:tbl>
      <w:tblPr>
        <w:tblStyle w:val="15"/>
        <w:tblpPr w:leftFromText="180" w:rightFromText="180" w:vertAnchor="text" w:horzAnchor="page" w:tblpXSpec="center" w:tblpY="660"/>
        <w:tblOverlap w:val="never"/>
        <w:tblW w:w="9731" w:type="dxa"/>
        <w:jc w:val="center"/>
        <w:tblLayout w:type="fixed"/>
        <w:tblCellMar>
          <w:top w:w="0" w:type="dxa"/>
          <w:left w:w="108" w:type="dxa"/>
          <w:bottom w:w="0" w:type="dxa"/>
          <w:right w:w="108" w:type="dxa"/>
        </w:tblCellMar>
      </w:tblPr>
      <w:tblGrid>
        <w:gridCol w:w="1976"/>
        <w:gridCol w:w="1358"/>
        <w:gridCol w:w="1419"/>
        <w:gridCol w:w="1491"/>
        <w:gridCol w:w="1717"/>
        <w:gridCol w:w="1770"/>
      </w:tblGrid>
      <w:tr>
        <w:tblPrEx>
          <w:tblCellMar>
            <w:top w:w="0" w:type="dxa"/>
            <w:left w:w="108" w:type="dxa"/>
            <w:bottom w:w="0" w:type="dxa"/>
            <w:right w:w="108" w:type="dxa"/>
          </w:tblCellMar>
        </w:tblPrEx>
        <w:trPr>
          <w:trHeight w:val="254" w:hRule="atLeast"/>
          <w:jc w:val="center"/>
        </w:trPr>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bookmarkStart w:id="98" w:name="_Toc28913"/>
            <w:bookmarkStart w:id="99" w:name="_Toc15396618"/>
            <w:r>
              <w:rPr>
                <w:rFonts w:hint="eastAsia" w:ascii="宋体" w:hAnsi="宋体" w:cs="宋体"/>
                <w:kern w:val="0"/>
                <w:sz w:val="24"/>
              </w:rPr>
              <w:t>主管部门及代码</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627601</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实施单位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ascii="宋体" w:hAnsi="宋体" w:cs="宋体"/>
                <w:sz w:val="24"/>
              </w:rPr>
              <w:t>广元市朝天区</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sz w:val="24"/>
                <w:lang w:val="en-US" w:eastAsia="zh-CN"/>
              </w:rPr>
              <w:t>粮食和物资储备中心</w:t>
            </w:r>
          </w:p>
        </w:tc>
      </w:tr>
      <w:tr>
        <w:tblPrEx>
          <w:tblCellMar>
            <w:top w:w="0" w:type="dxa"/>
            <w:left w:w="108" w:type="dxa"/>
            <w:bottom w:w="0" w:type="dxa"/>
            <w:right w:w="108" w:type="dxa"/>
          </w:tblCellMar>
        </w:tblPrEx>
        <w:trPr>
          <w:trHeight w:val="341" w:hRule="atLeast"/>
          <w:jc w:val="center"/>
        </w:trPr>
        <w:tc>
          <w:tcPr>
            <w:tcW w:w="3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（万元）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40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执行数：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15</w:t>
            </w:r>
          </w:p>
        </w:tc>
      </w:tr>
      <w:tr>
        <w:tblPrEx>
          <w:tblCellMar>
            <w:top w:w="0" w:type="dxa"/>
            <w:left w:w="108" w:type="dxa"/>
            <w:bottom w:w="0" w:type="dxa"/>
            <w:right w:w="108" w:type="dxa"/>
          </w:tblCellMar>
        </w:tblPrEx>
        <w:trPr>
          <w:trHeight w:val="555" w:hRule="atLeast"/>
          <w:jc w:val="center"/>
        </w:trPr>
        <w:tc>
          <w:tcPr>
            <w:tcW w:w="3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财政拨款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40</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财政拨款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15</w:t>
            </w:r>
          </w:p>
        </w:tc>
      </w:tr>
      <w:tr>
        <w:tblPrEx>
          <w:tblCellMar>
            <w:top w:w="0" w:type="dxa"/>
            <w:left w:w="108" w:type="dxa"/>
            <w:bottom w:w="0" w:type="dxa"/>
            <w:right w:w="108" w:type="dxa"/>
          </w:tblCellMar>
        </w:tblPrEx>
        <w:trPr>
          <w:trHeight w:val="341" w:hRule="atLeast"/>
          <w:jc w:val="center"/>
        </w:trPr>
        <w:tc>
          <w:tcPr>
            <w:tcW w:w="3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其他资金</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完成情况</w:t>
            </w: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预期目标</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top"/>
              <w:rPr>
                <w:rFonts w:ascii="宋体" w:hAnsi="宋体" w:cs="宋体"/>
                <w:sz w:val="24"/>
              </w:rPr>
            </w:pPr>
            <w:r>
              <w:rPr>
                <w:rFonts w:hint="eastAsia" w:ascii="宋体" w:hAnsi="宋体" w:cs="宋体"/>
                <w:sz w:val="24"/>
              </w:rPr>
              <w:t>朝天粮库拆除花台、堡坎、硬化地坪及其附属配套设施。羊木粮库道路维修处理、文昌路仓库屋顶维修、墙面翻新、硬化院坝，新做花台、堡坎、维修大门、院内绿化等及其附属工程。</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top"/>
              <w:rPr>
                <w:rFonts w:ascii="宋体" w:hAnsi="宋体" w:cs="宋体"/>
                <w:sz w:val="24"/>
              </w:rPr>
            </w:pPr>
            <w:r>
              <w:rPr>
                <w:rFonts w:hint="eastAsia" w:ascii="宋体" w:hAnsi="宋体" w:cs="宋体"/>
                <w:sz w:val="24"/>
              </w:rPr>
              <w:t xml:space="preserve">朝天粮库拆除花台、堡坎、硬化地坪及其附属配套设施。羊木粮库道路维修处理、文昌路仓库屋顶维修、墙面翻新、硬化院坝，新做花台、堡坎、维修大门、院内绿化等及其附属工程。    </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年度绩效指</w:t>
            </w:r>
          </w:p>
          <w:p>
            <w:pPr>
              <w:widowControl/>
              <w:spacing w:line="320" w:lineRule="exact"/>
              <w:ind w:left="0" w:leftChars="0" w:right="0" w:rightChars="0" w:firstLine="0" w:firstLineChars="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4"/>
                <w:szCs w:val="24"/>
              </w:rPr>
              <w:t>完成情况</w:t>
            </w:r>
          </w:p>
        </w:tc>
        <w:tc>
          <w:tcPr>
            <w:tcW w:w="135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一级指标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二级指标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三级指标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全年预期指标值                        </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全年实际完成指标值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完成指标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朝天粮库、羊木粮库、文昌路粮库</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朝天粮库、羊木粮库、文昌路粮库项目预算40万元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val="en-US" w:eastAsia="zh-CN"/>
              </w:rPr>
            </w:pPr>
            <w:r>
              <w:rPr>
                <w:rFonts w:hint="eastAsia" w:ascii="宋体" w:hAnsi="宋体" w:cs="宋体"/>
                <w:color w:val="000000"/>
                <w:sz w:val="18"/>
                <w:szCs w:val="18"/>
                <w:lang w:val="en-US" w:eastAsia="zh-CN"/>
              </w:rPr>
              <w:t>已支付工程款15万元</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工程施工监理</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符合标准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符合标准</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朝天粮库、羊木粮库、文昌路粮库项目竣工时间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kern w:val="0"/>
                <w:sz w:val="18"/>
                <w:szCs w:val="18"/>
                <w:lang w:val="en-US" w:eastAsia="zh-CN"/>
              </w:rPr>
              <w:t>2021年11月30日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2021年11月30日</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完成成本</w:t>
            </w: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万元</w:t>
            </w:r>
          </w:p>
        </w:tc>
        <w:tc>
          <w:tcPr>
            <w:tcW w:w="17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万元</w:t>
            </w:r>
          </w:p>
        </w:tc>
      </w:tr>
      <w:tr>
        <w:tblPrEx>
          <w:tblCellMar>
            <w:top w:w="0" w:type="dxa"/>
            <w:left w:w="108" w:type="dxa"/>
            <w:bottom w:w="0" w:type="dxa"/>
            <w:right w:w="108" w:type="dxa"/>
          </w:tblCellMar>
        </w:tblPrEx>
        <w:trPr>
          <w:trHeight w:val="231"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效益指标</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  指标</w:t>
            </w:r>
          </w:p>
        </w:tc>
        <w:tc>
          <w:tcPr>
            <w:tcW w:w="14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保障粮库储粮安全</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kern w:val="0"/>
                <w:sz w:val="18"/>
                <w:szCs w:val="18"/>
              </w:rPr>
              <w:t>满足全区灾后粮食应急供应，保障正常生产、生活秩序，确保社会稳定。</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朝天粮库储粮（小麦1000吨，稻谷1000吨）羊木粮库储粮（小包装大米200吨，菜籽油40吨）</w:t>
            </w:r>
          </w:p>
        </w:tc>
      </w:tr>
      <w:tr>
        <w:tblPrEx>
          <w:tblCellMar>
            <w:top w:w="0" w:type="dxa"/>
            <w:left w:w="108" w:type="dxa"/>
            <w:bottom w:w="0" w:type="dxa"/>
            <w:right w:w="108" w:type="dxa"/>
          </w:tblCellMar>
        </w:tblPrEx>
        <w:trPr>
          <w:trHeight w:val="231"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kern w:val="0"/>
                <w:sz w:val="24"/>
                <w:szCs w:val="24"/>
              </w:rPr>
            </w:pP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kern w:val="0"/>
                <w:sz w:val="24"/>
                <w:szCs w:val="24"/>
              </w:rPr>
            </w:pPr>
          </w:p>
        </w:tc>
        <w:tc>
          <w:tcPr>
            <w:tcW w:w="14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kern w:val="2"/>
                <w:sz w:val="18"/>
                <w:szCs w:val="18"/>
                <w:lang w:val="en-US" w:eastAsia="zh-CN" w:bidi="ar-SA"/>
              </w:rPr>
            </w:pPr>
            <w:r>
              <w:rPr>
                <w:rFonts w:hint="eastAsia" w:ascii="宋体" w:hAnsi="宋体" w:cs="宋体"/>
                <w:color w:val="000000"/>
                <w:sz w:val="18"/>
                <w:szCs w:val="18"/>
                <w:lang w:eastAsia="zh-CN"/>
              </w:rPr>
              <w:t>保障粮库储粮安全</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kern w:val="0"/>
                <w:sz w:val="18"/>
                <w:szCs w:val="18"/>
              </w:rPr>
              <w:t>满足全区灾后粮食应急供应，保障正常生产、生活秩序，确保社会稳定。</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kern w:val="0"/>
                <w:sz w:val="18"/>
                <w:szCs w:val="18"/>
                <w:lang w:val="en-US" w:eastAsia="zh-CN"/>
              </w:rPr>
              <w:t>100%</w:t>
            </w:r>
          </w:p>
        </w:tc>
      </w:tr>
      <w:tr>
        <w:tblPrEx>
          <w:tblCellMar>
            <w:top w:w="0" w:type="dxa"/>
            <w:left w:w="108" w:type="dxa"/>
            <w:bottom w:w="0" w:type="dxa"/>
            <w:right w:w="108" w:type="dxa"/>
          </w:tblCellMar>
        </w:tblPrEx>
        <w:trPr>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w:t>
            </w:r>
          </w:p>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度指标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 xml:space="preserve">项目受益人及周边群众对项目实施的满意程度 </w:t>
            </w:r>
          </w:p>
        </w:tc>
        <w:tc>
          <w:tcPr>
            <w:tcW w:w="17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满意度达到100%。</w:t>
            </w:r>
          </w:p>
        </w:tc>
        <w:tc>
          <w:tcPr>
            <w:tcW w:w="177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sz w:val="18"/>
                <w:szCs w:val="18"/>
                <w:lang w:val="en-US" w:eastAsia="zh-CN"/>
              </w:rPr>
              <w:t>100%</w:t>
            </w:r>
          </w:p>
        </w:tc>
      </w:tr>
    </w:tbl>
    <w:p>
      <w:pPr>
        <w:autoSpaceDE w:val="0"/>
        <w:spacing w:line="540" w:lineRule="exact"/>
        <w:jc w:val="left"/>
        <w:rPr>
          <w:rFonts w:ascii="方正大标宋简体" w:hAnsi="??" w:eastAsia="方正大标宋简体" w:cs="Times New Roman"/>
          <w:b/>
          <w:color w:val="000000"/>
          <w:spacing w:val="-6"/>
          <w:kern w:val="0"/>
          <w:sz w:val="24"/>
          <w:szCs w:val="24"/>
        </w:rPr>
      </w:pPr>
      <w:r>
        <w:rPr>
          <w:rFonts w:hint="eastAsia" w:ascii="方正大标宋简体" w:hAnsi="??" w:eastAsia="方正大标宋简体" w:cs="Times New Roman"/>
          <w:b/>
          <w:color w:val="000000"/>
          <w:spacing w:val="-6"/>
          <w:kern w:val="0"/>
          <w:sz w:val="24"/>
          <w:szCs w:val="24"/>
        </w:rPr>
        <w:t>附件</w:t>
      </w:r>
    </w:p>
    <w:p>
      <w:pPr>
        <w:autoSpaceDE w:val="0"/>
        <w:spacing w:line="540" w:lineRule="exact"/>
        <w:jc w:val="center"/>
        <w:rPr>
          <w:rFonts w:hint="eastAsia" w:ascii="宋体" w:hAnsi="Times New Roman" w:eastAsia="宋体" w:cs="Times New Roman"/>
          <w:spacing w:val="-6"/>
          <w:szCs w:val="21"/>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年部门预算项目支出绩效自评报告</w:t>
      </w: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2000吨地方储备粮保管费</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widowControl/>
        <w:spacing w:line="578" w:lineRule="exact"/>
        <w:ind w:firstLine="564" w:firstLineChars="188"/>
        <w:jc w:val="left"/>
        <w:rPr>
          <w:rFonts w:hint="eastAsia" w:ascii="仿宋_GB2312" w:cs="宋体"/>
          <w:kern w:val="0"/>
          <w:sz w:val="30"/>
          <w:szCs w:val="30"/>
          <w:lang w:val="en-US" w:eastAsia="zh-CN"/>
        </w:rPr>
      </w:pPr>
      <w:r>
        <w:rPr>
          <w:rFonts w:hint="eastAsia" w:ascii="仿宋_GB2312"/>
          <w:sz w:val="30"/>
          <w:szCs w:val="30"/>
          <w:lang w:eastAsia="zh-CN"/>
        </w:rPr>
        <w:t>区级粮食储备管理，保证数量真实，质量良好和储存安全，有效发挥区级储备粮在保障安全中的作用，维护粮食市场稳定。</w:t>
      </w:r>
      <w:r>
        <w:rPr>
          <w:rFonts w:hint="eastAsia" w:ascii="仿宋_GB2312"/>
          <w:sz w:val="30"/>
          <w:szCs w:val="30"/>
        </w:rPr>
        <w:t>结合我区实际，按照</w:t>
      </w:r>
      <w:r>
        <w:rPr>
          <w:rFonts w:hint="eastAsia" w:ascii="仿宋_GB2312"/>
          <w:sz w:val="30"/>
          <w:szCs w:val="30"/>
          <w:lang w:eastAsia="zh-CN"/>
        </w:rPr>
        <w:t>储备粮管理</w:t>
      </w:r>
      <w:r>
        <w:rPr>
          <w:rFonts w:hint="eastAsia" w:ascii="仿宋_GB2312"/>
          <w:sz w:val="30"/>
          <w:szCs w:val="30"/>
        </w:rPr>
        <w:t>相关要求，实施</w:t>
      </w:r>
      <w:r>
        <w:rPr>
          <w:rFonts w:hint="eastAsia" w:ascii="仿宋_GB2312"/>
          <w:sz w:val="30"/>
          <w:szCs w:val="30"/>
          <w:lang w:eastAsia="zh-CN"/>
        </w:rPr>
        <w:t>储备粮管理</w:t>
      </w:r>
      <w:r>
        <w:rPr>
          <w:rFonts w:hint="eastAsia" w:ascii="仿宋_GB2312" w:cs="宋体"/>
          <w:kern w:val="0"/>
          <w:sz w:val="30"/>
          <w:szCs w:val="30"/>
        </w:rPr>
        <w:t>项目。</w:t>
      </w:r>
      <w:r>
        <w:rPr>
          <w:rFonts w:hint="eastAsia" w:ascii="仿宋_GB2312" w:cs="宋体"/>
          <w:kern w:val="0"/>
          <w:sz w:val="30"/>
          <w:szCs w:val="30"/>
          <w:lang w:val="en-US" w:eastAsia="zh-CN"/>
        </w:rPr>
        <w:t xml:space="preserve"> </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（二）项目预算情况：</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地方储备粮保管费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（三）项目绩效目标：项目预期预算绩效目标和绩效指标设定情况，包括预期总目标及阶段性目标，衡量绩效目标实现程度的评价指标、标准等。</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eastAsia="zh-CN"/>
        </w:rPr>
        <w:t>地方储备粮保管费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autoSpaceDE w:val="0"/>
        <w:spacing w:line="540" w:lineRule="exact"/>
        <w:ind w:firstLine="616" w:firstLineChars="200"/>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年全年支出</w:t>
      </w:r>
      <w:r>
        <w:rPr>
          <w:rFonts w:hint="eastAsia" w:ascii="仿宋_GB2312" w:hAnsi="仿宋_GB2312" w:eastAsia="仿宋_GB2312" w:cs="仿宋_GB2312"/>
          <w:sz w:val="32"/>
          <w:szCs w:val="32"/>
          <w:lang w:eastAsia="zh-CN"/>
        </w:rPr>
        <w:t>地方储备粮保管费</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万元，结余</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lang w:val="zh-CN"/>
        </w:rPr>
        <w:t xml:space="preserve">主要用于储备粮二次运输费、装卸费及保管员工资、熏蒸杀虫药品、日常管理费、机械设施维护保养费等。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1.依法设立会计机构，分设了出纳。</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2.内部管理制度。内部财务管理制度健全，主要建立了《货币资金管理制度》、《岗位责任书》、《财务费用审批制度》、《会计档案管理制度》、《资产管理制度》等。</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说明项目组织管理架构及具体实施流程，主要包括机构设置、监管措施、执行相关管理制度（如招投标、政府采购、项目公示等）相关情况，其中：基建项目还应介绍基本建设程序执行情况，并对相关问题进行说明。</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00" w:firstLineChars="200"/>
        <w:rPr>
          <w:rFonts w:hint="eastAsia" w:ascii="仿宋_GB2312"/>
          <w:sz w:val="30"/>
          <w:szCs w:val="30"/>
        </w:rPr>
      </w:pPr>
      <w:r>
        <w:rPr>
          <w:rFonts w:hint="eastAsia" w:ascii="仿宋_GB2312"/>
          <w:sz w:val="30"/>
          <w:szCs w:val="30"/>
        </w:rPr>
        <w:t>我区成立了项目工作领导小组，区粮食</w:t>
      </w:r>
      <w:r>
        <w:rPr>
          <w:rFonts w:hint="eastAsia" w:ascii="仿宋_GB2312"/>
          <w:sz w:val="30"/>
          <w:szCs w:val="30"/>
          <w:lang w:val="en-US" w:eastAsia="zh-CN"/>
        </w:rPr>
        <w:t>和物资储备中心</w:t>
      </w:r>
      <w:r>
        <w:rPr>
          <w:rFonts w:hint="eastAsia" w:ascii="仿宋_GB2312"/>
          <w:sz w:val="30"/>
          <w:szCs w:val="30"/>
        </w:rPr>
        <w:t>成立了项目实施工作领导小组，对项目进行监管和指导，项目严格按照程序操作，实行政府公开招标，施工过程中严格按照质量要求进行，项目组织管理有序、实施规范、建设顺利。</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djustRightInd w:val="0"/>
        <w:snapToGrid w:val="0"/>
        <w:spacing w:line="580" w:lineRule="exact"/>
        <w:ind w:firstLine="720"/>
        <w:rPr>
          <w:rFonts w:ascii="仿宋_GB2312" w:hAnsi="宋体"/>
          <w:sz w:val="30"/>
          <w:szCs w:val="30"/>
          <w:lang w:val="zh-CN"/>
        </w:rPr>
      </w:pPr>
      <w:r>
        <w:rPr>
          <w:rFonts w:hint="eastAsia" w:ascii="仿宋_GB2312" w:hAnsi="宋体"/>
          <w:sz w:val="30"/>
          <w:szCs w:val="30"/>
          <w:lang w:val="zh-CN"/>
        </w:rPr>
        <w:t>从项目经济效益、社会效益、生态效益、可持续效益、公平性以及服务对象满意度等方面对项目效益进行全面分析评价。</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Times New Roman" w:eastAsia="仿宋_GB2312" w:cs="Times New Roman"/>
          <w:color w:val="000000"/>
          <w:kern w:val="0"/>
          <w:sz w:val="32"/>
          <w:szCs w:val="32"/>
          <w:shd w:val="clear" w:color="auto" w:fill="FFFFFF"/>
          <w:lang w:val="en-US" w:eastAsia="zh-CN" w:bidi="ar-SA"/>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color w:val="000000"/>
          <w:kern w:val="0"/>
          <w:sz w:val="32"/>
          <w:szCs w:val="32"/>
          <w:shd w:val="clear" w:color="auto" w:fill="FFFFFF"/>
          <w:lang w:val="en-US" w:eastAsia="zh-CN" w:bidi="ar-SA"/>
        </w:rPr>
        <w:t>财政管理还不够规范，财经纪律还有待进一步加强。</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仿宋_GB2312" w:cs="黑体"/>
          <w:lang w:val="en-US" w:eastAsia="zh-CN"/>
        </w:rPr>
      </w:pPr>
      <w:r>
        <w:rPr>
          <w:rFonts w:hint="eastAsia" w:ascii="楷体_GB2312" w:hAnsi="Times New Roman" w:eastAsia="楷体_GB2312" w:cs="Times New Roman"/>
          <w:bCs/>
          <w:spacing w:val="-6"/>
          <w:sz w:val="32"/>
          <w:szCs w:val="32"/>
        </w:rPr>
        <w:t>（二）相关建议。</w:t>
      </w:r>
      <w:r>
        <w:rPr>
          <w:rFonts w:hint="eastAsia" w:ascii="仿宋_GB2312" w:hAnsi="仿宋" w:eastAsia="仿宋_GB2312" w:cs="Calibri"/>
          <w:color w:val="auto"/>
          <w:kern w:val="2"/>
          <w:sz w:val="32"/>
          <w:szCs w:val="32"/>
          <w:lang w:val="en-US" w:eastAsia="zh-TW" w:bidi="ar-SA"/>
        </w:rPr>
        <w:t>提高舆论引导水平，壮大工作队伍，扩大对外</w:t>
      </w:r>
      <w:r>
        <w:rPr>
          <w:rFonts w:hint="eastAsia" w:ascii="仿宋_GB2312" w:hAnsi="仿宋" w:eastAsia="仿宋_GB2312" w:cs="Calibri"/>
          <w:color w:val="auto"/>
          <w:kern w:val="2"/>
          <w:sz w:val="32"/>
          <w:szCs w:val="32"/>
          <w:lang w:val="en-US" w:eastAsia="zh-CN" w:bidi="ar-SA"/>
        </w:rPr>
        <w:t>宣传</w:t>
      </w:r>
      <w:r>
        <w:rPr>
          <w:rFonts w:hint="eastAsia" w:ascii="仿宋_GB2312" w:hAnsi="仿宋" w:eastAsia="仿宋_GB2312" w:cs="Calibri"/>
          <w:color w:val="auto"/>
          <w:kern w:val="2"/>
          <w:sz w:val="32"/>
          <w:szCs w:val="32"/>
          <w:lang w:val="en-US" w:eastAsia="zh-TW" w:bidi="ar-SA"/>
        </w:rPr>
        <w:t>力度，拓宽舆情收集渠道和化解途径，努力在理论武装、舆论引导等意识形态工作方面取得新进展</w:t>
      </w:r>
      <w:r>
        <w:rPr>
          <w:rFonts w:hint="eastAsia" w:ascii="仿宋_GB2312" w:hAnsi="仿宋" w:cs="Calibri"/>
          <w:color w:val="auto"/>
          <w:kern w:val="2"/>
          <w:sz w:val="32"/>
          <w:szCs w:val="32"/>
          <w:lang w:val="en-US" w:eastAsia="zh-CN" w:bidi="ar-SA"/>
        </w:rPr>
        <w:t>。</w:t>
      </w: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p>
    <w:p>
      <w:pPr>
        <w:pStyle w:val="2"/>
        <w:ind w:left="0" w:leftChars="0" w:firstLine="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附表</w:t>
      </w:r>
    </w:p>
    <w:tbl>
      <w:tblPr>
        <w:tblStyle w:val="15"/>
        <w:tblpPr w:leftFromText="180" w:rightFromText="180" w:vertAnchor="text" w:horzAnchor="page" w:tblpX="1200" w:tblpY="1029"/>
        <w:tblOverlap w:val="never"/>
        <w:tblW w:w="9731" w:type="dxa"/>
        <w:jc w:val="center"/>
        <w:tblLayout w:type="fixed"/>
        <w:tblCellMar>
          <w:top w:w="0" w:type="dxa"/>
          <w:left w:w="108" w:type="dxa"/>
          <w:bottom w:w="0" w:type="dxa"/>
          <w:right w:w="108" w:type="dxa"/>
        </w:tblCellMar>
      </w:tblPr>
      <w:tblGrid>
        <w:gridCol w:w="1976"/>
        <w:gridCol w:w="1358"/>
        <w:gridCol w:w="1419"/>
        <w:gridCol w:w="1491"/>
        <w:gridCol w:w="1780"/>
        <w:gridCol w:w="1707"/>
      </w:tblGrid>
      <w:tr>
        <w:trPr>
          <w:trHeight w:val="465" w:hRule="atLeast"/>
          <w:jc w:val="center"/>
        </w:trPr>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主管部门及代码</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627601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实施单位</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20" w:lineRule="exact"/>
              <w:ind w:left="0" w:leftChars="0" w:right="0" w:rightChars="0" w:firstLine="0" w:firstLineChars="0"/>
              <w:jc w:val="left"/>
              <w:textAlignment w:val="center"/>
              <w:rPr>
                <w:rFonts w:ascii="宋体" w:hAnsi="宋体" w:cs="宋体"/>
                <w:sz w:val="24"/>
              </w:rPr>
            </w:pPr>
            <w:r>
              <w:rPr>
                <w:rFonts w:ascii="宋体" w:hAnsi="宋体" w:cs="宋体"/>
                <w:sz w:val="24"/>
              </w:rPr>
              <w:t>朝天区</w:t>
            </w:r>
            <w:r>
              <w:rPr>
                <w:rFonts w:hint="eastAsia" w:ascii="宋体" w:hAnsi="宋体" w:cs="宋体"/>
                <w:sz w:val="24"/>
                <w:lang w:val="en-US" w:eastAsia="zh-CN"/>
              </w:rPr>
              <w:t>粮食和物资储备中心</w:t>
            </w:r>
          </w:p>
        </w:tc>
      </w:tr>
      <w:tr>
        <w:tblPrEx>
          <w:tblCellMar>
            <w:top w:w="0" w:type="dxa"/>
            <w:left w:w="108" w:type="dxa"/>
            <w:bottom w:w="0" w:type="dxa"/>
            <w:right w:w="108" w:type="dxa"/>
          </w:tblCellMar>
        </w:tblPrEx>
        <w:trPr>
          <w:trHeight w:val="341" w:hRule="atLeast"/>
          <w:jc w:val="center"/>
        </w:trPr>
        <w:tc>
          <w:tcPr>
            <w:tcW w:w="3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（万元）</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预算数：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执行数：</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15</w:t>
            </w:r>
          </w:p>
        </w:tc>
      </w:tr>
      <w:tr>
        <w:tblPrEx>
          <w:tblCellMar>
            <w:top w:w="0" w:type="dxa"/>
            <w:left w:w="108" w:type="dxa"/>
            <w:bottom w:w="0" w:type="dxa"/>
            <w:right w:w="108" w:type="dxa"/>
          </w:tblCellMar>
        </w:tblPrEx>
        <w:trPr>
          <w:trHeight w:val="555" w:hRule="atLeast"/>
          <w:jc w:val="center"/>
        </w:trPr>
        <w:tc>
          <w:tcPr>
            <w:tcW w:w="3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宋体" w:hAnsi="宋体" w:cs="宋体"/>
                <w:kern w:val="0"/>
                <w:sz w:val="24"/>
              </w:rPr>
            </w:pPr>
            <w:r>
              <w:rPr>
                <w:rFonts w:hint="eastAsia" w:ascii="宋体" w:hAnsi="宋体" w:cs="宋体"/>
                <w:kern w:val="0"/>
                <w:sz w:val="24"/>
              </w:rPr>
              <w:t>其中：</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财政拨款</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kern w:val="0"/>
                <w:sz w:val="24"/>
              </w:rPr>
            </w:pPr>
            <w:r>
              <w:rPr>
                <w:rFonts w:hint="eastAsia" w:ascii="宋体" w:hAnsi="宋体" w:cs="宋体"/>
                <w:kern w:val="0"/>
                <w:sz w:val="24"/>
              </w:rPr>
              <w:t>其中：</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财政拨款</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default" w:ascii="宋体" w:hAnsi="宋体" w:eastAsia="仿宋_GB2312" w:cs="宋体"/>
                <w:sz w:val="24"/>
                <w:lang w:val="en-US" w:eastAsia="zh-CN"/>
              </w:rPr>
            </w:pPr>
            <w:r>
              <w:rPr>
                <w:rFonts w:hint="eastAsia" w:ascii="宋体" w:hAnsi="宋体" w:cs="宋体"/>
                <w:sz w:val="24"/>
                <w:lang w:val="en-US" w:eastAsia="zh-CN"/>
              </w:rPr>
              <w:t>15</w:t>
            </w:r>
          </w:p>
        </w:tc>
      </w:tr>
      <w:tr>
        <w:tblPrEx>
          <w:tblCellMar>
            <w:top w:w="0" w:type="dxa"/>
            <w:left w:w="108" w:type="dxa"/>
            <w:bottom w:w="0" w:type="dxa"/>
            <w:right w:w="108" w:type="dxa"/>
          </w:tblCellMar>
        </w:tblPrEx>
        <w:trPr>
          <w:trHeight w:val="341" w:hRule="atLeast"/>
          <w:jc w:val="center"/>
        </w:trPr>
        <w:tc>
          <w:tcPr>
            <w:tcW w:w="3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其他资金</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其他资金</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宋体" w:hAnsi="宋体" w:cs="宋体"/>
                <w:kern w:val="0"/>
                <w:sz w:val="24"/>
              </w:rPr>
            </w:pPr>
            <w:r>
              <w:rPr>
                <w:rFonts w:hint="eastAsia" w:ascii="宋体" w:hAnsi="宋体" w:cs="宋体"/>
                <w:kern w:val="0"/>
                <w:sz w:val="24"/>
              </w:rPr>
              <w:t>年度总体目标</w:t>
            </w:r>
          </w:p>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完成情况</w:t>
            </w: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预期目标</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宋体" w:hAnsi="宋体" w:cs="宋体"/>
                <w:sz w:val="24"/>
              </w:rPr>
            </w:pP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top"/>
              <w:rPr>
                <w:rFonts w:ascii="宋体" w:hAnsi="宋体" w:cs="宋体"/>
                <w:sz w:val="24"/>
              </w:rPr>
            </w:pPr>
            <w:r>
              <w:rPr>
                <w:rFonts w:hint="eastAsia" w:ascii="宋体" w:hAnsi="宋体" w:cs="宋体"/>
                <w:sz w:val="24"/>
              </w:rPr>
              <w:t>朝天区地方储备粮2000吨（1000吨小麦、1000吨稻谷），粮食储备保管，保证数量真实，质量良好和储存安全，有效发挥区级储备粮在保障安全中的作用，维护粮食市场稳定。2021年12月底完成地方储备粮保管工作。</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top"/>
              <w:rPr>
                <w:rFonts w:ascii="宋体" w:hAnsi="宋体" w:cs="宋体"/>
                <w:sz w:val="24"/>
              </w:rPr>
            </w:pPr>
            <w:r>
              <w:rPr>
                <w:rFonts w:hint="eastAsia" w:ascii="宋体" w:hAnsi="宋体" w:cs="宋体"/>
                <w:sz w:val="24"/>
              </w:rPr>
              <w:t xml:space="preserve">朝天粮库拆除花台、堡坎、硬化地坪及其附属配套设施。羊木粮库道路维修处理、文昌路仓库屋顶维修、墙面翻新、硬化院坝，新做花台、堡坎、维修大门、院内绿化等及其附属工程。    </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年度绩效指</w:t>
            </w:r>
          </w:p>
          <w:p>
            <w:pPr>
              <w:widowControl/>
              <w:spacing w:line="320" w:lineRule="exact"/>
              <w:ind w:left="0" w:leftChars="0" w:right="0" w:rightChars="0" w:firstLine="0" w:firstLineChars="0"/>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4"/>
                <w:szCs w:val="24"/>
              </w:rPr>
              <w:t>完成情况</w:t>
            </w:r>
          </w:p>
        </w:tc>
        <w:tc>
          <w:tcPr>
            <w:tcW w:w="135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一级指标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二级指标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三级指标</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全年预期指标值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全年实际完成指标值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完成指标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数量指标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稻谷1000吨、小麦1000吨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稻谷、小麦保管标准100元/吨</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val="en-US" w:eastAsia="zh-CN"/>
              </w:rPr>
            </w:pPr>
            <w:r>
              <w:rPr>
                <w:rFonts w:hint="eastAsia" w:ascii="宋体" w:hAnsi="宋体" w:cs="宋体"/>
                <w:color w:val="000000"/>
                <w:sz w:val="18"/>
                <w:szCs w:val="18"/>
                <w:lang w:val="en-US" w:eastAsia="zh-CN"/>
              </w:rPr>
              <w:t>已支付保管费15万元</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质量指标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粮食储存期限</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6"/>
                <w:szCs w:val="16"/>
              </w:rPr>
            </w:pPr>
            <w:r>
              <w:rPr>
                <w:rFonts w:hint="eastAsia" w:ascii="宋体" w:hAnsi="宋体" w:cs="宋体"/>
                <w:color w:val="000000"/>
                <w:kern w:val="0"/>
                <w:sz w:val="18"/>
                <w:szCs w:val="18"/>
              </w:rPr>
              <w:t>地方储备粮保管期限为3年</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6"/>
                <w:szCs w:val="16"/>
              </w:rPr>
            </w:pPr>
            <w:r>
              <w:rPr>
                <w:rFonts w:hint="eastAsia" w:ascii="宋体" w:hAnsi="宋体" w:cs="宋体"/>
                <w:color w:val="000000"/>
                <w:kern w:val="0"/>
                <w:sz w:val="16"/>
                <w:szCs w:val="16"/>
              </w:rPr>
              <w:t>质量合格率打到100%，储存品质率打到95%以上。</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时效指标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地方储备粮保管期3年，每3年轮换一次。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kern w:val="0"/>
                <w:sz w:val="18"/>
                <w:szCs w:val="18"/>
                <w:lang w:val="en-US" w:eastAsia="zh-CN"/>
              </w:rPr>
              <w:t>1、每3年轮换一次。            2、每两月检查一次。</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2021年12月31日</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4"/>
                <w:szCs w:val="24"/>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成本指标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地方储备粮保管费</w:t>
            </w:r>
          </w:p>
        </w:tc>
        <w:tc>
          <w:tcPr>
            <w:tcW w:w="1780" w:type="dxa"/>
            <w:tcBorders>
              <w:top w:val="single" w:color="000000" w:sz="4" w:space="0"/>
              <w:left w:val="single" w:color="000000" w:sz="4" w:space="0"/>
              <w:bottom w:val="single" w:color="auto" w:sz="4" w:space="0"/>
              <w:right w:val="single" w:color="000000" w:sz="4" w:space="0"/>
            </w:tcBorders>
            <w:shd w:val="clear" w:color="auto" w:fill="auto"/>
            <w:vAlign w:val="top"/>
          </w:tcPr>
          <w:p>
            <w:pPr>
              <w:widowControl/>
              <w:spacing w:line="240" w:lineRule="exact"/>
              <w:ind w:left="0" w:leftChars="0" w:right="0" w:rightChars="0" w:firstLine="0" w:firstLineChars="0"/>
              <w:jc w:val="left"/>
              <w:textAlignment w:val="center"/>
              <w:rPr>
                <w:rFonts w:ascii="宋体" w:hAnsi="宋体" w:cs="宋体"/>
                <w:color w:val="000000"/>
                <w:sz w:val="18"/>
                <w:szCs w:val="18"/>
              </w:rPr>
            </w:pPr>
            <w:r>
              <w:rPr>
                <w:rFonts w:hint="eastAsia" w:ascii="宋体" w:hAnsi="宋体" w:cs="宋体"/>
                <w:color w:val="000000"/>
                <w:kern w:val="0"/>
                <w:sz w:val="18"/>
                <w:szCs w:val="18"/>
              </w:rPr>
              <w:t>二次运输、装卸及保管、熏蒸杀虫药品、日常管理、机械设施维护保养等</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粮食市场及监管执法。</w:t>
            </w:r>
          </w:p>
        </w:tc>
        <w:tc>
          <w:tcPr>
            <w:tcW w:w="17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 xml:space="preserve"> 2021年12月31日前完成</w:t>
            </w:r>
          </w:p>
        </w:tc>
      </w:tr>
      <w:tr>
        <w:tblPrEx>
          <w:tblCellMar>
            <w:top w:w="0" w:type="dxa"/>
            <w:left w:w="108" w:type="dxa"/>
            <w:bottom w:w="0" w:type="dxa"/>
            <w:right w:w="108" w:type="dxa"/>
          </w:tblCellMar>
        </w:tblPrEx>
        <w:trPr>
          <w:trHeight w:val="231"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效益指标</w:t>
            </w:r>
          </w:p>
        </w:tc>
        <w:tc>
          <w:tcPr>
            <w:tcW w:w="141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社会效益  指标</w:t>
            </w:r>
          </w:p>
        </w:tc>
        <w:tc>
          <w:tcPr>
            <w:tcW w:w="14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通过粮食储备保障突发灾害发生供应</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kern w:val="0"/>
                <w:sz w:val="18"/>
                <w:szCs w:val="18"/>
              </w:rPr>
              <w:t>满足全区灾后粮食应急供应，保障正常生产、生活秩序，确保社会稳定。</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2021年12月31日前完成</w:t>
            </w:r>
          </w:p>
        </w:tc>
      </w:tr>
      <w:tr>
        <w:tblPrEx>
          <w:tblCellMar>
            <w:top w:w="0" w:type="dxa"/>
            <w:left w:w="108" w:type="dxa"/>
            <w:bottom w:w="0" w:type="dxa"/>
            <w:right w:w="108" w:type="dxa"/>
          </w:tblCellMar>
        </w:tblPrEx>
        <w:trPr>
          <w:trHeight w:val="231" w:hRule="atLeast"/>
          <w:jc w:val="center"/>
        </w:trPr>
        <w:tc>
          <w:tcPr>
            <w:tcW w:w="1976" w:type="dxa"/>
            <w:vMerge w:val="continue"/>
            <w:tcBorders>
              <w:left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kern w:val="0"/>
                <w:sz w:val="24"/>
                <w:szCs w:val="24"/>
              </w:rPr>
            </w:pPr>
          </w:p>
        </w:tc>
        <w:tc>
          <w:tcPr>
            <w:tcW w:w="141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ascii="仿宋_GB2312" w:hAnsi="仿宋_GB2312" w:eastAsia="仿宋_GB2312" w:cs="仿宋_GB2312"/>
                <w:kern w:val="0"/>
                <w:sz w:val="24"/>
                <w:szCs w:val="24"/>
              </w:rPr>
            </w:pPr>
          </w:p>
        </w:tc>
        <w:tc>
          <w:tcPr>
            <w:tcW w:w="149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kern w:val="2"/>
                <w:sz w:val="18"/>
                <w:szCs w:val="18"/>
                <w:lang w:val="en-US" w:eastAsia="zh-CN" w:bidi="ar-SA"/>
              </w:rPr>
            </w:pPr>
            <w:r>
              <w:rPr>
                <w:rFonts w:hint="eastAsia" w:ascii="宋体" w:hAnsi="宋体" w:cs="宋体"/>
                <w:color w:val="000000"/>
                <w:sz w:val="18"/>
                <w:szCs w:val="18"/>
                <w:lang w:eastAsia="zh-CN"/>
              </w:rPr>
              <w:t>保障粮库储粮安全</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kern w:val="0"/>
                <w:sz w:val="18"/>
                <w:szCs w:val="18"/>
              </w:rPr>
              <w:t>满足全区灾后粮食应急供应，保障正常生产、生活秩序，确保社会稳定。</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kern w:val="0"/>
                <w:sz w:val="18"/>
                <w:szCs w:val="18"/>
                <w:lang w:val="en-US" w:eastAsia="zh-CN"/>
              </w:rPr>
              <w:t>100%</w:t>
            </w:r>
          </w:p>
        </w:tc>
      </w:tr>
      <w:tr>
        <w:tblPrEx>
          <w:tblCellMar>
            <w:top w:w="0" w:type="dxa"/>
            <w:left w:w="108" w:type="dxa"/>
            <w:bottom w:w="0" w:type="dxa"/>
            <w:right w:w="108" w:type="dxa"/>
          </w:tblCellMar>
        </w:tblPrEx>
        <w:trPr>
          <w:trHeight w:val="530" w:hRule="atLeast"/>
          <w:jc w:val="center"/>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ind w:left="0" w:leftChars="0" w:right="0" w:rightChars="0" w:firstLine="0" w:firstLineChars="0"/>
              <w:jc w:val="center"/>
              <w:rPr>
                <w:rFonts w:ascii="仿宋_GB2312" w:hAnsi="仿宋_GB2312" w:eastAsia="仿宋_GB2312" w:cs="仿宋_GB2312"/>
                <w:sz w:val="28"/>
                <w:szCs w:val="28"/>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w:t>
            </w:r>
          </w:p>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度指标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0" w:leftChars="0" w:right="0" w:rightChars="0" w:firstLine="0" w:firstLineChars="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满意度</w:t>
            </w:r>
          </w:p>
          <w:p>
            <w:pPr>
              <w:widowControl/>
              <w:spacing w:line="320" w:lineRule="exact"/>
              <w:ind w:left="0" w:leftChars="0" w:right="0" w:rightChars="0" w:firstLine="0" w:firstLineChars="0"/>
              <w:jc w:val="center"/>
              <w:textAlignment w:val="bottom"/>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指标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eastAsia" w:ascii="宋体" w:hAnsi="宋体" w:eastAsia="仿宋_GB2312" w:cs="宋体"/>
                <w:color w:val="000000"/>
                <w:sz w:val="18"/>
                <w:szCs w:val="18"/>
                <w:lang w:eastAsia="zh-CN"/>
              </w:rPr>
            </w:pPr>
            <w:r>
              <w:rPr>
                <w:rFonts w:hint="eastAsia" w:ascii="宋体" w:hAnsi="宋体" w:cs="宋体"/>
                <w:color w:val="000000"/>
                <w:sz w:val="18"/>
                <w:szCs w:val="18"/>
                <w:lang w:eastAsia="zh-CN"/>
              </w:rPr>
              <w:t xml:space="preserve">项目受益人及周边群众对项目实施的满意程度 </w:t>
            </w:r>
          </w:p>
        </w:tc>
        <w:tc>
          <w:tcPr>
            <w:tcW w:w="17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满意度达到100%。</w:t>
            </w:r>
          </w:p>
        </w:tc>
        <w:tc>
          <w:tcPr>
            <w:tcW w:w="17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0" w:leftChars="0" w:right="0" w:rightChars="0" w:firstLine="0" w:firstLineChars="0"/>
              <w:jc w:val="center"/>
              <w:textAlignment w:val="center"/>
              <w:rPr>
                <w:rFonts w:hint="default" w:ascii="宋体" w:hAnsi="宋体" w:eastAsia="仿宋_GB2312" w:cs="宋体"/>
                <w:color w:val="000000"/>
                <w:sz w:val="18"/>
                <w:szCs w:val="18"/>
                <w:lang w:val="en-US" w:eastAsia="zh-CN"/>
              </w:rPr>
            </w:pPr>
            <w:r>
              <w:rPr>
                <w:rFonts w:hint="eastAsia" w:ascii="宋体" w:hAnsi="宋体" w:cs="宋体"/>
                <w:color w:val="000000"/>
                <w:sz w:val="18"/>
                <w:szCs w:val="18"/>
                <w:lang w:val="en-US" w:eastAsia="zh-CN"/>
              </w:rPr>
              <w:t>100%</w:t>
            </w:r>
          </w:p>
        </w:tc>
      </w:tr>
    </w:tbl>
    <w:p>
      <w:pPr>
        <w:pStyle w:val="2"/>
        <w:ind w:left="0" w:leftChars="0" w:right="0" w:rightChars="0" w:firstLine="0" w:firstLineChars="0"/>
        <w:jc w:val="center"/>
        <w:rPr>
          <w:rFonts w:hint="eastAsia" w:ascii="方正小标宋简体" w:hAnsi="方正小标宋简体" w:eastAsia="方正小标宋简体" w:cs="方正小标宋简体"/>
          <w:b w:val="0"/>
          <w:bCs/>
          <w:color w:val="auto"/>
          <w:sz w:val="44"/>
          <w:szCs w:val="44"/>
          <w:highlight w:val="none"/>
          <w:lang w:val="zh-CN"/>
        </w:rPr>
      </w:pPr>
      <w:r>
        <w:rPr>
          <w:rFonts w:hint="eastAsia" w:ascii="方正小标宋简体" w:hAnsi="方正小标宋简体" w:eastAsia="方正小标宋简体" w:cs="方正小标宋简体"/>
          <w:b w:val="0"/>
          <w:bCs/>
          <w:sz w:val="44"/>
          <w:szCs w:val="44"/>
        </w:rPr>
        <w:t>2021年部门预算项目绩效目标自评</w:t>
      </w:r>
    </w:p>
    <w:p>
      <w:pPr>
        <w:pStyle w:val="3"/>
        <w:bidi w:val="0"/>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rPr>
        <w:t xml:space="preserve">第五部分 </w:t>
      </w:r>
      <w:r>
        <w:rPr>
          <w:rFonts w:hint="eastAsia" w:ascii="黑体" w:hAnsi="黑体" w:eastAsia="黑体" w:cs="黑体"/>
          <w:lang w:val="en-US" w:eastAsia="zh-CN"/>
        </w:rPr>
        <w:t xml:space="preserve"> </w:t>
      </w:r>
      <w:r>
        <w:rPr>
          <w:rFonts w:hint="eastAsia" w:ascii="黑体" w:hAnsi="黑体" w:eastAsia="黑体" w:cs="黑体"/>
        </w:rPr>
        <w:t>附表</w:t>
      </w:r>
      <w:bookmarkEnd w:id="98"/>
    </w:p>
    <w:p>
      <w:pPr>
        <w:pStyle w:val="4"/>
        <w:bidi w:val="0"/>
        <w:ind w:left="0" w:leftChars="0" w:right="0" w:rightChars="0" w:firstLine="0" w:firstLineChars="0"/>
        <w:jc w:val="left"/>
        <w:rPr>
          <w:rFonts w:hint="eastAsia" w:ascii="黑体" w:hAnsi="黑体" w:eastAsia="黑体" w:cs="黑体"/>
          <w:b w:val="0"/>
          <w:bCs/>
          <w:sz w:val="32"/>
          <w:szCs w:val="32"/>
        </w:rPr>
      </w:pPr>
      <w:bookmarkStart w:id="100" w:name="_Toc6439"/>
    </w:p>
    <w:p>
      <w:pPr>
        <w:pStyle w:val="4"/>
        <w:bidi w:val="0"/>
        <w:ind w:left="0" w:leftChars="0" w:right="0" w:rightChars="0" w:firstLine="0" w:firstLineChars="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一、收入支出决算总表</w:t>
      </w:r>
      <w:bookmarkEnd w:id="100"/>
    </w:p>
    <w:p>
      <w:pPr>
        <w:pStyle w:val="4"/>
        <w:bidi w:val="0"/>
        <w:ind w:left="0" w:leftChars="0" w:right="0" w:rightChars="0" w:firstLine="0" w:firstLineChars="0"/>
        <w:jc w:val="left"/>
        <w:rPr>
          <w:rFonts w:hint="eastAsia" w:ascii="仿宋_GB2312" w:hAnsi="仿宋_GB2312" w:eastAsia="仿宋_GB2312" w:cs="仿宋_GB2312"/>
          <w:b w:val="0"/>
          <w:bCs/>
          <w:sz w:val="32"/>
          <w:szCs w:val="32"/>
        </w:rPr>
      </w:pPr>
      <w:bookmarkStart w:id="101" w:name="_Toc19183"/>
      <w:r>
        <w:rPr>
          <w:rFonts w:hint="eastAsia" w:ascii="仿宋_GB2312" w:hAnsi="仿宋_GB2312" w:eastAsia="仿宋_GB2312" w:cs="仿宋_GB2312"/>
          <w:b w:val="0"/>
          <w:bCs/>
          <w:sz w:val="32"/>
          <w:szCs w:val="32"/>
        </w:rPr>
        <w:t>二、收入决算表</w:t>
      </w:r>
      <w:bookmarkEnd w:id="101"/>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02" w:name="_Toc29513"/>
      <w:r>
        <w:rPr>
          <w:rFonts w:hint="eastAsia" w:ascii="仿宋_GB2312" w:hAnsi="仿宋_GB2312" w:eastAsia="仿宋_GB2312" w:cs="仿宋_GB2312"/>
          <w:b w:val="0"/>
          <w:bCs/>
          <w:sz w:val="32"/>
          <w:szCs w:val="32"/>
        </w:rPr>
        <w:t>三、支出决算表</w:t>
      </w:r>
      <w:bookmarkEnd w:id="102"/>
    </w:p>
    <w:p>
      <w:pPr>
        <w:pStyle w:val="4"/>
        <w:bidi w:val="0"/>
        <w:ind w:left="0" w:leftChars="0" w:right="0" w:rightChars="0" w:firstLine="0" w:firstLineChars="0"/>
        <w:jc w:val="left"/>
        <w:rPr>
          <w:rFonts w:hint="eastAsia" w:ascii="仿宋_GB2312" w:hAnsi="仿宋_GB2312" w:eastAsia="仿宋_GB2312" w:cs="仿宋_GB2312"/>
          <w:b w:val="0"/>
          <w:bCs/>
          <w:sz w:val="32"/>
          <w:szCs w:val="32"/>
        </w:rPr>
      </w:pPr>
      <w:bookmarkStart w:id="103" w:name="_Toc19035"/>
      <w:r>
        <w:rPr>
          <w:rFonts w:hint="eastAsia" w:ascii="仿宋_GB2312" w:hAnsi="仿宋_GB2312" w:eastAsia="仿宋_GB2312" w:cs="仿宋_GB2312"/>
          <w:b w:val="0"/>
          <w:bCs/>
          <w:sz w:val="32"/>
          <w:szCs w:val="32"/>
        </w:rPr>
        <w:t>四、财政拨款收入支出决算总表</w:t>
      </w:r>
      <w:bookmarkEnd w:id="103"/>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04" w:name="_Toc31033"/>
      <w:r>
        <w:rPr>
          <w:rFonts w:hint="eastAsia" w:ascii="仿宋_GB2312" w:hAnsi="仿宋_GB2312" w:eastAsia="仿宋_GB2312" w:cs="仿宋_GB2312"/>
          <w:b w:val="0"/>
          <w:bCs/>
          <w:sz w:val="32"/>
          <w:szCs w:val="32"/>
        </w:rPr>
        <w:t>五、财政拨款支出决算明细表</w:t>
      </w:r>
      <w:bookmarkEnd w:id="104"/>
    </w:p>
    <w:p>
      <w:pPr>
        <w:pStyle w:val="4"/>
        <w:bidi w:val="0"/>
        <w:ind w:left="0" w:leftChars="0" w:right="0" w:rightChars="0" w:firstLine="0" w:firstLineChars="0"/>
        <w:jc w:val="left"/>
        <w:rPr>
          <w:rFonts w:hint="eastAsia" w:ascii="仿宋_GB2312" w:hAnsi="仿宋_GB2312" w:eastAsia="仿宋_GB2312" w:cs="仿宋_GB2312"/>
          <w:b w:val="0"/>
          <w:bCs/>
          <w:sz w:val="32"/>
          <w:szCs w:val="32"/>
        </w:rPr>
      </w:pPr>
      <w:bookmarkStart w:id="105" w:name="_Toc8976"/>
      <w:r>
        <w:rPr>
          <w:rFonts w:hint="eastAsia" w:ascii="仿宋_GB2312" w:hAnsi="仿宋_GB2312" w:eastAsia="仿宋_GB2312" w:cs="仿宋_GB2312"/>
          <w:b w:val="0"/>
          <w:bCs/>
          <w:sz w:val="32"/>
          <w:szCs w:val="32"/>
        </w:rPr>
        <w:t>六、一般公共预算财政拨款支出决算表</w:t>
      </w:r>
      <w:bookmarkEnd w:id="105"/>
    </w:p>
    <w:p>
      <w:pPr>
        <w:pStyle w:val="4"/>
        <w:bidi w:val="0"/>
        <w:ind w:left="0" w:leftChars="0" w:firstLine="0" w:firstLineChars="0"/>
        <w:rPr>
          <w:rFonts w:hint="eastAsia" w:ascii="仿宋_GB2312" w:hAnsi="仿宋_GB2312" w:eastAsia="仿宋_GB2312" w:cs="仿宋_GB2312"/>
        </w:rPr>
      </w:pPr>
      <w:bookmarkStart w:id="106" w:name="_Toc20285"/>
      <w:r>
        <w:rPr>
          <w:rFonts w:hint="eastAsia" w:ascii="仿宋_GB2312" w:hAnsi="仿宋_GB2312" w:eastAsia="仿宋_GB2312" w:cs="仿宋_GB2312"/>
          <w:lang w:val="en-US" w:eastAsia="zh-CN"/>
        </w:rPr>
        <w:t>七、一般公共预算财政拨款支出决算明细表</w:t>
      </w:r>
    </w:p>
    <w:p>
      <w:pPr>
        <w:pStyle w:val="4"/>
        <w:bidi w:val="0"/>
        <w:ind w:left="0" w:leftChars="0" w:right="0" w:rightChars="0" w:firstLine="0" w:firstLineChars="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八、一般公共预算财政拨款基本支出决算表</w:t>
      </w:r>
      <w:bookmarkEnd w:id="106"/>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07" w:name="_Toc22619"/>
      <w:r>
        <w:rPr>
          <w:rFonts w:hint="eastAsia" w:ascii="仿宋_GB2312" w:hAnsi="仿宋_GB2312" w:eastAsia="仿宋_GB2312" w:cs="仿宋_GB2312"/>
          <w:b w:val="0"/>
          <w:bCs/>
          <w:sz w:val="32"/>
          <w:szCs w:val="32"/>
        </w:rPr>
        <w:t>九、一般公共预算财政拨款项目支出决算表</w:t>
      </w:r>
      <w:bookmarkEnd w:id="107"/>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08" w:name="_Toc7571"/>
      <w:r>
        <w:rPr>
          <w:rFonts w:hint="eastAsia" w:ascii="仿宋_GB2312" w:hAnsi="仿宋_GB2312" w:eastAsia="仿宋_GB2312" w:cs="仿宋_GB2312"/>
          <w:b w:val="0"/>
          <w:bCs/>
          <w:sz w:val="32"/>
          <w:szCs w:val="32"/>
        </w:rPr>
        <w:t>十、一般公共预算财政拨款“三公”经费支出决算表</w:t>
      </w:r>
      <w:bookmarkEnd w:id="108"/>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09" w:name="_Toc28448"/>
      <w:r>
        <w:rPr>
          <w:rFonts w:hint="eastAsia" w:ascii="仿宋_GB2312" w:hAnsi="仿宋_GB2312" w:eastAsia="仿宋_GB2312" w:cs="仿宋_GB2312"/>
          <w:b w:val="0"/>
          <w:bCs/>
          <w:sz w:val="32"/>
          <w:szCs w:val="32"/>
        </w:rPr>
        <w:t>十一、政府性基金预算财政拨款收入支出决算表</w:t>
      </w:r>
      <w:bookmarkEnd w:id="109"/>
    </w:p>
    <w:p>
      <w:pPr>
        <w:pStyle w:val="4"/>
        <w:bidi w:val="0"/>
        <w:ind w:left="0" w:leftChars="0" w:right="0" w:rightChars="0" w:firstLine="0" w:firstLineChars="0"/>
        <w:jc w:val="left"/>
        <w:rPr>
          <w:rFonts w:hint="eastAsia" w:ascii="仿宋_GB2312" w:hAnsi="仿宋_GB2312" w:eastAsia="仿宋_GB2312" w:cs="仿宋_GB2312"/>
          <w:b w:val="0"/>
          <w:bCs/>
          <w:color w:val="auto"/>
          <w:sz w:val="32"/>
          <w:szCs w:val="32"/>
          <w:highlight w:val="none"/>
        </w:rPr>
      </w:pPr>
      <w:bookmarkStart w:id="110" w:name="_Toc3597"/>
      <w:r>
        <w:rPr>
          <w:rFonts w:hint="eastAsia" w:ascii="仿宋_GB2312" w:hAnsi="仿宋_GB2312" w:eastAsia="仿宋_GB2312" w:cs="仿宋_GB2312"/>
          <w:b w:val="0"/>
          <w:bCs/>
          <w:sz w:val="32"/>
          <w:szCs w:val="32"/>
        </w:rPr>
        <w:t>十二、政府性基金预算财政拨款“三公”经费支出决算表</w:t>
      </w:r>
      <w:bookmarkEnd w:id="110"/>
    </w:p>
    <w:p>
      <w:pPr>
        <w:pStyle w:val="4"/>
        <w:bidi w:val="0"/>
        <w:ind w:left="0" w:leftChars="0" w:right="0" w:rightChars="0" w:firstLine="0" w:firstLineChars="0"/>
        <w:jc w:val="both"/>
        <w:rPr>
          <w:rFonts w:hint="eastAsia" w:ascii="仿宋_GB2312" w:hAnsi="仿宋_GB2312" w:eastAsia="仿宋_GB2312" w:cs="仿宋_GB2312"/>
          <w:b w:val="0"/>
          <w:bCs/>
          <w:color w:val="auto"/>
          <w:sz w:val="32"/>
          <w:szCs w:val="32"/>
          <w:highlight w:val="none"/>
          <w:lang w:eastAsia="zh-CN"/>
        </w:rPr>
      </w:pPr>
      <w:bookmarkStart w:id="111" w:name="_Toc20729"/>
      <w:r>
        <w:rPr>
          <w:rFonts w:hint="eastAsia" w:ascii="仿宋_GB2312" w:hAnsi="仿宋_GB2312" w:eastAsia="仿宋_GB2312" w:cs="仿宋_GB2312"/>
          <w:b w:val="0"/>
          <w:bCs/>
          <w:sz w:val="32"/>
          <w:szCs w:val="32"/>
        </w:rPr>
        <w:t>十三、国有资本经营预算</w:t>
      </w:r>
      <w:r>
        <w:rPr>
          <w:rFonts w:hint="eastAsia" w:ascii="仿宋_GB2312" w:hAnsi="仿宋_GB2312" w:eastAsia="仿宋_GB2312" w:cs="仿宋_GB2312"/>
          <w:b w:val="0"/>
          <w:bCs/>
          <w:sz w:val="32"/>
          <w:szCs w:val="32"/>
          <w:lang w:eastAsia="zh-CN"/>
        </w:rPr>
        <w:t>财政拨款收入</w:t>
      </w:r>
      <w:r>
        <w:rPr>
          <w:rFonts w:hint="eastAsia" w:ascii="仿宋_GB2312" w:hAnsi="仿宋_GB2312" w:eastAsia="仿宋_GB2312" w:cs="仿宋_GB2312"/>
          <w:b w:val="0"/>
          <w:bCs/>
          <w:sz w:val="32"/>
          <w:szCs w:val="32"/>
        </w:rPr>
        <w:t>支出决算表</w:t>
      </w:r>
      <w:bookmarkEnd w:id="111"/>
    </w:p>
    <w:p>
      <w:pPr>
        <w:pStyle w:val="4"/>
        <w:bidi w:val="0"/>
        <w:ind w:left="0" w:leftChars="0" w:right="0" w:rightChars="0" w:firstLine="0" w:firstLineChars="0"/>
        <w:jc w:val="both"/>
        <w:rPr>
          <w:rFonts w:hint="eastAsia" w:ascii="仿宋_GB2312" w:hAnsi="仿宋_GB2312" w:eastAsia="仿宋_GB2312" w:cs="仿宋_GB2312"/>
          <w:b w:val="0"/>
          <w:bCs/>
          <w:sz w:val="32"/>
          <w:szCs w:val="32"/>
          <w:lang w:eastAsia="zh-CN"/>
        </w:rPr>
      </w:pPr>
      <w:bookmarkStart w:id="112" w:name="_Toc22985"/>
      <w:r>
        <w:rPr>
          <w:rFonts w:hint="eastAsia" w:ascii="仿宋_GB2312" w:hAnsi="仿宋_GB2312" w:eastAsia="仿宋_GB2312" w:cs="仿宋_GB2312"/>
          <w:b w:val="0"/>
          <w:bCs/>
          <w:sz w:val="32"/>
          <w:szCs w:val="32"/>
          <w:lang w:eastAsia="zh-CN"/>
        </w:rPr>
        <w:t>十四、国有资本经营预算财政拨款支出决算表</w:t>
      </w:r>
      <w:bookmarkEnd w:id="97"/>
      <w:bookmarkEnd w:id="99"/>
      <w:bookmarkEnd w:id="112"/>
    </w:p>
    <w:sectPr>
      <w:footerReference r:id="rId9" w:type="first"/>
      <w:headerReference r:id="rId7" w:type="default"/>
      <w:footerReference r:id="rId8"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0" w:num="1"/>
      <w:titlePg/>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108"/>
        <w:tab w:val="clear" w:pos="4153"/>
      </w:tabs>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BDCDC"/>
    <w:multiLevelType w:val="singleLevel"/>
    <w:tmpl w:val="333BDCDC"/>
    <w:lvl w:ilvl="0" w:tentative="0">
      <w:start w:val="3"/>
      <w:numFmt w:val="chineseCounting"/>
      <w:suff w:val="nothing"/>
      <w:lvlText w:val="（%1）"/>
      <w:lvlJc w:val="left"/>
      <w:rPr>
        <w:rFonts w:hint="eastAsia"/>
      </w:rPr>
    </w:lvl>
  </w:abstractNum>
  <w:abstractNum w:abstractNumId="1">
    <w:nsid w:val="41315F46"/>
    <w:multiLevelType w:val="singleLevel"/>
    <w:tmpl w:val="41315F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22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zEwN2RkNjY4ZjM4Mjg0OGMzY2I3NzFjYTJiYT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2D7"/>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94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0BE0"/>
    <w:rsid w:val="02014773"/>
    <w:rsid w:val="021C29C7"/>
    <w:rsid w:val="02293D79"/>
    <w:rsid w:val="038D35D1"/>
    <w:rsid w:val="03A721C4"/>
    <w:rsid w:val="03E7777A"/>
    <w:rsid w:val="04784101"/>
    <w:rsid w:val="049E5B69"/>
    <w:rsid w:val="04B94ECB"/>
    <w:rsid w:val="04D70E27"/>
    <w:rsid w:val="05622E2C"/>
    <w:rsid w:val="05A85BFA"/>
    <w:rsid w:val="066E0107"/>
    <w:rsid w:val="067575AB"/>
    <w:rsid w:val="06BC2051"/>
    <w:rsid w:val="07340ADC"/>
    <w:rsid w:val="073F4A62"/>
    <w:rsid w:val="07996F6E"/>
    <w:rsid w:val="07D57174"/>
    <w:rsid w:val="07DB0C2F"/>
    <w:rsid w:val="08702488"/>
    <w:rsid w:val="08D14CB7"/>
    <w:rsid w:val="08E21B49"/>
    <w:rsid w:val="090078B2"/>
    <w:rsid w:val="093C07E0"/>
    <w:rsid w:val="095771C5"/>
    <w:rsid w:val="09595CA6"/>
    <w:rsid w:val="09A602B3"/>
    <w:rsid w:val="0A2032A3"/>
    <w:rsid w:val="0ACA7A9D"/>
    <w:rsid w:val="0BC419DA"/>
    <w:rsid w:val="0C53424B"/>
    <w:rsid w:val="0CD10852"/>
    <w:rsid w:val="0D142080"/>
    <w:rsid w:val="0DE10621"/>
    <w:rsid w:val="0DF73A01"/>
    <w:rsid w:val="0E3B2427"/>
    <w:rsid w:val="0E992CF7"/>
    <w:rsid w:val="0EB14CF1"/>
    <w:rsid w:val="0EC35C2E"/>
    <w:rsid w:val="0EFF5696"/>
    <w:rsid w:val="0F0F7410"/>
    <w:rsid w:val="0F895CEC"/>
    <w:rsid w:val="0FAB7138"/>
    <w:rsid w:val="0FB103FC"/>
    <w:rsid w:val="101860EC"/>
    <w:rsid w:val="10766615"/>
    <w:rsid w:val="10C055FF"/>
    <w:rsid w:val="112D550A"/>
    <w:rsid w:val="117C6E5A"/>
    <w:rsid w:val="118107EC"/>
    <w:rsid w:val="11AE4016"/>
    <w:rsid w:val="123077D7"/>
    <w:rsid w:val="12557610"/>
    <w:rsid w:val="12700CF2"/>
    <w:rsid w:val="12D1335A"/>
    <w:rsid w:val="12F37F05"/>
    <w:rsid w:val="137631C3"/>
    <w:rsid w:val="13897791"/>
    <w:rsid w:val="13D50BC4"/>
    <w:rsid w:val="148541EE"/>
    <w:rsid w:val="154C316C"/>
    <w:rsid w:val="15A4727D"/>
    <w:rsid w:val="15CD447E"/>
    <w:rsid w:val="1618304E"/>
    <w:rsid w:val="163C1EED"/>
    <w:rsid w:val="16622199"/>
    <w:rsid w:val="16685F04"/>
    <w:rsid w:val="16726912"/>
    <w:rsid w:val="16AA38B7"/>
    <w:rsid w:val="16B9240D"/>
    <w:rsid w:val="16BB723D"/>
    <w:rsid w:val="171E6442"/>
    <w:rsid w:val="17F30319"/>
    <w:rsid w:val="18333421"/>
    <w:rsid w:val="188E3A9B"/>
    <w:rsid w:val="18A46A59"/>
    <w:rsid w:val="18B52DD6"/>
    <w:rsid w:val="19076BF7"/>
    <w:rsid w:val="19434886"/>
    <w:rsid w:val="199926F8"/>
    <w:rsid w:val="19A2405A"/>
    <w:rsid w:val="1A361CF4"/>
    <w:rsid w:val="1A5F3E44"/>
    <w:rsid w:val="1A6F6304"/>
    <w:rsid w:val="1A785670"/>
    <w:rsid w:val="1B6D3662"/>
    <w:rsid w:val="1B917B2A"/>
    <w:rsid w:val="1B9E2247"/>
    <w:rsid w:val="1BE8440E"/>
    <w:rsid w:val="1C681A65"/>
    <w:rsid w:val="1D155CEE"/>
    <w:rsid w:val="1D8D60CF"/>
    <w:rsid w:val="1DA32AC2"/>
    <w:rsid w:val="1E430A8F"/>
    <w:rsid w:val="1ECD0317"/>
    <w:rsid w:val="1EF12684"/>
    <w:rsid w:val="1EF81C6E"/>
    <w:rsid w:val="1F0D396C"/>
    <w:rsid w:val="1F164995"/>
    <w:rsid w:val="1F8616A8"/>
    <w:rsid w:val="1F981479"/>
    <w:rsid w:val="1FA57990"/>
    <w:rsid w:val="1FC34680"/>
    <w:rsid w:val="20196340"/>
    <w:rsid w:val="20661098"/>
    <w:rsid w:val="207C6812"/>
    <w:rsid w:val="20C718F8"/>
    <w:rsid w:val="21321E93"/>
    <w:rsid w:val="215D400B"/>
    <w:rsid w:val="219746CE"/>
    <w:rsid w:val="21A2432F"/>
    <w:rsid w:val="2249551C"/>
    <w:rsid w:val="237A7F73"/>
    <w:rsid w:val="23860B96"/>
    <w:rsid w:val="23B05355"/>
    <w:rsid w:val="240371BF"/>
    <w:rsid w:val="24553EB9"/>
    <w:rsid w:val="24575689"/>
    <w:rsid w:val="24975E2A"/>
    <w:rsid w:val="25922D9E"/>
    <w:rsid w:val="25A733C4"/>
    <w:rsid w:val="26105AEF"/>
    <w:rsid w:val="263C0693"/>
    <w:rsid w:val="26BA34D0"/>
    <w:rsid w:val="270D0F81"/>
    <w:rsid w:val="276F31A3"/>
    <w:rsid w:val="277167F5"/>
    <w:rsid w:val="278E663F"/>
    <w:rsid w:val="27B506FD"/>
    <w:rsid w:val="27C7133E"/>
    <w:rsid w:val="27D22BB5"/>
    <w:rsid w:val="2810627B"/>
    <w:rsid w:val="284B2E0F"/>
    <w:rsid w:val="284D302B"/>
    <w:rsid w:val="286604D8"/>
    <w:rsid w:val="28B42D36"/>
    <w:rsid w:val="28D948BF"/>
    <w:rsid w:val="29142CBC"/>
    <w:rsid w:val="292E4CA7"/>
    <w:rsid w:val="29A0362E"/>
    <w:rsid w:val="29A94D25"/>
    <w:rsid w:val="29B6075C"/>
    <w:rsid w:val="29FD04D3"/>
    <w:rsid w:val="2A587AE6"/>
    <w:rsid w:val="2B074BFF"/>
    <w:rsid w:val="2B1020EE"/>
    <w:rsid w:val="2B7E04D9"/>
    <w:rsid w:val="2BC977B4"/>
    <w:rsid w:val="2BFE6777"/>
    <w:rsid w:val="2C2A633C"/>
    <w:rsid w:val="2C4C53A8"/>
    <w:rsid w:val="2C8A61B5"/>
    <w:rsid w:val="2CBE4D9B"/>
    <w:rsid w:val="2D71020A"/>
    <w:rsid w:val="2D823D61"/>
    <w:rsid w:val="2DCE076A"/>
    <w:rsid w:val="2DF04E50"/>
    <w:rsid w:val="2DF24188"/>
    <w:rsid w:val="2E0C1292"/>
    <w:rsid w:val="2E6E3CFB"/>
    <w:rsid w:val="2E7D79F3"/>
    <w:rsid w:val="2F5A1D85"/>
    <w:rsid w:val="310C0C59"/>
    <w:rsid w:val="310F5453"/>
    <w:rsid w:val="31794E91"/>
    <w:rsid w:val="319F7F4E"/>
    <w:rsid w:val="32100904"/>
    <w:rsid w:val="322F6902"/>
    <w:rsid w:val="32333292"/>
    <w:rsid w:val="331570B9"/>
    <w:rsid w:val="34075FE9"/>
    <w:rsid w:val="346449C5"/>
    <w:rsid w:val="349A7205"/>
    <w:rsid w:val="359F7AA1"/>
    <w:rsid w:val="35C661CB"/>
    <w:rsid w:val="360235C1"/>
    <w:rsid w:val="36374E98"/>
    <w:rsid w:val="369112C2"/>
    <w:rsid w:val="36AA5135"/>
    <w:rsid w:val="36AD3E38"/>
    <w:rsid w:val="36C505C0"/>
    <w:rsid w:val="36FA2F09"/>
    <w:rsid w:val="37532CCC"/>
    <w:rsid w:val="37E16F03"/>
    <w:rsid w:val="38387570"/>
    <w:rsid w:val="383E051C"/>
    <w:rsid w:val="38463812"/>
    <w:rsid w:val="38DD3F57"/>
    <w:rsid w:val="395376B0"/>
    <w:rsid w:val="39695A15"/>
    <w:rsid w:val="396A05FC"/>
    <w:rsid w:val="39E60BE9"/>
    <w:rsid w:val="39E82BB3"/>
    <w:rsid w:val="39F41558"/>
    <w:rsid w:val="3A1B417C"/>
    <w:rsid w:val="3A4F49E1"/>
    <w:rsid w:val="3A6A522A"/>
    <w:rsid w:val="3A780240"/>
    <w:rsid w:val="3AAA4098"/>
    <w:rsid w:val="3B3809CB"/>
    <w:rsid w:val="3B542821"/>
    <w:rsid w:val="3BBD1E1E"/>
    <w:rsid w:val="3BF53E16"/>
    <w:rsid w:val="3BF56B6B"/>
    <w:rsid w:val="3BF70E8C"/>
    <w:rsid w:val="3C9A25AD"/>
    <w:rsid w:val="3CA8487C"/>
    <w:rsid w:val="3D000214"/>
    <w:rsid w:val="3D63000F"/>
    <w:rsid w:val="3D8A4880"/>
    <w:rsid w:val="3D98207C"/>
    <w:rsid w:val="3DDC2A2F"/>
    <w:rsid w:val="3DFF0210"/>
    <w:rsid w:val="3E353EED"/>
    <w:rsid w:val="3E4900E7"/>
    <w:rsid w:val="3E974BA8"/>
    <w:rsid w:val="3EA370A9"/>
    <w:rsid w:val="3EAA24B9"/>
    <w:rsid w:val="3F055AFB"/>
    <w:rsid w:val="3F201F18"/>
    <w:rsid w:val="3FA0645E"/>
    <w:rsid w:val="3FE94909"/>
    <w:rsid w:val="40013D05"/>
    <w:rsid w:val="40093884"/>
    <w:rsid w:val="40167CB3"/>
    <w:rsid w:val="41B415CD"/>
    <w:rsid w:val="41D03370"/>
    <w:rsid w:val="41F05A8D"/>
    <w:rsid w:val="41F52311"/>
    <w:rsid w:val="428269A0"/>
    <w:rsid w:val="42977566"/>
    <w:rsid w:val="42D448D2"/>
    <w:rsid w:val="430F2F5F"/>
    <w:rsid w:val="432E715D"/>
    <w:rsid w:val="436F170D"/>
    <w:rsid w:val="43B96DFE"/>
    <w:rsid w:val="43D9531B"/>
    <w:rsid w:val="43F24C99"/>
    <w:rsid w:val="44137095"/>
    <w:rsid w:val="44207EBE"/>
    <w:rsid w:val="443076C3"/>
    <w:rsid w:val="449511F9"/>
    <w:rsid w:val="44AC3C70"/>
    <w:rsid w:val="44DE1D54"/>
    <w:rsid w:val="44E268DA"/>
    <w:rsid w:val="450B7F4D"/>
    <w:rsid w:val="450E3C4C"/>
    <w:rsid w:val="45BE23EF"/>
    <w:rsid w:val="464078D3"/>
    <w:rsid w:val="4646138E"/>
    <w:rsid w:val="47743CD8"/>
    <w:rsid w:val="478D5088"/>
    <w:rsid w:val="47A56CCF"/>
    <w:rsid w:val="486C641C"/>
    <w:rsid w:val="48BF71D5"/>
    <w:rsid w:val="48D10128"/>
    <w:rsid w:val="48D82045"/>
    <w:rsid w:val="48EC3D42"/>
    <w:rsid w:val="49494F00"/>
    <w:rsid w:val="49747070"/>
    <w:rsid w:val="49883A6B"/>
    <w:rsid w:val="49CD05C3"/>
    <w:rsid w:val="49D7054F"/>
    <w:rsid w:val="4A3B3E6F"/>
    <w:rsid w:val="4A627F82"/>
    <w:rsid w:val="4A710EFC"/>
    <w:rsid w:val="4AA96FA0"/>
    <w:rsid w:val="4B005387"/>
    <w:rsid w:val="4B09298A"/>
    <w:rsid w:val="4B4F25DA"/>
    <w:rsid w:val="4BE068DB"/>
    <w:rsid w:val="4BE317B3"/>
    <w:rsid w:val="4C6B152E"/>
    <w:rsid w:val="4CC8211F"/>
    <w:rsid w:val="4CD75BB6"/>
    <w:rsid w:val="4D577224"/>
    <w:rsid w:val="4D8E7176"/>
    <w:rsid w:val="4D9C1893"/>
    <w:rsid w:val="4DD4775C"/>
    <w:rsid w:val="4E2D4BE1"/>
    <w:rsid w:val="4E393586"/>
    <w:rsid w:val="4E6C36B7"/>
    <w:rsid w:val="4E7520E4"/>
    <w:rsid w:val="4EAB630A"/>
    <w:rsid w:val="4ECE2238"/>
    <w:rsid w:val="4EE92CB2"/>
    <w:rsid w:val="4EEE3337"/>
    <w:rsid w:val="4F775197"/>
    <w:rsid w:val="4F7B22CD"/>
    <w:rsid w:val="4F8C2F1C"/>
    <w:rsid w:val="4FCC21D8"/>
    <w:rsid w:val="4FF260E2"/>
    <w:rsid w:val="50173A5C"/>
    <w:rsid w:val="50EA605B"/>
    <w:rsid w:val="5128651A"/>
    <w:rsid w:val="51750D79"/>
    <w:rsid w:val="51791EEB"/>
    <w:rsid w:val="51E63A25"/>
    <w:rsid w:val="51E73F50"/>
    <w:rsid w:val="52BD6977"/>
    <w:rsid w:val="52C31527"/>
    <w:rsid w:val="52D74925"/>
    <w:rsid w:val="52DC0984"/>
    <w:rsid w:val="534B69FB"/>
    <w:rsid w:val="5361482E"/>
    <w:rsid w:val="53E255A0"/>
    <w:rsid w:val="53E36AC3"/>
    <w:rsid w:val="53EB5313"/>
    <w:rsid w:val="54641D9D"/>
    <w:rsid w:val="550A74B1"/>
    <w:rsid w:val="556F788D"/>
    <w:rsid w:val="55E055C2"/>
    <w:rsid w:val="56252ED4"/>
    <w:rsid w:val="56AE5C4F"/>
    <w:rsid w:val="56AF79C4"/>
    <w:rsid w:val="56BA24C5"/>
    <w:rsid w:val="56F51D94"/>
    <w:rsid w:val="578647C5"/>
    <w:rsid w:val="57B04668"/>
    <w:rsid w:val="582232DD"/>
    <w:rsid w:val="587A0405"/>
    <w:rsid w:val="58AE7E2B"/>
    <w:rsid w:val="58B86C87"/>
    <w:rsid w:val="58F135AA"/>
    <w:rsid w:val="590470D0"/>
    <w:rsid w:val="591D3809"/>
    <w:rsid w:val="59B57AB7"/>
    <w:rsid w:val="59C15BC5"/>
    <w:rsid w:val="59EA1BD8"/>
    <w:rsid w:val="5A023B97"/>
    <w:rsid w:val="5AC36177"/>
    <w:rsid w:val="5AF92295"/>
    <w:rsid w:val="5AFC32B1"/>
    <w:rsid w:val="5B6B0AF7"/>
    <w:rsid w:val="5B7D3E40"/>
    <w:rsid w:val="5BB84ABA"/>
    <w:rsid w:val="5BED3C02"/>
    <w:rsid w:val="5BF1653A"/>
    <w:rsid w:val="5C0E2225"/>
    <w:rsid w:val="5C677510"/>
    <w:rsid w:val="5C762060"/>
    <w:rsid w:val="5CD71FC4"/>
    <w:rsid w:val="5D392D35"/>
    <w:rsid w:val="5D553ADA"/>
    <w:rsid w:val="5D63417B"/>
    <w:rsid w:val="5D8D11F8"/>
    <w:rsid w:val="5DFC31B0"/>
    <w:rsid w:val="5E512226"/>
    <w:rsid w:val="5F2A342A"/>
    <w:rsid w:val="5F923DCE"/>
    <w:rsid w:val="5FB05672"/>
    <w:rsid w:val="5FF311A7"/>
    <w:rsid w:val="606C3347"/>
    <w:rsid w:val="611B4D6D"/>
    <w:rsid w:val="612F744A"/>
    <w:rsid w:val="619012B7"/>
    <w:rsid w:val="62175534"/>
    <w:rsid w:val="62445ADC"/>
    <w:rsid w:val="628A36FF"/>
    <w:rsid w:val="628C698F"/>
    <w:rsid w:val="6367429A"/>
    <w:rsid w:val="63A70753"/>
    <w:rsid w:val="63ED71B0"/>
    <w:rsid w:val="63F37C15"/>
    <w:rsid w:val="640F4477"/>
    <w:rsid w:val="64205AE1"/>
    <w:rsid w:val="651C72B0"/>
    <w:rsid w:val="65221F74"/>
    <w:rsid w:val="65242442"/>
    <w:rsid w:val="652C12F7"/>
    <w:rsid w:val="65731CAE"/>
    <w:rsid w:val="65893A82"/>
    <w:rsid w:val="66376316"/>
    <w:rsid w:val="66C53466"/>
    <w:rsid w:val="66FD73EF"/>
    <w:rsid w:val="67544B35"/>
    <w:rsid w:val="67604923"/>
    <w:rsid w:val="67B85767"/>
    <w:rsid w:val="68152516"/>
    <w:rsid w:val="68277221"/>
    <w:rsid w:val="684009ED"/>
    <w:rsid w:val="68531405"/>
    <w:rsid w:val="688A17C5"/>
    <w:rsid w:val="68AD6BF3"/>
    <w:rsid w:val="68B03FED"/>
    <w:rsid w:val="68D400D8"/>
    <w:rsid w:val="68ED27E7"/>
    <w:rsid w:val="69274384"/>
    <w:rsid w:val="693A47FC"/>
    <w:rsid w:val="695D7923"/>
    <w:rsid w:val="69A91EC1"/>
    <w:rsid w:val="69E97A2E"/>
    <w:rsid w:val="6A0740E0"/>
    <w:rsid w:val="6A42015E"/>
    <w:rsid w:val="6AE2497F"/>
    <w:rsid w:val="6AFB3C45"/>
    <w:rsid w:val="6B347AB6"/>
    <w:rsid w:val="6B4A332B"/>
    <w:rsid w:val="6B60619E"/>
    <w:rsid w:val="6BA442DD"/>
    <w:rsid w:val="6C2E10E7"/>
    <w:rsid w:val="6C411580"/>
    <w:rsid w:val="6C4A05C8"/>
    <w:rsid w:val="6C6C46CF"/>
    <w:rsid w:val="6C8956A7"/>
    <w:rsid w:val="6CC37ADF"/>
    <w:rsid w:val="6CFD3D9C"/>
    <w:rsid w:val="6D13615B"/>
    <w:rsid w:val="6D416B74"/>
    <w:rsid w:val="6E7E3605"/>
    <w:rsid w:val="6EBE3777"/>
    <w:rsid w:val="6F0309DE"/>
    <w:rsid w:val="6F3230FE"/>
    <w:rsid w:val="6F55769C"/>
    <w:rsid w:val="6FBB69CD"/>
    <w:rsid w:val="6FC52A74"/>
    <w:rsid w:val="6FF5CC65"/>
    <w:rsid w:val="7053007F"/>
    <w:rsid w:val="70D80585"/>
    <w:rsid w:val="71122B35"/>
    <w:rsid w:val="71287C29"/>
    <w:rsid w:val="7133745D"/>
    <w:rsid w:val="71445C1A"/>
    <w:rsid w:val="715C0E4B"/>
    <w:rsid w:val="71FE06CE"/>
    <w:rsid w:val="72734D90"/>
    <w:rsid w:val="72960EBA"/>
    <w:rsid w:val="72FD0776"/>
    <w:rsid w:val="733B74E1"/>
    <w:rsid w:val="73A74B01"/>
    <w:rsid w:val="73A849D7"/>
    <w:rsid w:val="73AD73D5"/>
    <w:rsid w:val="73B6EB34"/>
    <w:rsid w:val="73BE471D"/>
    <w:rsid w:val="73D9089C"/>
    <w:rsid w:val="73F1375A"/>
    <w:rsid w:val="74911176"/>
    <w:rsid w:val="75284F15"/>
    <w:rsid w:val="756F3599"/>
    <w:rsid w:val="758474AB"/>
    <w:rsid w:val="75C946C8"/>
    <w:rsid w:val="76105F0C"/>
    <w:rsid w:val="76457A3B"/>
    <w:rsid w:val="765F422A"/>
    <w:rsid w:val="768317F7"/>
    <w:rsid w:val="76AC798B"/>
    <w:rsid w:val="76C37D85"/>
    <w:rsid w:val="76F679B7"/>
    <w:rsid w:val="77036546"/>
    <w:rsid w:val="777D3C34"/>
    <w:rsid w:val="77B37656"/>
    <w:rsid w:val="77D01FEC"/>
    <w:rsid w:val="77D84854"/>
    <w:rsid w:val="77F43418"/>
    <w:rsid w:val="78FB188C"/>
    <w:rsid w:val="7927224B"/>
    <w:rsid w:val="79301661"/>
    <w:rsid w:val="79496EA3"/>
    <w:rsid w:val="796B468C"/>
    <w:rsid w:val="79994B66"/>
    <w:rsid w:val="79A313E4"/>
    <w:rsid w:val="79A75202"/>
    <w:rsid w:val="79C478F8"/>
    <w:rsid w:val="79DD4BA7"/>
    <w:rsid w:val="79DF0BD6"/>
    <w:rsid w:val="79EE5BA4"/>
    <w:rsid w:val="79F07734"/>
    <w:rsid w:val="79FE6DB9"/>
    <w:rsid w:val="7A70182E"/>
    <w:rsid w:val="7A894339"/>
    <w:rsid w:val="7AAA4D40"/>
    <w:rsid w:val="7AF45EAA"/>
    <w:rsid w:val="7B364826"/>
    <w:rsid w:val="7B542EFE"/>
    <w:rsid w:val="7C117066"/>
    <w:rsid w:val="7C684EB3"/>
    <w:rsid w:val="7CA11F3F"/>
    <w:rsid w:val="7D035D55"/>
    <w:rsid w:val="7D1D78B2"/>
    <w:rsid w:val="7D821FA4"/>
    <w:rsid w:val="7DAC0DCF"/>
    <w:rsid w:val="7DD65FF7"/>
    <w:rsid w:val="7E024A8C"/>
    <w:rsid w:val="7E6814AC"/>
    <w:rsid w:val="7E877211"/>
    <w:rsid w:val="7EEF11D3"/>
    <w:rsid w:val="7F5D1964"/>
    <w:rsid w:val="7FA30C79"/>
    <w:rsid w:val="7FC76F08"/>
    <w:rsid w:val="7FC96657"/>
    <w:rsid w:val="D8D6DB89"/>
    <w:rsid w:val="DB6F4CAB"/>
    <w:rsid w:val="DF6F9789"/>
    <w:rsid w:val="FFBEE0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14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0"/>
    <w:qFormat/>
    <w:uiPriority w:val="9"/>
    <w:pPr>
      <w:keepNext/>
      <w:keepLines/>
      <w:spacing w:before="20" w:beforeLines="20" w:after="20" w:afterLines="20" w:line="600" w:lineRule="exact"/>
      <w:ind w:firstLine="0" w:firstLineChars="0"/>
      <w:jc w:val="center"/>
      <w:outlineLvl w:val="0"/>
    </w:pPr>
    <w:rPr>
      <w:rFonts w:eastAsia="方正小标宋简体"/>
      <w:bCs/>
      <w:kern w:val="44"/>
      <w:sz w:val="44"/>
      <w:szCs w:val="44"/>
    </w:rPr>
  </w:style>
  <w:style w:type="paragraph" w:styleId="4">
    <w:name w:val="heading 2"/>
    <w:basedOn w:val="1"/>
    <w:next w:val="1"/>
    <w:link w:val="21"/>
    <w:unhideWhenUsed/>
    <w:qFormat/>
    <w:uiPriority w:val="9"/>
    <w:pPr>
      <w:keepNext/>
      <w:keepLines/>
      <w:spacing w:before="20" w:beforeLines="20" w:after="20" w:afterLines="20" w:line="576" w:lineRule="exact"/>
      <w:ind w:firstLine="1440" w:firstLineChars="200"/>
      <w:jc w:val="left"/>
      <w:outlineLvl w:val="1"/>
    </w:pPr>
    <w:rPr>
      <w:rFonts w:eastAsia="黑体" w:asciiTheme="majorAscii" w:hAnsiTheme="majorAscii" w:cstheme="majorBidi"/>
      <w:bCs/>
      <w:sz w:val="32"/>
      <w:szCs w:val="32"/>
    </w:rPr>
  </w:style>
  <w:style w:type="paragraph" w:styleId="5">
    <w:name w:val="heading 3"/>
    <w:basedOn w:val="1"/>
    <w:next w:val="1"/>
    <w:link w:val="22"/>
    <w:unhideWhenUsed/>
    <w:qFormat/>
    <w:uiPriority w:val="9"/>
    <w:pPr>
      <w:keepNext/>
      <w:keepLines/>
      <w:spacing w:before="20" w:beforeLines="20" w:after="20" w:afterLines="20" w:line="576" w:lineRule="exact"/>
      <w:ind w:firstLine="1440" w:firstLineChars="200"/>
      <w:outlineLvl w:val="2"/>
    </w:pPr>
    <w:rPr>
      <w:rFonts w:ascii="Times New Roman" w:hAnsi="Times New Roman" w:eastAsia="楷体_GB2312"/>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99"/>
    <w:pPr>
      <w:ind w:left="200" w:leftChars="200" w:hanging="200" w:hangingChars="200"/>
    </w:pPr>
    <w:rPr>
      <w:szCs w:val="22"/>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1 Char"/>
    <w:basedOn w:val="16"/>
    <w:link w:val="3"/>
    <w:qFormat/>
    <w:uiPriority w:val="9"/>
    <w:rPr>
      <w:rFonts w:ascii="Times New Roman" w:hAnsi="Times New Roman" w:eastAsia="方正小标宋简体"/>
      <w:bCs/>
      <w:kern w:val="44"/>
      <w:sz w:val="44"/>
      <w:szCs w:val="44"/>
    </w:rPr>
  </w:style>
  <w:style w:type="character" w:customStyle="1" w:styleId="21">
    <w:name w:val="标题 2 Char"/>
    <w:basedOn w:val="16"/>
    <w:link w:val="4"/>
    <w:qFormat/>
    <w:uiPriority w:val="9"/>
    <w:rPr>
      <w:rFonts w:eastAsia="黑体" w:asciiTheme="majorAscii" w:hAnsiTheme="majorAscii" w:cstheme="majorBidi"/>
      <w:bCs/>
      <w:kern w:val="2"/>
      <w:sz w:val="32"/>
      <w:szCs w:val="32"/>
    </w:rPr>
  </w:style>
  <w:style w:type="character" w:customStyle="1" w:styleId="22">
    <w:name w:val="标题 3 Char"/>
    <w:basedOn w:val="16"/>
    <w:link w:val="5"/>
    <w:qFormat/>
    <w:uiPriority w:val="9"/>
    <w:rPr>
      <w:rFonts w:ascii="Times New Roman" w:hAnsi="Times New Roman" w:eastAsia="楷体_GB2312"/>
      <w:bCs/>
      <w:kern w:val="2"/>
      <w:sz w:val="32"/>
      <w:szCs w:val="32"/>
    </w:rPr>
  </w:style>
  <w:style w:type="character" w:customStyle="1" w:styleId="23">
    <w:name w:val="Header Char"/>
    <w:basedOn w:val="16"/>
    <w:semiHidden/>
    <w:qFormat/>
    <w:uiPriority w:val="99"/>
    <w:rPr>
      <w:rFonts w:ascii="Times New Roman" w:hAnsi="Times New Roman"/>
      <w:sz w:val="18"/>
      <w:szCs w:val="18"/>
    </w:rPr>
  </w:style>
  <w:style w:type="character" w:customStyle="1" w:styleId="24">
    <w:name w:val="页眉 Char"/>
    <w:link w:val="10"/>
    <w:semiHidden/>
    <w:qFormat/>
    <w:locked/>
    <w:uiPriority w:val="99"/>
    <w:rPr>
      <w:sz w:val="18"/>
    </w:rPr>
  </w:style>
  <w:style w:type="character" w:customStyle="1" w:styleId="25">
    <w:name w:val="Footer Char"/>
    <w:basedOn w:val="16"/>
    <w:semiHidden/>
    <w:qFormat/>
    <w:uiPriority w:val="99"/>
    <w:rPr>
      <w:rFonts w:ascii="Times New Roman" w:hAnsi="Times New Roman"/>
      <w:sz w:val="18"/>
      <w:szCs w:val="18"/>
    </w:rPr>
  </w:style>
  <w:style w:type="character" w:customStyle="1" w:styleId="26">
    <w:name w:val="页脚 Char"/>
    <w:link w:val="9"/>
    <w:qFormat/>
    <w:locked/>
    <w:uiPriority w:val="99"/>
    <w:rPr>
      <w:sz w:val="18"/>
    </w:rPr>
  </w:style>
  <w:style w:type="character" w:customStyle="1" w:styleId="27">
    <w:name w:val="Body Text Char"/>
    <w:basedOn w:val="16"/>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01"/>
    <w:basedOn w:val="16"/>
    <w:qFormat/>
    <w:uiPriority w:val="0"/>
    <w:rPr>
      <w:rFonts w:hint="eastAsia" w:ascii="宋体" w:hAnsi="宋体" w:eastAsia="宋体" w:cs="宋体"/>
      <w:color w:val="000000"/>
      <w:sz w:val="24"/>
      <w:szCs w:val="24"/>
      <w:u w:val="none"/>
    </w:rPr>
  </w:style>
  <w:style w:type="character" w:customStyle="1" w:styleId="34">
    <w:name w:val="font71"/>
    <w:basedOn w:val="16"/>
    <w:qFormat/>
    <w:uiPriority w:val="0"/>
    <w:rPr>
      <w:rFonts w:hint="default" w:ascii="Times New Roman" w:hAnsi="Times New Roman" w:cs="Times New Roman"/>
      <w:color w:val="000000"/>
      <w:sz w:val="24"/>
      <w:szCs w:val="24"/>
      <w:u w:val="none"/>
    </w:rPr>
  </w:style>
  <w:style w:type="character" w:customStyle="1" w:styleId="35">
    <w:name w:val="font11"/>
    <w:basedOn w:val="16"/>
    <w:qFormat/>
    <w:uiPriority w:val="0"/>
    <w:rPr>
      <w:rFonts w:hint="eastAsia" w:ascii="宋体" w:hAnsi="宋体" w:eastAsia="宋体" w:cs="宋体"/>
      <w:b/>
      <w:bCs/>
      <w:color w:val="000000"/>
      <w:sz w:val="18"/>
      <w:szCs w:val="18"/>
      <w:u w:val="none"/>
    </w:rPr>
  </w:style>
  <w:style w:type="character" w:customStyle="1" w:styleId="36">
    <w:name w:val="font81"/>
    <w:basedOn w:val="16"/>
    <w:qFormat/>
    <w:uiPriority w:val="0"/>
    <w:rPr>
      <w:rFonts w:hint="eastAsia" w:ascii="宋体" w:hAnsi="宋体" w:eastAsia="宋体" w:cs="宋体"/>
      <w:color w:val="000000"/>
      <w:sz w:val="16"/>
      <w:szCs w:val="16"/>
      <w:u w:val="none"/>
    </w:rPr>
  </w:style>
  <w:style w:type="character" w:customStyle="1" w:styleId="37">
    <w:name w:val="font31"/>
    <w:basedOn w:val="16"/>
    <w:qFormat/>
    <w:uiPriority w:val="0"/>
    <w:rPr>
      <w:rFonts w:hint="eastAsia" w:ascii="宋体" w:hAnsi="宋体" w:eastAsia="宋体" w:cs="宋体"/>
      <w:color w:val="000000"/>
      <w:sz w:val="18"/>
      <w:szCs w:val="18"/>
      <w:u w:val="none"/>
    </w:rPr>
  </w:style>
  <w:style w:type="character" w:customStyle="1" w:styleId="38">
    <w:name w:val="font61"/>
    <w:basedOn w:val="16"/>
    <w:qFormat/>
    <w:uiPriority w:val="0"/>
    <w:rPr>
      <w:rFonts w:ascii="宋体" w:hAnsi="宋体" w:eastAsia="宋体" w:cs="宋体"/>
      <w:color w:val="000000"/>
      <w:sz w:val="18"/>
      <w:szCs w:val="18"/>
      <w:u w:val="none"/>
    </w:rPr>
  </w:style>
  <w:style w:type="character" w:customStyle="1" w:styleId="39">
    <w:name w:val="font41"/>
    <w:basedOn w:val="16"/>
    <w:qFormat/>
    <w:uiPriority w:val="0"/>
    <w:rPr>
      <w:rFonts w:ascii="Wingdings 2" w:hAnsi="Wingdings 2" w:eastAsia="Wingdings 2" w:cs="Wingdings 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收、支决算总计变动情况图</a:t>
            </a:r>
          </a:p>
          <a:p>
            <a:pPr defTabSz="914400">
              <a:defRPr lang="zh-CN" sz="1600" b="1" i="0" u="none" strike="noStrike" kern="1200" baseline="0">
                <a:solidFill>
                  <a:schemeClr val="tx2"/>
                </a:solidFill>
                <a:latin typeface="+mn-lt"/>
                <a:ea typeface="+mn-ea"/>
                <a:cs typeface="+mn-cs"/>
              </a:defRPr>
            </a:pPr>
            <a:r>
              <a:t>单位：万元</a:t>
            </a:r>
          </a:p>
        </c:rich>
      </c:tx>
      <c:layout>
        <c:manualLayout>
          <c:xMode val="edge"/>
          <c:yMode val="edge"/>
          <c:x val="0.239365918097754"/>
          <c:y val="0.101233418664184"/>
        </c:manualLayout>
      </c:layout>
      <c:overlay val="0"/>
      <c:spPr>
        <a:noFill/>
        <a:ln>
          <a:noFill/>
        </a:ln>
        <a:effectLst/>
      </c:spPr>
    </c:title>
    <c:autoTitleDeleted val="0"/>
    <c:plotArea>
      <c:layout>
        <c:manualLayout>
          <c:layoutTarget val="inner"/>
          <c:xMode val="edge"/>
          <c:yMode val="edge"/>
          <c:x val="0.0770937912813738"/>
          <c:y val="0.325321408608161"/>
          <c:w val="0.899788639365918"/>
          <c:h val="0.403968697596423"/>
        </c:manualLayout>
      </c:layout>
      <c:barChart>
        <c:barDir val="col"/>
        <c:grouping val="clustered"/>
        <c:varyColors val="0"/>
        <c:ser>
          <c:idx val="0"/>
          <c:order val="0"/>
          <c:tx>
            <c:strRef>
              <c:f>Sheet1!$B$1</c:f>
              <c:strCache>
                <c:ptCount val="1"/>
                <c:pt idx="0">
                  <c:v>2021年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00198150594451783"/>
                  <c:y val="0.010472422620432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lang="en-US" altLang="zh-CN"/>
                      <a:t>506.16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506.15</c:v>
                </c:pt>
              </c:numCache>
            </c:numRef>
          </c:val>
        </c:ser>
        <c:ser>
          <c:idx val="1"/>
          <c:order val="1"/>
          <c:tx>
            <c:strRef>
              <c:f>Sheet1!$C$1</c:f>
              <c:strCache>
                <c:ptCount val="1"/>
                <c:pt idx="0">
                  <c:v>2020年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0059445178335535"/>
                  <c:y val="0.013773370946724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rPr lang="en-US" altLang="zh-CN"/>
                      <a:t>1041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1041</c:v>
                </c:pt>
              </c:numCache>
            </c:numRef>
          </c:val>
        </c:ser>
        <c:dLbls>
          <c:showLegendKey val="0"/>
          <c:showVal val="1"/>
          <c:showCatName val="0"/>
          <c:showSerName val="0"/>
          <c:showPercent val="0"/>
          <c:showBubbleSize val="0"/>
        </c:dLbls>
        <c:gapWidth val="100"/>
        <c:overlap val="-24"/>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6647296"/>
        <c:crosses val="autoZero"/>
        <c:auto val="1"/>
        <c:lblAlgn val="ctr"/>
        <c:lblOffset val="100"/>
        <c:noMultiLvlLbl val="0"/>
      </c:catAx>
      <c:valAx>
        <c:axId val="36647296"/>
        <c:scaling>
          <c:orientation val="minMax"/>
          <c:max val="1200"/>
          <c:min val="1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6641408"/>
        <c:crosses val="autoZero"/>
        <c:crossBetween val="between"/>
        <c:majorUnit val="300"/>
        <c:minorUnit val="5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200"/>
              <a:t>单位：万元</a:t>
            </a:r>
            <a:endParaRPr sz="1200"/>
          </a:p>
        </c:rich>
      </c:tx>
      <c:layout>
        <c:manualLayout>
          <c:xMode val="edge"/>
          <c:yMode val="edge"/>
          <c:x val="0.335201954865603"/>
          <c:y val="0.00794491525423729"/>
        </c:manualLayout>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506.15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494.5</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211790098475651"/>
          <c:y val="0.65151070695218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lang="en-US" altLang="zh-CN" sz="1200"/>
              <a:t> </a:t>
            </a:r>
            <a:r>
              <a:rPr altLang="en-US" sz="1200"/>
              <a:t>单位：万元</a:t>
            </a:r>
            <a:endParaRPr lang="en-US" altLang="en-US" sz="1200"/>
          </a:p>
        </c:rich>
      </c:tx>
      <c:layout>
        <c:manualLayout>
          <c:xMode val="edge"/>
          <c:yMode val="edge"/>
          <c:x val="0.372125"/>
          <c:y val="0.025974025974026"/>
        </c:manualLayout>
      </c:layout>
      <c:overlay val="0"/>
      <c:spPr>
        <a:noFill/>
        <a:ln>
          <a:noFill/>
        </a:ln>
        <a:effectLst/>
      </c:spPr>
    </c:title>
    <c:autoTitleDeleted val="0"/>
    <c:plotArea>
      <c:layout>
        <c:manualLayout>
          <c:layoutTarget val="inner"/>
          <c:xMode val="edge"/>
          <c:yMode val="edge"/>
          <c:x val="0.326325"/>
          <c:y val="0.193311688311688"/>
          <c:w val="0.35035"/>
          <c:h val="0.606666666666667"/>
        </c:manualLayout>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490.84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206.42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项目支出</c:v>
                </c:pt>
                <c:pt idx="1">
                  <c:v>基本支出</c:v>
                </c:pt>
                <c:pt idx="2">
                  <c:v>上缴上级支出</c:v>
                </c:pt>
                <c:pt idx="3">
                  <c:v>经营支出</c:v>
                </c:pt>
                <c:pt idx="4">
                  <c:v>对附属单位补助支出</c:v>
                </c:pt>
              </c:strCache>
            </c:strRef>
          </c:cat>
          <c:val>
            <c:numRef>
              <c:f>Sheet1!$B$2:$B$6</c:f>
              <c:numCache>
                <c:formatCode>General</c:formatCode>
                <c:ptCount val="5"/>
                <c:pt idx="0">
                  <c:v>490.84</c:v>
                </c:pt>
                <c:pt idx="1">
                  <c:v>206.42</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manualLayout>
          <c:layoutTarget val="inner"/>
          <c:xMode val="edge"/>
          <c:yMode val="edge"/>
          <c:x val="0.0792662446712311"/>
          <c:y val="0.266990291262136"/>
          <c:w val="0.890246738147526"/>
          <c:h val="0.517815533980583"/>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506.15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2020</c:v>
                </c:pt>
              </c:numCache>
            </c:numRef>
          </c:cat>
          <c:val>
            <c:numRef>
              <c:f>Sheet1!$B$2:$B$3</c:f>
              <c:numCache>
                <c:formatCode>General</c:formatCode>
                <c:ptCount val="2"/>
                <c:pt idx="0">
                  <c:v>697.26</c:v>
                </c:pt>
                <c:pt idx="1">
                  <c:v>1041</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506.15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2021</c:v>
                </c:pt>
                <c:pt idx="1">
                  <c:v>2020</c:v>
                </c:pt>
              </c:numCache>
            </c:numRef>
          </c:cat>
          <c:val>
            <c:numRef>
              <c:f>Sheet1!$C$2:$C$3</c:f>
              <c:numCache>
                <c:formatCode>General</c:formatCode>
                <c:ptCount val="2"/>
                <c:pt idx="0">
                  <c:v>697.26</c:v>
                </c:pt>
                <c:pt idx="1">
                  <c:v>1041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2021</c:v>
                </c:pt>
                <c:pt idx="1">
                  <c:v>2020</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6600832"/>
        <c:axId val="36610816"/>
      </c:barChart>
      <c:catAx>
        <c:axId val="3660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10816"/>
        <c:crosses val="autoZero"/>
        <c:auto val="1"/>
        <c:lblAlgn val="ctr"/>
        <c:lblOffset val="100"/>
        <c:noMultiLvlLbl val="0"/>
      </c:catAx>
      <c:valAx>
        <c:axId val="36610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00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506.15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697.26</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1041</c:v>
                </c:pt>
              </c:numCache>
            </c:numRef>
          </c:val>
        </c:ser>
        <c:dLbls>
          <c:showLegendKey val="0"/>
          <c:showVal val="1"/>
          <c:showCatName val="0"/>
          <c:showSerName val="0"/>
          <c:showPercent val="0"/>
          <c:showBubbleSize val="0"/>
        </c:dLbls>
        <c:gapWidth val="388"/>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1"/>
        <c:lblAlgn val="ctr"/>
        <c:lblOffset val="100"/>
        <c:noMultiLvlLbl val="0"/>
      </c:catAx>
      <c:valAx>
        <c:axId val="3664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462.04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2.17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296.18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c:v>
                </c:pt>
                <c:pt idx="1">
                  <c:v>社会保障和就业</c:v>
                </c:pt>
                <c:pt idx="2">
                  <c:v>卫生健康支出</c:v>
                </c:pt>
                <c:pt idx="3">
                  <c:v>住房保障支出</c:v>
                </c:pt>
                <c:pt idx="4">
                  <c:v>农林水事务</c:v>
                </c:pt>
              </c:strCache>
            </c:strRef>
          </c:cat>
          <c:val>
            <c:numRef>
              <c:f>Sheet1!$B$2:$B$6</c:f>
              <c:numCache>
                <c:formatCode>General</c:formatCode>
                <c:ptCount val="5"/>
                <c:pt idx="0">
                  <c:v>462.04</c:v>
                </c:pt>
                <c:pt idx="1">
                  <c:v>22.17</c:v>
                </c:pt>
                <c:pt idx="2">
                  <c:v>9.94</c:v>
                </c:pt>
                <c:pt idx="3">
                  <c:v>11.2</c:v>
                </c:pt>
                <c:pt idx="4">
                  <c:v>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1200"/>
          </a:p>
        </c:rich>
      </c:tx>
      <c:layout/>
      <c:overlay val="0"/>
      <c:spPr>
        <a:noFill/>
        <a:ln>
          <a:noFill/>
        </a:ln>
        <a:effectLst/>
      </c:spPr>
    </c:title>
    <c:autoTitleDeleted val="0"/>
    <c:plotArea>
      <c:layout/>
      <c:pieChart>
        <c:varyColors val="1"/>
        <c:ser>
          <c:idx val="0"/>
          <c:order val="0"/>
          <c:tx>
            <c:strRef>
              <c:f>Sheet1!$B$1</c:f>
              <c:strCache>
                <c:ptCount val="1"/>
                <c:pt idx="0">
                  <c:v>“三公”经费财政拨款支出决算结构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13760</Words>
  <Characters>14488</Characters>
  <Lines>61</Lines>
  <Paragraphs>17</Paragraphs>
  <TotalTime>1074</TotalTime>
  <ScaleCrop>false</ScaleCrop>
  <LinksUpToDate>false</LinksUpToDate>
  <CharactersWithSpaces>14825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不吃的喵～</cp:lastModifiedBy>
  <cp:lastPrinted>2023-09-13T02:59:07Z</cp:lastPrinted>
  <dcterms:modified xsi:type="dcterms:W3CDTF">2023-09-13T03:10:34Z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71EE4C5B63CC42F888BCD11980679D2B</vt:lpwstr>
  </property>
</Properties>
</file>