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77425"/>
      <w:bookmarkStart w:id="1" w:name="_Toc15396597"/>
      <w:bookmarkStart w:id="2" w:name="_Toc15396475"/>
      <w:bookmarkStart w:id="3" w:name="_Toc15377193"/>
      <w:bookmarkStart w:id="4" w:name="_Toc15378441"/>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w:t>
      </w:r>
      <w:r>
        <w:rPr>
          <w:rFonts w:hint="eastAsia" w:ascii="方正小标宋简体" w:hAnsi="方正小标宋简体" w:eastAsia="方正小标宋简体" w:cs="方正小标宋简体"/>
          <w:sz w:val="72"/>
          <w:szCs w:val="72"/>
          <w:lang w:val="en-US" w:eastAsia="zh-CN"/>
        </w:rPr>
        <w:t>21</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p>
    <w:bookmarkEnd w:id="5"/>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bookmarkStart w:id="6" w:name="_Toc15378442"/>
      <w:bookmarkStart w:id="7" w:name="_Toc15306268"/>
      <w:bookmarkStart w:id="8" w:name="_Toc15377194"/>
      <w:bookmarkStart w:id="9" w:name="_Toc15377426"/>
      <w:bookmarkStart w:id="10" w:name="_Toc15396598"/>
      <w:bookmarkStart w:id="11" w:name="_Toc15396476"/>
      <w:r>
        <w:rPr>
          <w:rFonts w:hint="eastAsia" w:ascii="方正小标宋简体" w:hAnsi="方正小标宋简体" w:eastAsia="方正小标宋简体" w:cs="方正小标宋简体"/>
          <w:sz w:val="72"/>
          <w:szCs w:val="72"/>
          <w:lang w:val="en-US" w:eastAsia="zh-CN"/>
        </w:rPr>
        <w:t>中共广元市朝天区委群众</w:t>
      </w: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val="en-US" w:eastAsia="zh-CN"/>
        </w:rPr>
        <w:t>工作局</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w:t>
      </w:r>
      <w:r>
        <w:rPr>
          <w:rFonts w:hint="eastAsia" w:ascii="方正小标宋简体" w:hAnsi="方正小标宋简体" w:eastAsia="方正小标宋简体" w:cs="方正小标宋简体"/>
          <w:sz w:val="72"/>
          <w:szCs w:val="72"/>
          <w:lang w:eastAsia="zh-CN"/>
        </w:rPr>
        <w:t>部门公开</w:t>
      </w:r>
      <w:r>
        <w:rPr>
          <w:rFonts w:hint="eastAsia" w:ascii="方正小标宋简体" w:hAnsi="方正小标宋简体" w:eastAsia="方正小标宋简体" w:cs="方正小标宋简体"/>
          <w:sz w:val="72"/>
          <w:szCs w:val="72"/>
        </w:rPr>
        <w:t>)</w:t>
      </w:r>
    </w:p>
    <w:p>
      <w:pPr>
        <w:widowControl/>
        <w:jc w:val="center"/>
        <w:rPr>
          <w:rFonts w:hint="eastAsia" w:ascii="黑体" w:hAnsi="黑体"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4"/>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28</w:t>
      </w:r>
      <w:r>
        <w:rPr>
          <w:rFonts w:hint="eastAsia"/>
          <w:color w:val="auto"/>
          <w:highlight w:val="none"/>
        </w:rPr>
        <w:t>日</w:t>
      </w:r>
    </w:p>
    <w:p>
      <w:pPr>
        <w:rPr>
          <w:color w:val="auto"/>
          <w:highlight w:val="none"/>
        </w:rPr>
      </w:pPr>
    </w:p>
    <w:p>
      <w:pPr>
        <w:pStyle w:val="14"/>
        <w:keepNext w:val="0"/>
        <w:keepLines w:val="0"/>
        <w:pageBreakBefore w:val="0"/>
        <w:widowControl w:val="0"/>
        <w:kinsoku/>
        <w:wordWrap/>
        <w:overflowPunct/>
        <w:topLinePunct w:val="0"/>
        <w:autoSpaceDE/>
        <w:autoSpaceDN/>
        <w:bidi w:val="0"/>
        <w:adjustRightInd w:val="0"/>
        <w:snapToGrid w:val="0"/>
        <w:spacing w:before="0" w:line="540" w:lineRule="exact"/>
        <w:jc w:val="left"/>
        <w:textAlignment w:val="auto"/>
        <w:rPr>
          <w:rFonts w:hint="default" w:eastAsia="仿宋" w:cstheme="minorBidi"/>
          <w:color w:val="auto"/>
          <w:sz w:val="24"/>
          <w:szCs w:val="24"/>
          <w:highlight w:val="none"/>
          <w:lang w:val="en-US" w:eastAsia="zh-CN"/>
        </w:rPr>
      </w:pPr>
      <w:r>
        <w:rPr>
          <w:rFonts w:hint="eastAsia"/>
          <w:color w:val="auto"/>
          <w:sz w:val="24"/>
          <w:highlight w:val="none"/>
          <w:lang w:val="en-US" w:eastAsia="zh-CN"/>
        </w:rPr>
        <w:t xml:space="preserve">第一部分 部门概况 </w:t>
      </w:r>
      <w:r>
        <w:rPr>
          <w:rFonts w:hint="eastAsia"/>
          <w:color w:val="auto"/>
          <w:sz w:val="24"/>
          <w:highlight w:val="none"/>
          <w:lang w:eastAsia="zh-CN"/>
        </w:rPr>
        <w:t>—————————————————————————</w:t>
      </w:r>
      <w:r>
        <w:rPr>
          <w:rFonts w:hint="eastAsia"/>
          <w:color w:val="auto"/>
          <w:sz w:val="24"/>
          <w:highlight w:val="none"/>
          <w:lang w:val="en-US" w:eastAsia="zh-CN"/>
        </w:rPr>
        <w:t>1</w:t>
      </w:r>
    </w:p>
    <w:p>
      <w:pPr>
        <w:pStyle w:val="16"/>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color w:val="auto"/>
          <w:sz w:val="24"/>
          <w:highlight w:val="none"/>
          <w:lang w:val="en-US" w:eastAsia="zh-CN"/>
        </w:rPr>
      </w:pPr>
      <w:r>
        <w:rPr>
          <w:rFonts w:hint="eastAsia"/>
          <w:color w:val="auto"/>
          <w:sz w:val="24"/>
          <w:highlight w:val="none"/>
        </w:rPr>
        <w:t>一、基本职能及主要工作</w:t>
      </w:r>
      <w:r>
        <w:rPr>
          <w:rFonts w:hint="eastAsia"/>
          <w:color w:val="auto"/>
          <w:sz w:val="24"/>
          <w:highlight w:val="none"/>
          <w:lang w:eastAsia="zh-CN"/>
        </w:rPr>
        <w:t>——————————————————————</w:t>
      </w:r>
      <w:r>
        <w:rPr>
          <w:rFonts w:hint="eastAsia"/>
          <w:color w:val="auto"/>
          <w:sz w:val="24"/>
          <w:highlight w:val="none"/>
          <w:lang w:val="en-US" w:eastAsia="zh-CN"/>
        </w:rPr>
        <w:t>1</w:t>
      </w:r>
    </w:p>
    <w:p>
      <w:pPr>
        <w:pStyle w:val="16"/>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color w:val="auto"/>
          <w:sz w:val="24"/>
          <w:highlight w:val="none"/>
          <w:lang w:val="en-US" w:eastAsia="zh-CN"/>
        </w:rPr>
      </w:pPr>
      <w:r>
        <w:rPr>
          <w:rFonts w:hint="eastAsia"/>
          <w:color w:val="auto"/>
          <w:sz w:val="24"/>
          <w:highlight w:val="none"/>
          <w:lang w:val="en-US" w:eastAsia="zh-CN"/>
        </w:rPr>
        <w:t>1、基本职能———————————————————————————1</w:t>
      </w:r>
    </w:p>
    <w:p>
      <w:pPr>
        <w:pStyle w:val="16"/>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color w:val="auto"/>
          <w:sz w:val="24"/>
          <w:highlight w:val="none"/>
          <w:lang w:val="en-US" w:eastAsia="zh-CN"/>
        </w:rPr>
      </w:pPr>
      <w:r>
        <w:rPr>
          <w:rFonts w:hint="eastAsia"/>
          <w:color w:val="auto"/>
          <w:sz w:val="24"/>
          <w:highlight w:val="none"/>
          <w:lang w:val="en-US" w:eastAsia="zh-CN"/>
        </w:rPr>
        <w:t>2</w:t>
      </w:r>
      <w:r>
        <w:rPr>
          <w:rFonts w:hint="eastAsia"/>
          <w:color w:val="auto"/>
          <w:sz w:val="24"/>
          <w:highlight w:val="none"/>
        </w:rPr>
        <w:t>主要工作</w:t>
      </w:r>
      <w:r>
        <w:rPr>
          <w:rFonts w:hint="eastAsia"/>
          <w:color w:val="auto"/>
          <w:sz w:val="24"/>
          <w:highlight w:val="none"/>
          <w:lang w:val="en-US" w:eastAsia="zh-CN"/>
        </w:rPr>
        <w:t xml:space="preserve"> </w:t>
      </w:r>
      <w:r>
        <w:rPr>
          <w:rFonts w:hint="eastAsia"/>
          <w:color w:val="auto"/>
          <w:sz w:val="24"/>
          <w:highlight w:val="none"/>
          <w:lang w:eastAsia="zh-CN"/>
        </w:rPr>
        <w:t>———————————————————————————</w:t>
      </w:r>
      <w:r>
        <w:rPr>
          <w:rFonts w:hint="eastAsia"/>
          <w:color w:val="auto"/>
          <w:sz w:val="24"/>
          <w:highlight w:val="none"/>
          <w:lang w:val="en-US" w:eastAsia="zh-CN"/>
        </w:rPr>
        <w:t>1</w:t>
      </w:r>
    </w:p>
    <w:p>
      <w:pPr>
        <w:pStyle w:val="16"/>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default" w:ascii="仿宋" w:hAnsi="仿宋" w:eastAsia="仿宋" w:cs="Times New Roman"/>
          <w:color w:val="auto"/>
          <w:kern w:val="2"/>
          <w:sz w:val="24"/>
          <w:szCs w:val="28"/>
          <w:highlight w:val="none"/>
          <w:lang w:val="en-US" w:eastAsia="zh-CN" w:bidi="ar-SA"/>
        </w:rPr>
      </w:pPr>
      <w:r>
        <w:rPr>
          <w:rFonts w:hint="eastAsia"/>
          <w:color w:val="auto"/>
          <w:sz w:val="24"/>
          <w:highlight w:val="none"/>
        </w:rPr>
        <w:t>二、机构设置</w:t>
      </w:r>
      <w:r>
        <w:rPr>
          <w:rFonts w:hint="eastAsia"/>
          <w:color w:val="auto"/>
          <w:sz w:val="24"/>
          <w:highlight w:val="none"/>
          <w:lang w:eastAsia="zh-CN"/>
        </w:rPr>
        <w:t>———————————————————————————</w:t>
      </w:r>
      <w:r>
        <w:rPr>
          <w:rFonts w:hint="eastAsia" w:ascii="Times New Roman" w:hAnsi="Times New Roman" w:cs="Times New Roman"/>
          <w:color w:val="auto"/>
          <w:sz w:val="24"/>
          <w:highlight w:val="none"/>
          <w:lang w:val="en-US" w:eastAsia="zh-CN"/>
        </w:rPr>
        <w:t>6</w:t>
      </w:r>
      <w:r>
        <w:rPr>
          <w:rFonts w:hint="eastAsia" w:ascii="仿宋" w:hAnsi="仿宋" w:eastAsia="仿宋" w:cs="Times New Roman"/>
          <w:color w:val="auto"/>
          <w:kern w:val="2"/>
          <w:sz w:val="24"/>
          <w:szCs w:val="28"/>
          <w:highlight w:val="none"/>
          <w:lang w:val="en-US" w:eastAsia="zh-CN" w:bidi="ar-SA"/>
        </w:rPr>
        <w:t>第二部分2021年度部门决算情况说明 —————————————————</w:t>
      </w:r>
      <w:r>
        <w:rPr>
          <w:rFonts w:hint="eastAsia" w:ascii="Times New Roman" w:hAnsi="Times New Roman" w:cs="Times New Roman"/>
          <w:color w:val="auto"/>
          <w:sz w:val="24"/>
          <w:highlight w:val="none"/>
          <w:lang w:val="en-US" w:eastAsia="zh-CN"/>
        </w:rPr>
        <w:t>6</w:t>
      </w:r>
    </w:p>
    <w:p>
      <w:pPr>
        <w:pStyle w:val="16"/>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ascii="仿宋" w:hAnsi="仿宋" w:eastAsia="仿宋" w:cstheme="minorBidi"/>
          <w:color w:val="auto"/>
          <w:sz w:val="24"/>
          <w:highlight w:val="none"/>
        </w:rPr>
      </w:pPr>
      <w:r>
        <w:rPr>
          <w:rFonts w:hint="eastAsia"/>
          <w:color w:val="auto"/>
          <w:sz w:val="24"/>
          <w:highlight w:val="none"/>
        </w:rPr>
        <w:t>一、收入支出决算总体情况说明</w:t>
      </w:r>
      <w:r>
        <w:rPr>
          <w:rFonts w:hint="eastAsia"/>
          <w:color w:val="auto"/>
          <w:sz w:val="24"/>
          <w:highlight w:val="none"/>
          <w:lang w:val="en-US" w:eastAsia="zh-CN"/>
        </w:rPr>
        <w:t xml:space="preserve">  </w:t>
      </w:r>
      <w:r>
        <w:rPr>
          <w:rFonts w:hint="eastAsia"/>
          <w:color w:val="auto"/>
          <w:sz w:val="24"/>
          <w:highlight w:val="none"/>
          <w:lang w:eastAsia="zh-CN"/>
        </w:rPr>
        <w:t>——————————————————</w:t>
      </w:r>
      <w:r>
        <w:rPr>
          <w:rFonts w:hint="eastAsia" w:ascii="Times New Roman" w:hAnsi="Times New Roman" w:cs="Times New Roman"/>
          <w:color w:val="auto"/>
          <w:sz w:val="24"/>
          <w:highlight w:val="none"/>
          <w:lang w:val="en-US" w:eastAsia="zh-CN"/>
        </w:rPr>
        <w:t>6</w:t>
      </w:r>
    </w:p>
    <w:p>
      <w:pPr>
        <w:pStyle w:val="16"/>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仿宋" w:hAnsi="仿宋" w:eastAsia="仿宋" w:cs="Times New Roman"/>
          <w:color w:val="auto"/>
          <w:kern w:val="2"/>
          <w:sz w:val="24"/>
          <w:szCs w:val="28"/>
          <w:highlight w:val="none"/>
          <w:lang w:val="en-US" w:eastAsia="zh-CN" w:bidi="ar-SA"/>
        </w:rPr>
      </w:pPr>
      <w:r>
        <w:rPr>
          <w:rFonts w:hint="eastAsia"/>
          <w:color w:val="auto"/>
          <w:sz w:val="24"/>
          <w:highlight w:val="none"/>
        </w:rPr>
        <w:t>二、收入决算情况说明</w:t>
      </w:r>
      <w:r>
        <w:rPr>
          <w:rFonts w:hint="eastAsia"/>
          <w:color w:val="auto"/>
          <w:sz w:val="24"/>
          <w:highlight w:val="none"/>
          <w:lang w:eastAsia="zh-CN"/>
        </w:rPr>
        <w:t>———————————————————————</w:t>
      </w:r>
      <w:r>
        <w:rPr>
          <w:rFonts w:hint="eastAsia" w:ascii="Times New Roman" w:hAnsi="Times New Roman" w:cs="Times New Roman"/>
          <w:color w:val="auto"/>
          <w:sz w:val="24"/>
          <w:highlight w:val="none"/>
          <w:lang w:val="en-US" w:eastAsia="zh-CN"/>
        </w:rPr>
        <w:t>7</w:t>
      </w:r>
    </w:p>
    <w:p>
      <w:pPr>
        <w:pStyle w:val="16"/>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ascii="仿宋" w:hAnsi="仿宋" w:eastAsia="仿宋" w:cstheme="minorBidi"/>
          <w:color w:val="auto"/>
          <w:sz w:val="24"/>
          <w:highlight w:val="none"/>
        </w:rPr>
      </w:pPr>
      <w:r>
        <w:rPr>
          <w:rFonts w:hint="eastAsia"/>
          <w:color w:val="auto"/>
          <w:sz w:val="24"/>
          <w:highlight w:val="none"/>
        </w:rPr>
        <w:t>三、支出决算情况说明</w:t>
      </w:r>
      <w:r>
        <w:rPr>
          <w:rFonts w:hint="eastAsia"/>
          <w:color w:val="auto"/>
          <w:sz w:val="24"/>
          <w:highlight w:val="none"/>
          <w:lang w:eastAsia="zh-CN"/>
        </w:rPr>
        <w:t>———————————————————————</w:t>
      </w:r>
      <w:r>
        <w:rPr>
          <w:rFonts w:hint="eastAsia" w:ascii="Times New Roman" w:hAnsi="Times New Roman" w:cs="Times New Roman"/>
          <w:color w:val="auto"/>
          <w:sz w:val="24"/>
          <w:highlight w:val="none"/>
          <w:lang w:val="en-US" w:eastAsia="zh-CN"/>
        </w:rPr>
        <w:t>8</w:t>
      </w:r>
    </w:p>
    <w:p>
      <w:pPr>
        <w:pStyle w:val="16"/>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ascii="仿宋" w:hAnsi="仿宋" w:eastAsia="仿宋" w:cstheme="minorBidi"/>
          <w:color w:val="auto"/>
          <w:sz w:val="24"/>
          <w:highlight w:val="none"/>
        </w:rPr>
      </w:pPr>
      <w:r>
        <w:rPr>
          <w:rFonts w:hint="eastAsia"/>
          <w:color w:val="auto"/>
          <w:sz w:val="24"/>
          <w:highlight w:val="none"/>
        </w:rPr>
        <w:t>四、财政拨款收入支出决算总体情况说明</w:t>
      </w:r>
      <w:r>
        <w:rPr>
          <w:rFonts w:hint="eastAsia"/>
          <w:color w:val="auto"/>
          <w:sz w:val="24"/>
          <w:highlight w:val="none"/>
          <w:lang w:val="en-US" w:eastAsia="zh-CN"/>
        </w:rPr>
        <w:t xml:space="preserve">  </w:t>
      </w:r>
      <w:r>
        <w:rPr>
          <w:rFonts w:hint="eastAsia"/>
          <w:color w:val="auto"/>
          <w:sz w:val="24"/>
          <w:highlight w:val="none"/>
          <w:lang w:eastAsia="zh-CN"/>
        </w:rPr>
        <w:t>——————————————</w:t>
      </w:r>
      <w:r>
        <w:rPr>
          <w:rFonts w:hint="eastAsia" w:ascii="Times New Roman" w:hAnsi="Times New Roman" w:cs="Times New Roman"/>
          <w:color w:val="auto"/>
          <w:sz w:val="24"/>
          <w:highlight w:val="none"/>
          <w:lang w:val="en-US" w:eastAsia="zh-CN"/>
        </w:rPr>
        <w:t>8</w:t>
      </w:r>
    </w:p>
    <w:p>
      <w:pPr>
        <w:pStyle w:val="16"/>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ascii="仿宋" w:hAnsi="仿宋" w:eastAsia="仿宋" w:cstheme="minorBidi"/>
          <w:color w:val="auto"/>
          <w:sz w:val="24"/>
          <w:highlight w:val="none"/>
        </w:rPr>
      </w:pPr>
      <w:r>
        <w:rPr>
          <w:rFonts w:hint="eastAsia"/>
          <w:color w:val="auto"/>
          <w:sz w:val="24"/>
          <w:highlight w:val="none"/>
        </w:rPr>
        <w:t>五、一般公共预算财政拨款支出决算情况说明</w:t>
      </w:r>
      <w:r>
        <w:rPr>
          <w:rFonts w:hint="eastAsia"/>
          <w:color w:val="auto"/>
          <w:sz w:val="24"/>
          <w:highlight w:val="none"/>
          <w:lang w:val="en-US" w:eastAsia="zh-CN"/>
        </w:rPr>
        <w:t xml:space="preserve"> </w:t>
      </w:r>
      <w:r>
        <w:rPr>
          <w:rFonts w:hint="eastAsia"/>
          <w:color w:val="auto"/>
          <w:sz w:val="24"/>
          <w:highlight w:val="none"/>
          <w:lang w:eastAsia="zh-CN"/>
        </w:rPr>
        <w:t>—————————————</w:t>
      </w:r>
      <w:r>
        <w:rPr>
          <w:rFonts w:hint="eastAsia" w:ascii="Times New Roman" w:hAnsi="Times New Roman" w:cs="Times New Roman"/>
          <w:color w:val="auto"/>
          <w:sz w:val="24"/>
          <w:highlight w:val="none"/>
          <w:lang w:val="en-US" w:eastAsia="zh-CN"/>
        </w:rPr>
        <w:t>9</w:t>
      </w:r>
    </w:p>
    <w:p>
      <w:pPr>
        <w:pStyle w:val="16"/>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r>
        <w:rPr>
          <w:rFonts w:hint="eastAsia"/>
          <w:color w:val="auto"/>
          <w:sz w:val="24"/>
          <w:highlight w:val="none"/>
          <w:lang w:val="en-US" w:eastAsia="zh-CN"/>
        </w:rPr>
        <w:t xml:space="preserve"> </w:t>
      </w:r>
      <w:r>
        <w:rPr>
          <w:rFonts w:hint="eastAsia"/>
          <w:color w:val="auto"/>
          <w:sz w:val="24"/>
          <w:highlight w:val="none"/>
          <w:lang w:eastAsia="zh-CN"/>
        </w:rPr>
        <w:t>——————————</w:t>
      </w:r>
      <w:r>
        <w:rPr>
          <w:rFonts w:hint="eastAsia"/>
          <w:color w:val="auto"/>
          <w:sz w:val="24"/>
          <w:highlight w:val="none"/>
          <w:lang w:val="en-US" w:eastAsia="zh-CN"/>
        </w:rPr>
        <w:t>1</w:t>
      </w:r>
      <w:r>
        <w:rPr>
          <w:rFonts w:hint="eastAsia" w:ascii="Times New Roman" w:hAnsi="Times New Roman" w:cs="Times New Roman"/>
          <w:color w:val="auto"/>
          <w:sz w:val="24"/>
          <w:highlight w:val="none"/>
          <w:lang w:val="en-US" w:eastAsia="zh-CN"/>
        </w:rPr>
        <w:t>1</w:t>
      </w:r>
    </w:p>
    <w:p>
      <w:pPr>
        <w:pStyle w:val="16"/>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ascii="仿宋" w:hAnsi="仿宋" w:eastAsia="仿宋" w:cstheme="minorBidi"/>
          <w:color w:val="auto"/>
          <w:sz w:val="24"/>
          <w:highlight w:val="none"/>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hint="eastAsia"/>
          <w:color w:val="auto"/>
          <w:sz w:val="24"/>
          <w:highlight w:val="none"/>
          <w:lang w:eastAsia="zh-CN"/>
        </w:rPr>
        <w:t>—————————————</w:t>
      </w:r>
      <w:r>
        <w:rPr>
          <w:rFonts w:hint="eastAsia" w:ascii="Times New Roman" w:hAnsi="Times New Roman" w:cs="Times New Roman"/>
          <w:color w:val="auto"/>
          <w:sz w:val="24"/>
          <w:highlight w:val="none"/>
          <w:lang w:val="en-US" w:eastAsia="zh-CN"/>
        </w:rPr>
        <w:t>11</w:t>
      </w:r>
    </w:p>
    <w:p>
      <w:pPr>
        <w:pStyle w:val="16"/>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ascii="仿宋" w:hAnsi="仿宋" w:eastAsia="仿宋" w:cstheme="minorBidi"/>
          <w:color w:val="auto"/>
          <w:sz w:val="24"/>
          <w:highlight w:val="none"/>
        </w:rPr>
      </w:pPr>
      <w:r>
        <w:rPr>
          <w:rFonts w:hint="eastAsia"/>
          <w:color w:val="auto"/>
          <w:sz w:val="24"/>
          <w:highlight w:val="none"/>
        </w:rPr>
        <w:t>八、政府性基金预算支出决算情况说明</w:t>
      </w:r>
      <w:r>
        <w:rPr>
          <w:rFonts w:hint="eastAsia"/>
          <w:color w:val="auto"/>
          <w:sz w:val="24"/>
          <w:highlight w:val="none"/>
          <w:lang w:val="en-US" w:eastAsia="zh-CN"/>
        </w:rPr>
        <w:t xml:space="preserve"> </w:t>
      </w:r>
      <w:r>
        <w:rPr>
          <w:rFonts w:hint="eastAsia"/>
          <w:color w:val="auto"/>
          <w:sz w:val="24"/>
          <w:highlight w:val="none"/>
          <w:lang w:eastAsia="zh-CN"/>
        </w:rPr>
        <w:t>———————————————</w:t>
      </w:r>
      <w:r>
        <w:rPr>
          <w:rFonts w:hint="eastAsia"/>
          <w:color w:val="auto"/>
          <w:sz w:val="24"/>
          <w:highlight w:val="none"/>
          <w:lang w:val="en-US" w:eastAsia="zh-CN"/>
        </w:rPr>
        <w:t>13</w:t>
      </w:r>
    </w:p>
    <w:p>
      <w:pPr>
        <w:pStyle w:val="16"/>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r>
        <w:rPr>
          <w:rFonts w:hint="eastAsia" w:asciiTheme="minorEastAsia" w:hAnsiTheme="minorEastAsia" w:eastAsiaTheme="minorEastAsia" w:cstheme="minorEastAsia"/>
          <w:color w:val="auto"/>
          <w:sz w:val="24"/>
          <w:highlight w:val="none"/>
          <w:lang w:val="en-US" w:eastAsia="zh-CN"/>
        </w:rPr>
        <w:t xml:space="preserve"> </w:t>
      </w:r>
      <w:r>
        <w:rPr>
          <w:rFonts w:hint="eastAsia"/>
          <w:color w:val="auto"/>
          <w:sz w:val="24"/>
          <w:highlight w:val="none"/>
          <w:lang w:eastAsia="zh-CN"/>
        </w:rPr>
        <w:t>——————————————</w:t>
      </w:r>
      <w:r>
        <w:rPr>
          <w:rFonts w:hint="eastAsia" w:ascii="Times New Roman" w:hAnsi="Times New Roman" w:cs="Times New Roman"/>
          <w:color w:val="auto"/>
          <w:sz w:val="24"/>
          <w:highlight w:val="none"/>
          <w:lang w:val="en-US" w:eastAsia="zh-CN"/>
        </w:rPr>
        <w:t>13</w:t>
      </w:r>
    </w:p>
    <w:p>
      <w:pPr>
        <w:pStyle w:val="16"/>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rPr>
      </w:pPr>
      <w:r>
        <w:rPr>
          <w:rStyle w:val="24"/>
          <w:rFonts w:hint="eastAsia" w:asciiTheme="minorEastAsia" w:hAnsiTheme="minorEastAsia" w:eastAsiaTheme="minorEastAsia" w:cstheme="minorEastAsia"/>
          <w:color w:val="auto"/>
          <w:sz w:val="24"/>
          <w:highlight w:val="none"/>
          <w:u w:val="none"/>
          <w:lang w:eastAsia="zh-CN"/>
        </w:rPr>
        <w:t>十</w:t>
      </w:r>
      <w:r>
        <w:rPr>
          <w:rStyle w:val="24"/>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lang w:val="en-US" w:eastAsia="zh-CN"/>
        </w:rPr>
        <w:t>预算绩效管理情况</w:t>
      </w:r>
      <w:r>
        <w:rPr>
          <w:rFonts w:hint="eastAsia"/>
          <w:color w:val="auto"/>
          <w:sz w:val="24"/>
          <w:highlight w:val="none"/>
          <w:lang w:eastAsia="zh-CN"/>
        </w:rPr>
        <w:t>———————————————————————</w:t>
      </w:r>
      <w:r>
        <w:rPr>
          <w:rFonts w:hint="eastAsia" w:ascii="Times New Roman" w:hAnsi="Times New Roman" w:cs="Times New Roman"/>
          <w:color w:val="auto"/>
          <w:sz w:val="24"/>
          <w:highlight w:val="none"/>
          <w:lang w:val="en-US" w:eastAsia="zh-CN"/>
        </w:rPr>
        <w:t>13</w:t>
      </w:r>
    </w:p>
    <w:p>
      <w:pPr>
        <w:pStyle w:val="16"/>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default" w:eastAsiaTheme="minorEastAsia"/>
          <w:lang w:val="en-US" w:eastAsia="zh-CN"/>
        </w:rPr>
      </w:pPr>
      <w:r>
        <w:rPr>
          <w:rFonts w:hint="eastAsia" w:asciiTheme="minorEastAsia" w:hAnsiTheme="minorEastAsia" w:eastAsiaTheme="minorEastAsia" w:cstheme="minorEastAsia"/>
          <w:color w:val="auto"/>
          <w:sz w:val="24"/>
          <w:highlight w:val="none"/>
          <w:lang w:val="en-US" w:eastAsia="zh-CN"/>
        </w:rPr>
        <w:t>十一、</w:t>
      </w:r>
      <w:r>
        <w:rPr>
          <w:rFonts w:hint="eastAsia" w:asciiTheme="minorEastAsia" w:hAnsiTheme="minorEastAsia" w:eastAsiaTheme="minorEastAsia" w:cstheme="minorEastAsia"/>
          <w:color w:val="auto"/>
          <w:sz w:val="24"/>
          <w:highlight w:val="none"/>
        </w:rPr>
        <w:t>其他重要事项的情况说明</w:t>
      </w:r>
      <w:r>
        <w:rPr>
          <w:rFonts w:hint="eastAsia" w:asciiTheme="minorEastAsia" w:hAnsiTheme="minorEastAsia" w:eastAsiaTheme="minorEastAsia" w:cstheme="minorEastAsia"/>
          <w:color w:val="auto"/>
          <w:sz w:val="24"/>
          <w:highlight w:val="none"/>
          <w:lang w:val="en-US" w:eastAsia="zh-CN"/>
        </w:rPr>
        <w:t xml:space="preserve"> </w:t>
      </w:r>
      <w:r>
        <w:rPr>
          <w:rFonts w:hint="eastAsia"/>
          <w:color w:val="auto"/>
          <w:sz w:val="24"/>
          <w:highlight w:val="none"/>
          <w:lang w:eastAsia="zh-CN"/>
        </w:rPr>
        <w:t>——————————————————</w:t>
      </w:r>
      <w:r>
        <w:rPr>
          <w:rFonts w:hint="eastAsia"/>
          <w:color w:val="auto"/>
          <w:sz w:val="24"/>
          <w:highlight w:val="none"/>
          <w:lang w:val="en-US" w:eastAsia="zh-CN"/>
        </w:rPr>
        <w:t>15</w:t>
      </w:r>
    </w:p>
    <w:p>
      <w:pPr>
        <w:pStyle w:val="14"/>
        <w:keepNext w:val="0"/>
        <w:keepLines w:val="0"/>
        <w:pageBreakBefore w:val="0"/>
        <w:widowControl w:val="0"/>
        <w:kinsoku/>
        <w:wordWrap/>
        <w:overflowPunct/>
        <w:topLinePunct w:val="0"/>
        <w:autoSpaceDE/>
        <w:autoSpaceDN/>
        <w:bidi w:val="0"/>
        <w:adjustRightInd w:val="0"/>
        <w:snapToGrid w:val="0"/>
        <w:spacing w:before="0" w:line="540" w:lineRule="exact"/>
        <w:jc w:val="left"/>
        <w:textAlignment w:val="auto"/>
        <w:rPr>
          <w:rFonts w:hint="default" w:cstheme="minorBidi"/>
          <w:color w:val="auto"/>
          <w:sz w:val="24"/>
          <w:szCs w:val="24"/>
          <w:highlight w:val="none"/>
          <w:lang w:val="en-US"/>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eastAsia="zh-CN"/>
        </w:rPr>
        <w:t>—————————————————————————</w:t>
      </w:r>
      <w:r>
        <w:rPr>
          <w:rFonts w:hint="eastAsia"/>
          <w:color w:val="auto"/>
          <w:sz w:val="24"/>
          <w:highlight w:val="none"/>
          <w:lang w:val="en-US" w:eastAsia="zh-CN"/>
        </w:rPr>
        <w:t>16</w:t>
      </w:r>
    </w:p>
    <w:p>
      <w:pPr>
        <w:pStyle w:val="14"/>
        <w:keepNext w:val="0"/>
        <w:keepLines w:val="0"/>
        <w:pageBreakBefore w:val="0"/>
        <w:widowControl w:val="0"/>
        <w:kinsoku/>
        <w:wordWrap/>
        <w:overflowPunct/>
        <w:topLinePunct w:val="0"/>
        <w:autoSpaceDE/>
        <w:autoSpaceDN/>
        <w:bidi w:val="0"/>
        <w:adjustRightInd w:val="0"/>
        <w:snapToGrid w:val="0"/>
        <w:spacing w:before="0" w:line="540" w:lineRule="exact"/>
        <w:jc w:val="left"/>
        <w:textAlignment w:val="auto"/>
        <w:rPr>
          <w:rFonts w:hint="default"/>
          <w:color w:val="auto"/>
          <w:sz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lang w:eastAsia="zh-CN"/>
        </w:rPr>
        <w:t>———————————————————————————</w:t>
      </w:r>
      <w:r>
        <w:rPr>
          <w:rFonts w:hint="eastAsia"/>
          <w:color w:val="auto"/>
          <w:sz w:val="24"/>
          <w:highlight w:val="none"/>
          <w:lang w:val="en-US" w:eastAsia="zh-CN"/>
        </w:rPr>
        <w:t>19</w:t>
      </w:r>
    </w:p>
    <w:p>
      <w:pPr>
        <w:keepNext w:val="0"/>
        <w:keepLines w:val="0"/>
        <w:pageBreakBefore w:val="0"/>
        <w:widowControl w:val="0"/>
        <w:kinsoku/>
        <w:wordWrap/>
        <w:overflowPunct/>
        <w:topLinePunct w:val="0"/>
        <w:autoSpaceDE/>
        <w:autoSpaceDN/>
        <w:bidi w:val="0"/>
        <w:spacing w:line="540" w:lineRule="exact"/>
        <w:textAlignment w:val="auto"/>
        <w:rPr>
          <w:rFonts w:hint="default"/>
          <w:color w:val="auto"/>
          <w:sz w:val="24"/>
          <w:highlight w:val="none"/>
          <w:lang w:val="en-US" w:eastAsia="zh-CN"/>
        </w:rPr>
      </w:pPr>
      <w:r>
        <w:rPr>
          <w:rFonts w:hint="eastAsia"/>
          <w:color w:val="auto"/>
          <w:sz w:val="24"/>
          <w:highlight w:val="none"/>
          <w:lang w:val="en-US" w:eastAsia="zh-CN"/>
        </w:rPr>
        <w:t xml:space="preserve">  一、2021年度部门整体支出绩效自评报告 </w:t>
      </w:r>
      <w:r>
        <w:rPr>
          <w:rFonts w:hint="eastAsia"/>
          <w:color w:val="auto"/>
          <w:sz w:val="24"/>
          <w:highlight w:val="none"/>
          <w:lang w:eastAsia="zh-CN"/>
        </w:rPr>
        <w:t>——————————————</w:t>
      </w:r>
      <w:r>
        <w:rPr>
          <w:rFonts w:hint="eastAsia"/>
          <w:color w:val="auto"/>
          <w:sz w:val="24"/>
          <w:highlight w:val="none"/>
          <w:lang w:val="en-US" w:eastAsia="zh-CN"/>
        </w:rPr>
        <w:t>19</w:t>
      </w:r>
    </w:p>
    <w:p>
      <w:pPr>
        <w:keepNext w:val="0"/>
        <w:keepLines w:val="0"/>
        <w:pageBreakBefore w:val="0"/>
        <w:widowControl w:val="0"/>
        <w:kinsoku/>
        <w:wordWrap/>
        <w:overflowPunct/>
        <w:topLinePunct w:val="0"/>
        <w:autoSpaceDE/>
        <w:autoSpaceDN/>
        <w:bidi w:val="0"/>
        <w:spacing w:line="540" w:lineRule="exact"/>
        <w:ind w:firstLine="240" w:firstLineChars="100"/>
        <w:textAlignment w:val="auto"/>
        <w:rPr>
          <w:rFonts w:hint="default"/>
          <w:lang w:val="en-US"/>
        </w:rPr>
      </w:pPr>
      <w:r>
        <w:rPr>
          <w:rFonts w:hint="eastAsia"/>
          <w:color w:val="auto"/>
          <w:sz w:val="24"/>
          <w:highlight w:val="none"/>
          <w:lang w:val="en-US" w:eastAsia="zh-CN"/>
        </w:rPr>
        <w:t xml:space="preserve">二、2021年部门预算项目支出绩效自评报告 </w:t>
      </w:r>
      <w:r>
        <w:rPr>
          <w:rFonts w:hint="eastAsia"/>
          <w:color w:val="auto"/>
          <w:sz w:val="24"/>
          <w:highlight w:val="none"/>
          <w:lang w:eastAsia="zh-CN"/>
        </w:rPr>
        <w:t>—————————————</w:t>
      </w:r>
      <w:r>
        <w:rPr>
          <w:rFonts w:hint="eastAsia"/>
          <w:color w:val="auto"/>
          <w:sz w:val="24"/>
          <w:highlight w:val="none"/>
          <w:lang w:val="en-US" w:eastAsia="zh-CN"/>
        </w:rPr>
        <w:t>30</w:t>
      </w:r>
    </w:p>
    <w:p>
      <w:pPr>
        <w:pStyle w:val="14"/>
        <w:keepNext w:val="0"/>
        <w:keepLines w:val="0"/>
        <w:pageBreakBefore w:val="0"/>
        <w:kinsoku/>
        <w:wordWrap/>
        <w:overflowPunct/>
        <w:topLinePunct w:val="0"/>
        <w:autoSpaceDE/>
        <w:autoSpaceDN/>
        <w:bidi w:val="0"/>
        <w:adjustRightInd w:val="0"/>
        <w:snapToGrid w:val="0"/>
        <w:spacing w:before="0" w:line="540" w:lineRule="exact"/>
        <w:jc w:val="left"/>
        <w:textAlignment w:val="auto"/>
        <w:rPr>
          <w:rFonts w:hint="default" w:cstheme="minorBidi"/>
          <w:color w:val="auto"/>
          <w:sz w:val="24"/>
          <w:szCs w:val="24"/>
          <w:highlight w:val="none"/>
          <w:lang w:val="en-US"/>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eastAsia="zh-CN"/>
        </w:rPr>
        <w:t>———————————————————————————</w:t>
      </w:r>
      <w:r>
        <w:rPr>
          <w:rFonts w:hint="eastAsia" w:ascii="Times New Roman" w:hAnsi="Times New Roman" w:eastAsia="宋体" w:cs="Times New Roman"/>
          <w:color w:val="auto"/>
          <w:kern w:val="2"/>
          <w:sz w:val="24"/>
          <w:szCs w:val="24"/>
          <w:highlight w:val="none"/>
          <w:lang w:val="en-US" w:eastAsia="zh-CN" w:bidi="ar-SA"/>
        </w:rPr>
        <w:t>69</w:t>
      </w:r>
    </w:p>
    <w:p>
      <w:pPr>
        <w:pStyle w:val="16"/>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ascii="仿宋" w:hAnsi="仿宋" w:eastAsia="仿宋" w:cstheme="minorBidi"/>
          <w:color w:val="auto"/>
          <w:sz w:val="24"/>
          <w:highlight w:val="none"/>
        </w:rPr>
      </w:pPr>
      <w:r>
        <w:rPr>
          <w:rFonts w:hint="eastAsia" w:ascii="仿宋" w:hAnsi="仿宋" w:eastAsia="仿宋"/>
          <w:color w:val="auto"/>
          <w:sz w:val="24"/>
          <w:highlight w:val="none"/>
        </w:rPr>
        <w:t>一、</w:t>
      </w:r>
      <w:r>
        <w:rPr>
          <w:rFonts w:hint="eastAsia"/>
          <w:color w:val="auto"/>
          <w:sz w:val="24"/>
          <w:highlight w:val="none"/>
        </w:rPr>
        <w:t>收入支出决算总表</w:t>
      </w:r>
    </w:p>
    <w:p>
      <w:pPr>
        <w:pStyle w:val="16"/>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二、收入决算表</w:t>
      </w:r>
    </w:p>
    <w:p>
      <w:pPr>
        <w:pStyle w:val="16"/>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三、支出决算表</w:t>
      </w:r>
    </w:p>
    <w:p>
      <w:pPr>
        <w:pStyle w:val="16"/>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四、财政拨款收入支出决算总表</w:t>
      </w:r>
    </w:p>
    <w:p>
      <w:pPr>
        <w:pStyle w:val="16"/>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五、财政拨款支出决算明细表</w:t>
      </w:r>
    </w:p>
    <w:p>
      <w:pPr>
        <w:pStyle w:val="16"/>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六、一般公共预算财政拨款支出决算表</w:t>
      </w:r>
    </w:p>
    <w:p>
      <w:pPr>
        <w:pStyle w:val="16"/>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七、一般公共预算财政拨款支出决算明细表</w:t>
      </w:r>
    </w:p>
    <w:p>
      <w:pPr>
        <w:pStyle w:val="16"/>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八、一般公共预算财政拨款基本支出决算表</w:t>
      </w:r>
    </w:p>
    <w:p>
      <w:pPr>
        <w:pStyle w:val="16"/>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九、一般公共预算财政拨款项目支出决算表</w:t>
      </w:r>
    </w:p>
    <w:p>
      <w:pPr>
        <w:pStyle w:val="16"/>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十、一般公共预算财政拨款“三公”经费支出决算表</w:t>
      </w:r>
    </w:p>
    <w:p>
      <w:pPr>
        <w:pStyle w:val="16"/>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十一、政府性基金预算财政拨款收入支出决算表</w:t>
      </w:r>
    </w:p>
    <w:p>
      <w:pPr>
        <w:pStyle w:val="16"/>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十二、政府性基金预算财政拨款“三公”经费支出决算表</w:t>
      </w:r>
    </w:p>
    <w:p>
      <w:pPr>
        <w:pStyle w:val="16"/>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十三、国有资本经营预算</w:t>
      </w:r>
      <w:r>
        <w:rPr>
          <w:rFonts w:hint="eastAsia" w:asciiTheme="minorEastAsia" w:hAnsiTheme="minorEastAsia" w:eastAsiaTheme="minorEastAsia" w:cstheme="minorEastAsia"/>
          <w:color w:val="auto"/>
          <w:sz w:val="24"/>
          <w:highlight w:val="none"/>
          <w:lang w:eastAsia="zh-CN"/>
        </w:rPr>
        <w:t>财政拨款收入</w:t>
      </w:r>
      <w:r>
        <w:rPr>
          <w:rFonts w:hint="eastAsia" w:asciiTheme="minorEastAsia" w:hAnsiTheme="minorEastAsia" w:eastAsiaTheme="minorEastAsia" w:cstheme="minorEastAsia"/>
          <w:color w:val="auto"/>
          <w:sz w:val="24"/>
          <w:highlight w:val="none"/>
        </w:rPr>
        <w:t>支出决算表</w:t>
      </w:r>
    </w:p>
    <w:p>
      <w:pPr>
        <w:pStyle w:val="16"/>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十四、国有资本经营预算财政拨款支出决算表</w:t>
      </w:r>
    </w:p>
    <w:p>
      <w:pPr>
        <w:pStyle w:val="3"/>
        <w:jc w:val="center"/>
        <w:rPr>
          <w:rFonts w:hint="eastAsia" w:ascii="黑体" w:hAnsi="黑体" w:eastAsia="黑体"/>
          <w:b w:val="0"/>
          <w:color w:val="auto"/>
          <w:highlight w:val="none"/>
        </w:rPr>
        <w:sectPr>
          <w:footerReference r:id="rId6" w:type="first"/>
          <w:footerReference r:id="rId5" w:type="default"/>
          <w:pgSz w:w="11906" w:h="16838"/>
          <w:pgMar w:top="1440" w:right="1800" w:bottom="1440" w:left="1800" w:header="851" w:footer="992" w:gutter="0"/>
          <w:pgNumType w:fmt="decimal" w:start="1"/>
          <w:cols w:space="425" w:num="1"/>
          <w:docGrid w:type="lines" w:linePitch="312" w:charSpace="0"/>
        </w:sectPr>
      </w:pPr>
      <w:bookmarkStart w:id="12" w:name="_Toc15377196"/>
      <w:bookmarkStart w:id="13" w:name="_Toc15396599"/>
    </w:p>
    <w:p>
      <w:pPr>
        <w:pStyle w:val="3"/>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Style w:val="35"/>
          <w:rFonts w:hint="eastAsia" w:ascii="黑体" w:hAnsi="黑体" w:eastAsia="黑体"/>
          <w:b w:val="0"/>
          <w:bCs w:val="0"/>
          <w:color w:val="auto"/>
          <w:highlight w:val="none"/>
        </w:rPr>
        <w:t>部门概况</w:t>
      </w:r>
      <w:bookmarkEnd w:id="12"/>
      <w:bookmarkEnd w:id="13"/>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黑体" w:hAnsi="宋体" w:eastAsia="黑体" w:cs="黑体"/>
          <w:b w:val="0"/>
          <w:bCs w:val="0"/>
          <w:color w:val="000000"/>
          <w:sz w:val="32"/>
          <w:szCs w:val="32"/>
          <w:lang w:val="en-US"/>
        </w:rPr>
      </w:pPr>
      <w:bookmarkStart w:id="14" w:name="_Toc15378446"/>
      <w:bookmarkStart w:id="15" w:name="_Toc15377199"/>
      <w:r>
        <w:rPr>
          <w:rFonts w:hint="eastAsia" w:ascii="黑体" w:hAnsi="宋体" w:eastAsia="黑体" w:cs="黑体"/>
          <w:b w:val="0"/>
          <w:bCs w:val="0"/>
          <w:color w:val="000000"/>
          <w:kern w:val="2"/>
          <w:sz w:val="32"/>
          <w:szCs w:val="32"/>
          <w:lang w:val="en-US" w:eastAsia="zh-CN" w:bidi="ar"/>
        </w:rPr>
        <w:t>一、基本职能及主要工作</w:t>
      </w:r>
      <w:bookmarkStart w:id="16" w:name="_Toc15377198"/>
      <w:bookmarkStart w:id="17" w:name="_Toc15378445"/>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楷体_GB2312" w:hAnsi="楷体_GB2312" w:eastAsia="楷体_GB2312" w:cs="楷体_GB2312"/>
          <w:b w:val="0"/>
          <w:bCs w:val="0"/>
          <w:sz w:val="32"/>
          <w:szCs w:val="32"/>
          <w:lang w:val="en-US"/>
        </w:rPr>
      </w:pPr>
      <w:r>
        <w:rPr>
          <w:rFonts w:hint="eastAsia" w:ascii="楷体_GB2312" w:hAnsi="楷体_GB2312" w:eastAsia="楷体_GB2312" w:cs="楷体_GB2312"/>
          <w:b w:val="0"/>
          <w:bCs w:val="0"/>
          <w:kern w:val="2"/>
          <w:sz w:val="32"/>
          <w:szCs w:val="32"/>
          <w:lang w:val="en-US" w:eastAsia="zh-CN" w:bidi="ar"/>
        </w:rPr>
        <w:t>（一）主要职能</w:t>
      </w:r>
      <w:bookmarkEnd w:id="16"/>
      <w:bookmarkEnd w:id="17"/>
    </w:p>
    <w:p>
      <w:pPr>
        <w:keepNext w:val="0"/>
        <w:keepLines w:val="0"/>
        <w:widowControl w:val="0"/>
        <w:suppressLineNumbers w:val="0"/>
        <w:spacing w:before="0" w:beforeAutospacing="0" w:after="0" w:afterAutospacing="0" w:line="576" w:lineRule="exact"/>
        <w:ind w:left="0" w:right="0" w:firstLine="642"/>
        <w:jc w:val="both"/>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1、依据党的路线、方针、政策和国家的法律、法规，负责受理、交办、转送信访人提出的信访事项。</w:t>
      </w:r>
    </w:p>
    <w:p>
      <w:pPr>
        <w:keepNext w:val="0"/>
        <w:keepLines w:val="0"/>
        <w:widowControl w:val="0"/>
        <w:suppressLineNumbers w:val="0"/>
        <w:spacing w:before="0" w:beforeAutospacing="0" w:after="0" w:afterAutospacing="0" w:line="576" w:lineRule="exact"/>
        <w:ind w:right="0" w:firstLine="640" w:firstLineChars="200"/>
        <w:jc w:val="both"/>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2、承办区委、区政府和上级机关转办、交办的信访事项。</w:t>
      </w:r>
    </w:p>
    <w:p>
      <w:pPr>
        <w:keepNext w:val="0"/>
        <w:keepLines w:val="0"/>
        <w:widowControl w:val="0"/>
        <w:suppressLineNumbers w:val="0"/>
        <w:spacing w:before="0" w:beforeAutospacing="0" w:after="0" w:afterAutospacing="0" w:line="576" w:lineRule="exact"/>
        <w:ind w:right="0" w:firstLine="640" w:firstLineChars="200"/>
        <w:jc w:val="both"/>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3、负责向各乡镇和区级机关各部门转办、交办信访事项，并督促、检查办理情况。</w:t>
      </w:r>
    </w:p>
    <w:p>
      <w:pPr>
        <w:keepNext w:val="0"/>
        <w:keepLines w:val="0"/>
        <w:widowControl w:val="0"/>
        <w:suppressLineNumbers w:val="0"/>
        <w:spacing w:before="0" w:beforeAutospacing="0" w:after="0" w:afterAutospacing="0" w:line="576" w:lineRule="exact"/>
        <w:ind w:left="0" w:right="0" w:firstLine="642"/>
        <w:jc w:val="both"/>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4、直接调查处理、组织或参与协调信访有关的信访问题，负责信访有关的复查。</w:t>
      </w:r>
    </w:p>
    <w:p>
      <w:pPr>
        <w:keepNext w:val="0"/>
        <w:keepLines w:val="0"/>
        <w:widowControl w:val="0"/>
        <w:suppressLineNumbers w:val="0"/>
        <w:spacing w:before="0" w:beforeAutospacing="0" w:after="0" w:afterAutospacing="0" w:line="576" w:lineRule="exact"/>
        <w:ind w:right="0"/>
        <w:jc w:val="both"/>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 xml:space="preserve">    5、负责全区信访法规的宣传教育。</w:t>
      </w:r>
    </w:p>
    <w:p>
      <w:pPr>
        <w:keepNext w:val="0"/>
        <w:keepLines w:val="0"/>
        <w:widowControl w:val="0"/>
        <w:suppressLineNumbers w:val="0"/>
        <w:spacing w:before="0" w:beforeAutospacing="0" w:after="0" w:afterAutospacing="0" w:line="576" w:lineRule="exact"/>
        <w:ind w:left="0" w:right="0" w:firstLine="642"/>
        <w:jc w:val="both"/>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6、研究、分析信访情况，开展调查研究，及时向区委、区政府提出完善政策和解决改进工作的建议。</w:t>
      </w:r>
    </w:p>
    <w:p>
      <w:pPr>
        <w:keepNext w:val="0"/>
        <w:keepLines w:val="0"/>
        <w:widowControl w:val="0"/>
        <w:suppressLineNumbers w:val="0"/>
        <w:spacing w:before="0" w:beforeAutospacing="0" w:after="0" w:afterAutospacing="0" w:line="576" w:lineRule="exact"/>
        <w:ind w:left="0" w:right="0" w:firstLine="642"/>
        <w:jc w:val="both"/>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7、负责信访干部队伍建设，组织培训信访工作人员。</w:t>
      </w:r>
    </w:p>
    <w:p>
      <w:pPr>
        <w:keepNext w:val="0"/>
        <w:keepLines w:val="0"/>
        <w:widowControl w:val="0"/>
        <w:suppressLineNumbers w:val="0"/>
        <w:spacing w:before="0" w:beforeAutospacing="0" w:after="0" w:afterAutospacing="0" w:line="576" w:lineRule="exact"/>
        <w:ind w:right="0"/>
        <w:jc w:val="both"/>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 xml:space="preserve">    8、负责区信访工作领导小组办公室和区处理信访突出问题及群体性事件联席会议办公室的日常工作，完成领导小组和联席会议交办的工作任务。</w:t>
      </w:r>
    </w:p>
    <w:p>
      <w:pPr>
        <w:keepNext w:val="0"/>
        <w:keepLines w:val="0"/>
        <w:widowControl w:val="0"/>
        <w:suppressLineNumbers w:val="0"/>
        <w:spacing w:before="0" w:beforeAutospacing="0" w:after="0" w:afterAutospacing="0" w:line="576" w:lineRule="exact"/>
        <w:ind w:left="0" w:right="0" w:firstLine="642"/>
        <w:jc w:val="both"/>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9、对各乡镇、区级各部门的信访工作进行指导。</w:t>
      </w:r>
    </w:p>
    <w:p>
      <w:pPr>
        <w:keepNext w:val="0"/>
        <w:keepLines w:val="0"/>
        <w:widowControl w:val="0"/>
        <w:suppressLineNumbers w:val="0"/>
        <w:spacing w:before="0" w:beforeAutospacing="0" w:after="0" w:afterAutospacing="0" w:line="576" w:lineRule="exact"/>
        <w:ind w:left="0" w:right="0" w:firstLine="642"/>
        <w:jc w:val="both"/>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10、负责承办12345政务服务热线平台相关工作。</w:t>
      </w:r>
    </w:p>
    <w:p>
      <w:pPr>
        <w:spacing w:line="560" w:lineRule="exact"/>
        <w:ind w:firstLine="640" w:firstLineChars="200"/>
        <w:outlineLvl w:val="1"/>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（二）202</w:t>
      </w:r>
      <w:r>
        <w:rPr>
          <w:rFonts w:hint="eastAsia" w:ascii="楷体_GB2312" w:hAnsi="楷体_GB2312" w:eastAsia="楷体_GB2312" w:cs="楷体_GB2312"/>
          <w:b w:val="0"/>
          <w:bCs w:val="0"/>
          <w:color w:val="000000"/>
          <w:sz w:val="32"/>
          <w:szCs w:val="32"/>
          <w:lang w:val="en-US" w:eastAsia="zh-CN"/>
        </w:rPr>
        <w:t>1</w:t>
      </w:r>
      <w:r>
        <w:rPr>
          <w:rFonts w:hint="eastAsia" w:ascii="楷体_GB2312" w:hAnsi="楷体_GB2312" w:eastAsia="楷体_GB2312" w:cs="楷体_GB2312"/>
          <w:b w:val="0"/>
          <w:bCs w:val="0"/>
          <w:color w:val="000000"/>
          <w:sz w:val="32"/>
          <w:szCs w:val="32"/>
        </w:rPr>
        <w:t>年重点工作完成情况</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960" w:firstLineChars="300"/>
        <w:textAlignment w:val="auto"/>
        <w:rPr>
          <w:rFonts w:hint="default" w:ascii="黑体" w:hAnsi="黑体" w:eastAsia="黑体" w:cs="黑体"/>
          <w:bCs/>
          <w:color w:val="auto"/>
          <w:sz w:val="32"/>
          <w:szCs w:val="32"/>
          <w:lang w:val="en-US" w:eastAsia="zh-CN"/>
        </w:rPr>
      </w:pPr>
      <w:r>
        <w:rPr>
          <w:rFonts w:hint="eastAsia" w:ascii="黑体" w:hAnsi="黑体" w:eastAsia="黑体" w:cs="黑体"/>
          <w:snapToGrid w:val="0"/>
          <w:color w:val="000000" w:themeColor="text1"/>
          <w:spacing w:val="0"/>
          <w:kern w:val="0"/>
          <w:sz w:val="32"/>
          <w:szCs w:val="32"/>
          <w:lang w:val="en-US" w:eastAsia="zh-CN"/>
          <w14:textFill>
            <w14:solidFill>
              <w14:schemeClr w14:val="tx1"/>
            </w14:solidFill>
          </w14:textFill>
        </w:rPr>
        <w:t>1.全区信访工作和“12345”热线办理情况</w:t>
      </w:r>
    </w:p>
    <w:p>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楷体_GB2312" w:hAnsi="楷体_GB2312" w:eastAsia="楷体_GB2312" w:cs="楷体_GB2312"/>
          <w:b w:val="0"/>
          <w:bCs/>
          <w:color w:val="auto"/>
          <w:sz w:val="32"/>
          <w:szCs w:val="32"/>
          <w:shd w:val="clear" w:color="auto" w:fill="FFFFFF"/>
          <w:lang w:eastAsia="zh-CN"/>
        </w:rPr>
      </w:pPr>
      <w:r>
        <w:rPr>
          <w:rFonts w:hint="eastAsia" w:ascii="楷体_GB2312" w:hAnsi="楷体_GB2312" w:eastAsia="楷体_GB2312" w:cs="楷体_GB2312"/>
          <w:b w:val="0"/>
          <w:bCs/>
          <w:color w:val="auto"/>
          <w:sz w:val="32"/>
          <w:szCs w:val="32"/>
          <w:shd w:val="clear" w:color="auto" w:fill="FFFFFF"/>
          <w:lang w:eastAsia="zh-CN"/>
        </w:rPr>
        <w:t>（</w:t>
      </w:r>
      <w:r>
        <w:rPr>
          <w:rFonts w:hint="eastAsia" w:ascii="楷体_GB2312" w:hAnsi="楷体_GB2312" w:eastAsia="楷体_GB2312" w:cs="楷体_GB2312"/>
          <w:b w:val="0"/>
          <w:bCs/>
          <w:color w:val="auto"/>
          <w:sz w:val="32"/>
          <w:szCs w:val="32"/>
          <w:shd w:val="clear" w:color="auto" w:fill="FFFFFF"/>
          <w:lang w:val="en-US" w:eastAsia="zh-CN"/>
        </w:rPr>
        <w:t>1</w:t>
      </w:r>
      <w:r>
        <w:rPr>
          <w:rFonts w:hint="eastAsia" w:ascii="楷体_GB2312" w:hAnsi="楷体_GB2312" w:eastAsia="楷体_GB2312" w:cs="楷体_GB2312"/>
          <w:b w:val="0"/>
          <w:bCs/>
          <w:color w:val="auto"/>
          <w:sz w:val="32"/>
          <w:szCs w:val="32"/>
          <w:shd w:val="clear" w:color="auto" w:fill="FFFFFF"/>
          <w:lang w:eastAsia="zh-CN"/>
        </w:rPr>
        <w:t>）</w:t>
      </w:r>
      <w:r>
        <w:rPr>
          <w:rFonts w:hint="eastAsia" w:ascii="楷体_GB2312" w:hAnsi="楷体_GB2312" w:eastAsia="楷体_GB2312" w:cs="楷体_GB2312"/>
          <w:b w:val="0"/>
          <w:bCs/>
          <w:color w:val="auto"/>
          <w:sz w:val="32"/>
          <w:szCs w:val="32"/>
          <w:shd w:val="clear" w:color="auto" w:fill="FFFFFF"/>
        </w:rPr>
        <w:t>信访工作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全区信访总体成“两降两升”趋势。截止12月20日，全区信访总量442件，与去年同期相比，下降20.9%。其中，各级走访203批378人次，与去年同期相比，批次上升3%、人次下降11%（到省走访2批2人次，到市走访59批76人次，本级走访142批300人次,无进京走访）；书信和网上投诉77件，与去年同期相比，上升38%；领导信箱162件，与去年同期相比，下降52%。</w:t>
      </w:r>
    </w:p>
    <w:p>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楷体_GB2312" w:hAnsi="楷体_GB2312" w:eastAsia="楷体_GB2312" w:cs="楷体_GB2312"/>
          <w:b w:val="0"/>
          <w:bCs/>
          <w:color w:val="auto"/>
          <w:sz w:val="32"/>
          <w:szCs w:val="32"/>
          <w:shd w:val="clear" w:color="auto" w:fill="FFFFFF"/>
          <w:lang w:val="en-US" w:eastAsia="zh-CN"/>
        </w:rPr>
      </w:pPr>
      <w:r>
        <w:rPr>
          <w:rFonts w:hint="eastAsia" w:ascii="楷体_GB2312" w:hAnsi="楷体_GB2312" w:eastAsia="楷体_GB2312" w:cs="楷体_GB2312"/>
          <w:b w:val="0"/>
          <w:bCs/>
          <w:color w:val="auto"/>
          <w:sz w:val="32"/>
          <w:szCs w:val="32"/>
          <w:shd w:val="clear" w:color="auto" w:fill="FFFFFF"/>
          <w:lang w:val="en-US" w:eastAsia="zh-CN"/>
        </w:rPr>
        <w:t>（2）12345政务服务热线工作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截止12月20日，共接到市12345政务服务热线平台交办件1744件，其中投诉类1251件，咨询类14件、建议类23件、求助类378件、举报类38件，疫情件40件。办结率为100%，延期率为9%，满意率为98%。</w:t>
      </w:r>
    </w:p>
    <w:p>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黑体" w:hAnsi="黑体" w:eastAsia="黑体" w:cs="黑体"/>
          <w:b w:val="0"/>
          <w:bCs/>
          <w:color w:val="auto"/>
          <w:sz w:val="32"/>
          <w:szCs w:val="32"/>
          <w:shd w:val="clear" w:color="auto" w:fill="FFFFFF"/>
        </w:rPr>
      </w:pPr>
      <w:r>
        <w:rPr>
          <w:rFonts w:hint="eastAsia" w:ascii="黑体" w:hAnsi="黑体" w:eastAsia="黑体" w:cs="黑体"/>
          <w:b w:val="0"/>
          <w:bCs/>
          <w:color w:val="auto"/>
          <w:sz w:val="32"/>
          <w:szCs w:val="32"/>
          <w:shd w:val="clear" w:color="auto" w:fill="FFFFFF"/>
          <w:lang w:val="en-US" w:eastAsia="zh-CN"/>
        </w:rPr>
        <w:t>2.2021年</w:t>
      </w:r>
      <w:r>
        <w:rPr>
          <w:rFonts w:hint="eastAsia" w:ascii="黑体" w:hAnsi="黑体" w:eastAsia="黑体" w:cs="黑体"/>
          <w:b w:val="0"/>
          <w:bCs/>
          <w:color w:val="auto"/>
          <w:sz w:val="32"/>
          <w:szCs w:val="32"/>
          <w:shd w:val="clear" w:color="auto" w:fill="FFFFFF"/>
          <w:lang w:eastAsia="zh-CN"/>
        </w:rPr>
        <w:t>工作开展情况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Times New Roman"/>
          <w:bCs/>
          <w:kern w:val="0"/>
          <w:sz w:val="32"/>
          <w:szCs w:val="32"/>
          <w:lang w:val="en-US" w:eastAsia="zh-CN" w:bidi="ar-SA"/>
        </w:rPr>
      </w:pPr>
      <w:r>
        <w:rPr>
          <w:rFonts w:hint="eastAsia" w:ascii="楷体_GB2312" w:hAnsi="楷体_GB2312" w:eastAsia="楷体_GB2312" w:cs="楷体_GB2312"/>
          <w:b w:val="0"/>
          <w:bCs/>
          <w:color w:val="000000"/>
          <w:sz w:val="32"/>
          <w:szCs w:val="32"/>
        </w:rPr>
        <w:t>（</w:t>
      </w:r>
      <w:r>
        <w:rPr>
          <w:rFonts w:hint="eastAsia" w:ascii="楷体_GB2312" w:hAnsi="楷体_GB2312" w:eastAsia="楷体_GB2312" w:cs="楷体_GB2312"/>
          <w:b w:val="0"/>
          <w:bCs/>
          <w:color w:val="000000"/>
          <w:sz w:val="32"/>
          <w:szCs w:val="32"/>
          <w:lang w:val="en-US" w:eastAsia="zh-CN"/>
        </w:rPr>
        <w:t>1</w:t>
      </w:r>
      <w:r>
        <w:rPr>
          <w:rFonts w:hint="eastAsia" w:ascii="楷体_GB2312" w:hAnsi="楷体_GB2312" w:eastAsia="楷体_GB2312" w:cs="楷体_GB2312"/>
          <w:b w:val="0"/>
          <w:bCs/>
          <w:color w:val="000000"/>
          <w:sz w:val="32"/>
          <w:szCs w:val="32"/>
        </w:rPr>
        <w:t>）</w:t>
      </w:r>
      <w:r>
        <w:rPr>
          <w:rFonts w:hint="eastAsia" w:ascii="楷体_GB2312" w:hAnsi="楷体_GB2312" w:eastAsia="楷体_GB2312" w:cs="楷体_GB2312"/>
          <w:b w:val="0"/>
          <w:bCs/>
          <w:sz w:val="32"/>
          <w:szCs w:val="32"/>
          <w:lang w:val="en-US" w:eastAsia="zh-CN"/>
        </w:rPr>
        <w:t>进一步健全领导接访机制。</w:t>
      </w:r>
      <w:r>
        <w:rPr>
          <w:rFonts w:hint="eastAsia" w:ascii="仿宋" w:hAnsi="仿宋" w:eastAsia="仿宋" w:cs="Times New Roman"/>
          <w:bCs/>
          <w:kern w:val="0"/>
          <w:sz w:val="32"/>
          <w:szCs w:val="32"/>
          <w:lang w:val="en-US" w:eastAsia="zh-CN" w:bidi="ar-SA"/>
        </w:rPr>
        <w:t>坚持县级领导“AB”岗接访制度和每日接访制度、“局长接待日”、多部门联合接访制度，对重点突出问题，实行主动约访、带案下访等方式，实现信访接待、交办、调查处理无缝对接。各级领导以强有力的示范带动驱动提升了各级各部门对信访工作高重视度，推动具体问题解决。</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cs="Times New Roman"/>
          <w:bCs/>
          <w:kern w:val="0"/>
          <w:sz w:val="32"/>
          <w:szCs w:val="32"/>
          <w:lang w:val="en-US" w:eastAsia="zh-CN" w:bidi="ar-SA"/>
        </w:rPr>
      </w:pP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lang w:val="en-US" w:eastAsia="zh-CN"/>
        </w:rPr>
        <w:t>2</w:t>
      </w: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themeColor="text1"/>
          <w:kern w:val="2"/>
          <w:sz w:val="32"/>
          <w:szCs w:val="32"/>
          <w:lang w:val="en-US" w:eastAsia="zh-CN" w:bidi="ar-SA"/>
          <w14:textFill>
            <w14:solidFill>
              <w14:schemeClr w14:val="tx1"/>
            </w14:solidFill>
          </w14:textFill>
        </w:rPr>
        <w:t>信访基础业务规范化建设水平不断提高。</w:t>
      </w:r>
      <w:r>
        <w:rPr>
          <w:rFonts w:hint="eastAsia" w:ascii="仿宋" w:hAnsi="仿宋" w:eastAsia="仿宋" w:cs="Times New Roman"/>
          <w:bCs/>
          <w:kern w:val="0"/>
          <w:sz w:val="32"/>
          <w:szCs w:val="32"/>
          <w:lang w:val="en-US" w:eastAsia="zh-CN" w:bidi="ar-SA"/>
        </w:rPr>
        <w:t>健全落实政法、公安、信访以及基层充分参与的稳定风险评估制度，从源头预防减少矛盾纠纷发生。大力畅通群众诉求渠道，网上信访成为我区群众信访的主阵地；全面推广“三个三”信访工作新模式，大量问题发现在萌芽、化解在基层。严格落实首办责任，大幅提升初次信访一次性办结率和群众满意率。加强“三率”工作统筹指导，做实做细做好转送交办、受理、办理、送达各个关节，建立信访事项办理问题弥补制度，对未及时受理、未按期办结、超期未评价和评价不满意信访事项督促及时整改到位，对办理质量存疑的信访事项进行核查。信访基础业务规范化运行推动“全国信访工作示范区”创建活动有序进行。</w:t>
      </w:r>
    </w:p>
    <w:p>
      <w:pPr>
        <w:pStyle w:val="1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仿宋" w:hAnsi="仿宋" w:eastAsia="仿宋" w:cs="Times New Roman"/>
          <w:bCs/>
          <w:kern w:val="0"/>
          <w:sz w:val="32"/>
          <w:szCs w:val="32"/>
          <w:lang w:val="en-US" w:eastAsia="zh-CN" w:bidi="ar-SA"/>
        </w:rPr>
      </w:pPr>
      <w:r>
        <w:rPr>
          <w:rStyle w:val="46"/>
          <w:rFonts w:hint="eastAsia" w:ascii="楷体" w:hAnsi="楷体" w:eastAsia="楷体" w:cs="楷体"/>
          <w:b w:val="0"/>
          <w:bCs/>
          <w:i w:val="0"/>
          <w:caps w:val="0"/>
          <w:color w:val="000000"/>
          <w:spacing w:val="0"/>
          <w:w w:val="100"/>
          <w:sz w:val="32"/>
          <w:szCs w:val="32"/>
          <w:lang w:val="en-US"/>
        </w:rPr>
        <w:t>（3）“治重化积”攻坚战有效减少信访存量</w:t>
      </w:r>
      <w:r>
        <w:rPr>
          <w:rStyle w:val="46"/>
          <w:rFonts w:hint="eastAsia" w:ascii="楷体" w:hAnsi="楷体" w:eastAsia="楷体" w:cs="楷体"/>
          <w:b w:val="0"/>
          <w:bCs/>
          <w:i w:val="0"/>
          <w:caps w:val="0"/>
          <w:color w:val="000000"/>
          <w:spacing w:val="0"/>
          <w:w w:val="100"/>
          <w:sz w:val="32"/>
          <w:szCs w:val="32"/>
        </w:rPr>
        <w:t>。</w:t>
      </w:r>
      <w:r>
        <w:rPr>
          <w:rFonts w:hint="eastAsia" w:ascii="仿宋" w:hAnsi="仿宋" w:eastAsia="仿宋" w:cs="Times New Roman"/>
          <w:bCs/>
          <w:kern w:val="0"/>
          <w:sz w:val="32"/>
          <w:szCs w:val="32"/>
          <w:lang w:val="en-US" w:eastAsia="zh-CN" w:bidi="ar-SA"/>
        </w:rPr>
        <w:t>自2020年9月开展治重化积专项工作以来，我局坚持把专项治理工作作为全局工作的重中之重，对中央第一批交办、省交办的12件重复信访案事项进行整理汇总、建立台账，“一对一”敲定12件重复信访事项推进方式方法，全部明确县级领导包案。完善信访联席会议统筹协调机制，主动搭台召开各类协调会、专题会，有效推进信访突出问题化解，今年中央第一批交办、省交办我区的12件重复信访事项已全部化解，完成市下目标任务。</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76" w:lineRule="exact"/>
        <w:ind w:firstLine="640" w:firstLineChars="200"/>
        <w:jc w:val="both"/>
        <w:textAlignment w:val="auto"/>
        <w:rPr>
          <w:rFonts w:hint="eastAsia" w:ascii="仿宋" w:hAnsi="仿宋" w:eastAsia="仿宋" w:cs="Times New Roman"/>
          <w:b w:val="0"/>
          <w:bCs/>
          <w:kern w:val="0"/>
          <w:sz w:val="32"/>
          <w:szCs w:val="32"/>
          <w:lang w:val="en-US" w:eastAsia="zh-CN" w:bidi="ar-SA"/>
        </w:rPr>
      </w:pPr>
      <w:r>
        <w:rPr>
          <w:rFonts w:hint="eastAsia" w:ascii="方正楷体简体" w:hAnsi="方正楷体简体" w:eastAsia="方正楷体简体" w:cs="方正楷体简体"/>
          <w:b w:val="0"/>
          <w:bCs w:val="0"/>
          <w:sz w:val="32"/>
          <w:szCs w:val="32"/>
          <w:lang w:val="en-US" w:eastAsia="zh-CN"/>
        </w:rPr>
        <w:t>（4）重要敏感节点全部“零”失误。</w:t>
      </w:r>
      <w:r>
        <w:rPr>
          <w:rFonts w:hint="eastAsia" w:ascii="仿宋" w:hAnsi="仿宋" w:eastAsia="仿宋" w:cs="Times New Roman"/>
          <w:b w:val="0"/>
          <w:bCs/>
          <w:kern w:val="0"/>
          <w:sz w:val="32"/>
          <w:szCs w:val="32"/>
          <w:lang w:val="en-US" w:eastAsia="zh-CN" w:bidi="ar-SA"/>
        </w:rPr>
        <w:t>全年信访稳定工作以以为庆祝建党100周年活动期间营造和谐稳定社会环境为核心，区信联办牵头在全区范围内开展“纵向到底+横向到边”的矛盾纠纷隐患排查化解行动，完善信息收集和研判，做好风险评估、应急处置、秩序维护、舆情监控等工作，做到有力有效把控涉稳风险，集中力量做好各敏感时段的值班工作，建党100周年庆祝活动期间、国省市区“两会”、李克强总理来朝天、市区换届“两会”等敏感节点全部平稳可控，未出现一例进京到省上访或影响会议活动正常开展的事件，全区信访总体形势良好。</w:t>
      </w:r>
    </w:p>
    <w:p>
      <w:pPr>
        <w:keepNext w:val="0"/>
        <w:keepLines w:val="0"/>
        <w:pageBreakBefore w:val="0"/>
        <w:widowControl/>
        <w:suppressLineNumbers w:val="0"/>
        <w:kinsoku/>
        <w:wordWrap/>
        <w:overflowPunct/>
        <w:topLinePunct w:val="0"/>
        <w:autoSpaceDE/>
        <w:autoSpaceDN/>
        <w:bidi w:val="0"/>
        <w:spacing w:line="576" w:lineRule="exact"/>
        <w:ind w:firstLine="640" w:firstLineChars="200"/>
        <w:jc w:val="both"/>
        <w:rPr>
          <w:rFonts w:hint="eastAsia" w:ascii="仿宋" w:hAnsi="仿宋" w:eastAsia="仿宋" w:cs="Times New Roman"/>
          <w:b w:val="0"/>
          <w:bCs/>
          <w:kern w:val="0"/>
          <w:sz w:val="32"/>
          <w:szCs w:val="32"/>
          <w:lang w:val="en-US" w:eastAsia="zh-CN" w:bidi="ar-SA"/>
        </w:rPr>
      </w:pPr>
      <w:r>
        <w:rPr>
          <w:rFonts w:hint="eastAsia" w:ascii="楷体_GB2312" w:hAnsi="楷体_GB2312" w:eastAsia="楷体_GB2312" w:cs="楷体_GB2312"/>
          <w:snapToGrid w:val="0"/>
          <w:color w:val="000000" w:themeColor="text1"/>
          <w:spacing w:val="0"/>
          <w:kern w:val="0"/>
          <w:sz w:val="32"/>
          <w:szCs w:val="32"/>
          <w:lang w:val="en-US" w:eastAsia="zh-CN"/>
          <w14:textFill>
            <w14:solidFill>
              <w14:schemeClr w14:val="tx1"/>
            </w14:solidFill>
          </w14:textFill>
        </w:rPr>
        <w:t>（5）“12345”政务服务热线办理水平全力提升。</w:t>
      </w:r>
      <w:r>
        <w:rPr>
          <w:rFonts w:hint="eastAsia" w:ascii="仿宋" w:hAnsi="仿宋" w:eastAsia="仿宋" w:cs="Times New Roman"/>
          <w:b w:val="0"/>
          <w:bCs/>
          <w:kern w:val="0"/>
          <w:sz w:val="32"/>
          <w:szCs w:val="32"/>
          <w:lang w:val="en-US" w:eastAsia="zh-CN" w:bidi="ar-SA"/>
        </w:rPr>
        <w:t>严格落实“12345”热线交办件即接即办要求，第一时间电话沟通联系，核实具体情况，按照职责分工转责任部门或乡镇办理回复、解决困难。同时对“12345”热线</w:t>
      </w:r>
      <w:r>
        <w:rPr>
          <w:rFonts w:hint="default" w:ascii="仿宋" w:hAnsi="仿宋" w:eastAsia="仿宋" w:cs="Times New Roman"/>
          <w:b w:val="0"/>
          <w:bCs/>
          <w:kern w:val="0"/>
          <w:sz w:val="32"/>
          <w:szCs w:val="32"/>
          <w:lang w:val="en-US" w:eastAsia="zh-CN" w:bidi="ar-SA"/>
        </w:rPr>
        <w:t>的投诉咨询件跟踪督办</w:t>
      </w:r>
      <w:r>
        <w:rPr>
          <w:rFonts w:hint="eastAsia" w:ascii="仿宋" w:hAnsi="仿宋" w:eastAsia="仿宋" w:cs="Times New Roman"/>
          <w:b w:val="0"/>
          <w:bCs/>
          <w:kern w:val="0"/>
          <w:sz w:val="32"/>
          <w:szCs w:val="32"/>
          <w:lang w:val="en-US" w:eastAsia="zh-CN" w:bidi="ar-SA"/>
        </w:rPr>
        <w:t>，</w:t>
      </w:r>
      <w:r>
        <w:rPr>
          <w:rFonts w:hint="default" w:ascii="仿宋" w:hAnsi="仿宋" w:eastAsia="仿宋" w:cs="Times New Roman"/>
          <w:b w:val="0"/>
          <w:bCs/>
          <w:kern w:val="0"/>
          <w:sz w:val="32"/>
          <w:szCs w:val="32"/>
          <w:lang w:val="en-US" w:eastAsia="zh-CN" w:bidi="ar-SA"/>
        </w:rPr>
        <w:t>建立滚动台账，对即将到期仍未办结答复的投诉咨询件，通过电话沟通、书面通报等方式，责成抓紧办结</w:t>
      </w:r>
      <w:r>
        <w:rPr>
          <w:rFonts w:hint="eastAsia" w:ascii="仿宋" w:hAnsi="仿宋" w:eastAsia="仿宋" w:cs="Times New Roman"/>
          <w:b w:val="0"/>
          <w:bCs/>
          <w:kern w:val="0"/>
          <w:sz w:val="32"/>
          <w:szCs w:val="32"/>
          <w:lang w:val="en-US" w:eastAsia="zh-CN" w:bidi="ar-SA"/>
        </w:rPr>
        <w:t>。对各乡镇、部门承办的“不满意”件进行再次转办，建立台账并全程跟进、核查、督办、反馈，形成“闭环”，在市“12345”热线统一回访后的基础上，再次对不满意件进行“二次回访”，全区“12345”热线工作满意率逐月提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Times New Roman"/>
          <w:b w:val="0"/>
          <w:bCs/>
          <w:kern w:val="0"/>
          <w:sz w:val="32"/>
          <w:szCs w:val="32"/>
          <w:lang w:val="en-US" w:eastAsia="zh-CN" w:bidi="ar-SA"/>
        </w:rPr>
      </w:pPr>
      <w:r>
        <w:rPr>
          <w:rFonts w:hint="eastAsia" w:ascii="楷体_GB2312" w:hAnsi="楷体_GB2312" w:eastAsia="楷体_GB2312" w:cs="楷体_GB2312"/>
          <w:snapToGrid w:val="0"/>
          <w:color w:val="000000" w:themeColor="text1"/>
          <w:spacing w:val="0"/>
          <w:kern w:val="0"/>
          <w:sz w:val="32"/>
          <w:szCs w:val="32"/>
          <w:lang w:val="en-US" w:eastAsia="zh-CN"/>
          <w14:textFill>
            <w14:solidFill>
              <w14:schemeClr w14:val="tx1"/>
            </w14:solidFill>
          </w14:textFill>
        </w:rPr>
        <w:t>（6）全力抓好党的建设各项工作。</w:t>
      </w:r>
      <w:r>
        <w:rPr>
          <w:rFonts w:hint="eastAsia" w:ascii="仿宋" w:hAnsi="仿宋" w:eastAsia="仿宋" w:cs="Times New Roman"/>
          <w:b w:val="0"/>
          <w:bCs/>
          <w:kern w:val="0"/>
          <w:sz w:val="32"/>
          <w:szCs w:val="32"/>
          <w:lang w:val="en-US" w:eastAsia="zh-CN" w:bidi="ar-SA"/>
        </w:rPr>
        <w:t>作为区直机关的一个党支部，我局高度重视党的建设工作，党支部多次专题开会研究党支部党的建设工作，认真贯彻落实中央、省委、市委和区委党建工作部署，落实重点任务。通过中心组学习、专题党课、集中研讨，以及“三会一课”“主题党日”等活动，主动作为，扎实工作，开拓进取，在推动党的建设落实上取得了新的成效。今年，结合党史学习教育，积极开展“我为群众办实事”活动，认真接待群众来访、办理群众来信和网上信访，切实解决好群众遇到的难事、烦心事、不平事，提高群众的满意度。扎实开展干部纪律作风整顿工作，把加强纪律作风建设放到突出地位，主要领导亲自抓、负总责，具体工作细化到点、责任落实到人，形成了《区委群工局纪律作风建设责任制清单》。同时对标对表12个方面突出问题，通过“自己查、相互提、领导点、集体审”等方式，按照“把自己摆进去、把职责摆进去、把工作摆进去，见人见事见思想”的要求深入自查，对发现的问题，制定问题台账，对症下药，制定整改措施，以提高整改效率。严格落实意识形态工作责任制，将意识形态工作与中心工作同部署、同落实、同检查、同考核,并将班子成员意识形态工作责任制落实情况作为述职考评的重要内容，着力在舆论引导、阵地管理上下功夫，弘扬了主旋律，提振了精气神。</w:t>
      </w:r>
    </w:p>
    <w:p>
      <w:pPr>
        <w:pStyle w:val="18"/>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eastAsia" w:ascii="仿宋" w:hAnsi="仿宋" w:eastAsia="仿宋" w:cs="Times New Roman"/>
          <w:b w:val="0"/>
          <w:bCs/>
          <w:kern w:val="0"/>
          <w:sz w:val="32"/>
          <w:szCs w:val="32"/>
          <w:lang w:val="en-US" w:eastAsia="zh-CN" w:bidi="ar-SA"/>
        </w:rPr>
      </w:pPr>
      <w:r>
        <w:rPr>
          <w:rStyle w:val="46"/>
          <w:rFonts w:hint="eastAsia" w:ascii="楷体_GB2312" w:hAnsi="楷体_GB2312" w:eastAsia="楷体_GB2312" w:cs="楷体_GB2312"/>
          <w:b w:val="0"/>
          <w:bCs/>
          <w:i w:val="0"/>
          <w:caps w:val="0"/>
          <w:color w:val="000000"/>
          <w:spacing w:val="0"/>
          <w:w w:val="100"/>
          <w:sz w:val="32"/>
          <w:szCs w:val="32"/>
          <w:lang w:val="en-US" w:eastAsia="zh-CN"/>
        </w:rPr>
        <w:t>（7）</w:t>
      </w:r>
      <w:r>
        <w:rPr>
          <w:rFonts w:hint="eastAsia" w:ascii="楷体_GB2312" w:hAnsi="楷体_GB2312" w:eastAsia="楷体_GB2312" w:cs="楷体_GB2312"/>
          <w:b w:val="0"/>
          <w:bCs/>
          <w:color w:val="auto"/>
          <w:sz w:val="32"/>
          <w:szCs w:val="32"/>
          <w:u w:val="none"/>
          <w:lang w:val="en-US" w:eastAsia="zh-CN"/>
        </w:rPr>
        <w:t>全面抓好疫情防控工作</w:t>
      </w:r>
      <w:r>
        <w:rPr>
          <w:rFonts w:hint="eastAsia" w:ascii="楷体_GB2312" w:hAnsi="楷体_GB2312" w:eastAsia="楷体_GB2312" w:cs="楷体_GB2312"/>
          <w:b w:val="0"/>
          <w:bCs/>
          <w:color w:val="000000"/>
          <w:sz w:val="32"/>
          <w:szCs w:val="32"/>
          <w:lang w:val="en-US" w:eastAsia="zh-CN"/>
        </w:rPr>
        <w:t>。</w:t>
      </w:r>
      <w:r>
        <w:rPr>
          <w:rFonts w:hint="eastAsia" w:ascii="仿宋" w:hAnsi="仿宋" w:eastAsia="仿宋" w:cs="Times New Roman"/>
          <w:b w:val="0"/>
          <w:bCs/>
          <w:kern w:val="0"/>
          <w:sz w:val="32"/>
          <w:szCs w:val="32"/>
          <w:lang w:val="en-US" w:eastAsia="zh-CN" w:bidi="ar-SA"/>
        </w:rPr>
        <w:t>严格执行群众来访信息排查制度，在接访大厅门口设置登记岗，安排专人值守，做到身份必核、信息必录、体温必测、口罩必戴，引导来访群众保持安全距离，做好个人防护；将网上信访和电话信访作为信访工作的主战场，全面打通来电、来信及网上投诉办理三个渠道，及时启动有关疫情方面问题快速办理程序。严格落实疫情常态化防控要求，严格落实外出报告和返回报备制度，严格落实疫情防控值班值守和宣传工作。截至年底我局未发生违反疫情防控要求以及因疫情影响工作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6" w:lineRule="exact"/>
        <w:ind w:left="0" w:right="0" w:firstLine="643"/>
        <w:jc w:val="left"/>
        <w:rPr>
          <w:rFonts w:hint="eastAsia" w:ascii="仿宋" w:hAnsi="仿宋" w:eastAsia="仿宋" w:cs="Times New Roman"/>
          <w:b w:val="0"/>
          <w:bCs/>
          <w:kern w:val="0"/>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（8）其他重点工作。</w:t>
      </w:r>
      <w:r>
        <w:rPr>
          <w:rFonts w:hint="eastAsia" w:ascii="仿宋" w:hAnsi="仿宋" w:eastAsia="仿宋" w:cs="Times New Roman"/>
          <w:b w:val="0"/>
          <w:bCs/>
          <w:kern w:val="0"/>
          <w:sz w:val="32"/>
          <w:szCs w:val="32"/>
          <w:lang w:val="en-US" w:eastAsia="zh-CN" w:bidi="ar-SA"/>
        </w:rPr>
        <w:t>一是严格按照国家、省、市、区巩固脱贫攻坚要求，入户开展帮扶工作，对涉及的责任范围主动对号入座、认领责任、逐项推进抓落实，重点检查“两不愁三保障”巩固情况、产业发展、稳岗就业、收入监测、防贫监测等工作，扎实推进巩固拓展脱贫攻坚成果同乡村振兴有效衔接。二是</w:t>
      </w:r>
      <w:r>
        <w:rPr>
          <w:rFonts w:hint="default" w:ascii="仿宋" w:hAnsi="仿宋" w:eastAsia="仿宋" w:cs="Times New Roman"/>
          <w:b w:val="0"/>
          <w:bCs/>
          <w:kern w:val="0"/>
          <w:sz w:val="32"/>
          <w:szCs w:val="32"/>
          <w:lang w:val="en-US" w:eastAsia="zh-CN" w:bidi="ar-SA"/>
        </w:rPr>
        <w:t>抓实</w:t>
      </w:r>
      <w:r>
        <w:rPr>
          <w:rFonts w:hint="eastAsia" w:ascii="仿宋" w:hAnsi="仿宋" w:eastAsia="仿宋" w:cs="Times New Roman"/>
          <w:b w:val="0"/>
          <w:bCs/>
          <w:kern w:val="0"/>
          <w:sz w:val="32"/>
          <w:szCs w:val="32"/>
          <w:lang w:val="en-US" w:eastAsia="zh-CN" w:bidi="ar-SA"/>
        </w:rPr>
        <w:t>依法治区工作，大力开展了干部职工及广大人民群众普法宣传教育，</w:t>
      </w:r>
      <w:r>
        <w:rPr>
          <w:rFonts w:hint="default" w:ascii="仿宋" w:hAnsi="仿宋" w:eastAsia="仿宋" w:cs="Times New Roman"/>
          <w:b w:val="0"/>
          <w:bCs/>
          <w:kern w:val="0"/>
          <w:sz w:val="32"/>
          <w:szCs w:val="32"/>
          <w:lang w:val="en-US" w:eastAsia="zh-CN" w:bidi="ar-SA"/>
        </w:rPr>
        <w:t>集中组织学</w:t>
      </w:r>
      <w:r>
        <w:rPr>
          <w:rFonts w:hint="eastAsia" w:ascii="仿宋" w:hAnsi="仿宋" w:eastAsia="仿宋" w:cs="Times New Roman"/>
          <w:b w:val="0"/>
          <w:bCs/>
          <w:kern w:val="0"/>
          <w:sz w:val="32"/>
          <w:szCs w:val="32"/>
          <w:lang w:val="en-US" w:eastAsia="zh-CN" w:bidi="ar-SA"/>
        </w:rPr>
        <w:t>了基本法律知识、党内法规等内容，</w:t>
      </w:r>
      <w:r>
        <w:rPr>
          <w:rFonts w:hint="default" w:ascii="仿宋" w:hAnsi="仿宋" w:eastAsia="仿宋" w:cs="Times New Roman"/>
          <w:b w:val="0"/>
          <w:bCs/>
          <w:kern w:val="0"/>
          <w:sz w:val="32"/>
          <w:szCs w:val="32"/>
          <w:lang w:val="en-US" w:eastAsia="zh-CN" w:bidi="ar-SA"/>
        </w:rPr>
        <w:t>进一步强化了领导干部和工作人员学法用法工作，全局领导干部和工作人员依法决策、依法行政有了显著提高。</w:t>
      </w:r>
      <w:r>
        <w:rPr>
          <w:rFonts w:hint="eastAsia" w:ascii="仿宋" w:hAnsi="仿宋" w:eastAsia="仿宋" w:cs="Times New Roman"/>
          <w:b w:val="0"/>
          <w:bCs/>
          <w:kern w:val="0"/>
          <w:sz w:val="32"/>
          <w:szCs w:val="32"/>
          <w:lang w:val="en-US" w:eastAsia="zh-CN" w:bidi="ar-SA"/>
        </w:rPr>
        <w:t>三是全力做好安全生产工作。落实岗位责任，定期组织集中学习安全法规，定期开展全面检查，发现隐患及时督促整改到位。截止年底我局未发生安全责任事故。</w:t>
      </w:r>
    </w:p>
    <w:p>
      <w:pPr>
        <w:pStyle w:val="4"/>
        <w:ind w:firstLine="640" w:firstLineChars="200"/>
        <w:rPr>
          <w:rFonts w:hint="eastAsia" w:ascii="黑体" w:hAnsi="黑体" w:eastAsia="黑体" w:cs="黑体"/>
          <w:b w:val="0"/>
          <w:bCs w:val="0"/>
          <w:color w:val="000000"/>
        </w:rPr>
      </w:pPr>
      <w:r>
        <w:rPr>
          <w:rFonts w:hint="eastAsia" w:ascii="黑体" w:hAnsi="黑体" w:eastAsia="黑体" w:cs="黑体"/>
          <w:b w:val="0"/>
          <w:bCs w:val="0"/>
          <w:color w:val="000000"/>
          <w:lang w:val="en-US" w:eastAsia="zh-CN"/>
        </w:rPr>
        <w:t>二、机构设置</w:t>
      </w:r>
    </w:p>
    <w:p>
      <w:pPr>
        <w:pStyle w:val="25"/>
        <w:numPr>
          <w:ilvl w:val="4"/>
          <w:numId w:val="0"/>
        </w:numPr>
        <w:ind w:firstLine="640" w:firstLineChars="200"/>
        <w:rPr>
          <w:rFonts w:hint="eastAsia" w:ascii="仿宋" w:hAnsi="仿宋" w:eastAsia="仿宋" w:cs="Times New Roman"/>
          <w:b w:val="0"/>
          <w:bCs/>
          <w:kern w:val="0"/>
          <w:sz w:val="32"/>
          <w:szCs w:val="32"/>
          <w:lang w:val="en-US" w:eastAsia="zh-CN" w:bidi="ar-SA"/>
        </w:rPr>
      </w:pPr>
      <w:r>
        <w:rPr>
          <w:rFonts w:hint="eastAsia" w:ascii="仿宋" w:hAnsi="仿宋" w:eastAsia="仿宋" w:cs="Times New Roman"/>
          <w:b w:val="0"/>
          <w:bCs/>
          <w:kern w:val="0"/>
          <w:sz w:val="32"/>
          <w:szCs w:val="32"/>
          <w:lang w:val="en-US" w:eastAsia="zh-CN" w:bidi="ar-SA"/>
        </w:rPr>
        <w:t>内设5个股室，分别是局办公室、宣教督办股、排查调处股、区委书记区长信箱管理办公室、12345政务服务热线办理办公室。下属一个事业单位区群众来访接待中心。2021年编制数14名，其中：行政编制7人，机关工勤人员1人，事业编制6人。2021年底实有在职人员15人,其中：行政人员8人，事业人员6人，机关工勤人员1人。另财政定额补助人员3人。</w:t>
      </w:r>
    </w:p>
    <w:p>
      <w:pPr>
        <w:keepNext w:val="0"/>
        <w:keepLines w:val="0"/>
        <w:widowControl/>
        <w:suppressLineNumbers w:val="0"/>
        <w:ind w:firstLine="640" w:firstLineChars="200"/>
        <w:jc w:val="left"/>
        <w:rPr>
          <w:rFonts w:hint="eastAsia" w:ascii="仿宋" w:hAnsi="仿宋" w:eastAsia="仿宋" w:cs="Times New Roman"/>
          <w:b w:val="0"/>
          <w:bCs/>
          <w:kern w:val="0"/>
          <w:sz w:val="32"/>
          <w:szCs w:val="32"/>
          <w:lang w:val="en-US" w:eastAsia="zh-CN" w:bidi="ar-SA"/>
        </w:rPr>
      </w:pPr>
      <w:r>
        <w:rPr>
          <w:rFonts w:hint="eastAsia" w:ascii="仿宋" w:hAnsi="仿宋" w:eastAsia="仿宋" w:cs="Times New Roman"/>
          <w:b w:val="0"/>
          <w:bCs/>
          <w:kern w:val="0"/>
          <w:sz w:val="32"/>
          <w:szCs w:val="32"/>
          <w:lang w:val="en-US" w:eastAsia="zh-CN" w:bidi="ar-SA"/>
        </w:rPr>
        <w:t>纳入 2021年度部门决算编制范围的二级预算单位:无</w:t>
      </w:r>
    </w:p>
    <w:p/>
    <w:bookmarkEnd w:id="14"/>
    <w:bookmarkEnd w:id="15"/>
    <w:p>
      <w:pPr>
        <w:pStyle w:val="3"/>
        <w:ind w:right="440"/>
        <w:jc w:val="center"/>
        <w:rPr>
          <w:rStyle w:val="35"/>
          <w:rFonts w:ascii="黑体" w:hAnsi="黑体" w:eastAsia="黑体"/>
          <w:b w:val="0"/>
          <w:bCs/>
          <w:color w:val="auto"/>
          <w:highlight w:val="none"/>
        </w:rPr>
      </w:pPr>
      <w:bookmarkStart w:id="18" w:name="_Toc15396602"/>
      <w:bookmarkStart w:id="19"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35"/>
          <w:rFonts w:hint="eastAsia" w:ascii="黑体" w:hAnsi="黑体" w:eastAsia="黑体"/>
          <w:b w:val="0"/>
          <w:bCs/>
          <w:color w:val="auto"/>
          <w:highlight w:val="none"/>
        </w:rPr>
        <w:t>部门决算情况说明</w:t>
      </w:r>
      <w:bookmarkEnd w:id="18"/>
      <w:bookmarkEnd w:id="19"/>
    </w:p>
    <w:p>
      <w:pPr>
        <w:rPr>
          <w:color w:val="auto"/>
          <w:highlight w:val="none"/>
        </w:rPr>
      </w:pPr>
    </w:p>
    <w:p>
      <w:pPr>
        <w:pStyle w:val="34"/>
        <w:numPr>
          <w:ilvl w:val="0"/>
          <w:numId w:val="2"/>
        </w:numPr>
        <w:spacing w:line="600" w:lineRule="exact"/>
        <w:ind w:firstLineChars="0"/>
        <w:outlineLvl w:val="1"/>
        <w:rPr>
          <w:rStyle w:val="36"/>
          <w:rFonts w:ascii="黑体" w:hAnsi="黑体" w:eastAsia="黑体"/>
          <w:b w:val="0"/>
          <w:color w:val="auto"/>
          <w:highlight w:val="none"/>
        </w:rPr>
      </w:pPr>
      <w:bookmarkStart w:id="20" w:name="_Toc15396603"/>
      <w:bookmarkStart w:id="21" w:name="_Toc15377205"/>
      <w:r>
        <w:rPr>
          <w:rFonts w:hint="eastAsia" w:ascii="黑体" w:hAnsi="黑体" w:eastAsia="黑体"/>
          <w:color w:val="auto"/>
          <w:sz w:val="32"/>
          <w:szCs w:val="32"/>
          <w:highlight w:val="none"/>
        </w:rPr>
        <w:t>收</w:t>
      </w:r>
      <w:r>
        <w:rPr>
          <w:rStyle w:val="36"/>
          <w:rFonts w:hint="eastAsia" w:ascii="黑体" w:hAnsi="黑体" w:eastAsia="黑体"/>
          <w:b w:val="0"/>
          <w:color w:val="auto"/>
          <w:highlight w:val="none"/>
        </w:rPr>
        <w:t>入支出决算总体情况说明</w:t>
      </w:r>
      <w:bookmarkEnd w:id="20"/>
      <w:bookmarkEnd w:id="21"/>
    </w:p>
    <w:p>
      <w:pPr>
        <w:ind w:firstLine="640" w:firstLineChars="200"/>
        <w:rPr>
          <w:rFonts w:hint="eastAsia" w:ascii="仿宋" w:hAnsi="仿宋" w:eastAsia="仿宋" w:cs="Times New Roman"/>
          <w:b w:val="0"/>
          <w:bCs/>
          <w:kern w:val="0"/>
          <w:sz w:val="32"/>
          <w:szCs w:val="32"/>
          <w:lang w:val="en-US" w:eastAsia="zh-CN" w:bidi="ar-SA"/>
        </w:rPr>
      </w:pPr>
      <w:r>
        <w:rPr>
          <w:rFonts w:hint="eastAsia" w:ascii="仿宋" w:hAnsi="仿宋" w:eastAsia="仿宋" w:cs="Times New Roman"/>
          <w:b w:val="0"/>
          <w:bCs/>
          <w:kern w:val="0"/>
          <w:sz w:val="32"/>
          <w:szCs w:val="32"/>
          <w:lang w:val="en-US" w:eastAsia="zh-CN" w:bidi="ar-SA"/>
        </w:rPr>
        <w:t>2021年度收、支总计分别为284.02万元。与2020年相比，收、支总计（分别为300.01万元）减少15.99万元，下降5%。减少的主要原因是：驻京驻省轮流值班工作经费减少。</w:t>
      </w:r>
    </w:p>
    <w:p>
      <w:pPr>
        <w:pStyle w:val="45"/>
        <w:rPr>
          <w:rFonts w:hint="eastAsia"/>
          <w:lang w:val="en-US" w:eastAsia="zh-CN"/>
        </w:rPr>
      </w:pPr>
    </w:p>
    <w:p>
      <w:pPr>
        <w:pStyle w:val="45"/>
        <w:rPr>
          <w:rFonts w:hint="eastAsia"/>
          <w:lang w:eastAsia="zh-CN"/>
        </w:rPr>
      </w:pPr>
    </w:p>
    <w:p>
      <w:pPr>
        <w:widowControl/>
        <w:jc w:val="center"/>
      </w:pPr>
    </w:p>
    <w:p>
      <w:pPr>
        <w:widowControl/>
        <w:jc w:val="center"/>
        <w:rPr>
          <w:rFonts w:ascii="宋体"/>
          <w:kern w:val="0"/>
          <w:sz w:val="24"/>
          <w:szCs w:val="24"/>
        </w:rPr>
      </w:pPr>
      <w:r>
        <w:drawing>
          <wp:inline distT="0" distB="0" distL="114300" distR="114300">
            <wp:extent cx="4572000" cy="2986405"/>
            <wp:effectExtent l="4445" t="4445" r="14605" b="19050"/>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rPr>
          <w:rFonts w:ascii="宋体"/>
          <w:kern w:val="0"/>
          <w:sz w:val="24"/>
          <w:szCs w:val="24"/>
        </w:rPr>
      </w:pPr>
    </w:p>
    <w:p>
      <w:pPr>
        <w:pStyle w:val="19"/>
        <w:ind w:left="0" w:leftChars="0" w:firstLine="0" w:firstLineChars="0"/>
        <w:jc w:val="center"/>
        <w:rPr>
          <w:rFonts w:hint="eastAsia" w:ascii="仿宋" w:hAnsi="仿宋" w:eastAsia="仿宋" w:cs="仿宋"/>
          <w:sz w:val="32"/>
          <w:szCs w:val="32"/>
        </w:rPr>
      </w:pPr>
      <w:r>
        <w:rPr>
          <w:rFonts w:hint="eastAsia" w:ascii="仿宋" w:hAnsi="仿宋" w:eastAsia="仿宋" w:cs="仿宋"/>
          <w:sz w:val="32"/>
          <w:szCs w:val="32"/>
        </w:rPr>
        <w:t>（图</w:t>
      </w:r>
      <w:r>
        <w:rPr>
          <w:rFonts w:ascii="仿宋" w:hAnsi="仿宋" w:eastAsia="仿宋" w:cs="仿宋"/>
          <w:sz w:val="32"/>
          <w:szCs w:val="32"/>
        </w:rPr>
        <w:t>1</w:t>
      </w:r>
      <w:r>
        <w:rPr>
          <w:rFonts w:hint="eastAsia" w:ascii="仿宋" w:hAnsi="仿宋" w:eastAsia="仿宋" w:cs="仿宋"/>
          <w:sz w:val="32"/>
          <w:szCs w:val="32"/>
        </w:rPr>
        <w:t>：收、支决算总计变动情况图）（柱状图）</w:t>
      </w:r>
    </w:p>
    <w:p>
      <w:pPr>
        <w:pStyle w:val="34"/>
        <w:numPr>
          <w:ilvl w:val="0"/>
          <w:numId w:val="2"/>
        </w:numPr>
        <w:spacing w:line="600" w:lineRule="exact"/>
        <w:ind w:firstLineChars="0"/>
        <w:outlineLvl w:val="1"/>
        <w:rPr>
          <w:rStyle w:val="36"/>
          <w:rFonts w:ascii="黑体" w:hAnsi="黑体" w:eastAsia="黑体"/>
          <w:b w:val="0"/>
          <w:color w:val="auto"/>
          <w:highlight w:val="none"/>
        </w:rPr>
      </w:pPr>
      <w:bookmarkStart w:id="22" w:name="_Toc15377206"/>
      <w:bookmarkStart w:id="23" w:name="_Toc15396604"/>
      <w:r>
        <w:rPr>
          <w:rFonts w:hint="eastAsia" w:ascii="黑体" w:hAnsi="黑体" w:eastAsia="黑体"/>
          <w:color w:val="auto"/>
          <w:sz w:val="32"/>
          <w:szCs w:val="32"/>
          <w:highlight w:val="none"/>
        </w:rPr>
        <w:t>收</w:t>
      </w:r>
      <w:r>
        <w:rPr>
          <w:rStyle w:val="36"/>
          <w:rFonts w:hint="eastAsia" w:ascii="黑体" w:hAnsi="黑体" w:eastAsia="黑体"/>
          <w:b w:val="0"/>
          <w:color w:val="auto"/>
          <w:highlight w:val="none"/>
        </w:rPr>
        <w:t>入决算情况说明</w:t>
      </w:r>
      <w:bookmarkEnd w:id="22"/>
      <w:bookmarkEnd w:id="23"/>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2021年本年收入合计284.02万元，其中：一般公共预算财政拨款收入284.02万元，占100%。</w:t>
      </w:r>
    </w:p>
    <w:p>
      <w:pPr>
        <w:pStyle w:val="45"/>
        <w:rPr>
          <w:rFonts w:hint="eastAsia"/>
          <w:lang w:eastAsia="zh-CN"/>
        </w:rPr>
      </w:pPr>
    </w:p>
    <w:p>
      <w:pPr>
        <w:widowControl/>
        <w:jc w:val="center"/>
        <w:rPr>
          <w:rFonts w:ascii="仿宋" w:hAnsi="仿宋" w:eastAsia="仿宋"/>
          <w:color w:val="000000"/>
          <w:sz w:val="32"/>
          <w:szCs w:val="32"/>
        </w:rPr>
      </w:pPr>
      <w:r>
        <w:drawing>
          <wp:inline distT="0" distB="0" distL="114300" distR="114300">
            <wp:extent cx="4810125" cy="2117725"/>
            <wp:effectExtent l="4445" t="4445" r="5080" b="1143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jc w:val="center"/>
        <w:rPr>
          <w:rFonts w:ascii="仿宋_GB2312" w:eastAsia="仿宋_GB2312"/>
          <w:color w:val="auto"/>
          <w:sz w:val="32"/>
          <w:szCs w:val="32"/>
          <w:highlight w:val="none"/>
        </w:rPr>
      </w:pPr>
      <w:r>
        <w:rPr>
          <w:rFonts w:hint="eastAsia" w:ascii="仿宋" w:hAnsi="仿宋" w:eastAsia="仿宋" w:cs="仿宋"/>
          <w:color w:val="000000"/>
          <w:sz w:val="32"/>
          <w:szCs w:val="32"/>
        </w:rPr>
        <w:t>（图</w:t>
      </w:r>
      <w:r>
        <w:rPr>
          <w:rFonts w:ascii="仿宋" w:hAnsi="仿宋" w:eastAsia="仿宋" w:cs="仿宋"/>
          <w:color w:val="000000"/>
          <w:sz w:val="32"/>
          <w:szCs w:val="32"/>
        </w:rPr>
        <w:t>2</w:t>
      </w:r>
      <w:r>
        <w:rPr>
          <w:rFonts w:hint="eastAsia" w:ascii="仿宋" w:hAnsi="仿宋" w:eastAsia="仿宋" w:cs="仿宋"/>
          <w:color w:val="000000"/>
          <w:sz w:val="32"/>
          <w:szCs w:val="32"/>
        </w:rPr>
        <w:t>：收入决算结构图）（饼状图）</w:t>
      </w:r>
    </w:p>
    <w:p>
      <w:pPr>
        <w:pStyle w:val="34"/>
        <w:numPr>
          <w:ilvl w:val="0"/>
          <w:numId w:val="2"/>
        </w:numPr>
        <w:spacing w:line="600" w:lineRule="exact"/>
        <w:ind w:firstLineChars="0"/>
        <w:outlineLvl w:val="1"/>
        <w:rPr>
          <w:rStyle w:val="36"/>
          <w:rFonts w:ascii="黑体" w:hAnsi="黑体" w:eastAsia="黑体"/>
          <w:b w:val="0"/>
          <w:color w:val="auto"/>
          <w:highlight w:val="none"/>
        </w:rPr>
      </w:pPr>
      <w:bookmarkStart w:id="24" w:name="_Toc15377207"/>
      <w:bookmarkStart w:id="25" w:name="_Toc15396605"/>
      <w:r>
        <w:rPr>
          <w:rFonts w:hint="eastAsia" w:ascii="黑体" w:hAnsi="黑体" w:eastAsia="黑体"/>
          <w:color w:val="auto"/>
          <w:sz w:val="32"/>
          <w:szCs w:val="32"/>
          <w:highlight w:val="none"/>
        </w:rPr>
        <w:t>支</w:t>
      </w:r>
      <w:r>
        <w:rPr>
          <w:rStyle w:val="36"/>
          <w:rFonts w:hint="eastAsia" w:ascii="黑体" w:hAnsi="黑体" w:eastAsia="黑体"/>
          <w:b w:val="0"/>
          <w:color w:val="auto"/>
          <w:highlight w:val="none"/>
        </w:rPr>
        <w:t>出决算情况说明</w:t>
      </w:r>
      <w:bookmarkEnd w:id="24"/>
      <w:bookmarkEnd w:id="25"/>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2021年本年支出合计284.02万元，其中：基本支出242.11万元，占85%；项目支出41.91万元，占15%。</w:t>
      </w:r>
    </w:p>
    <w:p>
      <w:pPr>
        <w:pStyle w:val="45"/>
        <w:rPr>
          <w:rFonts w:hint="eastAsia"/>
          <w:lang w:eastAsia="zh-CN"/>
        </w:rPr>
      </w:pPr>
    </w:p>
    <w:p>
      <w:pPr>
        <w:widowControl/>
        <w:jc w:val="center"/>
        <w:rPr>
          <w:rFonts w:ascii="仿宋" w:hAnsi="仿宋" w:eastAsia="仿宋"/>
          <w:sz w:val="32"/>
          <w:szCs w:val="32"/>
        </w:rPr>
      </w:pPr>
      <w:r>
        <w:drawing>
          <wp:inline distT="0" distB="0" distL="114300" distR="114300">
            <wp:extent cx="4572000" cy="2098675"/>
            <wp:effectExtent l="4445" t="4445" r="14605" b="11430"/>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640" w:firstLineChars="200"/>
        <w:outlineLvl w:val="1"/>
        <w:rPr>
          <w:rStyle w:val="36"/>
          <w:rFonts w:ascii="黑体" w:hAnsi="黑体" w:eastAsia="黑体"/>
          <w:b w:val="0"/>
          <w:color w:val="auto"/>
          <w:highlight w:val="none"/>
        </w:rPr>
      </w:pPr>
      <w:bookmarkStart w:id="26" w:name="_Toc15377208"/>
      <w:bookmarkStart w:id="27" w:name="_Toc15396606"/>
      <w:r>
        <w:rPr>
          <w:rFonts w:hint="eastAsia" w:ascii="黑体" w:hAnsi="黑体" w:eastAsia="黑体"/>
          <w:color w:val="auto"/>
          <w:sz w:val="32"/>
          <w:szCs w:val="32"/>
          <w:highlight w:val="none"/>
        </w:rPr>
        <w:t>四、财</w:t>
      </w:r>
      <w:r>
        <w:rPr>
          <w:rStyle w:val="36"/>
          <w:rFonts w:hint="eastAsia" w:ascii="黑体" w:hAnsi="黑体" w:eastAsia="黑体"/>
          <w:b w:val="0"/>
          <w:color w:val="auto"/>
          <w:highlight w:val="none"/>
        </w:rPr>
        <w:t>政拨款收入支出决算总体情况说明</w:t>
      </w:r>
      <w:bookmarkEnd w:id="26"/>
      <w:bookmarkEnd w:id="27"/>
    </w:p>
    <w:p>
      <w:pPr>
        <w:ind w:firstLine="640" w:firstLineChars="200"/>
        <w:rPr>
          <w:rFonts w:hint="eastAsia" w:ascii="仿宋" w:hAnsi="仿宋" w:eastAsia="仿宋" w:cs="仿宋"/>
          <w:kern w:val="0"/>
          <w:sz w:val="32"/>
          <w:szCs w:val="32"/>
          <w:highlight w:val="yellow"/>
          <w:lang w:val="en-US" w:eastAsia="zh-CN" w:bidi="ar-SA"/>
        </w:rPr>
      </w:pPr>
      <w:r>
        <w:rPr>
          <w:rFonts w:hint="eastAsia" w:ascii="仿宋" w:hAnsi="仿宋" w:eastAsia="仿宋" w:cs="仿宋"/>
          <w:kern w:val="0"/>
          <w:sz w:val="32"/>
          <w:szCs w:val="32"/>
          <w:lang w:val="en-US" w:eastAsia="zh-CN" w:bidi="ar-SA"/>
        </w:rPr>
        <w:t>2021年财政拨款收、支总计分别为284.02万元。与2020年收、支总计（分别为300.01万元）相比，财政拨款收、支各减少15.99万元，下降5%。减少的主要原因是：</w:t>
      </w:r>
      <w:r>
        <w:rPr>
          <w:rFonts w:hint="eastAsia" w:ascii="仿宋" w:hAnsi="仿宋" w:eastAsia="仿宋" w:cs="Times New Roman"/>
          <w:b w:val="0"/>
          <w:bCs/>
          <w:kern w:val="0"/>
          <w:sz w:val="32"/>
          <w:szCs w:val="32"/>
          <w:lang w:val="en-US" w:eastAsia="zh-CN" w:bidi="ar-SA"/>
        </w:rPr>
        <w:t>驻京驻省轮流值班工作经费减少。</w:t>
      </w:r>
    </w:p>
    <w:p>
      <w:pPr>
        <w:pStyle w:val="26"/>
        <w:jc w:val="center"/>
      </w:pPr>
      <w:r>
        <w:drawing>
          <wp:inline distT="0" distB="0" distL="114300" distR="114300">
            <wp:extent cx="4572000" cy="2417445"/>
            <wp:effectExtent l="4445" t="4445" r="14605" b="16510"/>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firstLineChars="200"/>
        <w:outlineLvl w:val="1"/>
        <w:rPr>
          <w:rStyle w:val="36"/>
          <w:rFonts w:ascii="黑体" w:hAnsi="黑体" w:eastAsia="黑体"/>
          <w:b w:val="0"/>
          <w:color w:val="auto"/>
          <w:highlight w:val="none"/>
        </w:rPr>
      </w:pPr>
      <w:bookmarkStart w:id="28" w:name="_Toc15377209"/>
      <w:bookmarkStart w:id="29"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6"/>
          <w:rFonts w:hint="eastAsia" w:ascii="黑体" w:hAnsi="黑体" w:eastAsia="黑体"/>
          <w:b w:val="0"/>
          <w:color w:val="auto"/>
          <w:highlight w:val="none"/>
        </w:rPr>
        <w:t>般公共预算财政拨款支出决算情况说明</w:t>
      </w:r>
      <w:bookmarkEnd w:id="28"/>
      <w:bookmarkEnd w:id="29"/>
    </w:p>
    <w:p>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bookmarkStart w:id="30" w:name="_Toc15377210"/>
      <w:r>
        <w:rPr>
          <w:rFonts w:hint="eastAsia" w:ascii="楷体_GB2312" w:hAnsi="楷体_GB2312" w:eastAsia="楷体_GB2312" w:cs="楷体_GB2312"/>
          <w:b w:val="0"/>
          <w:bCs/>
          <w:color w:val="auto"/>
          <w:sz w:val="32"/>
          <w:szCs w:val="32"/>
          <w:highlight w:val="none"/>
        </w:rPr>
        <w:t>（一）一般公共预算财政拨款支出决算总体情况</w:t>
      </w:r>
      <w:bookmarkEnd w:id="30"/>
    </w:p>
    <w:p>
      <w:pPr>
        <w:ind w:firstLine="640" w:firstLineChars="200"/>
        <w:rPr>
          <w:rFonts w:hint="eastAsia" w:ascii="仿宋_GB2312" w:hAnsi="仿宋_GB2312" w:eastAsia="仿宋_GB2312" w:cs="仿宋_GB2312"/>
          <w:b w:val="0"/>
          <w:bCs w:val="0"/>
          <w:kern w:val="2"/>
          <w:sz w:val="32"/>
          <w:szCs w:val="32"/>
          <w:highlight w:val="none"/>
          <w:lang w:val="en-US" w:eastAsia="zh-CN" w:bidi="ar"/>
        </w:rPr>
      </w:pPr>
      <w:r>
        <w:rPr>
          <w:rFonts w:hint="eastAsia" w:ascii="仿宋" w:hAnsi="仿宋" w:eastAsia="仿宋"/>
          <w:color w:val="auto"/>
          <w:sz w:val="32"/>
          <w:szCs w:val="32"/>
          <w:highlight w:val="none"/>
          <w:lang w:val="en-US" w:eastAsia="zh-CN"/>
        </w:rPr>
        <w:t>2021年一般公共预算财政拨款支出284.02万元，占本年支出合计的100%。与2020年（300.01万元）相比，一般公共预算财政拨款支出减少15.99万元，下降5%。减少的主要原因是：</w:t>
      </w:r>
      <w:r>
        <w:rPr>
          <w:rFonts w:hint="eastAsia" w:ascii="仿宋" w:hAnsi="仿宋" w:eastAsia="仿宋" w:cs="Times New Roman"/>
          <w:b w:val="0"/>
          <w:bCs/>
          <w:kern w:val="0"/>
          <w:sz w:val="32"/>
          <w:szCs w:val="32"/>
          <w:lang w:val="en-US" w:eastAsia="zh-CN" w:bidi="ar-SA"/>
        </w:rPr>
        <w:t>驻京驻省轮流值班工作经费减少。</w:t>
      </w:r>
    </w:p>
    <w:p>
      <w:pPr>
        <w:pStyle w:val="20"/>
      </w:pPr>
    </w:p>
    <w:p>
      <w:pPr>
        <w:pStyle w:val="26"/>
        <w:jc w:val="center"/>
      </w:pPr>
      <w:r>
        <w:drawing>
          <wp:inline distT="0" distB="0" distL="114300" distR="114300">
            <wp:extent cx="4880610" cy="3079750"/>
            <wp:effectExtent l="4445" t="4445" r="10795" b="2095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26"/>
        <w:jc w:val="center"/>
      </w:pPr>
    </w:p>
    <w:p>
      <w:pPr>
        <w:spacing w:line="600" w:lineRule="exact"/>
        <w:ind w:firstLine="560" w:firstLineChars="200"/>
        <w:rPr>
          <w:rFonts w:ascii="仿宋" w:hAnsi="仿宋" w:eastAsia="仿宋"/>
          <w:color w:val="auto"/>
          <w:sz w:val="32"/>
          <w:szCs w:val="32"/>
          <w:highlight w:val="none"/>
        </w:rPr>
      </w:pPr>
      <w:r>
        <w:rPr>
          <w:rFonts w:hint="eastAsia" w:ascii="仿宋" w:hAnsi="仿宋" w:eastAsia="仿宋"/>
          <w:color w:val="auto"/>
          <w:sz w:val="28"/>
          <w:szCs w:val="28"/>
          <w:highlight w:val="none"/>
        </w:rPr>
        <w:t>（图5：一般公共预算财政拨款支出决算变动情况）（柱状图）</w:t>
      </w:r>
    </w:p>
    <w:p>
      <w:pPr>
        <w:spacing w:line="600" w:lineRule="exact"/>
        <w:ind w:firstLine="643" w:firstLineChars="200"/>
        <w:outlineLvl w:val="2"/>
        <w:rPr>
          <w:rFonts w:hint="eastAsia" w:ascii="楷体_GB2312" w:hAnsi="楷体_GB2312" w:eastAsia="楷体_GB2312" w:cs="楷体_GB2312"/>
          <w:b/>
          <w:color w:val="auto"/>
          <w:sz w:val="32"/>
          <w:szCs w:val="32"/>
          <w:highlight w:val="none"/>
        </w:rPr>
      </w:pPr>
      <w:bookmarkStart w:id="31" w:name="_Toc15377211"/>
      <w:r>
        <w:rPr>
          <w:rFonts w:hint="eastAsia" w:ascii="楷体_GB2312" w:hAnsi="楷体_GB2312" w:eastAsia="楷体_GB2312" w:cs="楷体_GB2312"/>
          <w:b/>
          <w:color w:val="auto"/>
          <w:sz w:val="32"/>
          <w:szCs w:val="32"/>
          <w:highlight w:val="none"/>
        </w:rPr>
        <w:t>（二）一般公共预算财政拨款支出决算结构情况</w:t>
      </w:r>
      <w:bookmarkEnd w:id="31"/>
    </w:p>
    <w:p>
      <w:pPr>
        <w:spacing w:line="600" w:lineRule="exact"/>
        <w:ind w:firstLine="640" w:firstLineChars="200"/>
        <w:outlineLvl w:val="1"/>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2021年一般公共预算财政拨款支出284.02万元，主要用于以下方面：</w:t>
      </w:r>
      <w:r>
        <w:rPr>
          <w:rFonts w:hint="eastAsia" w:ascii="仿宋" w:hAnsi="仿宋" w:eastAsia="仿宋" w:cs="Times New Roman"/>
          <w:b/>
          <w:bCs/>
          <w:sz w:val="32"/>
          <w:szCs w:val="32"/>
          <w:lang w:val="en-US" w:eastAsia="zh-CN"/>
        </w:rPr>
        <w:t>一般公共服务（类）</w:t>
      </w:r>
      <w:r>
        <w:rPr>
          <w:rFonts w:hint="eastAsia" w:ascii="仿宋" w:hAnsi="仿宋" w:eastAsia="仿宋" w:cs="Times New Roman"/>
          <w:sz w:val="32"/>
          <w:szCs w:val="32"/>
          <w:lang w:val="en-US" w:eastAsia="zh-CN"/>
        </w:rPr>
        <w:t>217.57万元，占77%；</w:t>
      </w:r>
      <w:r>
        <w:rPr>
          <w:rFonts w:hint="eastAsia" w:ascii="仿宋" w:hAnsi="仿宋" w:eastAsia="仿宋" w:cs="Times New Roman"/>
          <w:b/>
          <w:bCs/>
          <w:sz w:val="32"/>
          <w:szCs w:val="32"/>
          <w:lang w:val="en-US" w:eastAsia="zh-CN"/>
        </w:rPr>
        <w:t>社会保障和就业（类）</w:t>
      </w:r>
      <w:r>
        <w:rPr>
          <w:rFonts w:hint="eastAsia" w:ascii="仿宋" w:hAnsi="仿宋" w:eastAsia="仿宋" w:cs="Times New Roman"/>
          <w:sz w:val="32"/>
          <w:szCs w:val="32"/>
          <w:lang w:val="en-US" w:eastAsia="zh-CN"/>
        </w:rPr>
        <w:t>38.35万元，占14%；</w:t>
      </w:r>
      <w:r>
        <w:rPr>
          <w:rFonts w:hint="eastAsia" w:ascii="仿宋" w:hAnsi="仿宋" w:eastAsia="仿宋" w:cs="Times New Roman"/>
          <w:b/>
          <w:bCs/>
          <w:sz w:val="32"/>
          <w:szCs w:val="32"/>
          <w:lang w:val="en-US" w:eastAsia="zh-CN"/>
        </w:rPr>
        <w:t>卫生健康支出（类）</w:t>
      </w:r>
      <w:r>
        <w:rPr>
          <w:rFonts w:hint="eastAsia" w:ascii="仿宋" w:hAnsi="仿宋" w:eastAsia="仿宋" w:cs="Times New Roman"/>
          <w:sz w:val="32"/>
          <w:szCs w:val="32"/>
          <w:lang w:val="en-US" w:eastAsia="zh-CN"/>
        </w:rPr>
        <w:t>9.75万元，占3%；</w:t>
      </w:r>
      <w:r>
        <w:rPr>
          <w:rFonts w:hint="eastAsia" w:ascii="仿宋" w:hAnsi="仿宋" w:eastAsia="仿宋" w:cs="Times New Roman"/>
          <w:b/>
          <w:bCs/>
          <w:sz w:val="32"/>
          <w:szCs w:val="32"/>
          <w:lang w:val="en-US" w:eastAsia="zh-CN"/>
        </w:rPr>
        <w:t>住房保障支出（类）</w:t>
      </w:r>
      <w:r>
        <w:rPr>
          <w:rFonts w:hint="eastAsia" w:ascii="仿宋" w:hAnsi="仿宋" w:eastAsia="仿宋" w:cs="Times New Roman"/>
          <w:sz w:val="32"/>
          <w:szCs w:val="32"/>
          <w:lang w:val="en-US" w:eastAsia="zh-CN"/>
        </w:rPr>
        <w:t>18.35万元，占6%。</w:t>
      </w:r>
    </w:p>
    <w:p>
      <w:pPr>
        <w:pStyle w:val="26"/>
        <w:jc w:val="center"/>
        <w:rPr>
          <w:rFonts w:hint="eastAsia" w:ascii="仿宋" w:hAnsi="仿宋" w:eastAsia="仿宋"/>
          <w:b/>
          <w:color w:val="auto"/>
          <w:sz w:val="32"/>
          <w:szCs w:val="32"/>
          <w:highlight w:val="none"/>
        </w:rPr>
      </w:pPr>
      <w:r>
        <w:drawing>
          <wp:inline distT="0" distB="0" distL="114300" distR="114300">
            <wp:extent cx="4572000" cy="2352675"/>
            <wp:effectExtent l="4445" t="4445" r="14605" b="5080"/>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（图6：一般公共预算财政拨款支出决算结构）（饼状图）</w:t>
      </w:r>
    </w:p>
    <w:p>
      <w:pPr>
        <w:spacing w:line="600" w:lineRule="exact"/>
        <w:ind w:firstLine="640" w:firstLineChars="200"/>
        <w:jc w:val="center"/>
        <w:rPr>
          <w:rFonts w:ascii="仿宋" w:hAnsi="仿宋" w:eastAsia="仿宋"/>
          <w:color w:val="FF0000"/>
          <w:sz w:val="32"/>
          <w:szCs w:val="32"/>
          <w:highlight w:val="none"/>
        </w:rPr>
      </w:pPr>
    </w:p>
    <w:p>
      <w:pPr>
        <w:spacing w:line="600" w:lineRule="exact"/>
        <w:ind w:firstLine="643" w:firstLineChars="200"/>
        <w:outlineLvl w:val="2"/>
        <w:rPr>
          <w:rFonts w:hint="eastAsia" w:ascii="楷体_GB2312" w:hAnsi="楷体_GB2312" w:eastAsia="楷体_GB2312" w:cs="楷体_GB2312"/>
          <w:b/>
          <w:color w:val="auto"/>
          <w:sz w:val="32"/>
          <w:szCs w:val="32"/>
          <w:highlight w:val="none"/>
        </w:rPr>
      </w:pPr>
      <w:bookmarkStart w:id="32" w:name="_Toc15377212"/>
      <w:r>
        <w:rPr>
          <w:rFonts w:hint="eastAsia" w:ascii="楷体_GB2312" w:hAnsi="楷体_GB2312" w:eastAsia="楷体_GB2312" w:cs="楷体_GB2312"/>
          <w:b/>
          <w:color w:val="auto"/>
          <w:sz w:val="32"/>
          <w:szCs w:val="32"/>
          <w:highlight w:val="none"/>
        </w:rPr>
        <w:t>（三）一般公共预算财政拨款支出决算具体情况</w:t>
      </w:r>
      <w:bookmarkEnd w:id="32"/>
    </w:p>
    <w:p>
      <w:pPr>
        <w:spacing w:line="600" w:lineRule="exact"/>
        <w:ind w:firstLine="643" w:firstLineChars="200"/>
        <w:outlineLvl w:val="2"/>
        <w:rPr>
          <w:rStyle w:val="23"/>
          <w:rFonts w:hint="eastAsia" w:ascii="仿宋_GB2312" w:hAnsi="仿宋_GB2312" w:eastAsia="仿宋_GB2312" w:cs="仿宋_GB2312"/>
          <w:bCs/>
          <w:color w:val="FF0000"/>
          <w:sz w:val="32"/>
          <w:szCs w:val="32"/>
          <w:highlight w:val="none"/>
        </w:rPr>
      </w:pPr>
      <w:bookmarkStart w:id="33" w:name="_Toc15377213"/>
      <w:bookmarkStart w:id="34" w:name="_Toc15377444"/>
      <w:bookmarkStart w:id="35" w:name="_Toc15378460"/>
      <w:r>
        <w:rPr>
          <w:rFonts w:hint="eastAsia" w:ascii="仿宋" w:hAnsi="仿宋" w:eastAsia="仿宋" w:cs="Times New Roman"/>
          <w:b/>
          <w:bCs/>
          <w:sz w:val="32"/>
          <w:szCs w:val="32"/>
          <w:lang w:val="en-US" w:eastAsia="zh-CN"/>
        </w:rPr>
        <w:t>2021年一般公共预算支出决算数为284.02，完成预算100%。其中</w:t>
      </w:r>
      <w:r>
        <w:rPr>
          <w:rFonts w:hint="eastAsia" w:ascii="仿宋" w:hAnsi="仿宋" w:eastAsia="仿宋" w:cs="Times New Roman"/>
          <w:sz w:val="32"/>
          <w:szCs w:val="32"/>
          <w:lang w:val="en-US" w:eastAsia="zh-CN"/>
        </w:rPr>
        <w:t>：</w:t>
      </w:r>
      <w:bookmarkEnd w:id="33"/>
      <w:bookmarkEnd w:id="34"/>
      <w:bookmarkEnd w:id="35"/>
    </w:p>
    <w:p>
      <w:pPr>
        <w:spacing w:line="600" w:lineRule="exact"/>
        <w:ind w:firstLine="643" w:firstLineChars="200"/>
        <w:rPr>
          <w:rFonts w:hint="eastAsia" w:ascii="仿宋" w:hAnsi="仿宋" w:eastAsia="仿宋" w:cs="Times New Roman"/>
          <w:b w:val="0"/>
          <w:bCs w:val="0"/>
          <w:sz w:val="32"/>
          <w:szCs w:val="32"/>
          <w:lang w:val="en-US" w:eastAsia="zh-CN"/>
        </w:rPr>
      </w:pPr>
      <w:r>
        <w:rPr>
          <w:rFonts w:hint="eastAsia" w:ascii="仿宋" w:hAnsi="仿宋" w:eastAsia="仿宋" w:cs="Times New Roman"/>
          <w:b/>
          <w:bCs/>
          <w:sz w:val="32"/>
          <w:szCs w:val="32"/>
          <w:lang w:val="en-US" w:eastAsia="zh-CN"/>
        </w:rPr>
        <w:t>1.一般公共服务（类）政府办公厅（室）及相关机构事务（款）行政运行（项）:</w:t>
      </w:r>
      <w:r>
        <w:rPr>
          <w:rStyle w:val="23"/>
          <w:rFonts w:hint="eastAsia" w:ascii="仿宋" w:hAnsi="仿宋" w:eastAsia="仿宋" w:cs="仿宋"/>
          <w:color w:val="FF0000"/>
          <w:sz w:val="32"/>
          <w:szCs w:val="32"/>
          <w:lang w:val="en-US" w:eastAsia="zh-CN"/>
        </w:rPr>
        <w:t xml:space="preserve"> </w:t>
      </w:r>
      <w:r>
        <w:rPr>
          <w:rFonts w:hint="eastAsia" w:ascii="仿宋" w:hAnsi="仿宋" w:eastAsia="仿宋" w:cs="Times New Roman"/>
          <w:b w:val="0"/>
          <w:bCs w:val="0"/>
          <w:sz w:val="32"/>
          <w:szCs w:val="32"/>
          <w:lang w:val="en-US" w:eastAsia="zh-CN"/>
        </w:rPr>
        <w:t>支出决算为130.14万元，完成调整预算100%。</w:t>
      </w:r>
    </w:p>
    <w:p>
      <w:pPr>
        <w:numPr>
          <w:ilvl w:val="0"/>
          <w:numId w:val="0"/>
        </w:numPr>
        <w:spacing w:line="600" w:lineRule="exact"/>
        <w:ind w:firstLine="643" w:firstLineChars="200"/>
        <w:rPr>
          <w:rFonts w:hint="eastAsia" w:ascii="仿宋" w:hAnsi="仿宋" w:eastAsia="仿宋" w:cs="Times New Roman"/>
          <w:b w:val="0"/>
          <w:bCs w:val="0"/>
          <w:sz w:val="32"/>
          <w:szCs w:val="32"/>
          <w:lang w:val="en-US" w:eastAsia="zh-CN"/>
        </w:rPr>
      </w:pPr>
      <w:r>
        <w:rPr>
          <w:rFonts w:hint="eastAsia" w:ascii="仿宋" w:hAnsi="仿宋" w:eastAsia="仿宋" w:cs="Times New Roman"/>
          <w:b/>
          <w:bCs/>
          <w:sz w:val="32"/>
          <w:szCs w:val="32"/>
          <w:lang w:val="en-US" w:eastAsia="zh-CN"/>
        </w:rPr>
        <w:t>2.一般公共服务（类）政府办公厅（室）及相关机构事务（款）一般行政管理事务（项）:</w:t>
      </w:r>
      <w:r>
        <w:rPr>
          <w:rStyle w:val="23"/>
          <w:rFonts w:hint="eastAsia" w:ascii="仿宋" w:hAnsi="仿宋" w:eastAsia="仿宋"/>
          <w:bCs/>
          <w:color w:val="FF0000"/>
          <w:sz w:val="32"/>
          <w:szCs w:val="32"/>
          <w:lang w:val="en-US" w:eastAsia="zh-CN"/>
        </w:rPr>
        <w:t xml:space="preserve"> </w:t>
      </w:r>
      <w:r>
        <w:rPr>
          <w:rFonts w:hint="eastAsia" w:ascii="仿宋" w:hAnsi="仿宋" w:eastAsia="仿宋" w:cs="Times New Roman"/>
          <w:b w:val="0"/>
          <w:bCs w:val="0"/>
          <w:sz w:val="32"/>
          <w:szCs w:val="32"/>
          <w:lang w:val="en-US" w:eastAsia="zh-CN"/>
        </w:rPr>
        <w:t>支出决算为24.28万元，完成调整预算100%。</w:t>
      </w:r>
    </w:p>
    <w:p>
      <w:pPr>
        <w:pStyle w:val="45"/>
        <w:ind w:left="0" w:leftChars="0" w:firstLine="643"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bCs/>
          <w:kern w:val="2"/>
          <w:sz w:val="32"/>
          <w:szCs w:val="32"/>
          <w:lang w:val="en-US" w:eastAsia="zh-CN" w:bidi="ar-SA"/>
        </w:rPr>
        <w:t>3.一般公共服务（类）政府办公厅（室）及相关机构事务（款）信访事务（项）</w:t>
      </w:r>
      <w:r>
        <w:rPr>
          <w:rStyle w:val="23"/>
          <w:rFonts w:ascii="仿宋" w:hAnsi="仿宋" w:eastAsia="仿宋"/>
          <w:bCs/>
          <w:color w:val="auto"/>
          <w:sz w:val="32"/>
          <w:szCs w:val="32"/>
        </w:rPr>
        <w:t>:</w:t>
      </w:r>
      <w:r>
        <w:rPr>
          <w:rFonts w:hint="eastAsia" w:ascii="仿宋" w:hAnsi="仿宋" w:eastAsia="仿宋" w:cs="Times New Roman"/>
          <w:b w:val="0"/>
          <w:bCs w:val="0"/>
          <w:kern w:val="2"/>
          <w:sz w:val="32"/>
          <w:szCs w:val="32"/>
          <w:lang w:val="en-US" w:eastAsia="zh-CN" w:bidi="ar-SA"/>
        </w:rPr>
        <w:t xml:space="preserve"> 支出决算为17.63万元，完成调整预算100%。</w:t>
      </w:r>
    </w:p>
    <w:p>
      <w:pPr>
        <w:numPr>
          <w:ilvl w:val="0"/>
          <w:numId w:val="0"/>
        </w:numPr>
        <w:spacing w:line="600" w:lineRule="exact"/>
        <w:ind w:firstLine="643"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bCs/>
          <w:kern w:val="2"/>
          <w:sz w:val="32"/>
          <w:szCs w:val="32"/>
          <w:lang w:val="en-US" w:eastAsia="zh-CN" w:bidi="ar-SA"/>
        </w:rPr>
        <w:t>4.一般公共服务（类）政府办公厅（室）及相关机构事务（款）事业运行（项）</w:t>
      </w:r>
      <w:r>
        <w:rPr>
          <w:rStyle w:val="23"/>
          <w:rFonts w:ascii="仿宋" w:hAnsi="仿宋" w:eastAsia="仿宋"/>
          <w:b w:val="0"/>
          <w:bCs w:val="0"/>
          <w:color w:val="FF0000"/>
          <w:sz w:val="32"/>
          <w:szCs w:val="32"/>
        </w:rPr>
        <w:t>:</w:t>
      </w:r>
      <w:r>
        <w:rPr>
          <w:rStyle w:val="23"/>
          <w:rFonts w:hint="eastAsia" w:ascii="仿宋" w:hAnsi="仿宋" w:eastAsia="仿宋"/>
          <w:b w:val="0"/>
          <w:bCs w:val="0"/>
          <w:color w:val="FF0000"/>
          <w:sz w:val="32"/>
          <w:szCs w:val="32"/>
          <w:lang w:val="en-US" w:eastAsia="zh-CN"/>
        </w:rPr>
        <w:t xml:space="preserve"> </w:t>
      </w:r>
      <w:r>
        <w:rPr>
          <w:rFonts w:hint="eastAsia" w:ascii="仿宋" w:hAnsi="仿宋" w:eastAsia="仿宋" w:cs="Times New Roman"/>
          <w:b w:val="0"/>
          <w:bCs w:val="0"/>
          <w:kern w:val="2"/>
          <w:sz w:val="32"/>
          <w:szCs w:val="32"/>
          <w:lang w:val="en-US" w:eastAsia="zh-CN" w:bidi="ar-SA"/>
        </w:rPr>
        <w:t>支出决算为45.52万元，完成调整预算100%。</w:t>
      </w:r>
    </w:p>
    <w:p>
      <w:pPr>
        <w:numPr>
          <w:ilvl w:val="0"/>
          <w:numId w:val="0"/>
        </w:numPr>
        <w:spacing w:line="600" w:lineRule="exact"/>
        <w:ind w:firstLine="643"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bCs/>
          <w:kern w:val="2"/>
          <w:sz w:val="32"/>
          <w:szCs w:val="32"/>
          <w:lang w:val="en-US" w:eastAsia="zh-CN" w:bidi="ar-SA"/>
        </w:rPr>
        <w:t>5.社会保障和就业（类）行政事业单位养老支出（款）机关事业单位基本养老保险缴费支出（项）:</w:t>
      </w:r>
      <w:r>
        <w:rPr>
          <w:rStyle w:val="23"/>
          <w:rFonts w:ascii="仿宋" w:hAnsi="仿宋" w:eastAsia="仿宋" w:cs="仿宋"/>
          <w:b w:val="0"/>
          <w:bCs w:val="0"/>
          <w:color w:val="FF0000"/>
          <w:sz w:val="32"/>
          <w:szCs w:val="32"/>
        </w:rPr>
        <w:t xml:space="preserve"> </w:t>
      </w:r>
      <w:r>
        <w:rPr>
          <w:rFonts w:hint="eastAsia" w:ascii="仿宋" w:hAnsi="仿宋" w:eastAsia="仿宋" w:cs="Times New Roman"/>
          <w:b w:val="0"/>
          <w:bCs w:val="0"/>
          <w:kern w:val="2"/>
          <w:sz w:val="32"/>
          <w:szCs w:val="32"/>
          <w:lang w:val="en-US" w:eastAsia="zh-CN" w:bidi="ar-SA"/>
        </w:rPr>
        <w:t>支出决算为18.12万元，完成调整预算100%。</w:t>
      </w:r>
    </w:p>
    <w:p>
      <w:pPr>
        <w:numPr>
          <w:ilvl w:val="0"/>
          <w:numId w:val="0"/>
        </w:numPr>
        <w:spacing w:line="600" w:lineRule="exact"/>
        <w:ind w:firstLine="643"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bCs/>
          <w:kern w:val="2"/>
          <w:sz w:val="32"/>
          <w:szCs w:val="32"/>
          <w:lang w:val="en-US" w:eastAsia="zh-CN" w:bidi="ar-SA"/>
        </w:rPr>
        <w:t>6.社会保障和就业（类）行政事业单位养老支出（款）其他社会保障和就业支出（项）：</w:t>
      </w:r>
      <w:r>
        <w:rPr>
          <w:rFonts w:hint="eastAsia" w:ascii="仿宋" w:hAnsi="仿宋" w:eastAsia="仿宋" w:cs="Times New Roman"/>
          <w:b w:val="0"/>
          <w:bCs w:val="0"/>
          <w:kern w:val="2"/>
          <w:sz w:val="32"/>
          <w:szCs w:val="32"/>
          <w:lang w:val="en-US" w:eastAsia="zh-CN" w:bidi="ar-SA"/>
        </w:rPr>
        <w:t>支出决算为20.23万元，完成调整预算100%。</w:t>
      </w:r>
    </w:p>
    <w:p>
      <w:pPr>
        <w:spacing w:line="600" w:lineRule="exact"/>
        <w:ind w:firstLine="643"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bCs/>
          <w:kern w:val="2"/>
          <w:sz w:val="32"/>
          <w:szCs w:val="32"/>
          <w:lang w:val="en-US" w:eastAsia="zh-CN" w:bidi="ar-SA"/>
        </w:rPr>
        <w:t>7.卫生健康支出（类）行政事业单位医疗（款）行政单位医疗（项）：</w:t>
      </w:r>
      <w:r>
        <w:rPr>
          <w:rFonts w:hint="eastAsia" w:ascii="仿宋" w:hAnsi="仿宋" w:eastAsia="仿宋" w:cs="Times New Roman"/>
          <w:b w:val="0"/>
          <w:bCs w:val="0"/>
          <w:kern w:val="2"/>
          <w:sz w:val="32"/>
          <w:szCs w:val="32"/>
          <w:lang w:val="en-US" w:eastAsia="zh-CN" w:bidi="ar-SA"/>
        </w:rPr>
        <w:t xml:space="preserve"> 支出决算为9.75万元，完成调整预算100%。</w:t>
      </w:r>
    </w:p>
    <w:p>
      <w:pPr>
        <w:spacing w:line="600" w:lineRule="exact"/>
        <w:ind w:firstLine="643"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bCs/>
          <w:kern w:val="2"/>
          <w:sz w:val="32"/>
          <w:szCs w:val="32"/>
          <w:lang w:val="en-US" w:eastAsia="zh-CN" w:bidi="ar-SA"/>
        </w:rPr>
        <w:t>8.住房保障支出（类）住房改革支出（款）住房公积金（项）：</w:t>
      </w:r>
      <w:r>
        <w:rPr>
          <w:rFonts w:hint="eastAsia" w:ascii="仿宋" w:hAnsi="仿宋" w:eastAsia="仿宋" w:cs="Times New Roman"/>
          <w:b w:val="0"/>
          <w:bCs w:val="0"/>
          <w:kern w:val="2"/>
          <w:sz w:val="32"/>
          <w:szCs w:val="32"/>
          <w:lang w:val="en-US" w:eastAsia="zh-CN" w:bidi="ar-SA"/>
        </w:rPr>
        <w:t xml:space="preserve"> 支出决算为18.35万元，完成调整预算100%。</w:t>
      </w:r>
    </w:p>
    <w:p>
      <w:pPr>
        <w:tabs>
          <w:tab w:val="right" w:pos="8306"/>
        </w:tabs>
        <w:spacing w:line="600" w:lineRule="exact"/>
        <w:ind w:firstLine="640"/>
        <w:outlineLvl w:val="1"/>
        <w:rPr>
          <w:rStyle w:val="36"/>
          <w:color w:val="auto"/>
          <w:highlight w:val="none"/>
        </w:rPr>
      </w:pPr>
      <w:bookmarkStart w:id="36" w:name="_Toc15396608"/>
      <w:bookmarkStart w:id="37"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6"/>
          <w:rFonts w:hint="eastAsia" w:ascii="黑体" w:hAnsi="黑体" w:eastAsia="黑体"/>
          <w:b w:val="0"/>
          <w:color w:val="auto"/>
          <w:highlight w:val="none"/>
        </w:rPr>
        <w:t>般公共预算财政拨款基本支出决算情况说明</w:t>
      </w:r>
      <w:bookmarkEnd w:id="36"/>
      <w:bookmarkEnd w:id="37"/>
      <w:r>
        <w:rPr>
          <w:rStyle w:val="36"/>
          <w:rFonts w:ascii="黑体" w:hAnsi="黑体" w:eastAsia="黑体"/>
          <w:b w:val="0"/>
          <w:color w:val="auto"/>
          <w:highlight w:val="none"/>
        </w:rPr>
        <w:tab/>
      </w:r>
    </w:p>
    <w:p>
      <w:pPr>
        <w:spacing w:line="600" w:lineRule="exact"/>
        <w:ind w:firstLine="640" w:firstLineChars="200"/>
        <w:outlineLvl w:val="1"/>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2021年一般公共预算财政拨款基本支出242.11万元，其中：</w:t>
      </w:r>
    </w:p>
    <w:p>
      <w:pPr>
        <w:spacing w:line="600" w:lineRule="exact"/>
        <w:ind w:firstLine="640" w:firstLineChars="200"/>
        <w:outlineLvl w:val="1"/>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人员经费232.78万元，主要包括：基本工资、津贴补贴、奖金、绩效工资、机关事业单位基本养老保险缴费、职工基本医疗保险缴费、其他社</w:t>
      </w:r>
      <w:bookmarkStart w:id="69" w:name="_GoBack"/>
      <w:bookmarkEnd w:id="69"/>
      <w:r>
        <w:rPr>
          <w:rFonts w:hint="eastAsia" w:ascii="仿宋" w:hAnsi="仿宋" w:eastAsia="仿宋" w:cs="Times New Roman"/>
          <w:sz w:val="32"/>
          <w:szCs w:val="32"/>
          <w:lang w:val="en-US" w:eastAsia="zh-CN"/>
        </w:rPr>
        <w:t>会保障缴费、住房公积金、其他工资福利支出、生活补助、奖励金等。</w:t>
      </w:r>
    </w:p>
    <w:p>
      <w:pPr>
        <w:spacing w:line="600" w:lineRule="exact"/>
        <w:ind w:firstLine="640" w:firstLineChars="200"/>
        <w:outlineLvl w:val="1"/>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公用经费9.33万元，主要包括：办公费、印刷费、手续费、水费、电费、邮电费、物业管理费、差旅费、公务接待费、劳务费、其他交通费等。</w:t>
      </w:r>
    </w:p>
    <w:p>
      <w:pPr>
        <w:spacing w:line="600" w:lineRule="exact"/>
        <w:ind w:firstLine="640"/>
        <w:outlineLvl w:val="1"/>
        <w:rPr>
          <w:rStyle w:val="36"/>
          <w:rFonts w:ascii="黑体" w:hAnsi="黑体" w:eastAsia="黑体"/>
          <w:b w:val="0"/>
          <w:color w:val="auto"/>
          <w:highlight w:val="none"/>
        </w:rPr>
      </w:pPr>
      <w:bookmarkStart w:id="38" w:name="_Toc15377215"/>
      <w:bookmarkStart w:id="39" w:name="_Toc15396609"/>
      <w:r>
        <w:rPr>
          <w:rFonts w:hint="eastAsia" w:ascii="黑体" w:eastAsia="黑体"/>
          <w:color w:val="auto"/>
          <w:sz w:val="32"/>
          <w:szCs w:val="32"/>
          <w:highlight w:val="none"/>
        </w:rPr>
        <w:t>七、</w:t>
      </w:r>
      <w:r>
        <w:rPr>
          <w:rStyle w:val="36"/>
          <w:rFonts w:hint="eastAsia" w:ascii="黑体" w:hAnsi="黑体" w:eastAsia="黑体"/>
          <w:color w:val="auto"/>
          <w:highlight w:val="none"/>
        </w:rPr>
        <w:t>“</w:t>
      </w:r>
      <w:r>
        <w:rPr>
          <w:rStyle w:val="36"/>
          <w:rFonts w:hint="eastAsia" w:ascii="黑体" w:hAnsi="黑体" w:eastAsia="黑体"/>
          <w:b w:val="0"/>
          <w:color w:val="auto"/>
          <w:highlight w:val="none"/>
        </w:rPr>
        <w:t>三公”经费财政拨款支出决算情况说明</w:t>
      </w:r>
      <w:bookmarkEnd w:id="38"/>
      <w:bookmarkEnd w:id="39"/>
    </w:p>
    <w:p>
      <w:pPr>
        <w:spacing w:line="600" w:lineRule="exact"/>
        <w:ind w:firstLine="640"/>
        <w:outlineLvl w:val="2"/>
        <w:rPr>
          <w:rFonts w:hint="eastAsia" w:ascii="楷体_GB2312" w:hAnsi="楷体_GB2312" w:eastAsia="楷体_GB2312" w:cs="楷体_GB2312"/>
          <w:b w:val="0"/>
          <w:bCs/>
          <w:color w:val="auto"/>
          <w:sz w:val="32"/>
          <w:szCs w:val="32"/>
          <w:highlight w:val="none"/>
        </w:rPr>
      </w:pPr>
      <w:bookmarkStart w:id="40" w:name="_Toc15377216"/>
      <w:r>
        <w:rPr>
          <w:rFonts w:hint="eastAsia" w:ascii="楷体_GB2312" w:hAnsi="楷体_GB2312" w:eastAsia="楷体_GB2312" w:cs="楷体_GB2312"/>
          <w:b w:val="0"/>
          <w:bCs/>
          <w:color w:val="auto"/>
          <w:sz w:val="32"/>
          <w:szCs w:val="32"/>
          <w:highlight w:val="none"/>
        </w:rPr>
        <w:t>（一）“三公”经费财政拨款支出决算总体情况说明</w:t>
      </w:r>
      <w:bookmarkEnd w:id="40"/>
    </w:p>
    <w:p>
      <w:pPr>
        <w:spacing w:line="600" w:lineRule="exact"/>
        <w:ind w:firstLine="640" w:firstLineChars="200"/>
        <w:outlineLvl w:val="1"/>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2021年“三公”经费财政拨款支出决算为0.19万元，完成年初预算0.19万元的100%，主要原因是：严格按接待要求控制用餐人数、次数和接待标准。</w:t>
      </w:r>
    </w:p>
    <w:p>
      <w:pPr>
        <w:numPr>
          <w:ilvl w:val="0"/>
          <w:numId w:val="3"/>
        </w:numPr>
        <w:spacing w:line="600" w:lineRule="exact"/>
        <w:ind w:firstLine="640"/>
        <w:outlineLvl w:val="2"/>
        <w:rPr>
          <w:rFonts w:hint="eastAsia" w:ascii="楷体_GB2312" w:hAnsi="楷体_GB2312" w:eastAsia="楷体_GB2312" w:cs="楷体_GB2312"/>
          <w:b/>
          <w:color w:val="auto"/>
          <w:sz w:val="32"/>
          <w:szCs w:val="32"/>
          <w:highlight w:val="none"/>
        </w:rPr>
      </w:pPr>
      <w:bookmarkStart w:id="41" w:name="_Toc15377217"/>
      <w:r>
        <w:rPr>
          <w:rFonts w:hint="eastAsia" w:ascii="楷体_GB2312" w:hAnsi="楷体_GB2312" w:eastAsia="楷体_GB2312" w:cs="楷体_GB2312"/>
          <w:b/>
          <w:color w:val="auto"/>
          <w:sz w:val="32"/>
          <w:szCs w:val="32"/>
          <w:highlight w:val="none"/>
        </w:rPr>
        <w:t>“三公”经费财政拨款支出决算具体情况说明</w:t>
      </w:r>
      <w:bookmarkEnd w:id="41"/>
    </w:p>
    <w:p>
      <w:pPr>
        <w:spacing w:line="600" w:lineRule="exact"/>
        <w:ind w:firstLine="640" w:firstLineChars="200"/>
        <w:outlineLvl w:val="1"/>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2021年“三公”经费财政拨款支出决算中，因公出国（境）费支出决算0万元；公务用车购置及运行维护费支出决算0万元；公务接待费4批23人次（不包括陪同人员）支出决算0.19万元，占100%。具体情况如下：</w:t>
      </w:r>
    </w:p>
    <w:p>
      <w:pPr>
        <w:pStyle w:val="26"/>
        <w:jc w:val="center"/>
        <w:rPr>
          <w:rFonts w:hint="eastAsia" w:ascii="仿宋" w:hAnsi="仿宋" w:eastAsia="仿宋"/>
          <w:color w:val="auto"/>
          <w:sz w:val="32"/>
          <w:szCs w:val="32"/>
          <w:highlight w:val="none"/>
        </w:rPr>
      </w:pPr>
      <w:r>
        <w:drawing>
          <wp:inline distT="0" distB="0" distL="114300" distR="114300">
            <wp:extent cx="4572000" cy="2407285"/>
            <wp:effectExtent l="4445" t="4445" r="14605" b="7620"/>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0"/>
        <w:rPr>
          <w:rFonts w:hint="eastAsia" w:ascii="仿宋_GB2312" w:eastAsia="仿宋_GB2312"/>
          <w:b/>
          <w:color w:val="auto"/>
          <w:sz w:val="32"/>
          <w:szCs w:val="32"/>
          <w:highlight w:val="none"/>
          <w:lang w:eastAsia="zh-CN"/>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 w:hAnsi="仿宋" w:eastAsia="仿宋" w:cs="Times New Roman"/>
          <w:sz w:val="32"/>
          <w:szCs w:val="32"/>
          <w:lang w:val="en-US" w:eastAsia="zh-CN"/>
        </w:rPr>
        <w:t>0万元。</w:t>
      </w:r>
    </w:p>
    <w:p>
      <w:pPr>
        <w:spacing w:line="600" w:lineRule="exact"/>
        <w:ind w:firstLine="640"/>
        <w:rPr>
          <w:rFonts w:hint="eastAsia" w:ascii="仿宋_GB2312" w:hAnsi="仿宋_GB2312" w:eastAsia="仿宋_GB2312" w:cs="仿宋_GB2312"/>
          <w:color w:val="auto"/>
          <w:sz w:val="32"/>
          <w:szCs w:val="32"/>
          <w:highlight w:val="none"/>
          <w:lang w:val="en-US" w:eastAsia="zh-CN"/>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 w:hAnsi="仿宋" w:eastAsia="仿宋" w:cs="Times New Roman"/>
          <w:sz w:val="32"/>
          <w:szCs w:val="32"/>
          <w:lang w:val="en-US" w:eastAsia="zh-CN"/>
        </w:rPr>
        <w:t>0万元</w:t>
      </w:r>
      <w:r>
        <w:rPr>
          <w:rFonts w:hint="eastAsia" w:ascii="仿宋_GB2312" w:hAnsi="仿宋_GB2312" w:eastAsia="仿宋_GB2312" w:cs="仿宋_GB2312"/>
          <w:color w:val="auto"/>
          <w:sz w:val="32"/>
          <w:szCs w:val="32"/>
          <w:highlight w:val="none"/>
          <w:lang w:val="en-US" w:eastAsia="zh-CN"/>
        </w:rPr>
        <w:t>。</w:t>
      </w:r>
    </w:p>
    <w:p>
      <w:pPr>
        <w:spacing w:line="600" w:lineRule="exact"/>
        <w:ind w:firstLine="640" w:firstLineChars="200"/>
        <w:rPr>
          <w:rFonts w:ascii="仿宋_GB2312" w:eastAsia="仿宋_GB2312"/>
          <w:b/>
          <w:color w:val="auto"/>
          <w:sz w:val="32"/>
          <w:szCs w:val="32"/>
          <w:highlight w:val="none"/>
        </w:rPr>
      </w:pPr>
      <w:r>
        <w:rPr>
          <w:rFonts w:hint="eastAsia" w:ascii="仿宋" w:hAnsi="仿宋" w:eastAsia="仿宋" w:cs="Times New Roman"/>
          <w:sz w:val="32"/>
          <w:szCs w:val="32"/>
          <w:lang w:val="en-US" w:eastAsia="zh-CN"/>
        </w:rPr>
        <w:t>其中：</w:t>
      </w:r>
      <w:r>
        <w:rPr>
          <w:rFonts w:hint="eastAsia" w:ascii="仿宋_GB2312" w:eastAsia="仿宋_GB2312"/>
          <w:b/>
          <w:color w:val="auto"/>
          <w:sz w:val="32"/>
          <w:szCs w:val="32"/>
          <w:highlight w:val="none"/>
        </w:rPr>
        <w:t>公务用车购置支出</w:t>
      </w:r>
      <w:r>
        <w:rPr>
          <w:rFonts w:hint="eastAsia" w:ascii="仿宋" w:hAnsi="仿宋" w:eastAsia="仿宋" w:cs="Times New Roman"/>
          <w:sz w:val="32"/>
          <w:szCs w:val="32"/>
          <w:lang w:val="en-US" w:eastAsia="zh-CN"/>
        </w:rPr>
        <w:t>0万元。</w:t>
      </w:r>
    </w:p>
    <w:p>
      <w:pPr>
        <w:spacing w:line="60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b/>
          <w:color w:val="auto"/>
          <w:sz w:val="32"/>
          <w:szCs w:val="32"/>
          <w:highlight w:val="none"/>
        </w:rPr>
        <w:t>公务用车运行维护费支出</w:t>
      </w:r>
      <w:r>
        <w:rPr>
          <w:rFonts w:hint="eastAsia" w:ascii="仿宋" w:hAnsi="仿宋" w:eastAsia="仿宋" w:cs="Times New Roman"/>
          <w:sz w:val="32"/>
          <w:szCs w:val="32"/>
          <w:lang w:val="en-US" w:eastAsia="zh-CN"/>
        </w:rPr>
        <w:t>0万元。</w:t>
      </w:r>
    </w:p>
    <w:p>
      <w:pPr>
        <w:spacing w:line="60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b/>
          <w:color w:val="auto"/>
          <w:sz w:val="32"/>
          <w:szCs w:val="32"/>
          <w:highlight w:val="none"/>
          <w:lang w:val="en-US" w:eastAsia="zh-CN"/>
        </w:rPr>
        <w:t>3.</w:t>
      </w:r>
      <w:r>
        <w:rPr>
          <w:rFonts w:hint="eastAsia" w:ascii="仿宋_GB2312" w:eastAsia="仿宋_GB2312"/>
          <w:b/>
          <w:color w:val="auto"/>
          <w:sz w:val="32"/>
          <w:szCs w:val="32"/>
          <w:highlight w:val="none"/>
        </w:rPr>
        <w:t>公务接待费支出</w:t>
      </w:r>
      <w:r>
        <w:rPr>
          <w:rFonts w:hint="eastAsia" w:ascii="仿宋" w:hAnsi="仿宋" w:eastAsia="仿宋" w:cs="Times New Roman"/>
          <w:sz w:val="32"/>
          <w:szCs w:val="32"/>
          <w:lang w:val="en-US" w:eastAsia="zh-CN"/>
        </w:rPr>
        <w:t>0.19万元，完成预算100%。公务接待费支出决算比2020年0.20万元减少0.01万元，下降5%。减少主要原因：减少接待次数，压缩接待标准。其中：</w:t>
      </w:r>
    </w:p>
    <w:p>
      <w:pPr>
        <w:spacing w:line="600" w:lineRule="exact"/>
        <w:ind w:firstLine="640"/>
        <w:rPr>
          <w:rFonts w:hint="eastAsia" w:ascii="仿宋" w:hAnsi="仿宋" w:eastAsia="仿宋" w:cs="Times New Roman"/>
          <w:sz w:val="32"/>
          <w:szCs w:val="32"/>
          <w:lang w:val="en-US" w:eastAsia="zh-CN"/>
        </w:rPr>
      </w:pPr>
      <w:r>
        <w:rPr>
          <w:rFonts w:hint="eastAsia" w:ascii="仿宋" w:hAnsi="仿宋" w:eastAsia="仿宋"/>
          <w:b/>
          <w:color w:val="auto"/>
          <w:sz w:val="32"/>
          <w:szCs w:val="32"/>
          <w:highlight w:val="none"/>
        </w:rPr>
        <w:t>国内公务接待支出</w:t>
      </w:r>
      <w:r>
        <w:rPr>
          <w:rFonts w:hint="eastAsia" w:ascii="仿宋" w:hAnsi="仿宋" w:eastAsia="仿宋" w:cs="Times New Roman"/>
          <w:sz w:val="32"/>
          <w:szCs w:val="32"/>
          <w:lang w:val="en-US" w:eastAsia="zh-CN"/>
        </w:rPr>
        <w:t>0.19万元，主要用于执行公务、开展业务活动开支的用餐费。国内公务接待4批次，23人次（不包括陪同人员），共计支出0.19万元，主要是日常公务接待。</w:t>
      </w:r>
    </w:p>
    <w:p>
      <w:pPr>
        <w:spacing w:line="60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b/>
          <w:color w:val="auto"/>
          <w:sz w:val="32"/>
          <w:szCs w:val="32"/>
          <w:highlight w:val="none"/>
        </w:rPr>
        <w:t>外事接待支出</w:t>
      </w:r>
      <w:r>
        <w:rPr>
          <w:rFonts w:hint="eastAsia" w:ascii="仿宋" w:hAnsi="仿宋" w:eastAsia="仿宋" w:cs="Times New Roman"/>
          <w:sz w:val="32"/>
          <w:szCs w:val="32"/>
          <w:lang w:val="en-US" w:eastAsia="zh-CN"/>
        </w:rPr>
        <w:t>0万元。</w:t>
      </w:r>
    </w:p>
    <w:p>
      <w:pPr>
        <w:spacing w:line="600" w:lineRule="exact"/>
        <w:ind w:firstLine="640"/>
        <w:outlineLvl w:val="1"/>
        <w:rPr>
          <w:rStyle w:val="36"/>
          <w:rFonts w:ascii="黑体" w:hAnsi="黑体" w:eastAsia="黑体"/>
          <w:color w:val="auto"/>
          <w:highlight w:val="none"/>
        </w:rPr>
      </w:pPr>
      <w:bookmarkStart w:id="42" w:name="_Toc15377218"/>
      <w:bookmarkStart w:id="43" w:name="_Toc15396610"/>
      <w:r>
        <w:rPr>
          <w:rFonts w:hint="eastAsia" w:ascii="黑体" w:eastAsia="黑体"/>
          <w:color w:val="auto"/>
          <w:sz w:val="32"/>
          <w:szCs w:val="32"/>
          <w:highlight w:val="none"/>
        </w:rPr>
        <w:t>八、</w:t>
      </w:r>
      <w:r>
        <w:rPr>
          <w:rStyle w:val="36"/>
          <w:rFonts w:hint="eastAsia" w:ascii="黑体" w:hAnsi="黑体" w:eastAsia="黑体"/>
          <w:b w:val="0"/>
          <w:color w:val="auto"/>
          <w:highlight w:val="none"/>
        </w:rPr>
        <w:t>政府性基金预算支出决算情况说明</w:t>
      </w:r>
      <w:bookmarkEnd w:id="42"/>
      <w:bookmarkEnd w:id="43"/>
    </w:p>
    <w:p>
      <w:pPr>
        <w:spacing w:line="600" w:lineRule="exact"/>
        <w:ind w:firstLine="64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2021年政府性基金预算财政拨款支出0万元。</w:t>
      </w:r>
    </w:p>
    <w:p>
      <w:pPr>
        <w:numPr>
          <w:ilvl w:val="0"/>
          <w:numId w:val="4"/>
        </w:numPr>
        <w:spacing w:line="600" w:lineRule="exact"/>
        <w:ind w:firstLine="640"/>
        <w:outlineLvl w:val="1"/>
        <w:rPr>
          <w:rStyle w:val="36"/>
          <w:rFonts w:ascii="黑体" w:hAnsi="黑体" w:eastAsia="黑体"/>
          <w:b w:val="0"/>
          <w:color w:val="auto"/>
          <w:highlight w:val="none"/>
        </w:rPr>
      </w:pPr>
      <w:bookmarkStart w:id="44" w:name="_Toc15377219"/>
      <w:bookmarkStart w:id="45" w:name="_Toc15396611"/>
      <w:r>
        <w:rPr>
          <w:rStyle w:val="36"/>
          <w:rFonts w:hint="eastAsia" w:ascii="黑体" w:hAnsi="黑体" w:eastAsia="黑体"/>
          <w:b w:val="0"/>
          <w:color w:val="auto"/>
          <w:highlight w:val="none"/>
        </w:rPr>
        <w:t>国有资本经营预算支出决算情况说明</w:t>
      </w:r>
      <w:bookmarkEnd w:id="44"/>
      <w:bookmarkEnd w:id="45"/>
    </w:p>
    <w:p>
      <w:pPr>
        <w:spacing w:line="600" w:lineRule="exact"/>
        <w:ind w:firstLine="640"/>
        <w:rPr>
          <w:rFonts w:hint="eastAsia"/>
        </w:rPr>
      </w:pPr>
      <w:r>
        <w:rPr>
          <w:rFonts w:hint="eastAsia" w:ascii="仿宋" w:hAnsi="仿宋" w:eastAsia="仿宋" w:cs="Times New Roman"/>
          <w:sz w:val="32"/>
          <w:szCs w:val="32"/>
          <w:lang w:val="en-US" w:eastAsia="zh-CN"/>
        </w:rPr>
        <w:t>2021年国有资本经营预算财政拨款支出0万元。</w:t>
      </w:r>
      <w:bookmarkStart w:id="46" w:name="_Toc15377221"/>
      <w:bookmarkStart w:id="47" w:name="_Toc15396612"/>
    </w:p>
    <w:p>
      <w:pPr>
        <w:numPr>
          <w:ilvl w:val="0"/>
          <w:numId w:val="4"/>
        </w:numPr>
        <w:spacing w:line="600" w:lineRule="exact"/>
        <w:ind w:firstLine="640"/>
        <w:outlineLvl w:val="1"/>
        <w:rPr>
          <w:rStyle w:val="36"/>
          <w:rFonts w:hint="eastAsia" w:ascii="黑体" w:hAnsi="黑体" w:eastAsia="黑体"/>
          <w:b w:val="0"/>
          <w:color w:val="auto"/>
          <w:highlight w:val="none"/>
        </w:rPr>
      </w:pPr>
      <w:r>
        <w:rPr>
          <w:rStyle w:val="36"/>
          <w:rFonts w:hint="eastAsia" w:ascii="黑体" w:hAnsi="黑体" w:eastAsia="黑体"/>
          <w:b w:val="0"/>
          <w:color w:val="auto"/>
          <w:highlight w:val="none"/>
          <w:lang w:val="en-US" w:eastAsia="zh-CN"/>
        </w:rPr>
        <w:t>预算绩效管理情况</w:t>
      </w:r>
    </w:p>
    <w:p>
      <w:pPr>
        <w:spacing w:line="600" w:lineRule="exact"/>
        <w:ind w:firstLine="64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根据预算绩效管理要求，我单位在年初预算编制阶段，组织对8个项目编制了绩效目标，预算执行过程中，对8个项目开展绩效监控，年终执行完毕后，对8个项目开展了绩效目标完成情况自评。</w:t>
      </w:r>
    </w:p>
    <w:p>
      <w:pPr>
        <w:spacing w:line="600" w:lineRule="exact"/>
        <w:ind w:firstLine="64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我单位按要求对2021年部门整体支出开展绩效自评，从评价情况来看总体完成情况较好，对预算资金做到了科学计划，合理安排，确保专款专用。本部门还自行组织了对8个项目支出绩效评价，从评价情况来看对积案难案等特殊疑难信访事项逐年分批化解，群众非访得到有效处置。</w:t>
      </w:r>
    </w:p>
    <w:p>
      <w:pPr>
        <w:spacing w:line="580" w:lineRule="exact"/>
        <w:ind w:firstLine="640" w:firstLineChars="200"/>
        <w:rPr>
          <w:rFonts w:hint="eastAsia" w:ascii="楷体_GB2312" w:hAnsi="楷体_GB2312" w:eastAsia="楷体_GB2312" w:cs="楷体_GB2312"/>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p>
    <w:p>
      <w:pPr>
        <w:spacing w:line="600" w:lineRule="exact"/>
        <w:ind w:firstLine="64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本部门在2021年度部门决算中反映“社情民意手机短信平台运行费”、“网上信访投诉受理平台运行费”、“领导视频接访室改建”、“网格化服务管理信息系统运行费”、“网格化租赁费”、“非贫困村村第一书记工作经费”、“驻京轮流值班工作经费”、“2021年解决特殊疑难信访问题中央补助资金”8个项目绩效目标实际完成情况。</w:t>
      </w:r>
    </w:p>
    <w:p>
      <w:pPr>
        <w:spacing w:line="580" w:lineRule="exact"/>
        <w:ind w:firstLine="643" w:firstLineChars="200"/>
        <w:rPr>
          <w:rFonts w:hint="eastAsia" w:ascii="仿宋" w:hAnsi="仿宋" w:eastAsia="仿宋" w:cs="Times New Roman"/>
          <w:sz w:val="32"/>
          <w:szCs w:val="32"/>
          <w:lang w:val="en-US" w:eastAsia="zh-CN"/>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）“社情民意手机短信平台运行费”项目绩效目标完成情况综述。</w:t>
      </w:r>
      <w:r>
        <w:rPr>
          <w:rFonts w:hint="eastAsia" w:ascii="仿宋" w:hAnsi="仿宋" w:eastAsia="仿宋" w:cs="Times New Roman"/>
          <w:sz w:val="32"/>
          <w:szCs w:val="32"/>
          <w:lang w:val="en-US" w:eastAsia="zh-CN"/>
        </w:rPr>
        <w:t>项目全年预算数15万元，执行数为15万元，完成预算的100%。通过项目实施，方便了群众反映情况及诉求、建议，让各级领导及时掌握情况、了解信息，推动问题解决和工作落实。</w:t>
      </w:r>
    </w:p>
    <w:p>
      <w:pPr>
        <w:spacing w:line="58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）“网上信访投诉受理平台运行费”项目绩效目标完成情况综述</w:t>
      </w:r>
      <w:r>
        <w:rPr>
          <w:rFonts w:hint="eastAsia" w:ascii="仿宋_GB2312" w:hAnsi="仿宋_GB2312" w:eastAsia="仿宋_GB2312" w:cs="仿宋_GB2312"/>
          <w:sz w:val="32"/>
          <w:szCs w:val="32"/>
        </w:rPr>
        <w:t>。</w:t>
      </w:r>
      <w:r>
        <w:rPr>
          <w:rFonts w:hint="eastAsia" w:ascii="仿宋" w:hAnsi="仿宋" w:eastAsia="仿宋" w:cs="Times New Roman"/>
          <w:sz w:val="32"/>
          <w:szCs w:val="32"/>
          <w:lang w:val="en-US" w:eastAsia="zh-CN"/>
        </w:rPr>
        <w:t>项目全年预算数0.84万元，执行数为0.84万元，完成预算的100%。通过项目实施，让社情民意驶上了“快车道”，顺应了社会发展尤其是网络发展的大趋势，更便捷地倾听群众诉求，更好的察民情、知民意，降低了群众的信访难度，推动信访工作再上新台阶。</w:t>
      </w:r>
    </w:p>
    <w:p>
      <w:pPr>
        <w:spacing w:line="580" w:lineRule="exact"/>
        <w:ind w:firstLine="643" w:firstLineChars="200"/>
        <w:rPr>
          <w:rFonts w:hint="eastAsia" w:ascii="仿宋" w:hAnsi="仿宋" w:eastAsia="仿宋" w:cs="Times New Roman"/>
          <w:sz w:val="32"/>
          <w:szCs w:val="32"/>
          <w:lang w:val="en-US" w:eastAsia="zh-CN"/>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领导视频接访室改建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项目绩效目标完成情况综述。</w:t>
      </w:r>
      <w:r>
        <w:rPr>
          <w:rFonts w:hint="eastAsia" w:ascii="仿宋" w:hAnsi="仿宋" w:eastAsia="仿宋" w:cs="Times New Roman"/>
          <w:sz w:val="32"/>
          <w:szCs w:val="32"/>
          <w:lang w:val="en-US" w:eastAsia="zh-CN"/>
        </w:rPr>
        <w:t>项目全年预算数4万元，执行数为4万元，完成预算的100%。通过项目实施，对接访系统及传输网络进行了建设和维护，完成了各项接访工作及国家、省、市、区各项视频会议接访任务。</w:t>
      </w:r>
    </w:p>
    <w:p>
      <w:pPr>
        <w:spacing w:line="58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驻京轮流值班工作经费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项目绩效目标完成情况综述。</w:t>
      </w:r>
      <w:r>
        <w:rPr>
          <w:rFonts w:hint="eastAsia" w:ascii="仿宋" w:hAnsi="仿宋" w:eastAsia="仿宋" w:cs="Times New Roman"/>
          <w:sz w:val="32"/>
          <w:szCs w:val="32"/>
          <w:lang w:val="en-US" w:eastAsia="zh-CN"/>
        </w:rPr>
        <w:t>项目全年预算数13万元，执行数为13万元，完成预算的100%。通过项目实施，对非正常进京上访群众妥善化解、协调解决；避免极端事项发生，杜绝社会不良媒体宣传炒作。有效保障了社会和谐安定。</w:t>
      </w:r>
    </w:p>
    <w:p>
      <w:pPr>
        <w:spacing w:line="580" w:lineRule="exact"/>
        <w:ind w:firstLine="643" w:firstLineChars="200"/>
        <w:rPr>
          <w:rFonts w:hint="eastAsia" w:ascii="仿宋" w:hAnsi="仿宋" w:eastAsia="仿宋" w:cs="Times New Roman"/>
          <w:sz w:val="32"/>
          <w:szCs w:val="32"/>
          <w:lang w:val="en-US"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网格化租赁费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项目绩效目标完成情况综述。</w:t>
      </w:r>
      <w:r>
        <w:rPr>
          <w:rFonts w:hint="eastAsia" w:ascii="仿宋" w:hAnsi="仿宋" w:eastAsia="仿宋" w:cs="Times New Roman"/>
          <w:sz w:val="32"/>
          <w:szCs w:val="32"/>
          <w:lang w:val="en-US" w:eastAsia="zh-CN"/>
        </w:rPr>
        <w:t>项目全年预算数1.8万元，执行数为1.8万元，完成预算的100%。通过项目实施，保障了网格化服务信息管理系统的正常运行，全面推进了平安中国建设，维护了国家安全，确保了人居乐业、社会安定有序。</w:t>
      </w:r>
    </w:p>
    <w:p>
      <w:pPr>
        <w:numPr>
          <w:ilvl w:val="0"/>
          <w:numId w:val="4"/>
        </w:numPr>
        <w:spacing w:line="600" w:lineRule="exact"/>
        <w:ind w:firstLine="640"/>
        <w:outlineLvl w:val="1"/>
        <w:rPr>
          <w:rStyle w:val="36"/>
          <w:rFonts w:hint="eastAsia" w:ascii="黑体" w:hAnsi="黑体" w:eastAsia="黑体"/>
          <w:b w:val="0"/>
          <w:color w:val="auto"/>
          <w:highlight w:val="none"/>
        </w:rPr>
      </w:pPr>
      <w:r>
        <w:rPr>
          <w:rStyle w:val="36"/>
          <w:rFonts w:hint="eastAsia" w:ascii="黑体" w:hAnsi="黑体" w:eastAsia="黑体"/>
          <w:b w:val="0"/>
          <w:color w:val="auto"/>
          <w:highlight w:val="none"/>
        </w:rPr>
        <w:t>其他重要事项的情况说明</w:t>
      </w:r>
      <w:bookmarkEnd w:id="46"/>
      <w:bookmarkEnd w:id="47"/>
    </w:p>
    <w:p>
      <w:pPr>
        <w:spacing w:line="600" w:lineRule="exact"/>
        <w:ind w:firstLine="643" w:firstLineChars="200"/>
        <w:outlineLvl w:val="2"/>
        <w:rPr>
          <w:rFonts w:ascii="仿宋" w:hAnsi="仿宋" w:eastAsia="仿宋"/>
          <w:color w:val="auto"/>
          <w:sz w:val="32"/>
          <w:szCs w:val="32"/>
          <w:highlight w:val="none"/>
        </w:rPr>
      </w:pPr>
      <w:bookmarkStart w:id="48" w:name="_Toc15377222"/>
      <w:r>
        <w:rPr>
          <w:rFonts w:hint="eastAsia" w:ascii="仿宋" w:hAnsi="仿宋" w:eastAsia="仿宋"/>
          <w:b/>
          <w:color w:val="auto"/>
          <w:sz w:val="32"/>
          <w:szCs w:val="32"/>
          <w:highlight w:val="none"/>
        </w:rPr>
        <w:t>（一）机关运行经费支出情况</w:t>
      </w:r>
      <w:bookmarkEnd w:id="48"/>
    </w:p>
    <w:p>
      <w:pPr>
        <w:spacing w:line="580" w:lineRule="exact"/>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2021年，我单位机关运行经费支出9.33万元，比2020年23.07万元减少13.74万元，下降60%。减少主要原因是：平时尽量压缩机关运行经费，减少支出。</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9" w:name="_Toc15377223"/>
      <w:r>
        <w:rPr>
          <w:rFonts w:hint="eastAsia" w:ascii="仿宋" w:hAnsi="仿宋" w:eastAsia="仿宋"/>
          <w:b/>
          <w:color w:val="auto"/>
          <w:sz w:val="32"/>
          <w:szCs w:val="32"/>
          <w:highlight w:val="none"/>
        </w:rPr>
        <w:t>（二）政府采购支出情况</w:t>
      </w:r>
      <w:bookmarkEnd w:id="49"/>
    </w:p>
    <w:p>
      <w:pPr>
        <w:spacing w:line="58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2021年，我单位政府采购支出总额0万元。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0" w:name="_Toc15377224"/>
      <w:r>
        <w:rPr>
          <w:rFonts w:hint="eastAsia" w:ascii="仿宋" w:hAnsi="仿宋" w:eastAsia="仿宋"/>
          <w:b/>
          <w:color w:val="auto"/>
          <w:sz w:val="32"/>
          <w:szCs w:val="32"/>
          <w:highlight w:val="none"/>
        </w:rPr>
        <w:t>（三）国有资产占有使用情况</w:t>
      </w:r>
      <w:bookmarkEnd w:id="50"/>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 w:hAnsi="仿宋" w:eastAsia="仿宋" w:cs="Times New Roman"/>
          <w:sz w:val="32"/>
          <w:szCs w:val="32"/>
          <w:lang w:val="en-US" w:eastAsia="zh-CN"/>
        </w:rPr>
        <w:t>截至2021年12月31日，我单位车辆0辆，车改后单位车辆移交机关事务管理局，再无车辆；无单价50万元以上通用设备和单价100万元以上专用设备。</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5"/>
        </w:numPr>
        <w:spacing w:line="600" w:lineRule="exact"/>
        <w:ind w:firstLine="660" w:firstLineChars="150"/>
        <w:jc w:val="center"/>
        <w:outlineLvl w:val="0"/>
        <w:rPr>
          <w:rStyle w:val="35"/>
          <w:rFonts w:ascii="黑体" w:hAnsi="黑体" w:eastAsia="黑体"/>
          <w:b w:val="0"/>
          <w:strike w:val="0"/>
          <w:dstrike w:val="0"/>
          <w:color w:val="auto"/>
          <w:highlight w:val="none"/>
        </w:rPr>
      </w:pPr>
      <w:bookmarkStart w:id="51" w:name="_Toc15396613"/>
      <w:bookmarkStart w:id="52" w:name="_Toc15377225"/>
      <w:r>
        <w:rPr>
          <w:rFonts w:hint="eastAsia" w:ascii="黑体" w:hAnsi="黑体" w:eastAsia="黑体"/>
          <w:strike w:val="0"/>
          <w:dstrike w:val="0"/>
          <w:color w:val="auto"/>
          <w:sz w:val="44"/>
          <w:szCs w:val="44"/>
          <w:highlight w:val="none"/>
        </w:rPr>
        <w:t>名</w:t>
      </w:r>
      <w:r>
        <w:rPr>
          <w:rStyle w:val="35"/>
          <w:rFonts w:hint="eastAsia" w:ascii="黑体" w:hAnsi="黑体" w:eastAsia="黑体"/>
          <w:b w:val="0"/>
          <w:strike w:val="0"/>
          <w:dstrike w:val="0"/>
          <w:color w:val="auto"/>
          <w:highlight w:val="none"/>
        </w:rPr>
        <w:t>词解释</w:t>
      </w:r>
      <w:bookmarkEnd w:id="51"/>
      <w:bookmarkEnd w:id="52"/>
    </w:p>
    <w:p>
      <w:pPr>
        <w:spacing w:line="600" w:lineRule="exact"/>
        <w:jc w:val="left"/>
        <w:rPr>
          <w:rFonts w:ascii="宋体"/>
          <w:b/>
          <w:strike w:val="0"/>
          <w:color w:val="auto"/>
          <w:sz w:val="44"/>
          <w:szCs w:val="44"/>
          <w:highlight w:val="none"/>
        </w:rPr>
      </w:pPr>
    </w:p>
    <w:p>
      <w:pPr>
        <w:pStyle w:val="33"/>
        <w:spacing w:line="560" w:lineRule="exact"/>
        <w:ind w:firstLine="643" w:firstLineChars="200"/>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rPr>
        <w:t>1.</w:t>
      </w:r>
      <w:r>
        <w:rPr>
          <w:rFonts w:hint="eastAsia" w:ascii="仿宋_GB2312" w:eastAsia="仿宋_GB2312"/>
          <w:b/>
          <w:bCs/>
          <w:color w:val="auto"/>
          <w:kern w:val="0"/>
          <w:sz w:val="32"/>
          <w:szCs w:val="32"/>
          <w:lang w:val="en-US" w:eastAsia="zh-CN"/>
        </w:rPr>
        <w:t>财政拨款收入</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lang w:val="en-US" w:eastAsia="zh-CN"/>
        </w:rPr>
        <w:t>指单位从同级财政部门取得的财政预算资金。</w:t>
      </w:r>
    </w:p>
    <w:p>
      <w:pPr>
        <w:pStyle w:val="33"/>
        <w:spacing w:line="560" w:lineRule="exact"/>
        <w:ind w:firstLine="643" w:firstLineChars="200"/>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2.一般公共服务（类）政府办公厅（室）及相关机构事务（款）行政运行（项）</w:t>
      </w:r>
      <w:r>
        <w:rPr>
          <w:rFonts w:hint="eastAsia" w:ascii="仿宋_GB2312" w:eastAsia="仿宋_GB2312"/>
          <w:color w:val="auto"/>
          <w:kern w:val="0"/>
          <w:sz w:val="32"/>
          <w:szCs w:val="32"/>
        </w:rPr>
        <w:t>：</w:t>
      </w:r>
      <w:r>
        <w:rPr>
          <w:rFonts w:hint="eastAsia" w:ascii="仿宋_GB2312" w:eastAsia="仿宋_GB2312"/>
          <w:color w:val="auto"/>
          <w:kern w:val="0"/>
          <w:sz w:val="32"/>
          <w:szCs w:val="32"/>
          <w:lang w:val="en-US" w:eastAsia="zh-CN"/>
        </w:rPr>
        <w:t>指反映行政单位（包括实行公务员管理的事业单位）的基本支出。</w:t>
      </w:r>
    </w:p>
    <w:p>
      <w:pPr>
        <w:pStyle w:val="33"/>
        <w:spacing w:line="560" w:lineRule="exact"/>
        <w:ind w:firstLine="643" w:firstLineChars="200"/>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3.一般公共服务（类）政府办公厅（室）及相关机构事务（款）一般行政管理事务（项）</w:t>
      </w:r>
      <w:r>
        <w:rPr>
          <w:rFonts w:hint="eastAsia" w:ascii="仿宋_GB2312" w:eastAsia="仿宋_GB2312"/>
          <w:color w:val="auto"/>
          <w:kern w:val="0"/>
          <w:sz w:val="32"/>
          <w:szCs w:val="32"/>
        </w:rPr>
        <w:t>：</w:t>
      </w:r>
      <w:r>
        <w:rPr>
          <w:rFonts w:hint="eastAsia" w:ascii="仿宋_GB2312" w:eastAsia="仿宋_GB2312"/>
          <w:color w:val="auto"/>
          <w:kern w:val="0"/>
          <w:sz w:val="32"/>
          <w:szCs w:val="32"/>
          <w:lang w:val="en-US" w:eastAsia="zh-CN"/>
        </w:rPr>
        <w:t>指反映行政单位（包括实行公务员管理的事业单位）未单独设置项级科目的其他项目支出。</w:t>
      </w:r>
    </w:p>
    <w:p>
      <w:pPr>
        <w:pStyle w:val="33"/>
        <w:spacing w:line="560" w:lineRule="exact"/>
        <w:ind w:firstLine="643" w:firstLineChars="200"/>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4.一般公共服务（类）政府办公厅（室）及相关机构事务（款）信访事务（项）</w:t>
      </w:r>
      <w:r>
        <w:rPr>
          <w:rFonts w:hint="eastAsia" w:ascii="仿宋_GB2312" w:eastAsia="仿宋_GB2312"/>
          <w:color w:val="auto"/>
          <w:kern w:val="0"/>
          <w:sz w:val="32"/>
          <w:szCs w:val="32"/>
          <w:lang w:val="en-US" w:eastAsia="zh-CN"/>
        </w:rPr>
        <w:t>：指用于接待群众来信来访方面的支出。</w:t>
      </w:r>
    </w:p>
    <w:p>
      <w:pPr>
        <w:pStyle w:val="33"/>
        <w:spacing w:line="560" w:lineRule="exact"/>
        <w:ind w:firstLine="643" w:firstLineChars="200"/>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5.一般公共服务（类）政府办公厅（室）及相关机构事务（款）事业运行（项）</w:t>
      </w:r>
      <w:r>
        <w:rPr>
          <w:rFonts w:hint="eastAsia" w:ascii="仿宋_GB2312" w:eastAsia="仿宋_GB2312"/>
          <w:color w:val="auto"/>
          <w:kern w:val="0"/>
          <w:sz w:val="32"/>
          <w:szCs w:val="32"/>
        </w:rPr>
        <w:t>：</w:t>
      </w:r>
      <w:r>
        <w:rPr>
          <w:rFonts w:hint="eastAsia" w:ascii="仿宋_GB2312" w:eastAsia="仿宋_GB2312"/>
          <w:color w:val="auto"/>
          <w:kern w:val="0"/>
          <w:sz w:val="32"/>
          <w:szCs w:val="32"/>
          <w:lang w:val="en-US" w:eastAsia="zh-CN"/>
        </w:rPr>
        <w:t>指反映事业单位的基本支出，不包括行政单位（包括实行公务员管理的事业单位）后勤服务中心、医务室等附属事业单位。</w:t>
      </w:r>
    </w:p>
    <w:p>
      <w:pPr>
        <w:pStyle w:val="33"/>
        <w:spacing w:line="560" w:lineRule="exact"/>
        <w:ind w:firstLine="643" w:firstLineChars="200"/>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6.社会保障和就业（类）行政事业单位养老支出（款）机关事业单位基本养老保险缴费支出（项）</w:t>
      </w:r>
      <w:r>
        <w:rPr>
          <w:rFonts w:hint="eastAsia" w:ascii="仿宋_GB2312" w:eastAsia="仿宋_GB2312"/>
          <w:color w:val="auto"/>
          <w:kern w:val="0"/>
          <w:sz w:val="32"/>
          <w:szCs w:val="32"/>
        </w:rPr>
        <w:t>：</w:t>
      </w:r>
      <w:r>
        <w:rPr>
          <w:rFonts w:hint="eastAsia" w:ascii="仿宋_GB2312" w:eastAsia="仿宋_GB2312"/>
          <w:color w:val="auto"/>
          <w:kern w:val="0"/>
          <w:sz w:val="32"/>
          <w:szCs w:val="32"/>
          <w:lang w:val="en-US" w:eastAsia="zh-CN"/>
        </w:rPr>
        <w:t>指反映机关事业单位实施养老保险制度由单位缴纳的基本养老保险费支出。</w:t>
      </w:r>
    </w:p>
    <w:p>
      <w:pPr>
        <w:pStyle w:val="33"/>
        <w:spacing w:line="560" w:lineRule="exact"/>
        <w:ind w:firstLine="643" w:firstLineChars="200"/>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7.社会保障和就业（类）行政事业单位养老支出（款）其他社会保障和就业支出（项）</w:t>
      </w:r>
      <w:r>
        <w:rPr>
          <w:rFonts w:hint="eastAsia" w:ascii="仿宋_GB2312" w:eastAsia="仿宋_GB2312"/>
          <w:color w:val="auto"/>
          <w:kern w:val="0"/>
          <w:sz w:val="32"/>
          <w:szCs w:val="32"/>
          <w:lang w:val="en-US" w:eastAsia="zh-CN"/>
        </w:rPr>
        <w:t>：指反映除上述项目以外其他用于社会保障和就业方面的支出。</w:t>
      </w:r>
    </w:p>
    <w:p>
      <w:pPr>
        <w:pStyle w:val="33"/>
        <w:spacing w:line="560" w:lineRule="exact"/>
        <w:ind w:firstLine="643" w:firstLineChars="200"/>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8.卫生健康支出（类）行政事业单位医疗（款）行政单位医疗（项）</w:t>
      </w:r>
      <w:r>
        <w:rPr>
          <w:rFonts w:hint="eastAsia" w:ascii="仿宋_GB2312" w:eastAsia="仿宋_GB2312"/>
          <w:color w:val="auto"/>
          <w:kern w:val="0"/>
          <w:sz w:val="32"/>
          <w:szCs w:val="32"/>
          <w:lang w:val="en-US" w:eastAsia="zh-CN"/>
        </w:rPr>
        <w:t>：指反映财政部门安排的行政单位（包括实行公务员管理的事业单位）基本医疗保险缴费经费，未参加医疗保险的行政单位的公费医疗经费，按国家规定享受离休人员、红军老战士待遇人员的医疗经费。</w:t>
      </w:r>
    </w:p>
    <w:p>
      <w:pPr>
        <w:pStyle w:val="33"/>
        <w:spacing w:line="560" w:lineRule="exact"/>
        <w:ind w:firstLine="643" w:firstLineChars="200"/>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9.住房保障支出（类）住房改革支出（款）住房公积金（项）</w:t>
      </w:r>
      <w:r>
        <w:rPr>
          <w:rFonts w:hint="eastAsia" w:ascii="仿宋_GB2312" w:eastAsia="仿宋_GB2312"/>
          <w:color w:val="auto"/>
          <w:kern w:val="0"/>
          <w:sz w:val="32"/>
          <w:szCs w:val="32"/>
          <w:lang w:val="en-US" w:eastAsia="zh-CN"/>
        </w:rPr>
        <w:t>：指反映行政事业单位按人力资源和社会保障部、财政部规定的基本工资和津贴补贴以及规定比例为职工缴纳的住房公积金。</w:t>
      </w:r>
    </w:p>
    <w:p>
      <w:pPr>
        <w:pStyle w:val="33"/>
        <w:spacing w:line="560" w:lineRule="exact"/>
        <w:ind w:firstLine="643" w:firstLineChars="200"/>
        <w:rPr>
          <w:rFonts w:hint="eastAsia" w:ascii="仿宋_GB2312" w:eastAsia="仿宋_GB2312"/>
          <w:color w:val="auto"/>
          <w:kern w:val="0"/>
          <w:sz w:val="32"/>
          <w:szCs w:val="32"/>
          <w:lang w:val="en-US"/>
        </w:rPr>
      </w:pPr>
      <w:r>
        <w:rPr>
          <w:rFonts w:hint="eastAsia" w:ascii="仿宋_GB2312" w:eastAsia="仿宋_GB2312"/>
          <w:b/>
          <w:bCs/>
          <w:color w:val="auto"/>
          <w:kern w:val="0"/>
          <w:sz w:val="32"/>
          <w:szCs w:val="32"/>
          <w:lang w:val="en-US" w:eastAsia="zh-CN"/>
        </w:rPr>
        <w:t>10</w:t>
      </w:r>
      <w:r>
        <w:rPr>
          <w:rFonts w:hint="eastAsia" w:ascii="仿宋_GB2312" w:eastAsia="仿宋_GB2312"/>
          <w:b/>
          <w:bCs/>
          <w:color w:val="auto"/>
          <w:kern w:val="0"/>
          <w:sz w:val="32"/>
          <w:szCs w:val="32"/>
          <w:lang w:val="en-US"/>
        </w:rPr>
        <w:t>.</w:t>
      </w:r>
      <w:r>
        <w:rPr>
          <w:rFonts w:hint="eastAsia" w:ascii="仿宋_GB2312" w:eastAsia="仿宋_GB2312"/>
          <w:b/>
          <w:bCs/>
          <w:color w:val="auto"/>
          <w:kern w:val="0"/>
          <w:sz w:val="32"/>
          <w:szCs w:val="32"/>
          <w:lang w:val="en-US" w:eastAsia="zh-CN"/>
        </w:rPr>
        <w:t>基本支出</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lang w:val="en-US" w:eastAsia="zh-CN"/>
        </w:rPr>
        <w:t>指为保障机构正常运转、完成日常工作任务而发生的人员支出和公用支出。</w:t>
      </w:r>
    </w:p>
    <w:p>
      <w:pPr>
        <w:pStyle w:val="33"/>
        <w:spacing w:line="560" w:lineRule="exact"/>
        <w:ind w:firstLine="643" w:firstLineChars="200"/>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11</w:t>
      </w:r>
      <w:r>
        <w:rPr>
          <w:rFonts w:hint="eastAsia" w:ascii="仿宋_GB2312" w:eastAsia="仿宋_GB2312"/>
          <w:b/>
          <w:bCs/>
          <w:color w:val="auto"/>
          <w:kern w:val="0"/>
          <w:sz w:val="32"/>
          <w:szCs w:val="32"/>
          <w:lang w:val="en-US"/>
        </w:rPr>
        <w:t>.</w:t>
      </w:r>
      <w:r>
        <w:rPr>
          <w:rFonts w:hint="eastAsia" w:ascii="仿宋_GB2312" w:eastAsia="仿宋_GB2312"/>
          <w:b/>
          <w:bCs/>
          <w:color w:val="auto"/>
          <w:kern w:val="0"/>
          <w:sz w:val="32"/>
          <w:szCs w:val="32"/>
          <w:lang w:val="en-US" w:eastAsia="zh-CN"/>
        </w:rPr>
        <w:t>项目支出</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lang w:val="en-US" w:eastAsia="zh-CN"/>
        </w:rPr>
        <w:t>指在基本支出之外为完成特定行政任务和事业发展目标所发生的支出。</w:t>
      </w:r>
    </w:p>
    <w:p>
      <w:pPr>
        <w:pStyle w:val="33"/>
        <w:spacing w:line="560" w:lineRule="exact"/>
        <w:ind w:firstLine="643" w:firstLineChars="200"/>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12</w:t>
      </w:r>
      <w:r>
        <w:rPr>
          <w:rFonts w:hint="eastAsia" w:ascii="仿宋_GB2312" w:eastAsia="仿宋_GB2312"/>
          <w:b/>
          <w:bCs/>
          <w:color w:val="auto"/>
          <w:kern w:val="0"/>
          <w:sz w:val="32"/>
          <w:szCs w:val="32"/>
          <w:lang w:val="en-US"/>
        </w:rPr>
        <w:t>.</w:t>
      </w:r>
      <w:r>
        <w:rPr>
          <w:rFonts w:hint="eastAsia" w:ascii="仿宋_GB2312" w:eastAsia="仿宋_GB2312"/>
          <w:b/>
          <w:bCs/>
          <w:color w:val="auto"/>
          <w:kern w:val="0"/>
          <w:sz w:val="32"/>
          <w:szCs w:val="32"/>
          <w:lang w:val="en-US" w:eastAsia="zh-CN"/>
        </w:rPr>
        <w:t>“三公”经费</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lang w:val="en-US" w:eastAsia="zh-CN"/>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3"/>
        <w:spacing w:line="560" w:lineRule="exact"/>
        <w:ind w:firstLine="643" w:firstLineChars="200"/>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13</w:t>
      </w:r>
      <w:r>
        <w:rPr>
          <w:rFonts w:hint="eastAsia" w:ascii="仿宋_GB2312" w:eastAsia="仿宋_GB2312"/>
          <w:b/>
          <w:bCs/>
          <w:color w:val="auto"/>
          <w:kern w:val="0"/>
          <w:sz w:val="32"/>
          <w:szCs w:val="32"/>
          <w:lang w:val="en-US"/>
        </w:rPr>
        <w:t>.</w:t>
      </w:r>
      <w:r>
        <w:rPr>
          <w:rFonts w:hint="eastAsia" w:ascii="仿宋_GB2312" w:eastAsia="仿宋_GB2312"/>
          <w:b/>
          <w:bCs/>
          <w:color w:val="auto"/>
          <w:kern w:val="0"/>
          <w:sz w:val="32"/>
          <w:szCs w:val="32"/>
          <w:lang w:val="en-US" w:eastAsia="zh-CN"/>
        </w:rPr>
        <w:t>机关运行经费</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lang w:val="en-US" w:eastAsia="zh-CN"/>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35"/>
          <w:rFonts w:hint="eastAsia" w:ascii="黑体" w:hAnsi="黑体" w:eastAsia="黑体"/>
          <w:b w:val="0"/>
          <w:color w:val="auto"/>
          <w:highlight w:val="none"/>
          <w:lang w:eastAsia="zh-CN"/>
        </w:rPr>
      </w:pPr>
      <w:bookmarkStart w:id="53" w:name="_Toc15377226"/>
      <w:r>
        <w:rPr>
          <w:rFonts w:ascii="宋体"/>
          <w:b/>
          <w:color w:val="auto"/>
          <w:sz w:val="44"/>
          <w:szCs w:val="44"/>
          <w:highlight w:val="none"/>
        </w:rPr>
        <w:br w:type="page"/>
      </w:r>
      <w:bookmarkStart w:id="54" w:name="_Toc15396614"/>
      <w:r>
        <w:rPr>
          <w:rFonts w:hint="eastAsia" w:ascii="黑体" w:hAnsi="黑体" w:eastAsia="黑体"/>
          <w:color w:val="auto"/>
          <w:sz w:val="44"/>
          <w:szCs w:val="44"/>
          <w:highlight w:val="none"/>
        </w:rPr>
        <w:t>第</w:t>
      </w:r>
      <w:r>
        <w:rPr>
          <w:rStyle w:val="35"/>
          <w:rFonts w:hint="eastAsia" w:ascii="黑体" w:hAnsi="黑体" w:eastAsia="黑体"/>
          <w:b w:val="0"/>
          <w:color w:val="auto"/>
          <w:highlight w:val="none"/>
        </w:rPr>
        <w:t>四部分 附件</w:t>
      </w:r>
      <w:bookmarkEnd w:id="54"/>
    </w:p>
    <w:p>
      <w:pPr>
        <w:keepNext w:val="0"/>
        <w:keepLines w:val="0"/>
        <w:pageBreakBefore w:val="0"/>
        <w:kinsoku/>
        <w:wordWrap/>
        <w:overflowPunct/>
        <w:topLinePunct w:val="0"/>
        <w:autoSpaceDE/>
        <w:autoSpaceDN/>
        <w:bidi w:val="0"/>
        <w:spacing w:line="572" w:lineRule="exact"/>
        <w:jc w:val="left"/>
        <w:textAlignment w:val="auto"/>
        <w:outlineLvl w:val="0"/>
        <w:rPr>
          <w:lang w:val="zh-CN"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pStyle w:val="17"/>
        <w:keepNext w:val="0"/>
        <w:keepLines w:val="0"/>
        <w:widowControl/>
        <w:suppressLineNumbers w:val="0"/>
        <w:autoSpaceDE w:val="0"/>
        <w:autoSpaceDN/>
        <w:adjustRightInd w:val="0"/>
        <w:snapToGrid w:val="0"/>
        <w:spacing w:before="0" w:beforeAutospacing="1" w:after="0" w:afterAutospacing="1" w:line="576" w:lineRule="exact"/>
        <w:ind w:left="0" w:right="0"/>
        <w:jc w:val="center"/>
        <w:rPr>
          <w:rFonts w:hint="eastAsia" w:ascii="黑体" w:hAnsi="宋体" w:eastAsia="黑体" w:cs="黑体"/>
          <w:color w:val="000000"/>
          <w:kern w:val="0"/>
          <w:sz w:val="32"/>
          <w:szCs w:val="32"/>
          <w:shd w:val="clear" w:fill="FFFFFF"/>
          <w:lang w:val="en-US"/>
        </w:rPr>
      </w:pPr>
      <w:r>
        <w:rPr>
          <w:rFonts w:hint="eastAsia" w:ascii="方正小标宋简体" w:hAnsi="方正小标宋简体" w:eastAsia="方正小标宋简体" w:cs="方正小标宋简体"/>
          <w:color w:val="000000"/>
          <w:kern w:val="0"/>
          <w:sz w:val="44"/>
          <w:szCs w:val="44"/>
          <w:shd w:val="clear" w:fill="FFFFFF"/>
          <w:lang w:val="en-US"/>
        </w:rPr>
        <w:t>2021</w:t>
      </w:r>
      <w:r>
        <w:rPr>
          <w:rFonts w:hint="eastAsia" w:ascii="方正小标宋简体" w:hAnsi="方正小标宋简体" w:eastAsia="方正小标宋简体" w:cs="方正小标宋简体"/>
          <w:color w:val="000000"/>
          <w:kern w:val="0"/>
          <w:sz w:val="44"/>
          <w:szCs w:val="44"/>
          <w:shd w:val="clear" w:fill="FFFFFF"/>
          <w:lang w:eastAsia="zh-CN"/>
        </w:rPr>
        <w:t>年度整体支出绩效评价自评报告</w:t>
      </w:r>
    </w:p>
    <w:p>
      <w:pPr>
        <w:pStyle w:val="17"/>
        <w:keepNext w:val="0"/>
        <w:keepLines w:val="0"/>
        <w:widowControl/>
        <w:suppressLineNumbers w:val="0"/>
        <w:autoSpaceDE w:val="0"/>
        <w:autoSpaceDN/>
        <w:adjustRightInd w:val="0"/>
        <w:snapToGrid w:val="0"/>
        <w:spacing w:before="0" w:beforeAutospacing="1" w:after="0" w:afterAutospacing="1" w:line="576" w:lineRule="exact"/>
        <w:ind w:left="0" w:right="0" w:firstLine="640" w:firstLineChars="200"/>
        <w:rPr>
          <w:rFonts w:hint="eastAsia" w:ascii="黑体" w:hAnsi="宋体" w:eastAsia="黑体" w:cs="黑体"/>
          <w:color w:val="000000"/>
          <w:kern w:val="0"/>
          <w:sz w:val="32"/>
          <w:szCs w:val="32"/>
          <w:shd w:val="clear" w:fill="FFFFFF"/>
          <w:lang w:val="en-US"/>
        </w:rPr>
      </w:pPr>
      <w:r>
        <w:rPr>
          <w:rFonts w:hint="eastAsia" w:ascii="黑体" w:hAnsi="宋体" w:eastAsia="黑体" w:cs="黑体"/>
          <w:color w:val="000000"/>
          <w:kern w:val="0"/>
          <w:sz w:val="32"/>
          <w:szCs w:val="32"/>
          <w:shd w:val="clear" w:fill="FFFFFF"/>
          <w:lang w:eastAsia="zh-CN"/>
        </w:rPr>
        <w:t>一、部门概况</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kern w:val="2"/>
          <w:sz w:val="32"/>
          <w:szCs w:val="32"/>
          <w:lang w:val="en-US" w:eastAsia="zh-CN" w:bidi="ar"/>
        </w:rPr>
        <w:t>（一）机构组成</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局内设办公室、宣教督办股、接访排查调处股、区委书记区长信箱管理办公室、区12345政务服务热线办理办公室5个股室和区信访接待中心1个事业单位。</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kern w:val="2"/>
          <w:sz w:val="32"/>
          <w:szCs w:val="32"/>
          <w:lang w:val="en-US" w:eastAsia="zh-CN" w:bidi="ar"/>
        </w:rPr>
        <w:t>（二）机构职能</w:t>
      </w:r>
    </w:p>
    <w:p>
      <w:pPr>
        <w:keepNext w:val="0"/>
        <w:keepLines w:val="0"/>
        <w:widowControl w:val="0"/>
        <w:suppressLineNumbers w:val="0"/>
        <w:spacing w:before="0" w:beforeAutospacing="0" w:after="0" w:afterAutospacing="0" w:line="576" w:lineRule="exact"/>
        <w:ind w:left="0" w:right="0" w:firstLine="642"/>
        <w:jc w:val="both"/>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2"/>
          <w:sz w:val="32"/>
          <w:szCs w:val="32"/>
          <w:lang w:val="en-US" w:eastAsia="zh-CN" w:bidi="ar"/>
        </w:rPr>
        <w:t>1.依据党的路线、方针、政策和国家的法律、法规，负责受理、交办、转送群众提出的信访事项。</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2"/>
          <w:sz w:val="32"/>
          <w:szCs w:val="32"/>
          <w:lang w:val="en-US" w:eastAsia="zh-CN" w:bidi="ar"/>
        </w:rPr>
        <w:t>2.承办区委、区政府和上级机关转办、交办的信访事项。</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2"/>
          <w:sz w:val="32"/>
          <w:szCs w:val="32"/>
          <w:lang w:val="en-US" w:eastAsia="zh-CN" w:bidi="ar"/>
        </w:rPr>
        <w:t>3.负责向各乡镇和区级机关各部门转办、交办信访事项，并督促、检查办理情况。</w:t>
      </w:r>
    </w:p>
    <w:p>
      <w:pPr>
        <w:keepNext w:val="0"/>
        <w:keepLines w:val="0"/>
        <w:widowControl w:val="0"/>
        <w:suppressLineNumbers w:val="0"/>
        <w:spacing w:before="0" w:beforeAutospacing="0" w:after="0" w:afterAutospacing="0" w:line="576" w:lineRule="exact"/>
        <w:ind w:left="0" w:right="0" w:firstLine="642"/>
        <w:jc w:val="both"/>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2"/>
          <w:sz w:val="32"/>
          <w:szCs w:val="32"/>
          <w:lang w:val="en-US" w:eastAsia="zh-CN" w:bidi="ar"/>
        </w:rPr>
        <w:t>4.负责全区信访法律法规的宣传教育。</w:t>
      </w:r>
    </w:p>
    <w:p>
      <w:pPr>
        <w:keepNext w:val="0"/>
        <w:keepLines w:val="0"/>
        <w:widowControl w:val="0"/>
        <w:suppressLineNumbers w:val="0"/>
        <w:spacing w:before="0" w:beforeAutospacing="0" w:after="0" w:afterAutospacing="0" w:line="576" w:lineRule="exact"/>
        <w:ind w:left="0" w:right="0" w:firstLine="642"/>
        <w:jc w:val="both"/>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2"/>
          <w:sz w:val="32"/>
          <w:szCs w:val="32"/>
          <w:lang w:val="en-US" w:eastAsia="zh-CN" w:bidi="ar"/>
        </w:rPr>
        <w:t>5.研究、分析信访情况，开展调查研究，及时向区委、区政府提出完善政策和解决改进工作的建议。</w:t>
      </w:r>
    </w:p>
    <w:p>
      <w:pPr>
        <w:keepNext w:val="0"/>
        <w:keepLines w:val="0"/>
        <w:widowControl w:val="0"/>
        <w:suppressLineNumbers w:val="0"/>
        <w:spacing w:before="0" w:beforeAutospacing="0" w:after="0" w:afterAutospacing="0" w:line="576" w:lineRule="exact"/>
        <w:ind w:left="0" w:right="0" w:firstLine="642"/>
        <w:jc w:val="both"/>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2"/>
          <w:sz w:val="32"/>
          <w:szCs w:val="32"/>
          <w:lang w:val="en-US" w:eastAsia="zh-CN" w:bidi="ar"/>
        </w:rPr>
        <w:t>6.负责信访干部队伍建设，组织培训信访工作人员。</w:t>
      </w:r>
    </w:p>
    <w:p>
      <w:pPr>
        <w:keepNext w:val="0"/>
        <w:keepLines w:val="0"/>
        <w:widowControl w:val="0"/>
        <w:suppressLineNumbers w:val="0"/>
        <w:spacing w:before="0" w:beforeAutospacing="0" w:after="0" w:afterAutospacing="0" w:line="576" w:lineRule="exact"/>
        <w:ind w:left="0" w:right="0" w:firstLine="642"/>
        <w:jc w:val="both"/>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2"/>
          <w:sz w:val="32"/>
          <w:szCs w:val="32"/>
          <w:lang w:val="en-US" w:eastAsia="zh-CN" w:bidi="ar"/>
        </w:rPr>
        <w:t>7.负责区信访工作领导小组办公室和区信访工作联席会议办公室的日常工作，完成领导小组和联席会议交办的工作任务。</w:t>
      </w:r>
    </w:p>
    <w:p>
      <w:pPr>
        <w:keepNext w:val="0"/>
        <w:keepLines w:val="0"/>
        <w:widowControl w:val="0"/>
        <w:suppressLineNumbers w:val="0"/>
        <w:spacing w:before="0" w:beforeAutospacing="0" w:after="0" w:afterAutospacing="0" w:line="576" w:lineRule="exact"/>
        <w:ind w:left="0" w:right="0" w:firstLine="642"/>
        <w:jc w:val="both"/>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2"/>
          <w:sz w:val="32"/>
          <w:szCs w:val="32"/>
          <w:lang w:val="en-US" w:eastAsia="zh-CN" w:bidi="ar"/>
        </w:rPr>
        <w:t>8.对各乡镇、区级各部门的信访工作进行指导。</w:t>
      </w:r>
    </w:p>
    <w:p>
      <w:pPr>
        <w:keepNext w:val="0"/>
        <w:keepLines w:val="0"/>
        <w:widowControl w:val="0"/>
        <w:suppressLineNumbers w:val="0"/>
        <w:spacing w:before="0" w:beforeAutospacing="0" w:after="0" w:afterAutospacing="0" w:line="576" w:lineRule="exact"/>
        <w:ind w:left="0" w:right="0" w:firstLine="642"/>
        <w:jc w:val="both"/>
        <w:rPr>
          <w:rFonts w:hint="eastAsia" w:ascii="方正仿宋简体" w:hAnsi="方正仿宋简体" w:eastAsia="方正仿宋简体" w:cs="方正仿宋简体"/>
          <w:szCs w:val="32"/>
          <w:lang w:val="en-US"/>
        </w:rPr>
      </w:pPr>
      <w:r>
        <w:rPr>
          <w:rFonts w:hint="eastAsia" w:ascii="仿宋_GB2312" w:hAnsi="仿宋_GB2312" w:eastAsia="仿宋_GB2312" w:cs="仿宋_GB2312"/>
          <w:kern w:val="2"/>
          <w:sz w:val="32"/>
          <w:szCs w:val="32"/>
          <w:lang w:val="en-US" w:eastAsia="zh-CN" w:bidi="ar"/>
        </w:rPr>
        <w:t>9.负责承办12345政务服务热线平台相关工作。</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kern w:val="2"/>
          <w:sz w:val="32"/>
          <w:szCs w:val="32"/>
          <w:lang w:val="en-US" w:eastAsia="zh-CN" w:bidi="ar"/>
        </w:rPr>
        <w:t>（三）人员情况</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楷体_GB2312" w:eastAsia="楷体_GB2312" w:cs="楷体_GB2312"/>
          <w:color w:val="000000"/>
          <w:kern w:val="0"/>
          <w:sz w:val="32"/>
          <w:szCs w:val="32"/>
          <w:shd w:val="clear" w:fill="FFFFFF"/>
          <w:lang w:val="en-US"/>
        </w:rPr>
      </w:pPr>
      <w:r>
        <w:rPr>
          <w:rFonts w:hint="eastAsia" w:ascii="仿宋_GB2312" w:eastAsia="仿宋_GB2312" w:cs="仿宋_GB2312"/>
          <w:kern w:val="2"/>
          <w:sz w:val="32"/>
          <w:szCs w:val="32"/>
          <w:lang w:val="en-US" w:eastAsia="zh-CN" w:bidi="ar"/>
        </w:rPr>
        <w:t>中共广元市朝天区委群众工作局</w:t>
      </w:r>
      <w:r>
        <w:rPr>
          <w:rFonts w:hint="eastAsia" w:ascii="仿宋_GB2312" w:hAnsi="Times New Roman" w:eastAsia="仿宋_GB2312" w:cs="仿宋_GB2312"/>
          <w:kern w:val="2"/>
          <w:sz w:val="32"/>
          <w:szCs w:val="32"/>
          <w:lang w:val="en-US" w:eastAsia="zh-CN" w:bidi="ar"/>
        </w:rPr>
        <w:t>编制14人，其中：行政编制7人，机关工勤人员1人，其他事业编制6人。2021年底实有在职人员18人,其中：行政人员8人，事业人员6人，机关工勤人员1人，</w:t>
      </w:r>
      <w:r>
        <w:rPr>
          <w:rFonts w:hint="eastAsia" w:ascii="仿宋_GB2312" w:hAnsi="仿宋" w:eastAsia="仿宋_GB2312" w:cs="仿宋_GB2312"/>
          <w:kern w:val="2"/>
          <w:sz w:val="32"/>
          <w:szCs w:val="32"/>
          <w:lang w:val="en-US" w:eastAsia="zh-CN" w:bidi="ar"/>
        </w:rPr>
        <w:t>财政</w:t>
      </w:r>
      <w:r>
        <w:rPr>
          <w:rFonts w:hint="eastAsia" w:ascii="仿宋_GB2312" w:hAnsi="Times New Roman" w:eastAsia="仿宋_GB2312" w:cs="仿宋_GB2312"/>
          <w:kern w:val="2"/>
          <w:sz w:val="32"/>
          <w:szCs w:val="32"/>
          <w:lang w:val="en-US" w:eastAsia="zh-CN" w:bidi="ar"/>
        </w:rPr>
        <w:t>定额补助人员</w:t>
      </w:r>
      <w:r>
        <w:rPr>
          <w:rFonts w:hint="eastAsia" w:ascii="仿宋_GB2312" w:hAnsi="Times New Roman" w:eastAsia="宋体" w:cs="仿宋_GB2312"/>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人</w:t>
      </w:r>
      <w:r>
        <w:rPr>
          <w:rFonts w:hint="eastAsia" w:ascii="仿宋_GB2312" w:hAnsi="仿宋" w:eastAsia="仿宋_GB2312" w:cs="仿宋_GB2312"/>
          <w:kern w:val="2"/>
          <w:sz w:val="32"/>
          <w:szCs w:val="32"/>
          <w:lang w:val="en-US" w:eastAsia="zh-CN" w:bidi="ar"/>
        </w:rPr>
        <w:t>。</w:t>
      </w:r>
    </w:p>
    <w:p>
      <w:pPr>
        <w:pStyle w:val="17"/>
        <w:keepNext w:val="0"/>
        <w:keepLines w:val="0"/>
        <w:widowControl/>
        <w:suppressLineNumbers w:val="0"/>
        <w:autoSpaceDE w:val="0"/>
        <w:autoSpaceDN/>
        <w:adjustRightInd w:val="0"/>
        <w:snapToGrid w:val="0"/>
        <w:spacing w:before="0" w:beforeAutospacing="1" w:after="0" w:afterAutospacing="1" w:line="576" w:lineRule="exact"/>
        <w:ind w:left="0" w:right="0" w:firstLine="640" w:firstLineChars="200"/>
        <w:jc w:val="left"/>
        <w:rPr>
          <w:rFonts w:hint="eastAsia" w:ascii="黑体" w:hAnsi="宋体" w:eastAsia="黑体" w:cs="黑体"/>
          <w:color w:val="000000"/>
          <w:kern w:val="0"/>
          <w:sz w:val="32"/>
          <w:szCs w:val="32"/>
          <w:shd w:val="clear" w:fill="FFFFFF"/>
          <w:lang w:val="en-US"/>
        </w:rPr>
      </w:pPr>
      <w:r>
        <w:rPr>
          <w:rFonts w:hint="eastAsia" w:ascii="黑体" w:hAnsi="宋体" w:eastAsia="黑体" w:cs="黑体"/>
          <w:color w:val="000000"/>
          <w:kern w:val="0"/>
          <w:sz w:val="32"/>
          <w:szCs w:val="32"/>
          <w:shd w:val="clear" w:fill="FFFFFF"/>
          <w:lang w:eastAsia="zh-CN"/>
        </w:rPr>
        <w:t>二、部门财政资金收支情况</w:t>
      </w:r>
    </w:p>
    <w:p>
      <w:pPr>
        <w:pStyle w:val="47"/>
        <w:widowControl/>
        <w:spacing w:before="0" w:beforeAutospacing="0" w:after="0" w:afterAutospacing="0" w:line="576" w:lineRule="exact"/>
        <w:ind w:left="0" w:right="0" w:firstLine="640" w:firstLineChars="200"/>
        <w:rPr>
          <w:rFonts w:hint="eastAsia" w:ascii="微软雅黑" w:hAnsi="微软雅黑" w:eastAsia="微软雅黑" w:cs="微软雅黑"/>
          <w:color w:val="000000"/>
          <w:sz w:val="32"/>
          <w:szCs w:val="32"/>
          <w:lang w:val="en-US"/>
        </w:rPr>
      </w:pPr>
      <w:r>
        <w:rPr>
          <w:rFonts w:hint="eastAsia" w:ascii="楷体_GB2312" w:eastAsia="楷体_GB2312" w:cs="楷体_GB2312"/>
          <w:color w:val="000000"/>
          <w:sz w:val="32"/>
          <w:szCs w:val="32"/>
          <w:lang w:eastAsia="zh-CN"/>
        </w:rPr>
        <w:t>（一）部门财政资金收入情况</w:t>
      </w:r>
    </w:p>
    <w:p>
      <w:pPr>
        <w:pStyle w:val="17"/>
        <w:keepNext w:val="0"/>
        <w:keepLines w:val="0"/>
        <w:widowControl/>
        <w:suppressLineNumbers w:val="0"/>
        <w:autoSpaceDE w:val="0"/>
        <w:autoSpaceDN/>
        <w:adjustRightInd w:val="0"/>
        <w:snapToGrid w:val="0"/>
        <w:spacing w:before="0" w:beforeAutospacing="1" w:after="0" w:afterAutospacing="1" w:line="576" w:lineRule="exact"/>
        <w:ind w:left="0" w:right="0" w:firstLine="640" w:firstLineChars="200"/>
        <w:jc w:val="left"/>
        <w:rPr>
          <w:rFonts w:hint="eastAsia" w:ascii="仿宋_GB2312" w:eastAsia="仿宋_GB2312" w:cs="仿宋_GB2312"/>
          <w:color w:val="000000"/>
          <w:kern w:val="0"/>
          <w:sz w:val="32"/>
          <w:szCs w:val="32"/>
          <w:shd w:val="clear" w:fill="FFFFFF"/>
          <w:lang w:val="en-US"/>
        </w:rPr>
      </w:pPr>
      <w:r>
        <w:rPr>
          <w:rFonts w:hint="eastAsia" w:ascii="仿宋_GB2312" w:eastAsia="仿宋_GB2312" w:cs="仿宋_GB2312"/>
          <w:color w:val="000000"/>
          <w:kern w:val="0"/>
          <w:sz w:val="32"/>
          <w:szCs w:val="32"/>
          <w:shd w:val="clear" w:fill="FFFFFF"/>
          <w:lang w:val="en-US"/>
        </w:rPr>
        <w:t>2021</w:t>
      </w:r>
      <w:r>
        <w:rPr>
          <w:rFonts w:hint="eastAsia" w:ascii="仿宋_GB2312" w:eastAsia="仿宋_GB2312" w:cs="仿宋_GB2312"/>
          <w:color w:val="000000"/>
          <w:kern w:val="0"/>
          <w:sz w:val="32"/>
          <w:szCs w:val="32"/>
          <w:shd w:val="clear" w:fill="FFFFFF"/>
          <w:lang w:eastAsia="zh-CN"/>
        </w:rPr>
        <w:t>年，我单位全年总收入</w:t>
      </w:r>
      <w:r>
        <w:rPr>
          <w:rFonts w:hint="eastAsia" w:ascii="仿宋_GB2312" w:eastAsia="仿宋_GB2312" w:cs="仿宋_GB2312"/>
          <w:color w:val="000000"/>
          <w:kern w:val="0"/>
          <w:sz w:val="32"/>
          <w:szCs w:val="32"/>
          <w:shd w:val="clear" w:fill="FFFFFF"/>
          <w:lang w:val="en-US"/>
        </w:rPr>
        <w:t>284.02</w:t>
      </w:r>
      <w:r>
        <w:rPr>
          <w:rFonts w:hint="eastAsia" w:ascii="仿宋_GB2312" w:eastAsia="仿宋_GB2312" w:cs="仿宋_GB2312"/>
          <w:color w:val="000000"/>
          <w:kern w:val="0"/>
          <w:sz w:val="32"/>
          <w:szCs w:val="32"/>
          <w:shd w:val="clear" w:fill="FFFFFF"/>
          <w:lang w:eastAsia="zh-CN"/>
        </w:rPr>
        <w:t>万元。财政拨款收入</w:t>
      </w:r>
      <w:r>
        <w:rPr>
          <w:rFonts w:hint="eastAsia" w:ascii="仿宋_GB2312" w:eastAsia="仿宋_GB2312" w:cs="仿宋_GB2312"/>
          <w:color w:val="000000"/>
          <w:kern w:val="0"/>
          <w:sz w:val="32"/>
          <w:szCs w:val="32"/>
          <w:shd w:val="clear" w:fill="FFFFFF"/>
          <w:lang w:val="en-US"/>
        </w:rPr>
        <w:t>284.02</w:t>
      </w:r>
      <w:r>
        <w:rPr>
          <w:rFonts w:hint="eastAsia" w:ascii="仿宋_GB2312" w:eastAsia="仿宋_GB2312" w:cs="仿宋_GB2312"/>
          <w:color w:val="000000"/>
          <w:kern w:val="0"/>
          <w:sz w:val="32"/>
          <w:szCs w:val="32"/>
          <w:shd w:val="clear" w:fill="FFFFFF"/>
          <w:lang w:eastAsia="zh-CN"/>
        </w:rPr>
        <w:t>万元。</w:t>
      </w:r>
      <w:r>
        <w:rPr>
          <w:rFonts w:hint="eastAsia" w:ascii="仿宋_GB2312" w:hAnsi="仿宋_GB2312" w:eastAsia="仿宋_GB2312" w:cs="仿宋_GB2312"/>
          <w:color w:val="000000"/>
          <w:kern w:val="0"/>
          <w:sz w:val="32"/>
          <w:szCs w:val="32"/>
          <w:shd w:val="clear" w:color="auto" w:fill="FFFFFF"/>
          <w:lang w:val="en-US" w:eastAsia="zh-CN"/>
        </w:rPr>
        <w:t>其中：</w:t>
      </w:r>
      <w:r>
        <w:rPr>
          <w:rFonts w:hint="eastAsia" w:ascii="仿宋" w:hAnsi="仿宋" w:eastAsia="仿宋"/>
          <w:color w:val="auto"/>
          <w:sz w:val="32"/>
          <w:szCs w:val="32"/>
          <w:highlight w:val="none"/>
        </w:rPr>
        <w:t>一般公共预算财政拨款收入</w:t>
      </w:r>
      <w:r>
        <w:rPr>
          <w:rFonts w:hint="eastAsia" w:ascii="仿宋_GB2312" w:eastAsia="仿宋_GB2312" w:cs="仿宋_GB2312"/>
          <w:color w:val="000000"/>
          <w:kern w:val="0"/>
          <w:sz w:val="32"/>
          <w:szCs w:val="32"/>
          <w:shd w:val="clear" w:fill="FFFFFF"/>
          <w:lang w:val="en-US"/>
        </w:rPr>
        <w:t>284.02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_GB2312" w:eastAsia="仿宋_GB2312" w:cs="仿宋_GB2312"/>
          <w:color w:val="000000"/>
          <w:kern w:val="0"/>
          <w:sz w:val="32"/>
          <w:szCs w:val="32"/>
          <w:shd w:val="clear" w:fill="FFFFFF"/>
          <w:lang w:eastAsia="zh-CN"/>
        </w:rPr>
        <w:t>。</w:t>
      </w:r>
    </w:p>
    <w:p>
      <w:pPr>
        <w:pStyle w:val="17"/>
        <w:keepNext w:val="0"/>
        <w:keepLines w:val="0"/>
        <w:widowControl/>
        <w:numPr>
          <w:ilvl w:val="0"/>
          <w:numId w:val="6"/>
        </w:numPr>
        <w:suppressLineNumbers w:val="0"/>
        <w:pBdr>
          <w:top w:val="none" w:color="auto" w:sz="0" w:space="0"/>
          <w:left w:val="none" w:color="auto" w:sz="0" w:space="0"/>
          <w:bottom w:val="single" w:color="FFFFFF" w:sz="4" w:space="15"/>
          <w:right w:val="none" w:color="auto" w:sz="0" w:space="0"/>
        </w:pBdr>
        <w:tabs>
          <w:tab w:val="left" w:pos="1440"/>
        </w:tabs>
        <w:autoSpaceDE w:val="0"/>
        <w:autoSpaceDN w:val="0"/>
        <w:adjustRightInd w:val="0"/>
        <w:spacing w:before="0" w:beforeAutospacing="1" w:after="0" w:afterAutospacing="1" w:line="576" w:lineRule="exact"/>
        <w:ind w:left="0" w:right="0" w:firstLine="640" w:firstLineChars="200"/>
        <w:contextualSpacing/>
        <w:rPr>
          <w:rFonts w:hint="eastAsia" w:ascii="楷体_GB2312" w:eastAsia="楷体_GB2312" w:cs="楷体_GB2312"/>
          <w:color w:val="000000"/>
          <w:sz w:val="32"/>
          <w:szCs w:val="32"/>
          <w:lang w:val="en-US"/>
        </w:rPr>
      </w:pPr>
      <w:r>
        <w:rPr>
          <w:rFonts w:hint="eastAsia" w:ascii="楷体_GB2312" w:eastAsia="楷体_GB2312" w:cs="楷体_GB2312"/>
          <w:color w:val="000000"/>
          <w:sz w:val="32"/>
          <w:szCs w:val="32"/>
          <w:lang w:eastAsia="zh-CN"/>
        </w:rPr>
        <w:t>部门财政资金支出情况</w:t>
      </w:r>
    </w:p>
    <w:p>
      <w:pPr>
        <w:pStyle w:val="17"/>
        <w:keepNext w:val="0"/>
        <w:keepLines w:val="0"/>
        <w:widowControl/>
        <w:suppressLineNumbers w:val="0"/>
        <w:pBdr>
          <w:top w:val="none" w:color="auto" w:sz="0" w:space="0"/>
          <w:left w:val="none" w:color="auto" w:sz="0" w:space="0"/>
          <w:bottom w:val="single" w:color="FFFFFF" w:sz="4" w:space="15"/>
          <w:right w:val="none" w:color="auto" w:sz="0" w:space="0"/>
        </w:pBdr>
        <w:tabs>
          <w:tab w:val="left" w:pos="1440"/>
        </w:tabs>
        <w:autoSpaceDE w:val="0"/>
        <w:autoSpaceDN w:val="0"/>
        <w:adjustRightInd w:val="0"/>
        <w:spacing w:before="0" w:beforeAutospacing="1" w:after="0" w:afterAutospacing="1" w:line="576" w:lineRule="exact"/>
        <w:ind w:left="0" w:right="0" w:firstLine="640" w:firstLineChars="200"/>
        <w:rPr>
          <w:rFonts w:hint="eastAsia" w:ascii="仿宋_GB2312" w:eastAsia="仿宋_GB2312" w:cs="仿宋_GB2312"/>
          <w:color w:val="000000"/>
          <w:kern w:val="0"/>
          <w:sz w:val="32"/>
          <w:szCs w:val="32"/>
          <w:shd w:val="clear" w:fill="FFFFFF"/>
          <w:lang w:val="en-US"/>
        </w:rPr>
      </w:pPr>
      <w:r>
        <w:rPr>
          <w:rFonts w:hint="eastAsia" w:ascii="仿宋_GB2312" w:eastAsia="仿宋_GB2312" w:cs="仿宋_GB2312"/>
          <w:color w:val="000000"/>
          <w:kern w:val="0"/>
          <w:sz w:val="32"/>
          <w:szCs w:val="32"/>
          <w:shd w:val="clear" w:fill="FFFFFF"/>
          <w:lang w:eastAsia="zh-CN"/>
        </w:rPr>
        <w:t>全年总支出</w:t>
      </w:r>
      <w:r>
        <w:rPr>
          <w:rFonts w:hint="eastAsia" w:ascii="仿宋_GB2312" w:eastAsia="仿宋_GB2312" w:cs="仿宋_GB2312"/>
          <w:color w:val="000000"/>
          <w:kern w:val="0"/>
          <w:sz w:val="32"/>
          <w:szCs w:val="32"/>
          <w:shd w:val="clear" w:fill="FFFFFF"/>
          <w:lang w:val="en-US"/>
        </w:rPr>
        <w:t>284.02</w:t>
      </w:r>
      <w:r>
        <w:rPr>
          <w:rFonts w:hint="eastAsia" w:ascii="仿宋_GB2312" w:eastAsia="仿宋_GB2312" w:cs="仿宋_GB2312"/>
          <w:color w:val="000000"/>
          <w:kern w:val="0"/>
          <w:sz w:val="32"/>
          <w:szCs w:val="32"/>
          <w:shd w:val="clear" w:fill="FFFFFF"/>
          <w:lang w:eastAsia="zh-CN"/>
        </w:rPr>
        <w:t>万元。财政拨款支出</w:t>
      </w:r>
      <w:r>
        <w:rPr>
          <w:rFonts w:hint="eastAsia" w:ascii="仿宋_GB2312" w:eastAsia="仿宋_GB2312" w:cs="仿宋_GB2312"/>
          <w:color w:val="000000"/>
          <w:kern w:val="0"/>
          <w:sz w:val="32"/>
          <w:szCs w:val="32"/>
          <w:shd w:val="clear" w:fill="FFFFFF"/>
          <w:lang w:val="en-US"/>
        </w:rPr>
        <w:t>284.02</w:t>
      </w:r>
      <w:r>
        <w:rPr>
          <w:rFonts w:hint="eastAsia" w:ascii="仿宋_GB2312" w:eastAsia="仿宋_GB2312" w:cs="仿宋_GB2312"/>
          <w:color w:val="000000"/>
          <w:kern w:val="0"/>
          <w:sz w:val="32"/>
          <w:szCs w:val="32"/>
          <w:shd w:val="clear" w:fill="FFFFFF"/>
          <w:lang w:eastAsia="zh-CN"/>
        </w:rPr>
        <w:t>万元。其中：基本支出</w:t>
      </w:r>
      <w:r>
        <w:rPr>
          <w:rFonts w:hint="eastAsia" w:ascii="仿宋_GB2312" w:eastAsia="仿宋_GB2312" w:cs="仿宋_GB2312"/>
          <w:color w:val="000000"/>
          <w:kern w:val="0"/>
          <w:sz w:val="32"/>
          <w:szCs w:val="32"/>
          <w:shd w:val="clear" w:fill="FFFFFF"/>
          <w:lang w:val="en-US"/>
        </w:rPr>
        <w:t>242.11</w:t>
      </w:r>
      <w:r>
        <w:rPr>
          <w:rFonts w:hint="eastAsia" w:ascii="仿宋_GB2312" w:eastAsia="仿宋_GB2312" w:cs="仿宋_GB2312"/>
          <w:color w:val="000000"/>
          <w:kern w:val="0"/>
          <w:sz w:val="32"/>
          <w:szCs w:val="32"/>
          <w:shd w:val="clear" w:fill="FFFFFF"/>
          <w:lang w:eastAsia="zh-CN"/>
        </w:rPr>
        <w:t>万元、项目支出</w:t>
      </w:r>
      <w:r>
        <w:rPr>
          <w:rFonts w:hint="eastAsia" w:ascii="仿宋_GB2312" w:eastAsia="仿宋_GB2312" w:cs="仿宋_GB2312"/>
          <w:color w:val="000000"/>
          <w:kern w:val="0"/>
          <w:sz w:val="32"/>
          <w:szCs w:val="32"/>
          <w:shd w:val="clear" w:fill="FFFFFF"/>
          <w:lang w:val="en-US"/>
        </w:rPr>
        <w:t>41.91</w:t>
      </w:r>
      <w:r>
        <w:rPr>
          <w:rFonts w:hint="eastAsia" w:ascii="仿宋_GB2312" w:eastAsia="仿宋_GB2312" w:cs="仿宋_GB2312"/>
          <w:color w:val="000000"/>
          <w:kern w:val="0"/>
          <w:sz w:val="32"/>
          <w:szCs w:val="32"/>
          <w:shd w:val="clear" w:fill="FFFFFF"/>
          <w:lang w:eastAsia="zh-CN"/>
        </w:rPr>
        <w:t>万元。</w:t>
      </w:r>
    </w:p>
    <w:p>
      <w:pPr>
        <w:pStyle w:val="17"/>
        <w:keepNext w:val="0"/>
        <w:keepLines w:val="0"/>
        <w:widowControl/>
        <w:suppressLineNumbers w:val="0"/>
        <w:pBdr>
          <w:top w:val="none" w:color="auto" w:sz="0" w:space="0"/>
          <w:left w:val="none" w:color="auto" w:sz="0" w:space="0"/>
          <w:bottom w:val="single" w:color="FFFFFF" w:sz="4" w:space="15"/>
          <w:right w:val="none" w:color="auto" w:sz="0" w:space="0"/>
        </w:pBdr>
        <w:tabs>
          <w:tab w:val="left" w:pos="1440"/>
        </w:tabs>
        <w:autoSpaceDE w:val="0"/>
        <w:autoSpaceDN w:val="0"/>
        <w:adjustRightInd w:val="0"/>
        <w:spacing w:before="0" w:beforeAutospacing="1" w:after="0" w:afterAutospacing="1" w:line="576" w:lineRule="exact"/>
        <w:ind w:left="0" w:right="0" w:firstLine="640" w:firstLineChars="200"/>
        <w:rPr>
          <w:rFonts w:hint="eastAsia" w:ascii="仿宋_GB2312" w:eastAsia="仿宋_GB2312" w:cs="仿宋_GB2312"/>
          <w:color w:val="000000"/>
          <w:kern w:val="0"/>
          <w:sz w:val="32"/>
          <w:szCs w:val="32"/>
          <w:shd w:val="clear" w:fill="FFFFFF"/>
          <w:lang w:val="en-US"/>
        </w:rPr>
      </w:pPr>
      <w:r>
        <w:rPr>
          <w:rFonts w:hint="eastAsia" w:ascii="仿宋_GB2312" w:eastAsia="仿宋_GB2312" w:cs="仿宋_GB2312"/>
          <w:color w:val="000000"/>
          <w:kern w:val="0"/>
          <w:sz w:val="32"/>
          <w:szCs w:val="32"/>
          <w:shd w:val="clear" w:fill="FFFFFF"/>
          <w:lang w:eastAsia="zh-CN"/>
        </w:rPr>
        <w:t>从支出的功能分类看：行政运行支出</w:t>
      </w:r>
      <w:r>
        <w:rPr>
          <w:rFonts w:hint="eastAsia" w:ascii="仿宋_GB2312" w:eastAsia="仿宋_GB2312" w:cs="仿宋_GB2312"/>
          <w:color w:val="000000"/>
          <w:kern w:val="0"/>
          <w:sz w:val="32"/>
          <w:szCs w:val="32"/>
          <w:shd w:val="clear" w:fill="FFFFFF"/>
          <w:lang w:val="en-US"/>
        </w:rPr>
        <w:t>130.14</w:t>
      </w:r>
      <w:r>
        <w:rPr>
          <w:rFonts w:hint="eastAsia" w:ascii="仿宋_GB2312" w:eastAsia="仿宋_GB2312" w:cs="仿宋_GB2312"/>
          <w:color w:val="000000"/>
          <w:kern w:val="0"/>
          <w:sz w:val="32"/>
          <w:szCs w:val="32"/>
          <w:shd w:val="clear" w:fill="FFFFFF"/>
          <w:lang w:eastAsia="zh-CN"/>
        </w:rPr>
        <w:t>万元，占全年支出</w:t>
      </w:r>
      <w:r>
        <w:rPr>
          <w:rFonts w:hint="eastAsia" w:ascii="仿宋_GB2312" w:eastAsia="仿宋_GB2312" w:cs="仿宋_GB2312"/>
          <w:color w:val="000000"/>
          <w:kern w:val="0"/>
          <w:sz w:val="32"/>
          <w:szCs w:val="32"/>
          <w:shd w:val="clear" w:fill="FFFFFF"/>
          <w:lang w:val="en-US"/>
        </w:rPr>
        <w:t>4</w:t>
      </w:r>
      <w:r>
        <w:rPr>
          <w:rFonts w:hint="eastAsia" w:ascii="仿宋_GB2312" w:eastAsia="仿宋_GB2312" w:cs="仿宋_GB2312"/>
          <w:color w:val="000000"/>
          <w:kern w:val="0"/>
          <w:sz w:val="32"/>
          <w:szCs w:val="32"/>
          <w:shd w:val="clear" w:fill="FFFFFF"/>
          <w:lang w:val="en-US" w:eastAsia="zh-CN"/>
        </w:rPr>
        <w:t>6</w:t>
      </w:r>
      <w:r>
        <w:rPr>
          <w:rFonts w:hint="eastAsia" w:ascii="仿宋_GB2312" w:eastAsia="仿宋_GB2312" w:cs="仿宋_GB2312"/>
          <w:color w:val="000000"/>
          <w:kern w:val="0"/>
          <w:sz w:val="32"/>
          <w:szCs w:val="32"/>
          <w:shd w:val="clear" w:fill="FFFFFF"/>
          <w:lang w:val="en-US"/>
        </w:rPr>
        <w:t>%</w:t>
      </w:r>
      <w:r>
        <w:rPr>
          <w:rFonts w:hint="eastAsia" w:ascii="仿宋_GB2312" w:eastAsia="仿宋_GB2312" w:cs="仿宋_GB2312"/>
          <w:color w:val="000000"/>
          <w:kern w:val="0"/>
          <w:sz w:val="32"/>
          <w:szCs w:val="32"/>
          <w:shd w:val="clear" w:fill="FFFFFF"/>
          <w:lang w:eastAsia="zh-CN"/>
        </w:rPr>
        <w:t>；事业运行支出</w:t>
      </w:r>
      <w:r>
        <w:rPr>
          <w:rFonts w:hint="eastAsia" w:ascii="仿宋_GB2312" w:eastAsia="仿宋_GB2312" w:cs="仿宋_GB2312"/>
          <w:color w:val="000000"/>
          <w:kern w:val="0"/>
          <w:sz w:val="32"/>
          <w:szCs w:val="32"/>
          <w:shd w:val="clear" w:fill="FFFFFF"/>
          <w:lang w:val="en-US"/>
        </w:rPr>
        <w:t>45.52</w:t>
      </w:r>
      <w:r>
        <w:rPr>
          <w:rFonts w:hint="eastAsia" w:ascii="仿宋_GB2312" w:eastAsia="仿宋_GB2312" w:cs="仿宋_GB2312"/>
          <w:color w:val="000000"/>
          <w:kern w:val="0"/>
          <w:sz w:val="32"/>
          <w:szCs w:val="32"/>
          <w:shd w:val="clear" w:fill="FFFFFF"/>
          <w:lang w:eastAsia="zh-CN"/>
        </w:rPr>
        <w:t>万元，占全年支出</w:t>
      </w:r>
      <w:r>
        <w:rPr>
          <w:rFonts w:hint="eastAsia" w:ascii="仿宋_GB2312" w:eastAsia="仿宋_GB2312" w:cs="仿宋_GB2312"/>
          <w:color w:val="000000"/>
          <w:kern w:val="0"/>
          <w:sz w:val="32"/>
          <w:szCs w:val="32"/>
          <w:shd w:val="clear" w:fill="FFFFFF"/>
          <w:lang w:val="en-US"/>
        </w:rPr>
        <w:t>16%</w:t>
      </w:r>
      <w:r>
        <w:rPr>
          <w:rFonts w:hint="eastAsia" w:ascii="仿宋_GB2312" w:eastAsia="仿宋_GB2312" w:cs="仿宋_GB2312"/>
          <w:color w:val="000000"/>
          <w:kern w:val="0"/>
          <w:sz w:val="32"/>
          <w:szCs w:val="32"/>
          <w:shd w:val="clear" w:fill="FFFFFF"/>
          <w:lang w:eastAsia="zh-CN"/>
        </w:rPr>
        <w:t>；社会保障和就业支出</w:t>
      </w:r>
      <w:r>
        <w:rPr>
          <w:rFonts w:hint="eastAsia" w:ascii="仿宋_GB2312" w:eastAsia="仿宋_GB2312" w:cs="仿宋_GB2312"/>
          <w:color w:val="000000"/>
          <w:kern w:val="0"/>
          <w:sz w:val="32"/>
          <w:szCs w:val="32"/>
          <w:shd w:val="clear" w:fill="FFFFFF"/>
          <w:lang w:val="en-US"/>
        </w:rPr>
        <w:t>38.35</w:t>
      </w:r>
      <w:r>
        <w:rPr>
          <w:rFonts w:hint="eastAsia" w:ascii="仿宋_GB2312" w:eastAsia="仿宋_GB2312" w:cs="仿宋_GB2312"/>
          <w:color w:val="000000"/>
          <w:kern w:val="0"/>
          <w:sz w:val="32"/>
          <w:szCs w:val="32"/>
          <w:shd w:val="clear" w:fill="FFFFFF"/>
          <w:lang w:eastAsia="zh-CN"/>
        </w:rPr>
        <w:t>万元，占全年支出</w:t>
      </w:r>
      <w:r>
        <w:rPr>
          <w:rFonts w:hint="eastAsia" w:ascii="仿宋_GB2312" w:eastAsia="仿宋_GB2312" w:cs="仿宋_GB2312"/>
          <w:color w:val="000000"/>
          <w:kern w:val="0"/>
          <w:sz w:val="32"/>
          <w:szCs w:val="32"/>
          <w:shd w:val="clear" w:fill="FFFFFF"/>
          <w:lang w:val="en-US"/>
        </w:rPr>
        <w:t>1</w:t>
      </w:r>
      <w:r>
        <w:rPr>
          <w:rFonts w:hint="eastAsia" w:ascii="仿宋_GB2312" w:eastAsia="仿宋_GB2312" w:cs="仿宋_GB2312"/>
          <w:color w:val="000000"/>
          <w:kern w:val="0"/>
          <w:sz w:val="32"/>
          <w:szCs w:val="32"/>
          <w:shd w:val="clear" w:fill="FFFFFF"/>
          <w:lang w:val="en-US" w:eastAsia="zh-CN"/>
        </w:rPr>
        <w:t>4</w:t>
      </w:r>
      <w:r>
        <w:rPr>
          <w:rFonts w:hint="eastAsia" w:ascii="仿宋_GB2312" w:eastAsia="仿宋_GB2312" w:cs="仿宋_GB2312"/>
          <w:color w:val="000000"/>
          <w:kern w:val="0"/>
          <w:sz w:val="32"/>
          <w:szCs w:val="32"/>
          <w:shd w:val="clear" w:fill="FFFFFF"/>
          <w:lang w:val="en-US"/>
        </w:rPr>
        <w:t>%</w:t>
      </w:r>
      <w:r>
        <w:rPr>
          <w:rFonts w:hint="eastAsia" w:ascii="仿宋_GB2312" w:eastAsia="仿宋_GB2312" w:cs="仿宋_GB2312"/>
          <w:color w:val="000000"/>
          <w:kern w:val="0"/>
          <w:sz w:val="32"/>
          <w:szCs w:val="32"/>
          <w:shd w:val="clear" w:fill="FFFFFF"/>
          <w:lang w:eastAsia="zh-CN"/>
        </w:rPr>
        <w:t>，卫生健康支出</w:t>
      </w:r>
      <w:r>
        <w:rPr>
          <w:rFonts w:hint="eastAsia" w:ascii="仿宋_GB2312" w:eastAsia="仿宋_GB2312" w:cs="仿宋_GB2312"/>
          <w:color w:val="000000"/>
          <w:kern w:val="0"/>
          <w:sz w:val="32"/>
          <w:szCs w:val="32"/>
          <w:shd w:val="clear" w:fill="FFFFFF"/>
          <w:lang w:val="en-US"/>
        </w:rPr>
        <w:t>9.75</w:t>
      </w:r>
      <w:r>
        <w:rPr>
          <w:rFonts w:hint="eastAsia" w:ascii="仿宋_GB2312" w:eastAsia="仿宋_GB2312" w:cs="仿宋_GB2312"/>
          <w:color w:val="000000"/>
          <w:kern w:val="0"/>
          <w:sz w:val="32"/>
          <w:szCs w:val="32"/>
          <w:shd w:val="clear" w:fill="FFFFFF"/>
          <w:lang w:eastAsia="zh-CN"/>
        </w:rPr>
        <w:t>万元，占全年支出</w:t>
      </w:r>
      <w:r>
        <w:rPr>
          <w:rFonts w:hint="eastAsia" w:ascii="仿宋_GB2312" w:eastAsia="仿宋_GB2312" w:cs="仿宋_GB2312"/>
          <w:color w:val="000000"/>
          <w:kern w:val="0"/>
          <w:sz w:val="32"/>
          <w:szCs w:val="32"/>
          <w:shd w:val="clear" w:fill="FFFFFF"/>
          <w:lang w:val="en-US"/>
        </w:rPr>
        <w:t>3%</w:t>
      </w:r>
      <w:r>
        <w:rPr>
          <w:rFonts w:hint="eastAsia" w:ascii="仿宋_GB2312" w:eastAsia="仿宋_GB2312" w:cs="仿宋_GB2312"/>
          <w:color w:val="000000"/>
          <w:kern w:val="0"/>
          <w:sz w:val="32"/>
          <w:szCs w:val="32"/>
          <w:shd w:val="clear" w:fill="FFFFFF"/>
          <w:lang w:eastAsia="zh-CN"/>
        </w:rPr>
        <w:t>；住房保障支出</w:t>
      </w:r>
      <w:r>
        <w:rPr>
          <w:rFonts w:hint="eastAsia" w:ascii="仿宋_GB2312" w:eastAsia="仿宋_GB2312" w:cs="仿宋_GB2312"/>
          <w:color w:val="000000"/>
          <w:kern w:val="0"/>
          <w:sz w:val="32"/>
          <w:szCs w:val="32"/>
          <w:shd w:val="clear" w:fill="FFFFFF"/>
          <w:lang w:val="en-US"/>
        </w:rPr>
        <w:t>18.35</w:t>
      </w:r>
      <w:r>
        <w:rPr>
          <w:rFonts w:hint="eastAsia" w:ascii="仿宋_GB2312" w:eastAsia="仿宋_GB2312" w:cs="仿宋_GB2312"/>
          <w:color w:val="000000"/>
          <w:kern w:val="0"/>
          <w:sz w:val="32"/>
          <w:szCs w:val="32"/>
          <w:shd w:val="clear" w:fill="FFFFFF"/>
          <w:lang w:eastAsia="zh-CN"/>
        </w:rPr>
        <w:t>万元，占全年支出</w:t>
      </w:r>
      <w:r>
        <w:rPr>
          <w:rFonts w:hint="eastAsia" w:ascii="仿宋_GB2312" w:eastAsia="仿宋_GB2312" w:cs="仿宋_GB2312"/>
          <w:color w:val="000000"/>
          <w:kern w:val="0"/>
          <w:sz w:val="32"/>
          <w:szCs w:val="32"/>
          <w:shd w:val="clear" w:fill="FFFFFF"/>
          <w:lang w:val="en-US" w:eastAsia="zh-CN"/>
        </w:rPr>
        <w:t>7</w:t>
      </w:r>
      <w:r>
        <w:rPr>
          <w:rFonts w:hint="eastAsia" w:ascii="仿宋_GB2312" w:eastAsia="仿宋_GB2312" w:cs="仿宋_GB2312"/>
          <w:color w:val="000000"/>
          <w:kern w:val="0"/>
          <w:sz w:val="32"/>
          <w:szCs w:val="32"/>
          <w:shd w:val="clear" w:fill="FFFFFF"/>
          <w:lang w:val="en-US"/>
        </w:rPr>
        <w:t>%</w:t>
      </w:r>
      <w:r>
        <w:rPr>
          <w:rFonts w:hint="eastAsia" w:ascii="仿宋_GB2312" w:eastAsia="仿宋_GB2312" w:cs="仿宋_GB2312"/>
          <w:color w:val="000000"/>
          <w:kern w:val="0"/>
          <w:sz w:val="32"/>
          <w:szCs w:val="32"/>
          <w:shd w:val="clear" w:fill="FFFFFF"/>
          <w:lang w:eastAsia="zh-CN"/>
        </w:rPr>
        <w:t>；一般行政管理事务支出</w:t>
      </w:r>
      <w:r>
        <w:rPr>
          <w:rFonts w:hint="eastAsia" w:ascii="仿宋_GB2312" w:eastAsia="仿宋_GB2312" w:cs="仿宋_GB2312"/>
          <w:color w:val="000000"/>
          <w:kern w:val="0"/>
          <w:sz w:val="32"/>
          <w:szCs w:val="32"/>
          <w:shd w:val="clear" w:fill="FFFFFF"/>
          <w:lang w:val="en-US"/>
        </w:rPr>
        <w:t>24.28</w:t>
      </w:r>
      <w:r>
        <w:rPr>
          <w:rFonts w:hint="eastAsia" w:ascii="仿宋_GB2312" w:eastAsia="仿宋_GB2312" w:cs="仿宋_GB2312"/>
          <w:color w:val="000000"/>
          <w:kern w:val="0"/>
          <w:sz w:val="32"/>
          <w:szCs w:val="32"/>
          <w:shd w:val="clear" w:fill="FFFFFF"/>
          <w:lang w:eastAsia="zh-CN"/>
        </w:rPr>
        <w:t>万元，占全年支出</w:t>
      </w:r>
      <w:r>
        <w:rPr>
          <w:rFonts w:hint="eastAsia" w:ascii="仿宋_GB2312" w:eastAsia="仿宋_GB2312" w:cs="仿宋_GB2312"/>
          <w:color w:val="000000"/>
          <w:kern w:val="0"/>
          <w:sz w:val="32"/>
          <w:szCs w:val="32"/>
          <w:shd w:val="clear" w:fill="FFFFFF"/>
          <w:lang w:val="en-US" w:eastAsia="zh-CN"/>
        </w:rPr>
        <w:t>9</w:t>
      </w:r>
      <w:r>
        <w:rPr>
          <w:rFonts w:hint="eastAsia" w:ascii="仿宋_GB2312" w:eastAsia="仿宋_GB2312" w:cs="仿宋_GB2312"/>
          <w:color w:val="000000"/>
          <w:kern w:val="0"/>
          <w:sz w:val="32"/>
          <w:szCs w:val="32"/>
          <w:shd w:val="clear" w:fill="FFFFFF"/>
          <w:lang w:val="en-US"/>
        </w:rPr>
        <w:t>%</w:t>
      </w:r>
      <w:r>
        <w:rPr>
          <w:rFonts w:hint="eastAsia" w:ascii="仿宋_GB2312" w:eastAsia="仿宋_GB2312" w:cs="仿宋_GB2312"/>
          <w:color w:val="000000"/>
          <w:kern w:val="0"/>
          <w:sz w:val="32"/>
          <w:szCs w:val="32"/>
          <w:shd w:val="clear" w:fill="FFFFFF"/>
          <w:lang w:eastAsia="zh-CN"/>
        </w:rPr>
        <w:t>；信访事务支出</w:t>
      </w:r>
      <w:r>
        <w:rPr>
          <w:rFonts w:hint="eastAsia" w:ascii="仿宋_GB2312" w:eastAsia="仿宋_GB2312" w:cs="仿宋_GB2312"/>
          <w:color w:val="000000"/>
          <w:kern w:val="0"/>
          <w:sz w:val="32"/>
          <w:szCs w:val="32"/>
          <w:shd w:val="clear" w:fill="FFFFFF"/>
          <w:lang w:val="en-US"/>
        </w:rPr>
        <w:t>17.63</w:t>
      </w:r>
      <w:r>
        <w:rPr>
          <w:rFonts w:hint="eastAsia" w:ascii="仿宋_GB2312" w:eastAsia="仿宋_GB2312" w:cs="仿宋_GB2312"/>
          <w:color w:val="000000"/>
          <w:kern w:val="0"/>
          <w:sz w:val="32"/>
          <w:szCs w:val="32"/>
          <w:shd w:val="clear" w:fill="FFFFFF"/>
          <w:lang w:eastAsia="zh-CN"/>
        </w:rPr>
        <w:t>万元，占全年支出</w:t>
      </w:r>
      <w:r>
        <w:rPr>
          <w:rFonts w:hint="eastAsia" w:ascii="仿宋_GB2312" w:eastAsia="仿宋_GB2312" w:cs="仿宋_GB2312"/>
          <w:color w:val="000000"/>
          <w:kern w:val="0"/>
          <w:sz w:val="32"/>
          <w:szCs w:val="32"/>
          <w:shd w:val="clear" w:fill="FFFFFF"/>
          <w:lang w:val="en-US"/>
        </w:rPr>
        <w:t>6%</w:t>
      </w:r>
      <w:r>
        <w:rPr>
          <w:rFonts w:hint="eastAsia" w:ascii="仿宋_GB2312" w:eastAsia="仿宋_GB2312" w:cs="仿宋_GB2312"/>
          <w:color w:val="000000"/>
          <w:kern w:val="0"/>
          <w:sz w:val="32"/>
          <w:szCs w:val="32"/>
          <w:shd w:val="clear" w:fill="FFFFFF"/>
          <w:lang w:eastAsia="zh-CN"/>
        </w:rPr>
        <w:t>。</w:t>
      </w:r>
    </w:p>
    <w:p>
      <w:pPr>
        <w:pStyle w:val="17"/>
        <w:keepNext w:val="0"/>
        <w:keepLines w:val="0"/>
        <w:widowControl/>
        <w:suppressLineNumbers w:val="0"/>
        <w:pBdr>
          <w:top w:val="none" w:color="auto" w:sz="0" w:space="0"/>
          <w:left w:val="none" w:color="auto" w:sz="0" w:space="0"/>
          <w:bottom w:val="single" w:color="FFFFFF" w:sz="4" w:space="15"/>
          <w:right w:val="none" w:color="auto" w:sz="0" w:space="0"/>
        </w:pBdr>
        <w:tabs>
          <w:tab w:val="left" w:pos="1440"/>
        </w:tabs>
        <w:autoSpaceDE w:val="0"/>
        <w:autoSpaceDN w:val="0"/>
        <w:adjustRightInd w:val="0"/>
        <w:spacing w:before="0" w:beforeAutospacing="1" w:after="0" w:afterAutospacing="1" w:line="576" w:lineRule="exact"/>
        <w:ind w:left="0" w:right="0" w:firstLine="640" w:firstLineChars="200"/>
        <w:rPr>
          <w:rFonts w:hint="eastAsia" w:ascii="黑体" w:hAnsi="宋体" w:eastAsia="黑体" w:cs="黑体"/>
          <w:color w:val="000000"/>
          <w:kern w:val="0"/>
          <w:sz w:val="32"/>
          <w:szCs w:val="32"/>
          <w:shd w:val="clear" w:fill="FFFFFF"/>
          <w:lang w:val="en-US"/>
        </w:rPr>
      </w:pPr>
      <w:r>
        <w:rPr>
          <w:rFonts w:hint="eastAsia" w:ascii="黑体" w:hAnsi="宋体" w:eastAsia="黑体" w:cs="黑体"/>
          <w:color w:val="000000"/>
          <w:kern w:val="0"/>
          <w:sz w:val="32"/>
          <w:szCs w:val="32"/>
          <w:shd w:val="clear" w:fill="FFFFFF"/>
          <w:lang w:eastAsia="zh-CN"/>
        </w:rPr>
        <w:t>三、部门整体预算绩效管理情况</w:t>
      </w:r>
    </w:p>
    <w:p>
      <w:pPr>
        <w:pStyle w:val="17"/>
        <w:keepNext w:val="0"/>
        <w:keepLines w:val="0"/>
        <w:widowControl/>
        <w:suppressLineNumbers w:val="0"/>
        <w:pBdr>
          <w:top w:val="none" w:color="auto" w:sz="0" w:space="0"/>
          <w:left w:val="none" w:color="auto" w:sz="0" w:space="0"/>
          <w:bottom w:val="single" w:color="FFFFFF" w:sz="4" w:space="15"/>
          <w:right w:val="none" w:color="auto" w:sz="0" w:space="0"/>
        </w:pBdr>
        <w:tabs>
          <w:tab w:val="left" w:pos="1440"/>
        </w:tabs>
        <w:autoSpaceDE w:val="0"/>
        <w:autoSpaceDN w:val="0"/>
        <w:adjustRightInd w:val="0"/>
        <w:spacing w:before="0" w:beforeAutospacing="1" w:after="0" w:afterAutospacing="1" w:line="576" w:lineRule="exact"/>
        <w:ind w:left="0" w:right="0" w:firstLine="640" w:firstLineChars="200"/>
        <w:rPr>
          <w:rFonts w:hint="eastAsia" w:ascii="仿宋_GB2312" w:eastAsia="仿宋_GB2312" w:cs="仿宋_GB2312"/>
          <w:color w:val="000000"/>
          <w:kern w:val="0"/>
          <w:sz w:val="32"/>
          <w:szCs w:val="32"/>
          <w:shd w:val="clear" w:fill="FFFFFF"/>
          <w:lang w:val="en-US"/>
        </w:rPr>
      </w:pPr>
      <w:r>
        <w:rPr>
          <w:rFonts w:hint="eastAsia" w:ascii="楷体_GB2312" w:eastAsia="楷体_GB2312" w:cs="楷体_GB2312"/>
          <w:color w:val="000000"/>
          <w:kern w:val="0"/>
          <w:sz w:val="32"/>
          <w:szCs w:val="32"/>
          <w:shd w:val="clear" w:fill="FFFFFF"/>
          <w:lang w:eastAsia="zh-CN"/>
        </w:rPr>
        <w:t>（一）部门预算项目绩效管理。</w:t>
      </w:r>
      <w:r>
        <w:rPr>
          <w:rFonts w:hint="eastAsia" w:ascii="仿宋_GB2312" w:eastAsia="仿宋_GB2312" w:cs="仿宋_GB2312"/>
          <w:color w:val="000000"/>
          <w:kern w:val="0"/>
          <w:sz w:val="32"/>
          <w:szCs w:val="32"/>
          <w:shd w:val="clear" w:fill="FFFFFF"/>
          <w:lang w:eastAsia="zh-CN"/>
        </w:rPr>
        <w:t>预算编制严格按照预算编制方案科学合理编制本部门预算，提前做好情况摸底、数据收集、填报绩效目标、细化专项预算，根据定员和人员经费标准、日常公用经费定额计算确定经费预算，从严控制经费，按照“零增长”的原则编制“三公经费”预算，压缩公用经费。科学编制项目支出，按照“谁申请资金，谁编制目标”的要求，编制部门预算项目绩效目标，按时完成预算编制报送工作。</w:t>
      </w:r>
    </w:p>
    <w:p>
      <w:pPr>
        <w:pStyle w:val="17"/>
        <w:keepNext w:val="0"/>
        <w:keepLines w:val="0"/>
        <w:widowControl/>
        <w:suppressLineNumbers w:val="0"/>
        <w:pBdr>
          <w:top w:val="none" w:color="auto" w:sz="0" w:space="0"/>
          <w:left w:val="none" w:color="auto" w:sz="0" w:space="0"/>
          <w:bottom w:val="single" w:color="FFFFFF" w:sz="4" w:space="15"/>
          <w:right w:val="none" w:color="auto" w:sz="0" w:space="0"/>
        </w:pBdr>
        <w:tabs>
          <w:tab w:val="left" w:pos="1440"/>
        </w:tabs>
        <w:autoSpaceDE w:val="0"/>
        <w:autoSpaceDN w:val="0"/>
        <w:adjustRightInd w:val="0"/>
        <w:spacing w:before="0" w:beforeAutospacing="1" w:after="0" w:afterAutospacing="1" w:line="576" w:lineRule="exact"/>
        <w:ind w:left="0" w:right="0" w:firstLine="640" w:firstLineChars="200"/>
        <w:rPr>
          <w:rFonts w:hint="eastAsia" w:ascii="仿宋_GB2312" w:eastAsia="仿宋_GB2312" w:cs="仿宋_GB2312"/>
          <w:color w:val="000000"/>
          <w:kern w:val="0"/>
          <w:sz w:val="32"/>
          <w:szCs w:val="32"/>
          <w:shd w:val="clear" w:fill="FFFFFF"/>
          <w:lang w:val="en-US"/>
        </w:rPr>
      </w:pPr>
      <w:r>
        <w:rPr>
          <w:rFonts w:hint="eastAsia" w:ascii="楷体_GB2312" w:eastAsia="楷体_GB2312" w:cs="楷体_GB2312"/>
          <w:color w:val="000000"/>
          <w:kern w:val="0"/>
          <w:sz w:val="32"/>
          <w:szCs w:val="32"/>
          <w:shd w:val="clear" w:fill="FFFFFF"/>
          <w:lang w:eastAsia="zh-CN"/>
        </w:rPr>
        <w:t>（二）结果应用情况。</w:t>
      </w:r>
      <w:r>
        <w:rPr>
          <w:rFonts w:hint="eastAsia" w:ascii="仿宋_GB2312" w:eastAsia="仿宋_GB2312" w:cs="仿宋_GB2312"/>
          <w:color w:val="000000"/>
          <w:kern w:val="0"/>
          <w:sz w:val="32"/>
          <w:szCs w:val="32"/>
          <w:shd w:val="clear" w:fill="FFFFFF"/>
          <w:lang w:eastAsia="zh-CN"/>
        </w:rPr>
        <w:t>我局认真开展部门绩效评价工作，从整体上看，</w:t>
      </w:r>
      <w:r>
        <w:rPr>
          <w:rFonts w:hint="eastAsia" w:ascii="仿宋_GB2312" w:eastAsia="仿宋_GB2312" w:cs="仿宋_GB2312"/>
          <w:color w:val="000000"/>
          <w:kern w:val="0"/>
          <w:sz w:val="32"/>
          <w:szCs w:val="32"/>
          <w:shd w:val="clear" w:fill="FFFFFF"/>
          <w:lang w:val="en-US"/>
        </w:rPr>
        <w:t>2021</w:t>
      </w:r>
      <w:r>
        <w:rPr>
          <w:rFonts w:hint="eastAsia" w:ascii="仿宋_GB2312" w:eastAsia="仿宋_GB2312" w:cs="仿宋_GB2312"/>
          <w:color w:val="000000"/>
          <w:kern w:val="0"/>
          <w:sz w:val="32"/>
          <w:szCs w:val="32"/>
          <w:shd w:val="clear" w:fill="FFFFFF"/>
          <w:lang w:eastAsia="zh-CN"/>
        </w:rPr>
        <w:t>年度，资金管理规范，政策执行有力，有效发挥了财政资金的使用效率。</w:t>
      </w:r>
      <w:r>
        <w:rPr>
          <w:rFonts w:hint="eastAsia" w:ascii="仿宋_GB2312" w:eastAsia="仿宋_GB2312" w:cs="仿宋_GB2312"/>
          <w:color w:val="000000"/>
          <w:kern w:val="0"/>
          <w:sz w:val="32"/>
          <w:szCs w:val="32"/>
          <w:shd w:val="clear" w:fill="FFFFFF"/>
          <w:lang w:val="en-US"/>
        </w:rPr>
        <w:t>2021</w:t>
      </w:r>
      <w:r>
        <w:rPr>
          <w:rFonts w:hint="eastAsia" w:ascii="仿宋_GB2312" w:eastAsia="仿宋_GB2312" w:cs="仿宋_GB2312"/>
          <w:color w:val="000000"/>
          <w:kern w:val="0"/>
          <w:sz w:val="32"/>
          <w:szCs w:val="32"/>
          <w:shd w:val="clear" w:fill="FFFFFF"/>
          <w:lang w:eastAsia="zh-CN"/>
        </w:rPr>
        <w:t>年度绩效目标基本达成，服务对象满意度超过</w:t>
      </w:r>
      <w:r>
        <w:rPr>
          <w:rFonts w:hint="eastAsia" w:ascii="仿宋_GB2312" w:eastAsia="仿宋_GB2312" w:cs="仿宋_GB2312"/>
          <w:color w:val="000000"/>
          <w:kern w:val="0"/>
          <w:sz w:val="32"/>
          <w:szCs w:val="32"/>
          <w:shd w:val="clear" w:fill="FFFFFF"/>
          <w:lang w:val="en-US"/>
        </w:rPr>
        <w:t>95%</w:t>
      </w:r>
      <w:r>
        <w:rPr>
          <w:rFonts w:hint="eastAsia" w:ascii="仿宋_GB2312" w:eastAsia="仿宋_GB2312" w:cs="仿宋_GB2312"/>
          <w:color w:val="000000"/>
          <w:kern w:val="0"/>
          <w:sz w:val="32"/>
          <w:szCs w:val="32"/>
          <w:shd w:val="clear" w:fill="FFFFFF"/>
          <w:lang w:eastAsia="zh-CN"/>
        </w:rPr>
        <w:t>，并取得了良好的社会效益。</w:t>
      </w:r>
    </w:p>
    <w:p>
      <w:pPr>
        <w:pStyle w:val="17"/>
        <w:keepNext w:val="0"/>
        <w:keepLines w:val="0"/>
        <w:widowControl/>
        <w:suppressLineNumbers w:val="0"/>
        <w:pBdr>
          <w:top w:val="none" w:color="auto" w:sz="0" w:space="0"/>
          <w:left w:val="none" w:color="auto" w:sz="0" w:space="0"/>
          <w:bottom w:val="single" w:color="FFFFFF" w:sz="4" w:space="15"/>
          <w:right w:val="none" w:color="auto" w:sz="0" w:space="0"/>
        </w:pBdr>
        <w:tabs>
          <w:tab w:val="left" w:pos="1440"/>
        </w:tabs>
        <w:autoSpaceDE w:val="0"/>
        <w:autoSpaceDN w:val="0"/>
        <w:adjustRightInd w:val="0"/>
        <w:spacing w:before="0" w:beforeAutospacing="1" w:after="0" w:afterAutospacing="1" w:line="576" w:lineRule="exact"/>
        <w:ind w:left="0" w:right="0" w:firstLine="640" w:firstLineChars="200"/>
        <w:rPr>
          <w:rFonts w:hint="eastAsia" w:ascii="仿宋_GB2312" w:eastAsia="仿宋_GB2312" w:cs="仿宋_GB2312"/>
          <w:color w:val="000000"/>
          <w:kern w:val="0"/>
          <w:sz w:val="32"/>
          <w:szCs w:val="32"/>
          <w:shd w:val="clear" w:fill="FFFFFF"/>
          <w:lang w:val="en-US"/>
        </w:rPr>
      </w:pPr>
      <w:r>
        <w:rPr>
          <w:rFonts w:hint="eastAsia" w:ascii="楷体_GB2312" w:eastAsia="楷体_GB2312" w:cs="楷体_GB2312"/>
          <w:color w:val="000000"/>
          <w:kern w:val="0"/>
          <w:sz w:val="32"/>
          <w:szCs w:val="32"/>
          <w:shd w:val="clear" w:fill="FFFFFF"/>
          <w:lang w:eastAsia="zh-CN"/>
        </w:rPr>
        <w:t>（三）自评质量。</w:t>
      </w:r>
      <w:r>
        <w:rPr>
          <w:rFonts w:hint="eastAsia" w:ascii="仿宋_GB2312" w:eastAsia="仿宋_GB2312" w:cs="仿宋_GB2312"/>
          <w:color w:val="000000"/>
          <w:kern w:val="0"/>
          <w:sz w:val="32"/>
          <w:szCs w:val="32"/>
          <w:shd w:val="clear" w:fill="FFFFFF"/>
          <w:lang w:val="en-US"/>
        </w:rPr>
        <w:t>2021</w:t>
      </w:r>
      <w:r>
        <w:rPr>
          <w:rFonts w:hint="eastAsia" w:ascii="仿宋_GB2312" w:eastAsia="仿宋_GB2312" w:cs="仿宋_GB2312"/>
          <w:color w:val="000000"/>
          <w:kern w:val="0"/>
          <w:sz w:val="32"/>
          <w:szCs w:val="32"/>
          <w:shd w:val="clear" w:fill="FFFFFF"/>
          <w:lang w:eastAsia="zh-CN"/>
        </w:rPr>
        <w:t>年度，通过加强预算收支管理，不断建立健全内部管理制度，梳理内部管理流程，整体支出管理水平得到提升。根据部门整体支出绩效评价指标体系，我局</w:t>
      </w:r>
      <w:r>
        <w:rPr>
          <w:rFonts w:hint="eastAsia" w:ascii="仿宋_GB2312" w:eastAsia="仿宋_GB2312" w:cs="仿宋_GB2312"/>
          <w:color w:val="000000"/>
          <w:kern w:val="0"/>
          <w:sz w:val="32"/>
          <w:szCs w:val="32"/>
          <w:shd w:val="clear" w:fill="FFFFFF"/>
          <w:lang w:val="en-US"/>
        </w:rPr>
        <w:t>2021</w:t>
      </w:r>
      <w:r>
        <w:rPr>
          <w:rFonts w:hint="eastAsia" w:ascii="仿宋_GB2312" w:eastAsia="仿宋_GB2312" w:cs="仿宋_GB2312"/>
          <w:color w:val="000000"/>
          <w:kern w:val="0"/>
          <w:sz w:val="32"/>
          <w:szCs w:val="32"/>
          <w:shd w:val="clear" w:fill="FFFFFF"/>
          <w:lang w:eastAsia="zh-CN"/>
        </w:rPr>
        <w:t>年度部门整体支出绩效自评</w:t>
      </w:r>
      <w:r>
        <w:rPr>
          <w:rFonts w:hint="eastAsia" w:ascii="仿宋_GB2312" w:eastAsia="仿宋_GB2312" w:cs="仿宋_GB2312"/>
          <w:color w:val="000000"/>
          <w:kern w:val="0"/>
          <w:sz w:val="32"/>
          <w:szCs w:val="32"/>
          <w:shd w:val="clear" w:fill="FFFFFF"/>
          <w:lang w:val="en-US"/>
        </w:rPr>
        <w:t>90</w:t>
      </w:r>
      <w:r>
        <w:rPr>
          <w:rFonts w:hint="eastAsia" w:ascii="仿宋_GB2312" w:eastAsia="仿宋_GB2312" w:cs="仿宋_GB2312"/>
          <w:color w:val="000000"/>
          <w:kern w:val="0"/>
          <w:sz w:val="32"/>
          <w:szCs w:val="32"/>
          <w:shd w:val="clear" w:fill="FFFFFF"/>
          <w:lang w:eastAsia="zh-CN"/>
        </w:rPr>
        <w:t>分，具体评价如下：预算编制较好得</w:t>
      </w:r>
      <w:r>
        <w:rPr>
          <w:rFonts w:hint="eastAsia" w:ascii="仿宋_GB2312" w:eastAsia="仿宋_GB2312" w:cs="仿宋_GB2312"/>
          <w:color w:val="000000"/>
          <w:kern w:val="0"/>
          <w:sz w:val="32"/>
          <w:szCs w:val="32"/>
          <w:shd w:val="clear" w:fill="FFFFFF"/>
          <w:lang w:val="en-US"/>
        </w:rPr>
        <w:t>14</w:t>
      </w:r>
      <w:r>
        <w:rPr>
          <w:rFonts w:hint="eastAsia" w:ascii="仿宋_GB2312" w:eastAsia="仿宋_GB2312" w:cs="仿宋_GB2312"/>
          <w:color w:val="000000"/>
          <w:kern w:val="0"/>
          <w:sz w:val="32"/>
          <w:szCs w:val="32"/>
          <w:shd w:val="clear" w:fill="FFFFFF"/>
          <w:lang w:eastAsia="zh-CN"/>
        </w:rPr>
        <w:t>分，预算执行比较到位得</w:t>
      </w:r>
      <w:r>
        <w:rPr>
          <w:rFonts w:hint="eastAsia" w:ascii="仿宋_GB2312" w:eastAsia="仿宋_GB2312" w:cs="仿宋_GB2312"/>
          <w:color w:val="000000"/>
          <w:kern w:val="0"/>
          <w:sz w:val="32"/>
          <w:szCs w:val="32"/>
          <w:shd w:val="clear" w:fill="FFFFFF"/>
          <w:lang w:val="en-US"/>
        </w:rPr>
        <w:t>24</w:t>
      </w:r>
      <w:r>
        <w:rPr>
          <w:rFonts w:hint="eastAsia" w:ascii="仿宋_GB2312" w:eastAsia="仿宋_GB2312" w:cs="仿宋_GB2312"/>
          <w:color w:val="000000"/>
          <w:kern w:val="0"/>
          <w:sz w:val="32"/>
          <w:szCs w:val="32"/>
          <w:shd w:val="clear" w:fill="FFFFFF"/>
          <w:lang w:eastAsia="zh-CN"/>
        </w:rPr>
        <w:t>分，综合管理得</w:t>
      </w:r>
      <w:r>
        <w:rPr>
          <w:rFonts w:hint="eastAsia" w:ascii="仿宋_GB2312" w:eastAsia="仿宋_GB2312" w:cs="仿宋_GB2312"/>
          <w:color w:val="000000"/>
          <w:kern w:val="0"/>
          <w:sz w:val="32"/>
          <w:szCs w:val="32"/>
          <w:shd w:val="clear" w:fill="FFFFFF"/>
          <w:lang w:val="en-US"/>
        </w:rPr>
        <w:t>36</w:t>
      </w:r>
      <w:r>
        <w:rPr>
          <w:rFonts w:hint="eastAsia" w:ascii="仿宋_GB2312" w:eastAsia="仿宋_GB2312" w:cs="仿宋_GB2312"/>
          <w:color w:val="000000"/>
          <w:kern w:val="0"/>
          <w:sz w:val="32"/>
          <w:szCs w:val="32"/>
          <w:shd w:val="clear" w:fill="FFFFFF"/>
          <w:lang w:eastAsia="zh-CN"/>
        </w:rPr>
        <w:t>分，整体效益得</w:t>
      </w:r>
      <w:r>
        <w:rPr>
          <w:rFonts w:hint="eastAsia" w:ascii="仿宋_GB2312" w:eastAsia="仿宋_GB2312" w:cs="仿宋_GB2312"/>
          <w:color w:val="000000"/>
          <w:kern w:val="0"/>
          <w:sz w:val="32"/>
          <w:szCs w:val="32"/>
          <w:shd w:val="clear" w:fill="FFFFFF"/>
          <w:lang w:val="en-US"/>
        </w:rPr>
        <w:t>16</w:t>
      </w:r>
      <w:r>
        <w:rPr>
          <w:rFonts w:hint="eastAsia" w:ascii="仿宋_GB2312" w:eastAsia="仿宋_GB2312" w:cs="仿宋_GB2312"/>
          <w:color w:val="000000"/>
          <w:kern w:val="0"/>
          <w:sz w:val="32"/>
          <w:szCs w:val="32"/>
          <w:shd w:val="clear" w:fill="FFFFFF"/>
          <w:lang w:eastAsia="zh-CN"/>
        </w:rPr>
        <w:t>分。我局将在以后的工作中做到预算、决算管理制度化，严格控制各项经费的开支，提高经费的使用效率。</w:t>
      </w:r>
    </w:p>
    <w:p>
      <w:pPr>
        <w:pStyle w:val="17"/>
        <w:keepNext w:val="0"/>
        <w:keepLines w:val="0"/>
        <w:widowControl/>
        <w:suppressLineNumbers w:val="0"/>
        <w:pBdr>
          <w:top w:val="none" w:color="auto" w:sz="0" w:space="0"/>
          <w:left w:val="none" w:color="auto" w:sz="0" w:space="0"/>
          <w:bottom w:val="single" w:color="FFFFFF" w:sz="4" w:space="15"/>
          <w:right w:val="none" w:color="auto" w:sz="0" w:space="0"/>
        </w:pBdr>
        <w:tabs>
          <w:tab w:val="left" w:pos="1440"/>
        </w:tabs>
        <w:autoSpaceDE w:val="0"/>
        <w:autoSpaceDN w:val="0"/>
        <w:adjustRightInd w:val="0"/>
        <w:spacing w:before="0" w:beforeAutospacing="1" w:after="0" w:afterAutospacing="1" w:line="576" w:lineRule="exact"/>
        <w:ind w:left="0" w:right="0" w:firstLine="640" w:firstLineChars="200"/>
        <w:rPr>
          <w:rFonts w:hint="eastAsia" w:ascii="黑体" w:hAnsi="宋体" w:eastAsia="黑体" w:cs="黑体"/>
          <w:color w:val="000000"/>
          <w:kern w:val="0"/>
          <w:sz w:val="32"/>
          <w:szCs w:val="32"/>
          <w:shd w:val="clear" w:fill="FFFFFF"/>
          <w:lang w:val="en-US"/>
        </w:rPr>
      </w:pPr>
      <w:r>
        <w:rPr>
          <w:rFonts w:hint="eastAsia" w:ascii="黑体" w:hAnsi="宋体" w:eastAsia="黑体" w:cs="黑体"/>
          <w:color w:val="000000"/>
          <w:kern w:val="0"/>
          <w:sz w:val="32"/>
          <w:szCs w:val="32"/>
          <w:shd w:val="clear" w:fill="FFFFFF"/>
          <w:lang w:eastAsia="zh-CN"/>
        </w:rPr>
        <w:t>四、自评结论及建议</w:t>
      </w:r>
    </w:p>
    <w:p>
      <w:pPr>
        <w:pStyle w:val="17"/>
        <w:keepNext w:val="0"/>
        <w:keepLines w:val="0"/>
        <w:widowControl/>
        <w:suppressLineNumbers w:val="0"/>
        <w:pBdr>
          <w:top w:val="none" w:color="auto" w:sz="0" w:space="0"/>
          <w:left w:val="none" w:color="auto" w:sz="0" w:space="0"/>
          <w:bottom w:val="single" w:color="FFFFFF" w:sz="4" w:space="15"/>
          <w:right w:val="none" w:color="auto" w:sz="0" w:space="0"/>
        </w:pBdr>
        <w:tabs>
          <w:tab w:val="left" w:pos="1440"/>
        </w:tabs>
        <w:autoSpaceDE w:val="0"/>
        <w:autoSpaceDN w:val="0"/>
        <w:adjustRightInd w:val="0"/>
        <w:spacing w:before="0" w:beforeAutospacing="1" w:after="0" w:afterAutospacing="1" w:line="576" w:lineRule="exact"/>
        <w:ind w:left="0" w:right="0" w:firstLine="640" w:firstLineChars="200"/>
        <w:rPr>
          <w:rFonts w:hint="eastAsia" w:ascii="仿宋_GB2312" w:eastAsia="仿宋_GB2312" w:cs="仿宋_GB2312"/>
          <w:color w:val="000000"/>
          <w:kern w:val="0"/>
          <w:sz w:val="32"/>
          <w:szCs w:val="32"/>
          <w:shd w:val="clear" w:fill="FFFFFF"/>
          <w:lang w:val="en-US"/>
        </w:rPr>
      </w:pPr>
      <w:r>
        <w:rPr>
          <w:rFonts w:hint="eastAsia" w:ascii="楷体_GB2312" w:eastAsia="楷体_GB2312" w:cs="楷体_GB2312"/>
          <w:color w:val="000000"/>
          <w:kern w:val="0"/>
          <w:sz w:val="32"/>
          <w:szCs w:val="32"/>
          <w:shd w:val="clear" w:fill="FFFFFF"/>
          <w:lang w:eastAsia="zh-CN"/>
        </w:rPr>
        <w:t>（一）自评结论。</w:t>
      </w:r>
      <w:r>
        <w:rPr>
          <w:rFonts w:hint="eastAsia" w:ascii="仿宋_GB2312" w:eastAsia="仿宋_GB2312" w:cs="仿宋_GB2312"/>
          <w:color w:val="000000"/>
          <w:kern w:val="0"/>
          <w:sz w:val="32"/>
          <w:szCs w:val="32"/>
          <w:shd w:val="clear" w:fill="FFFFFF"/>
          <w:lang w:eastAsia="zh-CN"/>
        </w:rPr>
        <w:t>通过此次开展的部门整体绩效评价工作，对我局</w:t>
      </w:r>
      <w:r>
        <w:rPr>
          <w:rFonts w:hint="eastAsia" w:ascii="仿宋_GB2312" w:eastAsia="仿宋_GB2312" w:cs="仿宋_GB2312"/>
          <w:color w:val="000000"/>
          <w:kern w:val="0"/>
          <w:sz w:val="32"/>
          <w:szCs w:val="32"/>
          <w:shd w:val="clear" w:fill="FFFFFF"/>
          <w:lang w:val="en-US"/>
        </w:rPr>
        <w:t>2021</w:t>
      </w:r>
      <w:r>
        <w:rPr>
          <w:rFonts w:hint="eastAsia" w:ascii="仿宋_GB2312" w:eastAsia="仿宋_GB2312" w:cs="仿宋_GB2312"/>
          <w:color w:val="000000"/>
          <w:kern w:val="0"/>
          <w:sz w:val="32"/>
          <w:szCs w:val="32"/>
          <w:shd w:val="clear" w:fill="FFFFFF"/>
          <w:lang w:eastAsia="zh-CN"/>
        </w:rPr>
        <w:t>年度目标绩效设定情况、资金收入支出情况以及绩效目标实施情况都有了全面的了解，本年度达到预期目标，资金管理规范，使用有效，对我局工作起到了积极推动作用。我局将在以后的工作中做到预算、决算管理制度化，严格控制各项经费的开支，提高经费的使用效率。</w:t>
      </w:r>
    </w:p>
    <w:p>
      <w:pPr>
        <w:pStyle w:val="17"/>
        <w:keepNext w:val="0"/>
        <w:keepLines w:val="0"/>
        <w:widowControl/>
        <w:suppressLineNumbers w:val="0"/>
        <w:pBdr>
          <w:top w:val="none" w:color="auto" w:sz="0" w:space="0"/>
          <w:left w:val="none" w:color="auto" w:sz="0" w:space="0"/>
          <w:bottom w:val="single" w:color="FFFFFF" w:sz="4" w:space="15"/>
          <w:right w:val="none" w:color="auto" w:sz="0" w:space="0"/>
        </w:pBdr>
        <w:tabs>
          <w:tab w:val="left" w:pos="1440"/>
        </w:tabs>
        <w:autoSpaceDE w:val="0"/>
        <w:autoSpaceDN w:val="0"/>
        <w:adjustRightInd w:val="0"/>
        <w:spacing w:before="0" w:beforeAutospacing="1" w:after="0" w:afterAutospacing="1" w:line="576" w:lineRule="exact"/>
        <w:ind w:left="0" w:right="0" w:firstLine="640" w:firstLineChars="200"/>
        <w:rPr>
          <w:rFonts w:hint="eastAsia" w:ascii="仿宋_GB2312" w:hAnsi="仿宋_GB2312" w:eastAsia="仿宋_GB2312" w:cs="仿宋_GB2312"/>
          <w:color w:val="000000"/>
          <w:sz w:val="32"/>
          <w:szCs w:val="32"/>
          <w:shd w:val="clear" w:fill="FFFFFF"/>
          <w:lang w:val="en-US"/>
        </w:rPr>
      </w:pPr>
      <w:r>
        <w:rPr>
          <w:rFonts w:hint="eastAsia" w:ascii="楷体_GB2312" w:eastAsia="楷体_GB2312" w:cs="楷体_GB2312"/>
          <w:color w:val="000000"/>
          <w:kern w:val="0"/>
          <w:sz w:val="32"/>
          <w:szCs w:val="32"/>
          <w:shd w:val="clear" w:fill="FFFFFF"/>
          <w:lang w:eastAsia="zh-CN"/>
        </w:rPr>
        <w:t>（二）存在问题。</w:t>
      </w:r>
      <w:r>
        <w:rPr>
          <w:rFonts w:hint="eastAsia" w:ascii="仿宋_GB2312" w:hAnsi="仿宋_GB2312" w:eastAsia="仿宋_GB2312" w:cs="仿宋_GB2312"/>
          <w:color w:val="000000"/>
          <w:sz w:val="32"/>
          <w:szCs w:val="32"/>
          <w:shd w:val="clear" w:fill="FFFFFF"/>
          <w:lang w:eastAsia="zh-CN"/>
        </w:rPr>
        <w:t>在年初申报绩效目标时，存在部分项目绩效目标要素不够完整、指标数据不够细化量化的问题，导致部门工作开展难度较大。</w:t>
      </w:r>
    </w:p>
    <w:p>
      <w:pPr>
        <w:pStyle w:val="17"/>
        <w:keepNext w:val="0"/>
        <w:keepLines w:val="0"/>
        <w:widowControl/>
        <w:suppressLineNumbers w:val="0"/>
        <w:pBdr>
          <w:top w:val="none" w:color="auto" w:sz="0" w:space="0"/>
          <w:left w:val="none" w:color="auto" w:sz="0" w:space="0"/>
          <w:bottom w:val="single" w:color="FFFFFF" w:sz="4" w:space="15"/>
          <w:right w:val="none" w:color="auto" w:sz="0" w:space="0"/>
        </w:pBdr>
        <w:tabs>
          <w:tab w:val="left" w:pos="1440"/>
        </w:tabs>
        <w:autoSpaceDE w:val="0"/>
        <w:autoSpaceDN w:val="0"/>
        <w:adjustRightInd w:val="0"/>
        <w:spacing w:before="0" w:beforeAutospacing="1" w:after="0" w:afterAutospacing="1" w:line="576" w:lineRule="exact"/>
        <w:ind w:left="0" w:right="0" w:firstLine="640" w:firstLineChars="200"/>
        <w:rPr>
          <w:lang w:val="en-US"/>
        </w:rPr>
      </w:pPr>
      <w:r>
        <w:rPr>
          <w:rFonts w:hint="eastAsia" w:ascii="楷体_GB2312" w:eastAsia="楷体_GB2312" w:cs="楷体_GB2312"/>
          <w:color w:val="000000"/>
          <w:kern w:val="0"/>
          <w:sz w:val="32"/>
          <w:szCs w:val="32"/>
          <w:shd w:val="clear" w:fill="FFFFFF"/>
          <w:lang w:eastAsia="zh-CN"/>
        </w:rPr>
        <w:t>（三）改进建议。一是</w:t>
      </w:r>
      <w:r>
        <w:rPr>
          <w:rFonts w:hint="eastAsia" w:ascii="仿宋_GB2312" w:eastAsia="仿宋_GB2312" w:cs="仿宋_GB2312"/>
          <w:color w:val="000000"/>
          <w:kern w:val="0"/>
          <w:sz w:val="32"/>
          <w:szCs w:val="32"/>
          <w:shd w:val="clear" w:fill="FFFFFF"/>
          <w:lang w:eastAsia="zh-CN"/>
        </w:rPr>
        <w:t>进一步完善绩效目标填报工作，强化绩效指标实用性。绩效目标是整个预算绩效管理的起点，与部门履职效率形成直接关系，在接下来工作中，严格按照效率性及效益性原则设置对应指标，提高绩效指标实用性。在绩效指标量化和细化时根据工作开展难度进行合理设定，增强指标在实际工作的实用性。二是制定适合本年度的工作计划及下一年度工作的推进监管制度，推动部门工作高效完成。三是认真履行预算编报要求，提高预算编报的科学性。严格按照相关预算编报文件要求，结合近年来执行情况，合理编制各项预算，提高预算的科学性和准确性。</w:t>
      </w:r>
    </w:p>
    <w:p>
      <w:pPr>
        <w:pStyle w:val="17"/>
        <w:keepNext w:val="0"/>
        <w:keepLines w:val="0"/>
        <w:widowControl/>
        <w:suppressLineNumbers w:val="0"/>
        <w:pBdr>
          <w:top w:val="none" w:color="auto" w:sz="0" w:space="0"/>
          <w:left w:val="none" w:color="auto" w:sz="0" w:space="0"/>
          <w:bottom w:val="single" w:color="FFFFFF" w:sz="4" w:space="15"/>
          <w:right w:val="none" w:color="auto" w:sz="0" w:space="0"/>
        </w:pBdr>
        <w:tabs>
          <w:tab w:val="left" w:pos="1440"/>
        </w:tabs>
        <w:autoSpaceDE w:val="0"/>
        <w:autoSpaceDN w:val="0"/>
        <w:adjustRightInd w:val="0"/>
        <w:spacing w:before="0" w:beforeAutospacing="1" w:after="0" w:afterAutospacing="1" w:line="576" w:lineRule="exact"/>
        <w:ind w:left="0" w:right="0" w:firstLine="640" w:firstLineChars="200"/>
        <w:rPr>
          <w:rFonts w:hint="eastAsia" w:ascii="仿宋_GB2312" w:eastAsia="仿宋_GB2312" w:cs="仿宋_GB2312"/>
          <w:color w:val="000000"/>
          <w:kern w:val="0"/>
          <w:sz w:val="32"/>
          <w:szCs w:val="32"/>
          <w:shd w:val="clear" w:fill="FFFFFF"/>
          <w:lang w:val="en-US"/>
        </w:rPr>
      </w:pPr>
      <w:r>
        <w:rPr>
          <w:rFonts w:hint="eastAsia" w:ascii="仿宋_GB2312" w:eastAsia="仿宋_GB2312" w:cs="仿宋_GB2312"/>
          <w:color w:val="000000"/>
          <w:kern w:val="0"/>
          <w:sz w:val="32"/>
          <w:szCs w:val="32"/>
          <w:shd w:val="clear" w:fill="FFFFFF"/>
          <w:lang w:eastAsia="zh-CN"/>
        </w:rPr>
        <w:t>附表：</w:t>
      </w:r>
      <w:r>
        <w:rPr>
          <w:rFonts w:hint="eastAsia" w:ascii="Calibri" w:hAnsi="Calibri" w:eastAsia="仿宋_GB2312" w:cs="Calibri"/>
          <w:color w:val="000000"/>
          <w:kern w:val="0"/>
          <w:sz w:val="32"/>
          <w:szCs w:val="32"/>
          <w:shd w:val="clear" w:fill="FFFFFF"/>
          <w:lang w:val="en-US" w:eastAsia="zh-CN"/>
        </w:rPr>
        <w:t xml:space="preserve">1-1 </w:t>
      </w:r>
      <w:r>
        <w:rPr>
          <w:rFonts w:hint="eastAsia" w:ascii="仿宋_GB2312" w:eastAsia="仿宋_GB2312" w:cs="仿宋_GB2312"/>
          <w:color w:val="000000"/>
          <w:kern w:val="0"/>
          <w:sz w:val="32"/>
          <w:szCs w:val="32"/>
          <w:shd w:val="clear" w:fill="FFFFFF"/>
          <w:lang w:eastAsia="zh-CN"/>
        </w:rPr>
        <w:t>部门整体支出绩效目标自评表</w:t>
      </w:r>
    </w:p>
    <w:p>
      <w:pPr>
        <w:pStyle w:val="17"/>
        <w:keepNext w:val="0"/>
        <w:keepLines w:val="0"/>
        <w:widowControl/>
        <w:suppressLineNumbers w:val="0"/>
        <w:pBdr>
          <w:top w:val="none" w:color="auto" w:sz="0" w:space="0"/>
          <w:left w:val="none" w:color="auto" w:sz="0" w:space="0"/>
          <w:bottom w:val="single" w:color="FFFFFF" w:sz="4" w:space="15"/>
          <w:right w:val="none" w:color="auto" w:sz="0" w:space="0"/>
        </w:pBdr>
        <w:tabs>
          <w:tab w:val="left" w:pos="1440"/>
        </w:tabs>
        <w:autoSpaceDE w:val="0"/>
        <w:autoSpaceDN w:val="0"/>
        <w:adjustRightInd w:val="0"/>
        <w:spacing w:before="0" w:beforeAutospacing="1" w:after="0" w:afterAutospacing="1" w:line="576" w:lineRule="exact"/>
        <w:ind w:left="0" w:right="0" w:firstLine="1600" w:firstLineChars="500"/>
        <w:rPr>
          <w:rFonts w:hint="eastAsia" w:ascii="仿宋_GB2312" w:eastAsia="仿宋_GB2312" w:cs="仿宋_GB2312"/>
          <w:color w:val="000000"/>
          <w:kern w:val="0"/>
          <w:sz w:val="32"/>
          <w:szCs w:val="32"/>
          <w:shd w:val="clear" w:fill="FFFFFF"/>
          <w:lang w:val="en-US"/>
        </w:rPr>
      </w:pPr>
      <w:r>
        <w:rPr>
          <w:rFonts w:hint="eastAsia" w:ascii="Calibri" w:hAnsi="Calibri" w:eastAsia="仿宋_GB2312" w:cs="Calibri"/>
          <w:color w:val="000000"/>
          <w:kern w:val="0"/>
          <w:sz w:val="32"/>
          <w:szCs w:val="32"/>
          <w:shd w:val="clear" w:fill="FFFFFF"/>
          <w:lang w:val="en-US" w:eastAsia="zh-CN"/>
        </w:rPr>
        <w:t xml:space="preserve">1-2 </w:t>
      </w:r>
      <w:r>
        <w:rPr>
          <w:rFonts w:hint="eastAsia" w:ascii="仿宋_GB2312" w:eastAsia="仿宋_GB2312" w:cs="仿宋_GB2312"/>
          <w:color w:val="000000"/>
          <w:kern w:val="0"/>
          <w:sz w:val="32"/>
          <w:szCs w:val="32"/>
          <w:shd w:val="clear" w:fill="FFFFFF"/>
          <w:lang w:val="en-US"/>
        </w:rPr>
        <w:t>2021</w:t>
      </w:r>
      <w:r>
        <w:rPr>
          <w:rFonts w:hint="eastAsia" w:ascii="仿宋_GB2312" w:eastAsia="仿宋_GB2312" w:cs="仿宋_GB2312"/>
          <w:color w:val="000000"/>
          <w:kern w:val="0"/>
          <w:sz w:val="32"/>
          <w:szCs w:val="32"/>
          <w:shd w:val="clear" w:fill="FFFFFF"/>
          <w:lang w:eastAsia="zh-CN"/>
        </w:rPr>
        <w:t>年部门整体支出绩效自评评分表</w:t>
      </w:r>
    </w:p>
    <w:tbl>
      <w:tblPr>
        <w:tblStyle w:val="21"/>
        <w:tblpPr w:leftFromText="180" w:rightFromText="180" w:vertAnchor="text" w:horzAnchor="page" w:tblpX="1364" w:tblpY="941"/>
        <w:tblOverlap w:val="never"/>
        <w:tblW w:w="100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
        <w:gridCol w:w="552"/>
        <w:gridCol w:w="600"/>
        <w:gridCol w:w="1176"/>
        <w:gridCol w:w="1164"/>
        <w:gridCol w:w="1872"/>
        <w:gridCol w:w="2184"/>
        <w:gridCol w:w="907"/>
        <w:gridCol w:w="1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38" w:type="dxa"/>
          <w:trHeight w:val="457" w:hRule="atLeast"/>
        </w:trPr>
        <w:tc>
          <w:tcPr>
            <w:tcW w:w="8458" w:type="dxa"/>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附表</w:t>
            </w:r>
            <w:r>
              <w:rPr>
                <w:rFonts w:hint="eastAsia" w:ascii="Calibri" w:hAnsi="Calibri" w:eastAsia="黑体" w:cs="Calibri"/>
                <w:i w:val="0"/>
                <w:iCs w:val="0"/>
                <w:color w:val="000000"/>
                <w:kern w:val="0"/>
                <w:sz w:val="24"/>
                <w:szCs w:val="24"/>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444" w:hRule="atLeast"/>
        </w:trPr>
        <w:tc>
          <w:tcPr>
            <w:tcW w:w="10093" w:type="dxa"/>
            <w:gridSpan w:val="8"/>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36"/>
                <w:szCs w:val="36"/>
                <w:lang w:val="en-US"/>
              </w:rPr>
            </w:pPr>
            <w:r>
              <w:rPr>
                <w:rFonts w:hint="eastAsia" w:ascii="方正小标宋简体" w:hAnsi="方正小标宋简体" w:eastAsia="方正小标宋简体" w:cs="方正小标宋简体"/>
                <w:color w:val="000000"/>
                <w:kern w:val="0"/>
                <w:sz w:val="44"/>
                <w:szCs w:val="44"/>
                <w:lang w:val="en-US" w:eastAsia="zh-CN" w:bidi="ar"/>
              </w:rPr>
              <w:t>部门整体支出绩效目标自评表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324" w:hRule="atLeast"/>
        </w:trPr>
        <w:tc>
          <w:tcPr>
            <w:tcW w:w="10093" w:type="dxa"/>
            <w:gridSpan w:val="8"/>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2021</w:t>
            </w:r>
            <w:r>
              <w:rPr>
                <w:rFonts w:hint="eastAsia" w:ascii="宋体" w:hAnsi="宋体" w:eastAsia="宋体" w:cs="宋体"/>
                <w:color w:val="000000"/>
                <w:kern w:val="0"/>
                <w:sz w:val="24"/>
                <w:szCs w:val="24"/>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360" w:hRule="atLeast"/>
        </w:trPr>
        <w:tc>
          <w:tcPr>
            <w:tcW w:w="34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部门（单位）名称</w:t>
            </w:r>
          </w:p>
        </w:tc>
        <w:tc>
          <w:tcPr>
            <w:tcW w:w="6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18"/>
                <w:szCs w:val="18"/>
                <w:lang w:val="en-US" w:eastAsia="zh-CN"/>
              </w:rPr>
            </w:pPr>
            <w:r>
              <w:rPr>
                <w:rFonts w:hint="eastAsia" w:ascii="宋体" w:hAnsi="宋体" w:cs="宋体"/>
                <w:b w:val="0"/>
                <w:bCs w:val="0"/>
                <w:color w:val="000000"/>
                <w:sz w:val="18"/>
                <w:szCs w:val="18"/>
                <w:lang w:val="en-US" w:eastAsia="zh-CN"/>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360" w:hRule="atLeast"/>
        </w:trPr>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年度主要任务</w:t>
            </w: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任务名称</w:t>
            </w:r>
          </w:p>
        </w:tc>
        <w:tc>
          <w:tcPr>
            <w:tcW w:w="6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60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人员经费</w:t>
            </w:r>
          </w:p>
        </w:tc>
        <w:tc>
          <w:tcPr>
            <w:tcW w:w="6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保障单位人员工资、社保、养老保险、住房公积金、工会经费、福利费和相关办公差旅经费等。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60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日常公用支出</w:t>
            </w:r>
          </w:p>
        </w:tc>
        <w:tc>
          <w:tcPr>
            <w:tcW w:w="6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机构正常运转、完成日常工作任务而发生的人员支出和公用支出，办公费、水电费等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60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公务交通补贴</w:t>
            </w:r>
          </w:p>
        </w:tc>
        <w:tc>
          <w:tcPr>
            <w:tcW w:w="6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根据文件要求对公务员和行政工人进行交通补贴。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60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社情民意手机短信平台运行费</w:t>
            </w:r>
          </w:p>
        </w:tc>
        <w:tc>
          <w:tcPr>
            <w:tcW w:w="6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定期对视频接访设备进行检修以及网络维护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60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领导视频接访室改建</w:t>
            </w:r>
          </w:p>
        </w:tc>
        <w:tc>
          <w:tcPr>
            <w:tcW w:w="6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完成两间领导视频接访室改建工作，对原有地面、墙面进行拆除并翻新。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60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领导接访系统设备采购</w:t>
            </w:r>
          </w:p>
        </w:tc>
        <w:tc>
          <w:tcPr>
            <w:tcW w:w="6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完成领导视频接访系统建设，采购相关设备。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60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视频接访系统运行费</w:t>
            </w:r>
          </w:p>
        </w:tc>
        <w:tc>
          <w:tcPr>
            <w:tcW w:w="6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与移动公司签订接访系统升级改造合作协议，对接访系统及传输网络进行建设和维护。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60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网上信访投诉受理平台运行费</w:t>
            </w:r>
          </w:p>
        </w:tc>
        <w:tc>
          <w:tcPr>
            <w:tcW w:w="6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与联通公司签约，对网上信访投诉受理平台进行维护，保障平台正常运行。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60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非贫困村第一书记工作经费</w:t>
            </w:r>
          </w:p>
        </w:tc>
        <w:tc>
          <w:tcPr>
            <w:tcW w:w="6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完成区委区政府安排的脱贫攻坚与乡村振兴有效衔接的各项工作任务。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60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金财网络维护费</w:t>
            </w:r>
          </w:p>
        </w:tc>
        <w:tc>
          <w:tcPr>
            <w:tcW w:w="6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保障金财网运行正常，财务工作顺利有效开展，各项财政资金使用渠道通畅。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60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网格化租赁费、网格化服务管理信息系统运行费</w:t>
            </w:r>
          </w:p>
        </w:tc>
        <w:tc>
          <w:tcPr>
            <w:tcW w:w="6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保证网格化服务信息管理系统的正常运行，全面推进平安中国建设，维护国家安全，确保人民安居乐业、社会安定有序。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60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驻省轮流值班</w:t>
            </w:r>
          </w:p>
        </w:tc>
        <w:tc>
          <w:tcPr>
            <w:tcW w:w="6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分别于1月、2月、3月各派出两人到成都进行信访维稳值班。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60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驻京轮流值班</w:t>
            </w:r>
          </w:p>
        </w:tc>
        <w:tc>
          <w:tcPr>
            <w:tcW w:w="6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分别于7月、8月、9月各派出两人到北京信访维稳值班。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60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特殊疑难信访资金</w:t>
            </w:r>
          </w:p>
        </w:tc>
        <w:tc>
          <w:tcPr>
            <w:tcW w:w="6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化解特殊疑难信访事项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360" w:hRule="atLeast"/>
        </w:trPr>
        <w:tc>
          <w:tcPr>
            <w:tcW w:w="2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预算资金总额（万元）</w:t>
            </w:r>
          </w:p>
        </w:tc>
        <w:tc>
          <w:tcPr>
            <w:tcW w:w="3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284.02</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实际执行总额（万元）</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284.02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360" w:hRule="atLeast"/>
        </w:trPr>
        <w:tc>
          <w:tcPr>
            <w:tcW w:w="2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其中：一般公共预算</w:t>
            </w:r>
          </w:p>
        </w:tc>
        <w:tc>
          <w:tcPr>
            <w:tcW w:w="3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284.02</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其中：一般公共预算</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284.02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360" w:hRule="atLeast"/>
        </w:trPr>
        <w:tc>
          <w:tcPr>
            <w:tcW w:w="2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政府性基金预算</w:t>
            </w:r>
          </w:p>
        </w:tc>
        <w:tc>
          <w:tcPr>
            <w:tcW w:w="3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政府性基金预算</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360" w:hRule="atLeast"/>
        </w:trPr>
        <w:tc>
          <w:tcPr>
            <w:tcW w:w="2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国有资本经营预算</w:t>
            </w:r>
          </w:p>
        </w:tc>
        <w:tc>
          <w:tcPr>
            <w:tcW w:w="3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国有资本经营预算</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360" w:hRule="atLeast"/>
        </w:trPr>
        <w:tc>
          <w:tcPr>
            <w:tcW w:w="2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社会保险基金预算</w:t>
            </w:r>
          </w:p>
        </w:tc>
        <w:tc>
          <w:tcPr>
            <w:tcW w:w="3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社会保险基金预算</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360" w:hRule="atLeast"/>
        </w:trPr>
        <w:tc>
          <w:tcPr>
            <w:tcW w:w="2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其他资金</w:t>
            </w:r>
          </w:p>
        </w:tc>
        <w:tc>
          <w:tcPr>
            <w:tcW w:w="3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其他资金</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360" w:hRule="atLeast"/>
        </w:trPr>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年度总体目标</w:t>
            </w:r>
          </w:p>
        </w:tc>
        <w:tc>
          <w:tcPr>
            <w:tcW w:w="48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预期目标</w:t>
            </w:r>
          </w:p>
        </w:tc>
        <w:tc>
          <w:tcPr>
            <w:tcW w:w="47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4412"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48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目标1：完成领导接访室的改建及接访系统设备采购。确保领导视频接访工作顺利开展，保证国家、省市各项培训会议顺利召开。</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目标2：保障社情民意手机平台、网上信访投诉受理平台、视频接访系统正常运转。</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目标3：通过第一书记驻村，巩固提升脱贫攻坚成果。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目标4：完成驻京、驻省轮流值班工作，确保对到省、进京的闹访、缠访、非信访场所信访等非正常上访和群体性集访事项的及时、高效处置，不出现极端信访事件和负面舆情炒作。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目标5：保障机关正常运行，按时发放干部职工工资、补贴；缴纳保险、公积金、职业年金；支付商品服务费用，水电费、差旅费等。     </w:t>
            </w:r>
          </w:p>
        </w:tc>
        <w:tc>
          <w:tcPr>
            <w:tcW w:w="47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目标1：完成领导接访室的改建及接访系统设备采购。</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目标2：社情民意手机平台、网上信访投诉受理平台、视频接访系统正常运转。</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目标3：通过第一书记驻村，巩固提升脱贫攻坚成果。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目标4：顺利完成驻京、驻省轮流值班工作，对到省、进京的闹访、缠访、非信访场所信访等非正常上访和群体性集访事项及时、高效处置，未出现极端信访事件和负面舆情炒作。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目标5：按时发放干部职工工资、补贴；缴纳保险、公积金、职业年金；支付商品服务费用，水电费、差旅费等。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456" w:hRule="atLeast"/>
        </w:trPr>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年度绩效指标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一级指标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二级指标</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三级指标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预期指标值</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color w:val="000000"/>
                <w:kern w:val="0"/>
                <w:sz w:val="16"/>
                <w:szCs w:val="16"/>
                <w:lang w:val="en-US" w:eastAsia="zh-CN" w:bidi="ar"/>
              </w:rPr>
              <w:t>（包含数字及文字描述）</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实际完成指标值</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color w:val="000000"/>
                <w:kern w:val="0"/>
                <w:sz w:val="16"/>
                <w:szCs w:val="16"/>
                <w:lang w:val="en-US" w:eastAsia="zh-CN" w:bidi="ar"/>
              </w:rPr>
              <w:t>（包含数字及文字描述</w:t>
            </w:r>
            <w:r>
              <w:rPr>
                <w:rFonts w:hint="eastAsia" w:ascii="宋体" w:hAnsi="宋体" w:eastAsia="宋体" w:cs="宋体"/>
                <w:color w:val="000000"/>
                <w:kern w:val="0"/>
                <w:sz w:val="18"/>
                <w:szCs w:val="18"/>
                <w:lang w:val="en-US" w:eastAsia="zh-CN" w:bidi="ar"/>
              </w:rPr>
              <w:t>）</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1103"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产出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数量指标</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职工工资发放和社会保障缴费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17人、12个月</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17人、12个月</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879"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公务交通补贴发放</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8人、12个月</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8人、12个月</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966"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领导接访室改建</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2间、32平方米</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2间、32平方米</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85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领导接访设备采购</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2套</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2套</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724"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系统维护</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4个、12个月</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4个、12个月</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881"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第一书记驻村</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1人、≥120天</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1人、≥120天</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85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驻省轮流值班</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6人、3个月</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6人、3个月</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1026"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驻京轮流值班</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6人、3个月</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6人、3个月</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1191"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质量指标</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工资和公务交通补贴发放率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946"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社会保障缴费率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1147"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领导接访室改建竣工验收合格率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805"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运行系统故障率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861"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系统维护及时性</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高</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高</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1279"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视频接访设备安装合格率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926"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扶贫任务完成率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1002"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工作完成质量</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高</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高</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95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时效指标</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任务完成时间</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2021年</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2021年</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564"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成本指标</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人员经费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≤203.05万元</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≤203.05万元</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6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日常公用支出</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≤14万元</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≤14万元</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94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公务交通补贴</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≤7.89万元</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≤7.89万元</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130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社情民意手机短信平台运行费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≤15万元</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≤15万元</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706"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领导视频接访室改建</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≤4万元</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≤4万元</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1085"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领导接访系统设备采购</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≤4万元</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≤4万元</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981"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视频接访系统运行费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≤1.8万元</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≤1.8万元</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1396"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网上信访投诉受理平台运行费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≤0.84万元</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≤0.84万元</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14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非贫困村第一书记工作经费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≤0.4万元</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≤0.4万元</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94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金财网络维护费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≤0.24万元</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≤0.24万元</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188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网格化租赁费、网格化服务管理信息系统</w:t>
            </w:r>
            <w:r>
              <w:rPr>
                <w:rFonts w:hint="eastAsia" w:ascii="宋体" w:hAnsi="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val="en-US" w:eastAsia="zh-CN" w:bidi="ar"/>
              </w:rPr>
              <w:t>运行费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≤3.8万元</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≤3.8万元</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1015"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驻省轮流</w:t>
            </w:r>
            <w:r>
              <w:rPr>
                <w:rFonts w:hint="eastAsia" w:ascii="宋体" w:hAnsi="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val="en-US" w:eastAsia="zh-CN" w:bidi="ar"/>
              </w:rPr>
              <w:t>值班</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≤10万元</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≤10万元</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718"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驻京轮流</w:t>
            </w:r>
            <w:r>
              <w:rPr>
                <w:rFonts w:hint="eastAsia" w:ascii="宋体" w:hAnsi="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val="en-US" w:eastAsia="zh-CN" w:bidi="ar"/>
              </w:rPr>
              <w:t>值班</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≤13万元</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≤13万元</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1155"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特殊疑难信访资金</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≤6万元</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≤6万元</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774"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社会效益指标</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维持社会</w:t>
            </w:r>
            <w:r>
              <w:rPr>
                <w:rFonts w:hint="eastAsia" w:ascii="宋体" w:hAnsi="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val="en-US" w:eastAsia="zh-CN" w:bidi="ar"/>
              </w:rPr>
              <w:t>稳定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高</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高</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66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满意度指标</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满意度指标</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信访群众满意度</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20"/>
                <w:szCs w:val="20"/>
                <w:lang w:val="en-US" w:eastAsia="zh-CN" w:bidi="ar"/>
              </w:rPr>
              <w:t>≥98%</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20"/>
                <w:szCs w:val="20"/>
                <w:lang w:val="en-US" w:eastAsia="zh-CN" w:bidi="ar"/>
              </w:rPr>
              <w:t>≥98%</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74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系统、平台使用满意度</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20"/>
                <w:szCs w:val="20"/>
                <w:lang w:val="en-US" w:eastAsia="zh-CN" w:bidi="ar"/>
              </w:rPr>
              <w:t>≥98%</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20"/>
                <w:szCs w:val="20"/>
                <w:lang w:val="en-US" w:eastAsia="zh-CN" w:bidi="ar"/>
              </w:rPr>
              <w:t>≥98%</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r>
    </w:tbl>
    <w:p>
      <w:pPr>
        <w:pStyle w:val="20"/>
        <w:ind w:left="0" w:leftChars="0" w:firstLine="0" w:firstLineChars="0"/>
        <w:rPr>
          <w:rFonts w:hint="eastAsia"/>
        </w:rPr>
      </w:pPr>
    </w:p>
    <w:p>
      <w:pPr>
        <w:pStyle w:val="20"/>
        <w:ind w:left="0" w:leftChars="0" w:firstLine="0" w:firstLineChars="0"/>
        <w:sectPr>
          <w:footerReference r:id="rId8" w:type="first"/>
          <w:footerReference r:id="rId7" w:type="default"/>
          <w:pgSz w:w="11906" w:h="16838"/>
          <w:pgMar w:top="1440" w:right="1800" w:bottom="1440" w:left="1800" w:header="851" w:footer="992" w:gutter="0"/>
          <w:pgNumType w:fmt="decimal" w:start="1"/>
          <w:cols w:space="425" w:num="1"/>
          <w:titlePg/>
          <w:docGrid w:type="lines" w:linePitch="312" w:charSpace="0"/>
        </w:sectPr>
      </w:pPr>
    </w:p>
    <w:tbl>
      <w:tblPr>
        <w:tblStyle w:val="21"/>
        <w:tblW w:w="14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
        <w:gridCol w:w="776"/>
        <w:gridCol w:w="43"/>
        <w:gridCol w:w="761"/>
        <w:gridCol w:w="83"/>
        <w:gridCol w:w="1033"/>
        <w:gridCol w:w="137"/>
        <w:gridCol w:w="385"/>
        <w:gridCol w:w="164"/>
        <w:gridCol w:w="2330"/>
        <w:gridCol w:w="288"/>
        <w:gridCol w:w="5547"/>
        <w:gridCol w:w="513"/>
        <w:gridCol w:w="480"/>
        <w:gridCol w:w="513"/>
        <w:gridCol w:w="457"/>
        <w:gridCol w:w="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20" w:type="dxa"/>
            <w:gridSpan w:val="17"/>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b/>
                <w:bCs/>
                <w:i w:val="0"/>
                <w:iCs w:val="0"/>
                <w:color w:val="000000"/>
                <w:sz w:val="24"/>
                <w:szCs w:val="24"/>
                <w:u w:val="none"/>
                <w:lang w:val="en-US"/>
              </w:rPr>
            </w:pPr>
            <w:r>
              <w:rPr>
                <w:rFonts w:hint="eastAsia" w:ascii="方正黑体简体" w:hAnsi="方正黑体简体" w:eastAsia="方正黑体简体" w:cs="方正黑体简体"/>
                <w:color w:val="000000"/>
                <w:kern w:val="0"/>
                <w:sz w:val="24"/>
                <w:szCs w:val="24"/>
                <w:lang w:val="en-US" w:eastAsia="zh-CN" w:bidi="ar"/>
              </w:rPr>
              <w:t>附表</w:t>
            </w:r>
            <w:r>
              <w:rPr>
                <w:rFonts w:hint="eastAsia" w:ascii="Calibri" w:hAnsi="Calibri" w:eastAsia="方正黑体简体" w:cs="Calibri"/>
                <w:color w:val="000000"/>
                <w:kern w:val="0"/>
                <w:sz w:val="24"/>
                <w:szCs w:val="24"/>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20" w:type="dxa"/>
            <w:gridSpan w:val="17"/>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sz w:val="36"/>
                <w:szCs w:val="36"/>
                <w:u w:val="none"/>
              </w:rPr>
            </w:pPr>
            <w:r>
              <w:rPr>
                <w:rFonts w:hint="eastAsia" w:ascii="方正小标宋简体" w:hAnsi="方正小标宋简体" w:eastAsia="方正小标宋简体" w:cs="方正小标宋简体"/>
                <w:color w:val="000000"/>
                <w:kern w:val="0"/>
                <w:sz w:val="44"/>
                <w:szCs w:val="44"/>
                <w:lang w:val="en-US" w:eastAsia="zh-CN" w:bidi="ar"/>
              </w:rPr>
              <w:t>2021年部门整体支出绩效自评评分表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9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黑体" w:hAnsi="宋体" w:eastAsia="黑体" w:cs="黑体"/>
                <w:i w:val="0"/>
                <w:iCs w:val="0"/>
                <w:color w:val="000000"/>
                <w:sz w:val="20"/>
                <w:szCs w:val="20"/>
                <w:u w:val="none"/>
                <w:lang w:val="en-US"/>
              </w:rPr>
            </w:pPr>
            <w:r>
              <w:rPr>
                <w:rFonts w:hint="eastAsia" w:ascii="宋体" w:hAnsi="宋体" w:eastAsia="宋体" w:cs="宋体"/>
                <w:b/>
                <w:bCs/>
                <w:color w:val="000000"/>
                <w:kern w:val="0"/>
                <w:sz w:val="18"/>
                <w:szCs w:val="18"/>
                <w:lang w:val="en-US" w:eastAsia="zh-CN" w:bidi="ar"/>
              </w:rPr>
              <w:t>绩效指标</w:t>
            </w:r>
          </w:p>
        </w:tc>
        <w:tc>
          <w:tcPr>
            <w:tcW w:w="52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pPr>
            <w:r>
              <w:rPr>
                <w:rFonts w:hint="eastAsia" w:ascii="宋体" w:hAnsi="宋体" w:eastAsia="宋体" w:cs="宋体"/>
                <w:b/>
                <w:bCs/>
                <w:color w:val="000000"/>
                <w:kern w:val="0"/>
                <w:sz w:val="18"/>
                <w:szCs w:val="18"/>
                <w:lang w:val="en-US" w:eastAsia="zh-CN" w:bidi="ar"/>
              </w:rPr>
              <w:t>指标分值</w:t>
            </w:r>
          </w:p>
        </w:tc>
        <w:tc>
          <w:tcPr>
            <w:tcW w:w="249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pPr>
            <w:r>
              <w:rPr>
                <w:rFonts w:hint="eastAsia" w:ascii="宋体" w:hAnsi="宋体" w:eastAsia="宋体" w:cs="宋体"/>
                <w:b/>
                <w:bCs/>
                <w:color w:val="000000"/>
                <w:kern w:val="0"/>
                <w:sz w:val="18"/>
                <w:szCs w:val="18"/>
                <w:lang w:val="en-US" w:eastAsia="zh-CN" w:bidi="ar"/>
              </w:rPr>
              <w:t>指标解释</w:t>
            </w:r>
          </w:p>
        </w:tc>
        <w:tc>
          <w:tcPr>
            <w:tcW w:w="583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pPr>
            <w:r>
              <w:rPr>
                <w:rFonts w:hint="eastAsia" w:ascii="宋体" w:hAnsi="宋体" w:eastAsia="宋体" w:cs="宋体"/>
                <w:b/>
                <w:bCs/>
                <w:color w:val="000000"/>
                <w:kern w:val="0"/>
                <w:sz w:val="18"/>
                <w:szCs w:val="18"/>
                <w:lang w:val="en-US" w:eastAsia="zh-CN" w:bidi="ar"/>
              </w:rPr>
              <w:t>计分标准</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pPr>
            <w:r>
              <w:rPr>
                <w:rFonts w:hint="eastAsia" w:ascii="宋体" w:hAnsi="宋体" w:eastAsia="宋体" w:cs="宋体"/>
                <w:b/>
                <w:bCs/>
                <w:color w:val="000000"/>
                <w:kern w:val="0"/>
                <w:sz w:val="18"/>
                <w:szCs w:val="18"/>
                <w:lang w:val="en-US" w:eastAsia="zh-CN" w:bidi="ar"/>
              </w:rPr>
              <w:t>评价方式</w:t>
            </w:r>
          </w:p>
        </w:tc>
        <w:tc>
          <w:tcPr>
            <w:tcW w:w="9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pPr>
            <w:r>
              <w:rPr>
                <w:rFonts w:hint="eastAsia" w:ascii="宋体" w:hAnsi="宋体" w:eastAsia="宋体" w:cs="宋体"/>
                <w:b/>
                <w:bCs/>
                <w:color w:val="000000"/>
                <w:kern w:val="0"/>
                <w:sz w:val="18"/>
                <w:szCs w:val="18"/>
                <w:lang w:val="en-US" w:eastAsia="zh-CN" w:bidi="ar"/>
              </w:rPr>
              <w:t>评价属性</w:t>
            </w:r>
          </w:p>
        </w:tc>
        <w:tc>
          <w:tcPr>
            <w:tcW w:w="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pPr>
            <w:r>
              <w:rPr>
                <w:rFonts w:hint="eastAsia" w:ascii="宋体" w:hAnsi="宋体" w:eastAsia="宋体" w:cs="宋体"/>
                <w:b/>
                <w:bCs/>
                <w:color w:val="000000"/>
                <w:kern w:val="0"/>
                <w:sz w:val="18"/>
                <w:szCs w:val="18"/>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9"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color w:val="000000"/>
                <w:kern w:val="0"/>
                <w:sz w:val="18"/>
                <w:szCs w:val="18"/>
                <w:lang w:val="en-US" w:eastAsia="zh-CN" w:bidi="ar"/>
              </w:rPr>
              <w:t>一级指标</w:t>
            </w:r>
          </w:p>
        </w:tc>
        <w:tc>
          <w:tcPr>
            <w:tcW w:w="80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pPr>
            <w:r>
              <w:rPr>
                <w:rFonts w:hint="eastAsia" w:ascii="宋体" w:hAnsi="宋体" w:eastAsia="宋体" w:cs="宋体"/>
                <w:b/>
                <w:bCs/>
                <w:color w:val="000000"/>
                <w:kern w:val="0"/>
                <w:sz w:val="18"/>
                <w:szCs w:val="18"/>
                <w:lang w:val="en-US" w:eastAsia="zh-CN" w:bidi="ar"/>
              </w:rPr>
              <w:t>二级指标</w:t>
            </w:r>
          </w:p>
        </w:tc>
        <w:tc>
          <w:tcPr>
            <w:tcW w:w="111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color w:val="000000"/>
                <w:kern w:val="0"/>
                <w:sz w:val="18"/>
                <w:szCs w:val="18"/>
                <w:lang w:val="en-US" w:eastAsia="zh-CN" w:bidi="ar"/>
              </w:rPr>
              <w:t>三级指标</w:t>
            </w:r>
          </w:p>
        </w:tc>
        <w:tc>
          <w:tcPr>
            <w:tcW w:w="522"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b/>
                <w:bCs/>
                <w:i w:val="0"/>
                <w:iCs w:val="0"/>
                <w:color w:val="000000"/>
                <w:sz w:val="16"/>
                <w:szCs w:val="16"/>
                <w:u w:val="none"/>
              </w:rPr>
            </w:pPr>
          </w:p>
        </w:tc>
        <w:tc>
          <w:tcPr>
            <w:tcW w:w="2494"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b/>
                <w:bCs/>
                <w:i w:val="0"/>
                <w:iCs w:val="0"/>
                <w:color w:val="000000"/>
                <w:sz w:val="16"/>
                <w:szCs w:val="16"/>
                <w:u w:val="none"/>
              </w:rPr>
            </w:pPr>
          </w:p>
        </w:tc>
        <w:tc>
          <w:tcPr>
            <w:tcW w:w="5835"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b/>
                <w:bCs/>
                <w:i w:val="0"/>
                <w:iCs w:val="0"/>
                <w:color w:val="000000"/>
                <w:sz w:val="16"/>
                <w:szCs w:val="16"/>
                <w:u w:val="none"/>
              </w:rPr>
            </w:pPr>
          </w:p>
        </w:tc>
        <w:tc>
          <w:tcPr>
            <w:tcW w:w="51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color w:val="000000"/>
                <w:kern w:val="0"/>
                <w:sz w:val="18"/>
                <w:szCs w:val="18"/>
                <w:lang w:val="en-US" w:eastAsia="zh-CN" w:bidi="ar"/>
              </w:rPr>
              <w:t>整体评价</w:t>
            </w:r>
          </w:p>
        </w:tc>
        <w:tc>
          <w:tcPr>
            <w:tcW w:w="4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pPr>
            <w:r>
              <w:rPr>
                <w:rFonts w:hint="eastAsia" w:ascii="宋体" w:hAnsi="宋体" w:eastAsia="宋体" w:cs="宋体"/>
                <w:b/>
                <w:bCs/>
                <w:color w:val="000000"/>
                <w:kern w:val="0"/>
                <w:sz w:val="18"/>
                <w:szCs w:val="18"/>
                <w:lang w:val="en-US" w:eastAsia="zh-CN" w:bidi="ar"/>
              </w:rPr>
              <w:t>样本评价</w:t>
            </w:r>
          </w:p>
        </w:tc>
        <w:tc>
          <w:tcPr>
            <w:tcW w:w="51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pPr>
            <w:r>
              <w:rPr>
                <w:rFonts w:hint="eastAsia" w:ascii="宋体" w:hAnsi="宋体" w:eastAsia="宋体" w:cs="宋体"/>
                <w:b/>
                <w:bCs/>
                <w:color w:val="000000"/>
                <w:kern w:val="0"/>
                <w:sz w:val="18"/>
                <w:szCs w:val="18"/>
                <w:lang w:val="en-US" w:eastAsia="zh-CN" w:bidi="ar"/>
              </w:rPr>
              <w:t>定性评价</w:t>
            </w:r>
          </w:p>
        </w:tc>
        <w:tc>
          <w:tcPr>
            <w:tcW w:w="45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color w:val="000000"/>
                <w:kern w:val="0"/>
                <w:sz w:val="18"/>
                <w:szCs w:val="18"/>
                <w:lang w:val="en-US" w:eastAsia="zh-CN" w:bidi="ar"/>
              </w:rPr>
              <w:t>定量评价</w:t>
            </w:r>
          </w:p>
        </w:tc>
        <w:tc>
          <w:tcPr>
            <w:tcW w:w="507"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color w:val="000000"/>
                <w:kern w:val="0"/>
                <w:sz w:val="18"/>
                <w:szCs w:val="18"/>
                <w:lang w:val="en-US" w:eastAsia="zh-CN" w:bidi="ar"/>
              </w:rPr>
              <w:t>部门预算项目绩效管理（40分）</w:t>
            </w:r>
          </w:p>
        </w:tc>
        <w:tc>
          <w:tcPr>
            <w:tcW w:w="8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color w:val="000000"/>
                <w:kern w:val="0"/>
                <w:sz w:val="18"/>
                <w:szCs w:val="18"/>
                <w:lang w:val="en-US" w:eastAsia="zh-CN" w:bidi="ar"/>
              </w:rPr>
              <w:t>目标管理（15分）</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color w:val="000000"/>
                <w:kern w:val="0"/>
                <w:sz w:val="18"/>
                <w:szCs w:val="18"/>
                <w:lang w:val="en-US" w:eastAsia="zh-CN" w:bidi="ar"/>
              </w:rPr>
              <w:t>目标制定</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color w:val="000000"/>
                <w:kern w:val="0"/>
                <w:sz w:val="18"/>
                <w:szCs w:val="18"/>
                <w:lang w:val="en-US" w:eastAsia="zh-CN" w:bidi="ar"/>
              </w:rPr>
              <w:t>5</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color w:val="000000"/>
                <w:kern w:val="0"/>
                <w:sz w:val="18"/>
                <w:szCs w:val="18"/>
                <w:lang w:val="en-US" w:eastAsia="zh-CN" w:bidi="ar"/>
              </w:rPr>
              <w:t>评价部门绩效目标是否要素完整、细化量化并集体决策。</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color w:val="000000"/>
                <w:kern w:val="0"/>
                <w:sz w:val="18"/>
                <w:szCs w:val="18"/>
                <w:lang w:val="en-US" w:eastAsia="zh-CN" w:bidi="ar"/>
              </w:rPr>
              <w:t xml:space="preserve">1.绩效目标编制要素完整的，得2分，否则酌情扣分。                                                                                                                                                                                         2.绩效指标细化量化的，得2分，否则酌情扣分。                                                                                                                                                                                3.评价部门绩效目标纳入部门党组（委）会（办公会）集体决策范围的得1分，否则不得分。                                                                                                                                有项目绩效目标的部门（单位），根据项目绩效目标编制质量打分，无项目绩效目标的部门，根据部门整体支出绩效目标打分。                                                                    </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color w:val="000000"/>
                <w:kern w:val="0"/>
                <w:sz w:val="18"/>
                <w:szCs w:val="18"/>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color w:val="000000"/>
                <w:kern w:val="0"/>
                <w:sz w:val="18"/>
                <w:szCs w:val="18"/>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color w:val="000000"/>
                <w:kern w:val="0"/>
                <w:sz w:val="18"/>
                <w:szCs w:val="18"/>
                <w:lang w:val="en-US" w:eastAsia="zh-CN" w:bidi="ar"/>
              </w:rPr>
              <w:t>√</w:t>
            </w:r>
          </w:p>
        </w:tc>
        <w:tc>
          <w:tcPr>
            <w:tcW w:w="45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color w:val="000000"/>
                <w:kern w:val="0"/>
                <w:sz w:val="18"/>
                <w:szCs w:val="18"/>
                <w:lang w:val="en-US" w:eastAsia="zh-CN" w:bidi="ar"/>
              </w:rPr>
              <w:t>√</w:t>
            </w:r>
          </w:p>
        </w:tc>
        <w:tc>
          <w:tcPr>
            <w:tcW w:w="50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目标实现</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10</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评价部门绩效目标实际实现程度与预期目标的偏离度。</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6"/>
                <w:szCs w:val="16"/>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pPr>
            <w:r>
              <w:rPr>
                <w:rFonts w:hint="eastAsia" w:ascii="宋体" w:hAnsi="宋体" w:eastAsia="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8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 xml:space="preserve">                                                                             动态调整（10分）</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支出控制</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2</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部门公用经费及非定额公用支出控制情况。</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i w:val="0"/>
                <w:iCs w:val="0"/>
                <w:color w:val="000000"/>
                <w:sz w:val="16"/>
                <w:szCs w:val="16"/>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i w:val="0"/>
                <w:iCs w:val="0"/>
                <w:color w:val="000000"/>
                <w:sz w:val="16"/>
                <w:szCs w:val="16"/>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9" w:hRule="atLeast"/>
        </w:trPr>
        <w:tc>
          <w:tcPr>
            <w:tcW w:w="7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及时处置</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4</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评价部门开展绩效运行监控后，将绩效监控结果应用到预算调整的情况。</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
              </w:numPr>
              <w:suppressLineNumbers w:val="0"/>
              <w:spacing w:before="0" w:beforeAutospacing="0" w:after="0" w:afterAutospacing="0"/>
              <w:ind w:left="0" w:right="0" w:firstLine="0"/>
              <w:jc w:val="left"/>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当部门绩效监控调整取消额和结余注销额均不为零时，指标得分=部门项目支出绩效监控调整取消额÷(部门绩效监控调整取消额+预算结余注销额）*4。</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2.当部门绩效监控调整取消额为零，结余注销额不为零时，指标得分=（1-10*结余注销额/年度预算总额）*4，结余注销额超过部门年度预算总额10%的，指标不得分。</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3.当部门绩效监控调整取消额与结余注销额均为零时，得4分。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i w:val="0"/>
                <w:iCs w:val="0"/>
                <w:color w:val="000000"/>
                <w:sz w:val="16"/>
                <w:szCs w:val="16"/>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i w:val="0"/>
                <w:iCs w:val="0"/>
                <w:color w:val="000000"/>
                <w:sz w:val="16"/>
                <w:szCs w:val="16"/>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7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执行进度</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4</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评价部门在6、9、11月的预算执行情况。</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部门预算执行进度在6、9、11月应达到序时进度的80%、90%、90%，即实际支出进度分别达到40%、67.5%、82.5%。</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6、9、11月部门预算执行进度达到量化指标的分别得1分、1分、2分，未达到目标进度的按其实际进度占目标进度的比重计算得分。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i w:val="0"/>
                <w:iCs w:val="0"/>
                <w:color w:val="000000"/>
                <w:sz w:val="16"/>
                <w:szCs w:val="16"/>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i w:val="0"/>
                <w:iCs w:val="0"/>
                <w:color w:val="000000"/>
                <w:sz w:val="16"/>
                <w:szCs w:val="16"/>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pPr>
            <w:r>
              <w:rPr>
                <w:rFonts w:hint="eastAsia" w:ascii="宋体" w:hAnsi="宋体" w:eastAsia="宋体" w:cs="宋体"/>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8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完成效率（15分）</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预算完成</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5</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评价部门预算项目年终预算执行情况。</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部门预算项目12月预算执行进度达到100%的，得5分，未达100%的，按照实际进度量化计算得分。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i w:val="0"/>
                <w:iCs w:val="0"/>
                <w:color w:val="000000"/>
                <w:sz w:val="16"/>
                <w:szCs w:val="16"/>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6"/>
                <w:szCs w:val="16"/>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pPr>
            <w:r>
              <w:rPr>
                <w:rFonts w:hint="eastAsia" w:ascii="宋体" w:hAnsi="宋体" w:eastAsia="宋体" w:cs="宋体"/>
                <w:color w:val="000000"/>
                <w:kern w:val="0"/>
                <w:sz w:val="18"/>
                <w:szCs w:val="1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资金结余率（低效无效率）</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8</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 xml:space="preserve">评价部门预算项目年终资金结余情况。                 </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部门预算项目资金结余率小于0.1的项目数/部门预算项目总数*8。</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i w:val="0"/>
                <w:iCs w:val="0"/>
                <w:color w:val="000000"/>
                <w:sz w:val="16"/>
                <w:szCs w:val="16"/>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i w:val="0"/>
                <w:iCs w:val="0"/>
                <w:color w:val="000000"/>
                <w:sz w:val="16"/>
                <w:szCs w:val="16"/>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pPr>
            <w:r>
              <w:rPr>
                <w:rFonts w:hint="eastAsia" w:ascii="宋体" w:hAnsi="宋体" w:eastAsia="宋体" w:cs="宋体"/>
                <w:color w:val="00000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违规记录</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2</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根据审计监督、财政检查结果反映部门上一年度部门预算管理是否合规。</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依据评价年度审计监督、财政检查结果，出现部门预算管理方面违纪违规问题的，每个问题扣0.2分，直至扣完。</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i w:val="0"/>
                <w:iCs w:val="0"/>
                <w:color w:val="000000"/>
                <w:sz w:val="16"/>
                <w:szCs w:val="16"/>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i w:val="0"/>
                <w:iCs w:val="0"/>
                <w:color w:val="000000"/>
                <w:sz w:val="16"/>
                <w:szCs w:val="16"/>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4"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专项预算项目绩效管理（40分）</w:t>
            </w:r>
          </w:p>
        </w:tc>
        <w:tc>
          <w:tcPr>
            <w:tcW w:w="1273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部门按照专项预算项目自评工作要求对本部门管理的专项预算项目进行自评并打分，形成自评报告；有两个及以上专项预算项目的，以平均分作为自评得分。按百分制形成的自评报告分数，按0.4的比例换算成此项指标得分。</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8"/>
                <w:szCs w:val="18"/>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1294" w:hRule="atLeast"/>
        </w:trPr>
        <w:tc>
          <w:tcPr>
            <w:tcW w:w="8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绩效结果应用（10分）</w:t>
            </w:r>
          </w:p>
        </w:tc>
        <w:tc>
          <w:tcPr>
            <w:tcW w:w="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内部应用（4分）</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预算挂钩</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w:t>
            </w:r>
          </w:p>
        </w:tc>
        <w:tc>
          <w:tcPr>
            <w:tcW w:w="2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部门内部绩效结果与预算挂钩情况。</w:t>
            </w:r>
          </w:p>
        </w:tc>
        <w:tc>
          <w:tcPr>
            <w:tcW w:w="5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将内设机构和下属单位绩效自评纳入考核体系，建立对内设机构和下属单位预算与绩效挂钩机制的，得4分，否则酌情扣分。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1396" w:hRule="atLeast"/>
        </w:trPr>
        <w:tc>
          <w:tcPr>
            <w:tcW w:w="8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信息公开（2分）</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自评公开</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2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评价部门是否按要求将部门整体绩效自评情况和自行组织的评价情况向社会公开。</w:t>
            </w:r>
          </w:p>
        </w:tc>
        <w:tc>
          <w:tcPr>
            <w:tcW w:w="5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按要求将相关绩效信息随同决算公开的，得2分，否则不得分。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1382" w:hRule="atLeast"/>
        </w:trPr>
        <w:tc>
          <w:tcPr>
            <w:tcW w:w="8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8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整改反馈（4分）</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问题整改</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2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评价部门根据绩效管理结果整改问题、完善政策、改进管理的情况。</w:t>
            </w:r>
          </w:p>
        </w:tc>
        <w:tc>
          <w:tcPr>
            <w:tcW w:w="5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针对绩效管理过程中（包括绩效目标核查、绩效监控核查和重点绩效评价）提出的问题进行整改，得2分，否则酌情扣分。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1101" w:hRule="atLeast"/>
        </w:trPr>
        <w:tc>
          <w:tcPr>
            <w:tcW w:w="8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8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应用反馈</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2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评价部门按要求及时向财政部门反馈结果应用情况。</w:t>
            </w:r>
          </w:p>
        </w:tc>
        <w:tc>
          <w:tcPr>
            <w:tcW w:w="5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部门在规定时间内向财政部门反馈应用绩效结果报告的，得2分，否则不得分。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1606" w:hRule="atLeast"/>
        </w:trPr>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自评质量（10分）</w:t>
            </w:r>
          </w:p>
        </w:tc>
        <w:tc>
          <w:tcPr>
            <w:tcW w:w="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自评质量</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自评质量</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2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评价部门整体支出自评准确率。</w:t>
            </w:r>
          </w:p>
        </w:tc>
        <w:tc>
          <w:tcPr>
            <w:tcW w:w="5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532" w:hRule="atLeast"/>
        </w:trPr>
        <w:tc>
          <w:tcPr>
            <w:tcW w:w="28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2"/>
                <w:szCs w:val="22"/>
                <w:lang w:val="en-US"/>
              </w:rPr>
            </w:pPr>
            <w:r>
              <w:rPr>
                <w:rFonts w:hint="eastAsia" w:ascii="宋体" w:hAnsi="宋体" w:eastAsia="宋体" w:cs="宋体"/>
                <w:b/>
                <w:bCs/>
                <w:color w:val="000000"/>
                <w:kern w:val="0"/>
                <w:sz w:val="22"/>
                <w:szCs w:val="22"/>
                <w:lang w:val="en-US" w:eastAsia="zh-CN" w:bidi="ar"/>
              </w:rPr>
              <w:t>分值</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color w:val="000000"/>
                <w:sz w:val="22"/>
                <w:szCs w:val="22"/>
                <w:lang w:val="en-US"/>
              </w:rPr>
            </w:pPr>
            <w:r>
              <w:rPr>
                <w:rFonts w:hint="eastAsia" w:ascii="宋体" w:hAnsi="宋体" w:eastAsia="宋体" w:cs="宋体"/>
                <w:b/>
                <w:bCs/>
                <w:color w:val="000000"/>
                <w:kern w:val="0"/>
                <w:sz w:val="22"/>
                <w:szCs w:val="22"/>
                <w:lang w:val="en-US" w:eastAsia="zh-CN" w:bidi="ar"/>
              </w:rPr>
              <w:t>100</w:t>
            </w:r>
          </w:p>
        </w:tc>
        <w:tc>
          <w:tcPr>
            <w:tcW w:w="2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sz w:val="22"/>
                <w:szCs w:val="22"/>
                <w:lang w:val="en-US"/>
              </w:rPr>
            </w:pPr>
          </w:p>
        </w:tc>
        <w:tc>
          <w:tcPr>
            <w:tcW w:w="5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sz w:val="22"/>
                <w:szCs w:val="22"/>
                <w:lang w:val="en-US"/>
              </w:rPr>
            </w:pPr>
          </w:p>
        </w:tc>
        <w:tc>
          <w:tcPr>
            <w:tcW w:w="1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2"/>
                <w:szCs w:val="22"/>
                <w:lang w:val="en-US"/>
              </w:rPr>
            </w:pPr>
            <w:r>
              <w:rPr>
                <w:rFonts w:hint="eastAsia" w:ascii="宋体" w:hAnsi="宋体" w:eastAsia="宋体" w:cs="宋体"/>
                <w:b/>
                <w:bCs/>
                <w:color w:val="000000"/>
                <w:kern w:val="0"/>
                <w:sz w:val="22"/>
                <w:szCs w:val="22"/>
                <w:lang w:val="en-US" w:eastAsia="zh-CN" w:bidi="ar"/>
              </w:rPr>
              <w:t>自评得分</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color w:val="000000"/>
                <w:sz w:val="24"/>
                <w:szCs w:val="24"/>
                <w:lang w:val="en-US"/>
              </w:rPr>
            </w:pPr>
            <w:r>
              <w:rPr>
                <w:rFonts w:hint="eastAsia" w:ascii="宋体" w:hAnsi="宋体" w:eastAsia="宋体" w:cs="宋体"/>
                <w:b/>
                <w:bCs/>
                <w:color w:val="000000"/>
                <w:kern w:val="0"/>
                <w:sz w:val="24"/>
                <w:szCs w:val="24"/>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657" w:hRule="atLeast"/>
        </w:trPr>
        <w:tc>
          <w:tcPr>
            <w:tcW w:w="28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2"/>
                <w:szCs w:val="22"/>
                <w:lang w:val="en-US"/>
              </w:rPr>
            </w:pPr>
            <w:r>
              <w:rPr>
                <w:rFonts w:hint="eastAsia" w:ascii="宋体" w:hAnsi="宋体" w:eastAsia="宋体" w:cs="宋体"/>
                <w:b/>
                <w:bCs/>
                <w:color w:val="000000"/>
                <w:kern w:val="0"/>
                <w:sz w:val="22"/>
                <w:szCs w:val="22"/>
                <w:lang w:val="en-US" w:eastAsia="zh-CN" w:bidi="ar"/>
              </w:rPr>
              <w:t>自评等级</w:t>
            </w:r>
          </w:p>
        </w:tc>
        <w:tc>
          <w:tcPr>
            <w:tcW w:w="1118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自评结果：</w:t>
            </w:r>
            <w:r>
              <w:rPr>
                <w:rFonts w:hint="eastAsia" w:ascii="宋体" w:hAnsi="宋体" w:eastAsia="宋体" w:cs="宋体"/>
                <w:color w:val="000000"/>
                <w:kern w:val="0"/>
                <w:sz w:val="21"/>
                <w:szCs w:val="21"/>
                <w:lang w:val="en-US" w:eastAsia="zh-CN" w:bidi="ar"/>
              </w:rPr>
              <w:t>□优秀（90≤得分≤100）；□良好（80≤得分＜89）；□及格（60≤得分＜79）；□不及格（低于60分）</w:t>
            </w:r>
          </w:p>
        </w:tc>
      </w:tr>
    </w:tbl>
    <w:p>
      <w:pPr>
        <w:keepNext w:val="0"/>
        <w:keepLines w:val="0"/>
        <w:pageBreakBefore w:val="0"/>
        <w:widowControl/>
        <w:kinsoku/>
        <w:wordWrap/>
        <w:overflowPunct/>
        <w:topLinePunct w:val="0"/>
        <w:autoSpaceDE/>
        <w:autoSpaceDN/>
        <w:bidi w:val="0"/>
        <w:adjustRightInd w:val="0"/>
        <w:snapToGrid w:val="0"/>
        <w:spacing w:line="572" w:lineRule="exact"/>
        <w:contextualSpacing/>
        <w:jc w:val="left"/>
        <w:textAlignment w:val="auto"/>
        <w:rPr>
          <w:rFonts w:hint="eastAsia" w:ascii="黑体" w:hAnsi="宋体" w:eastAsia="黑体" w:cs="宋体"/>
          <w:color w:val="auto"/>
          <w:kern w:val="0"/>
          <w:sz w:val="32"/>
          <w:szCs w:val="32"/>
          <w:highlight w:val="none"/>
          <w:shd w:val="clear" w:color="auto" w:fill="FFFFFF"/>
        </w:rPr>
        <w:sectPr>
          <w:pgSz w:w="16838" w:h="11906" w:orient="landscape"/>
          <w:pgMar w:top="1800" w:right="1440" w:bottom="1800" w:left="1440" w:header="851" w:footer="992" w:gutter="0"/>
          <w:pgNumType w:fmt="decimal"/>
          <w:cols w:space="425" w:num="1"/>
          <w:titlePg/>
          <w:docGrid w:type="lines" w:linePitch="312" w:charSpace="0"/>
        </w:sect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0"/>
          <w:sz w:val="32"/>
          <w:szCs w:val="32"/>
          <w:lang w:val="en-US"/>
        </w:rPr>
      </w:pPr>
      <w:r>
        <w:rPr>
          <w:rFonts w:hint="eastAsia" w:ascii="黑体" w:hAnsi="宋体" w:eastAsia="黑体" w:cs="黑体"/>
          <w:kern w:val="0"/>
          <w:sz w:val="32"/>
          <w:szCs w:val="32"/>
          <w:lang w:val="en-US" w:eastAsia="zh-CN" w:bidi="ar"/>
        </w:rPr>
        <w:t>附件2</w:t>
      </w:r>
    </w:p>
    <w:p>
      <w:pPr>
        <w:keepNext w:val="0"/>
        <w:keepLines w:val="0"/>
        <w:widowControl w:val="0"/>
        <w:suppressLineNumbers w:val="0"/>
        <w:autoSpaceDE w:val="0"/>
        <w:autoSpaceDN/>
        <w:spacing w:before="0" w:beforeAutospacing="0" w:after="0" w:afterAutospacing="0" w:line="576" w:lineRule="exact"/>
        <w:ind w:left="0" w:right="0"/>
        <w:jc w:val="center"/>
        <w:rPr>
          <w:rFonts w:hint="eastAsia" w:ascii="方正小标宋简体" w:hAnsi="方正小标宋简体" w:eastAsia="方正小标宋简体" w:cs="方正小标宋简体"/>
          <w:bCs/>
          <w:color w:val="000000"/>
          <w:spacing w:val="-6"/>
          <w:kern w:val="0"/>
          <w:sz w:val="44"/>
          <w:szCs w:val="44"/>
          <w:lang w:val="en-US"/>
        </w:rPr>
      </w:pPr>
      <w:r>
        <w:rPr>
          <w:rFonts w:hint="eastAsia" w:ascii="方正小标宋简体" w:hAnsi="方正小标宋简体" w:eastAsia="方正小标宋简体" w:cs="方正小标宋简体"/>
          <w:bCs/>
          <w:color w:val="000000"/>
          <w:spacing w:val="-6"/>
          <w:kern w:val="0"/>
          <w:sz w:val="44"/>
          <w:szCs w:val="44"/>
          <w:lang w:val="en-US" w:eastAsia="zh-CN" w:bidi="ar"/>
        </w:rPr>
        <w:t>2021年社情民意手机短信平台运行项目支出</w:t>
      </w:r>
    </w:p>
    <w:p>
      <w:pPr>
        <w:keepNext w:val="0"/>
        <w:keepLines w:val="0"/>
        <w:widowControl w:val="0"/>
        <w:suppressLineNumbers w:val="0"/>
        <w:autoSpaceDE w:val="0"/>
        <w:autoSpaceDN/>
        <w:spacing w:before="0" w:beforeAutospacing="0" w:after="0" w:afterAutospacing="0" w:line="576" w:lineRule="exact"/>
        <w:ind w:left="0" w:right="0"/>
        <w:jc w:val="center"/>
        <w:rPr>
          <w:rFonts w:hint="eastAsia" w:ascii="方正小标宋简体" w:hAnsi="方正小标宋简体" w:eastAsia="方正小标宋简体" w:cs="方正小标宋简体"/>
          <w:bCs/>
          <w:color w:val="000000"/>
          <w:spacing w:val="-6"/>
          <w:kern w:val="0"/>
          <w:sz w:val="44"/>
          <w:szCs w:val="44"/>
          <w:lang w:val="en-US"/>
        </w:rPr>
      </w:pPr>
      <w:r>
        <w:rPr>
          <w:rFonts w:hint="eastAsia" w:ascii="方正小标宋简体" w:hAnsi="方正小标宋简体" w:eastAsia="方正小标宋简体" w:cs="方正小标宋简体"/>
          <w:bCs/>
          <w:color w:val="000000"/>
          <w:spacing w:val="-6"/>
          <w:kern w:val="0"/>
          <w:sz w:val="44"/>
          <w:szCs w:val="44"/>
          <w:lang w:val="en-US" w:eastAsia="zh-CN" w:bidi="ar"/>
        </w:rPr>
        <w:t>绩效自评报告</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黑体" w:hAnsi="宋体" w:eastAsia="黑体" w:cs="黑体"/>
          <w:spacing w:val="-6"/>
          <w:sz w:val="32"/>
          <w:szCs w:val="32"/>
          <w:lang w:val="en-US"/>
        </w:rPr>
      </w:pP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黑体" w:hAnsi="宋体" w:eastAsia="黑体" w:cs="黑体"/>
          <w:spacing w:val="-6"/>
          <w:sz w:val="32"/>
          <w:szCs w:val="32"/>
          <w:lang w:val="en-US"/>
        </w:rPr>
      </w:pPr>
      <w:r>
        <w:rPr>
          <w:rFonts w:hint="eastAsia" w:ascii="黑体" w:hAnsi="宋体" w:eastAsia="黑体" w:cs="黑体"/>
          <w:spacing w:val="-6"/>
          <w:kern w:val="2"/>
          <w:sz w:val="32"/>
          <w:szCs w:val="32"/>
          <w:lang w:val="en-US" w:eastAsia="zh-CN" w:bidi="ar"/>
        </w:rPr>
        <w:t>一、项目概况</w:t>
      </w:r>
    </w:p>
    <w:p>
      <w:pPr>
        <w:keepNext w:val="0"/>
        <w:keepLines w:val="0"/>
        <w:widowControl w:val="0"/>
        <w:suppressLineNumbers w:val="0"/>
        <w:adjustRightInd w:val="0"/>
        <w:snapToGrid w:val="0"/>
        <w:spacing w:before="0" w:beforeAutospacing="0" w:after="0" w:afterAutospacing="0" w:line="576" w:lineRule="exact"/>
        <w:ind w:left="0" w:right="0" w:firstLine="616" w:firstLineChars="200"/>
        <w:jc w:val="both"/>
        <w:rPr>
          <w:rFonts w:hint="eastAsia" w:ascii="仿宋_GB2312" w:hAnsi="仿宋_GB2312" w:eastAsia="仿宋_GB2312" w:cs="仿宋_GB2312"/>
          <w:sz w:val="32"/>
          <w:szCs w:val="32"/>
          <w:lang w:val="en-US"/>
        </w:rPr>
      </w:pPr>
      <w:r>
        <w:rPr>
          <w:rFonts w:hint="eastAsia" w:ascii="楷体_GB2312" w:hAnsi="Times New Roman" w:eastAsia="楷体_GB2312" w:cs="楷体_GB2312"/>
          <w:bCs/>
          <w:spacing w:val="-6"/>
          <w:kern w:val="2"/>
          <w:sz w:val="32"/>
          <w:szCs w:val="32"/>
          <w:lang w:val="en-US" w:eastAsia="zh-CN" w:bidi="ar"/>
        </w:rPr>
        <w:t>（一）项目资金申报及批复情况。</w:t>
      </w:r>
      <w:r>
        <w:rPr>
          <w:rFonts w:hint="eastAsia" w:ascii="仿宋_GB2312" w:hAnsi="仿宋_GB2312" w:eastAsia="仿宋_GB2312" w:cs="仿宋_GB2312"/>
          <w:kern w:val="2"/>
          <w:sz w:val="32"/>
          <w:szCs w:val="32"/>
          <w:lang w:val="zh-CN" w:eastAsia="zh-CN" w:bidi="ar"/>
        </w:rPr>
        <w:t>朝天区</w:t>
      </w:r>
      <w:r>
        <w:rPr>
          <w:rFonts w:hint="eastAsia" w:ascii="仿宋_GB2312" w:hAnsi="仿宋_GB2312" w:eastAsia="仿宋_GB2312" w:cs="仿宋_GB2312"/>
          <w:kern w:val="2"/>
          <w:sz w:val="32"/>
          <w:szCs w:val="32"/>
          <w:lang w:val="en-US" w:eastAsia="zh-CN" w:bidi="ar"/>
        </w:rPr>
        <w:t>2021年度财政下达我局社情民意手机短信平台运行项目经费预算15万元，按程序进行申报，资金及时批复到位，申报程序符合资金管理办法相关规定。</w:t>
      </w:r>
    </w:p>
    <w:p>
      <w:pPr>
        <w:keepNext w:val="0"/>
        <w:keepLines w:val="0"/>
        <w:widowControl w:val="0"/>
        <w:suppressLineNumbers w:val="0"/>
        <w:adjustRightInd w:val="0"/>
        <w:snapToGrid w:val="0"/>
        <w:spacing w:before="0" w:beforeAutospacing="0" w:after="0" w:afterAutospacing="0" w:line="576" w:lineRule="exact"/>
        <w:ind w:left="0" w:right="0" w:firstLine="616" w:firstLineChars="200"/>
        <w:jc w:val="both"/>
        <w:rPr>
          <w:rFonts w:hint="eastAsia" w:ascii="仿宋_GB2312" w:hAnsi="仿宋_GB2312" w:eastAsia="仿宋_GB2312" w:cs="仿宋_GB2312"/>
          <w:sz w:val="32"/>
          <w:szCs w:val="32"/>
          <w:lang w:val="en-US"/>
        </w:rPr>
      </w:pPr>
      <w:r>
        <w:rPr>
          <w:rFonts w:hint="eastAsia" w:ascii="楷体_GB2312" w:hAnsi="Times New Roman" w:eastAsia="楷体_GB2312" w:cs="楷体_GB2312"/>
          <w:bCs/>
          <w:spacing w:val="-6"/>
          <w:kern w:val="2"/>
          <w:sz w:val="32"/>
          <w:szCs w:val="32"/>
          <w:lang w:val="en-US" w:eastAsia="zh-CN" w:bidi="ar"/>
        </w:rPr>
        <w:t>（二）项目绩效目标。</w:t>
      </w:r>
      <w:r>
        <w:rPr>
          <w:rFonts w:hint="eastAsia" w:ascii="仿宋_GB2312" w:hAnsi="仿宋_GB2312" w:eastAsia="仿宋_GB2312" w:cs="仿宋_GB2312"/>
          <w:bCs/>
          <w:kern w:val="2"/>
          <w:sz w:val="32"/>
          <w:szCs w:val="32"/>
          <w:lang w:val="zh-CN" w:eastAsia="zh-CN" w:bidi="ar"/>
        </w:rPr>
        <w:t>进一步畅通群众诉求表达渠道，搭建多种形式的沟通对话平台，在建立领导下访、写信、公开电话、12345热线电话、群众走访等信访渠道的基础上，利用现代化通讯手段，建立起让群众通过手机短信的形式，反映社情民意和诉求的新渠道。</w:t>
      </w:r>
    </w:p>
    <w:p>
      <w:pPr>
        <w:keepNext w:val="0"/>
        <w:keepLines w:val="0"/>
        <w:widowControl w:val="0"/>
        <w:suppressLineNumbers w:val="0"/>
        <w:adjustRightInd w:val="0"/>
        <w:snapToGrid w:val="0"/>
        <w:spacing w:before="0" w:beforeAutospacing="0" w:after="0" w:afterAutospacing="0" w:line="576" w:lineRule="exact"/>
        <w:ind w:left="0" w:right="0" w:firstLine="616" w:firstLineChars="200"/>
        <w:jc w:val="both"/>
        <w:rPr>
          <w:rFonts w:hint="eastAsia" w:ascii="仿宋_GB2312" w:hAnsi="仿宋_GB2312" w:eastAsia="仿宋_GB2312" w:cs="仿宋_GB2312"/>
          <w:sz w:val="32"/>
          <w:szCs w:val="32"/>
          <w:lang w:val="en-US"/>
        </w:rPr>
      </w:pPr>
      <w:r>
        <w:rPr>
          <w:rFonts w:hint="eastAsia" w:ascii="楷体_GB2312" w:hAnsi="Times New Roman" w:eastAsia="楷体_GB2312" w:cs="楷体_GB2312"/>
          <w:bCs/>
          <w:spacing w:val="-6"/>
          <w:kern w:val="2"/>
          <w:sz w:val="32"/>
          <w:szCs w:val="32"/>
          <w:lang w:val="en-US" w:eastAsia="zh-CN" w:bidi="ar"/>
        </w:rPr>
        <w:t>（三）项目资金申报相符性。</w:t>
      </w:r>
      <w:r>
        <w:rPr>
          <w:rFonts w:hint="eastAsia" w:ascii="仿宋_GB2312" w:hAnsi="仿宋_GB2312" w:eastAsia="仿宋_GB2312" w:cs="仿宋_GB2312"/>
          <w:kern w:val="2"/>
          <w:sz w:val="32"/>
          <w:szCs w:val="32"/>
          <w:lang w:val="zh-CN" w:eastAsia="zh-CN" w:bidi="ar"/>
        </w:rPr>
        <w:t>项目申报内容与具体实施内容相符、申报目标合理可行。</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黑体" w:hAnsi="宋体" w:eastAsia="黑体" w:cs="黑体"/>
          <w:spacing w:val="-6"/>
          <w:sz w:val="32"/>
          <w:szCs w:val="32"/>
          <w:lang w:val="en-US"/>
        </w:rPr>
      </w:pPr>
      <w:r>
        <w:rPr>
          <w:rFonts w:hint="eastAsia" w:ascii="黑体" w:hAnsi="宋体" w:eastAsia="黑体" w:cs="黑体"/>
          <w:spacing w:val="-6"/>
          <w:kern w:val="2"/>
          <w:sz w:val="32"/>
          <w:szCs w:val="32"/>
          <w:lang w:val="en-US" w:eastAsia="zh-CN" w:bidi="ar"/>
        </w:rPr>
        <w:t>二、项目实施及管理情况</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（一）资金计划、到位及使用情况</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仿宋_GB2312" w:eastAsia="仿宋_GB2312" w:cs="仿宋_GB2312"/>
          <w:spacing w:val="-6"/>
          <w:sz w:val="32"/>
          <w:szCs w:val="32"/>
          <w:lang w:val="zh-CN" w:eastAsia="zh-CN"/>
        </w:rPr>
      </w:pPr>
      <w:r>
        <w:rPr>
          <w:rFonts w:hint="eastAsia" w:ascii="仿宋_GB2312" w:hAnsi="Times New Roman" w:eastAsia="仿宋_GB2312" w:cs="仿宋_GB2312"/>
          <w:spacing w:val="-6"/>
          <w:kern w:val="2"/>
          <w:sz w:val="32"/>
          <w:szCs w:val="32"/>
          <w:lang w:val="en-US" w:eastAsia="zh-CN" w:bidi="ar"/>
        </w:rPr>
        <w:t>1.资金计划及到位。</w:t>
      </w:r>
      <w:r>
        <w:rPr>
          <w:rFonts w:hint="eastAsia" w:ascii="仿宋_GB2312" w:hAnsi="Times New Roman" w:eastAsia="仿宋_GB2312" w:cs="仿宋_GB2312"/>
          <w:spacing w:val="-6"/>
          <w:kern w:val="2"/>
          <w:sz w:val="32"/>
          <w:szCs w:val="32"/>
          <w:lang w:val="zh-CN" w:eastAsia="zh-CN" w:bidi="ar"/>
        </w:rPr>
        <w:t>预算</w:t>
      </w:r>
      <w:r>
        <w:rPr>
          <w:rFonts w:hint="eastAsia" w:ascii="仿宋_GB2312" w:hAnsi="Times New Roman" w:eastAsia="仿宋_GB2312" w:cs="仿宋_GB2312"/>
          <w:spacing w:val="-6"/>
          <w:kern w:val="2"/>
          <w:sz w:val="32"/>
          <w:szCs w:val="32"/>
          <w:lang w:val="en-US" w:eastAsia="zh-CN" w:bidi="ar"/>
        </w:rPr>
        <w:t>社情民意手机短信平台运行</w:t>
      </w:r>
      <w:r>
        <w:rPr>
          <w:rFonts w:hint="eastAsia" w:ascii="仿宋_GB2312" w:hAnsi="Times New Roman" w:eastAsia="仿宋_GB2312" w:cs="仿宋_GB2312"/>
          <w:spacing w:val="-6"/>
          <w:kern w:val="2"/>
          <w:sz w:val="32"/>
          <w:szCs w:val="32"/>
          <w:lang w:val="zh-CN" w:eastAsia="zh-CN" w:bidi="ar"/>
        </w:rPr>
        <w:t>经费15万元。资金到位及时，全部到位。</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仿宋_GB2312" w:eastAsia="仿宋_GB2312" w:cs="仿宋_GB2312"/>
          <w:spacing w:val="-6"/>
          <w:sz w:val="32"/>
          <w:szCs w:val="32"/>
          <w:lang w:val="en-US"/>
        </w:rPr>
      </w:pPr>
      <w:r>
        <w:rPr>
          <w:rFonts w:hint="eastAsia" w:ascii="仿宋_GB2312" w:hAnsi="Times New Roman" w:eastAsia="仿宋_GB2312" w:cs="仿宋_GB2312"/>
          <w:spacing w:val="-6"/>
          <w:kern w:val="2"/>
          <w:sz w:val="32"/>
          <w:szCs w:val="32"/>
          <w:lang w:val="en-US" w:eastAsia="zh-CN" w:bidi="ar"/>
        </w:rPr>
        <w:t>2.资金使用。</w:t>
      </w:r>
      <w:r>
        <w:rPr>
          <w:rFonts w:hint="eastAsia" w:ascii="仿宋_GB2312" w:hAnsi="Times New Roman" w:eastAsia="仿宋_GB2312" w:cs="仿宋_GB2312"/>
          <w:spacing w:val="-6"/>
          <w:kern w:val="2"/>
          <w:sz w:val="32"/>
          <w:szCs w:val="32"/>
          <w:lang w:val="zh-CN" w:eastAsia="zh-CN" w:bidi="ar"/>
        </w:rPr>
        <w:t>严格按单位项目管理制度执行，根据项目的进度，达到付款条件后，经单位领导审核后授权支付。</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（二）项目财务管理情况</w:t>
      </w:r>
    </w:p>
    <w:p>
      <w:pPr>
        <w:keepNext w:val="0"/>
        <w:keepLines w:val="0"/>
        <w:widowControl w:val="0"/>
        <w:suppressLineNumbers w:val="0"/>
        <w:adjustRightInd w:val="0"/>
        <w:snapToGrid w:val="0"/>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zh-CN" w:eastAsia="zh-CN"/>
        </w:rPr>
      </w:pPr>
      <w:r>
        <w:rPr>
          <w:rFonts w:hint="eastAsia" w:ascii="仿宋_GB2312" w:hAnsi="宋体" w:eastAsia="仿宋_GB2312" w:cs="仿宋_GB2312"/>
          <w:kern w:val="2"/>
          <w:sz w:val="32"/>
          <w:szCs w:val="32"/>
          <w:lang w:val="zh-CN" w:eastAsia="zh-CN" w:bidi="ar"/>
        </w:rPr>
        <w:t>严格执行财务支出的报销制度，应附与经济业务事项相关的合法合规的原始凭证和附件，必须按规定的程序审核、审批，并有具体经办人、证明人、领导审批签字，才进行支付。</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（三）项目组织实施情况</w:t>
      </w:r>
    </w:p>
    <w:p>
      <w:pPr>
        <w:pStyle w:val="17"/>
        <w:widowControl/>
        <w:spacing w:line="576" w:lineRule="exact"/>
        <w:ind w:left="0" w:firstLine="640" w:firstLineChars="200"/>
        <w:rPr>
          <w:rFonts w:hint="eastAsia" w:ascii="仿宋_GB2312" w:hAnsi="仿宋_GB2312" w:eastAsia="仿宋_GB2312" w:cs="仿宋_GB2312"/>
          <w:sz w:val="32"/>
          <w:szCs w:val="32"/>
          <w:lang w:val="zh-CN" w:eastAsia="zh-CN"/>
        </w:rPr>
      </w:pPr>
      <w:r>
        <w:rPr>
          <w:rFonts w:hint="eastAsia" w:ascii="楷体_GB2312" w:hAnsi="宋体" w:eastAsia="楷体_GB2312" w:cs="楷体_GB2312"/>
          <w:sz w:val="32"/>
          <w:szCs w:val="32"/>
          <w:lang w:val="en-US" w:bidi="ar"/>
        </w:rPr>
        <w:t>1.</w:t>
      </w:r>
      <w:r>
        <w:rPr>
          <w:rFonts w:hint="eastAsia" w:ascii="楷体_GB2312" w:hAnsi="宋体" w:eastAsia="楷体_GB2312" w:cs="楷体_GB2312"/>
          <w:sz w:val="32"/>
          <w:szCs w:val="32"/>
          <w:lang w:val="zh-CN" w:eastAsia="zh-CN" w:bidi="ar"/>
        </w:rPr>
        <w:t>项目组织架构及实施流程。</w:t>
      </w:r>
      <w:r>
        <w:rPr>
          <w:rFonts w:hint="eastAsia" w:ascii="仿宋_GB2312" w:hAnsi="仿宋_GB2312" w:eastAsia="仿宋_GB2312" w:cs="仿宋_GB2312"/>
          <w:sz w:val="32"/>
          <w:szCs w:val="32"/>
          <w:lang w:val="zh-CN" w:eastAsia="zh-CN" w:bidi="ar"/>
        </w:rPr>
        <w:t>根据区委、区政府信访工作统一安排，由我局根据工作需要进行确定和安排。资金分配严格按照审批流程操作执行，符合相关管理办法，分配结果公平合理。</w:t>
      </w:r>
    </w:p>
    <w:p>
      <w:pPr>
        <w:pStyle w:val="17"/>
        <w:widowControl/>
        <w:spacing w:line="576" w:lineRule="exact"/>
        <w:ind w:left="0" w:firstLine="640" w:firstLineChars="200"/>
        <w:rPr>
          <w:rFonts w:hint="eastAsia" w:ascii="仿宋_GB2312" w:hAnsi="仿宋_GB2312" w:eastAsia="仿宋_GB2312" w:cs="仿宋_GB2312"/>
          <w:sz w:val="32"/>
          <w:szCs w:val="32"/>
          <w:lang w:val="zh-CN" w:eastAsia="zh-CN" w:bidi="ar"/>
        </w:rPr>
      </w:pPr>
      <w:r>
        <w:rPr>
          <w:rFonts w:hint="eastAsia" w:ascii="楷体_GB2312" w:hAnsi="宋体" w:eastAsia="楷体_GB2312" w:cs="楷体_GB2312"/>
          <w:sz w:val="32"/>
          <w:szCs w:val="32"/>
          <w:lang w:val="en-US" w:bidi="ar"/>
        </w:rPr>
        <w:t>2.</w:t>
      </w:r>
      <w:r>
        <w:rPr>
          <w:rFonts w:hint="eastAsia" w:ascii="楷体_GB2312" w:hAnsi="宋体" w:eastAsia="楷体_GB2312" w:cs="楷体_GB2312"/>
          <w:sz w:val="32"/>
          <w:szCs w:val="32"/>
          <w:lang w:val="zh-CN" w:eastAsia="zh-CN" w:bidi="ar"/>
        </w:rPr>
        <w:t>项目管理情况。</w:t>
      </w:r>
      <w:r>
        <w:rPr>
          <w:rFonts w:hint="eastAsia" w:ascii="仿宋_GB2312" w:hAnsi="仿宋_GB2312" w:eastAsia="仿宋_GB2312" w:cs="仿宋_GB2312"/>
          <w:sz w:val="32"/>
          <w:szCs w:val="32"/>
          <w:lang w:val="zh-CN" w:eastAsia="zh-CN" w:bidi="ar"/>
        </w:rPr>
        <w:t>本项目资金仅限于</w:t>
      </w:r>
      <w:r>
        <w:rPr>
          <w:rFonts w:hint="eastAsia" w:ascii="仿宋_GB2312" w:hAnsi="仿宋_GB2312" w:eastAsia="仿宋_GB2312" w:cs="仿宋_GB2312"/>
          <w:sz w:val="32"/>
          <w:szCs w:val="32"/>
          <w:lang w:eastAsia="zh-CN"/>
        </w:rPr>
        <w:t>社情民意手机短信平台运行</w:t>
      </w:r>
      <w:r>
        <w:rPr>
          <w:rFonts w:hint="eastAsia" w:ascii="仿宋_GB2312" w:hAnsi="仿宋_GB2312" w:eastAsia="仿宋_GB2312" w:cs="仿宋_GB2312"/>
          <w:sz w:val="32"/>
          <w:szCs w:val="32"/>
          <w:lang w:val="zh-CN" w:eastAsia="zh-CN" w:bidi="ar"/>
        </w:rPr>
        <w:t>工作，实行专款专用，资金使用合规，支出依据规范，无虚列支出，无截留、挤占、挪用现象。</w:t>
      </w:r>
    </w:p>
    <w:p>
      <w:pPr>
        <w:keepNext w:val="0"/>
        <w:keepLines w:val="0"/>
        <w:widowControl w:val="0"/>
        <w:suppressLineNumbers w:val="0"/>
        <w:adjustRightInd w:val="0"/>
        <w:snapToGrid w:val="0"/>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zh-CN" w:eastAsia="zh-CN" w:bidi="ar"/>
        </w:rPr>
      </w:pPr>
      <w:r>
        <w:rPr>
          <w:rFonts w:hint="eastAsia" w:ascii="楷体_GB2312" w:hAnsi="宋体" w:eastAsia="楷体_GB2312" w:cs="楷体_GB2312"/>
          <w:kern w:val="2"/>
          <w:sz w:val="32"/>
          <w:szCs w:val="32"/>
          <w:lang w:val="en-US" w:eastAsia="zh-CN" w:bidi="ar"/>
        </w:rPr>
        <w:t>3.</w:t>
      </w:r>
      <w:r>
        <w:rPr>
          <w:rFonts w:hint="eastAsia" w:ascii="楷体_GB2312" w:hAnsi="宋体" w:eastAsia="楷体_GB2312" w:cs="楷体_GB2312"/>
          <w:kern w:val="2"/>
          <w:sz w:val="32"/>
          <w:szCs w:val="32"/>
          <w:lang w:val="zh-CN" w:eastAsia="zh-CN" w:bidi="ar"/>
        </w:rPr>
        <w:t>项目监管情况。</w:t>
      </w:r>
      <w:r>
        <w:rPr>
          <w:rFonts w:hint="eastAsia" w:ascii="仿宋_GB2312" w:hAnsi="仿宋_GB2312" w:eastAsia="仿宋_GB2312" w:cs="仿宋_GB2312"/>
          <w:kern w:val="2"/>
          <w:sz w:val="32"/>
          <w:szCs w:val="32"/>
          <w:lang w:val="zh-CN" w:eastAsia="zh-CN" w:bidi="ar"/>
        </w:rPr>
        <w:t>群工局严格按照单位项目管理制度执行监管。</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黑体" w:hAnsi="宋体" w:eastAsia="黑体" w:cs="黑体"/>
          <w:spacing w:val="-6"/>
          <w:sz w:val="32"/>
          <w:szCs w:val="32"/>
          <w:lang w:val="en-US"/>
        </w:rPr>
      </w:pPr>
      <w:r>
        <w:rPr>
          <w:rFonts w:hint="eastAsia" w:ascii="黑体" w:hAnsi="宋体" w:eastAsia="黑体" w:cs="黑体"/>
          <w:spacing w:val="-6"/>
          <w:kern w:val="2"/>
          <w:sz w:val="32"/>
          <w:szCs w:val="32"/>
          <w:lang w:val="en-US" w:eastAsia="zh-CN" w:bidi="ar"/>
        </w:rPr>
        <w:t>三、项目绩效情况</w:t>
      </w:r>
      <w:r>
        <w:rPr>
          <w:rFonts w:hint="eastAsia" w:ascii="黑体" w:hAnsi="宋体" w:eastAsia="黑体" w:cs="黑体"/>
          <w:spacing w:val="-6"/>
          <w:kern w:val="2"/>
          <w:sz w:val="32"/>
          <w:szCs w:val="32"/>
          <w:lang w:val="en-US" w:eastAsia="zh-CN" w:bidi="ar"/>
        </w:rPr>
        <w:tab/>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（一）项目完成情况</w:t>
      </w:r>
    </w:p>
    <w:p>
      <w:pPr>
        <w:pStyle w:val="17"/>
        <w:keepNext w:val="0"/>
        <w:keepLines w:val="0"/>
        <w:widowControl w:val="0"/>
        <w:suppressLineNumbers w:val="0"/>
        <w:spacing w:before="0" w:beforeAutospacing="0" w:after="0" w:afterAutospacing="0" w:line="576" w:lineRule="exact"/>
        <w:ind w:left="0" w:right="0" w:firstLine="640" w:firstLineChars="200"/>
        <w:jc w:val="both"/>
        <w:rPr>
          <w:rFonts w:eastAsia="仿宋_GB2312"/>
          <w:lang w:val="en-US"/>
        </w:rPr>
      </w:pPr>
      <w:r>
        <w:rPr>
          <w:rFonts w:hint="eastAsia" w:ascii="仿宋_GB2312" w:hAnsi="仿宋_GB2312" w:eastAsia="仿宋_GB2312" w:cs="仿宋_GB2312"/>
          <w:kern w:val="2"/>
          <w:sz w:val="32"/>
          <w:szCs w:val="32"/>
          <w:lang w:val="en-US" w:eastAsia="zh-CN" w:bidi="ar"/>
        </w:rPr>
        <w:t>我局顺利完成社情民意手机短信平台运行工作，社情民意手机短信平台正常运行，信访群众的诉求及时送达，并及时受理，按时完成回复，有效维护了社会安定和谐，人民群众满意度提高。</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（二）项目效益情况</w:t>
      </w:r>
    </w:p>
    <w:p>
      <w:pPr>
        <w:pStyle w:val="50"/>
        <w:widowControl/>
        <w:adjustRightInd w:val="0"/>
        <w:snapToGrid w:val="0"/>
        <w:spacing w:line="576" w:lineRule="exact"/>
        <w:ind w:left="0" w:firstLine="640" w:firstLineChars="2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eastAsia="zh-CN"/>
        </w:rPr>
        <w:t>通过</w:t>
      </w:r>
      <w:r>
        <w:rPr>
          <w:rFonts w:hint="eastAsia" w:ascii="仿宋_GB2312" w:hAnsi="仿宋_GB2312" w:eastAsia="仿宋_GB2312" w:cs="仿宋_GB2312"/>
          <w:sz w:val="32"/>
          <w:szCs w:val="32"/>
          <w:lang w:eastAsia="zh-CN"/>
        </w:rPr>
        <w:t>社情民意手机短信平台正常运行工作</w:t>
      </w:r>
      <w:r>
        <w:rPr>
          <w:rFonts w:hint="eastAsia" w:ascii="仿宋_GB2312" w:hAnsi="仿宋_GB2312" w:eastAsia="仿宋_GB2312" w:cs="仿宋_GB2312"/>
          <w:kern w:val="2"/>
          <w:sz w:val="32"/>
          <w:szCs w:val="24"/>
          <w:lang w:eastAsia="zh-CN"/>
        </w:rPr>
        <w:t>的开展，为信访群众提供了便利，有效维护了社会秩序及国家、社会和谐稳定，提高了群众满意度，取得了良好的社会效益。</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黑体" w:hAnsi="宋体" w:eastAsia="黑体" w:cs="黑体"/>
          <w:spacing w:val="-6"/>
          <w:sz w:val="32"/>
          <w:szCs w:val="32"/>
          <w:lang w:val="en-US"/>
        </w:rPr>
      </w:pPr>
      <w:r>
        <w:rPr>
          <w:rFonts w:hint="eastAsia" w:ascii="黑体" w:hAnsi="宋体" w:eastAsia="黑体" w:cs="黑体"/>
          <w:spacing w:val="-6"/>
          <w:kern w:val="2"/>
          <w:sz w:val="32"/>
          <w:szCs w:val="32"/>
          <w:lang w:val="en-US" w:eastAsia="zh-CN" w:bidi="ar"/>
        </w:rPr>
        <w:t>四、问题及建议</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仿宋_GB2312" w:hAnsi="宋体" w:eastAsia="仿宋_GB2312" w:cs="仿宋_GB2312"/>
          <w:sz w:val="32"/>
          <w:szCs w:val="32"/>
          <w:lang w:val="zh-CN" w:eastAsia="zh-CN"/>
        </w:rPr>
      </w:pPr>
      <w:r>
        <w:rPr>
          <w:rFonts w:hint="eastAsia" w:ascii="楷体_GB2312" w:hAnsi="Times New Roman" w:eastAsia="楷体_GB2312" w:cs="楷体_GB2312"/>
          <w:bCs/>
          <w:spacing w:val="-6"/>
          <w:kern w:val="2"/>
          <w:sz w:val="32"/>
          <w:szCs w:val="32"/>
          <w:lang w:val="en-US" w:eastAsia="zh-CN" w:bidi="ar"/>
        </w:rPr>
        <w:t>（一）存在的问题。</w:t>
      </w:r>
      <w:r>
        <w:rPr>
          <w:rFonts w:hint="eastAsia" w:ascii="仿宋_GB2312" w:hAnsi="宋体" w:eastAsia="仿宋_GB2312" w:cs="仿宋_GB2312"/>
          <w:kern w:val="2"/>
          <w:sz w:val="32"/>
          <w:szCs w:val="32"/>
          <w:lang w:val="zh-CN" w:eastAsia="zh-CN" w:bidi="ar"/>
        </w:rPr>
        <w:t>预算编制细化程度还不够科学。资金使用效率结合还不够紧密。</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仿宋_GB2312" w:hAnsi="仿宋_GB2312" w:eastAsia="仿宋_GB2312" w:cs="仿宋_GB2312"/>
          <w:sz w:val="32"/>
          <w:szCs w:val="32"/>
          <w:lang w:val="en-US" w:bidi="ar"/>
        </w:rPr>
      </w:pPr>
      <w:r>
        <w:rPr>
          <w:rFonts w:hint="eastAsia" w:ascii="楷体_GB2312" w:hAnsi="Times New Roman" w:eastAsia="楷体_GB2312" w:cs="楷体_GB2312"/>
          <w:bCs/>
          <w:spacing w:val="-6"/>
          <w:kern w:val="2"/>
          <w:sz w:val="32"/>
          <w:szCs w:val="32"/>
          <w:lang w:val="en-US" w:eastAsia="zh-CN" w:bidi="ar"/>
        </w:rPr>
        <w:t>（二）相关建议。</w:t>
      </w:r>
      <w:r>
        <w:rPr>
          <w:rFonts w:hint="eastAsia" w:ascii="仿宋_GB2312" w:hAnsi="仿宋_GB2312" w:eastAsia="仿宋_GB2312" w:cs="仿宋_GB2312"/>
          <w:kern w:val="2"/>
          <w:sz w:val="32"/>
          <w:szCs w:val="32"/>
          <w:lang w:val="en-US" w:eastAsia="zh-CN" w:bidi="ar"/>
        </w:rPr>
        <w:t>继续加强和完善绩效管理体系，不断创新提高绩效管理水平。</w:t>
      </w:r>
    </w:p>
    <w:p>
      <w:pPr>
        <w:pStyle w:val="17"/>
        <w:keepNext w:val="0"/>
        <w:keepLines w:val="0"/>
        <w:widowControl w:val="0"/>
        <w:suppressLineNumbers w:val="0"/>
        <w:suppressAutoHyphens/>
        <w:spacing w:before="0" w:beforeAutospacing="0" w:after="0" w:afterAutospacing="0" w:line="576" w:lineRule="exact"/>
        <w:ind w:left="640" w:leftChars="0" w:right="0" w:hanging="640" w:hangingChars="200"/>
        <w:jc w:val="both"/>
        <w:rPr>
          <w:rFonts w:hint="eastAsia" w:ascii="仿宋_GB2312" w:hAnsi="仿宋_GB2312" w:eastAsia="仿宋_GB2312" w:cs="仿宋_GB2312"/>
          <w:sz w:val="32"/>
          <w:szCs w:val="32"/>
          <w:lang w:val="en-US" w:bidi="ar"/>
        </w:rPr>
      </w:pPr>
    </w:p>
    <w:p>
      <w:pPr>
        <w:keepNext w:val="0"/>
        <w:keepLines w:val="0"/>
        <w:widowControl w:val="0"/>
        <w:suppressLineNumbers w:val="0"/>
        <w:autoSpaceDE w:val="0"/>
        <w:autoSpaceDN/>
        <w:spacing w:before="0" w:beforeAutospacing="0" w:after="0" w:afterAutospacing="0" w:line="576" w:lineRule="exact"/>
        <w:ind w:left="1562" w:leftChars="304" w:right="0" w:hanging="924" w:hangingChars="300"/>
        <w:jc w:val="both"/>
        <w:rPr>
          <w:rFonts w:hint="eastAsia" w:ascii="黑体" w:hAnsi="宋体" w:eastAsia="黑体" w:cs="黑体"/>
          <w:color w:val="000000"/>
          <w:kern w:val="0"/>
          <w:sz w:val="24"/>
          <w:szCs w:val="24"/>
          <w:lang w:val="en-US"/>
        </w:rPr>
      </w:pPr>
      <w:r>
        <w:rPr>
          <w:rFonts w:hint="eastAsia" w:ascii="仿宋_GB2312" w:hAnsi="宋体" w:eastAsia="仿宋_GB2312" w:cs="仿宋_GB2312"/>
          <w:color w:val="000000"/>
          <w:spacing w:val="-6"/>
          <w:kern w:val="0"/>
          <w:sz w:val="32"/>
          <w:szCs w:val="32"/>
          <w:lang w:val="en-US" w:eastAsia="zh-CN" w:bidi="ar"/>
        </w:rPr>
        <w:t>附表：2-1.部门</w:t>
      </w:r>
      <w:r>
        <w:rPr>
          <w:rFonts w:hint="eastAsia" w:ascii="仿宋_GB2312" w:hAnsi="宋体" w:eastAsia="仿宋_GB2312" w:cs="宋体"/>
          <w:color w:val="000000"/>
          <w:kern w:val="0"/>
          <w:sz w:val="32"/>
          <w:szCs w:val="32"/>
          <w:lang w:val="en-US" w:eastAsia="zh-CN" w:bidi="ar"/>
        </w:rPr>
        <w:t>项目支出绩效目标自评表</w:t>
      </w:r>
    </w:p>
    <w:p>
      <w:pPr>
        <w:keepNext w:val="0"/>
        <w:keepLines w:val="0"/>
        <w:widowControl/>
        <w:suppressLineNumbers w:val="0"/>
        <w:autoSpaceDE w:val="0"/>
        <w:autoSpaceDN/>
        <w:spacing w:before="0" w:beforeAutospacing="0" w:after="0" w:afterAutospacing="0" w:line="576" w:lineRule="exact"/>
        <w:ind w:left="0" w:right="0" w:firstLine="1540" w:firstLineChars="500"/>
        <w:jc w:val="left"/>
        <w:rPr>
          <w:rFonts w:hint="eastAsia" w:ascii="仿宋_GB2312" w:hAnsi="宋体" w:eastAsia="仿宋_GB2312" w:cs="仿宋_GB2312"/>
          <w:color w:val="000000"/>
          <w:spacing w:val="-6"/>
          <w:kern w:val="0"/>
          <w:sz w:val="32"/>
          <w:szCs w:val="32"/>
          <w:lang w:val="en-US"/>
        </w:rPr>
      </w:pPr>
      <w:r>
        <w:rPr>
          <w:rFonts w:hint="eastAsia" w:ascii="仿宋_GB2312" w:hAnsi="宋体" w:eastAsia="仿宋_GB2312" w:cs="仿宋_GB2312"/>
          <w:color w:val="000000"/>
          <w:spacing w:val="-6"/>
          <w:kern w:val="0"/>
          <w:sz w:val="32"/>
          <w:szCs w:val="32"/>
          <w:lang w:val="en-US" w:eastAsia="zh-CN" w:bidi="ar"/>
        </w:rPr>
        <w:t>2-2.2021年部门预算项目支出绩效自评评分表</w:t>
      </w:r>
    </w:p>
    <w:p>
      <w:pPr>
        <w:keepNext w:val="0"/>
        <w:keepLines w:val="0"/>
        <w:widowControl/>
        <w:suppressLineNumbers w:val="0"/>
        <w:autoSpaceDE w:val="0"/>
        <w:autoSpaceDN/>
        <w:spacing w:before="0" w:beforeAutospacing="0" w:after="0" w:afterAutospacing="0" w:line="576" w:lineRule="exact"/>
        <w:ind w:left="0" w:right="0" w:firstLine="1540" w:firstLineChars="500"/>
        <w:jc w:val="left"/>
        <w:rPr>
          <w:rFonts w:hint="eastAsia" w:ascii="仿宋_GB2312" w:hAnsi="宋体" w:eastAsia="仿宋_GB2312" w:cs="仿宋_GB2312"/>
          <w:color w:val="000000"/>
          <w:spacing w:val="-6"/>
          <w:kern w:val="0"/>
          <w:sz w:val="32"/>
          <w:szCs w:val="32"/>
          <w:lang w:val="en-US"/>
        </w:rPr>
      </w:pPr>
    </w:p>
    <w:p>
      <w:pPr>
        <w:pStyle w:val="44"/>
        <w:widowControl/>
        <w:spacing w:line="576" w:lineRule="exact"/>
        <w:ind w:left="0" w:firstLine="0" w:firstLineChars="0"/>
        <w:rPr>
          <w:rFonts w:hint="eastAsia" w:ascii="仿宋_GB2312" w:hAnsi="仿宋_GB2312" w:eastAsia="仿宋_GB2312" w:cs="仿宋_GB2312"/>
          <w:kern w:val="0"/>
          <w:sz w:val="32"/>
          <w:szCs w:val="32"/>
          <w:lang w:val="en-US"/>
        </w:rPr>
      </w:pPr>
    </w:p>
    <w:p>
      <w:pPr>
        <w:pStyle w:val="44"/>
        <w:widowControl/>
        <w:spacing w:line="576" w:lineRule="exact"/>
        <w:ind w:left="0" w:firstLine="0" w:firstLineChars="0"/>
        <w:rPr>
          <w:rFonts w:hint="eastAsia" w:ascii="仿宋_GB2312" w:hAnsi="仿宋_GB2312" w:eastAsia="仿宋_GB2312" w:cs="仿宋_GB2312"/>
          <w:kern w:val="0"/>
          <w:sz w:val="32"/>
          <w:szCs w:val="32"/>
          <w:lang w:val="en-US"/>
        </w:rPr>
      </w:pPr>
    </w:p>
    <w:p>
      <w:pPr>
        <w:pStyle w:val="44"/>
        <w:widowControl/>
        <w:spacing w:line="576" w:lineRule="exact"/>
        <w:ind w:left="0" w:firstLine="0" w:firstLineChars="0"/>
        <w:rPr>
          <w:rFonts w:hint="eastAsia" w:ascii="仿宋_GB2312" w:hAnsi="仿宋_GB2312" w:eastAsia="仿宋_GB2312" w:cs="仿宋_GB2312"/>
          <w:kern w:val="0"/>
          <w:sz w:val="32"/>
          <w:szCs w:val="32"/>
          <w:lang w:val="en-US"/>
        </w:rPr>
      </w:pPr>
    </w:p>
    <w:p>
      <w:pPr>
        <w:pStyle w:val="44"/>
        <w:widowControl/>
        <w:ind w:left="0" w:firstLine="0" w:firstLineChars="0"/>
        <w:rPr>
          <w:rFonts w:hint="eastAsia" w:ascii="仿宋_GB2312" w:hAnsi="仿宋_GB2312" w:eastAsia="仿宋_GB2312" w:cs="仿宋_GB2312"/>
          <w:kern w:val="0"/>
          <w:sz w:val="32"/>
          <w:szCs w:val="32"/>
          <w:lang w:val="en-US"/>
        </w:rPr>
      </w:pPr>
    </w:p>
    <w:p>
      <w:pPr>
        <w:pStyle w:val="44"/>
        <w:widowControl/>
        <w:ind w:left="0" w:firstLine="0" w:firstLineChars="0"/>
        <w:rPr>
          <w:rFonts w:hint="eastAsia" w:ascii="仿宋_GB2312" w:hAnsi="仿宋_GB2312" w:eastAsia="仿宋_GB2312" w:cs="仿宋_GB2312"/>
          <w:kern w:val="0"/>
          <w:sz w:val="32"/>
          <w:szCs w:val="32"/>
          <w:lang w:val="en-US"/>
        </w:rPr>
      </w:pPr>
    </w:p>
    <w:p>
      <w:pPr>
        <w:pStyle w:val="44"/>
        <w:widowControl/>
        <w:ind w:left="0" w:firstLine="0" w:firstLineChars="0"/>
        <w:rPr>
          <w:rFonts w:hint="eastAsia" w:ascii="仿宋_GB2312" w:hAnsi="仿宋_GB2312" w:eastAsia="仿宋_GB2312" w:cs="仿宋_GB2312"/>
          <w:kern w:val="0"/>
          <w:sz w:val="32"/>
          <w:szCs w:val="32"/>
          <w:lang w:val="en-US"/>
        </w:rPr>
      </w:pPr>
    </w:p>
    <w:p>
      <w:pPr>
        <w:pStyle w:val="44"/>
        <w:widowControl/>
        <w:ind w:left="0" w:firstLine="0" w:firstLineChars="0"/>
        <w:rPr>
          <w:rFonts w:hint="eastAsia" w:ascii="仿宋_GB2312" w:hAnsi="仿宋_GB2312" w:eastAsia="仿宋_GB2312" w:cs="仿宋_GB2312"/>
          <w:kern w:val="0"/>
          <w:sz w:val="32"/>
          <w:szCs w:val="32"/>
          <w:lang w:val="en-US"/>
        </w:rPr>
      </w:pPr>
    </w:p>
    <w:p>
      <w:pPr>
        <w:pStyle w:val="44"/>
        <w:widowControl/>
        <w:ind w:left="0" w:firstLine="0" w:firstLineChars="0"/>
        <w:rPr>
          <w:rFonts w:hint="eastAsia" w:ascii="仿宋_GB2312" w:hAnsi="仿宋_GB2312" w:eastAsia="仿宋_GB2312" w:cs="仿宋_GB2312"/>
          <w:kern w:val="0"/>
          <w:sz w:val="32"/>
          <w:szCs w:val="32"/>
          <w:lang w:val="en-US"/>
        </w:rPr>
      </w:pPr>
    </w:p>
    <w:p>
      <w:pPr>
        <w:pStyle w:val="44"/>
        <w:widowControl/>
        <w:ind w:left="0" w:firstLine="0" w:firstLineChars="0"/>
        <w:rPr>
          <w:rFonts w:hint="eastAsia" w:ascii="仿宋_GB2312" w:hAnsi="仿宋_GB2312" w:eastAsia="仿宋_GB2312" w:cs="仿宋_GB2312"/>
          <w:kern w:val="0"/>
          <w:sz w:val="32"/>
          <w:szCs w:val="32"/>
          <w:lang w:val="en-US"/>
        </w:rPr>
      </w:pPr>
    </w:p>
    <w:p>
      <w:pPr>
        <w:pStyle w:val="44"/>
        <w:widowControl/>
        <w:ind w:left="0" w:firstLine="0" w:firstLineChars="0"/>
        <w:rPr>
          <w:rFonts w:hint="eastAsia" w:ascii="仿宋_GB2312" w:hAnsi="仿宋_GB2312" w:eastAsia="仿宋_GB2312" w:cs="仿宋_GB2312"/>
          <w:kern w:val="0"/>
          <w:sz w:val="32"/>
          <w:szCs w:val="32"/>
          <w:lang w:val="en-US"/>
        </w:rPr>
      </w:pPr>
    </w:p>
    <w:p>
      <w:pPr>
        <w:pStyle w:val="44"/>
        <w:widowControl/>
        <w:ind w:left="0" w:firstLine="0" w:firstLineChars="0"/>
        <w:rPr>
          <w:rFonts w:hint="eastAsia" w:ascii="仿宋_GB2312" w:hAnsi="仿宋_GB2312" w:eastAsia="仿宋_GB2312" w:cs="仿宋_GB2312"/>
          <w:kern w:val="0"/>
          <w:sz w:val="32"/>
          <w:szCs w:val="32"/>
          <w:lang w:val="en-US"/>
        </w:rPr>
      </w:pPr>
    </w:p>
    <w:p>
      <w:pPr>
        <w:pStyle w:val="44"/>
        <w:widowControl/>
        <w:ind w:left="0" w:firstLine="0" w:firstLineChars="0"/>
        <w:rPr>
          <w:rFonts w:hint="eastAsia" w:ascii="仿宋_GB2312" w:hAnsi="仿宋_GB2312" w:eastAsia="仿宋_GB2312" w:cs="仿宋_GB2312"/>
          <w:kern w:val="0"/>
          <w:sz w:val="32"/>
          <w:szCs w:val="32"/>
          <w:lang w:val="en-US"/>
        </w:rPr>
      </w:pPr>
    </w:p>
    <w:p>
      <w:pPr>
        <w:pStyle w:val="44"/>
        <w:widowControl/>
        <w:ind w:left="0" w:firstLine="0" w:firstLineChars="0"/>
        <w:rPr>
          <w:rFonts w:hint="eastAsia" w:ascii="仿宋_GB2312" w:hAnsi="仿宋_GB2312" w:eastAsia="仿宋_GB2312" w:cs="仿宋_GB2312"/>
          <w:kern w:val="0"/>
          <w:sz w:val="32"/>
          <w:szCs w:val="32"/>
          <w:lang w:val="en-US"/>
        </w:rPr>
      </w:pPr>
    </w:p>
    <w:tbl>
      <w:tblPr>
        <w:tblStyle w:val="21"/>
        <w:tblW w:w="107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
        <w:gridCol w:w="972"/>
        <w:gridCol w:w="1272"/>
        <w:gridCol w:w="1620"/>
        <w:gridCol w:w="2136"/>
        <w:gridCol w:w="2280"/>
        <w:gridCol w:w="1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10788" w:type="dxa"/>
            <w:gridSpan w:val="7"/>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sz w:val="32"/>
                <w:szCs w:val="32"/>
                <w:lang w:val="en-US"/>
              </w:rPr>
            </w:pPr>
            <w:r>
              <w:rPr>
                <w:rFonts w:hint="eastAsia" w:ascii="黑体" w:hAnsi="宋体" w:eastAsia="黑体" w:cs="黑体"/>
                <w:color w:val="000000"/>
                <w:kern w:val="0"/>
                <w:sz w:val="32"/>
                <w:szCs w:val="32"/>
                <w:lang w:val="en-US" w:eastAsia="zh-CN" w:bidi="ar"/>
              </w:rPr>
              <w:t>附表2-1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10788" w:type="dxa"/>
            <w:gridSpan w:val="7"/>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color w:val="000000"/>
                <w:sz w:val="36"/>
                <w:szCs w:val="36"/>
                <w:lang w:val="en-US"/>
              </w:rPr>
            </w:pPr>
            <w:r>
              <w:rPr>
                <w:rFonts w:hint="eastAsia" w:ascii="方正小标宋简体" w:hAnsi="方正小标宋简体" w:eastAsia="方正小标宋简体" w:cs="方正小标宋简体"/>
                <w:color w:val="000000"/>
                <w:kern w:val="0"/>
                <w:sz w:val="44"/>
                <w:szCs w:val="44"/>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788" w:type="dxa"/>
            <w:gridSpan w:val="7"/>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22"/>
                <w:szCs w:val="22"/>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项目支出名称</w:t>
            </w:r>
          </w:p>
        </w:tc>
        <w:tc>
          <w:tcPr>
            <w:tcW w:w="92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社情民意手机短信平台运行费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预算单位</w:t>
            </w:r>
          </w:p>
        </w:tc>
        <w:tc>
          <w:tcPr>
            <w:tcW w:w="92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 全年预算数（万元） </w:t>
            </w:r>
          </w:p>
        </w:tc>
        <w:tc>
          <w:tcPr>
            <w:tcW w:w="3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 全年执行数（万元）</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其中：一般公共预算</w:t>
            </w:r>
          </w:p>
        </w:tc>
        <w:tc>
          <w:tcPr>
            <w:tcW w:w="3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其中：一般公共预算</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政府性基金预算</w:t>
            </w:r>
          </w:p>
        </w:tc>
        <w:tc>
          <w:tcPr>
            <w:tcW w:w="3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政府性基金预算</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国有资本经营预算</w:t>
            </w:r>
          </w:p>
        </w:tc>
        <w:tc>
          <w:tcPr>
            <w:tcW w:w="3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国有资本经营预算</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社会保险基金预算</w:t>
            </w:r>
          </w:p>
        </w:tc>
        <w:tc>
          <w:tcPr>
            <w:tcW w:w="3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社会保险基金预算</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其他资金</w:t>
            </w:r>
          </w:p>
        </w:tc>
        <w:tc>
          <w:tcPr>
            <w:tcW w:w="3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其他资金</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2"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目标完成情况</w:t>
            </w:r>
          </w:p>
        </w:tc>
        <w:tc>
          <w:tcPr>
            <w:tcW w:w="6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全年预期目标</w:t>
            </w:r>
          </w:p>
        </w:tc>
        <w:tc>
          <w:tcPr>
            <w:tcW w:w="4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进一步畅通群众诉求表达渠道，搭建多种形式的沟通对话平台，在建立领导下访、写信、公开电话、12345热线电话、群众走访等信访渠道的基础上，利用现代化通讯手段，建立起让群众通过手机短信的形式，反映社情民意和诉求的新渠道</w:t>
            </w:r>
          </w:p>
        </w:tc>
        <w:tc>
          <w:tcPr>
            <w:tcW w:w="417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社情民意手机短信平台正常运行，信访群众的诉求及时送达，并及时受理，按时完成回复，有效维护了社会安定和谐，人民群众满意度提高。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年度绩效指标完成情况</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全年预期指标值                        （包含数字及文字描述）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全年实际完成指标值                           （包含数字及文字描述）</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接收诉求短信</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≥300条</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≥300条</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受理诉求短信</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≥300条</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≥300条</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回复诉求短信</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≥300条</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≥300条</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短信到达率</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4"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短信传送稳定性</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高</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高</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完成时间</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2021年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2021年</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支付平台运行费</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15万元</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15万元</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维护社会安定和谐</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社会安定和谐</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社会安定和谐</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群众诉求更方便</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信访群众满意度</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bl>
    <w:p>
      <w:pPr>
        <w:keepNext w:val="0"/>
        <w:keepLines w:val="0"/>
        <w:widowControl w:val="0"/>
        <w:suppressLineNumbers w:val="0"/>
        <w:spacing w:before="0" w:beforeAutospacing="0" w:after="0" w:afterAutospacing="0"/>
        <w:ind w:left="0" w:right="0"/>
        <w:jc w:val="both"/>
        <w:rPr>
          <w:rFonts w:hint="eastAsia" w:ascii="黑体" w:hAnsi="宋体" w:eastAsia="黑体" w:cs="黑体"/>
          <w:kern w:val="0"/>
          <w:sz w:val="32"/>
          <w:szCs w:val="32"/>
          <w:lang w:val="en-US" w:eastAsia="zh-CN" w:bidi="ar"/>
        </w:rPr>
        <w:sectPr>
          <w:pgSz w:w="11906" w:h="16838"/>
          <w:pgMar w:top="1440" w:right="1800" w:bottom="1440" w:left="1800" w:header="851" w:footer="992" w:gutter="0"/>
          <w:pgNumType w:fmt="decimal"/>
          <w:cols w:space="425" w:num="1"/>
          <w:titlePg/>
          <w:docGrid w:type="lines" w:linePitch="312" w:charSpace="0"/>
        </w:sectPr>
      </w:pPr>
    </w:p>
    <w:tbl>
      <w:tblPr>
        <w:tblStyle w:val="21"/>
        <w:tblW w:w="502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701"/>
        <w:gridCol w:w="712"/>
        <w:gridCol w:w="5845"/>
        <w:gridCol w:w="546"/>
        <w:gridCol w:w="5257"/>
        <w:gridCol w:w="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7"/>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黑体简体" w:hAnsi="方正黑体简体" w:eastAsia="方正黑体简体" w:cs="方正黑体简体"/>
                <w:color w:val="000000"/>
                <w:sz w:val="32"/>
                <w:szCs w:val="32"/>
                <w:lang w:val="en-US"/>
              </w:rPr>
            </w:pPr>
            <w:r>
              <w:rPr>
                <w:rFonts w:hint="eastAsia" w:ascii="方正黑体简体" w:hAnsi="方正黑体简体" w:eastAsia="方正黑体简体" w:cs="方正黑体简体"/>
                <w:color w:val="000000"/>
                <w:kern w:val="0"/>
                <w:sz w:val="32"/>
                <w:szCs w:val="32"/>
                <w:lang w:val="en-US" w:eastAsia="zh-CN" w:bidi="ar"/>
              </w:rPr>
              <w:t>附表2-2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000" w:type="pct"/>
            <w:gridSpan w:val="7"/>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方正大标宋_GBK" w:hAnsi="方正大标宋_GBK" w:eastAsia="方正大标宋_GBK" w:cs="方正大标宋_GBK"/>
                <w:b/>
                <w:bCs/>
                <w:color w:val="000000"/>
                <w:sz w:val="40"/>
                <w:szCs w:val="40"/>
                <w:lang w:val="en-US"/>
              </w:rPr>
            </w:pPr>
            <w:r>
              <w:rPr>
                <w:rFonts w:hint="eastAsia" w:ascii="方正小标宋简体" w:hAnsi="方正小标宋简体" w:eastAsia="方正小标宋简体" w:cs="方正小标宋简体"/>
                <w:color w:val="000000"/>
                <w:kern w:val="0"/>
                <w:sz w:val="44"/>
                <w:szCs w:val="44"/>
                <w:lang w:val="en-US" w:eastAsia="zh-CN" w:bidi="ar"/>
              </w:rPr>
              <w:t>2021年部门预算项目支出绩效自评评分表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一级 指标</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二级指标              </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三级指标            </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指标内容</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参考分值</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评分标准</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项目决策（14分）</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项目立项</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立项依据</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用以反映项目立项是否有充分的依据：符合国家法律法规、本地的相关规定；符合部门年度工作计划。</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①符合国家相关法律法规、国民经济发展规划和党委政府决策（1分）；                                                                                                           ②符合部门（单位）年度工作计划或项目实施单位职责密切相关（1分）。                                                             </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决策程序</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用以反映和考核项目立项的规范情况：项目的申请、设立过程是否符合相关要求。</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①项目是否按照规定的程序申请设立，审批文件、材料是否符合相关要求（1分）； ②事前是否已经过必要的可行性研究、专家论证、风险评估、集体决策等（1分）。</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项目目标</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目标合理性</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用以反映和考核项目绩效目标与项目实施的相符情况：项目所设定的绩效目标是否依据充分，是否符合客观实际。</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①项目的测算依据充分（1分）；                                                                                                                                                       ②项目是否有绩效目标，与实际工作内容是否具有相关性（1分）；                                                                                                                        ③项目预期产出效益和效果是否符合正常的业绩水平（1分）；                                                                                                                                                                   ④与预算确定的项目投资额或资金量相匹配（1分）。</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指标明确性</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用以反映和考核项目绩效目标与项目实施的相符情况：依据绩效目标设定的绩效指标是否清晰、细化、可衡量等。</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①是否将绩效目标的绩效指标细化分解（1分）；                                                                                                                                                        ②分解的绩效指标体现清晰、可衡量的指标值（1分）；                                                                                                                                                   ③与项目年度任务数或计划数相对应（1分）；                                                                                                                                                         ④与预算确定的项目投资额或资金量相匹配（1分）。</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资金分配</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分配的合理性</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项目预算资金分配是否有测算依据，与项目单位或地方实际是否相适应；根据需要制定的相关资金管理办法；管理办法中有明确资金分配办法；资金分配因素全面、合理。</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①预算资金分配依据充分（1分）；                                                                                                                                 ②资金分配额度合理，与项目单位或地方实际相适应 （1分）。                 此项需提供相应的资金分配方案。</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项目管理（16分）</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资金管理（9分）</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资金到位率</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资金到位率=（实际到位资金/计划投入资金）×100%。                                                              实际到位资金：一定时期（本年度或项目期）内落实到具体项目的资金。                                                       预算资金：一定时期（本年度或项目期）内预算安排到具体项目的资金。</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根据项目资金的实际到位率计算得分（1分）</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预算执行率</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用以反映项目预算执行的进度：预算执行率=实际支出数/预算数。                                      实际支出资金：一定时期（本年度或项目期）内项目实际拨付的资金。</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根据项目资金的预算执行率计算得分（2分）</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资金使用</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用以反映和考核项目资金的规范运行情况：项目资金使用是否符合相关的财务管理制度规定。</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6</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①符合国家财经法规和财务管理制度以及有关专项资金管理办法的规定（1分）；                                                                      ②资金的拨付审批程序和手续完整（1分）；                                                                                           ③符合项目预算批复或合同规定的用途（1分）；                                                                                                                                                                    ④无截留、挤占、挪用、无虚列支出（3分）；                                                                                                                                                                                 若评价前已完成项目资金的专项审计，该指标可用审计结论代替。</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组织实施（7分）</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制度管理</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用以反映和考核财务和业务管理制度对项目顺利实施的制度保障情况。</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①制定或具有相应的财务和业务管理制度（1分）；                                                                                                                                                         ②财务和业务管理制度合法、合规、完整（1分）。</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制度执行</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用以反映和考核业务管理制度的有效执行和质量控制情况：项目实施是否符合相关业务管理规定，是否为达到项目质量要求而采取了必需的措施。</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①按相关法律法规和业务管理规定执行（1分）；                                                                                                                                                      ②项目调整及支出调整手续完备（1分）；                                                                                                                                                                   ③项目合同书、验收报告、技术鉴定等资料规范、齐全（2分）；                                                                                                                                                                      ④项目实施的人员条件、场地设备等是否落实到位（1分）。</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8"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项目绩效（特性指标）（70）</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项目产出（35分）</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实际完成率</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实际完成率=（实际产出数/计划产出数）×100%。                                                            实际产出数：一定时期（本年度或项目期）内项目实际产出的产品或提供的服务数量。                                                                                         计划产出数：项目绩效目标确定的在一定时期（本年度或项目期）内计划产出的产品或提供的服务数量。</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完成绩效目标100%得9分，未完成100%的同比例扣减。</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质量达标率</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质量达标率=（质量达标产出数量/计划完成产出数量）× 100%。                                                                                                                                  质量达标产出数：一定时期（本年度或项目期）内实际达到既定质量标准的产品或服务数量。                                                            既定质量标准是指项目实施单位设立绩效目标时依据计划标准、行业标准、历史标准或其他标准而设定的绩效指标值。  </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产出质量达到绩效目标100%得9分，未完成100%的同比例扣减。</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1"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完成及时性</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完成及时率=计划时限内实际完成的项目数量/计划时限内应完成的项目数量×100%。                                                                                                                               实际完成时间：项目实施单位完成该项目实际所耗用的时间。                                                                         计划完成时间：按照项目实施计划或相关规定完成该项目所需的时间。</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产出时效达到绩效目标得8分，未完成且无充分理由的扣3分。</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8"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完成成本（成本节约率）</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成本节约率=[（计划成本-实际成本）/计划成本]×100%。                                                        实际成本：项目实施单位如期、保质、保量完成既定工作目标实际所耗费的支出。                                                                                        计划成本：项目实施单位为完成工作目标计划安排的支出，一般以项目预算为参考。</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产出成本按绩效目标控制得9分，未完成的，按超支比例扣减。</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项目效益（30分）</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经济效益（可选项）</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反映相关产出对经济社会发展带来的影响和效果，根据项目实际细化具体指标。重点考核投入产出率、回报率、增长率等指标。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7</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完成绩效目标设定的经济效益得7分，未完成的，按完成情况酌情扣分。</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社会效益（可选项）</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反映相关产出对社会发展带来的影响和效果，根据项目实际细化具体指标。重点考核撬动率、贡献率、达标率、就业率等指标。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完成绩效目标设定的社会效益得7分，未完成的，按完成情况酌情扣分。</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9"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环境效益（可选项）</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反映相关产出对自然环境带来的影响和效果，根据项目实际细化具体指标。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7</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完成绩效目标设定的积极的环境效益得7分，未完成的，按完成情况酌情扣分。</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9"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可持续效益（可选项）</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反映相关产出带来影响的可持续期限，根据项目实际细化具体指标。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完成绩效设定目标的得7分，未完成的，按完成情况酌情扣分。</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1"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              （5分）</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服务对象满意度</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满意率反映服务对象或项目受益人对相关产出及其影响的认可程度，根据项目实际细化具体指标。重点考核满意率等指标。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满意率达90%（含）以上的得5分；80%（含）-89%得4分；70%（含）-79%得3分；60%（含）-69%得2分；60%以下不得分。</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2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分值</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100</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自评得分</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7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Cs w:val="21"/>
                <w:lang w:val="en-US"/>
              </w:rPr>
            </w:pPr>
            <w:r>
              <w:rPr>
                <w:rFonts w:hint="eastAsia" w:ascii="宋体" w:hAnsi="宋体" w:eastAsia="宋体" w:cs="宋体"/>
                <w:b/>
                <w:bCs/>
                <w:color w:val="000000"/>
                <w:kern w:val="0"/>
                <w:sz w:val="21"/>
                <w:szCs w:val="21"/>
                <w:lang w:val="en-US" w:eastAsia="zh-CN" w:bidi="ar"/>
              </w:rPr>
              <w:t>自评等级</w:t>
            </w:r>
          </w:p>
        </w:tc>
        <w:tc>
          <w:tcPr>
            <w:tcW w:w="424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自评结果：</w:t>
            </w:r>
            <w:r>
              <w:rPr>
                <w:rFonts w:hint="eastAsia" w:ascii="宋体" w:hAnsi="宋体" w:eastAsia="宋体" w:cs="宋体"/>
                <w:b/>
                <w:bCs/>
                <w:color w:val="000000"/>
                <w:kern w:val="0"/>
                <w:sz w:val="21"/>
                <w:szCs w:val="21"/>
                <w:lang w:val="en-US" w:eastAsia="zh-CN" w:bidi="ar"/>
              </w:rPr>
              <w:t>□优秀（90≤得分≤100）；   □良好（80≤得分＜89）；   □及格（60≤得分＜79）；   □不及格（低于60分）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5000" w:type="pct"/>
            <w:gridSpan w:val="7"/>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说明：项目特性指标</w:t>
            </w:r>
            <w:r>
              <w:rPr>
                <w:rFonts w:hint="eastAsia" w:ascii="宋体" w:hAnsi="宋体" w:eastAsia="宋体" w:cs="宋体"/>
                <w:color w:val="000000"/>
                <w:kern w:val="0"/>
                <w:sz w:val="18"/>
                <w:szCs w:val="18"/>
                <w:lang w:val="en-US" w:eastAsia="zh-CN" w:bidi="ar"/>
              </w:rPr>
              <w:t>是根据项目绩效目标申报表填报的项目产出指标和效益指标对比实际完成情况进行自评；项目效益指标分值在总分值不变的情况下将可选项指标没选中的分值，适当、合理调整到选中效益指标当中去。</w:t>
            </w:r>
          </w:p>
        </w:tc>
      </w:tr>
    </w:tbl>
    <w:p>
      <w:pPr>
        <w:pStyle w:val="25"/>
        <w:numPr>
          <w:ilvl w:val="4"/>
          <w:numId w:val="0"/>
        </w:numPr>
        <w:rPr>
          <w:rFonts w:hint="eastAsia"/>
          <w:lang w:val="en-US" w:eastAsia="zh-CN"/>
        </w:rPr>
        <w:sectPr>
          <w:pgSz w:w="16838" w:h="11906" w:orient="landscape"/>
          <w:pgMar w:top="1800" w:right="1440" w:bottom="1800" w:left="1440" w:header="851" w:footer="992" w:gutter="0"/>
          <w:pgNumType w:fmt="decimal"/>
          <w:cols w:space="425" w:num="1"/>
          <w:titlePg/>
          <w:docGrid w:type="lines" w:linePitch="312" w:charSpace="0"/>
        </w:sectPr>
      </w:pPr>
    </w:p>
    <w:p>
      <w:pPr>
        <w:keepNext w:val="0"/>
        <w:keepLines w:val="0"/>
        <w:widowControl w:val="0"/>
        <w:suppressLineNumbers w:val="0"/>
        <w:spacing w:before="0" w:beforeAutospacing="0" w:after="0" w:afterAutospacing="0" w:line="576" w:lineRule="exact"/>
        <w:ind w:left="0" w:right="0"/>
        <w:jc w:val="both"/>
        <w:rPr>
          <w:rFonts w:hint="eastAsia" w:ascii="黑体" w:hAnsi="宋体" w:eastAsia="黑体" w:cs="黑体"/>
          <w:kern w:val="0"/>
          <w:sz w:val="32"/>
          <w:szCs w:val="32"/>
          <w:lang w:val="en-US"/>
        </w:rPr>
      </w:pPr>
      <w:r>
        <w:rPr>
          <w:rFonts w:hint="eastAsia" w:ascii="黑体" w:hAnsi="宋体" w:eastAsia="黑体" w:cs="黑体"/>
          <w:kern w:val="0"/>
          <w:sz w:val="32"/>
          <w:szCs w:val="32"/>
          <w:lang w:val="en-US" w:eastAsia="zh-CN" w:bidi="ar"/>
        </w:rPr>
        <w:t>附件3</w:t>
      </w:r>
    </w:p>
    <w:p>
      <w:pPr>
        <w:keepNext w:val="0"/>
        <w:keepLines w:val="0"/>
        <w:widowControl w:val="0"/>
        <w:suppressLineNumbers w:val="0"/>
        <w:autoSpaceDE w:val="0"/>
        <w:autoSpaceDN/>
        <w:spacing w:before="0" w:beforeAutospacing="0" w:after="0" w:afterAutospacing="0" w:line="576" w:lineRule="exact"/>
        <w:ind w:left="0" w:right="0"/>
        <w:jc w:val="center"/>
        <w:rPr>
          <w:rFonts w:hint="eastAsia" w:ascii="方正小标宋简体" w:hAnsi="方正小标宋简体" w:eastAsia="方正小标宋简体" w:cs="方正小标宋简体"/>
          <w:bCs/>
          <w:color w:val="000000"/>
          <w:spacing w:val="-6"/>
          <w:kern w:val="0"/>
          <w:sz w:val="44"/>
          <w:szCs w:val="44"/>
          <w:lang w:val="en-US"/>
        </w:rPr>
      </w:pPr>
      <w:r>
        <w:rPr>
          <w:rFonts w:hint="eastAsia" w:ascii="方正小标宋简体" w:hAnsi="方正小标宋简体" w:eastAsia="方正小标宋简体" w:cs="方正小标宋简体"/>
          <w:bCs/>
          <w:color w:val="000000"/>
          <w:spacing w:val="-6"/>
          <w:kern w:val="0"/>
          <w:sz w:val="44"/>
          <w:szCs w:val="44"/>
          <w:lang w:val="en-US" w:eastAsia="zh-CN" w:bidi="ar"/>
        </w:rPr>
        <w:t>2021年网上投诉平台运行项目支出</w:t>
      </w:r>
    </w:p>
    <w:p>
      <w:pPr>
        <w:keepNext w:val="0"/>
        <w:keepLines w:val="0"/>
        <w:widowControl w:val="0"/>
        <w:suppressLineNumbers w:val="0"/>
        <w:autoSpaceDE w:val="0"/>
        <w:autoSpaceDN/>
        <w:spacing w:before="0" w:beforeAutospacing="0" w:after="0" w:afterAutospacing="0" w:line="576" w:lineRule="exact"/>
        <w:ind w:left="0" w:right="0"/>
        <w:jc w:val="center"/>
        <w:rPr>
          <w:rFonts w:hint="eastAsia" w:ascii="方正小标宋简体" w:hAnsi="方正小标宋简体" w:eastAsia="方正小标宋简体" w:cs="方正小标宋简体"/>
          <w:bCs/>
          <w:color w:val="000000"/>
          <w:spacing w:val="-6"/>
          <w:kern w:val="0"/>
          <w:sz w:val="44"/>
          <w:szCs w:val="44"/>
          <w:lang w:val="en-US"/>
        </w:rPr>
      </w:pPr>
      <w:r>
        <w:rPr>
          <w:rFonts w:hint="eastAsia" w:ascii="方正小标宋简体" w:hAnsi="方正小标宋简体" w:eastAsia="方正小标宋简体" w:cs="方正小标宋简体"/>
          <w:bCs/>
          <w:color w:val="000000"/>
          <w:spacing w:val="-6"/>
          <w:kern w:val="0"/>
          <w:sz w:val="44"/>
          <w:szCs w:val="44"/>
          <w:lang w:val="en-US" w:eastAsia="zh-CN" w:bidi="ar"/>
        </w:rPr>
        <w:t>绩效自评报告</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黑体" w:hAnsi="宋体" w:eastAsia="黑体" w:cs="黑体"/>
          <w:spacing w:val="-6"/>
          <w:sz w:val="32"/>
          <w:szCs w:val="32"/>
          <w:lang w:val="en-US"/>
        </w:rPr>
      </w:pP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黑体" w:hAnsi="宋体" w:eastAsia="黑体" w:cs="黑体"/>
          <w:spacing w:val="-6"/>
          <w:sz w:val="32"/>
          <w:szCs w:val="32"/>
          <w:lang w:val="en-US"/>
        </w:rPr>
      </w:pPr>
      <w:r>
        <w:rPr>
          <w:rFonts w:hint="eastAsia" w:ascii="黑体" w:hAnsi="宋体" w:eastAsia="黑体" w:cs="黑体"/>
          <w:spacing w:val="-6"/>
          <w:kern w:val="2"/>
          <w:sz w:val="32"/>
          <w:szCs w:val="32"/>
          <w:lang w:val="en-US" w:eastAsia="zh-CN" w:bidi="ar"/>
        </w:rPr>
        <w:t>一、项目概况</w:t>
      </w:r>
    </w:p>
    <w:p>
      <w:pPr>
        <w:keepNext w:val="0"/>
        <w:keepLines w:val="0"/>
        <w:widowControl w:val="0"/>
        <w:suppressLineNumbers w:val="0"/>
        <w:adjustRightInd w:val="0"/>
        <w:snapToGrid w:val="0"/>
        <w:spacing w:before="0" w:beforeAutospacing="0" w:after="0" w:afterAutospacing="0" w:line="576" w:lineRule="exact"/>
        <w:ind w:left="0" w:right="0" w:firstLine="616" w:firstLineChars="200"/>
        <w:jc w:val="both"/>
        <w:rPr>
          <w:rFonts w:hint="eastAsia" w:ascii="仿宋_GB2312" w:hAnsi="仿宋_GB2312" w:eastAsia="仿宋_GB2312" w:cs="仿宋_GB2312"/>
          <w:sz w:val="32"/>
          <w:szCs w:val="32"/>
          <w:lang w:val="en-US"/>
        </w:rPr>
      </w:pPr>
      <w:r>
        <w:rPr>
          <w:rFonts w:hint="eastAsia" w:ascii="楷体_GB2312" w:hAnsi="Times New Roman" w:eastAsia="楷体_GB2312" w:cs="楷体_GB2312"/>
          <w:bCs/>
          <w:spacing w:val="-6"/>
          <w:kern w:val="2"/>
          <w:sz w:val="32"/>
          <w:szCs w:val="32"/>
          <w:lang w:val="en-US" w:eastAsia="zh-CN" w:bidi="ar"/>
        </w:rPr>
        <w:t>（一）项目资金申报及批复情况。</w:t>
      </w:r>
      <w:r>
        <w:rPr>
          <w:rFonts w:hint="eastAsia" w:ascii="仿宋_GB2312" w:hAnsi="仿宋_GB2312" w:eastAsia="仿宋_GB2312" w:cs="仿宋_GB2312"/>
          <w:kern w:val="2"/>
          <w:sz w:val="32"/>
          <w:szCs w:val="32"/>
          <w:lang w:val="zh-CN" w:eastAsia="zh-CN" w:bidi="ar"/>
        </w:rPr>
        <w:t>朝天区</w:t>
      </w:r>
      <w:r>
        <w:rPr>
          <w:rFonts w:hint="eastAsia" w:ascii="仿宋_GB2312" w:hAnsi="仿宋_GB2312" w:eastAsia="仿宋_GB2312" w:cs="仿宋_GB2312"/>
          <w:kern w:val="2"/>
          <w:sz w:val="32"/>
          <w:szCs w:val="32"/>
          <w:lang w:val="en-US" w:eastAsia="zh-CN" w:bidi="ar"/>
        </w:rPr>
        <w:t>2021年度财政下达我局</w:t>
      </w:r>
      <w:r>
        <w:rPr>
          <w:rFonts w:hint="eastAsia" w:ascii="仿宋_GB2312" w:hAnsi="宋体" w:eastAsia="仿宋_GB2312" w:cs="仿宋_GB2312"/>
          <w:spacing w:val="-6"/>
          <w:kern w:val="2"/>
          <w:sz w:val="32"/>
          <w:szCs w:val="32"/>
          <w:lang w:val="en-US" w:eastAsia="zh-CN" w:bidi="ar"/>
        </w:rPr>
        <w:t>网上投诉平台运行项目</w:t>
      </w:r>
      <w:r>
        <w:rPr>
          <w:rFonts w:hint="eastAsia" w:ascii="仿宋_GB2312" w:hAnsi="仿宋_GB2312" w:eastAsia="仿宋_GB2312" w:cs="仿宋_GB2312"/>
          <w:kern w:val="2"/>
          <w:sz w:val="32"/>
          <w:szCs w:val="32"/>
          <w:lang w:val="en-US" w:eastAsia="zh-CN" w:bidi="ar"/>
        </w:rPr>
        <w:t>经费预算0.84万元，按程序进行申报，资金及时批复到位，申报程序符合资金管理办法相关规定。</w:t>
      </w:r>
    </w:p>
    <w:p>
      <w:pPr>
        <w:keepNext w:val="0"/>
        <w:keepLines w:val="0"/>
        <w:widowControl w:val="0"/>
        <w:suppressLineNumbers w:val="0"/>
        <w:adjustRightInd w:val="0"/>
        <w:snapToGrid w:val="0"/>
        <w:spacing w:before="0" w:beforeAutospacing="0" w:after="0" w:afterAutospacing="0" w:line="576" w:lineRule="exact"/>
        <w:ind w:left="0" w:right="0" w:firstLine="616" w:firstLineChars="200"/>
        <w:jc w:val="both"/>
        <w:rPr>
          <w:rFonts w:hint="eastAsia" w:ascii="仿宋_GB2312" w:hAnsi="仿宋_GB2312" w:eastAsia="仿宋_GB2312" w:cs="仿宋_GB2312"/>
          <w:bCs/>
          <w:sz w:val="32"/>
          <w:szCs w:val="32"/>
          <w:lang w:val="zh-CN" w:eastAsia="zh-CN"/>
        </w:rPr>
      </w:pPr>
      <w:r>
        <w:rPr>
          <w:rFonts w:hint="eastAsia" w:ascii="楷体_GB2312" w:hAnsi="Times New Roman" w:eastAsia="楷体_GB2312" w:cs="楷体_GB2312"/>
          <w:bCs/>
          <w:spacing w:val="-6"/>
          <w:kern w:val="2"/>
          <w:sz w:val="32"/>
          <w:szCs w:val="32"/>
          <w:lang w:val="en-US" w:eastAsia="zh-CN" w:bidi="ar"/>
        </w:rPr>
        <w:t>（二）项目绩效目标。</w:t>
      </w:r>
      <w:r>
        <w:rPr>
          <w:rFonts w:hint="eastAsia" w:ascii="仿宋_GB2312" w:hAnsi="仿宋_GB2312" w:eastAsia="仿宋_GB2312" w:cs="仿宋_GB2312"/>
          <w:bCs/>
          <w:kern w:val="2"/>
          <w:sz w:val="32"/>
          <w:szCs w:val="32"/>
          <w:lang w:val="zh-CN" w:eastAsia="zh-CN" w:bidi="ar"/>
        </w:rPr>
        <w:t>2021年度网上信访投诉受理平台运行费是用于方便群众投诉和规范信访工作办理而发生的网络维护费用支出，确保信访群众的诉求及时送达，并及时受理，按时完成回复，提高人民群众满意度，保障社会安定和谐。</w:t>
      </w:r>
    </w:p>
    <w:p>
      <w:pPr>
        <w:keepNext w:val="0"/>
        <w:keepLines w:val="0"/>
        <w:widowControl w:val="0"/>
        <w:suppressLineNumbers w:val="0"/>
        <w:adjustRightInd w:val="0"/>
        <w:snapToGrid w:val="0"/>
        <w:spacing w:before="0" w:beforeAutospacing="0" w:after="0" w:afterAutospacing="0" w:line="576" w:lineRule="exact"/>
        <w:ind w:left="0" w:right="0" w:firstLine="616" w:firstLineChars="200"/>
        <w:jc w:val="both"/>
        <w:rPr>
          <w:rFonts w:hint="eastAsia" w:ascii="仿宋_GB2312" w:hAnsi="仿宋_GB2312" w:eastAsia="仿宋_GB2312" w:cs="仿宋_GB2312"/>
          <w:sz w:val="32"/>
          <w:szCs w:val="32"/>
          <w:lang w:val="en-US"/>
        </w:rPr>
      </w:pPr>
      <w:r>
        <w:rPr>
          <w:rFonts w:hint="eastAsia" w:ascii="楷体_GB2312" w:hAnsi="Times New Roman" w:eastAsia="楷体_GB2312" w:cs="楷体_GB2312"/>
          <w:bCs/>
          <w:spacing w:val="-6"/>
          <w:kern w:val="2"/>
          <w:sz w:val="32"/>
          <w:szCs w:val="32"/>
          <w:lang w:val="en-US" w:eastAsia="zh-CN" w:bidi="ar"/>
        </w:rPr>
        <w:t>（三）项目资金申报相符性。</w:t>
      </w:r>
      <w:r>
        <w:rPr>
          <w:rFonts w:hint="eastAsia" w:ascii="仿宋_GB2312" w:hAnsi="仿宋_GB2312" w:eastAsia="仿宋_GB2312" w:cs="仿宋_GB2312"/>
          <w:kern w:val="2"/>
          <w:sz w:val="32"/>
          <w:szCs w:val="32"/>
          <w:lang w:val="zh-CN" w:eastAsia="zh-CN" w:bidi="ar"/>
        </w:rPr>
        <w:t>项目申报内容与具体实施内容相符、申报目标合理可行。</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黑体" w:hAnsi="宋体" w:eastAsia="黑体" w:cs="黑体"/>
          <w:spacing w:val="-6"/>
          <w:sz w:val="32"/>
          <w:szCs w:val="32"/>
          <w:lang w:val="en-US"/>
        </w:rPr>
      </w:pPr>
      <w:r>
        <w:rPr>
          <w:rFonts w:hint="eastAsia" w:ascii="黑体" w:hAnsi="宋体" w:eastAsia="黑体" w:cs="黑体"/>
          <w:spacing w:val="-6"/>
          <w:kern w:val="2"/>
          <w:sz w:val="32"/>
          <w:szCs w:val="32"/>
          <w:lang w:val="en-US" w:eastAsia="zh-CN" w:bidi="ar"/>
        </w:rPr>
        <w:t>二、项目实施及管理情况</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（一）资金计划、到位及使用情况</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仿宋_GB2312" w:eastAsia="仿宋_GB2312" w:cs="仿宋_GB2312"/>
          <w:spacing w:val="-6"/>
          <w:sz w:val="32"/>
          <w:szCs w:val="32"/>
          <w:lang w:val="zh-CN" w:eastAsia="zh-CN"/>
        </w:rPr>
      </w:pPr>
      <w:r>
        <w:rPr>
          <w:rFonts w:hint="eastAsia" w:ascii="仿宋_GB2312" w:hAnsi="Times New Roman" w:eastAsia="仿宋_GB2312" w:cs="仿宋_GB2312"/>
          <w:spacing w:val="-6"/>
          <w:kern w:val="2"/>
          <w:sz w:val="32"/>
          <w:szCs w:val="32"/>
          <w:lang w:val="en-US" w:eastAsia="zh-CN" w:bidi="ar"/>
        </w:rPr>
        <w:t>1.资金计划及到位。</w:t>
      </w:r>
      <w:r>
        <w:rPr>
          <w:rFonts w:hint="eastAsia" w:ascii="仿宋_GB2312" w:hAnsi="Times New Roman" w:eastAsia="仿宋_GB2312" w:cs="仿宋_GB2312"/>
          <w:spacing w:val="-6"/>
          <w:kern w:val="2"/>
          <w:sz w:val="32"/>
          <w:szCs w:val="32"/>
          <w:lang w:val="zh-CN" w:eastAsia="zh-CN" w:bidi="ar"/>
        </w:rPr>
        <w:t>预算</w:t>
      </w:r>
      <w:r>
        <w:rPr>
          <w:rFonts w:hint="eastAsia" w:ascii="仿宋_GB2312" w:hAnsi="宋体" w:eastAsia="仿宋_GB2312" w:cs="仿宋_GB2312"/>
          <w:spacing w:val="-6"/>
          <w:kern w:val="2"/>
          <w:sz w:val="32"/>
          <w:szCs w:val="32"/>
          <w:lang w:val="en-US" w:eastAsia="zh-CN" w:bidi="ar"/>
        </w:rPr>
        <w:t>网上投诉平台运行</w:t>
      </w:r>
      <w:r>
        <w:rPr>
          <w:rFonts w:hint="eastAsia" w:ascii="仿宋_GB2312" w:hAnsi="Times New Roman" w:eastAsia="仿宋_GB2312" w:cs="仿宋_GB2312"/>
          <w:spacing w:val="-6"/>
          <w:kern w:val="2"/>
          <w:sz w:val="32"/>
          <w:szCs w:val="32"/>
          <w:lang w:val="en-US" w:eastAsia="zh-CN" w:bidi="ar"/>
        </w:rPr>
        <w:t>费0.84</w:t>
      </w:r>
      <w:r>
        <w:rPr>
          <w:rFonts w:hint="eastAsia" w:ascii="仿宋_GB2312" w:hAnsi="Times New Roman" w:eastAsia="仿宋_GB2312" w:cs="仿宋_GB2312"/>
          <w:spacing w:val="-6"/>
          <w:kern w:val="2"/>
          <w:sz w:val="32"/>
          <w:szCs w:val="32"/>
          <w:lang w:val="zh-CN" w:eastAsia="zh-CN" w:bidi="ar"/>
        </w:rPr>
        <w:t>万元。资金到位及时，全部到位。</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仿宋_GB2312" w:eastAsia="仿宋_GB2312" w:cs="仿宋_GB2312"/>
          <w:spacing w:val="-6"/>
          <w:sz w:val="32"/>
          <w:szCs w:val="32"/>
          <w:lang w:val="en-US"/>
        </w:rPr>
      </w:pPr>
      <w:r>
        <w:rPr>
          <w:rFonts w:hint="eastAsia" w:ascii="仿宋_GB2312" w:hAnsi="Times New Roman" w:eastAsia="仿宋_GB2312" w:cs="仿宋_GB2312"/>
          <w:spacing w:val="-6"/>
          <w:kern w:val="2"/>
          <w:sz w:val="32"/>
          <w:szCs w:val="32"/>
          <w:lang w:val="en-US" w:eastAsia="zh-CN" w:bidi="ar"/>
        </w:rPr>
        <w:t>2.资金使用。</w:t>
      </w:r>
      <w:r>
        <w:rPr>
          <w:rFonts w:hint="eastAsia" w:ascii="仿宋_GB2312" w:hAnsi="Times New Roman" w:eastAsia="仿宋_GB2312" w:cs="仿宋_GB2312"/>
          <w:spacing w:val="-6"/>
          <w:kern w:val="2"/>
          <w:sz w:val="32"/>
          <w:szCs w:val="32"/>
          <w:lang w:val="zh-CN" w:eastAsia="zh-CN" w:bidi="ar"/>
        </w:rPr>
        <w:t>严格按单位项目管理制度执行，根据项目的进度，达到付款条件后，经单位领导审核后授权支付。</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（二）项目财务管理情况</w:t>
      </w:r>
    </w:p>
    <w:p>
      <w:pPr>
        <w:keepNext w:val="0"/>
        <w:keepLines w:val="0"/>
        <w:widowControl w:val="0"/>
        <w:suppressLineNumbers w:val="0"/>
        <w:adjustRightInd w:val="0"/>
        <w:snapToGrid w:val="0"/>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zh-CN" w:eastAsia="zh-CN"/>
        </w:rPr>
      </w:pPr>
      <w:r>
        <w:rPr>
          <w:rFonts w:hint="eastAsia" w:ascii="仿宋_GB2312" w:hAnsi="宋体" w:eastAsia="仿宋_GB2312" w:cs="仿宋_GB2312"/>
          <w:kern w:val="2"/>
          <w:sz w:val="32"/>
          <w:szCs w:val="32"/>
          <w:lang w:val="zh-CN" w:eastAsia="zh-CN" w:bidi="ar"/>
        </w:rPr>
        <w:t>严格执行财务支出的报销制度，应附与经济业务事项相关的合法合规的原始凭证和附件，必须按规定的程序审核、审批，并有具体经办人、证明人、领导审批签字，才进行支付。</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（三）项目组织实施情况</w:t>
      </w:r>
    </w:p>
    <w:p>
      <w:pPr>
        <w:pStyle w:val="17"/>
        <w:widowControl/>
        <w:spacing w:line="576" w:lineRule="exact"/>
        <w:ind w:left="0" w:firstLine="640" w:firstLineChars="200"/>
        <w:rPr>
          <w:rFonts w:hint="eastAsia" w:ascii="仿宋_GB2312" w:hAnsi="仿宋_GB2312" w:eastAsia="仿宋_GB2312" w:cs="仿宋_GB2312"/>
          <w:sz w:val="32"/>
          <w:szCs w:val="32"/>
          <w:lang w:val="zh-CN" w:eastAsia="zh-CN"/>
        </w:rPr>
      </w:pPr>
      <w:r>
        <w:rPr>
          <w:rFonts w:hint="eastAsia" w:ascii="楷体_GB2312" w:hAnsi="宋体" w:eastAsia="楷体_GB2312" w:cs="楷体_GB2312"/>
          <w:sz w:val="32"/>
          <w:szCs w:val="32"/>
          <w:lang w:val="en-US" w:bidi="ar"/>
        </w:rPr>
        <w:t>1.</w:t>
      </w:r>
      <w:r>
        <w:rPr>
          <w:rFonts w:hint="eastAsia" w:ascii="楷体_GB2312" w:hAnsi="宋体" w:eastAsia="楷体_GB2312" w:cs="楷体_GB2312"/>
          <w:sz w:val="32"/>
          <w:szCs w:val="32"/>
          <w:lang w:val="zh-CN" w:eastAsia="zh-CN" w:bidi="ar"/>
        </w:rPr>
        <w:t>项目组织架构及实施流程。</w:t>
      </w:r>
      <w:r>
        <w:rPr>
          <w:rFonts w:hint="eastAsia" w:ascii="仿宋_GB2312" w:hAnsi="仿宋_GB2312" w:eastAsia="仿宋_GB2312" w:cs="仿宋_GB2312"/>
          <w:sz w:val="32"/>
          <w:szCs w:val="32"/>
          <w:lang w:val="zh-CN" w:eastAsia="zh-CN" w:bidi="ar"/>
        </w:rPr>
        <w:t>根据区委、区政府信访工作统一安排，由我局根据工作需要进行确定和安排。资金分配严格按照审批流程操作执行，符合相关管理办法，分配结果公平合理。</w:t>
      </w:r>
    </w:p>
    <w:p>
      <w:pPr>
        <w:pStyle w:val="17"/>
        <w:widowControl/>
        <w:spacing w:line="576" w:lineRule="exact"/>
        <w:ind w:left="0" w:firstLine="640" w:firstLineChars="200"/>
        <w:rPr>
          <w:rFonts w:hint="eastAsia" w:ascii="仿宋_GB2312" w:hAnsi="仿宋_GB2312" w:eastAsia="仿宋_GB2312" w:cs="仿宋_GB2312"/>
          <w:sz w:val="32"/>
          <w:szCs w:val="32"/>
          <w:lang w:val="zh-CN" w:eastAsia="zh-CN" w:bidi="ar"/>
        </w:rPr>
      </w:pPr>
      <w:r>
        <w:rPr>
          <w:rFonts w:hint="eastAsia" w:ascii="楷体_GB2312" w:hAnsi="宋体" w:eastAsia="楷体_GB2312" w:cs="楷体_GB2312"/>
          <w:sz w:val="32"/>
          <w:szCs w:val="32"/>
          <w:lang w:val="en-US" w:bidi="ar"/>
        </w:rPr>
        <w:t>2.</w:t>
      </w:r>
      <w:r>
        <w:rPr>
          <w:rFonts w:hint="eastAsia" w:ascii="楷体_GB2312" w:hAnsi="宋体" w:eastAsia="楷体_GB2312" w:cs="楷体_GB2312"/>
          <w:sz w:val="32"/>
          <w:szCs w:val="32"/>
          <w:lang w:val="zh-CN" w:eastAsia="zh-CN" w:bidi="ar"/>
        </w:rPr>
        <w:t>项目管理情况。</w:t>
      </w:r>
      <w:r>
        <w:rPr>
          <w:rFonts w:hint="eastAsia" w:ascii="仿宋_GB2312" w:hAnsi="仿宋_GB2312" w:eastAsia="仿宋_GB2312" w:cs="仿宋_GB2312"/>
          <w:sz w:val="32"/>
          <w:szCs w:val="32"/>
          <w:lang w:val="zh-CN" w:eastAsia="zh-CN" w:bidi="ar"/>
        </w:rPr>
        <w:t>本项目资金仅限于</w:t>
      </w:r>
      <w:r>
        <w:rPr>
          <w:rFonts w:hint="eastAsia" w:ascii="仿宋_GB2312" w:hAnsi="仿宋_GB2312" w:eastAsia="仿宋_GB2312" w:cs="仿宋_GB2312"/>
          <w:sz w:val="32"/>
          <w:szCs w:val="32"/>
          <w:lang w:eastAsia="zh-CN"/>
        </w:rPr>
        <w:t>网上投诉平台运行</w:t>
      </w:r>
      <w:r>
        <w:rPr>
          <w:rFonts w:hint="eastAsia" w:ascii="仿宋_GB2312" w:hAnsi="仿宋_GB2312" w:eastAsia="仿宋_GB2312" w:cs="仿宋_GB2312"/>
          <w:sz w:val="32"/>
          <w:szCs w:val="32"/>
          <w:lang w:val="zh-CN" w:eastAsia="zh-CN" w:bidi="ar"/>
        </w:rPr>
        <w:t>工作，实行专款专用，资金使用合规，支出依据规范，无虚列支出，无截留、挤占、挪用现象。</w:t>
      </w:r>
    </w:p>
    <w:p>
      <w:pPr>
        <w:keepNext w:val="0"/>
        <w:keepLines w:val="0"/>
        <w:widowControl w:val="0"/>
        <w:suppressLineNumbers w:val="0"/>
        <w:adjustRightInd w:val="0"/>
        <w:snapToGrid w:val="0"/>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zh-CN" w:eastAsia="zh-CN" w:bidi="ar"/>
        </w:rPr>
      </w:pPr>
      <w:r>
        <w:rPr>
          <w:rFonts w:hint="eastAsia" w:ascii="楷体_GB2312" w:hAnsi="宋体" w:eastAsia="楷体_GB2312" w:cs="楷体_GB2312"/>
          <w:kern w:val="2"/>
          <w:sz w:val="32"/>
          <w:szCs w:val="32"/>
          <w:lang w:val="en-US" w:eastAsia="zh-CN" w:bidi="ar"/>
        </w:rPr>
        <w:t>3.</w:t>
      </w:r>
      <w:r>
        <w:rPr>
          <w:rFonts w:hint="eastAsia" w:ascii="楷体_GB2312" w:hAnsi="宋体" w:eastAsia="楷体_GB2312" w:cs="楷体_GB2312"/>
          <w:kern w:val="2"/>
          <w:sz w:val="32"/>
          <w:szCs w:val="32"/>
          <w:lang w:val="zh-CN" w:eastAsia="zh-CN" w:bidi="ar"/>
        </w:rPr>
        <w:t>项目监管情况。</w:t>
      </w:r>
      <w:r>
        <w:rPr>
          <w:rFonts w:hint="eastAsia" w:ascii="仿宋_GB2312" w:hAnsi="仿宋_GB2312" w:eastAsia="仿宋_GB2312" w:cs="仿宋_GB2312"/>
          <w:kern w:val="2"/>
          <w:sz w:val="32"/>
          <w:szCs w:val="32"/>
          <w:lang w:val="zh-CN" w:eastAsia="zh-CN" w:bidi="ar"/>
        </w:rPr>
        <w:t>我局严格按照单位项目管理制度执行监管。</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黑体" w:hAnsi="宋体" w:eastAsia="黑体" w:cs="黑体"/>
          <w:spacing w:val="-6"/>
          <w:sz w:val="32"/>
          <w:szCs w:val="32"/>
          <w:lang w:val="en-US"/>
        </w:rPr>
      </w:pPr>
      <w:r>
        <w:rPr>
          <w:rFonts w:hint="eastAsia" w:ascii="黑体" w:hAnsi="宋体" w:eastAsia="黑体" w:cs="黑体"/>
          <w:spacing w:val="-6"/>
          <w:kern w:val="2"/>
          <w:sz w:val="32"/>
          <w:szCs w:val="32"/>
          <w:lang w:val="en-US" w:eastAsia="zh-CN" w:bidi="ar"/>
        </w:rPr>
        <w:t>三、项目绩效情况</w:t>
      </w:r>
      <w:r>
        <w:rPr>
          <w:rFonts w:hint="eastAsia" w:ascii="黑体" w:hAnsi="宋体" w:eastAsia="黑体" w:cs="黑体"/>
          <w:spacing w:val="-6"/>
          <w:kern w:val="2"/>
          <w:sz w:val="32"/>
          <w:szCs w:val="32"/>
          <w:lang w:val="en-US" w:eastAsia="zh-CN" w:bidi="ar"/>
        </w:rPr>
        <w:tab/>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（一）项目完成情况</w:t>
      </w:r>
    </w:p>
    <w:p>
      <w:pPr>
        <w:pStyle w:val="17"/>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我局2021年网上投诉平台运行正常，未出现故障，平台主页年点击量超过1万人次，信访群众的诉求均及时送达，并及时处理完成回复，信访群众满意度达到99%。</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（二）项目效益情况</w:t>
      </w:r>
    </w:p>
    <w:p>
      <w:pPr>
        <w:pStyle w:val="17"/>
        <w:keepNext w:val="0"/>
        <w:keepLines w:val="0"/>
        <w:widowControl w:val="0"/>
        <w:suppressLineNumbers w:val="0"/>
        <w:adjustRightInd w:val="0"/>
        <w:snapToGrid w:val="0"/>
        <w:spacing w:before="0" w:beforeAutospacing="0" w:after="0" w:afterAutospacing="0" w:line="576" w:lineRule="exact"/>
        <w:ind w:left="0" w:right="0" w:firstLine="640" w:firstLineChars="2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1.社会效益。保障信访信息系统网络通畅，运行正常，系统服务器运行无故障率达到100%。</w:t>
      </w:r>
    </w:p>
    <w:p>
      <w:pPr>
        <w:pStyle w:val="17"/>
        <w:keepNext w:val="0"/>
        <w:keepLines w:val="0"/>
        <w:widowControl w:val="0"/>
        <w:suppressLineNumbers w:val="0"/>
        <w:adjustRightInd w:val="0"/>
        <w:snapToGrid w:val="0"/>
        <w:spacing w:before="0" w:beforeAutospacing="0" w:after="0" w:afterAutospacing="0" w:line="576" w:lineRule="exact"/>
        <w:ind w:left="0" w:right="0" w:firstLine="640" w:firstLineChars="2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2.数量指标方面。年底完成系统数据准确率达100%。</w:t>
      </w:r>
    </w:p>
    <w:p>
      <w:pPr>
        <w:pStyle w:val="17"/>
        <w:keepNext w:val="0"/>
        <w:keepLines w:val="0"/>
        <w:widowControl w:val="0"/>
        <w:suppressLineNumbers w:val="0"/>
        <w:adjustRightInd w:val="0"/>
        <w:snapToGrid w:val="0"/>
        <w:spacing w:before="0" w:beforeAutospacing="0" w:after="0" w:afterAutospacing="0" w:line="576" w:lineRule="exact"/>
        <w:ind w:left="0" w:right="0" w:firstLine="640" w:firstLineChars="2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3.实效指标方面。年底全面完成率达100%</w:t>
      </w:r>
    </w:p>
    <w:p>
      <w:pPr>
        <w:pStyle w:val="17"/>
        <w:keepNext w:val="0"/>
        <w:keepLines w:val="0"/>
        <w:widowControl w:val="0"/>
        <w:suppressLineNumbers w:val="0"/>
        <w:adjustRightInd w:val="0"/>
        <w:snapToGrid w:val="0"/>
        <w:spacing w:before="0" w:beforeAutospacing="0" w:after="0" w:afterAutospacing="0" w:line="576" w:lineRule="exact"/>
        <w:ind w:left="0" w:right="0" w:firstLine="640" w:firstLineChars="2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4.服务对象满意度方面。信访群众满意率达99%。</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黑体" w:hAnsi="宋体" w:eastAsia="黑体" w:cs="黑体"/>
          <w:spacing w:val="-6"/>
          <w:sz w:val="32"/>
          <w:szCs w:val="32"/>
          <w:lang w:val="en-US"/>
        </w:rPr>
      </w:pPr>
      <w:r>
        <w:rPr>
          <w:rFonts w:hint="eastAsia" w:ascii="黑体" w:hAnsi="宋体" w:eastAsia="黑体" w:cs="黑体"/>
          <w:spacing w:val="-6"/>
          <w:kern w:val="2"/>
          <w:sz w:val="32"/>
          <w:szCs w:val="32"/>
          <w:lang w:val="en-US" w:eastAsia="zh-CN" w:bidi="ar"/>
        </w:rPr>
        <w:t>四、问题及建议</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仿宋_GB2312" w:hAnsi="宋体" w:eastAsia="仿宋_GB2312" w:cs="仿宋_GB2312"/>
          <w:sz w:val="32"/>
          <w:szCs w:val="32"/>
          <w:lang w:val="zh-CN" w:eastAsia="zh-CN"/>
        </w:rPr>
      </w:pPr>
      <w:r>
        <w:rPr>
          <w:rFonts w:hint="eastAsia" w:ascii="楷体_GB2312" w:hAnsi="Times New Roman" w:eastAsia="楷体_GB2312" w:cs="楷体_GB2312"/>
          <w:bCs/>
          <w:spacing w:val="-6"/>
          <w:kern w:val="2"/>
          <w:sz w:val="32"/>
          <w:szCs w:val="32"/>
          <w:lang w:val="en-US" w:eastAsia="zh-CN" w:bidi="ar"/>
        </w:rPr>
        <w:t>（一）存在的问题。</w:t>
      </w:r>
      <w:r>
        <w:rPr>
          <w:rFonts w:hint="eastAsia" w:ascii="仿宋_GB2312" w:hAnsi="宋体" w:eastAsia="仿宋_GB2312" w:cs="仿宋_GB2312"/>
          <w:kern w:val="2"/>
          <w:sz w:val="32"/>
          <w:szCs w:val="32"/>
          <w:lang w:val="zh-CN" w:eastAsia="zh-CN" w:bidi="ar"/>
        </w:rPr>
        <w:t>预算编制细化程度还不够科学。资金使用效率结合还不够紧密。</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仿宋_GB2312" w:hAnsi="仿宋_GB2312" w:eastAsia="仿宋_GB2312" w:cs="仿宋_GB2312"/>
          <w:sz w:val="32"/>
          <w:szCs w:val="32"/>
          <w:lang w:val="en-US" w:bidi="ar"/>
        </w:rPr>
      </w:pPr>
      <w:r>
        <w:rPr>
          <w:rFonts w:hint="eastAsia" w:ascii="楷体_GB2312" w:hAnsi="Times New Roman" w:eastAsia="楷体_GB2312" w:cs="楷体_GB2312"/>
          <w:bCs/>
          <w:spacing w:val="-6"/>
          <w:kern w:val="2"/>
          <w:sz w:val="32"/>
          <w:szCs w:val="32"/>
          <w:lang w:val="en-US" w:eastAsia="zh-CN" w:bidi="ar"/>
        </w:rPr>
        <w:t>（二）相关建议。</w:t>
      </w:r>
      <w:r>
        <w:rPr>
          <w:rFonts w:hint="eastAsia" w:ascii="仿宋_GB2312" w:hAnsi="仿宋_GB2312" w:eastAsia="仿宋_GB2312" w:cs="仿宋_GB2312"/>
          <w:kern w:val="2"/>
          <w:sz w:val="32"/>
          <w:szCs w:val="32"/>
          <w:lang w:val="en-US" w:eastAsia="zh-CN" w:bidi="ar"/>
        </w:rPr>
        <w:t>继续加强和完善绩效管理体系，不断创新提高绩效管理水平。</w:t>
      </w:r>
    </w:p>
    <w:p>
      <w:pPr>
        <w:keepNext w:val="0"/>
        <w:keepLines w:val="0"/>
        <w:widowControl w:val="0"/>
        <w:suppressLineNumbers w:val="0"/>
        <w:spacing w:before="0" w:beforeAutospacing="0" w:after="0" w:afterAutospacing="0" w:line="576" w:lineRule="exact"/>
        <w:ind w:left="0" w:right="0"/>
        <w:jc w:val="both"/>
        <w:rPr>
          <w:lang w:val="en-US"/>
        </w:rPr>
      </w:pPr>
    </w:p>
    <w:p>
      <w:pPr>
        <w:keepNext w:val="0"/>
        <w:keepLines w:val="0"/>
        <w:widowControl w:val="0"/>
        <w:suppressLineNumbers w:val="0"/>
        <w:autoSpaceDE w:val="0"/>
        <w:autoSpaceDN/>
        <w:spacing w:before="0" w:beforeAutospacing="0" w:after="0" w:afterAutospacing="0" w:line="576" w:lineRule="exact"/>
        <w:ind w:left="1562" w:leftChars="304" w:right="0" w:hanging="924" w:hangingChars="300"/>
        <w:jc w:val="both"/>
        <w:rPr>
          <w:rFonts w:hint="eastAsia" w:ascii="黑体" w:hAnsi="宋体" w:eastAsia="黑体" w:cs="黑体"/>
          <w:color w:val="000000"/>
          <w:kern w:val="0"/>
          <w:sz w:val="24"/>
          <w:szCs w:val="24"/>
          <w:lang w:val="en-US"/>
        </w:rPr>
      </w:pPr>
      <w:r>
        <w:rPr>
          <w:rFonts w:hint="eastAsia" w:ascii="仿宋_GB2312" w:hAnsi="宋体" w:eastAsia="仿宋_GB2312" w:cs="仿宋_GB2312"/>
          <w:color w:val="000000"/>
          <w:spacing w:val="-6"/>
          <w:kern w:val="0"/>
          <w:sz w:val="32"/>
          <w:szCs w:val="32"/>
          <w:lang w:val="en-US" w:eastAsia="zh-CN" w:bidi="ar"/>
        </w:rPr>
        <w:t>附表：3-1.部门</w:t>
      </w:r>
      <w:r>
        <w:rPr>
          <w:rFonts w:hint="eastAsia" w:ascii="仿宋_GB2312" w:hAnsi="宋体" w:eastAsia="仿宋_GB2312" w:cs="宋体"/>
          <w:color w:val="000000"/>
          <w:kern w:val="0"/>
          <w:sz w:val="32"/>
          <w:szCs w:val="32"/>
          <w:lang w:val="en-US" w:eastAsia="zh-CN" w:bidi="ar"/>
        </w:rPr>
        <w:t>项目支出绩效目标自评表</w:t>
      </w:r>
    </w:p>
    <w:p>
      <w:pPr>
        <w:keepNext w:val="0"/>
        <w:keepLines w:val="0"/>
        <w:widowControl/>
        <w:suppressLineNumbers w:val="0"/>
        <w:autoSpaceDE w:val="0"/>
        <w:autoSpaceDN/>
        <w:spacing w:before="0" w:beforeAutospacing="0" w:after="0" w:afterAutospacing="0" w:line="576" w:lineRule="exact"/>
        <w:ind w:left="0" w:right="0" w:firstLine="1540" w:firstLineChars="500"/>
        <w:jc w:val="left"/>
        <w:rPr>
          <w:rFonts w:hint="eastAsia" w:ascii="仿宋_GB2312" w:hAnsi="宋体" w:eastAsia="仿宋_GB2312" w:cs="仿宋_GB2312"/>
          <w:color w:val="000000"/>
          <w:spacing w:val="-6"/>
          <w:kern w:val="0"/>
          <w:sz w:val="32"/>
          <w:szCs w:val="32"/>
          <w:lang w:val="en-US"/>
        </w:rPr>
      </w:pPr>
      <w:r>
        <w:rPr>
          <w:rFonts w:hint="eastAsia" w:ascii="仿宋_GB2312" w:hAnsi="宋体" w:eastAsia="仿宋_GB2312" w:cs="仿宋_GB2312"/>
          <w:color w:val="000000"/>
          <w:spacing w:val="-6"/>
          <w:kern w:val="0"/>
          <w:sz w:val="32"/>
          <w:szCs w:val="32"/>
          <w:lang w:val="en-US" w:eastAsia="zh-CN" w:bidi="ar"/>
        </w:rPr>
        <w:t>3-2.2021年部门预算项目支出绩效自评评分表</w:t>
      </w:r>
    </w:p>
    <w:p>
      <w:pPr>
        <w:keepNext w:val="0"/>
        <w:keepLines w:val="0"/>
        <w:widowControl w:val="0"/>
        <w:suppressLineNumbers w:val="0"/>
        <w:autoSpaceDE w:val="0"/>
        <w:autoSpaceDN/>
        <w:spacing w:before="0" w:beforeAutospacing="0" w:after="0" w:afterAutospacing="0" w:line="576" w:lineRule="exact"/>
        <w:ind w:left="0" w:right="0"/>
        <w:jc w:val="right"/>
        <w:rPr>
          <w:rFonts w:ascii="Arial" w:hAnsi="Arial" w:eastAsia="仿宋_GB2312" w:cs="Arial"/>
          <w:sz w:val="32"/>
          <w:szCs w:val="32"/>
          <w:lang w:val="en-US"/>
        </w:rPr>
      </w:pPr>
    </w:p>
    <w:p>
      <w:pPr>
        <w:pStyle w:val="44"/>
        <w:widowControl/>
        <w:ind w:left="0" w:firstLine="0" w:firstLineChars="0"/>
        <w:rPr>
          <w:rFonts w:hint="eastAsia" w:ascii="仿宋_GB2312" w:hAnsi="仿宋_GB2312" w:eastAsia="仿宋_GB2312" w:cs="仿宋_GB2312"/>
          <w:kern w:val="0"/>
          <w:sz w:val="32"/>
          <w:szCs w:val="32"/>
          <w:lang w:val="en-US"/>
        </w:rPr>
      </w:pPr>
    </w:p>
    <w:p>
      <w:pPr>
        <w:pStyle w:val="44"/>
        <w:widowControl/>
        <w:ind w:left="0" w:firstLine="0" w:firstLineChars="0"/>
        <w:rPr>
          <w:rFonts w:hint="eastAsia" w:ascii="仿宋_GB2312" w:hAnsi="仿宋_GB2312" w:eastAsia="仿宋_GB2312" w:cs="仿宋_GB2312"/>
          <w:kern w:val="0"/>
          <w:sz w:val="32"/>
          <w:szCs w:val="32"/>
          <w:lang w:val="en-US"/>
        </w:rPr>
      </w:pPr>
    </w:p>
    <w:p>
      <w:pPr>
        <w:pStyle w:val="44"/>
        <w:widowControl/>
        <w:ind w:left="0" w:firstLine="0" w:firstLineChars="0"/>
        <w:rPr>
          <w:rFonts w:hint="eastAsia" w:ascii="仿宋_GB2312" w:hAnsi="仿宋_GB2312" w:eastAsia="仿宋_GB2312" w:cs="仿宋_GB2312"/>
          <w:kern w:val="0"/>
          <w:sz w:val="32"/>
          <w:szCs w:val="32"/>
          <w:lang w:val="en-US"/>
        </w:rPr>
      </w:pPr>
    </w:p>
    <w:p>
      <w:pPr>
        <w:pStyle w:val="44"/>
        <w:widowControl/>
        <w:ind w:left="0" w:firstLine="0" w:firstLineChars="0"/>
        <w:rPr>
          <w:rFonts w:hint="eastAsia" w:ascii="仿宋_GB2312" w:hAnsi="仿宋_GB2312" w:eastAsia="仿宋_GB2312" w:cs="仿宋_GB2312"/>
          <w:kern w:val="0"/>
          <w:sz w:val="32"/>
          <w:szCs w:val="32"/>
          <w:lang w:val="en-US"/>
        </w:rPr>
      </w:pPr>
    </w:p>
    <w:p>
      <w:pPr>
        <w:pStyle w:val="44"/>
        <w:widowControl/>
        <w:ind w:left="0" w:firstLine="0" w:firstLineChars="0"/>
        <w:rPr>
          <w:rFonts w:hint="eastAsia" w:ascii="仿宋_GB2312" w:hAnsi="仿宋_GB2312" w:eastAsia="仿宋_GB2312" w:cs="仿宋_GB2312"/>
          <w:kern w:val="0"/>
          <w:sz w:val="32"/>
          <w:szCs w:val="32"/>
          <w:lang w:val="en-US"/>
        </w:rPr>
      </w:pPr>
    </w:p>
    <w:p>
      <w:pPr>
        <w:pStyle w:val="44"/>
        <w:widowControl/>
        <w:ind w:left="0" w:firstLine="0" w:firstLineChars="0"/>
        <w:rPr>
          <w:rFonts w:hint="eastAsia" w:ascii="仿宋_GB2312" w:hAnsi="仿宋_GB2312" w:eastAsia="仿宋_GB2312" w:cs="仿宋_GB2312"/>
          <w:kern w:val="0"/>
          <w:sz w:val="32"/>
          <w:szCs w:val="32"/>
          <w:lang w:val="en-US"/>
        </w:rPr>
      </w:pPr>
    </w:p>
    <w:p>
      <w:pPr>
        <w:pStyle w:val="44"/>
        <w:widowControl/>
        <w:ind w:left="0" w:firstLine="0" w:firstLineChars="0"/>
        <w:rPr>
          <w:rFonts w:hint="eastAsia" w:ascii="仿宋_GB2312" w:hAnsi="仿宋_GB2312" w:eastAsia="仿宋_GB2312" w:cs="仿宋_GB2312"/>
          <w:kern w:val="0"/>
          <w:sz w:val="32"/>
          <w:szCs w:val="32"/>
          <w:lang w:val="en-US"/>
        </w:rPr>
      </w:pPr>
    </w:p>
    <w:p>
      <w:pPr>
        <w:pStyle w:val="44"/>
        <w:widowControl/>
        <w:ind w:left="0" w:firstLine="0" w:firstLineChars="0"/>
        <w:rPr>
          <w:rFonts w:hint="eastAsia" w:ascii="仿宋_GB2312" w:hAnsi="仿宋_GB2312" w:eastAsia="仿宋_GB2312" w:cs="仿宋_GB2312"/>
          <w:kern w:val="0"/>
          <w:sz w:val="32"/>
          <w:szCs w:val="32"/>
          <w:lang w:val="en-US"/>
        </w:rPr>
      </w:pPr>
    </w:p>
    <w:p>
      <w:pPr>
        <w:pStyle w:val="44"/>
        <w:widowControl/>
        <w:ind w:left="0" w:firstLine="0" w:firstLineChars="0"/>
        <w:rPr>
          <w:rFonts w:hint="eastAsia" w:ascii="仿宋_GB2312" w:hAnsi="仿宋_GB2312" w:eastAsia="仿宋_GB2312" w:cs="仿宋_GB2312"/>
          <w:kern w:val="0"/>
          <w:sz w:val="32"/>
          <w:szCs w:val="32"/>
          <w:lang w:val="en-US"/>
        </w:rPr>
      </w:pPr>
    </w:p>
    <w:p>
      <w:pPr>
        <w:pStyle w:val="44"/>
        <w:widowControl/>
        <w:ind w:left="0" w:firstLine="0" w:firstLineChars="0"/>
        <w:rPr>
          <w:rFonts w:hint="eastAsia" w:ascii="仿宋_GB2312" w:hAnsi="仿宋_GB2312" w:eastAsia="仿宋_GB2312" w:cs="仿宋_GB2312"/>
          <w:kern w:val="0"/>
          <w:sz w:val="32"/>
          <w:szCs w:val="32"/>
          <w:lang w:val="en-US"/>
        </w:rPr>
      </w:pPr>
    </w:p>
    <w:p>
      <w:pPr>
        <w:pStyle w:val="44"/>
        <w:widowControl/>
        <w:ind w:left="0" w:firstLine="0" w:firstLineChars="0"/>
        <w:rPr>
          <w:rFonts w:hint="eastAsia" w:ascii="仿宋_GB2312" w:hAnsi="仿宋_GB2312" w:eastAsia="仿宋_GB2312" w:cs="仿宋_GB2312"/>
          <w:kern w:val="0"/>
          <w:sz w:val="32"/>
          <w:szCs w:val="32"/>
          <w:lang w:val="en-US"/>
        </w:rPr>
      </w:pPr>
    </w:p>
    <w:p>
      <w:pPr>
        <w:pStyle w:val="44"/>
        <w:widowControl/>
        <w:ind w:left="0" w:firstLine="0" w:firstLineChars="0"/>
        <w:rPr>
          <w:rFonts w:hint="eastAsia" w:ascii="仿宋_GB2312" w:hAnsi="仿宋_GB2312" w:eastAsia="仿宋_GB2312" w:cs="仿宋_GB2312"/>
          <w:kern w:val="0"/>
          <w:sz w:val="32"/>
          <w:szCs w:val="32"/>
          <w:lang w:val="en-US"/>
        </w:rPr>
      </w:pPr>
    </w:p>
    <w:p>
      <w:pPr>
        <w:pStyle w:val="44"/>
        <w:widowControl/>
        <w:ind w:left="0" w:firstLine="0" w:firstLineChars="0"/>
        <w:rPr>
          <w:rFonts w:hint="eastAsia" w:ascii="仿宋_GB2312" w:hAnsi="仿宋_GB2312" w:eastAsia="仿宋_GB2312" w:cs="仿宋_GB2312"/>
          <w:kern w:val="0"/>
          <w:sz w:val="32"/>
          <w:szCs w:val="32"/>
          <w:lang w:val="en-US"/>
        </w:rPr>
      </w:pPr>
    </w:p>
    <w:tbl>
      <w:tblPr>
        <w:tblStyle w:val="21"/>
        <w:tblW w:w="8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9"/>
        <w:gridCol w:w="909"/>
        <w:gridCol w:w="922"/>
        <w:gridCol w:w="1321"/>
        <w:gridCol w:w="1744"/>
        <w:gridCol w:w="1861"/>
        <w:gridCol w:w="1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860" w:type="dxa"/>
            <w:gridSpan w:val="7"/>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宋体" w:eastAsia="黑体" w:cs="黑体"/>
                <w:color w:val="000000"/>
                <w:sz w:val="28"/>
                <w:szCs w:val="28"/>
                <w:lang w:val="en-US"/>
              </w:rPr>
            </w:pPr>
            <w:r>
              <w:rPr>
                <w:rFonts w:hint="eastAsia" w:ascii="黑体" w:hAnsi="宋体" w:eastAsia="黑体" w:cs="黑体"/>
                <w:color w:val="000000"/>
                <w:kern w:val="0"/>
                <w:sz w:val="32"/>
                <w:szCs w:val="32"/>
                <w:lang w:val="en-US" w:eastAsia="zh-CN" w:bidi="ar"/>
              </w:rPr>
              <w:t>附表3-1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8860" w:type="dxa"/>
            <w:gridSpan w:val="7"/>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方正大标宋简体" w:hAnsi="方正大标宋简体" w:eastAsia="方正大标宋简体" w:cs="方正大标宋简体"/>
                <w:color w:val="000000"/>
                <w:sz w:val="36"/>
                <w:szCs w:val="36"/>
                <w:lang w:val="en-US"/>
              </w:rPr>
            </w:pPr>
            <w:r>
              <w:rPr>
                <w:rFonts w:hint="eastAsia" w:ascii="方正小标宋简体" w:hAnsi="方正小标宋简体" w:eastAsia="方正小标宋简体" w:cs="方正小标宋简体"/>
                <w:color w:val="000000"/>
                <w:kern w:val="0"/>
                <w:sz w:val="44"/>
                <w:szCs w:val="44"/>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860" w:type="dxa"/>
            <w:gridSpan w:val="7"/>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22"/>
                <w:szCs w:val="22"/>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项目支出名称</w:t>
            </w:r>
          </w:p>
        </w:tc>
        <w:tc>
          <w:tcPr>
            <w:tcW w:w="74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网上信访投诉受理平台运行</w:t>
            </w:r>
            <w:r>
              <w:rPr>
                <w:rFonts w:hint="eastAsia" w:ascii="宋体" w:hAnsi="宋体" w:cs="宋体"/>
                <w:color w:val="000000"/>
                <w:kern w:val="0"/>
                <w:sz w:val="18"/>
                <w:szCs w:val="18"/>
                <w:lang w:val="en-US" w:eastAsia="zh-CN" w:bidi="ar"/>
              </w:rPr>
              <w:t>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预算单位</w:t>
            </w:r>
          </w:p>
        </w:tc>
        <w:tc>
          <w:tcPr>
            <w:tcW w:w="74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w:t>
            </w: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pPr>
            <w:r>
              <w:rPr>
                <w:rFonts w:hint="eastAsia" w:ascii="宋体" w:hAnsi="宋体" w:eastAsia="宋体" w:cs="宋体"/>
                <w:b/>
                <w:bCs/>
                <w:color w:val="000000"/>
                <w:kern w:val="0"/>
                <w:sz w:val="18"/>
                <w:szCs w:val="18"/>
                <w:lang w:val="en-US" w:eastAsia="zh-CN" w:bidi="ar"/>
              </w:rPr>
              <w:t xml:space="preserve"> 全年预算数（万元） </w:t>
            </w:r>
          </w:p>
        </w:tc>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0.84</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pPr>
            <w:r>
              <w:rPr>
                <w:rFonts w:hint="eastAsia" w:ascii="宋体" w:hAnsi="宋体" w:eastAsia="宋体" w:cs="宋体"/>
                <w:b/>
                <w:bCs/>
                <w:color w:val="000000"/>
                <w:kern w:val="0"/>
                <w:sz w:val="18"/>
                <w:szCs w:val="18"/>
                <w:lang w:val="en-US" w:eastAsia="zh-CN" w:bidi="ar"/>
              </w:rPr>
              <w:t xml:space="preserve"> 全年执行数（万元）</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pPr>
            <w:r>
              <w:rPr>
                <w:rFonts w:hint="eastAsia" w:ascii="宋体" w:hAnsi="宋体" w:eastAsia="宋体" w:cs="宋体"/>
                <w:color w:val="000000"/>
                <w:kern w:val="0"/>
                <w:sz w:val="18"/>
                <w:szCs w:val="18"/>
                <w:lang w:val="en-US" w:eastAsia="zh-CN" w:bidi="ar"/>
              </w:rPr>
              <w:t>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sz w:val="18"/>
                <w:szCs w:val="18"/>
                <w:lang w:val="en-US"/>
              </w:rPr>
            </w:pP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color w:val="000000"/>
                <w:kern w:val="0"/>
                <w:sz w:val="18"/>
                <w:szCs w:val="18"/>
                <w:lang w:val="en-US" w:eastAsia="zh-CN" w:bidi="ar"/>
              </w:rPr>
              <w:t>其中：一般公共预算</w:t>
            </w:r>
          </w:p>
        </w:tc>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0.84</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color w:val="000000"/>
                <w:kern w:val="0"/>
                <w:sz w:val="18"/>
                <w:szCs w:val="18"/>
                <w:lang w:val="en-US" w:eastAsia="zh-CN" w:bidi="ar"/>
              </w:rPr>
              <w:t>其中：一般公共预算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5"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8"/>
                <w:szCs w:val="18"/>
                <w:lang w:val="en-US" w:eastAsia="zh-CN" w:bidi="ar"/>
              </w:rPr>
              <w:t>政府性基金预算</w:t>
            </w:r>
          </w:p>
        </w:tc>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sz w:val="15"/>
                <w:szCs w:val="15"/>
                <w:lang w:val="en-US"/>
              </w:rPr>
            </w:pP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8"/>
                <w:szCs w:val="18"/>
                <w:lang w:val="en-US" w:eastAsia="zh-CN" w:bidi="ar"/>
              </w:rPr>
              <w:t>政府性基金预算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7"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8"/>
                <w:szCs w:val="18"/>
                <w:lang w:val="en-US" w:eastAsia="zh-CN" w:bidi="ar"/>
              </w:rPr>
              <w:t>国有资本经营预算</w:t>
            </w:r>
          </w:p>
        </w:tc>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sz w:val="15"/>
                <w:szCs w:val="15"/>
                <w:lang w:val="en-US"/>
              </w:rPr>
            </w:pP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8"/>
                <w:szCs w:val="18"/>
                <w:lang w:val="en-US" w:eastAsia="zh-CN" w:bidi="ar"/>
              </w:rPr>
              <w:t>国有资本经营预算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8"/>
                <w:szCs w:val="18"/>
                <w:lang w:val="en-US" w:eastAsia="zh-CN" w:bidi="ar"/>
              </w:rPr>
              <w:t>社会保险基金预算</w:t>
            </w:r>
          </w:p>
        </w:tc>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sz w:val="15"/>
                <w:szCs w:val="15"/>
                <w:lang w:val="en-US"/>
              </w:rPr>
            </w:pP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8"/>
                <w:szCs w:val="18"/>
                <w:lang w:val="en-US" w:eastAsia="zh-CN" w:bidi="ar"/>
              </w:rPr>
              <w:t>社会保险基金预算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9"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8"/>
                <w:szCs w:val="18"/>
                <w:lang w:val="en-US" w:eastAsia="zh-CN" w:bidi="ar"/>
              </w:rPr>
              <w:t>其他资金</w:t>
            </w:r>
          </w:p>
        </w:tc>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sz w:val="15"/>
                <w:szCs w:val="15"/>
                <w:lang w:val="en-US"/>
              </w:rPr>
            </w:pP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8"/>
                <w:szCs w:val="18"/>
                <w:lang w:val="en-US" w:eastAsia="zh-CN" w:bidi="ar"/>
              </w:rPr>
              <w:t>其他资金</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0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sz w:val="20"/>
                <w:szCs w:val="20"/>
              </w:rPr>
            </w:pPr>
            <w:r>
              <w:rPr>
                <w:rFonts w:hint="eastAsia" w:ascii="宋体" w:hAnsi="宋体" w:eastAsia="宋体" w:cs="宋体"/>
                <w:color w:val="000000"/>
                <w:kern w:val="0"/>
                <w:sz w:val="18"/>
                <w:szCs w:val="18"/>
                <w:lang w:val="en-US" w:eastAsia="zh-CN" w:bidi="ar"/>
              </w:rPr>
              <w:t>目标完成情况</w:t>
            </w:r>
          </w:p>
        </w:tc>
        <w:tc>
          <w:tcPr>
            <w:tcW w:w="4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8"/>
                <w:szCs w:val="18"/>
                <w:lang w:val="en-US" w:eastAsia="zh-CN" w:bidi="ar"/>
              </w:rPr>
              <w:t>全年预期目标</w:t>
            </w:r>
          </w:p>
        </w:tc>
        <w:tc>
          <w:tcPr>
            <w:tcW w:w="3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8"/>
                <w:szCs w:val="18"/>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sz w:val="18"/>
                <w:szCs w:val="18"/>
                <w:lang w:val="en-US"/>
              </w:rPr>
            </w:pPr>
          </w:p>
        </w:tc>
        <w:tc>
          <w:tcPr>
            <w:tcW w:w="489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left"/>
              <w:textAlignment w:val="top"/>
              <w:rPr>
                <w:rFonts w:hint="eastAsia" w:ascii="宋体" w:hAnsi="宋体" w:eastAsia="宋体" w:cs="宋体"/>
                <w:color w:val="000000"/>
                <w:sz w:val="15"/>
                <w:szCs w:val="15"/>
                <w:lang w:val="en-US"/>
              </w:rPr>
            </w:pPr>
            <w:r>
              <w:rPr>
                <w:rFonts w:hint="eastAsia" w:ascii="宋体" w:hAnsi="宋体" w:eastAsia="宋体" w:cs="宋体"/>
                <w:color w:val="000000"/>
                <w:kern w:val="0"/>
                <w:sz w:val="18"/>
                <w:szCs w:val="18"/>
                <w:lang w:val="en-US" w:eastAsia="zh-CN" w:bidi="ar"/>
              </w:rPr>
              <w:t>保障2021网上信访投诉受理平台运行正常，确保信访群众的诉求及时送达，并及时受理，按时完成回复，提高社会安定和谐，人民群众满意度。</w:t>
            </w:r>
          </w:p>
        </w:tc>
        <w:tc>
          <w:tcPr>
            <w:tcW w:w="346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left"/>
              <w:textAlignment w:val="top"/>
              <w:rPr>
                <w:rFonts w:hint="eastAsia" w:ascii="宋体" w:hAnsi="宋体" w:eastAsia="宋体" w:cs="宋体"/>
                <w:color w:val="000000"/>
                <w:sz w:val="15"/>
                <w:szCs w:val="15"/>
                <w:lang w:val="en-US"/>
              </w:rPr>
            </w:pPr>
            <w:r>
              <w:rPr>
                <w:rFonts w:hint="eastAsia" w:ascii="宋体" w:hAnsi="宋体" w:eastAsia="宋体" w:cs="宋体"/>
                <w:color w:val="000000"/>
                <w:kern w:val="0"/>
                <w:sz w:val="18"/>
                <w:szCs w:val="18"/>
                <w:lang w:val="en-US" w:eastAsia="zh-CN" w:bidi="ar"/>
              </w:rPr>
              <w:t xml:space="preserve">2021年网上投诉平台运行正常，未出现故障，平台主页年点击量超过1万人次，信访群众的诉求均及时送达，并及时处理完成回复，信访群众满意度达到99%。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sz w:val="20"/>
                <w:szCs w:val="20"/>
              </w:rPr>
            </w:pPr>
            <w:r>
              <w:rPr>
                <w:rFonts w:hint="eastAsia" w:ascii="宋体" w:hAnsi="宋体" w:eastAsia="宋体" w:cs="宋体"/>
                <w:color w:val="000000"/>
                <w:kern w:val="0"/>
                <w:sz w:val="18"/>
                <w:szCs w:val="18"/>
                <w:lang w:val="en-US" w:eastAsia="zh-CN" w:bidi="ar"/>
              </w:rPr>
              <w:t>年度绩效指标完成情况</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8"/>
                <w:szCs w:val="18"/>
                <w:lang w:val="en-US" w:eastAsia="zh-CN" w:bidi="ar"/>
              </w:rPr>
              <w:t>一级指标</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pPr>
            <w:r>
              <w:rPr>
                <w:rFonts w:hint="eastAsia" w:ascii="宋体" w:hAnsi="宋体" w:eastAsia="宋体" w:cs="宋体"/>
                <w:color w:val="000000"/>
                <w:kern w:val="0"/>
                <w:sz w:val="18"/>
                <w:szCs w:val="18"/>
                <w:lang w:val="en-US" w:eastAsia="zh-CN" w:bidi="ar"/>
              </w:rPr>
              <w:t>二级指标</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pPr>
            <w:r>
              <w:rPr>
                <w:rFonts w:hint="eastAsia" w:ascii="宋体" w:hAnsi="宋体" w:eastAsia="宋体" w:cs="宋体"/>
                <w:color w:val="000000"/>
                <w:kern w:val="0"/>
                <w:sz w:val="18"/>
                <w:szCs w:val="18"/>
                <w:lang w:val="en-US" w:eastAsia="zh-CN" w:bidi="ar"/>
              </w:rPr>
              <w:t>三级指标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pPr>
            <w:r>
              <w:rPr>
                <w:rFonts w:hint="eastAsia" w:ascii="宋体" w:hAnsi="宋体" w:eastAsia="宋体" w:cs="宋体"/>
                <w:color w:val="000000"/>
                <w:kern w:val="0"/>
                <w:sz w:val="18"/>
                <w:szCs w:val="18"/>
                <w:lang w:val="en-US" w:eastAsia="zh-CN" w:bidi="ar"/>
              </w:rPr>
              <w:t>全年预期指标值                        （包含数字及文字描述）</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8"/>
                <w:szCs w:val="18"/>
                <w:lang w:val="en-US" w:eastAsia="zh-CN" w:bidi="ar"/>
              </w:rPr>
              <w:t>全年实际完成指标值                           （包含数字及文字描述）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pPr>
            <w:r>
              <w:rPr>
                <w:rFonts w:hint="eastAsia" w:ascii="宋体" w:hAnsi="宋体" w:eastAsia="宋体" w:cs="宋体"/>
                <w:color w:val="000000"/>
                <w:kern w:val="0"/>
                <w:sz w:val="18"/>
                <w:szCs w:val="18"/>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sz w:val="18"/>
                <w:szCs w:val="18"/>
                <w:lang w:val="en-US"/>
              </w:rPr>
            </w:pP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数量指标</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平台维护数量</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8"/>
                <w:szCs w:val="18"/>
                <w:lang w:val="en-US" w:eastAsia="zh-CN" w:bidi="ar"/>
              </w:rPr>
              <w:t>1个</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8"/>
                <w:szCs w:val="18"/>
                <w:lang w:val="en-US" w:eastAsia="zh-CN" w:bidi="ar"/>
              </w:rPr>
              <w:t>1个</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sz w:val="18"/>
                <w:szCs w:val="18"/>
                <w:lang w:val="en-US"/>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8"/>
                <w:szCs w:val="18"/>
                <w:lang w:val="en-US" w:eastAsia="zh-CN" w:bidi="ar"/>
              </w:rPr>
              <w:t>质量指标</w:t>
            </w:r>
          </w:p>
        </w:tc>
        <w:tc>
          <w:tcPr>
            <w:tcW w:w="132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8"/>
                <w:szCs w:val="18"/>
                <w:lang w:val="en-US" w:eastAsia="zh-CN" w:bidi="ar"/>
              </w:rPr>
              <w:t>平台年故障率</w:t>
            </w:r>
          </w:p>
        </w:tc>
        <w:tc>
          <w:tcPr>
            <w:tcW w:w="174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8"/>
                <w:szCs w:val="18"/>
                <w:lang w:val="en-US" w:eastAsia="zh-CN" w:bidi="ar"/>
              </w:rPr>
              <w:t>≤2%</w:t>
            </w:r>
          </w:p>
        </w:tc>
        <w:tc>
          <w:tcPr>
            <w:tcW w:w="186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8"/>
                <w:szCs w:val="18"/>
                <w:lang w:val="en-US" w:eastAsia="zh-CN" w:bidi="ar"/>
              </w:rPr>
              <w:t>≤2%</w:t>
            </w:r>
          </w:p>
        </w:tc>
        <w:tc>
          <w:tcPr>
            <w:tcW w:w="16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7"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sz w:val="20"/>
                <w:szCs w:val="20"/>
              </w:rPr>
            </w:pPr>
            <w:r>
              <w:rPr>
                <w:rFonts w:hint="eastAsia" w:ascii="宋体" w:hAnsi="宋体" w:eastAsia="宋体" w:cs="宋体"/>
                <w:color w:val="000000"/>
                <w:kern w:val="0"/>
                <w:sz w:val="18"/>
                <w:szCs w:val="18"/>
                <w:lang w:val="en-US" w:eastAsia="zh-CN" w:bidi="ar"/>
              </w:rPr>
              <w:t>时效指标</w:t>
            </w:r>
          </w:p>
        </w:tc>
        <w:tc>
          <w:tcPr>
            <w:tcW w:w="132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8"/>
                <w:szCs w:val="18"/>
                <w:lang w:val="en-US" w:eastAsia="zh-CN" w:bidi="ar"/>
              </w:rPr>
              <w:t>平台故障修复处理时间</w:t>
            </w:r>
          </w:p>
        </w:tc>
        <w:tc>
          <w:tcPr>
            <w:tcW w:w="174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8"/>
                <w:szCs w:val="18"/>
                <w:lang w:val="en-US" w:eastAsia="zh-CN" w:bidi="ar"/>
              </w:rPr>
              <w:t>≤1小时</w:t>
            </w:r>
          </w:p>
        </w:tc>
        <w:tc>
          <w:tcPr>
            <w:tcW w:w="186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8"/>
                <w:szCs w:val="18"/>
                <w:lang w:val="en-US" w:eastAsia="zh-CN" w:bidi="ar"/>
              </w:rPr>
              <w:t>≤1小时</w:t>
            </w:r>
          </w:p>
        </w:tc>
        <w:tc>
          <w:tcPr>
            <w:tcW w:w="16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7"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sz w:val="20"/>
                <w:szCs w:val="20"/>
              </w:rPr>
            </w:pPr>
            <w:r>
              <w:rPr>
                <w:rFonts w:hint="eastAsia" w:ascii="宋体" w:hAnsi="宋体" w:eastAsia="宋体" w:cs="宋体"/>
                <w:color w:val="000000"/>
                <w:kern w:val="0"/>
                <w:sz w:val="18"/>
                <w:szCs w:val="18"/>
                <w:lang w:val="en-US" w:eastAsia="zh-CN" w:bidi="ar"/>
              </w:rPr>
              <w:t>成本指标</w:t>
            </w:r>
          </w:p>
        </w:tc>
        <w:tc>
          <w:tcPr>
            <w:tcW w:w="132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8"/>
                <w:szCs w:val="18"/>
                <w:lang w:val="en-US" w:eastAsia="zh-CN" w:bidi="ar"/>
              </w:rPr>
              <w:t>按合同一次性支付运行费用</w:t>
            </w:r>
          </w:p>
        </w:tc>
        <w:tc>
          <w:tcPr>
            <w:tcW w:w="174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8"/>
                <w:szCs w:val="18"/>
                <w:lang w:val="en-US" w:eastAsia="zh-CN" w:bidi="ar"/>
              </w:rPr>
              <w:t>0.84万元</w:t>
            </w:r>
          </w:p>
        </w:tc>
        <w:tc>
          <w:tcPr>
            <w:tcW w:w="186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8"/>
                <w:szCs w:val="18"/>
                <w:lang w:val="en-US" w:eastAsia="zh-CN" w:bidi="ar"/>
              </w:rPr>
              <w:t>0.84万元</w:t>
            </w:r>
          </w:p>
        </w:tc>
        <w:tc>
          <w:tcPr>
            <w:tcW w:w="16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sz w:val="20"/>
                <w:szCs w:val="20"/>
              </w:rPr>
            </w:pPr>
            <w:r>
              <w:rPr>
                <w:rFonts w:hint="eastAsia" w:ascii="宋体" w:hAnsi="宋体" w:eastAsia="宋体" w:cs="宋体"/>
                <w:color w:val="000000"/>
                <w:kern w:val="0"/>
                <w:sz w:val="18"/>
                <w:szCs w:val="18"/>
                <w:lang w:val="en-US" w:eastAsia="zh-CN" w:bidi="ar"/>
              </w:rPr>
              <w:t>社会效益指标</w:t>
            </w:r>
          </w:p>
        </w:tc>
        <w:tc>
          <w:tcPr>
            <w:tcW w:w="132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8"/>
                <w:szCs w:val="18"/>
                <w:lang w:val="en-US" w:eastAsia="zh-CN" w:bidi="ar"/>
              </w:rPr>
              <w:t>主页点击量</w:t>
            </w:r>
          </w:p>
        </w:tc>
        <w:tc>
          <w:tcPr>
            <w:tcW w:w="174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8"/>
                <w:szCs w:val="18"/>
                <w:lang w:val="en-US" w:eastAsia="zh-CN" w:bidi="ar"/>
              </w:rPr>
              <w:t>≥1万人次</w:t>
            </w:r>
          </w:p>
        </w:tc>
        <w:tc>
          <w:tcPr>
            <w:tcW w:w="186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8"/>
                <w:szCs w:val="18"/>
                <w:lang w:val="en-US" w:eastAsia="zh-CN" w:bidi="ar"/>
              </w:rPr>
              <w:t>≥1万人次</w:t>
            </w:r>
          </w:p>
        </w:tc>
        <w:tc>
          <w:tcPr>
            <w:tcW w:w="16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 w:val="20"/>
                <w:szCs w:val="20"/>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sz w:val="20"/>
                <w:szCs w:val="20"/>
              </w:rPr>
            </w:pPr>
            <w:r>
              <w:rPr>
                <w:rFonts w:hint="eastAsia" w:ascii="宋体" w:hAnsi="宋体" w:eastAsia="宋体" w:cs="宋体"/>
                <w:color w:val="000000"/>
                <w:kern w:val="0"/>
                <w:sz w:val="18"/>
                <w:szCs w:val="18"/>
                <w:lang w:val="en-US" w:eastAsia="zh-CN" w:bidi="ar"/>
              </w:rPr>
              <w:t>可持续影响</w:t>
            </w:r>
          </w:p>
        </w:tc>
        <w:tc>
          <w:tcPr>
            <w:tcW w:w="132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8"/>
                <w:szCs w:val="18"/>
                <w:lang w:val="en-US" w:eastAsia="zh-CN" w:bidi="ar"/>
              </w:rPr>
              <w:t>设备使用年限</w:t>
            </w:r>
          </w:p>
        </w:tc>
        <w:tc>
          <w:tcPr>
            <w:tcW w:w="174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8"/>
                <w:szCs w:val="18"/>
                <w:lang w:val="en-US" w:eastAsia="zh-CN" w:bidi="ar"/>
              </w:rPr>
              <w:t>≥5年</w:t>
            </w:r>
          </w:p>
        </w:tc>
        <w:tc>
          <w:tcPr>
            <w:tcW w:w="186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color w:val="000000"/>
                <w:kern w:val="0"/>
                <w:sz w:val="15"/>
                <w:szCs w:val="15"/>
                <w:lang w:val="en-US" w:bidi="ar"/>
              </w:rPr>
            </w:pPr>
            <w:r>
              <w:rPr>
                <w:rFonts w:hint="eastAsia" w:ascii="宋体" w:hAnsi="宋体" w:eastAsia="宋体" w:cs="宋体"/>
                <w:color w:val="000000"/>
                <w:kern w:val="0"/>
                <w:sz w:val="18"/>
                <w:szCs w:val="18"/>
                <w:lang w:val="en-US" w:eastAsia="zh-CN" w:bidi="ar"/>
              </w:rPr>
              <w:t>≥5年</w:t>
            </w:r>
          </w:p>
        </w:tc>
        <w:tc>
          <w:tcPr>
            <w:tcW w:w="16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000000"/>
                <w:sz w:val="15"/>
                <w:szCs w:val="15"/>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7"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sz w:val="20"/>
                <w:szCs w:val="20"/>
              </w:rPr>
            </w:pPr>
            <w:r>
              <w:rPr>
                <w:rFonts w:hint="eastAsia" w:ascii="宋体" w:hAnsi="宋体" w:eastAsia="宋体" w:cs="宋体"/>
                <w:color w:val="000000"/>
                <w:kern w:val="0"/>
                <w:sz w:val="18"/>
                <w:szCs w:val="18"/>
                <w:lang w:val="en-US" w:eastAsia="zh-CN" w:bidi="ar"/>
              </w:rPr>
              <w:t>满意度指标</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8"/>
                <w:szCs w:val="18"/>
                <w:lang w:val="en-US" w:eastAsia="zh-CN" w:bidi="ar"/>
              </w:rPr>
              <w:t>服务对象满意度指标</w:t>
            </w:r>
          </w:p>
        </w:tc>
        <w:tc>
          <w:tcPr>
            <w:tcW w:w="132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8"/>
                <w:szCs w:val="18"/>
                <w:lang w:val="en-US" w:eastAsia="zh-CN" w:bidi="ar"/>
              </w:rPr>
              <w:t>使用人员满意度</w:t>
            </w:r>
          </w:p>
        </w:tc>
        <w:tc>
          <w:tcPr>
            <w:tcW w:w="174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8"/>
                <w:szCs w:val="18"/>
                <w:lang w:val="en-US" w:eastAsia="zh-CN" w:bidi="ar"/>
              </w:rPr>
              <w:t>≥90%</w:t>
            </w:r>
          </w:p>
        </w:tc>
        <w:tc>
          <w:tcPr>
            <w:tcW w:w="186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color w:val="000000"/>
                <w:sz w:val="15"/>
                <w:szCs w:val="15"/>
                <w:lang w:val="en-US"/>
              </w:rPr>
            </w:pPr>
            <w:r>
              <w:rPr>
                <w:rFonts w:hint="eastAsia" w:ascii="宋体" w:hAnsi="宋体" w:eastAsia="宋体" w:cs="宋体"/>
                <w:color w:val="000000"/>
                <w:kern w:val="0"/>
                <w:sz w:val="18"/>
                <w:szCs w:val="18"/>
                <w:lang w:val="en-US" w:eastAsia="zh-CN" w:bidi="ar"/>
              </w:rPr>
              <w:t>99%</w:t>
            </w:r>
          </w:p>
        </w:tc>
        <w:tc>
          <w:tcPr>
            <w:tcW w:w="16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000000"/>
                <w:sz w:val="15"/>
                <w:szCs w:val="15"/>
                <w:lang w:val="en-US"/>
              </w:rPr>
            </w:pPr>
          </w:p>
        </w:tc>
      </w:tr>
    </w:tbl>
    <w:p>
      <w:pPr>
        <w:pStyle w:val="44"/>
        <w:widowControl/>
        <w:ind w:left="0" w:firstLine="0" w:firstLineChars="0"/>
        <w:rPr>
          <w:rFonts w:hint="eastAsia" w:ascii="仿宋_GB2312" w:hAnsi="仿宋_GB2312" w:eastAsia="仿宋_GB2312" w:cs="仿宋_GB2312"/>
          <w:kern w:val="0"/>
          <w:sz w:val="32"/>
          <w:szCs w:val="32"/>
          <w:lang w:val="en-US"/>
        </w:rPr>
        <w:sectPr>
          <w:pgSz w:w="11906" w:h="16838"/>
          <w:pgMar w:top="1440" w:right="1800" w:bottom="1440" w:left="1800" w:header="851" w:footer="992" w:gutter="0"/>
          <w:pgNumType w:fmt="decimal"/>
          <w:cols w:space="425" w:num="1"/>
          <w:titlePg/>
          <w:docGrid w:type="lines" w:linePitch="312" w:charSpace="0"/>
        </w:sectPr>
      </w:pP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692"/>
        <w:gridCol w:w="700"/>
        <w:gridCol w:w="5973"/>
        <w:gridCol w:w="489"/>
        <w:gridCol w:w="5166"/>
        <w:gridCol w:w="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7"/>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sz w:val="32"/>
                <w:szCs w:val="32"/>
                <w:lang w:val="en-US"/>
              </w:rPr>
            </w:pPr>
            <w:r>
              <w:rPr>
                <w:rFonts w:hint="eastAsia" w:ascii="黑体" w:hAnsi="宋体" w:eastAsia="黑体" w:cs="黑体"/>
                <w:color w:val="000000"/>
                <w:kern w:val="0"/>
                <w:sz w:val="32"/>
                <w:szCs w:val="32"/>
                <w:lang w:val="en-US" w:eastAsia="zh-CN" w:bidi="ar"/>
              </w:rPr>
              <w:t>附表3-2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000" w:type="pct"/>
            <w:gridSpan w:val="7"/>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方正大标宋_GBK" w:hAnsi="方正大标宋_GBK" w:eastAsia="方正大标宋_GBK" w:cs="方正大标宋_GBK"/>
                <w:b/>
                <w:bCs/>
                <w:color w:val="000000"/>
                <w:sz w:val="40"/>
                <w:szCs w:val="40"/>
                <w:lang w:val="en-US"/>
              </w:rPr>
            </w:pPr>
            <w:r>
              <w:rPr>
                <w:rFonts w:hint="eastAsia" w:ascii="方正小标宋简体" w:hAnsi="方正小标宋简体" w:eastAsia="方正小标宋简体" w:cs="方正小标宋简体"/>
                <w:color w:val="000000"/>
                <w:kern w:val="0"/>
                <w:sz w:val="44"/>
                <w:szCs w:val="44"/>
                <w:lang w:val="en-US" w:eastAsia="zh-CN" w:bidi="ar"/>
              </w:rPr>
              <w:t>2021年部门预算项目支出绩效自评评分表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一级 指标</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二级指标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三级指标            </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指标内容</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参考分值</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评分标准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项目决策（14分）</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项目立项</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立项依据</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用以反映项目立项是否有充分的依据：符合国家法律法规、本地的相关规定；符合部门年度工作计划。</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①符合国家相关法律法规、国民经济发展规划和党委政府决策（1分）；                                                                                                           ②符合部门（单位）年度工作计划或项目实施单位职责密切相关（1分）。                                                             </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决策程序</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用以反映和考核项目立项的规范情况：项目的申请、设立过程是否符合相关要求。</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①项目是否按照规定的程序申请设立，审批文件、材料是否符合相关要求（1分）； ②事前是否已经过必要的可行性研究、专家论证、风险评估、集体决策等（1分）。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项目目标</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目标合理性</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用以反映和考核项目绩效目标与项目实施的相符情况：项目所设定的绩效目标是否依据充分，是否符合客观实际。</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①项目的测算依据充分（1分）；                                                                                                                                                       ②项目是否有绩效目标，与实际工作内容是否具有相关性（1分）；                                                                                                                        ③项目预期产出效益和效果是否符合正常的业绩水平（1分）；                                                                                                                                                                   ④与预算确定的项目投资额或资金量相匹配（1分）。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指标明确性</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用以反映和考核项目绩效目标与项目实施的相符情况：依据绩效目标设定的绩效指标是否清晰、细化、可衡量等。</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①是否将绩效目标的绩效指标细化分解（1分）；                                                                                                                                                        ②分解的绩效指标体现清晰、可衡量的指标值（1分）；                                                                                                                                                   ③与项目年度任务数或计划数相对应（1分）；                                                                                                                                                         ④与预算确定的项目投资额或资金量相匹配（1分）。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资金分配</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分配的合理性</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项目预算资金分配是否有测算依据，与项目单位或地方实际是否相适应；根据需要制定的相关资金管理办法；管理办法中有明确资金分配办法；资金分配因素全面、合理。</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①预算资金分配依据充分（1分）；                                                                                                                                 ②资金分配额度合理，与项目单位或地方实际相适应 （1分）。                 此项需提供相应的资金分配方案。</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项目管理（16分）</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资金管理（9分）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资金到位率</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资金到位率=（实际到位资金/计划投入资金）×100%。                                                              实际到位资金：一定时期（本年度或项目期）内落实到具体项目的资金。                                                       预算资金：一定时期（本年度或项目期）内预算安排到具体项目的资金。</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根据项目资金的实际到位率计算得分（1分）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预算执行率</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用以反映项目预算执行的进度：预算执行率=实际支出数/预算数。                                      实际支出资金：一定时期（本年度或项目期）内项目实际拨付的资金。</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根据项目资金的预算执行率计算得分（2分）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资金使用</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用以反映和考核项目资金的规范运行情况：项目资金使用是否符合相关的财务管理制度规定。</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6</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①符合国家财经法规和财务管理制度以及有关专项资金管理办法的规定（1分）；                                                                      ②资金的拨付审批程序和手续完整（1分）；                                                                                           ③符合项目预算批复或合同规定的用途（1分）；                                                                                                                                                                    ④无截留、挤占、挪用、无虚列支出（3分）；                                                                                                                                                                                 若评价前已完成项目资金的专项审计，该指标可用审计结论代替。</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组织实施（7分）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制度管理</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用以反映和考核财务和业务管理制度对项目顺利实施的制度保障情况。</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①制定或具有相应的财务和业务管理制度（1分）；                                                                                                                                                         ②财务和业务管理制度合法、合规、完整（1分）。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制度执行</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用以反映和考核业务管理制度的有效执行和质量控制情况：项目实施是否符合相关业务管理规定，是否为达到项目质量要求而采取了必需的措施。</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①按相关法律法规和业务管理规定执行（1分）；                                                                                                                                                      ②项目调整及支出调整手续完备（1分）；                                                                                                                                                                   ③项目合同书、验收报告、技术鉴定等资料规范、齐全（2分）；                                                                                                                                                                      ④项目实施的人员条件、场地设备等是否落实到位（1分）。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8"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项目绩效（特性指标）（70）</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项目产出（35分）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实际完成率</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实际完成率=（实际产出数/计划产出数）×100%。                                                            实际产出数：一定时期（本年度或项目期）内项目实际产出的产品或提供的服务数量。                                                                                         计划产出数：项目绩效目标确定的在一定时期（本年度或项目期）内计划产出的产品或提供的服务数量。</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完成绩效目标100%得9分，未完成100%的同比例扣减。</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4"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质量达标率</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质量达标率=（质量达标产出数量/计划完成产出数量）× 100%。                                                                                                                                  质量达标产出数：一定时期（本年度或项目期）内实际达到既定质量标准的产品或服务数量。                                                            既定质量标准是指项目实施单位设立绩效目标时依据计划标准、行业标准、历史标准或其他标准而设定的绩效指标值。  </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产出质量达到绩效目标100%得9分，未完成100%的同比例扣减。</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完成及时性</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完成及时率=计划时限内实际完成的项目数量/计划时限内应完成的项目数量×100%。                                                                                                                               实际完成时间：项目实施单位完成该项目实际所耗用的时间。                                                                         计划完成时间：按照项目实施计划或相关规定完成该项目所需的时间。</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产出时效达到绩效目标得8分，未完成且无充分理由的扣3分。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完成成本（成本节约率）</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成本节约率=[（计划成本-实际成本）/计划成本]×100%。                                                        实际成本：项目实施单位如期、保质、保量完成既定工作目标实际所耗费的支出。                                                                                        计划成本：项目实施单位为完成工作目标计划安排的支出，一般以项目预算为参考。</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产出成本按绩效目标控制得9分，未完成的，按超支比例扣减。</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项目效益（30分）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经济效益（可选项）</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反映相关产出对经济社会发展带来的影响和效果，根据项目实际细化具体指标。重点考核投入产出率、回报率、增长率等指标。</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7</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完成绩效目标设定的经济效益得7分，未完成的，按完成情况酌情扣分。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社会效益（可选项）</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反映相关产出对社会发展带来的影响和效果，根据项目实际细化具体指标。重点考核撬动率、贡献率、达标率、就业率等指标。</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完成绩效目标设定的社会效益得7分，未完成的，按完成情况酌情扣分。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环境效益（可选项）</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反映相关产出对自然环境带来的影响和效果，根据项目实际细化具体指标。</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7</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完成绩效目标设定的积极的环境效益得7分，未完成的，按完成情况酌情扣分。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可持续效益（可选项）</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反映相关产出带来影响的可持续期限，根据项目实际细化具体指标。</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完成绩效设定目标的得7分，未完成的，按完成情况酌情扣分。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              （5分）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服务对象满意度</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满意率反映服务对象或项目受益人对相关产出及其影响的认可程度，根据项目实际细化具体指标。重点考核满意率等指标。</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满意率达90%（含）以上的得5分；80%（含）-89%得4分；70%（含）-79%得3分；60%（含）-69%得2分；60%以下不得分。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287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分值</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100</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自评得分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Cs w:val="21"/>
                <w:lang w:val="en-US"/>
              </w:rPr>
            </w:pPr>
            <w:r>
              <w:rPr>
                <w:rFonts w:hint="eastAsia" w:ascii="宋体" w:hAnsi="宋体" w:eastAsia="宋体" w:cs="宋体"/>
                <w:b/>
                <w:bCs/>
                <w:color w:val="000000"/>
                <w:kern w:val="0"/>
                <w:sz w:val="21"/>
                <w:szCs w:val="21"/>
                <w:lang w:val="en-US" w:eastAsia="zh-CN" w:bidi="ar"/>
              </w:rPr>
              <w:t>自评等级</w:t>
            </w:r>
          </w:p>
        </w:tc>
        <w:tc>
          <w:tcPr>
            <w:tcW w:w="42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自评结果：</w:t>
            </w:r>
            <w:r>
              <w:rPr>
                <w:rFonts w:hint="eastAsia" w:ascii="宋体" w:hAnsi="宋体" w:eastAsia="宋体" w:cs="宋体"/>
                <w:b/>
                <w:bCs/>
                <w:color w:val="000000"/>
                <w:kern w:val="0"/>
                <w:sz w:val="21"/>
                <w:szCs w:val="21"/>
                <w:lang w:val="en-US" w:eastAsia="zh-CN" w:bidi="ar"/>
              </w:rPr>
              <w:t>□优秀（90≤得分≤100）；   □良好（80≤得分＜89）；   □及格（60≤得分＜79）；   □不及格（低于60分）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7"/>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说明：项目特性指标</w:t>
            </w:r>
            <w:r>
              <w:rPr>
                <w:rFonts w:hint="eastAsia" w:ascii="宋体" w:hAnsi="宋体" w:eastAsia="宋体" w:cs="宋体"/>
                <w:color w:val="000000"/>
                <w:kern w:val="0"/>
                <w:sz w:val="18"/>
                <w:szCs w:val="18"/>
                <w:lang w:val="en-US" w:eastAsia="zh-CN" w:bidi="ar"/>
              </w:rPr>
              <w:t>是根据项目绩效目标申报表填报的项目产出指标和效益指标对比实际完成情况进行自评；项目效益指标分值在总分值不变的情况下将可选项指标没选中的分值，适当、合理调整到选中效益指标当中去。</w:t>
            </w:r>
          </w:p>
        </w:tc>
      </w:tr>
    </w:tbl>
    <w:p>
      <w:pPr>
        <w:pStyle w:val="44"/>
        <w:widowControl/>
        <w:ind w:left="0" w:firstLine="0" w:firstLineChars="0"/>
        <w:rPr>
          <w:rFonts w:hint="eastAsia" w:ascii="仿宋_GB2312" w:hAnsi="仿宋_GB2312" w:eastAsia="仿宋_GB2312" w:cs="仿宋_GB2312"/>
          <w:kern w:val="0"/>
          <w:sz w:val="32"/>
          <w:szCs w:val="32"/>
          <w:lang w:val="en-US"/>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0"/>
          <w:sz w:val="32"/>
          <w:szCs w:val="32"/>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0"/>
          <w:sz w:val="32"/>
          <w:szCs w:val="32"/>
          <w:lang w:val="en-US" w:eastAsia="zh-CN" w:bidi="ar"/>
        </w:rPr>
        <w:sectPr>
          <w:pgSz w:w="16838" w:h="11906" w:orient="landscape"/>
          <w:pgMar w:top="1800" w:right="1440" w:bottom="1800" w:left="1440" w:header="851" w:footer="992" w:gutter="0"/>
          <w:pgNumType w:fmt="decimal"/>
          <w:cols w:space="425" w:num="1"/>
          <w:titlePg/>
          <w:docGrid w:type="lines" w:linePitch="312" w:charSpace="0"/>
        </w:sectPr>
      </w:pPr>
    </w:p>
    <w:p>
      <w:pPr>
        <w:keepNext w:val="0"/>
        <w:keepLines w:val="0"/>
        <w:widowControl w:val="0"/>
        <w:suppressLineNumbers w:val="0"/>
        <w:autoSpaceDE w:val="0"/>
        <w:autoSpaceDN/>
        <w:spacing w:before="0" w:beforeAutospacing="0" w:after="0" w:afterAutospacing="0" w:line="576" w:lineRule="exact"/>
        <w:ind w:left="0" w:right="0"/>
        <w:jc w:val="left"/>
        <w:rPr>
          <w:rFonts w:hint="eastAsia" w:ascii="黑体" w:hAnsi="宋体" w:eastAsia="黑体" w:cs="黑体"/>
          <w:kern w:val="0"/>
          <w:sz w:val="32"/>
          <w:szCs w:val="32"/>
          <w:lang w:val="en-US"/>
        </w:rPr>
      </w:pPr>
      <w:r>
        <w:rPr>
          <w:rFonts w:hint="eastAsia" w:ascii="黑体" w:hAnsi="宋体" w:eastAsia="黑体" w:cs="黑体"/>
          <w:kern w:val="0"/>
          <w:sz w:val="32"/>
          <w:szCs w:val="32"/>
          <w:lang w:val="en-US" w:eastAsia="zh-CN" w:bidi="ar"/>
        </w:rPr>
        <w:t>附件4</w:t>
      </w:r>
    </w:p>
    <w:p>
      <w:pPr>
        <w:keepNext w:val="0"/>
        <w:keepLines w:val="0"/>
        <w:widowControl w:val="0"/>
        <w:suppressLineNumbers w:val="0"/>
        <w:autoSpaceDE w:val="0"/>
        <w:autoSpaceDN/>
        <w:spacing w:before="0" w:beforeAutospacing="0" w:after="0" w:afterAutospacing="0" w:line="576" w:lineRule="exact"/>
        <w:ind w:left="0" w:right="0"/>
        <w:jc w:val="center"/>
        <w:rPr>
          <w:rFonts w:hint="eastAsia" w:ascii="黑体" w:hAnsi="宋体" w:eastAsia="黑体" w:cs="黑体"/>
          <w:spacing w:val="-6"/>
          <w:sz w:val="32"/>
          <w:szCs w:val="32"/>
          <w:lang w:val="en-US"/>
        </w:rPr>
      </w:pPr>
      <w:r>
        <w:rPr>
          <w:rFonts w:hint="eastAsia" w:ascii="方正小标宋简体" w:hAnsi="方正小标宋简体" w:eastAsia="方正小标宋简体" w:cs="方正小标宋简体"/>
          <w:bCs/>
          <w:color w:val="000000"/>
          <w:spacing w:val="-6"/>
          <w:kern w:val="0"/>
          <w:sz w:val="36"/>
          <w:szCs w:val="36"/>
          <w:lang w:val="en-US" w:eastAsia="zh-CN" w:bidi="ar"/>
        </w:rPr>
        <w:t>2021年领导接访室改建项目支出绩效自评报告</w:t>
      </w:r>
    </w:p>
    <w:p>
      <w:pPr>
        <w:keepNext w:val="0"/>
        <w:keepLines w:val="0"/>
        <w:widowControl w:val="0"/>
        <w:suppressLineNumbers w:val="0"/>
        <w:autoSpaceDE w:val="0"/>
        <w:autoSpaceDN/>
        <w:spacing w:before="0" w:beforeAutospacing="0" w:after="0" w:afterAutospacing="0" w:line="520" w:lineRule="exact"/>
        <w:ind w:left="0" w:right="0" w:firstLine="616" w:firstLineChars="200"/>
        <w:jc w:val="both"/>
        <w:rPr>
          <w:rFonts w:hint="eastAsia" w:ascii="黑体" w:hAnsi="宋体" w:eastAsia="黑体" w:cs="黑体"/>
          <w:spacing w:val="-6"/>
          <w:sz w:val="32"/>
          <w:szCs w:val="32"/>
          <w:lang w:val="en-US"/>
        </w:rPr>
      </w:pPr>
      <w:r>
        <w:rPr>
          <w:rFonts w:hint="eastAsia" w:ascii="黑体" w:hAnsi="宋体" w:eastAsia="黑体" w:cs="黑体"/>
          <w:spacing w:val="-6"/>
          <w:kern w:val="2"/>
          <w:sz w:val="32"/>
          <w:szCs w:val="32"/>
          <w:lang w:val="en-US" w:eastAsia="zh-CN" w:bidi="ar"/>
        </w:rPr>
        <w:t>一、项目概况</w:t>
      </w:r>
    </w:p>
    <w:p>
      <w:pPr>
        <w:keepNext w:val="0"/>
        <w:keepLines w:val="0"/>
        <w:widowControl w:val="0"/>
        <w:suppressLineNumbers w:val="0"/>
        <w:adjustRightInd w:val="0"/>
        <w:snapToGrid w:val="0"/>
        <w:spacing w:before="0" w:beforeAutospacing="0" w:after="0" w:afterAutospacing="0" w:line="520" w:lineRule="exact"/>
        <w:ind w:left="0" w:right="0" w:firstLine="616" w:firstLineChars="200"/>
        <w:jc w:val="both"/>
        <w:rPr>
          <w:rFonts w:hint="eastAsia" w:ascii="仿宋_GB2312" w:hAnsi="仿宋_GB2312" w:eastAsia="仿宋_GB2312" w:cs="仿宋_GB2312"/>
          <w:sz w:val="32"/>
          <w:szCs w:val="32"/>
          <w:lang w:val="en-US"/>
        </w:rPr>
      </w:pPr>
      <w:r>
        <w:rPr>
          <w:rFonts w:hint="eastAsia" w:ascii="楷体_GB2312" w:hAnsi="Times New Roman" w:eastAsia="楷体_GB2312" w:cs="楷体_GB2312"/>
          <w:bCs/>
          <w:spacing w:val="-6"/>
          <w:kern w:val="2"/>
          <w:sz w:val="32"/>
          <w:szCs w:val="32"/>
          <w:lang w:val="en-US" w:eastAsia="zh-CN" w:bidi="ar"/>
        </w:rPr>
        <w:t>（一）项目资金申报及批复情况。</w:t>
      </w:r>
      <w:r>
        <w:rPr>
          <w:rFonts w:hint="eastAsia" w:ascii="仿宋_GB2312" w:hAnsi="仿宋_GB2312" w:eastAsia="仿宋_GB2312" w:cs="仿宋_GB2312"/>
          <w:kern w:val="2"/>
          <w:sz w:val="32"/>
          <w:szCs w:val="32"/>
          <w:lang w:val="zh-CN" w:eastAsia="zh-CN" w:bidi="ar"/>
        </w:rPr>
        <w:t>朝天区</w:t>
      </w:r>
      <w:r>
        <w:rPr>
          <w:rFonts w:hint="eastAsia" w:ascii="仿宋_GB2312" w:hAnsi="仿宋_GB2312" w:eastAsia="仿宋_GB2312" w:cs="仿宋_GB2312"/>
          <w:kern w:val="2"/>
          <w:sz w:val="32"/>
          <w:szCs w:val="32"/>
          <w:lang w:val="en-US" w:eastAsia="zh-CN" w:bidi="ar"/>
        </w:rPr>
        <w:t>2021年度财政下达我局领导接访室改建项目经费预算4万元，按程序进行申报，资金及时批复到位，申报程序符合资金管理办法相关规定。</w:t>
      </w:r>
    </w:p>
    <w:p>
      <w:pPr>
        <w:keepNext w:val="0"/>
        <w:keepLines w:val="0"/>
        <w:widowControl w:val="0"/>
        <w:suppressLineNumbers w:val="0"/>
        <w:adjustRightInd w:val="0"/>
        <w:snapToGrid w:val="0"/>
        <w:spacing w:before="0" w:beforeAutospacing="0" w:after="0" w:afterAutospacing="0" w:line="520" w:lineRule="exact"/>
        <w:ind w:left="0" w:right="0" w:firstLine="616" w:firstLineChars="200"/>
        <w:jc w:val="both"/>
        <w:rPr>
          <w:rFonts w:hint="eastAsia" w:ascii="仿宋_GB2312" w:hAnsi="仿宋_GB2312" w:eastAsia="仿宋_GB2312" w:cs="仿宋_GB2312"/>
          <w:bCs/>
          <w:sz w:val="32"/>
          <w:szCs w:val="32"/>
          <w:lang w:val="zh-CN" w:eastAsia="zh-CN"/>
        </w:rPr>
      </w:pPr>
      <w:r>
        <w:rPr>
          <w:rFonts w:hint="eastAsia" w:ascii="楷体_GB2312" w:hAnsi="Times New Roman" w:eastAsia="楷体_GB2312" w:cs="楷体_GB2312"/>
          <w:bCs/>
          <w:spacing w:val="-6"/>
          <w:kern w:val="2"/>
          <w:sz w:val="32"/>
          <w:szCs w:val="32"/>
          <w:lang w:val="en-US" w:eastAsia="zh-CN" w:bidi="ar"/>
        </w:rPr>
        <w:t>（二）项目绩效目标。</w:t>
      </w:r>
      <w:r>
        <w:rPr>
          <w:rFonts w:hint="eastAsia" w:ascii="仿宋_GB2312" w:hAnsi="仿宋_GB2312" w:eastAsia="仿宋_GB2312" w:cs="仿宋_GB2312"/>
          <w:bCs/>
          <w:kern w:val="2"/>
          <w:sz w:val="32"/>
          <w:szCs w:val="32"/>
          <w:lang w:val="zh-CN" w:eastAsia="zh-CN" w:bidi="ar"/>
        </w:rPr>
        <w:t>2021年度完成两间领导视频接访室改建工作，对原有地面、墙面进行拆除并翻新，确保领导视频接访工作顺利开展，保证国家、省市各项培训会议顺利召开。</w:t>
      </w:r>
    </w:p>
    <w:p>
      <w:pPr>
        <w:keepNext w:val="0"/>
        <w:keepLines w:val="0"/>
        <w:widowControl w:val="0"/>
        <w:suppressLineNumbers w:val="0"/>
        <w:adjustRightInd w:val="0"/>
        <w:snapToGrid w:val="0"/>
        <w:spacing w:before="0" w:beforeAutospacing="0" w:after="0" w:afterAutospacing="0" w:line="520" w:lineRule="exact"/>
        <w:ind w:left="0" w:right="0" w:firstLine="616" w:firstLineChars="200"/>
        <w:jc w:val="both"/>
        <w:rPr>
          <w:rFonts w:hint="eastAsia" w:ascii="仿宋_GB2312" w:hAnsi="仿宋_GB2312" w:eastAsia="仿宋_GB2312" w:cs="仿宋_GB2312"/>
          <w:sz w:val="32"/>
          <w:szCs w:val="32"/>
          <w:lang w:val="en-US"/>
        </w:rPr>
      </w:pPr>
      <w:r>
        <w:rPr>
          <w:rFonts w:hint="eastAsia" w:ascii="楷体_GB2312" w:hAnsi="Times New Roman" w:eastAsia="楷体_GB2312" w:cs="楷体_GB2312"/>
          <w:bCs/>
          <w:spacing w:val="-6"/>
          <w:kern w:val="2"/>
          <w:sz w:val="32"/>
          <w:szCs w:val="32"/>
          <w:lang w:val="en-US" w:eastAsia="zh-CN" w:bidi="ar"/>
        </w:rPr>
        <w:t>（三）项目资金申报相符性。</w:t>
      </w:r>
      <w:r>
        <w:rPr>
          <w:rFonts w:hint="eastAsia" w:ascii="仿宋_GB2312" w:hAnsi="仿宋_GB2312" w:eastAsia="仿宋_GB2312" w:cs="仿宋_GB2312"/>
          <w:kern w:val="2"/>
          <w:sz w:val="32"/>
          <w:szCs w:val="32"/>
          <w:lang w:val="zh-CN" w:eastAsia="zh-CN" w:bidi="ar"/>
        </w:rPr>
        <w:t>项目申报内容与具体实施内容相符、申报目标合理可行。</w:t>
      </w:r>
    </w:p>
    <w:p>
      <w:pPr>
        <w:keepNext w:val="0"/>
        <w:keepLines w:val="0"/>
        <w:widowControl w:val="0"/>
        <w:suppressLineNumbers w:val="0"/>
        <w:autoSpaceDE w:val="0"/>
        <w:autoSpaceDN/>
        <w:spacing w:before="0" w:beforeAutospacing="0" w:after="0" w:afterAutospacing="0" w:line="520" w:lineRule="exact"/>
        <w:ind w:left="0" w:right="0" w:firstLine="616" w:firstLineChars="200"/>
        <w:jc w:val="both"/>
        <w:rPr>
          <w:rFonts w:hint="eastAsia" w:ascii="黑体" w:hAnsi="宋体" w:eastAsia="黑体" w:cs="黑体"/>
          <w:spacing w:val="-6"/>
          <w:sz w:val="32"/>
          <w:szCs w:val="32"/>
          <w:lang w:val="en-US"/>
        </w:rPr>
      </w:pPr>
      <w:r>
        <w:rPr>
          <w:rFonts w:hint="eastAsia" w:ascii="黑体" w:hAnsi="宋体" w:eastAsia="黑体" w:cs="黑体"/>
          <w:spacing w:val="-6"/>
          <w:kern w:val="2"/>
          <w:sz w:val="32"/>
          <w:szCs w:val="32"/>
          <w:lang w:val="en-US" w:eastAsia="zh-CN" w:bidi="ar"/>
        </w:rPr>
        <w:t>二、项目实施及管理情况</w:t>
      </w:r>
    </w:p>
    <w:p>
      <w:pPr>
        <w:keepNext w:val="0"/>
        <w:keepLines w:val="0"/>
        <w:widowControl w:val="0"/>
        <w:suppressLineNumbers w:val="0"/>
        <w:autoSpaceDE w:val="0"/>
        <w:autoSpaceDN/>
        <w:spacing w:before="0" w:beforeAutospacing="0" w:after="0" w:afterAutospacing="0" w:line="520" w:lineRule="exact"/>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（一）资金计划、到位及使用情况</w:t>
      </w:r>
    </w:p>
    <w:p>
      <w:pPr>
        <w:keepNext w:val="0"/>
        <w:keepLines w:val="0"/>
        <w:widowControl w:val="0"/>
        <w:suppressLineNumbers w:val="0"/>
        <w:autoSpaceDE w:val="0"/>
        <w:autoSpaceDN/>
        <w:spacing w:before="0" w:beforeAutospacing="0" w:after="0" w:afterAutospacing="0" w:line="520" w:lineRule="exact"/>
        <w:ind w:left="0" w:right="0" w:firstLine="616" w:firstLineChars="200"/>
        <w:jc w:val="both"/>
        <w:rPr>
          <w:rFonts w:hint="eastAsia" w:ascii="仿宋_GB2312" w:eastAsia="仿宋_GB2312" w:cs="仿宋_GB2312"/>
          <w:spacing w:val="-6"/>
          <w:sz w:val="32"/>
          <w:szCs w:val="32"/>
          <w:lang w:val="zh-CN" w:eastAsia="zh-CN"/>
        </w:rPr>
      </w:pPr>
      <w:r>
        <w:rPr>
          <w:rFonts w:hint="eastAsia" w:ascii="仿宋_GB2312" w:hAnsi="Times New Roman" w:eastAsia="仿宋_GB2312" w:cs="仿宋_GB2312"/>
          <w:spacing w:val="-6"/>
          <w:kern w:val="2"/>
          <w:sz w:val="32"/>
          <w:szCs w:val="32"/>
          <w:lang w:val="en-US" w:eastAsia="zh-CN" w:bidi="ar"/>
        </w:rPr>
        <w:t>1.资金计划及到位。</w:t>
      </w:r>
      <w:r>
        <w:rPr>
          <w:rFonts w:hint="eastAsia" w:ascii="仿宋_GB2312" w:hAnsi="Times New Roman" w:eastAsia="仿宋_GB2312" w:cs="仿宋_GB2312"/>
          <w:spacing w:val="-6"/>
          <w:kern w:val="2"/>
          <w:sz w:val="32"/>
          <w:szCs w:val="32"/>
          <w:lang w:val="zh-CN" w:eastAsia="zh-CN" w:bidi="ar"/>
        </w:rPr>
        <w:t>预算</w:t>
      </w:r>
      <w:r>
        <w:rPr>
          <w:rFonts w:hint="eastAsia" w:ascii="仿宋_GB2312" w:hAnsi="Times New Roman" w:eastAsia="仿宋_GB2312" w:cs="仿宋_GB2312"/>
          <w:spacing w:val="-6"/>
          <w:kern w:val="2"/>
          <w:sz w:val="32"/>
          <w:szCs w:val="32"/>
          <w:lang w:val="en-US" w:eastAsia="zh-CN" w:bidi="ar"/>
        </w:rPr>
        <w:t>领导接访室改建工作经费4</w:t>
      </w:r>
      <w:r>
        <w:rPr>
          <w:rFonts w:hint="eastAsia" w:ascii="仿宋_GB2312" w:hAnsi="Times New Roman" w:eastAsia="仿宋_GB2312" w:cs="仿宋_GB2312"/>
          <w:spacing w:val="-6"/>
          <w:kern w:val="2"/>
          <w:sz w:val="32"/>
          <w:szCs w:val="32"/>
          <w:lang w:val="zh-CN" w:eastAsia="zh-CN" w:bidi="ar"/>
        </w:rPr>
        <w:t>万元。资金到位及时，全部到位。</w:t>
      </w:r>
    </w:p>
    <w:p>
      <w:pPr>
        <w:keepNext w:val="0"/>
        <w:keepLines w:val="0"/>
        <w:widowControl w:val="0"/>
        <w:suppressLineNumbers w:val="0"/>
        <w:autoSpaceDE w:val="0"/>
        <w:autoSpaceDN/>
        <w:spacing w:before="0" w:beforeAutospacing="0" w:after="0" w:afterAutospacing="0" w:line="520" w:lineRule="exact"/>
        <w:ind w:left="0" w:right="0" w:firstLine="616" w:firstLineChars="200"/>
        <w:jc w:val="both"/>
        <w:rPr>
          <w:rFonts w:hint="eastAsia" w:ascii="仿宋_GB2312" w:eastAsia="仿宋_GB2312" w:cs="仿宋_GB2312"/>
          <w:spacing w:val="-6"/>
          <w:sz w:val="32"/>
          <w:szCs w:val="32"/>
          <w:lang w:val="en-US"/>
        </w:rPr>
      </w:pPr>
      <w:r>
        <w:rPr>
          <w:rFonts w:hint="eastAsia" w:ascii="仿宋_GB2312" w:hAnsi="Times New Roman" w:eastAsia="仿宋_GB2312" w:cs="仿宋_GB2312"/>
          <w:spacing w:val="-6"/>
          <w:kern w:val="2"/>
          <w:sz w:val="32"/>
          <w:szCs w:val="32"/>
          <w:lang w:val="en-US" w:eastAsia="zh-CN" w:bidi="ar"/>
        </w:rPr>
        <w:t>2.资金使用。</w:t>
      </w:r>
      <w:r>
        <w:rPr>
          <w:rFonts w:hint="eastAsia" w:ascii="仿宋_GB2312" w:hAnsi="Times New Roman" w:eastAsia="仿宋_GB2312" w:cs="仿宋_GB2312"/>
          <w:spacing w:val="-6"/>
          <w:kern w:val="2"/>
          <w:sz w:val="32"/>
          <w:szCs w:val="32"/>
          <w:lang w:val="zh-CN" w:eastAsia="zh-CN" w:bidi="ar"/>
        </w:rPr>
        <w:t>严格按单位项目管理制度执行，根据项目的进度，达到付款条件后，经单位领导审核后授权支付。</w:t>
      </w:r>
    </w:p>
    <w:p>
      <w:pPr>
        <w:keepNext w:val="0"/>
        <w:keepLines w:val="0"/>
        <w:widowControl w:val="0"/>
        <w:suppressLineNumbers w:val="0"/>
        <w:autoSpaceDE w:val="0"/>
        <w:autoSpaceDN/>
        <w:spacing w:before="0" w:beforeAutospacing="0" w:after="0" w:afterAutospacing="0" w:line="520" w:lineRule="exact"/>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（二）项目财务管理情况</w:t>
      </w:r>
    </w:p>
    <w:p>
      <w:pPr>
        <w:keepNext w:val="0"/>
        <w:keepLines w:val="0"/>
        <w:widowControl w:val="0"/>
        <w:suppressLineNumbers w:val="0"/>
        <w:adjustRightInd w:val="0"/>
        <w:snapToGrid w:val="0"/>
        <w:spacing w:before="0" w:beforeAutospacing="0" w:after="0" w:afterAutospacing="0" w:line="520" w:lineRule="exact"/>
        <w:ind w:left="0" w:right="0" w:firstLine="640" w:firstLineChars="200"/>
        <w:jc w:val="both"/>
        <w:rPr>
          <w:rFonts w:hint="eastAsia" w:ascii="仿宋_GB2312" w:hAnsi="仿宋_GB2312" w:eastAsia="仿宋_GB2312" w:cs="仿宋_GB2312"/>
          <w:sz w:val="32"/>
          <w:szCs w:val="32"/>
          <w:lang w:val="zh-CN" w:eastAsia="zh-CN"/>
        </w:rPr>
      </w:pPr>
      <w:r>
        <w:rPr>
          <w:rFonts w:hint="eastAsia" w:ascii="仿宋_GB2312" w:hAnsi="宋体" w:eastAsia="仿宋_GB2312" w:cs="仿宋_GB2312"/>
          <w:kern w:val="2"/>
          <w:sz w:val="32"/>
          <w:szCs w:val="32"/>
          <w:lang w:val="zh-CN" w:eastAsia="zh-CN" w:bidi="ar"/>
        </w:rPr>
        <w:t>严格执行财务支出的报销制度，应附与经济业务事项相关的合法合规的原始凭证和附件，必须按规定的程序审核、审批，并有具体经办人、证明人、领导审批签字，才进行支付。</w:t>
      </w:r>
    </w:p>
    <w:p>
      <w:pPr>
        <w:keepNext w:val="0"/>
        <w:keepLines w:val="0"/>
        <w:widowControl w:val="0"/>
        <w:numPr>
          <w:ilvl w:val="0"/>
          <w:numId w:val="6"/>
        </w:numPr>
        <w:suppressLineNumbers w:val="0"/>
        <w:autoSpaceDE w:val="0"/>
        <w:autoSpaceDN/>
        <w:spacing w:before="0" w:beforeAutospacing="0" w:after="0" w:afterAutospacing="0" w:line="520" w:lineRule="exact"/>
        <w:ind w:left="0" w:leftChars="0" w:right="0" w:firstLine="616" w:firstLineChars="200"/>
        <w:jc w:val="both"/>
        <w:rPr>
          <w:rFonts w:hint="eastAsia" w:ascii="楷体_GB2312" w:hAnsi="Times New Roman" w:eastAsia="楷体_GB2312" w:cs="楷体_GB2312"/>
          <w:bCs/>
          <w:spacing w:val="-6"/>
          <w:kern w:val="2"/>
          <w:sz w:val="32"/>
          <w:szCs w:val="32"/>
          <w:lang w:val="en-US" w:eastAsia="zh-CN" w:bidi="ar"/>
        </w:rPr>
      </w:pPr>
      <w:r>
        <w:rPr>
          <w:rFonts w:hint="eastAsia" w:ascii="楷体_GB2312" w:hAnsi="Times New Roman" w:eastAsia="楷体_GB2312" w:cs="楷体_GB2312"/>
          <w:bCs/>
          <w:spacing w:val="-6"/>
          <w:kern w:val="2"/>
          <w:sz w:val="32"/>
          <w:szCs w:val="32"/>
          <w:lang w:val="en-US" w:eastAsia="zh-CN" w:bidi="ar"/>
        </w:rPr>
        <w:t>项目组织实施情况</w:t>
      </w:r>
    </w:p>
    <w:p>
      <w:pPr>
        <w:keepNext w:val="0"/>
        <w:keepLines w:val="0"/>
        <w:widowControl w:val="0"/>
        <w:numPr>
          <w:ilvl w:val="0"/>
          <w:numId w:val="0"/>
        </w:numPr>
        <w:suppressLineNumbers w:val="0"/>
        <w:autoSpaceDE w:val="0"/>
        <w:autoSpaceDN/>
        <w:spacing w:before="0" w:beforeAutospacing="0" w:after="0" w:afterAutospacing="0" w:line="520" w:lineRule="exact"/>
        <w:ind w:right="0" w:rightChars="0" w:firstLine="640" w:firstLineChars="200"/>
        <w:jc w:val="both"/>
        <w:rPr>
          <w:rFonts w:hint="eastAsia" w:ascii="仿宋_GB2312" w:hAnsi="仿宋_GB2312" w:eastAsia="仿宋_GB2312" w:cs="仿宋_GB2312"/>
          <w:sz w:val="32"/>
          <w:szCs w:val="32"/>
          <w:lang w:val="zh-CN" w:eastAsia="zh-CN" w:bidi="ar"/>
        </w:rPr>
      </w:pPr>
      <w:r>
        <w:rPr>
          <w:rFonts w:hint="eastAsia" w:ascii="仿宋_GB2312" w:hAnsi="仿宋_GB2312" w:eastAsia="仿宋_GB2312" w:cs="仿宋_GB2312"/>
          <w:sz w:val="32"/>
          <w:szCs w:val="32"/>
          <w:lang w:val="zh-CN" w:eastAsia="zh-CN" w:bidi="ar"/>
        </w:rPr>
        <w:t>1.项目组织架构及实施流程。根据区委、区政府信访工作统一安排，由我局根据工作需要进行确定和安排。资金分配严格按照审批流程操作执行，符合相关管理办法，分配结果公平合理。</w:t>
      </w:r>
    </w:p>
    <w:p>
      <w:pPr>
        <w:pStyle w:val="17"/>
        <w:widowControl/>
        <w:spacing w:line="520" w:lineRule="exact"/>
        <w:ind w:left="0" w:firstLine="640" w:firstLineChars="200"/>
        <w:rPr>
          <w:rFonts w:hint="eastAsia" w:ascii="仿宋_GB2312" w:hAnsi="仿宋_GB2312" w:eastAsia="仿宋_GB2312" w:cs="仿宋_GB2312"/>
          <w:sz w:val="32"/>
          <w:szCs w:val="32"/>
          <w:lang w:val="zh-CN" w:eastAsia="zh-CN" w:bidi="ar"/>
        </w:rPr>
      </w:pPr>
      <w:r>
        <w:rPr>
          <w:rFonts w:hint="eastAsia" w:ascii="仿宋_GB2312" w:hAnsi="仿宋_GB2312" w:eastAsia="仿宋_GB2312" w:cs="仿宋_GB2312"/>
          <w:sz w:val="32"/>
          <w:szCs w:val="32"/>
          <w:lang w:val="zh-CN" w:eastAsia="zh-CN" w:bidi="ar"/>
        </w:rPr>
        <w:t>2.项目管理情况。本项目资金仅限于领导接访室改建工作，实行专款专用，资金使用合规，支出依据规范，无虚列支出，无截留、挤占、挪用现象。</w:t>
      </w:r>
    </w:p>
    <w:p>
      <w:pPr>
        <w:pStyle w:val="17"/>
        <w:widowControl/>
        <w:spacing w:line="520" w:lineRule="exact"/>
        <w:ind w:left="0" w:firstLine="640" w:firstLineChars="200"/>
        <w:rPr>
          <w:rFonts w:hint="eastAsia" w:ascii="仿宋_GB2312" w:hAnsi="仿宋_GB2312" w:eastAsia="仿宋_GB2312" w:cs="仿宋_GB2312"/>
          <w:sz w:val="32"/>
          <w:szCs w:val="32"/>
          <w:lang w:val="zh-CN" w:eastAsia="zh-CN" w:bidi="ar"/>
        </w:rPr>
      </w:pPr>
      <w:r>
        <w:rPr>
          <w:rFonts w:hint="eastAsia" w:ascii="仿宋_GB2312" w:hAnsi="仿宋_GB2312" w:eastAsia="仿宋_GB2312" w:cs="仿宋_GB2312"/>
          <w:sz w:val="32"/>
          <w:szCs w:val="32"/>
          <w:lang w:val="zh-CN" w:eastAsia="zh-CN" w:bidi="ar"/>
        </w:rPr>
        <w:t>3.项目监管情况。我局严格按照单位项目管理制度执行监管。</w:t>
      </w:r>
    </w:p>
    <w:p>
      <w:pPr>
        <w:keepNext w:val="0"/>
        <w:keepLines w:val="0"/>
        <w:widowControl w:val="0"/>
        <w:suppressLineNumbers w:val="0"/>
        <w:autoSpaceDE w:val="0"/>
        <w:autoSpaceDN/>
        <w:spacing w:before="0" w:beforeAutospacing="0" w:after="0" w:afterAutospacing="0" w:line="520" w:lineRule="exact"/>
        <w:ind w:left="0" w:right="0" w:firstLine="616" w:firstLineChars="200"/>
        <w:jc w:val="both"/>
        <w:rPr>
          <w:rFonts w:hint="eastAsia" w:ascii="黑体" w:hAnsi="宋体" w:eastAsia="黑体" w:cs="黑体"/>
          <w:spacing w:val="-6"/>
          <w:sz w:val="32"/>
          <w:szCs w:val="32"/>
          <w:lang w:val="en-US"/>
        </w:rPr>
      </w:pPr>
      <w:r>
        <w:rPr>
          <w:rFonts w:hint="eastAsia" w:ascii="黑体" w:hAnsi="宋体" w:eastAsia="黑体" w:cs="黑体"/>
          <w:spacing w:val="-6"/>
          <w:kern w:val="2"/>
          <w:sz w:val="32"/>
          <w:szCs w:val="32"/>
          <w:lang w:val="en-US" w:eastAsia="zh-CN" w:bidi="ar"/>
        </w:rPr>
        <w:t>三、项目绩效情况</w:t>
      </w:r>
      <w:r>
        <w:rPr>
          <w:rFonts w:hint="eastAsia" w:ascii="黑体" w:hAnsi="宋体" w:eastAsia="黑体" w:cs="黑体"/>
          <w:spacing w:val="-6"/>
          <w:kern w:val="2"/>
          <w:sz w:val="32"/>
          <w:szCs w:val="32"/>
          <w:lang w:val="en-US" w:eastAsia="zh-CN" w:bidi="ar"/>
        </w:rPr>
        <w:tab/>
      </w:r>
    </w:p>
    <w:p>
      <w:pPr>
        <w:keepNext w:val="0"/>
        <w:keepLines w:val="0"/>
        <w:widowControl w:val="0"/>
        <w:suppressLineNumbers w:val="0"/>
        <w:autoSpaceDE w:val="0"/>
        <w:autoSpaceDN/>
        <w:spacing w:before="0" w:beforeAutospacing="0" w:after="0" w:afterAutospacing="0" w:line="520" w:lineRule="exact"/>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（一）项目完成情况</w:t>
      </w:r>
    </w:p>
    <w:p>
      <w:pPr>
        <w:pStyle w:val="17"/>
        <w:keepNext w:val="0"/>
        <w:keepLines w:val="0"/>
        <w:widowControl w:val="0"/>
        <w:suppressLineNumbers w:val="0"/>
        <w:spacing w:before="0" w:beforeAutospacing="0" w:after="0" w:afterAutospacing="0" w:line="52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我局顺利完成两间领导视频接访室改建工作，竣工验收均为合格，领导视频接访工作得以顺利开展，保证国家、省市各项培训会议顺利召开。</w:t>
      </w:r>
    </w:p>
    <w:p>
      <w:pPr>
        <w:keepNext w:val="0"/>
        <w:keepLines w:val="0"/>
        <w:widowControl w:val="0"/>
        <w:suppressLineNumbers w:val="0"/>
        <w:autoSpaceDE w:val="0"/>
        <w:autoSpaceDN/>
        <w:spacing w:before="0" w:beforeAutospacing="0" w:after="0" w:afterAutospacing="0" w:line="520" w:lineRule="exact"/>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（二）项目效益情况</w:t>
      </w:r>
    </w:p>
    <w:p>
      <w:pPr>
        <w:pStyle w:val="17"/>
        <w:keepNext w:val="0"/>
        <w:keepLines w:val="0"/>
        <w:widowControl w:val="0"/>
        <w:suppressLineNumbers w:val="0"/>
        <w:adjustRightInd w:val="0"/>
        <w:snapToGrid w:val="0"/>
        <w:spacing w:before="0" w:beforeAutospacing="0" w:after="0" w:afterAutospacing="0" w:line="520" w:lineRule="exact"/>
        <w:ind w:left="0" w:right="0" w:firstLine="640" w:firstLineChars="2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通过对领导视频接访室的改建，优化了接访环境，促进了接访工作的开展，有效接收上级视频会议精神。维护了国家、社会和会稳定，提高了群众满意度，取得了良好的社会效益。</w:t>
      </w:r>
    </w:p>
    <w:p>
      <w:pPr>
        <w:keepNext w:val="0"/>
        <w:keepLines w:val="0"/>
        <w:widowControl w:val="0"/>
        <w:suppressLineNumbers w:val="0"/>
        <w:autoSpaceDE w:val="0"/>
        <w:autoSpaceDN/>
        <w:spacing w:before="0" w:beforeAutospacing="0" w:after="0" w:afterAutospacing="0" w:line="520" w:lineRule="exact"/>
        <w:ind w:left="0" w:right="0" w:firstLine="616" w:firstLineChars="200"/>
        <w:jc w:val="both"/>
        <w:rPr>
          <w:rFonts w:hint="eastAsia" w:ascii="黑体" w:hAnsi="宋体" w:eastAsia="黑体" w:cs="黑体"/>
          <w:spacing w:val="-6"/>
          <w:sz w:val="32"/>
          <w:szCs w:val="32"/>
          <w:lang w:val="en-US"/>
        </w:rPr>
      </w:pPr>
      <w:r>
        <w:rPr>
          <w:rFonts w:hint="eastAsia" w:ascii="黑体" w:hAnsi="宋体" w:eastAsia="黑体" w:cs="黑体"/>
          <w:spacing w:val="-6"/>
          <w:kern w:val="2"/>
          <w:sz w:val="32"/>
          <w:szCs w:val="32"/>
          <w:lang w:val="en-US" w:eastAsia="zh-CN" w:bidi="ar"/>
        </w:rPr>
        <w:t>四、问题及建议</w:t>
      </w:r>
    </w:p>
    <w:p>
      <w:pPr>
        <w:keepNext w:val="0"/>
        <w:keepLines w:val="0"/>
        <w:widowControl w:val="0"/>
        <w:suppressLineNumbers w:val="0"/>
        <w:autoSpaceDE w:val="0"/>
        <w:autoSpaceDN/>
        <w:spacing w:before="0" w:beforeAutospacing="0" w:after="0" w:afterAutospacing="0" w:line="520" w:lineRule="exact"/>
        <w:ind w:left="0" w:right="0" w:firstLine="616" w:firstLineChars="200"/>
        <w:jc w:val="both"/>
        <w:rPr>
          <w:rFonts w:hint="eastAsia" w:ascii="仿宋_GB2312" w:hAnsi="宋体" w:eastAsia="仿宋_GB2312" w:cs="仿宋_GB2312"/>
          <w:sz w:val="32"/>
          <w:szCs w:val="32"/>
          <w:lang w:val="zh-CN" w:eastAsia="zh-CN"/>
        </w:rPr>
      </w:pPr>
      <w:r>
        <w:rPr>
          <w:rFonts w:hint="eastAsia" w:ascii="楷体_GB2312" w:hAnsi="Times New Roman" w:eastAsia="楷体_GB2312" w:cs="楷体_GB2312"/>
          <w:bCs/>
          <w:spacing w:val="-6"/>
          <w:kern w:val="2"/>
          <w:sz w:val="32"/>
          <w:szCs w:val="32"/>
          <w:lang w:val="en-US" w:eastAsia="zh-CN" w:bidi="ar"/>
        </w:rPr>
        <w:t>（一）存在的问题。</w:t>
      </w:r>
      <w:r>
        <w:rPr>
          <w:rFonts w:hint="eastAsia" w:ascii="仿宋_GB2312" w:hAnsi="宋体" w:eastAsia="仿宋_GB2312" w:cs="仿宋_GB2312"/>
          <w:kern w:val="2"/>
          <w:sz w:val="32"/>
          <w:szCs w:val="32"/>
          <w:lang w:val="zh-CN" w:eastAsia="zh-CN" w:bidi="ar"/>
        </w:rPr>
        <w:t>预算编制细化程度还不够科学。资金使用效率结合还不够紧密。</w:t>
      </w:r>
    </w:p>
    <w:p>
      <w:pPr>
        <w:keepNext w:val="0"/>
        <w:keepLines w:val="0"/>
        <w:widowControl w:val="0"/>
        <w:suppressLineNumbers w:val="0"/>
        <w:autoSpaceDE w:val="0"/>
        <w:autoSpaceDN/>
        <w:spacing w:before="0" w:beforeAutospacing="0" w:after="0" w:afterAutospacing="0" w:line="520" w:lineRule="exact"/>
        <w:ind w:left="0" w:right="0" w:firstLine="616" w:firstLineChars="200"/>
        <w:jc w:val="both"/>
        <w:rPr>
          <w:rFonts w:hint="eastAsia" w:ascii="仿宋_GB2312" w:hAnsi="宋体" w:eastAsia="仿宋_GB2312" w:cs="仿宋_GB2312"/>
          <w:color w:val="000000"/>
          <w:spacing w:val="-6"/>
          <w:kern w:val="0"/>
          <w:sz w:val="32"/>
          <w:szCs w:val="32"/>
          <w:lang w:val="en-US"/>
        </w:rPr>
      </w:pPr>
      <w:r>
        <w:rPr>
          <w:rFonts w:hint="eastAsia" w:ascii="楷体_GB2312" w:hAnsi="Times New Roman" w:eastAsia="楷体_GB2312" w:cs="楷体_GB2312"/>
          <w:bCs/>
          <w:spacing w:val="-6"/>
          <w:kern w:val="2"/>
          <w:sz w:val="32"/>
          <w:szCs w:val="32"/>
          <w:lang w:val="en-US" w:eastAsia="zh-CN" w:bidi="ar"/>
        </w:rPr>
        <w:t>（二）相关建议。</w:t>
      </w:r>
      <w:r>
        <w:rPr>
          <w:rFonts w:hint="eastAsia" w:ascii="仿宋_GB2312" w:hAnsi="仿宋_GB2312" w:eastAsia="仿宋_GB2312" w:cs="仿宋_GB2312"/>
          <w:kern w:val="2"/>
          <w:sz w:val="32"/>
          <w:szCs w:val="32"/>
          <w:lang w:val="en-US" w:eastAsia="zh-CN" w:bidi="ar"/>
        </w:rPr>
        <w:t>继续加强和完善绩效管理体系，不断创新提高绩效管理水平。</w:t>
      </w:r>
    </w:p>
    <w:p>
      <w:pPr>
        <w:keepNext w:val="0"/>
        <w:keepLines w:val="0"/>
        <w:widowControl w:val="0"/>
        <w:suppressLineNumbers w:val="0"/>
        <w:autoSpaceDE w:val="0"/>
        <w:autoSpaceDN/>
        <w:spacing w:before="0" w:beforeAutospacing="0" w:after="0" w:afterAutospacing="0" w:line="520" w:lineRule="exact"/>
        <w:ind w:left="1562" w:leftChars="304" w:right="0" w:hanging="924" w:hangingChars="300"/>
        <w:jc w:val="both"/>
        <w:rPr>
          <w:rFonts w:hint="eastAsia" w:ascii="黑体" w:hAnsi="宋体" w:eastAsia="黑体" w:cs="黑体"/>
          <w:color w:val="000000"/>
          <w:kern w:val="0"/>
          <w:sz w:val="24"/>
          <w:szCs w:val="24"/>
          <w:lang w:val="en-US"/>
        </w:rPr>
      </w:pPr>
      <w:r>
        <w:rPr>
          <w:rFonts w:hint="eastAsia" w:ascii="仿宋_GB2312" w:hAnsi="宋体" w:eastAsia="仿宋_GB2312" w:cs="仿宋_GB2312"/>
          <w:color w:val="000000"/>
          <w:spacing w:val="-6"/>
          <w:kern w:val="0"/>
          <w:sz w:val="32"/>
          <w:szCs w:val="32"/>
          <w:lang w:val="en-US" w:eastAsia="zh-CN" w:bidi="ar"/>
        </w:rPr>
        <w:t>附表：4-1.部门</w:t>
      </w:r>
      <w:r>
        <w:rPr>
          <w:rFonts w:hint="eastAsia" w:ascii="仿宋_GB2312" w:hAnsi="宋体" w:eastAsia="仿宋_GB2312" w:cs="宋体"/>
          <w:color w:val="000000"/>
          <w:kern w:val="0"/>
          <w:sz w:val="32"/>
          <w:szCs w:val="32"/>
          <w:lang w:val="en-US" w:eastAsia="zh-CN" w:bidi="ar"/>
        </w:rPr>
        <w:t>项目支出绩效目标自评表</w:t>
      </w:r>
    </w:p>
    <w:p>
      <w:pPr>
        <w:keepNext w:val="0"/>
        <w:keepLines w:val="0"/>
        <w:widowControl/>
        <w:suppressLineNumbers w:val="0"/>
        <w:autoSpaceDE w:val="0"/>
        <w:autoSpaceDN/>
        <w:spacing w:before="0" w:beforeAutospacing="0" w:after="0" w:afterAutospacing="0" w:line="520" w:lineRule="exact"/>
        <w:ind w:left="0" w:right="0" w:firstLine="1540" w:firstLineChars="500"/>
        <w:jc w:val="left"/>
        <w:rPr>
          <w:rFonts w:hint="eastAsia" w:ascii="仿宋_GB2312" w:hAnsi="宋体" w:eastAsia="仿宋_GB2312" w:cs="仿宋_GB2312"/>
          <w:color w:val="000000"/>
          <w:spacing w:val="-6"/>
          <w:kern w:val="0"/>
          <w:sz w:val="32"/>
          <w:szCs w:val="32"/>
          <w:lang w:val="en-US"/>
        </w:rPr>
      </w:pPr>
      <w:r>
        <w:rPr>
          <w:rFonts w:hint="eastAsia" w:ascii="仿宋_GB2312" w:hAnsi="宋体" w:eastAsia="仿宋_GB2312" w:cs="仿宋_GB2312"/>
          <w:color w:val="000000"/>
          <w:spacing w:val="-6"/>
          <w:kern w:val="0"/>
          <w:sz w:val="32"/>
          <w:szCs w:val="32"/>
          <w:lang w:val="en-US" w:eastAsia="zh-CN" w:bidi="ar"/>
        </w:rPr>
        <w:t>4-2.2021年部门预算项目支出绩效自评评分表</w:t>
      </w:r>
    </w:p>
    <w:tbl>
      <w:tblPr>
        <w:tblStyle w:val="21"/>
        <w:tblW w:w="107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
        <w:gridCol w:w="972"/>
        <w:gridCol w:w="1235"/>
        <w:gridCol w:w="1657"/>
        <w:gridCol w:w="2136"/>
        <w:gridCol w:w="2280"/>
        <w:gridCol w:w="1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10788" w:type="dxa"/>
            <w:gridSpan w:val="7"/>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sz w:val="28"/>
                <w:szCs w:val="28"/>
                <w:lang w:val="en-US"/>
              </w:rPr>
            </w:pPr>
            <w:r>
              <w:rPr>
                <w:rFonts w:hint="eastAsia" w:ascii="黑体" w:hAnsi="宋体" w:eastAsia="黑体" w:cs="黑体"/>
                <w:color w:val="000000"/>
                <w:kern w:val="0"/>
                <w:sz w:val="32"/>
                <w:szCs w:val="32"/>
                <w:lang w:val="en-US" w:eastAsia="zh-CN" w:bidi="ar"/>
              </w:rPr>
              <w:t>附表4-1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10788" w:type="dxa"/>
            <w:gridSpan w:val="7"/>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color w:val="000000"/>
                <w:sz w:val="36"/>
                <w:szCs w:val="36"/>
                <w:lang w:val="en-US"/>
              </w:rPr>
            </w:pPr>
            <w:r>
              <w:rPr>
                <w:rFonts w:hint="eastAsia" w:ascii="方正小标宋简体" w:hAnsi="方正小标宋简体" w:eastAsia="方正小标宋简体" w:cs="方正小标宋简体"/>
                <w:color w:val="000000"/>
                <w:kern w:val="0"/>
                <w:sz w:val="44"/>
                <w:szCs w:val="44"/>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788" w:type="dxa"/>
            <w:gridSpan w:val="7"/>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22"/>
                <w:szCs w:val="22"/>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项目支出名称</w:t>
            </w:r>
          </w:p>
        </w:tc>
        <w:tc>
          <w:tcPr>
            <w:tcW w:w="92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领导视频接访室改建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预算单位</w:t>
            </w:r>
          </w:p>
        </w:tc>
        <w:tc>
          <w:tcPr>
            <w:tcW w:w="92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w:t>
            </w: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 全年预算数（万元） </w:t>
            </w:r>
          </w:p>
        </w:tc>
        <w:tc>
          <w:tcPr>
            <w:tcW w:w="3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 全年执行数（万元）</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其中：一般公共预算</w:t>
            </w:r>
          </w:p>
        </w:tc>
        <w:tc>
          <w:tcPr>
            <w:tcW w:w="3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其中：一般公共预算</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政府性基金预算</w:t>
            </w:r>
          </w:p>
        </w:tc>
        <w:tc>
          <w:tcPr>
            <w:tcW w:w="3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政府性基金预算</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国有资本经营预算</w:t>
            </w:r>
          </w:p>
        </w:tc>
        <w:tc>
          <w:tcPr>
            <w:tcW w:w="3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国有资本经营预算</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社会保险基金预算</w:t>
            </w:r>
          </w:p>
        </w:tc>
        <w:tc>
          <w:tcPr>
            <w:tcW w:w="3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社会保险基金预算</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其他资金</w:t>
            </w:r>
          </w:p>
        </w:tc>
        <w:tc>
          <w:tcPr>
            <w:tcW w:w="3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其他资金</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目标完成情况</w:t>
            </w:r>
          </w:p>
        </w:tc>
        <w:tc>
          <w:tcPr>
            <w:tcW w:w="6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全年预期目标</w:t>
            </w:r>
          </w:p>
        </w:tc>
        <w:tc>
          <w:tcPr>
            <w:tcW w:w="4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2021年完成两间领导视频接访室改建工作，对原有地面、墙面进行拆除并翻新，确保领导视频接访工作顺利开展，保证国家、省市各项培训会议顺利召开。</w:t>
            </w:r>
          </w:p>
        </w:tc>
        <w:tc>
          <w:tcPr>
            <w:tcW w:w="417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顺利完成领导视频接访室改建工作，竣工验收合格，领导视频接访工作得以顺利开展，保证国家、省市各项培训会议顺利召开。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年度绩效指标完成情况</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全年预期指标值                        （包含数字及文字描述）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全年实际完成指标值                           （包含数字及文字描述）</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领导视频接访室改建</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2间</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改建工程量</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≤32平方米</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≤32平方米</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接访室利用率</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≥98%</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≥98%</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质量指标</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竣工验收合格率</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时效指标</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改建完工率</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成本指标</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材料费</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≤3万</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人工费</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≤1万</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社会效益指标</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维护社会安定和谐</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高</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高</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满意度指标</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服务对象满意度指标</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信访群众满意度</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bl>
    <w:p>
      <w:pPr>
        <w:spacing w:line="580" w:lineRule="exact"/>
        <w:ind w:firstLine="640" w:firstLineChars="200"/>
        <w:rPr>
          <w:rFonts w:hint="eastAsia" w:ascii="仿宋_GB2312" w:hAnsi="仿宋_GB2312" w:eastAsia="仿宋_GB2312" w:cs="仿宋_GB2312"/>
          <w:b w:val="0"/>
          <w:bCs w:val="0"/>
          <w:sz w:val="32"/>
          <w:szCs w:val="32"/>
          <w:lang w:val="en-US" w:eastAsia="zh-CN"/>
        </w:rPr>
        <w:sectPr>
          <w:pgSz w:w="11906" w:h="16838"/>
          <w:pgMar w:top="1440" w:right="1800" w:bottom="1440" w:left="1800" w:header="851" w:footer="992" w:gutter="0"/>
          <w:pgNumType w:fmt="decimal"/>
          <w:cols w:space="425" w:num="1"/>
          <w:titlePg/>
          <w:docGrid w:type="lines" w:linePitch="312" w:charSpace="0"/>
        </w:sectPr>
      </w:pP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692"/>
        <w:gridCol w:w="700"/>
        <w:gridCol w:w="5973"/>
        <w:gridCol w:w="489"/>
        <w:gridCol w:w="5166"/>
        <w:gridCol w:w="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7"/>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sz w:val="32"/>
                <w:szCs w:val="32"/>
                <w:lang w:val="en-US"/>
              </w:rPr>
            </w:pPr>
            <w:r>
              <w:rPr>
                <w:rFonts w:hint="eastAsia" w:ascii="黑体" w:hAnsi="宋体" w:eastAsia="黑体" w:cs="黑体"/>
                <w:color w:val="000000"/>
                <w:kern w:val="0"/>
                <w:sz w:val="32"/>
                <w:szCs w:val="32"/>
                <w:lang w:val="en-US" w:eastAsia="zh-CN" w:bidi="ar"/>
              </w:rPr>
              <w:t>附表4-2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000" w:type="pct"/>
            <w:gridSpan w:val="7"/>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方正大标宋_GBK" w:hAnsi="方正大标宋_GBK" w:eastAsia="方正大标宋_GBK" w:cs="方正大标宋_GBK"/>
                <w:b/>
                <w:bCs/>
                <w:color w:val="000000"/>
                <w:sz w:val="40"/>
                <w:szCs w:val="40"/>
                <w:lang w:val="en-US"/>
              </w:rPr>
            </w:pPr>
            <w:r>
              <w:rPr>
                <w:rFonts w:hint="eastAsia" w:ascii="方正小标宋简体" w:hAnsi="方正小标宋简体" w:eastAsia="方正小标宋简体" w:cs="方正小标宋简体"/>
                <w:color w:val="000000"/>
                <w:kern w:val="0"/>
                <w:sz w:val="44"/>
                <w:szCs w:val="44"/>
                <w:lang w:val="en-US" w:eastAsia="zh-CN" w:bidi="ar"/>
              </w:rPr>
              <w:t>2021年部门预算项目支出绩效自评评分表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一级 指标</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二级指标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三级指标            </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指标内容</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参考分值</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评分标准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项目决策（14分）</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项目立项</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立项依据</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用以反映项目立项是否有充分的依据：符合国家法律法规、本地的相关规定；符合部门年度工作计划。</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①符合国家相关法律法规、国民经济发展规划和党委政府决策（1分）；                                                                                                           ②符合部门（单位）年度工作计划或项目实施单位职责密切相关（1分）。                                                             </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决策程序</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用以反映和考核项目立项的规范情况：项目的申请、设立过程是否符合相关要求。</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①项目是否按照规定的程序申请设立，审批文件、材料是否符合相关要求（1分）； ②事前是否已经过必要的可行性研究、专家论证、风险评估、集体决策等（1分）。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项目目标</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目标合理性</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用以反映和考核项目绩效目标与项目实施的相符情况：项目所设定的绩效目标是否依据充分，是否符合客观实际。</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①项目的测算依据充分（1分）；                                                                                                                                                       ②项目是否有绩效目标，与实际工作内容是否具有相关性（1分）；                                                                                                                        ③项目预期产出效益和效果是否符合正常的业绩水平（1分）；                                                                                                                                                                   ④与预算确定的项目投资额或资金量相匹配（1分）。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指标明确性</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用以反映和考核项目绩效目标与项目实施的相符情况：依据绩效目标设定的绩效指标是否清晰、细化、可衡量等。</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①是否将绩效目标的绩效指标细化分解（1分）；                                                                                                                                                        ②分解的绩效指标体现清晰、可衡量的指标值（1分）；                                                                                                                                                   ③与项目年度任务数或计划数相对应（1分）；                                                                                                                                                         ④与预算确定的项目投资额或资金量相匹配（1分）。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资金分配</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分配的合理性</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项目预算资金分配是否有测算依据，与项目单位或地方实际是否相适应；根据需要制定的相关资金管理办法；管理办法中有明确资金分配办法；资金分配因素全面、合理。</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①预算资金分配依据充分（1分）；                                                                                                                                 ②资金分配额度合理，与项目单位或地方实际相适应 （1分）。                 此项需提供相应的资金分配方案。</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项目管理（16分）</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资金管理（9分）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资金到位率</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资金到位率=（实际到位资金/计划投入资金）×100%。                                                              实际到位资金：一定时期（本年度或项目期）内落实到具体项目的资金。                                                       预算资金：一定时期（本年度或项目期）内预算安排到具体项目的资金。</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根据项目资金的实际到位率计算得分（1分）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预算执行率</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用以反映项目预算执行的进度：预算执行率=实际支出数/预算数。                                      实际支出资金：一定时期（本年度或项目期）内项目实际拨付的资金。</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根据项目资金的预算执行率计算得分（2分）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资金使用</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用以反映和考核项目资金的规范运行情况：项目资金使用是否符合相关的财务管理制度规定。</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6</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①符合国家财经法规和财务管理制度以及有关专项资金管理办法的规定（1分）；                                                                      ②资金的拨付审批程序和手续完整（1分）；                                                                                           ③符合项目预算批复或合同规定的用途（1分）；                                                                                                                                                                    ④无截留、挤占、挪用、无虚列支出（3分）；                                                                                                                                                                                 若评价前已完成项目资金的专项审计，该指标可用审计结论代替。</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组织实施（7分）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制度管理</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用以反映和考核财务和业务管理制度对项目顺利实施的制度保障情况。</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①制定或具有相应的财务和业务管理制度（1分）；                                                                                                                                                         ②财务和业务管理制度合法、合规、完整（1分）。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制度执行</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用以反映和考核业务管理制度的有效执行和质量控制情况：项目实施是否符合相关业务管理规定，是否为达到项目质量要求而采取了必需的措施。</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①按相关法律法规和业务管理规定执行（1分）；                                                                                                                                                      ②项目调整及支出调整手续完备（1分）；                                                                                                                                                                   ③项目合同书、验收报告、技术鉴定等资料规范、齐全（2分）；                                                                                                                                                                      ④项目实施的人员条件、场地设备等是否落实到位（1分）。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8"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项目绩效（特性指标）（70）</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项目产出（35分）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实际完成率</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实际完成率=（实际产出数/计划产出数）×100%。                                                            实际产出数：一定时期（本年度或项目期）内项目实际产出的产品或提供的服务数量。                                                                                         计划产出数：项目绩效目标确定的在一定时期（本年度或项目期）内计划产出的产品或提供的服务数量。</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完成绩效目标100%得9分，未完成100%的同比例扣减。</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4"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质量达标率</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质量达标率=（质量达标产出数量/计划完成产出数量）× 100%。                                                                                                                                  质量达标产出数：一定时期（本年度或项目期）内实际达到既定质量标准的产品或服务数量。                                                            既定质量标准是指项目实施单位设立绩效目标时依据计划标准、行业标准、历史标准或其他标准而设定的绩效指标值。  </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产出质量达到绩效目标100%得9分，未完成100%的同比例扣减。</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完成及时性</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完成及时率=计划时限内实际完成的项目数量/计划时限内应完成的项目数量×100%。                                                                                                                               实际完成时间：项目实施单位完成该项目实际所耗用的时间。                                                                         计划完成时间：按照项目实施计划或相关规定完成该项目所需的时间。</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产出时效达到绩效目标得8分，未完成且无充分理由的扣3分。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完成成本（成本节约率）</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成本节约率=[（计划成本-实际成本）/计划成本]×100%。                                                        实际成本：项目实施单位如期、保质、保量完成既定工作目标实际所耗费的支出。                                                                                        计划成本：项目实施单位为完成工作目标计划安排的支出，一般以项目预算为参考。</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产出成本按绩效目标控制得9分，未完成的，按超支比例扣减。</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项目效益（30分）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经济效益（可选项）</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反映相关产出对经济社会发展带来的影响和效果，根据项目实际细化具体指标。重点考核投入产出率、回报率、增长率等指标。</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7</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完成绩效目标设定的经济效益得7分，未完成的，按完成情况酌情扣分。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社会效益（可选项）</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反映相关产出对社会发展带来的影响和效果，根据项目实际细化具体指标。重点考核撬动率、贡献率、达标率、就业率等指标。</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完成绩效目标设定的社会效益得7分，未完成的，按完成情况酌情扣分。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环境效益（可选项）</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反映相关产出对自然环境带来的影响和效果，根据项目实际细化具体指标。</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7</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完成绩效目标设定的积极的环境效益得7分，未完成的，按完成情况酌情扣分。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可持续效益（可选项）</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反映相关产出带来影响的可持续期限，根据项目实际细化具体指标。</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完成绩效设定目标的得7分，未完成的，按完成情况酌情扣分。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              （5分）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服务对象满意度</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满意率反映服务对象或项目受益人对相关产出及其影响的认可程度，根据项目实际细化具体指标。重点考核满意率等指标。</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满意率达90%（含）以上的得5分；80%（含）-89%得4分；70%（含）-79%得3分；60%（含）-69%得2分；60%以下不得分。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287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分值</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100</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自评得分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Cs w:val="21"/>
                <w:lang w:val="en-US"/>
              </w:rPr>
            </w:pPr>
            <w:r>
              <w:rPr>
                <w:rFonts w:hint="eastAsia" w:ascii="宋体" w:hAnsi="宋体" w:eastAsia="宋体" w:cs="宋体"/>
                <w:b/>
                <w:bCs/>
                <w:color w:val="000000"/>
                <w:kern w:val="0"/>
                <w:sz w:val="21"/>
                <w:szCs w:val="21"/>
                <w:lang w:val="en-US" w:eastAsia="zh-CN" w:bidi="ar"/>
              </w:rPr>
              <w:t>自评等级</w:t>
            </w:r>
          </w:p>
        </w:tc>
        <w:tc>
          <w:tcPr>
            <w:tcW w:w="42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自评结果：</w:t>
            </w:r>
            <w:r>
              <w:rPr>
                <w:rFonts w:hint="eastAsia" w:ascii="宋体" w:hAnsi="宋体" w:eastAsia="宋体" w:cs="宋体"/>
                <w:b/>
                <w:bCs/>
                <w:color w:val="000000"/>
                <w:kern w:val="0"/>
                <w:sz w:val="21"/>
                <w:szCs w:val="21"/>
                <w:lang w:val="en-US" w:eastAsia="zh-CN" w:bidi="ar"/>
              </w:rPr>
              <w:t>□优秀（90≤得分≤100）；   □良好（80≤得分＜89）；   □及格（60≤得分＜79）；   □不及格（低于60分）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7"/>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说明：项目特性指标</w:t>
            </w:r>
            <w:r>
              <w:rPr>
                <w:rFonts w:hint="eastAsia" w:ascii="宋体" w:hAnsi="宋体" w:eastAsia="宋体" w:cs="宋体"/>
                <w:color w:val="000000"/>
                <w:kern w:val="0"/>
                <w:sz w:val="18"/>
                <w:szCs w:val="18"/>
                <w:lang w:val="en-US" w:eastAsia="zh-CN" w:bidi="ar"/>
              </w:rPr>
              <w:t>是根据项目绩效目标申报表填报的项目产出指标和效益指标对比实际完成情况进行自评；项目效益指标分值在总分值不变的情况下将可选项指标没选中的分值，适当、合理调整到选中效益指标当中去。</w:t>
            </w:r>
          </w:p>
        </w:tc>
      </w:tr>
    </w:tbl>
    <w:p>
      <w:pPr>
        <w:pStyle w:val="26"/>
        <w:rPr>
          <w:rFonts w:hint="eastAsia"/>
          <w:lang w:val="en-US" w:eastAsia="zh-CN"/>
        </w:rPr>
      </w:pPr>
    </w:p>
    <w:p>
      <w:pPr>
        <w:spacing w:line="580" w:lineRule="exact"/>
        <w:ind w:firstLine="640" w:firstLineChars="200"/>
        <w:rPr>
          <w:rFonts w:hint="eastAsia" w:ascii="仿宋_GB2312" w:hAnsi="仿宋_GB2312" w:eastAsia="仿宋_GB2312" w:cs="仿宋_GB2312"/>
          <w:b w:val="0"/>
          <w:bCs w:val="0"/>
          <w:sz w:val="32"/>
          <w:szCs w:val="32"/>
          <w:lang w:val="en-US" w:eastAsia="zh-CN"/>
        </w:rPr>
      </w:pPr>
    </w:p>
    <w:p>
      <w:pPr>
        <w:pStyle w:val="25"/>
        <w:rPr>
          <w:rFonts w:hint="eastAsia"/>
          <w:lang w:val="en-US" w:eastAsia="zh-CN"/>
        </w:rPr>
        <w:sectPr>
          <w:pgSz w:w="16838" w:h="11906" w:orient="landscape"/>
          <w:pgMar w:top="1800" w:right="1440" w:bottom="1800" w:left="1440" w:header="851" w:footer="992" w:gutter="0"/>
          <w:pgNumType w:fmt="decimal"/>
          <w:cols w:space="425" w:num="1"/>
          <w:titlePg/>
          <w:docGrid w:type="lines" w:linePitch="312" w:charSpace="0"/>
        </w:sectPr>
      </w:pPr>
    </w:p>
    <w:p>
      <w:pPr>
        <w:keepNext w:val="0"/>
        <w:keepLines w:val="0"/>
        <w:widowControl w:val="0"/>
        <w:suppressLineNumbers w:val="0"/>
        <w:autoSpaceDE w:val="0"/>
        <w:autoSpaceDN/>
        <w:spacing w:before="0" w:beforeAutospacing="0" w:after="0" w:afterAutospacing="0" w:line="576" w:lineRule="exact"/>
        <w:ind w:left="0" w:right="0"/>
        <w:jc w:val="left"/>
        <w:rPr>
          <w:rFonts w:hint="eastAsia" w:ascii="黑体" w:hAnsi="宋体" w:eastAsia="黑体" w:cs="黑体"/>
          <w:bCs/>
          <w:color w:val="000000"/>
          <w:spacing w:val="-6"/>
          <w:kern w:val="0"/>
          <w:sz w:val="32"/>
          <w:szCs w:val="32"/>
          <w:lang w:val="en-US"/>
        </w:rPr>
      </w:pPr>
      <w:r>
        <w:rPr>
          <w:rFonts w:hint="eastAsia" w:ascii="黑体" w:hAnsi="宋体" w:eastAsia="黑体" w:cs="黑体"/>
          <w:bCs/>
          <w:color w:val="000000"/>
          <w:spacing w:val="-6"/>
          <w:kern w:val="0"/>
          <w:sz w:val="32"/>
          <w:szCs w:val="32"/>
          <w:lang w:val="en-US" w:eastAsia="zh-CN" w:bidi="ar"/>
        </w:rPr>
        <w:t>附件5</w:t>
      </w:r>
    </w:p>
    <w:p>
      <w:pPr>
        <w:keepNext w:val="0"/>
        <w:keepLines w:val="0"/>
        <w:widowControl w:val="0"/>
        <w:suppressLineNumbers w:val="0"/>
        <w:autoSpaceDE w:val="0"/>
        <w:autoSpaceDN/>
        <w:spacing w:before="0" w:beforeAutospacing="0" w:after="0" w:afterAutospacing="0" w:line="576" w:lineRule="exact"/>
        <w:ind w:left="0" w:right="0"/>
        <w:jc w:val="center"/>
        <w:rPr>
          <w:rFonts w:hint="eastAsia" w:ascii="方正小标宋简体" w:hAnsi="方正小标宋简体" w:eastAsia="方正小标宋简体" w:cs="方正小标宋简体"/>
          <w:bCs/>
          <w:color w:val="000000"/>
          <w:spacing w:val="-6"/>
          <w:kern w:val="0"/>
          <w:sz w:val="44"/>
          <w:szCs w:val="44"/>
          <w:lang w:val="en-US"/>
        </w:rPr>
      </w:pPr>
      <w:r>
        <w:rPr>
          <w:rFonts w:hint="eastAsia" w:ascii="方正小标宋简体" w:hAnsi="方正小标宋简体" w:eastAsia="方正小标宋简体" w:cs="方正小标宋简体"/>
          <w:bCs/>
          <w:color w:val="000000"/>
          <w:spacing w:val="-6"/>
          <w:kern w:val="0"/>
          <w:sz w:val="44"/>
          <w:szCs w:val="44"/>
          <w:lang w:val="en-US" w:eastAsia="zh-CN" w:bidi="ar"/>
        </w:rPr>
        <w:t>2021年驻京轮流值班项目支出绩效自评报告</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黑体" w:hAnsi="宋体" w:eastAsia="黑体" w:cs="黑体"/>
          <w:spacing w:val="-6"/>
          <w:sz w:val="32"/>
          <w:szCs w:val="32"/>
          <w:lang w:val="en-US"/>
        </w:rPr>
      </w:pPr>
    </w:p>
    <w:p>
      <w:pPr>
        <w:keepNext w:val="0"/>
        <w:keepLines w:val="0"/>
        <w:widowControl w:val="0"/>
        <w:suppressLineNumbers w:val="0"/>
        <w:autoSpaceDE w:val="0"/>
        <w:autoSpaceDN/>
        <w:spacing w:before="0" w:beforeAutospacing="0" w:after="0" w:afterAutospacing="0" w:line="600" w:lineRule="exact"/>
        <w:ind w:left="0" w:right="0" w:firstLine="616" w:firstLineChars="200"/>
        <w:jc w:val="both"/>
        <w:rPr>
          <w:rFonts w:hint="eastAsia" w:ascii="黑体" w:hAnsi="宋体" w:eastAsia="黑体" w:cs="黑体"/>
          <w:spacing w:val="-6"/>
          <w:sz w:val="32"/>
          <w:szCs w:val="32"/>
          <w:lang w:val="en-US"/>
        </w:rPr>
      </w:pPr>
      <w:r>
        <w:rPr>
          <w:rFonts w:hint="eastAsia" w:ascii="黑体" w:hAnsi="宋体" w:eastAsia="黑体" w:cs="黑体"/>
          <w:spacing w:val="-6"/>
          <w:kern w:val="2"/>
          <w:sz w:val="32"/>
          <w:szCs w:val="32"/>
          <w:lang w:val="en-US" w:eastAsia="zh-CN" w:bidi="ar"/>
        </w:rPr>
        <w:t>一、项目概况</w:t>
      </w:r>
    </w:p>
    <w:p>
      <w:pPr>
        <w:keepNext w:val="0"/>
        <w:keepLines w:val="0"/>
        <w:widowControl w:val="0"/>
        <w:suppressLineNumbers w:val="0"/>
        <w:adjustRightInd w:val="0"/>
        <w:snapToGrid w:val="0"/>
        <w:spacing w:before="0" w:beforeAutospacing="0" w:after="0" w:afterAutospacing="0" w:line="600" w:lineRule="exact"/>
        <w:ind w:left="0" w:right="0" w:firstLine="616" w:firstLineChars="200"/>
        <w:jc w:val="both"/>
        <w:rPr>
          <w:rFonts w:hint="eastAsia" w:ascii="仿宋_GB2312" w:hAnsi="仿宋_GB2312" w:eastAsia="仿宋_GB2312" w:cs="仿宋_GB2312"/>
          <w:sz w:val="32"/>
          <w:szCs w:val="32"/>
          <w:lang w:val="en-US"/>
        </w:rPr>
      </w:pPr>
      <w:r>
        <w:rPr>
          <w:rFonts w:hint="eastAsia" w:ascii="楷体_GB2312" w:hAnsi="Times New Roman" w:eastAsia="楷体_GB2312" w:cs="楷体_GB2312"/>
          <w:bCs/>
          <w:spacing w:val="-6"/>
          <w:kern w:val="2"/>
          <w:sz w:val="32"/>
          <w:szCs w:val="32"/>
          <w:lang w:val="en-US" w:eastAsia="zh-CN" w:bidi="ar"/>
        </w:rPr>
        <w:t>（一）项目资金申报及批复情况。</w:t>
      </w:r>
      <w:r>
        <w:rPr>
          <w:rFonts w:hint="eastAsia" w:ascii="仿宋_GB2312" w:hAnsi="仿宋_GB2312" w:eastAsia="仿宋_GB2312" w:cs="仿宋_GB2312"/>
          <w:kern w:val="2"/>
          <w:sz w:val="32"/>
          <w:szCs w:val="32"/>
          <w:lang w:val="zh-CN" w:eastAsia="zh-CN" w:bidi="ar"/>
        </w:rPr>
        <w:t>朝天区</w:t>
      </w:r>
      <w:r>
        <w:rPr>
          <w:rFonts w:hint="eastAsia" w:ascii="仿宋_GB2312" w:hAnsi="仿宋_GB2312" w:eastAsia="仿宋_GB2312" w:cs="仿宋_GB2312"/>
          <w:kern w:val="2"/>
          <w:sz w:val="32"/>
          <w:szCs w:val="32"/>
          <w:lang w:val="en-US" w:eastAsia="zh-CN" w:bidi="ar"/>
        </w:rPr>
        <w:t>2021年度财政下达我局驻京轮流值班项目经费预算13万元，按程序进行申报，资金及时批复到位，申报程序符合资金管理办法相关规定。</w:t>
      </w:r>
    </w:p>
    <w:p>
      <w:pPr>
        <w:keepNext w:val="0"/>
        <w:keepLines w:val="0"/>
        <w:widowControl w:val="0"/>
        <w:suppressLineNumbers w:val="0"/>
        <w:autoSpaceDE w:val="0"/>
        <w:autoSpaceDN/>
        <w:spacing w:before="0" w:beforeAutospacing="0" w:after="0" w:afterAutospacing="0" w:line="600" w:lineRule="exact"/>
        <w:ind w:left="0" w:right="0" w:firstLine="616" w:firstLineChars="200"/>
        <w:jc w:val="both"/>
        <w:rPr>
          <w:rFonts w:hint="eastAsia" w:ascii="仿宋_GB2312" w:hAnsi="仿宋_GB2312" w:eastAsia="仿宋_GB2312" w:cs="仿宋_GB2312"/>
          <w:bCs/>
          <w:sz w:val="32"/>
          <w:szCs w:val="32"/>
          <w:lang w:val="zh-CN" w:eastAsia="zh-CN"/>
        </w:rPr>
      </w:pPr>
      <w:r>
        <w:rPr>
          <w:rFonts w:hint="eastAsia" w:ascii="楷体_GB2312" w:hAnsi="Times New Roman" w:eastAsia="楷体_GB2312" w:cs="楷体_GB2312"/>
          <w:bCs/>
          <w:spacing w:val="-6"/>
          <w:kern w:val="2"/>
          <w:sz w:val="32"/>
          <w:szCs w:val="32"/>
          <w:lang w:val="en-US" w:eastAsia="zh-CN" w:bidi="ar"/>
        </w:rPr>
        <w:t>（二）项目绩效目标。</w:t>
      </w:r>
      <w:r>
        <w:rPr>
          <w:rFonts w:hint="eastAsia" w:ascii="仿宋_GB2312" w:hAnsi="仿宋_GB2312" w:eastAsia="仿宋_GB2312" w:cs="仿宋_GB2312"/>
          <w:bCs/>
          <w:kern w:val="2"/>
          <w:sz w:val="32"/>
          <w:szCs w:val="32"/>
          <w:lang w:val="zh-CN" w:eastAsia="zh-CN" w:bidi="ar"/>
        </w:rPr>
        <w:t>保障202</w:t>
      </w:r>
      <w:r>
        <w:rPr>
          <w:rFonts w:hint="eastAsia" w:ascii="仿宋_GB2312" w:hAnsi="仿宋_GB2312" w:eastAsia="仿宋_GB2312" w:cs="仿宋_GB2312"/>
          <w:bCs/>
          <w:kern w:val="2"/>
          <w:sz w:val="32"/>
          <w:szCs w:val="32"/>
          <w:lang w:val="en-US" w:eastAsia="zh-CN" w:bidi="ar"/>
        </w:rPr>
        <w:t>1</w:t>
      </w:r>
      <w:r>
        <w:rPr>
          <w:rFonts w:hint="eastAsia" w:ascii="仿宋_GB2312" w:hAnsi="仿宋_GB2312" w:eastAsia="仿宋_GB2312" w:cs="仿宋_GB2312"/>
          <w:bCs/>
          <w:kern w:val="2"/>
          <w:sz w:val="32"/>
          <w:szCs w:val="32"/>
          <w:lang w:val="zh-CN" w:eastAsia="zh-CN" w:bidi="ar"/>
        </w:rPr>
        <w:t>年度驻京信访轮流值班工作有序开展，值班期间广元市各项信访维稳工作有序开展，不出现极端信访事件和负面舆情炒作。</w:t>
      </w:r>
    </w:p>
    <w:p>
      <w:pPr>
        <w:keepNext w:val="0"/>
        <w:keepLines w:val="0"/>
        <w:widowControl w:val="0"/>
        <w:suppressLineNumbers w:val="0"/>
        <w:adjustRightInd w:val="0"/>
        <w:snapToGrid w:val="0"/>
        <w:spacing w:before="0" w:beforeAutospacing="0" w:after="0" w:afterAutospacing="0" w:line="600" w:lineRule="exact"/>
        <w:ind w:left="0" w:right="0" w:firstLine="616" w:firstLineChars="200"/>
        <w:jc w:val="both"/>
        <w:rPr>
          <w:rFonts w:hint="eastAsia" w:ascii="仿宋_GB2312" w:hAnsi="仿宋_GB2312" w:eastAsia="仿宋_GB2312" w:cs="仿宋_GB2312"/>
          <w:sz w:val="32"/>
          <w:szCs w:val="32"/>
          <w:lang w:val="en-US"/>
        </w:rPr>
      </w:pPr>
      <w:r>
        <w:rPr>
          <w:rFonts w:hint="eastAsia" w:ascii="楷体_GB2312" w:hAnsi="Times New Roman" w:eastAsia="楷体_GB2312" w:cs="楷体_GB2312"/>
          <w:bCs/>
          <w:spacing w:val="-6"/>
          <w:kern w:val="2"/>
          <w:sz w:val="32"/>
          <w:szCs w:val="32"/>
          <w:lang w:val="en-US" w:eastAsia="zh-CN" w:bidi="ar"/>
        </w:rPr>
        <w:t>（三）项目资金申报相符性。</w:t>
      </w:r>
      <w:r>
        <w:rPr>
          <w:rFonts w:hint="eastAsia" w:ascii="仿宋_GB2312" w:hAnsi="仿宋_GB2312" w:eastAsia="仿宋_GB2312" w:cs="仿宋_GB2312"/>
          <w:kern w:val="2"/>
          <w:sz w:val="32"/>
          <w:szCs w:val="32"/>
          <w:lang w:val="zh-CN" w:eastAsia="zh-CN" w:bidi="ar"/>
        </w:rPr>
        <w:t>项目申报内容与具体实施内容相符、申报目标合理可行。</w:t>
      </w:r>
    </w:p>
    <w:p>
      <w:pPr>
        <w:keepNext w:val="0"/>
        <w:keepLines w:val="0"/>
        <w:widowControl w:val="0"/>
        <w:suppressLineNumbers w:val="0"/>
        <w:autoSpaceDE w:val="0"/>
        <w:autoSpaceDN/>
        <w:spacing w:before="0" w:beforeAutospacing="0" w:after="0" w:afterAutospacing="0" w:line="600" w:lineRule="exact"/>
        <w:ind w:left="0" w:right="0" w:firstLine="616" w:firstLineChars="200"/>
        <w:jc w:val="both"/>
        <w:rPr>
          <w:rFonts w:hint="eastAsia" w:ascii="黑体" w:hAnsi="宋体" w:eastAsia="黑体" w:cs="黑体"/>
          <w:spacing w:val="-6"/>
          <w:sz w:val="32"/>
          <w:szCs w:val="32"/>
          <w:lang w:val="en-US"/>
        </w:rPr>
      </w:pPr>
      <w:r>
        <w:rPr>
          <w:rFonts w:hint="eastAsia" w:ascii="黑体" w:hAnsi="宋体" w:eastAsia="黑体" w:cs="黑体"/>
          <w:spacing w:val="-6"/>
          <w:kern w:val="2"/>
          <w:sz w:val="32"/>
          <w:szCs w:val="32"/>
          <w:lang w:val="en-US" w:eastAsia="zh-CN" w:bidi="ar"/>
        </w:rPr>
        <w:t>二、项目实施及管理情况</w:t>
      </w:r>
    </w:p>
    <w:p>
      <w:pPr>
        <w:keepNext w:val="0"/>
        <w:keepLines w:val="0"/>
        <w:widowControl w:val="0"/>
        <w:suppressLineNumbers w:val="0"/>
        <w:autoSpaceDE w:val="0"/>
        <w:autoSpaceDN/>
        <w:spacing w:before="0" w:beforeAutospacing="0" w:after="0" w:afterAutospacing="0" w:line="600" w:lineRule="exact"/>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（一）资金计划、到位及使用情况</w:t>
      </w:r>
    </w:p>
    <w:p>
      <w:pPr>
        <w:keepNext w:val="0"/>
        <w:keepLines w:val="0"/>
        <w:widowControl w:val="0"/>
        <w:suppressLineNumbers w:val="0"/>
        <w:autoSpaceDE w:val="0"/>
        <w:autoSpaceDN/>
        <w:spacing w:before="0" w:beforeAutospacing="0" w:after="0" w:afterAutospacing="0" w:line="600" w:lineRule="exact"/>
        <w:ind w:left="0" w:right="0" w:firstLine="616" w:firstLineChars="200"/>
        <w:jc w:val="both"/>
        <w:rPr>
          <w:rFonts w:hint="eastAsia" w:ascii="仿宋_GB2312" w:eastAsia="仿宋_GB2312" w:cs="仿宋_GB2312"/>
          <w:spacing w:val="-6"/>
          <w:sz w:val="32"/>
          <w:szCs w:val="32"/>
          <w:lang w:val="zh-CN" w:eastAsia="zh-CN"/>
        </w:rPr>
      </w:pPr>
      <w:r>
        <w:rPr>
          <w:rFonts w:hint="eastAsia" w:ascii="仿宋_GB2312" w:hAnsi="Times New Roman" w:eastAsia="仿宋_GB2312" w:cs="仿宋_GB2312"/>
          <w:spacing w:val="-6"/>
          <w:kern w:val="2"/>
          <w:sz w:val="32"/>
          <w:szCs w:val="32"/>
          <w:lang w:val="en-US" w:eastAsia="zh-CN" w:bidi="ar"/>
        </w:rPr>
        <w:t>1.资金计划及到位。</w:t>
      </w:r>
      <w:r>
        <w:rPr>
          <w:rFonts w:hint="eastAsia" w:ascii="仿宋_GB2312" w:hAnsi="Times New Roman" w:eastAsia="仿宋_GB2312" w:cs="仿宋_GB2312"/>
          <w:spacing w:val="-6"/>
          <w:kern w:val="2"/>
          <w:sz w:val="32"/>
          <w:szCs w:val="32"/>
          <w:lang w:val="zh-CN" w:eastAsia="zh-CN" w:bidi="ar"/>
        </w:rPr>
        <w:t>驻京轮流值班经费1</w:t>
      </w:r>
      <w:r>
        <w:rPr>
          <w:rFonts w:hint="eastAsia" w:ascii="仿宋_GB2312" w:hAnsi="Times New Roman" w:eastAsia="仿宋_GB2312" w:cs="仿宋_GB2312"/>
          <w:spacing w:val="-6"/>
          <w:kern w:val="2"/>
          <w:sz w:val="32"/>
          <w:szCs w:val="32"/>
          <w:lang w:val="en-US" w:eastAsia="zh-CN" w:bidi="ar"/>
        </w:rPr>
        <w:t>3</w:t>
      </w:r>
      <w:r>
        <w:rPr>
          <w:rFonts w:hint="eastAsia" w:ascii="仿宋_GB2312" w:hAnsi="Times New Roman" w:eastAsia="仿宋_GB2312" w:cs="仿宋_GB2312"/>
          <w:spacing w:val="-6"/>
          <w:kern w:val="2"/>
          <w:sz w:val="32"/>
          <w:szCs w:val="32"/>
          <w:lang w:val="zh-CN" w:eastAsia="zh-CN" w:bidi="ar"/>
        </w:rPr>
        <w:t>万元，资金到位及时，全部到位。</w:t>
      </w:r>
    </w:p>
    <w:p>
      <w:pPr>
        <w:keepNext w:val="0"/>
        <w:keepLines w:val="0"/>
        <w:widowControl w:val="0"/>
        <w:suppressLineNumbers w:val="0"/>
        <w:autoSpaceDE w:val="0"/>
        <w:autoSpaceDN/>
        <w:spacing w:before="0" w:beforeAutospacing="0" w:after="0" w:afterAutospacing="0" w:line="600" w:lineRule="exact"/>
        <w:ind w:left="0" w:right="0" w:firstLine="616" w:firstLineChars="200"/>
        <w:jc w:val="both"/>
        <w:rPr>
          <w:rFonts w:hint="eastAsia" w:ascii="仿宋_GB2312" w:eastAsia="仿宋_GB2312" w:cs="仿宋_GB2312"/>
          <w:spacing w:val="-6"/>
          <w:sz w:val="32"/>
          <w:szCs w:val="32"/>
          <w:lang w:val="en-US"/>
        </w:rPr>
      </w:pPr>
      <w:r>
        <w:rPr>
          <w:rFonts w:hint="eastAsia" w:ascii="仿宋_GB2312" w:hAnsi="Times New Roman" w:eastAsia="仿宋_GB2312" w:cs="仿宋_GB2312"/>
          <w:spacing w:val="-6"/>
          <w:kern w:val="2"/>
          <w:sz w:val="32"/>
          <w:szCs w:val="32"/>
          <w:lang w:val="en-US" w:eastAsia="zh-CN" w:bidi="ar"/>
        </w:rPr>
        <w:t>2.资金使用。</w:t>
      </w:r>
      <w:r>
        <w:rPr>
          <w:rFonts w:hint="eastAsia" w:ascii="仿宋_GB2312" w:hAnsi="Times New Roman" w:eastAsia="仿宋_GB2312" w:cs="仿宋_GB2312"/>
          <w:spacing w:val="-6"/>
          <w:kern w:val="2"/>
          <w:sz w:val="32"/>
          <w:szCs w:val="32"/>
          <w:lang w:val="zh-CN" w:eastAsia="zh-CN" w:bidi="ar"/>
        </w:rPr>
        <w:t>严格按单位项目管理制度执行，根据项目的进度，达到付款条件后，经单位领导审核后授权支付。</w:t>
      </w:r>
    </w:p>
    <w:p>
      <w:pPr>
        <w:keepNext w:val="0"/>
        <w:keepLines w:val="0"/>
        <w:widowControl w:val="0"/>
        <w:suppressLineNumbers w:val="0"/>
        <w:autoSpaceDE w:val="0"/>
        <w:autoSpaceDN/>
        <w:spacing w:before="0" w:beforeAutospacing="0" w:after="0" w:afterAutospacing="0" w:line="600" w:lineRule="exact"/>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（二）项目财务管理情况</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zh-CN" w:eastAsia="zh-CN"/>
        </w:rPr>
      </w:pPr>
      <w:r>
        <w:rPr>
          <w:rFonts w:hint="eastAsia" w:ascii="仿宋_GB2312" w:hAnsi="宋体" w:eastAsia="仿宋_GB2312" w:cs="仿宋_GB2312"/>
          <w:kern w:val="2"/>
          <w:sz w:val="32"/>
          <w:szCs w:val="32"/>
          <w:lang w:val="zh-CN" w:eastAsia="zh-CN" w:bidi="ar"/>
        </w:rPr>
        <w:t>严格执行财务支出的报销制度，应附与经济业务事项相关的合法合规的原始凭证和附件，必须按规定的程序审核、审批，并有具体经办人、证明人、领导审批签字，才进行支付。</w:t>
      </w:r>
    </w:p>
    <w:p>
      <w:pPr>
        <w:keepNext w:val="0"/>
        <w:keepLines w:val="0"/>
        <w:widowControl w:val="0"/>
        <w:suppressLineNumbers w:val="0"/>
        <w:autoSpaceDE w:val="0"/>
        <w:autoSpaceDN/>
        <w:spacing w:before="0" w:beforeAutospacing="0" w:after="0" w:afterAutospacing="0" w:line="600" w:lineRule="exact"/>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（三）项目组织实施情况</w:t>
      </w:r>
    </w:p>
    <w:p>
      <w:pPr>
        <w:pStyle w:val="17"/>
        <w:widowControl/>
        <w:spacing w:line="600" w:lineRule="exact"/>
        <w:ind w:left="0" w:firstLine="640" w:firstLineChars="200"/>
        <w:rPr>
          <w:rFonts w:hint="eastAsia" w:ascii="仿宋_GB2312" w:hAnsi="仿宋_GB2312" w:eastAsia="仿宋_GB2312" w:cs="仿宋_GB2312"/>
          <w:sz w:val="32"/>
          <w:szCs w:val="32"/>
          <w:lang w:val="zh-CN" w:eastAsia="zh-CN" w:bidi="ar"/>
        </w:rPr>
      </w:pPr>
      <w:r>
        <w:rPr>
          <w:rFonts w:hint="eastAsia" w:ascii="仿宋_GB2312" w:hAnsi="仿宋_GB2312" w:eastAsia="仿宋_GB2312" w:cs="仿宋_GB2312"/>
          <w:sz w:val="32"/>
          <w:szCs w:val="32"/>
          <w:lang w:val="zh-CN" w:eastAsia="zh-CN" w:bidi="ar"/>
        </w:rPr>
        <w:t>1.项目组织架构及实施流程。根据区委、区政府信访工作统一安排，由我局根据工作需要进行确定和安排。资金分配严格按照审批流程操作执行，符合相关管理办法，分配结果公平合理。</w:t>
      </w:r>
    </w:p>
    <w:p>
      <w:pPr>
        <w:pStyle w:val="17"/>
        <w:widowControl/>
        <w:spacing w:line="600" w:lineRule="exact"/>
        <w:ind w:left="0" w:firstLine="640" w:firstLineChars="200"/>
        <w:rPr>
          <w:rFonts w:hint="eastAsia" w:ascii="仿宋_GB2312" w:hAnsi="仿宋_GB2312" w:eastAsia="仿宋_GB2312" w:cs="仿宋_GB2312"/>
          <w:sz w:val="32"/>
          <w:szCs w:val="32"/>
          <w:lang w:val="zh-CN" w:eastAsia="zh-CN" w:bidi="ar"/>
        </w:rPr>
      </w:pPr>
      <w:r>
        <w:rPr>
          <w:rFonts w:hint="eastAsia" w:ascii="仿宋_GB2312" w:hAnsi="仿宋_GB2312" w:eastAsia="仿宋_GB2312" w:cs="仿宋_GB2312"/>
          <w:sz w:val="32"/>
          <w:szCs w:val="32"/>
          <w:lang w:val="zh-CN" w:eastAsia="zh-CN" w:bidi="ar"/>
        </w:rPr>
        <w:t>2.项目管理情况。本项目资金仅限于驻京轮流值班工作，实行专款专用，资金使用合规，支出依据规范，无虚列支出，无截留、挤占、挪用现象。</w:t>
      </w:r>
    </w:p>
    <w:p>
      <w:pPr>
        <w:pStyle w:val="17"/>
        <w:widowControl/>
        <w:spacing w:line="600" w:lineRule="exact"/>
        <w:ind w:left="0" w:firstLine="640" w:firstLineChars="200"/>
        <w:rPr>
          <w:rFonts w:hint="eastAsia" w:ascii="仿宋_GB2312" w:hAnsi="仿宋_GB2312" w:eastAsia="仿宋_GB2312" w:cs="仿宋_GB2312"/>
          <w:sz w:val="32"/>
          <w:szCs w:val="32"/>
          <w:lang w:val="zh-CN" w:eastAsia="zh-CN" w:bidi="ar"/>
        </w:rPr>
      </w:pPr>
      <w:r>
        <w:rPr>
          <w:rFonts w:hint="eastAsia" w:ascii="仿宋_GB2312" w:hAnsi="仿宋_GB2312" w:eastAsia="仿宋_GB2312" w:cs="仿宋_GB2312"/>
          <w:sz w:val="32"/>
          <w:szCs w:val="32"/>
          <w:lang w:val="zh-CN" w:eastAsia="zh-CN" w:bidi="ar"/>
        </w:rPr>
        <w:t>3.项目监管情况。我局严格按照单位项目管理制度执行监管。</w:t>
      </w:r>
    </w:p>
    <w:p>
      <w:pPr>
        <w:keepNext w:val="0"/>
        <w:keepLines w:val="0"/>
        <w:widowControl w:val="0"/>
        <w:suppressLineNumbers w:val="0"/>
        <w:autoSpaceDE w:val="0"/>
        <w:autoSpaceDN/>
        <w:spacing w:before="0" w:beforeAutospacing="0" w:after="0" w:afterAutospacing="0" w:line="600" w:lineRule="exact"/>
        <w:ind w:left="0" w:right="0" w:firstLine="616" w:firstLineChars="200"/>
        <w:jc w:val="both"/>
        <w:rPr>
          <w:rFonts w:hint="eastAsia" w:ascii="黑体" w:hAnsi="宋体" w:eastAsia="黑体" w:cs="黑体"/>
          <w:spacing w:val="-6"/>
          <w:sz w:val="32"/>
          <w:szCs w:val="32"/>
          <w:lang w:val="en-US"/>
        </w:rPr>
      </w:pPr>
      <w:r>
        <w:rPr>
          <w:rFonts w:hint="eastAsia" w:ascii="黑体" w:hAnsi="宋体" w:eastAsia="黑体" w:cs="黑体"/>
          <w:spacing w:val="-6"/>
          <w:kern w:val="2"/>
          <w:sz w:val="32"/>
          <w:szCs w:val="32"/>
          <w:lang w:val="en-US" w:eastAsia="zh-CN" w:bidi="ar"/>
        </w:rPr>
        <w:t>三、项目绩效情况</w:t>
      </w:r>
      <w:r>
        <w:rPr>
          <w:rFonts w:hint="eastAsia" w:ascii="黑体" w:hAnsi="宋体" w:eastAsia="黑体" w:cs="黑体"/>
          <w:spacing w:val="-6"/>
          <w:kern w:val="2"/>
          <w:sz w:val="32"/>
          <w:szCs w:val="32"/>
          <w:lang w:val="en-US" w:eastAsia="zh-CN" w:bidi="ar"/>
        </w:rPr>
        <w:tab/>
      </w:r>
    </w:p>
    <w:p>
      <w:pPr>
        <w:keepNext w:val="0"/>
        <w:keepLines w:val="0"/>
        <w:widowControl w:val="0"/>
        <w:suppressLineNumbers w:val="0"/>
        <w:autoSpaceDE w:val="0"/>
        <w:autoSpaceDN/>
        <w:spacing w:before="0" w:beforeAutospacing="0" w:after="0" w:afterAutospacing="0" w:line="600" w:lineRule="exact"/>
        <w:ind w:left="0" w:right="0" w:firstLine="616" w:firstLineChars="200"/>
        <w:jc w:val="both"/>
        <w:rPr>
          <w:rFonts w:eastAsia="仿宋_GB2312"/>
          <w:lang w:val="en-US"/>
        </w:rPr>
      </w:pPr>
      <w:r>
        <w:rPr>
          <w:rFonts w:hint="eastAsia" w:ascii="楷体_GB2312" w:hAnsi="Times New Roman" w:eastAsia="楷体_GB2312" w:cs="楷体_GB2312"/>
          <w:bCs/>
          <w:spacing w:val="-6"/>
          <w:kern w:val="2"/>
          <w:sz w:val="32"/>
          <w:szCs w:val="32"/>
          <w:lang w:val="en-US" w:eastAsia="zh-CN" w:bidi="ar"/>
        </w:rPr>
        <w:t>（一）项目完成情况。</w:t>
      </w:r>
      <w:r>
        <w:rPr>
          <w:rFonts w:hint="eastAsia" w:ascii="仿宋_GB2312" w:hAnsi="仿宋_GB2312" w:eastAsia="仿宋_GB2312" w:cs="仿宋_GB2312"/>
          <w:kern w:val="2"/>
          <w:sz w:val="32"/>
          <w:szCs w:val="32"/>
          <w:lang w:val="en-US" w:eastAsia="zh-CN" w:bidi="ar"/>
        </w:rPr>
        <w:t>我局顺利完成驻京轮流值班工作，及时劝返进京上访人员，</w:t>
      </w:r>
      <w:r>
        <w:rPr>
          <w:rFonts w:hint="eastAsia" w:ascii="仿宋_GB2312" w:hAnsi="仿宋_GB2312" w:eastAsia="仿宋_GB2312" w:cs="仿宋_GB2312"/>
          <w:bCs/>
          <w:kern w:val="2"/>
          <w:sz w:val="32"/>
          <w:szCs w:val="32"/>
          <w:lang w:val="zh-CN" w:eastAsia="zh-CN" w:bidi="ar"/>
        </w:rPr>
        <w:t>值班期间广元市各项信访维稳工作有序开展，</w:t>
      </w:r>
      <w:r>
        <w:rPr>
          <w:rFonts w:hint="eastAsia" w:ascii="仿宋_GB2312" w:hAnsi="仿宋_GB2312" w:eastAsia="仿宋_GB2312" w:cs="仿宋_GB2312"/>
          <w:kern w:val="2"/>
          <w:sz w:val="32"/>
          <w:szCs w:val="32"/>
          <w:lang w:val="en-US" w:eastAsia="zh-CN" w:bidi="ar"/>
        </w:rPr>
        <w:t>没有极端不良事件发生，未引发社会舆情舆论，有效维护了社会和谐稳定。</w:t>
      </w:r>
    </w:p>
    <w:p>
      <w:pPr>
        <w:keepNext w:val="0"/>
        <w:keepLines w:val="0"/>
        <w:widowControl w:val="0"/>
        <w:suppressLineNumbers w:val="0"/>
        <w:autoSpaceDE w:val="0"/>
        <w:autoSpaceDN/>
        <w:spacing w:before="0" w:beforeAutospacing="0" w:after="0" w:afterAutospacing="0" w:line="600" w:lineRule="exact"/>
        <w:ind w:left="0" w:right="0" w:firstLine="616" w:firstLineChars="200"/>
        <w:jc w:val="both"/>
        <w:rPr>
          <w:rFonts w:hint="eastAsia" w:ascii="仿宋_GB2312" w:hAnsi="仿宋_GB2312" w:eastAsia="仿宋_GB2312" w:cs="仿宋_GB2312"/>
          <w:sz w:val="32"/>
          <w:szCs w:val="24"/>
          <w:lang w:val="en-US"/>
        </w:rPr>
      </w:pPr>
      <w:r>
        <w:rPr>
          <w:rFonts w:hint="eastAsia" w:ascii="楷体_GB2312" w:hAnsi="Times New Roman" w:eastAsia="楷体_GB2312" w:cs="楷体_GB2312"/>
          <w:bCs/>
          <w:spacing w:val="-6"/>
          <w:kern w:val="2"/>
          <w:sz w:val="32"/>
          <w:szCs w:val="32"/>
          <w:lang w:val="en-US" w:eastAsia="zh-CN" w:bidi="ar"/>
        </w:rPr>
        <w:t>（二）项目效益情况。</w:t>
      </w:r>
      <w:r>
        <w:rPr>
          <w:rFonts w:hint="eastAsia" w:ascii="仿宋_GB2312" w:hAnsi="仿宋_GB2312" w:eastAsia="仿宋_GB2312" w:cs="仿宋_GB2312"/>
          <w:kern w:val="2"/>
          <w:sz w:val="32"/>
          <w:szCs w:val="24"/>
          <w:lang w:val="en-US" w:eastAsia="zh-CN" w:bidi="ar"/>
        </w:rPr>
        <w:t>通过信访维稳工作的开展，有效维护了社会秩序，确保各项活动有序开展，有效维护了国家、社会和会稳定，提高了群众满意度，取得了良好的社会效益。</w:t>
      </w:r>
    </w:p>
    <w:p>
      <w:pPr>
        <w:keepNext w:val="0"/>
        <w:keepLines w:val="0"/>
        <w:widowControl w:val="0"/>
        <w:suppressLineNumbers w:val="0"/>
        <w:autoSpaceDE w:val="0"/>
        <w:autoSpaceDN/>
        <w:spacing w:before="0" w:beforeAutospacing="0" w:after="0" w:afterAutospacing="0" w:line="600" w:lineRule="exact"/>
        <w:ind w:left="0" w:right="0" w:firstLine="616" w:firstLineChars="200"/>
        <w:jc w:val="both"/>
        <w:rPr>
          <w:rFonts w:hint="eastAsia" w:ascii="黑体" w:hAnsi="宋体" w:eastAsia="黑体" w:cs="黑体"/>
          <w:spacing w:val="-6"/>
          <w:sz w:val="32"/>
          <w:szCs w:val="32"/>
          <w:lang w:val="en-US"/>
        </w:rPr>
      </w:pPr>
      <w:r>
        <w:rPr>
          <w:rFonts w:hint="eastAsia" w:ascii="黑体" w:hAnsi="宋体" w:eastAsia="黑体" w:cs="黑体"/>
          <w:spacing w:val="-6"/>
          <w:kern w:val="2"/>
          <w:sz w:val="32"/>
          <w:szCs w:val="32"/>
          <w:lang w:val="en-US" w:eastAsia="zh-CN" w:bidi="ar"/>
        </w:rPr>
        <w:t>四、问题及建议</w:t>
      </w:r>
    </w:p>
    <w:p>
      <w:pPr>
        <w:keepNext w:val="0"/>
        <w:keepLines w:val="0"/>
        <w:widowControl w:val="0"/>
        <w:suppressLineNumbers w:val="0"/>
        <w:autoSpaceDE w:val="0"/>
        <w:autoSpaceDN/>
        <w:spacing w:before="0" w:beforeAutospacing="0" w:after="0" w:afterAutospacing="0" w:line="600" w:lineRule="exact"/>
        <w:ind w:left="0" w:right="0" w:firstLine="616" w:firstLineChars="200"/>
        <w:jc w:val="both"/>
        <w:rPr>
          <w:rFonts w:hint="eastAsia" w:ascii="仿宋_GB2312" w:hAnsi="宋体" w:eastAsia="仿宋_GB2312" w:cs="仿宋_GB2312"/>
          <w:sz w:val="32"/>
          <w:szCs w:val="32"/>
          <w:lang w:val="zh-CN" w:eastAsia="zh-CN"/>
        </w:rPr>
      </w:pPr>
      <w:r>
        <w:rPr>
          <w:rFonts w:hint="eastAsia" w:ascii="楷体_GB2312" w:hAnsi="Times New Roman" w:eastAsia="楷体_GB2312" w:cs="楷体_GB2312"/>
          <w:bCs/>
          <w:spacing w:val="-6"/>
          <w:kern w:val="2"/>
          <w:sz w:val="32"/>
          <w:szCs w:val="32"/>
          <w:lang w:val="en-US" w:eastAsia="zh-CN" w:bidi="ar"/>
        </w:rPr>
        <w:t>（一）存在的问题。</w:t>
      </w:r>
      <w:r>
        <w:rPr>
          <w:rFonts w:hint="eastAsia" w:ascii="仿宋_GB2312" w:hAnsi="宋体" w:eastAsia="仿宋_GB2312" w:cs="仿宋_GB2312"/>
          <w:kern w:val="2"/>
          <w:sz w:val="32"/>
          <w:szCs w:val="32"/>
          <w:lang w:val="zh-CN" w:eastAsia="zh-CN" w:bidi="ar"/>
        </w:rPr>
        <w:t>预算编制细化程度还不够科学。资金使用效率结合还不够紧密。</w:t>
      </w:r>
    </w:p>
    <w:p>
      <w:pPr>
        <w:keepNext w:val="0"/>
        <w:keepLines w:val="0"/>
        <w:widowControl w:val="0"/>
        <w:suppressLineNumbers w:val="0"/>
        <w:autoSpaceDE w:val="0"/>
        <w:autoSpaceDN/>
        <w:spacing w:before="0" w:beforeAutospacing="0" w:after="0" w:afterAutospacing="0" w:line="600" w:lineRule="exact"/>
        <w:ind w:left="0" w:right="0" w:firstLine="616" w:firstLineChars="200"/>
        <w:jc w:val="both"/>
        <w:rPr>
          <w:rFonts w:hint="eastAsia" w:ascii="仿宋_GB2312" w:hAnsi="仿宋_GB2312" w:eastAsia="仿宋_GB2312" w:cs="仿宋_GB2312"/>
          <w:sz w:val="32"/>
          <w:szCs w:val="32"/>
          <w:lang w:val="en-US" w:bidi="ar"/>
        </w:rPr>
      </w:pPr>
      <w:r>
        <w:rPr>
          <w:rFonts w:hint="eastAsia" w:ascii="楷体_GB2312" w:hAnsi="Times New Roman" w:eastAsia="楷体_GB2312" w:cs="楷体_GB2312"/>
          <w:bCs/>
          <w:spacing w:val="-6"/>
          <w:kern w:val="2"/>
          <w:sz w:val="32"/>
          <w:szCs w:val="32"/>
          <w:lang w:val="en-US" w:eastAsia="zh-CN" w:bidi="ar"/>
        </w:rPr>
        <w:t>（二）相关建议。</w:t>
      </w:r>
      <w:r>
        <w:rPr>
          <w:rFonts w:hint="eastAsia" w:ascii="仿宋_GB2312" w:hAnsi="仿宋_GB2312" w:eastAsia="仿宋_GB2312" w:cs="仿宋_GB2312"/>
          <w:kern w:val="2"/>
          <w:sz w:val="32"/>
          <w:szCs w:val="32"/>
          <w:lang w:val="en-US" w:eastAsia="zh-CN" w:bidi="ar"/>
        </w:rPr>
        <w:t>继续加强和完善绩效管理体系，不断创新提高绩效管理水平。</w:t>
      </w:r>
    </w:p>
    <w:p>
      <w:pPr>
        <w:keepNext w:val="0"/>
        <w:keepLines w:val="0"/>
        <w:widowControl w:val="0"/>
        <w:suppressLineNumbers w:val="0"/>
        <w:spacing w:before="0" w:beforeAutospacing="0" w:after="0" w:afterAutospacing="0" w:line="600" w:lineRule="exact"/>
        <w:ind w:left="0" w:right="0"/>
        <w:jc w:val="both"/>
        <w:rPr>
          <w:lang w:val="en-US"/>
        </w:rPr>
      </w:pPr>
    </w:p>
    <w:p>
      <w:pPr>
        <w:keepNext w:val="0"/>
        <w:keepLines w:val="0"/>
        <w:widowControl w:val="0"/>
        <w:suppressLineNumbers w:val="0"/>
        <w:autoSpaceDE w:val="0"/>
        <w:autoSpaceDN/>
        <w:spacing w:before="0" w:beforeAutospacing="0" w:after="0" w:afterAutospacing="0" w:line="600" w:lineRule="exact"/>
        <w:ind w:left="1562" w:leftChars="304" w:right="0" w:hanging="924" w:hangingChars="300"/>
        <w:jc w:val="both"/>
        <w:rPr>
          <w:rFonts w:hint="eastAsia" w:ascii="黑体" w:hAnsi="宋体" w:eastAsia="黑体" w:cs="黑体"/>
          <w:color w:val="000000"/>
          <w:kern w:val="0"/>
          <w:sz w:val="24"/>
          <w:szCs w:val="24"/>
          <w:lang w:val="en-US"/>
        </w:rPr>
      </w:pPr>
      <w:r>
        <w:rPr>
          <w:rFonts w:hint="eastAsia" w:ascii="仿宋_GB2312" w:hAnsi="宋体" w:eastAsia="仿宋_GB2312" w:cs="仿宋_GB2312"/>
          <w:color w:val="000000"/>
          <w:spacing w:val="-6"/>
          <w:kern w:val="0"/>
          <w:sz w:val="32"/>
          <w:szCs w:val="32"/>
          <w:lang w:val="en-US" w:eastAsia="zh-CN" w:bidi="ar"/>
        </w:rPr>
        <w:t>附表：5-1.部门</w:t>
      </w:r>
      <w:r>
        <w:rPr>
          <w:rFonts w:hint="eastAsia" w:ascii="仿宋_GB2312" w:hAnsi="宋体" w:eastAsia="仿宋_GB2312" w:cs="宋体"/>
          <w:color w:val="000000"/>
          <w:kern w:val="0"/>
          <w:sz w:val="32"/>
          <w:szCs w:val="32"/>
          <w:lang w:val="en-US" w:eastAsia="zh-CN" w:bidi="ar"/>
        </w:rPr>
        <w:t>项目支出绩效目标自评表</w:t>
      </w:r>
    </w:p>
    <w:p>
      <w:pPr>
        <w:keepNext w:val="0"/>
        <w:keepLines w:val="0"/>
        <w:widowControl/>
        <w:suppressLineNumbers w:val="0"/>
        <w:autoSpaceDE w:val="0"/>
        <w:autoSpaceDN/>
        <w:spacing w:before="0" w:beforeAutospacing="0" w:after="0" w:afterAutospacing="0" w:line="600" w:lineRule="exact"/>
        <w:ind w:left="0" w:right="0" w:firstLine="1540" w:firstLineChars="500"/>
        <w:jc w:val="left"/>
        <w:rPr>
          <w:rFonts w:hint="eastAsia" w:ascii="仿宋_GB2312" w:hAnsi="宋体" w:eastAsia="仿宋_GB2312" w:cs="仿宋_GB2312"/>
          <w:color w:val="000000"/>
          <w:spacing w:val="-6"/>
          <w:kern w:val="0"/>
          <w:sz w:val="32"/>
          <w:szCs w:val="32"/>
          <w:lang w:val="en-US"/>
        </w:rPr>
      </w:pPr>
      <w:r>
        <w:rPr>
          <w:rFonts w:hint="eastAsia" w:ascii="仿宋_GB2312" w:hAnsi="宋体" w:eastAsia="仿宋_GB2312" w:cs="仿宋_GB2312"/>
          <w:color w:val="000000"/>
          <w:spacing w:val="-6"/>
          <w:kern w:val="0"/>
          <w:sz w:val="32"/>
          <w:szCs w:val="32"/>
          <w:lang w:val="en-US" w:eastAsia="zh-CN" w:bidi="ar"/>
        </w:rPr>
        <w:t>5-2.2021年部门预算项目支出绩效自评评分表</w:t>
      </w: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tbl>
      <w:tblPr>
        <w:tblStyle w:val="21"/>
        <w:tblW w:w="107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
        <w:gridCol w:w="972"/>
        <w:gridCol w:w="1347"/>
        <w:gridCol w:w="1710"/>
        <w:gridCol w:w="1971"/>
        <w:gridCol w:w="2280"/>
        <w:gridCol w:w="1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10788" w:type="dxa"/>
            <w:gridSpan w:val="7"/>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sz w:val="28"/>
                <w:szCs w:val="28"/>
                <w:lang w:val="en-US"/>
              </w:rPr>
            </w:pPr>
            <w:r>
              <w:rPr>
                <w:rFonts w:hint="eastAsia" w:ascii="黑体" w:hAnsi="宋体" w:eastAsia="黑体" w:cs="黑体"/>
                <w:color w:val="000000"/>
                <w:kern w:val="0"/>
                <w:sz w:val="28"/>
                <w:szCs w:val="28"/>
                <w:lang w:val="en-US" w:eastAsia="zh-CN" w:bidi="ar"/>
              </w:rPr>
              <w:t>附表5-1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10788" w:type="dxa"/>
            <w:gridSpan w:val="7"/>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color w:val="000000"/>
                <w:sz w:val="36"/>
                <w:szCs w:val="36"/>
                <w:lang w:val="en-US"/>
              </w:rPr>
            </w:pPr>
            <w:r>
              <w:rPr>
                <w:rFonts w:hint="eastAsia" w:ascii="方正小标宋简体" w:hAnsi="方正小标宋简体" w:eastAsia="方正小标宋简体" w:cs="方正小标宋简体"/>
                <w:color w:val="000000"/>
                <w:kern w:val="0"/>
                <w:sz w:val="44"/>
                <w:szCs w:val="44"/>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788" w:type="dxa"/>
            <w:gridSpan w:val="7"/>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22"/>
                <w:szCs w:val="22"/>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项目支出名称</w:t>
            </w:r>
          </w:p>
        </w:tc>
        <w:tc>
          <w:tcPr>
            <w:tcW w:w="92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驻京轮流值班工作经费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预算单位</w:t>
            </w:r>
          </w:p>
        </w:tc>
        <w:tc>
          <w:tcPr>
            <w:tcW w:w="92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w:t>
            </w:r>
          </w:p>
        </w:tc>
        <w:tc>
          <w:tcPr>
            <w:tcW w:w="2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 全年预算数（万元） </w:t>
            </w:r>
          </w:p>
        </w:tc>
        <w:tc>
          <w:tcPr>
            <w:tcW w:w="3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13</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 全年执行数（万元）</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其中：一般公共预算</w:t>
            </w:r>
          </w:p>
        </w:tc>
        <w:tc>
          <w:tcPr>
            <w:tcW w:w="3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13</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其中：一般公共预算</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政府性基金预算</w:t>
            </w:r>
          </w:p>
        </w:tc>
        <w:tc>
          <w:tcPr>
            <w:tcW w:w="3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政府性基金预算</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国有资本经营预算</w:t>
            </w:r>
          </w:p>
        </w:tc>
        <w:tc>
          <w:tcPr>
            <w:tcW w:w="3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国有资本经营预算</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社会保险基金预算</w:t>
            </w:r>
          </w:p>
        </w:tc>
        <w:tc>
          <w:tcPr>
            <w:tcW w:w="3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社会保险基金预算</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其他资金</w:t>
            </w:r>
          </w:p>
        </w:tc>
        <w:tc>
          <w:tcPr>
            <w:tcW w:w="3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其他资金</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2"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目标完成情况</w:t>
            </w:r>
          </w:p>
        </w:tc>
        <w:tc>
          <w:tcPr>
            <w:tcW w:w="6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全年预期目标</w:t>
            </w:r>
          </w:p>
        </w:tc>
        <w:tc>
          <w:tcPr>
            <w:tcW w:w="4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2021年度分别于7月、8月、9月各派出两人到北京值班，保障值班期间广元市各项信访维稳工作有序开展，不出现极端信访事件和负面舆情炒作。</w:t>
            </w:r>
          </w:p>
        </w:tc>
        <w:tc>
          <w:tcPr>
            <w:tcW w:w="417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顺利完成北京为期三个月的信访维稳值班，有效保障了值班期间广元市各项信访维稳工作有序开展，未出现极端信访事件和负面舆情炒作。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年度绩效指标完成情况</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全年预期指标值                        （包含数字及文字描述）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全年实际完成指标值                           （包含数字及文字描述）</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数量指标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驻京轮流值班人数</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6人</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6人</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3"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驻京轮流值班时间</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3个月</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3个月</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5"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驻京值班在岗率</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时效指标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完成时间</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2021年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2021年</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5"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值班经费</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13万元</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13万元</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5"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社会效益指标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维护社会安定和谐</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高</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高</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4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服务对象满意度指标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群众满意度</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bl>
    <w:p>
      <w:pPr>
        <w:pStyle w:val="26"/>
        <w:rPr>
          <w:rFonts w:hint="eastAsia"/>
          <w:lang w:val="en-US" w:eastAsia="zh-CN"/>
        </w:rPr>
      </w:pPr>
    </w:p>
    <w:p>
      <w:pPr>
        <w:pStyle w:val="26"/>
        <w:rPr>
          <w:rFonts w:hint="eastAsia"/>
          <w:lang w:val="en-US" w:eastAsia="zh-CN"/>
        </w:rPr>
      </w:pPr>
    </w:p>
    <w:p>
      <w:pPr>
        <w:pStyle w:val="26"/>
        <w:rPr>
          <w:rFonts w:hint="eastAsia"/>
          <w:lang w:val="en-US" w:eastAsia="zh-CN"/>
        </w:rPr>
        <w:sectPr>
          <w:pgSz w:w="11906" w:h="16838"/>
          <w:pgMar w:top="1440" w:right="1800" w:bottom="1440" w:left="1800" w:header="851" w:footer="992" w:gutter="0"/>
          <w:pgNumType w:fmt="decimal"/>
          <w:cols w:space="425" w:num="1"/>
          <w:titlePg/>
          <w:docGrid w:type="lines" w:linePitch="312" w:charSpace="0"/>
        </w:sectPr>
      </w:pP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646"/>
        <w:gridCol w:w="649"/>
        <w:gridCol w:w="5658"/>
        <w:gridCol w:w="490"/>
        <w:gridCol w:w="5578"/>
        <w:gridCol w:w="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7"/>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32"/>
                <w:szCs w:val="32"/>
                <w:lang w:val="en-US" w:eastAsia="zh-CN" w:bidi="ar"/>
              </w:rPr>
              <w:t>附表5-2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5000" w:type="pct"/>
            <w:gridSpan w:val="7"/>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方正大标宋_GBK" w:hAnsi="方正大标宋_GBK" w:eastAsia="方正大标宋_GBK" w:cs="方正大标宋_GBK"/>
                <w:b/>
                <w:bCs/>
                <w:color w:val="000000"/>
                <w:sz w:val="40"/>
                <w:szCs w:val="40"/>
                <w:lang w:val="en-US"/>
              </w:rPr>
            </w:pPr>
            <w:r>
              <w:rPr>
                <w:rFonts w:hint="eastAsia" w:ascii="方正小标宋简体" w:hAnsi="方正小标宋简体" w:eastAsia="方正小标宋简体" w:cs="方正小标宋简体"/>
                <w:color w:val="000000"/>
                <w:kern w:val="0"/>
                <w:sz w:val="44"/>
                <w:szCs w:val="44"/>
                <w:lang w:val="en-US" w:eastAsia="zh-CN" w:bidi="ar"/>
              </w:rPr>
              <w:t>2021年部门预算项目支出绩效自评评分表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一级 指标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二级指标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三级指标            </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指标内容</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参考分值</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评分标准</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项目决策（14分）</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项目立项</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立项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依据</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用以反映项目立项是否有充分的依据：符合国家法律法规、本地的相关规定；符合部门年度工作计划。</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①符合国家相关法律法规、国民经济发展规划和党委政府决策（1分）；                                                                                                           ②符合部门（单位）年度工作计划或项目实施单位职责密切相关（1分）。                                                             </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决策</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程序</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用以反映和考核项目立项的规范情况：项目的申请、设立过程是否符合相关要求。</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①项目是否按照规定的程序申请设立，审批文件、材料是否符合相关要求（1分）； ②事前是否已经过必要的可行性研究、专家论证、风险评估、集体决策等（1分）。</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项目目标</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目标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合理性</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用以反映和考核项目绩效目标与项目实施的相符情况：项目所设定的绩效目标是否依据充分，是否符合客观实际。</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①项目的测算依据充分（1分）；                                                                                                                                                       ②项目是否有绩效目标，与实际工作内容是否具有相关性（1分）；                                                                                                                        ③项目预期产出效益和效果是否符合正常的业绩水平（1分）；                                                                                                                                                                   ④与预算确定的项目投资额或资金量相匹配（1分）。</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指标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明确性</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用以反映和考核项目绩效目标与项目实施的相符情况：依据绩效目标设定的绩效指标是否清晰、细化、可衡量等。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①是否将绩效目标的绩效指标细化分解（1分）；                                                                                                                                                        ②分解的绩效指标体现清晰、可衡量的指标值（1分）；                                                                                                                                                   ③与项目年度任务数或计划数相对应（1分）；                                                                                                                                                         ④与预算确定的项目投资额或资金量相匹配（1分）。</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资金分配</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分配的合理性</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项目预算资金分配是否有测算依据，与项目单位或地方实际是否相适应；根据需要制定的相关资金管理办法；管理办法中有明确资金分配办法；资金分配因素全面、合理。</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①预算资金分配依据充分（1分）；                                                                                                                                 ②资金分配额度合理，与项目单位或地方实际相适应 （1分）。                 此项需提供相应的资金分配方案。</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项目管理（16分）</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资金管理（9分）</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资金</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到位率</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资金到位率=（实际到位资金/计划投入资金）×100%。                                                              实际到位资金：一定时期（本年度或项目期）内落实到具体项目的资金。                                                       预算资金：一定时期（本年度或项目期）内预算安排到具体项目的资金。</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根据项目资金的实际到位率计算得分（1分）</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预算</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执行率</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用以反映项目预算执行的进度：预算执行率=实际支出数/预算数。                                      实际支出资金：一定时期（本年度或项目期）内项目实际拨付的资金。</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根据项目资金的预算执行率计算得分（2分）</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资金</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使用</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用以反映和考核项目资金的规范运行情况：项目资金使用是否符合相关的财务管理制度规定。</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6</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①符合国家财经法规和财务管理制度以及有关专项资金管理办法的规定（1分）；                                                                      ②资金的拨付审批程序和手续完整（1分）；                                                                                           ③符合项目预算批复或合同规定的用途（1分）；                                                                                                                                                                    ④无截留、挤占、挪用、无虚列支出（3分）；                                                                                                                                                                                 若评价前已完成项目资金的专项审计，该指标可用审计结论代替。</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组织实施（7分）</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制度</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管理</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用以反映和考核财务和业务管理制度对项目顺利实施的制度保障情况。</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①制定或具有相应的财务和业务管理制度（1分）；                                                                                                                                                         ②财务和业务管理制度合法、合规、完整（1分）。</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制度</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执行</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用以反映和考核业务管理制度的有效执行和质量控制情况：项目实施是否符合相关业务管理规定，是否为达到项目质量要求而采取了必需的措施。</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①按相关法律法规和业务管理规定执行（1分）；                                                                                                                                                      ②项目调整及支出调整手续完备（1分）；                                                                                                                                                                   ③项目合同书、验收报告、技术鉴定等资料规范、齐全（2分）；                                                                                                                                                                      ④项目实施的人员条件、场地设备等是否落实到位（1分）。</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8"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项目绩效（特性指标）（70）</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项目产出（35分）</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实际</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完成率</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实际完成率=（实际产出数/计划产出数）×100%。                                                            实际产出数：一定时期（本年度或项目期）内项目实际产出的产品或提供的服务数量。                                                                                         计划产出数：项目绩效目标确定的在一定时期（本年度或项目期）内计划产出的产品或提供的服务数量。</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完成绩效目标100%得9分，未完成100%的同比例扣减。</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4"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质量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达标率</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质量达标率=（质量达标产出数量/计划完成产出数量）×100%。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质量达标产出数：一定时期（本年度或项目期）内实际达到既定质量标准的产品或服务数量。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既定质量标准是指项目实施单位设立绩效目标时依据计划标准、行业标准、历史标准或其他标准而设定的绩效指标值。  </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产出质量达到绩效目标100%得9分，未完成100%的同比例扣减。</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完成及时性</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完成及时率=计划时限内实际完成的项目数量/计划时限内应完成的项目数量×100%。                                                                                                                               实际完成时间：项目实施单位完成该项目实际所耗用的时间。                                                                         计划完成时间：按照项目实施计划或相关规定完成该项目所需的时间。</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产出时效达到绩效目标得8分，未完成且无充分理由的扣3分。</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完成成本（成本节约率）</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成本节约率=[（计划成本-实际成本）/计划成本]×100%。                                                        实际成本：项目实施单位如期、保质、保量完成既定工作目标实际所耗费的支出。                                                                                        计划成本：项目实施单位为完成工作目标计划安排的支出，一般以项目预算为参考。</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产出成本按绩效目标控制得9分，未完成的，按超支比例扣减。</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项目效益（30分）</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经济效益（可选项）</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反映相关产出对经济社会发展带来的影响和效果，根据项目实际细化具体指标。重点考核投入产出率、回报率、增长率等指标。</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7</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完成绩效目标设定的经济效益得7分，未完成的，按完成情况酌情扣分。</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社会效益（可选项）</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反映相关产出对社会发展带来的影响和效果，根据项目实际细化具体指标。重点考核撬动率、贡献率、达标率、就业率等指标。</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完成绩效目标设定的社会效益得7分，未完成的，按完成情况酌情扣分。</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环境效益（可选项）</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反映相关产出对自然环境带来的影响和效果，根据项目实际细化具体指标。</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7</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完成绩效目标设定的积极的环境效益得7分，未完成的，按完成情况酌情扣分。</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可持续效益（可选项）</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反映相关产出带来影响的可持续期限，根据项目实际细化具体指标。</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完成绩效设定目标的得7分，未完成的，按完成情况酌情扣分。</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              （5分）</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服务对象满意度</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满意率反映服务对象或项目受益人对相关产出及其影响的认可程度，根据项目实际细化具体指标。重点考核满意率等指标。</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满意率达90%（含）以上的得5分；80%（含）-89%得4分；70%（含）-79%得3分；60%（含）-69%得2分；60%以下不得分。</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271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分值</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100</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自评得分</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Cs w:val="21"/>
                <w:lang w:val="en-US"/>
              </w:rPr>
            </w:pPr>
            <w:r>
              <w:rPr>
                <w:rFonts w:hint="eastAsia" w:ascii="宋体" w:hAnsi="宋体" w:eastAsia="宋体" w:cs="宋体"/>
                <w:b/>
                <w:bCs/>
                <w:color w:val="000000"/>
                <w:kern w:val="0"/>
                <w:sz w:val="21"/>
                <w:szCs w:val="21"/>
                <w:lang w:val="en-US" w:eastAsia="zh-CN" w:bidi="ar"/>
              </w:rPr>
              <w:t>自评等级</w:t>
            </w:r>
          </w:p>
        </w:tc>
        <w:tc>
          <w:tcPr>
            <w:tcW w:w="42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Style w:val="54"/>
                <w:kern w:val="2"/>
                <w:sz w:val="20"/>
                <w:szCs w:val="20"/>
                <w:lang w:val="en-US" w:eastAsia="zh-CN" w:bidi="ar"/>
              </w:rPr>
              <w:t>自评结果：</w:t>
            </w:r>
            <w:r>
              <w:rPr>
                <w:rStyle w:val="53"/>
                <w:kern w:val="2"/>
                <w:lang w:val="en-US" w:eastAsia="zh-CN" w:bidi="ar"/>
              </w:rPr>
              <w:t>□优秀（90≤得分≤100）；   □良好（80≤得分＜89）；   □及格（60≤得分＜79）；   □不及格（低于60分）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7"/>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sz w:val="18"/>
                <w:szCs w:val="18"/>
                <w:lang w:val="en-US"/>
              </w:rPr>
            </w:pPr>
            <w:r>
              <w:rPr>
                <w:rStyle w:val="52"/>
                <w:kern w:val="2"/>
                <w:sz w:val="18"/>
                <w:szCs w:val="18"/>
                <w:lang w:val="en-US" w:eastAsia="zh-CN" w:bidi="ar"/>
              </w:rPr>
              <w:t>说明：项目特性指标</w:t>
            </w:r>
            <w:r>
              <w:rPr>
                <w:rStyle w:val="51"/>
                <w:kern w:val="2"/>
                <w:sz w:val="18"/>
                <w:szCs w:val="18"/>
                <w:lang w:val="en-US" w:eastAsia="zh-CN" w:bidi="ar"/>
              </w:rPr>
              <w:t>是根据项目绩效目标申报表填报的项目产出指标和效益指标对比实际完成情况进行自评；项目效益指标分值在总分值不变的情况下将可选项指标没选中的分值，适当、合理调整到选中效益指标当中去。</w:t>
            </w:r>
          </w:p>
        </w:tc>
      </w:tr>
    </w:tbl>
    <w:p>
      <w:pPr>
        <w:pStyle w:val="26"/>
        <w:rPr>
          <w:rFonts w:hint="eastAsia"/>
          <w:lang w:val="en-US" w:eastAsia="zh-CN"/>
        </w:rPr>
      </w:pPr>
    </w:p>
    <w:p>
      <w:pPr>
        <w:pStyle w:val="26"/>
        <w:rPr>
          <w:rFonts w:hint="eastAsia"/>
          <w:lang w:val="en-US" w:eastAsia="zh-CN"/>
        </w:rPr>
        <w:sectPr>
          <w:pgSz w:w="16838" w:h="11906" w:orient="landscape"/>
          <w:pgMar w:top="1800" w:right="1440" w:bottom="1800" w:left="1440" w:header="851" w:footer="992" w:gutter="0"/>
          <w:pgNumType w:fmt="decimal"/>
          <w:cols w:space="425" w:num="1"/>
          <w:titlePg/>
          <w:docGrid w:type="lines" w:linePitch="312" w:charSpace="0"/>
        </w:sectPr>
      </w:pPr>
    </w:p>
    <w:p>
      <w:pPr>
        <w:keepNext w:val="0"/>
        <w:keepLines w:val="0"/>
        <w:widowControl w:val="0"/>
        <w:suppressLineNumbers w:val="0"/>
        <w:autoSpaceDE w:val="0"/>
        <w:autoSpaceDN/>
        <w:spacing w:before="0" w:beforeAutospacing="0" w:after="0" w:afterAutospacing="0" w:line="576" w:lineRule="exact"/>
        <w:ind w:left="0" w:right="0"/>
        <w:jc w:val="left"/>
        <w:rPr>
          <w:rFonts w:hint="eastAsia" w:ascii="黑体" w:hAnsi="宋体" w:eastAsia="黑体" w:cs="黑体"/>
          <w:kern w:val="0"/>
          <w:sz w:val="32"/>
          <w:szCs w:val="32"/>
          <w:lang w:val="en-US"/>
        </w:rPr>
      </w:pPr>
      <w:r>
        <w:rPr>
          <w:rFonts w:hint="eastAsia" w:ascii="黑体" w:hAnsi="宋体" w:eastAsia="黑体" w:cs="黑体"/>
          <w:kern w:val="0"/>
          <w:sz w:val="32"/>
          <w:szCs w:val="32"/>
          <w:lang w:val="en-US" w:eastAsia="zh-CN" w:bidi="ar"/>
        </w:rPr>
        <w:t>附件6</w:t>
      </w:r>
    </w:p>
    <w:p>
      <w:pPr>
        <w:keepNext w:val="0"/>
        <w:keepLines w:val="0"/>
        <w:widowControl w:val="0"/>
        <w:suppressLineNumbers w:val="0"/>
        <w:autoSpaceDE w:val="0"/>
        <w:autoSpaceDN/>
        <w:spacing w:before="0" w:beforeAutospacing="0" w:after="0" w:afterAutospacing="0" w:line="576" w:lineRule="exact"/>
        <w:ind w:left="0" w:right="0"/>
        <w:jc w:val="center"/>
        <w:rPr>
          <w:rFonts w:hint="eastAsia" w:ascii="方正小标宋简体" w:hAnsi="方正小标宋简体" w:eastAsia="方正小标宋简体" w:cs="方正小标宋简体"/>
          <w:bCs/>
          <w:color w:val="000000"/>
          <w:spacing w:val="-6"/>
          <w:kern w:val="0"/>
          <w:sz w:val="44"/>
          <w:szCs w:val="44"/>
          <w:lang w:val="en-US"/>
        </w:rPr>
      </w:pPr>
      <w:r>
        <w:rPr>
          <w:rFonts w:hint="eastAsia" w:ascii="方正小标宋简体" w:hAnsi="方正小标宋简体" w:eastAsia="方正小标宋简体" w:cs="方正小标宋简体"/>
          <w:bCs/>
          <w:color w:val="000000"/>
          <w:spacing w:val="-6"/>
          <w:kern w:val="0"/>
          <w:sz w:val="44"/>
          <w:szCs w:val="44"/>
          <w:lang w:val="en-US" w:eastAsia="zh-CN" w:bidi="ar"/>
        </w:rPr>
        <w:t>2021年网格化租赁项目支出绩效自评报告</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黑体" w:hAnsi="宋体" w:eastAsia="黑体" w:cs="黑体"/>
          <w:spacing w:val="-6"/>
          <w:sz w:val="32"/>
          <w:szCs w:val="32"/>
          <w:lang w:val="en-US"/>
        </w:rPr>
      </w:pP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黑体" w:hAnsi="宋体" w:eastAsia="黑体" w:cs="黑体"/>
          <w:spacing w:val="-6"/>
          <w:sz w:val="32"/>
          <w:szCs w:val="32"/>
          <w:lang w:val="en-US"/>
        </w:rPr>
      </w:pPr>
      <w:r>
        <w:rPr>
          <w:rFonts w:hint="eastAsia" w:ascii="黑体" w:hAnsi="宋体" w:eastAsia="黑体" w:cs="黑体"/>
          <w:spacing w:val="-6"/>
          <w:kern w:val="2"/>
          <w:sz w:val="32"/>
          <w:szCs w:val="32"/>
          <w:lang w:val="en-US" w:eastAsia="zh-CN" w:bidi="ar"/>
        </w:rPr>
        <w:t>一、项目概况</w:t>
      </w:r>
    </w:p>
    <w:p>
      <w:pPr>
        <w:keepNext w:val="0"/>
        <w:keepLines w:val="0"/>
        <w:widowControl w:val="0"/>
        <w:suppressLineNumbers w:val="0"/>
        <w:adjustRightInd w:val="0"/>
        <w:snapToGrid w:val="0"/>
        <w:spacing w:before="0" w:beforeAutospacing="0" w:after="0" w:afterAutospacing="0" w:line="576" w:lineRule="exact"/>
        <w:ind w:left="0" w:right="0" w:firstLine="616" w:firstLineChars="200"/>
        <w:jc w:val="both"/>
        <w:rPr>
          <w:rFonts w:hint="eastAsia" w:ascii="仿宋_GB2312" w:hAnsi="仿宋_GB2312" w:eastAsia="仿宋_GB2312" w:cs="仿宋_GB2312"/>
          <w:sz w:val="32"/>
          <w:szCs w:val="32"/>
          <w:lang w:val="en-US"/>
        </w:rPr>
      </w:pPr>
      <w:r>
        <w:rPr>
          <w:rFonts w:hint="eastAsia" w:ascii="楷体_GB2312" w:hAnsi="Times New Roman" w:eastAsia="楷体_GB2312" w:cs="楷体_GB2312"/>
          <w:bCs/>
          <w:spacing w:val="-6"/>
          <w:kern w:val="2"/>
          <w:sz w:val="32"/>
          <w:szCs w:val="32"/>
          <w:lang w:val="en-US" w:eastAsia="zh-CN" w:bidi="ar"/>
        </w:rPr>
        <w:t>（一）项目资金申报及批复情况。</w:t>
      </w:r>
      <w:r>
        <w:rPr>
          <w:rFonts w:hint="eastAsia" w:ascii="仿宋_GB2312" w:hAnsi="仿宋_GB2312" w:eastAsia="仿宋_GB2312" w:cs="仿宋_GB2312"/>
          <w:kern w:val="2"/>
          <w:sz w:val="32"/>
          <w:szCs w:val="32"/>
          <w:lang w:val="zh-CN" w:eastAsia="zh-CN" w:bidi="ar"/>
        </w:rPr>
        <w:t>朝天区</w:t>
      </w:r>
      <w:r>
        <w:rPr>
          <w:rFonts w:hint="eastAsia" w:ascii="仿宋_GB2312" w:hAnsi="仿宋_GB2312" w:eastAsia="仿宋_GB2312" w:cs="仿宋_GB2312"/>
          <w:kern w:val="2"/>
          <w:sz w:val="32"/>
          <w:szCs w:val="32"/>
          <w:lang w:val="en-US" w:eastAsia="zh-CN" w:bidi="ar"/>
        </w:rPr>
        <w:t>2021年度财政下达我局</w:t>
      </w:r>
      <w:r>
        <w:rPr>
          <w:rFonts w:hint="eastAsia" w:ascii="仿宋_GB2312" w:hAnsi="宋体" w:eastAsia="仿宋_GB2312" w:cs="仿宋_GB2312"/>
          <w:spacing w:val="-6"/>
          <w:kern w:val="2"/>
          <w:sz w:val="32"/>
          <w:szCs w:val="32"/>
          <w:lang w:val="en-US" w:eastAsia="zh-CN" w:bidi="ar"/>
        </w:rPr>
        <w:t>网格化租赁项目</w:t>
      </w:r>
      <w:r>
        <w:rPr>
          <w:rFonts w:hint="eastAsia" w:ascii="仿宋_GB2312" w:hAnsi="仿宋_GB2312" w:eastAsia="仿宋_GB2312" w:cs="仿宋_GB2312"/>
          <w:kern w:val="2"/>
          <w:sz w:val="32"/>
          <w:szCs w:val="32"/>
          <w:lang w:val="en-US" w:eastAsia="zh-CN" w:bidi="ar"/>
        </w:rPr>
        <w:t>经费预算1.8万元，按程序进行申报，资金及时批复到位，申报程序符合资金管理办法相关规定。</w:t>
      </w:r>
    </w:p>
    <w:p>
      <w:pPr>
        <w:keepNext w:val="0"/>
        <w:keepLines w:val="0"/>
        <w:widowControl w:val="0"/>
        <w:suppressLineNumbers w:val="0"/>
        <w:adjustRightInd w:val="0"/>
        <w:snapToGrid w:val="0"/>
        <w:spacing w:before="0" w:beforeAutospacing="0" w:after="0" w:afterAutospacing="0" w:line="576" w:lineRule="exact"/>
        <w:ind w:left="0" w:right="0" w:firstLine="616" w:firstLineChars="200"/>
        <w:jc w:val="both"/>
        <w:rPr>
          <w:rFonts w:hint="eastAsia" w:ascii="仿宋_GB2312" w:hAnsi="仿宋_GB2312" w:eastAsia="仿宋_GB2312" w:cs="仿宋_GB2312"/>
          <w:bCs/>
          <w:sz w:val="32"/>
          <w:szCs w:val="32"/>
          <w:lang w:val="zh-CN" w:eastAsia="zh-CN"/>
        </w:rPr>
      </w:pPr>
      <w:r>
        <w:rPr>
          <w:rFonts w:hint="eastAsia" w:ascii="楷体_GB2312" w:hAnsi="Times New Roman" w:eastAsia="楷体_GB2312" w:cs="楷体_GB2312"/>
          <w:bCs/>
          <w:spacing w:val="-6"/>
          <w:kern w:val="2"/>
          <w:sz w:val="32"/>
          <w:szCs w:val="32"/>
          <w:lang w:val="en-US" w:eastAsia="zh-CN" w:bidi="ar"/>
        </w:rPr>
        <w:t>（二）项目绩效目标。</w:t>
      </w:r>
      <w:r>
        <w:rPr>
          <w:rFonts w:hint="eastAsia" w:ascii="仿宋_GB2312" w:hAnsi="仿宋_GB2312" w:eastAsia="仿宋_GB2312" w:cs="仿宋_GB2312"/>
          <w:bCs/>
          <w:kern w:val="2"/>
          <w:sz w:val="32"/>
          <w:szCs w:val="32"/>
          <w:lang w:val="zh-CN" w:eastAsia="zh-CN" w:bidi="ar"/>
        </w:rPr>
        <w:t>保证网格化服务信息管理系统的正常运行，全面推进平安中国建设，维护国家安全，确保人民安居乐业、社会安定有序。</w:t>
      </w:r>
    </w:p>
    <w:p>
      <w:pPr>
        <w:keepNext w:val="0"/>
        <w:keepLines w:val="0"/>
        <w:widowControl w:val="0"/>
        <w:suppressLineNumbers w:val="0"/>
        <w:adjustRightInd w:val="0"/>
        <w:snapToGrid w:val="0"/>
        <w:spacing w:before="0" w:beforeAutospacing="0" w:after="0" w:afterAutospacing="0" w:line="576" w:lineRule="exact"/>
        <w:ind w:left="0" w:right="0" w:firstLine="616" w:firstLineChars="200"/>
        <w:jc w:val="both"/>
        <w:rPr>
          <w:rFonts w:hint="eastAsia" w:ascii="仿宋_GB2312" w:hAnsi="仿宋_GB2312" w:eastAsia="仿宋_GB2312" w:cs="仿宋_GB2312"/>
          <w:sz w:val="32"/>
          <w:szCs w:val="32"/>
          <w:lang w:val="en-US"/>
        </w:rPr>
      </w:pPr>
      <w:r>
        <w:rPr>
          <w:rFonts w:hint="eastAsia" w:ascii="楷体_GB2312" w:hAnsi="Times New Roman" w:eastAsia="楷体_GB2312" w:cs="楷体_GB2312"/>
          <w:bCs/>
          <w:spacing w:val="-6"/>
          <w:kern w:val="2"/>
          <w:sz w:val="32"/>
          <w:szCs w:val="32"/>
          <w:lang w:val="en-US" w:eastAsia="zh-CN" w:bidi="ar"/>
        </w:rPr>
        <w:t>（三）项目资金申报相符性。</w:t>
      </w:r>
      <w:r>
        <w:rPr>
          <w:rFonts w:hint="eastAsia" w:ascii="仿宋_GB2312" w:hAnsi="仿宋_GB2312" w:eastAsia="仿宋_GB2312" w:cs="仿宋_GB2312"/>
          <w:kern w:val="2"/>
          <w:sz w:val="32"/>
          <w:szCs w:val="32"/>
          <w:lang w:val="zh-CN" w:eastAsia="zh-CN" w:bidi="ar"/>
        </w:rPr>
        <w:t>项目申报内容与具体实施内容相符、申报目标合理可行。</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黑体" w:hAnsi="宋体" w:eastAsia="黑体" w:cs="黑体"/>
          <w:spacing w:val="-6"/>
          <w:sz w:val="32"/>
          <w:szCs w:val="32"/>
          <w:lang w:val="en-US"/>
        </w:rPr>
      </w:pPr>
      <w:r>
        <w:rPr>
          <w:rFonts w:hint="eastAsia" w:ascii="黑体" w:hAnsi="宋体" w:eastAsia="黑体" w:cs="黑体"/>
          <w:spacing w:val="-6"/>
          <w:kern w:val="2"/>
          <w:sz w:val="32"/>
          <w:szCs w:val="32"/>
          <w:lang w:val="en-US" w:eastAsia="zh-CN" w:bidi="ar"/>
        </w:rPr>
        <w:t>二、项目实施及管理情况</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（一）资金计划、到位及使用情况</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仿宋_GB2312" w:eastAsia="仿宋_GB2312" w:cs="仿宋_GB2312"/>
          <w:spacing w:val="-6"/>
          <w:sz w:val="32"/>
          <w:szCs w:val="32"/>
          <w:lang w:val="zh-CN" w:eastAsia="zh-CN"/>
        </w:rPr>
      </w:pPr>
      <w:r>
        <w:rPr>
          <w:rFonts w:hint="eastAsia" w:ascii="仿宋_GB2312" w:hAnsi="Times New Roman" w:eastAsia="仿宋_GB2312" w:cs="仿宋_GB2312"/>
          <w:spacing w:val="-6"/>
          <w:kern w:val="2"/>
          <w:sz w:val="32"/>
          <w:szCs w:val="32"/>
          <w:lang w:val="en-US" w:eastAsia="zh-CN" w:bidi="ar"/>
        </w:rPr>
        <w:t>1.资金计划及到位。</w:t>
      </w:r>
      <w:r>
        <w:rPr>
          <w:rFonts w:hint="eastAsia" w:ascii="仿宋_GB2312" w:hAnsi="Times New Roman" w:eastAsia="仿宋_GB2312" w:cs="仿宋_GB2312"/>
          <w:spacing w:val="-6"/>
          <w:kern w:val="2"/>
          <w:sz w:val="32"/>
          <w:szCs w:val="32"/>
          <w:lang w:val="zh-CN" w:eastAsia="zh-CN" w:bidi="ar"/>
        </w:rPr>
        <w:t>预算</w:t>
      </w:r>
      <w:r>
        <w:rPr>
          <w:rFonts w:hint="eastAsia" w:ascii="仿宋_GB2312" w:hAnsi="宋体" w:eastAsia="仿宋_GB2312" w:cs="仿宋_GB2312"/>
          <w:spacing w:val="-6"/>
          <w:kern w:val="2"/>
          <w:sz w:val="32"/>
          <w:szCs w:val="32"/>
          <w:lang w:val="en-US" w:eastAsia="zh-CN" w:bidi="ar"/>
        </w:rPr>
        <w:t>网格化租赁费1.8</w:t>
      </w:r>
      <w:r>
        <w:rPr>
          <w:rFonts w:hint="eastAsia" w:ascii="仿宋_GB2312" w:hAnsi="Times New Roman" w:eastAsia="仿宋_GB2312" w:cs="仿宋_GB2312"/>
          <w:spacing w:val="-6"/>
          <w:kern w:val="2"/>
          <w:sz w:val="32"/>
          <w:szCs w:val="32"/>
          <w:lang w:val="zh-CN" w:eastAsia="zh-CN" w:bidi="ar"/>
        </w:rPr>
        <w:t>万元。资金到位及时，全部到位。</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仿宋_GB2312" w:eastAsia="仿宋_GB2312" w:cs="仿宋_GB2312"/>
          <w:spacing w:val="-6"/>
          <w:sz w:val="32"/>
          <w:szCs w:val="32"/>
          <w:lang w:val="en-US"/>
        </w:rPr>
      </w:pPr>
      <w:r>
        <w:rPr>
          <w:rFonts w:hint="eastAsia" w:ascii="仿宋_GB2312" w:hAnsi="Times New Roman" w:eastAsia="仿宋_GB2312" w:cs="仿宋_GB2312"/>
          <w:spacing w:val="-6"/>
          <w:kern w:val="2"/>
          <w:sz w:val="32"/>
          <w:szCs w:val="32"/>
          <w:lang w:val="en-US" w:eastAsia="zh-CN" w:bidi="ar"/>
        </w:rPr>
        <w:t>2.资金使用。</w:t>
      </w:r>
      <w:r>
        <w:rPr>
          <w:rFonts w:hint="eastAsia" w:ascii="仿宋_GB2312" w:hAnsi="Times New Roman" w:eastAsia="仿宋_GB2312" w:cs="仿宋_GB2312"/>
          <w:spacing w:val="-6"/>
          <w:kern w:val="2"/>
          <w:sz w:val="32"/>
          <w:szCs w:val="32"/>
          <w:lang w:val="zh-CN" w:eastAsia="zh-CN" w:bidi="ar"/>
        </w:rPr>
        <w:t>严格按单位项目管理制度执行，根据项目的进度，达到付款条件后，经单位领导审核后授权支付。</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（二）项目财务管理情况</w:t>
      </w:r>
    </w:p>
    <w:p>
      <w:pPr>
        <w:keepNext w:val="0"/>
        <w:keepLines w:val="0"/>
        <w:widowControl w:val="0"/>
        <w:suppressLineNumbers w:val="0"/>
        <w:adjustRightInd w:val="0"/>
        <w:snapToGrid w:val="0"/>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zh-CN" w:eastAsia="zh-CN"/>
        </w:rPr>
      </w:pPr>
      <w:r>
        <w:rPr>
          <w:rFonts w:hint="eastAsia" w:ascii="仿宋_GB2312" w:hAnsi="宋体" w:eastAsia="仿宋_GB2312" w:cs="仿宋_GB2312"/>
          <w:kern w:val="2"/>
          <w:sz w:val="32"/>
          <w:szCs w:val="32"/>
          <w:lang w:val="zh-CN" w:eastAsia="zh-CN" w:bidi="ar"/>
        </w:rPr>
        <w:t>严格执行财务支出的报销制度，应附与经济业务事项相关的合法合规的原始凭证和附件，必须按规定的程序审核、审批，并有具体经办人、证明人、领导审批签字，才进行支付。</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（三）项目组织实施情况</w:t>
      </w:r>
    </w:p>
    <w:p>
      <w:pPr>
        <w:pStyle w:val="17"/>
        <w:widowControl/>
        <w:spacing w:line="576" w:lineRule="exact"/>
        <w:ind w:left="0" w:firstLine="640" w:firstLineChars="200"/>
        <w:rPr>
          <w:rFonts w:hint="eastAsia" w:ascii="仿宋_GB2312" w:hAnsi="宋体" w:eastAsia="仿宋_GB2312" w:cs="仿宋_GB2312"/>
          <w:sz w:val="32"/>
          <w:szCs w:val="32"/>
          <w:lang w:val="zh-CN" w:eastAsia="zh-CN"/>
        </w:rPr>
      </w:pPr>
      <w:r>
        <w:rPr>
          <w:rFonts w:hint="eastAsia" w:ascii="仿宋_GB2312" w:hAnsi="宋体" w:eastAsia="仿宋_GB2312" w:cs="仿宋_GB2312"/>
          <w:sz w:val="32"/>
          <w:szCs w:val="32"/>
          <w:lang w:val="zh-CN" w:eastAsia="zh-CN"/>
        </w:rPr>
        <w:t>1.项目组织架构及实施流程。根据区委、区政府信访工作统一安排，由我局根据工作需要进行确定和安排。资金分配严格按照审批流程操作执行，符合相关管理办法，分配结果公平合理。</w:t>
      </w:r>
    </w:p>
    <w:p>
      <w:pPr>
        <w:pStyle w:val="17"/>
        <w:widowControl/>
        <w:spacing w:line="576" w:lineRule="exact"/>
        <w:ind w:left="0" w:firstLine="640" w:firstLineChars="200"/>
        <w:rPr>
          <w:rFonts w:hint="eastAsia" w:ascii="仿宋_GB2312" w:hAnsi="宋体" w:eastAsia="仿宋_GB2312" w:cs="仿宋_GB2312"/>
          <w:sz w:val="32"/>
          <w:szCs w:val="32"/>
          <w:lang w:val="zh-CN" w:eastAsia="zh-CN"/>
        </w:rPr>
      </w:pPr>
      <w:r>
        <w:rPr>
          <w:rFonts w:hint="eastAsia" w:ascii="仿宋_GB2312" w:hAnsi="宋体" w:eastAsia="仿宋_GB2312" w:cs="仿宋_GB2312"/>
          <w:sz w:val="32"/>
          <w:szCs w:val="32"/>
          <w:lang w:val="zh-CN" w:eastAsia="zh-CN"/>
        </w:rPr>
        <w:t>2.项目管理情况。本项目资金仅限于网格化租赁工作，实行专款专用，资金使用合规，支出依据规范，无虚列支出，无截留、挤占、挪用现象。</w:t>
      </w:r>
    </w:p>
    <w:p>
      <w:pPr>
        <w:keepNext w:val="0"/>
        <w:keepLines w:val="0"/>
        <w:widowControl w:val="0"/>
        <w:suppressLineNumbers w:val="0"/>
        <w:adjustRightInd w:val="0"/>
        <w:snapToGrid w:val="0"/>
        <w:spacing w:before="0" w:beforeAutospacing="0" w:after="0" w:afterAutospacing="0" w:line="576" w:lineRule="exact"/>
        <w:ind w:left="0" w:right="0" w:firstLine="640" w:firstLineChars="200"/>
        <w:jc w:val="both"/>
        <w:rPr>
          <w:rFonts w:hint="eastAsia" w:ascii="仿宋_GB2312" w:hAnsi="宋体" w:eastAsia="仿宋_GB2312" w:cs="仿宋_GB2312"/>
          <w:sz w:val="32"/>
          <w:szCs w:val="32"/>
          <w:lang w:val="zh-CN" w:eastAsia="zh-CN"/>
        </w:rPr>
      </w:pPr>
      <w:r>
        <w:rPr>
          <w:rFonts w:hint="eastAsia" w:ascii="仿宋_GB2312" w:hAnsi="宋体" w:eastAsia="仿宋_GB2312" w:cs="仿宋_GB2312"/>
          <w:kern w:val="2"/>
          <w:sz w:val="32"/>
          <w:szCs w:val="32"/>
          <w:lang w:val="zh-CN" w:eastAsia="zh-CN" w:bidi="ar"/>
        </w:rPr>
        <w:t>3.项目监管情况。我局严格按照单位项目管理制度执行监管。</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黑体" w:hAnsi="宋体" w:eastAsia="黑体" w:cs="黑体"/>
          <w:spacing w:val="-6"/>
          <w:sz w:val="32"/>
          <w:szCs w:val="32"/>
          <w:lang w:val="en-US"/>
        </w:rPr>
      </w:pPr>
      <w:r>
        <w:rPr>
          <w:rFonts w:hint="eastAsia" w:ascii="黑体" w:hAnsi="宋体" w:eastAsia="黑体" w:cs="黑体"/>
          <w:spacing w:val="-6"/>
          <w:kern w:val="2"/>
          <w:sz w:val="32"/>
          <w:szCs w:val="32"/>
          <w:lang w:val="en-US" w:eastAsia="zh-CN" w:bidi="ar"/>
        </w:rPr>
        <w:t>三、项目绩效情况</w:t>
      </w:r>
      <w:r>
        <w:rPr>
          <w:rFonts w:hint="eastAsia" w:ascii="黑体" w:hAnsi="宋体" w:eastAsia="黑体" w:cs="黑体"/>
          <w:spacing w:val="-6"/>
          <w:kern w:val="2"/>
          <w:sz w:val="32"/>
          <w:szCs w:val="32"/>
          <w:lang w:val="en-US" w:eastAsia="zh-CN" w:bidi="ar"/>
        </w:rPr>
        <w:tab/>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（一）项目完成情况</w:t>
      </w:r>
    </w:p>
    <w:p>
      <w:pPr>
        <w:keepNext w:val="0"/>
        <w:keepLines w:val="0"/>
        <w:widowControl w:val="0"/>
        <w:suppressLineNumbers w:val="0"/>
        <w:autoSpaceDE w:val="0"/>
        <w:autoSpaceDN/>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完成网格化租赁费用的支付，有效保障网格化服务信息管理系统正常运行。全面推进平安中国建设，维护国家安全，确保人民安居乐业、社会安定有序。</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楷体_GB2312" w:eastAsia="楷体_GB2312" w:cs="楷体_GB2312"/>
          <w:bCs/>
          <w:spacing w:val="-6"/>
          <w:sz w:val="32"/>
          <w:szCs w:val="32"/>
          <w:lang w:val="en-US"/>
        </w:rPr>
      </w:pPr>
      <w:r>
        <w:rPr>
          <w:rFonts w:hint="eastAsia" w:ascii="楷体_GB2312" w:hAnsi="Times New Roman" w:eastAsia="楷体_GB2312" w:cs="楷体_GB2312"/>
          <w:bCs/>
          <w:spacing w:val="-6"/>
          <w:kern w:val="2"/>
          <w:sz w:val="32"/>
          <w:szCs w:val="32"/>
          <w:lang w:val="en-US" w:eastAsia="zh-CN" w:bidi="ar"/>
        </w:rPr>
        <w:t>（二）项目效益情况</w:t>
      </w:r>
    </w:p>
    <w:p>
      <w:pPr>
        <w:pStyle w:val="17"/>
        <w:keepNext w:val="0"/>
        <w:keepLines w:val="0"/>
        <w:widowControl w:val="0"/>
        <w:suppressLineNumbers w:val="0"/>
        <w:adjustRightInd w:val="0"/>
        <w:snapToGrid w:val="0"/>
        <w:spacing w:before="0" w:beforeAutospacing="0" w:after="0" w:afterAutospacing="0" w:line="576" w:lineRule="exact"/>
        <w:ind w:left="0" w:right="0" w:firstLine="640" w:firstLineChars="2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1.社会效益。保障网格化网络通畅，系统服务器运行无故障率达到100%。</w:t>
      </w:r>
    </w:p>
    <w:p>
      <w:pPr>
        <w:pStyle w:val="17"/>
        <w:keepNext w:val="0"/>
        <w:keepLines w:val="0"/>
        <w:widowControl w:val="0"/>
        <w:suppressLineNumbers w:val="0"/>
        <w:adjustRightInd w:val="0"/>
        <w:snapToGrid w:val="0"/>
        <w:spacing w:before="0" w:beforeAutospacing="0" w:after="0" w:afterAutospacing="0" w:line="576" w:lineRule="exact"/>
        <w:ind w:left="0" w:right="0" w:firstLine="640" w:firstLineChars="2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2.数量指标方面。年底完成系统数据准确率达100%。</w:t>
      </w:r>
    </w:p>
    <w:p>
      <w:pPr>
        <w:pStyle w:val="17"/>
        <w:keepNext w:val="0"/>
        <w:keepLines w:val="0"/>
        <w:widowControl w:val="0"/>
        <w:suppressLineNumbers w:val="0"/>
        <w:adjustRightInd w:val="0"/>
        <w:snapToGrid w:val="0"/>
        <w:spacing w:before="0" w:beforeAutospacing="0" w:after="0" w:afterAutospacing="0" w:line="576" w:lineRule="exact"/>
        <w:ind w:left="0" w:right="0" w:firstLine="640" w:firstLineChars="2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3.实效指标方面。年底全面完成率达100%</w:t>
      </w:r>
    </w:p>
    <w:p>
      <w:pPr>
        <w:pStyle w:val="17"/>
        <w:keepNext w:val="0"/>
        <w:keepLines w:val="0"/>
        <w:widowControl w:val="0"/>
        <w:suppressLineNumbers w:val="0"/>
        <w:adjustRightInd w:val="0"/>
        <w:snapToGrid w:val="0"/>
        <w:spacing w:before="0" w:beforeAutospacing="0" w:after="0" w:afterAutospacing="0" w:line="576" w:lineRule="exact"/>
        <w:ind w:left="0" w:right="0" w:firstLine="640" w:firstLineChars="2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4.服务对象满意度方面。使用人员满意率达100%。</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黑体" w:hAnsi="宋体" w:eastAsia="黑体" w:cs="黑体"/>
          <w:spacing w:val="-6"/>
          <w:sz w:val="32"/>
          <w:szCs w:val="32"/>
          <w:lang w:val="en-US"/>
        </w:rPr>
      </w:pPr>
      <w:r>
        <w:rPr>
          <w:rFonts w:hint="eastAsia" w:ascii="黑体" w:hAnsi="宋体" w:eastAsia="黑体" w:cs="黑体"/>
          <w:spacing w:val="-6"/>
          <w:kern w:val="2"/>
          <w:sz w:val="32"/>
          <w:szCs w:val="32"/>
          <w:lang w:val="en-US" w:eastAsia="zh-CN" w:bidi="ar"/>
        </w:rPr>
        <w:t>四、问题及建议</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仿宋_GB2312" w:hAnsi="宋体" w:eastAsia="仿宋_GB2312" w:cs="仿宋_GB2312"/>
          <w:sz w:val="32"/>
          <w:szCs w:val="32"/>
          <w:lang w:val="zh-CN" w:eastAsia="zh-CN"/>
        </w:rPr>
      </w:pPr>
      <w:r>
        <w:rPr>
          <w:rFonts w:hint="eastAsia" w:ascii="楷体_GB2312" w:hAnsi="Times New Roman" w:eastAsia="楷体_GB2312" w:cs="楷体_GB2312"/>
          <w:bCs/>
          <w:spacing w:val="-6"/>
          <w:kern w:val="2"/>
          <w:sz w:val="32"/>
          <w:szCs w:val="32"/>
          <w:lang w:val="en-US" w:eastAsia="zh-CN" w:bidi="ar"/>
        </w:rPr>
        <w:t>（一）存在的问题。</w:t>
      </w:r>
      <w:r>
        <w:rPr>
          <w:rFonts w:hint="eastAsia" w:ascii="仿宋_GB2312" w:hAnsi="宋体" w:eastAsia="仿宋_GB2312" w:cs="仿宋_GB2312"/>
          <w:kern w:val="2"/>
          <w:sz w:val="32"/>
          <w:szCs w:val="32"/>
          <w:lang w:val="zh-CN" w:eastAsia="zh-CN" w:bidi="ar"/>
        </w:rPr>
        <w:t>预算编制细化程度还不够科学。资金使用效率结合还不够紧密。</w:t>
      </w:r>
    </w:p>
    <w:p>
      <w:pPr>
        <w:keepNext w:val="0"/>
        <w:keepLines w:val="0"/>
        <w:widowControl w:val="0"/>
        <w:suppressLineNumbers w:val="0"/>
        <w:autoSpaceDE w:val="0"/>
        <w:autoSpaceDN/>
        <w:spacing w:before="0" w:beforeAutospacing="0" w:after="0" w:afterAutospacing="0" w:line="576" w:lineRule="exact"/>
        <w:ind w:left="0" w:right="0" w:firstLine="616" w:firstLineChars="200"/>
        <w:jc w:val="both"/>
        <w:rPr>
          <w:rFonts w:hint="eastAsia" w:ascii="仿宋_GB2312" w:hAnsi="仿宋_GB2312" w:eastAsia="仿宋_GB2312" w:cs="仿宋_GB2312"/>
          <w:sz w:val="32"/>
          <w:szCs w:val="32"/>
          <w:lang w:val="en-US" w:bidi="ar"/>
        </w:rPr>
      </w:pPr>
      <w:r>
        <w:rPr>
          <w:rFonts w:hint="eastAsia" w:ascii="楷体_GB2312" w:hAnsi="Times New Roman" w:eastAsia="楷体_GB2312" w:cs="楷体_GB2312"/>
          <w:bCs/>
          <w:spacing w:val="-6"/>
          <w:kern w:val="2"/>
          <w:sz w:val="32"/>
          <w:szCs w:val="32"/>
          <w:lang w:val="en-US" w:eastAsia="zh-CN" w:bidi="ar"/>
        </w:rPr>
        <w:t>（二）相关建议。</w:t>
      </w:r>
      <w:r>
        <w:rPr>
          <w:rFonts w:hint="eastAsia" w:ascii="仿宋_GB2312" w:hAnsi="仿宋_GB2312" w:eastAsia="仿宋_GB2312" w:cs="仿宋_GB2312"/>
          <w:kern w:val="2"/>
          <w:sz w:val="32"/>
          <w:szCs w:val="32"/>
          <w:lang w:val="en-US" w:eastAsia="zh-CN" w:bidi="ar"/>
        </w:rPr>
        <w:t>继续加强和完善绩效管理体系，不断创新提高绩效管理水平。</w:t>
      </w:r>
    </w:p>
    <w:p>
      <w:pPr>
        <w:pStyle w:val="17"/>
        <w:keepNext w:val="0"/>
        <w:keepLines w:val="0"/>
        <w:widowControl w:val="0"/>
        <w:suppressLineNumbers w:val="0"/>
        <w:suppressAutoHyphens/>
        <w:spacing w:before="0" w:beforeAutospacing="0" w:after="0" w:afterAutospacing="0" w:line="576" w:lineRule="exact"/>
        <w:ind w:left="640" w:leftChars="0" w:right="0" w:hanging="640" w:hangingChars="200"/>
        <w:jc w:val="both"/>
        <w:rPr>
          <w:rFonts w:hint="eastAsia" w:ascii="仿宋_GB2312" w:hAnsi="仿宋_GB2312" w:eastAsia="仿宋_GB2312" w:cs="仿宋_GB2312"/>
          <w:sz w:val="32"/>
          <w:szCs w:val="32"/>
          <w:lang w:val="en-US" w:bidi="ar"/>
        </w:rPr>
      </w:pPr>
    </w:p>
    <w:p>
      <w:pPr>
        <w:keepNext w:val="0"/>
        <w:keepLines w:val="0"/>
        <w:widowControl w:val="0"/>
        <w:suppressLineNumbers w:val="0"/>
        <w:autoSpaceDE w:val="0"/>
        <w:autoSpaceDN/>
        <w:spacing w:before="0" w:beforeAutospacing="0" w:after="0" w:afterAutospacing="0" w:line="576" w:lineRule="exact"/>
        <w:ind w:left="1562" w:leftChars="304" w:right="0" w:hanging="924" w:hangingChars="300"/>
        <w:jc w:val="both"/>
        <w:rPr>
          <w:rFonts w:hint="eastAsia" w:ascii="黑体" w:hAnsi="宋体" w:eastAsia="黑体" w:cs="黑体"/>
          <w:color w:val="000000"/>
          <w:kern w:val="0"/>
          <w:sz w:val="24"/>
          <w:szCs w:val="24"/>
          <w:lang w:val="en-US"/>
        </w:rPr>
      </w:pPr>
      <w:r>
        <w:rPr>
          <w:rFonts w:hint="eastAsia" w:ascii="仿宋_GB2312" w:hAnsi="宋体" w:eastAsia="仿宋_GB2312" w:cs="仿宋_GB2312"/>
          <w:color w:val="000000"/>
          <w:spacing w:val="-6"/>
          <w:kern w:val="0"/>
          <w:sz w:val="32"/>
          <w:szCs w:val="32"/>
          <w:lang w:val="en-US" w:eastAsia="zh-CN" w:bidi="ar"/>
        </w:rPr>
        <w:t>附表：6-1.部门</w:t>
      </w:r>
      <w:r>
        <w:rPr>
          <w:rFonts w:hint="eastAsia" w:ascii="仿宋_GB2312" w:hAnsi="宋体" w:eastAsia="仿宋_GB2312" w:cs="宋体"/>
          <w:color w:val="000000"/>
          <w:kern w:val="0"/>
          <w:sz w:val="32"/>
          <w:szCs w:val="32"/>
          <w:lang w:val="en-US" w:eastAsia="zh-CN" w:bidi="ar"/>
        </w:rPr>
        <w:t>项目支出绩效目标自评表</w:t>
      </w:r>
    </w:p>
    <w:p>
      <w:pPr>
        <w:keepNext w:val="0"/>
        <w:keepLines w:val="0"/>
        <w:widowControl/>
        <w:suppressLineNumbers w:val="0"/>
        <w:autoSpaceDE w:val="0"/>
        <w:autoSpaceDN/>
        <w:spacing w:before="0" w:beforeAutospacing="0" w:after="0" w:afterAutospacing="0" w:line="576" w:lineRule="exact"/>
        <w:ind w:left="0" w:right="0" w:firstLine="1540" w:firstLineChars="500"/>
        <w:jc w:val="left"/>
        <w:rPr>
          <w:rFonts w:hint="eastAsia" w:ascii="仿宋_GB2312" w:hAnsi="宋体" w:eastAsia="仿宋_GB2312" w:cs="仿宋_GB2312"/>
          <w:color w:val="000000"/>
          <w:spacing w:val="-6"/>
          <w:kern w:val="0"/>
          <w:sz w:val="32"/>
          <w:szCs w:val="32"/>
          <w:lang w:val="en-US"/>
        </w:rPr>
      </w:pPr>
      <w:r>
        <w:rPr>
          <w:rFonts w:hint="eastAsia" w:ascii="仿宋_GB2312" w:hAnsi="宋体" w:eastAsia="仿宋_GB2312" w:cs="仿宋_GB2312"/>
          <w:color w:val="000000"/>
          <w:spacing w:val="-6"/>
          <w:kern w:val="0"/>
          <w:sz w:val="32"/>
          <w:szCs w:val="32"/>
          <w:lang w:val="en-US" w:eastAsia="zh-CN" w:bidi="ar"/>
        </w:rPr>
        <w:t>6-2.2021年部门预算项目支出绩效自评评分表</w:t>
      </w: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tbl>
      <w:tblPr>
        <w:tblStyle w:val="21"/>
        <w:tblW w:w="107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
        <w:gridCol w:w="972"/>
        <w:gridCol w:w="1272"/>
        <w:gridCol w:w="1620"/>
        <w:gridCol w:w="2136"/>
        <w:gridCol w:w="2280"/>
        <w:gridCol w:w="1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10788" w:type="dxa"/>
            <w:gridSpan w:val="7"/>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sz w:val="32"/>
                <w:szCs w:val="32"/>
                <w:lang w:val="en-US"/>
              </w:rPr>
            </w:pPr>
            <w:r>
              <w:rPr>
                <w:rFonts w:hint="eastAsia" w:ascii="黑体" w:hAnsi="宋体" w:eastAsia="黑体" w:cs="黑体"/>
                <w:color w:val="000000"/>
                <w:kern w:val="0"/>
                <w:sz w:val="32"/>
                <w:szCs w:val="32"/>
                <w:lang w:val="en-US" w:eastAsia="zh-CN" w:bidi="ar"/>
              </w:rPr>
              <w:t>附表6-1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10788" w:type="dxa"/>
            <w:gridSpan w:val="7"/>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color w:val="000000"/>
                <w:sz w:val="36"/>
                <w:szCs w:val="36"/>
                <w:lang w:val="en-US"/>
              </w:rPr>
            </w:pPr>
            <w:r>
              <w:rPr>
                <w:rFonts w:hint="eastAsia" w:ascii="方正小标宋简体" w:hAnsi="方正小标宋简体" w:eastAsia="方正小标宋简体" w:cs="方正小标宋简体"/>
                <w:color w:val="000000"/>
                <w:kern w:val="0"/>
                <w:sz w:val="36"/>
                <w:szCs w:val="36"/>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788" w:type="dxa"/>
            <w:gridSpan w:val="7"/>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2"/>
                <w:szCs w:val="22"/>
                <w:lang w:val="en-US"/>
              </w:rPr>
            </w:pPr>
            <w:r>
              <w:rPr>
                <w:rFonts w:hint="eastAsia" w:ascii="黑体" w:hAnsi="宋体" w:eastAsia="黑体" w:cs="黑体"/>
                <w:color w:val="000000"/>
                <w:kern w:val="0"/>
                <w:sz w:val="22"/>
                <w:szCs w:val="22"/>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项目支出名称</w:t>
            </w:r>
          </w:p>
        </w:tc>
        <w:tc>
          <w:tcPr>
            <w:tcW w:w="92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网格化租赁费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预算单位</w:t>
            </w:r>
          </w:p>
        </w:tc>
        <w:tc>
          <w:tcPr>
            <w:tcW w:w="92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 全年预算数（万元） </w:t>
            </w:r>
          </w:p>
        </w:tc>
        <w:tc>
          <w:tcPr>
            <w:tcW w:w="3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1.8</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 全年执行数（万元）</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其中：一般公共预算</w:t>
            </w:r>
          </w:p>
        </w:tc>
        <w:tc>
          <w:tcPr>
            <w:tcW w:w="3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1.8</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其中：一般公共预算</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政府性基金预算</w:t>
            </w:r>
          </w:p>
        </w:tc>
        <w:tc>
          <w:tcPr>
            <w:tcW w:w="3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政府性基金预算</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国有资本经营预算</w:t>
            </w:r>
          </w:p>
        </w:tc>
        <w:tc>
          <w:tcPr>
            <w:tcW w:w="3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国有资本经营预算</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社会保险基金预算</w:t>
            </w:r>
          </w:p>
        </w:tc>
        <w:tc>
          <w:tcPr>
            <w:tcW w:w="3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社会保险基金预算</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其他资金</w:t>
            </w:r>
          </w:p>
        </w:tc>
        <w:tc>
          <w:tcPr>
            <w:tcW w:w="3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      其他资金</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2"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目标完成情况</w:t>
            </w:r>
          </w:p>
        </w:tc>
        <w:tc>
          <w:tcPr>
            <w:tcW w:w="6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全年预期目标</w:t>
            </w:r>
          </w:p>
        </w:tc>
        <w:tc>
          <w:tcPr>
            <w:tcW w:w="4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00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2020年网格化租赁费未纳入预算，但项目已实施，2021年申报此项目用于支付2020年所产生的费用，从而保证网格化服务信息管理系统的正常运行，全面推进平安中国建设，维护国家安全，确保人民安居乐业、社会安定有序。</w:t>
            </w:r>
          </w:p>
        </w:tc>
        <w:tc>
          <w:tcPr>
            <w:tcW w:w="417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完成2020年网格化租赁费用的支付，网格化服务信息管理系统正常运行。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年度绩效指标完成情况</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全年预期指标值                        （包含数字及文字描述）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全年实际完成指标值                           （包含数字及文字描述）</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4"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12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网格化电脑</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1台</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网络运行流畅度</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高</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高</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完成时间</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2021年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2021年</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6"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网络租赁费</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1.8万元</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1.8万元</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0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维护国家安全，确保人民安居乐业、社会安定有序。</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4"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tcBorders>
              <w:top w:val="nil"/>
              <w:left w:val="single" w:color="000000" w:sz="4" w:space="0"/>
              <w:bottom w:val="nil"/>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可持续影响</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设备使用年限</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≥5年</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40"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使用人员满意度</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p>
        </w:tc>
      </w:tr>
    </w:tbl>
    <w:p>
      <w:pPr>
        <w:pStyle w:val="26"/>
        <w:rPr>
          <w:rFonts w:hint="eastAsia"/>
          <w:lang w:val="en-US" w:eastAsia="zh-CN"/>
        </w:rPr>
      </w:pPr>
    </w:p>
    <w:p>
      <w:pPr>
        <w:pStyle w:val="26"/>
        <w:rPr>
          <w:rFonts w:hint="eastAsia"/>
          <w:lang w:val="en-US" w:eastAsia="zh-CN"/>
        </w:rPr>
        <w:sectPr>
          <w:pgSz w:w="11906" w:h="16838"/>
          <w:pgMar w:top="1440" w:right="1800" w:bottom="1440" w:left="1800" w:header="851" w:footer="992" w:gutter="0"/>
          <w:pgNumType w:fmt="decimal"/>
          <w:cols w:space="425" w:num="1"/>
          <w:titlePg/>
          <w:docGrid w:type="lines" w:linePitch="312" w:charSpace="0"/>
        </w:sectPr>
      </w:pP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692"/>
        <w:gridCol w:w="700"/>
        <w:gridCol w:w="5973"/>
        <w:gridCol w:w="489"/>
        <w:gridCol w:w="5166"/>
        <w:gridCol w:w="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7"/>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000000"/>
                <w:sz w:val="32"/>
                <w:szCs w:val="32"/>
                <w:lang w:val="en-US"/>
              </w:rPr>
            </w:pPr>
            <w:r>
              <w:rPr>
                <w:rFonts w:hint="eastAsia" w:ascii="黑体" w:hAnsi="宋体" w:eastAsia="黑体" w:cs="黑体"/>
                <w:color w:val="000000"/>
                <w:kern w:val="0"/>
                <w:sz w:val="32"/>
                <w:szCs w:val="32"/>
                <w:lang w:val="en-US" w:eastAsia="zh-CN" w:bidi="ar"/>
              </w:rPr>
              <w:t>附表6-2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000" w:type="pct"/>
            <w:gridSpan w:val="7"/>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方正大标宋_GBK" w:hAnsi="方正大标宋_GBK" w:eastAsia="方正大标宋_GBK" w:cs="方正大标宋_GBK"/>
                <w:b/>
                <w:bCs/>
                <w:color w:val="000000"/>
                <w:sz w:val="40"/>
                <w:szCs w:val="40"/>
                <w:lang w:val="en-US"/>
              </w:rPr>
            </w:pPr>
            <w:r>
              <w:rPr>
                <w:rFonts w:hint="eastAsia" w:ascii="方正小标宋简体" w:hAnsi="方正小标宋简体" w:eastAsia="方正小标宋简体" w:cs="方正小标宋简体"/>
                <w:color w:val="000000"/>
                <w:kern w:val="0"/>
                <w:sz w:val="44"/>
                <w:szCs w:val="44"/>
                <w:lang w:val="en-US" w:eastAsia="zh-CN" w:bidi="ar"/>
              </w:rPr>
              <w:t>2021年部门预算项目支出绩效自评评分表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一级 指标</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二级指标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 xml:space="preserve">三级指标            </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指标内容</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参考分值</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评分标准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项目决策（14分）</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项目立项</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立项依据</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用以反映项目立项是否有充分的依据：符合国家法律法规、本地的相关规定；符合部门年度工作计划。</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①符合国家相关法律法规、国民经济发展规划和党委政府决策（1分）；                                                                                                           ②符合部门（单位）年度工作计划或项目实施单位职责密切相关（1分）。                                                             </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决策程序</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用以反映和考核项目立项的规范情况：项目的申请、设立过程是否符合相关要求。</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①项目是否按照规定的程序申请设立，审批文件、材料是否符合相关要求（1分）； ②事前是否已经过必要的可行性研究、专家论证、风险评估、集体决策等（1分）。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项目目标</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目标合理性</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用以反映和考核项目绩效目标与项目实施的相符情况：项目所设定的绩效目标是否依据充分，是否符合客观实际。</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①项目的测算依据充分（1分）；                                                                                                                                                       ②项目是否有绩效目标，与实际工作内容是否具有相关性（1分）；                                                                                                                        ③项目预期产出效益和效果是否符合正常的业绩水平（1分）；                                                                                                                                                                   ④与预算确定的项目投资额或资金量相匹配（1分）。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指标明确性</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用以反映和考核项目绩效目标与项目实施的相符情况：依据绩效目标设定的绩效指标是否清晰、细化、可衡量等。</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①是否将绩效目标的绩效指标细化分解（1分）；                                                                                                                                                        ②分解的绩效指标体现清晰、可衡量的指标值（1分）；                                                                                                                                                   ③与项目年度任务数或计划数相对应（1分）；                                                                                                                                                         ④与预算确定的项目投资额或资金量相匹配（1分）。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资金分配</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分配的合理性</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项目预算资金分配是否有测算依据，与项目单位或地方实际是否相适应；根据需要制定的相关资金管理办法；管理办法中有明确资金分配办法；资金分配因素全面、合理。</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①预算资金分配依据充分（1分）；                                                                                                                                 ②资金分配额度合理，与项目单位或地方实际相适应 （1分）。                 此项需提供相应的资金分配方案。</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项目管理（16分）</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资金管理（9分）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资金到位率</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资金到位率=（实际到位资金/计划投入资金）×100%。                                                              实际到位资金：一定时期（本年度或项目期）内落实到具体项目的资金。                                                       预算资金：一定时期（本年度或项目期）内预算安排到具体项目的资金。</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根据项目资金的实际到位率计算得分（1分）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预算执行率</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用以反映项目预算执行的进度：预算执行率=实际支出数/预算数。                                      实际支出资金：一定时期（本年度或项目期）内项目实际拨付的资金。</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根据项目资金的预算执行率计算得分（2分）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资金使用</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用以反映和考核项目资金的规范运行情况：项目资金使用是否符合相关的财务管理制度规定。</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6</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①符合国家财经法规和财务管理制度以及有关专项资金管理办法的规定（1分）；                                                                      ②资金的拨付审批程序和手续完整（1分）；                                                                                           ③符合项目预算批复或合同规定的用途（1分）；                                                                                                                                                                    ④无截留、挤占、挪用、无虚列支出（3分）；                                                                                                                                                                                 若评价前已完成项目资金的专项审计，该指标可用审计结论代替。</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组织实施（7分）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制度管理</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用以反映和考核财务和业务管理制度对项目顺利实施的制度保障情况。</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①制定或具有相应的财务和业务管理制度（1分）；                                                                                                                                                         ②财务和业务管理制度合法、合规、完整（1分）。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制度执行</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用以反映和考核业务管理制度的有效执行和质量控制情况：项目实施是否符合相关业务管理规定，是否为达到项目质量要求而采取了必需的措施。</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①按相关法律法规和业务管理规定执行（1分）；                                                                                                                                                      ②项目调整及支出调整手续完备（1分）；                                                                                                                                                                   ③项目合同书、验收报告、技术鉴定等资料规范、齐全（2分）；                                                                                                                                                                      ④项目实施的人员条件、场地设备等是否落实到位（1分）。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8"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项目绩效（特性指标）（70）</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项目产出（35分）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实际完成率</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实际完成率=（实际产出数/计划产出数）×100%。                                                            实际产出数：一定时期（本年度或项目期）内项目实际产出的产品或提供的服务数量。                                                                                         计划产出数：项目绩效目标确定的在一定时期（本年度或项目期）内计划产出的产品或提供的服务数量。</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完成绩效目标100%得9分，未完成100%的同比例扣减。</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4"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质量达标率</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 xml:space="preserve">质量达标率=（质量达标产出数量/计划完成产出数量）× 100%。                                                                                                                                  质量达标产出数：一定时期（本年度或项目期）内实际达到既定质量标准的产品或服务数量。                                                            既定质量标准是指项目实施单位设立绩效目标时依据计划标准、行业标准、历史标准或其他标准而设定的绩效指标值。  </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产出质量达到绩效目标100%得9分，未完成100%的同比例扣减。</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完成及时性</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完成及时率=计划时限内实际完成的项目数量/计划时限内应完成的项目数量×100%。                                                                                                                               实际完成时间：项目实施单位完成该项目实际所耗用的时间。                                                                         计划完成时间：按照项目实施计划或相关规定完成该项目所需的时间。</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产出时效达到绩效目标得8分，未完成且无充分理由的扣3分。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完成成本（成本节约率）</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成本节约率=[（计划成本-实际成本）/计划成本]×100%。                                                        实际成本：项目实施单位如期、保质、保量完成既定工作目标实际所耗费的支出。                                                                                        计划成本：项目实施单位为完成工作目标计划安排的支出，一般以项目预算为参考。</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产出成本按绩效目标控制得9分，未完成的，按超支比例扣减。</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项目效益（30分）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经济效益（可选项）</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反映相关产出对经济社会发展带来的影响和效果，根据项目实际细化具体指标。重点考核投入产出率、回报率、增长率等指标。</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7</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完成绩效目标设定的经济效益得7分，未完成的，按完成情况酌情扣分。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社会效益（可选项）</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反映相关产出对社会发展带来的影响和效果，根据项目实际细化具体指标。重点考核撬动率、贡献率、达标率、就业率等指标。</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完成绩效目标设定的社会效益得7分，未完成的，按完成情况酌情扣分。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环境效益（可选项）</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反映相关产出对自然环境带来的影响和效果，根据项目实际细化具体指标。</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7</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完成绩效目标设定的积极的环境效益得7分，未完成的，按完成情况酌情扣分。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可持续效益（可选项）</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反映相关产出带来影响的可持续期限，根据项目实际细化具体指标。</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完成绩效设定目标的得7分，未完成的，按完成情况酌情扣分。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              （5分）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服务对象满意度</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满意率反映服务对象或项目受益人对相关产出及其影响的认可程度，根据项目实际细化具体指标。重点考核满意率等指标。</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满意率达90%（含）以上的得5分；80%（含）-89%得4分；70%（含）-79%得3分；60%（含）-69%得2分；60%以下不得分。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287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分值</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100</w:t>
            </w:r>
          </w:p>
        </w:tc>
        <w:tc>
          <w:tcPr>
            <w:tcW w:w="1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自评得分</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lang w:val="en-US"/>
              </w:rPr>
            </w:pPr>
            <w:r>
              <w:rPr>
                <w:rFonts w:hint="eastAsia" w:ascii="仿宋" w:hAnsi="仿宋" w:eastAsia="仿宋" w:cs="仿宋"/>
                <w:color w:val="000000"/>
                <w:kern w:val="0"/>
                <w:sz w:val="18"/>
                <w:szCs w:val="18"/>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Cs w:val="21"/>
                <w:lang w:val="en-US"/>
              </w:rPr>
            </w:pPr>
            <w:r>
              <w:rPr>
                <w:rFonts w:hint="eastAsia" w:ascii="宋体" w:hAnsi="宋体" w:eastAsia="宋体" w:cs="宋体"/>
                <w:b/>
                <w:bCs/>
                <w:color w:val="000000"/>
                <w:kern w:val="0"/>
                <w:sz w:val="21"/>
                <w:szCs w:val="21"/>
                <w:lang w:val="en-US" w:eastAsia="zh-CN" w:bidi="ar"/>
              </w:rPr>
              <w:t>自评等级</w:t>
            </w:r>
          </w:p>
        </w:tc>
        <w:tc>
          <w:tcPr>
            <w:tcW w:w="42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自评结果：</w:t>
            </w:r>
            <w:r>
              <w:rPr>
                <w:rFonts w:hint="eastAsia" w:ascii="宋体" w:hAnsi="宋体" w:eastAsia="宋体" w:cs="宋体"/>
                <w:b/>
                <w:bCs/>
                <w:color w:val="000000"/>
                <w:kern w:val="0"/>
                <w:sz w:val="21"/>
                <w:szCs w:val="21"/>
                <w:lang w:val="en-US" w:eastAsia="zh-CN" w:bidi="ar"/>
              </w:rPr>
              <w:t>□优秀（90≤得分≤100）；   □良好（80≤得分＜89）；   □及格（60≤得分＜79）；   □不及格（低于60分）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7"/>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说明：项目特性指标</w:t>
            </w:r>
            <w:r>
              <w:rPr>
                <w:rFonts w:hint="eastAsia" w:ascii="宋体" w:hAnsi="宋体" w:eastAsia="宋体" w:cs="宋体"/>
                <w:color w:val="000000"/>
                <w:kern w:val="0"/>
                <w:sz w:val="18"/>
                <w:szCs w:val="18"/>
                <w:lang w:val="en-US" w:eastAsia="zh-CN" w:bidi="ar"/>
              </w:rPr>
              <w:t>是根据项目绩效目标申报表填报的项目产出指标和效益指标对比实际完成情况进行自评；项目效益指标分值在总分值不变的情况下将可选项指标没选中的分值，适当、合理调整到选中效益指标当中去。</w:t>
            </w:r>
          </w:p>
        </w:tc>
      </w:tr>
    </w:tbl>
    <w:p>
      <w:pPr>
        <w:pStyle w:val="26"/>
        <w:rPr>
          <w:rFonts w:hint="eastAsia"/>
          <w:lang w:val="en-US" w:eastAsia="zh-CN"/>
        </w:rPr>
      </w:pPr>
    </w:p>
    <w:p>
      <w:pPr>
        <w:pStyle w:val="26"/>
        <w:rPr>
          <w:rFonts w:hint="eastAsia"/>
          <w:lang w:val="en-US" w:eastAsia="zh-CN"/>
        </w:rPr>
        <w:sectPr>
          <w:pgSz w:w="16838" w:h="11906" w:orient="landscape"/>
          <w:pgMar w:top="1800" w:right="1440" w:bottom="1800" w:left="1440" w:header="851" w:footer="992" w:gutter="0"/>
          <w:pgNumType w:fmt="decimal"/>
          <w:cols w:space="425" w:num="1"/>
          <w:titlePg/>
          <w:docGrid w:type="lines" w:linePitch="312" w:charSpace="0"/>
        </w:sectPr>
      </w:pPr>
    </w:p>
    <w:p>
      <w:pPr>
        <w:spacing w:line="600" w:lineRule="exact"/>
        <w:jc w:val="center"/>
        <w:outlineLvl w:val="0"/>
        <w:rPr>
          <w:rFonts w:hint="eastAsia" w:ascii="仿宋" w:hAnsi="仿宋" w:eastAsia="仿宋"/>
          <w:b w:val="0"/>
          <w:color w:val="auto"/>
          <w:highlight w:val="none"/>
        </w:rPr>
      </w:pPr>
      <w:bookmarkStart w:id="55" w:name="_Toc15396618"/>
      <w:r>
        <w:rPr>
          <w:rFonts w:hint="eastAsia" w:ascii="黑体" w:hAnsi="黑体" w:eastAsia="黑体"/>
          <w:color w:val="auto"/>
          <w:sz w:val="44"/>
          <w:szCs w:val="44"/>
          <w:highlight w:val="none"/>
        </w:rPr>
        <w:t>第</w:t>
      </w:r>
      <w:r>
        <w:rPr>
          <w:rStyle w:val="35"/>
          <w:rFonts w:hint="eastAsia" w:ascii="黑体" w:hAnsi="黑体" w:eastAsia="黑体"/>
          <w:b w:val="0"/>
          <w:color w:val="auto"/>
          <w:highlight w:val="none"/>
        </w:rPr>
        <w:t>五部分 附表</w:t>
      </w:r>
      <w:bookmarkEnd w:id="53"/>
      <w:bookmarkEnd w:id="55"/>
      <w:bookmarkStart w:id="56" w:name="_Toc15396619"/>
    </w:p>
    <w:p>
      <w:pPr>
        <w:pStyle w:val="4"/>
        <w:rPr>
          <w:rFonts w:ascii="仿宋" w:hAnsi="仿宋" w:eastAsia="仿宋"/>
          <w:color w:val="auto"/>
          <w:sz w:val="32"/>
          <w:szCs w:val="32"/>
          <w:highlight w:val="none"/>
        </w:rPr>
      </w:pPr>
      <w:r>
        <w:rPr>
          <w:rFonts w:hint="eastAsia" w:ascii="仿宋" w:hAnsi="仿宋" w:eastAsia="仿宋"/>
          <w:b w:val="0"/>
          <w:color w:val="auto"/>
          <w:sz w:val="32"/>
          <w:szCs w:val="32"/>
          <w:highlight w:val="none"/>
        </w:rPr>
        <w:t>一、收</w:t>
      </w:r>
      <w:r>
        <w:rPr>
          <w:rStyle w:val="36"/>
          <w:rFonts w:hint="eastAsia" w:ascii="仿宋" w:hAnsi="仿宋" w:eastAsia="仿宋"/>
          <w:b w:val="0"/>
          <w:bCs w:val="0"/>
          <w:color w:val="auto"/>
          <w:sz w:val="32"/>
          <w:szCs w:val="32"/>
          <w:highlight w:val="none"/>
        </w:rPr>
        <w:t>入支出决算总表</w:t>
      </w:r>
      <w:bookmarkEnd w:id="56"/>
    </w:p>
    <w:p>
      <w:pPr>
        <w:pStyle w:val="4"/>
        <w:rPr>
          <w:rFonts w:ascii="仿宋" w:hAnsi="仿宋" w:eastAsia="仿宋"/>
          <w:color w:val="auto"/>
          <w:sz w:val="32"/>
          <w:szCs w:val="32"/>
          <w:highlight w:val="none"/>
        </w:rPr>
      </w:pPr>
      <w:bookmarkStart w:id="57" w:name="_Toc15396620"/>
      <w:r>
        <w:rPr>
          <w:rFonts w:hint="eastAsia" w:ascii="仿宋" w:hAnsi="仿宋" w:eastAsia="仿宋"/>
          <w:b w:val="0"/>
          <w:color w:val="auto"/>
          <w:sz w:val="32"/>
          <w:szCs w:val="32"/>
          <w:highlight w:val="none"/>
        </w:rPr>
        <w:t>二、收</w:t>
      </w:r>
      <w:r>
        <w:rPr>
          <w:rStyle w:val="36"/>
          <w:rFonts w:hint="eastAsia" w:ascii="仿宋" w:hAnsi="仿宋" w:eastAsia="仿宋"/>
          <w:b w:val="0"/>
          <w:bCs w:val="0"/>
          <w:color w:val="auto"/>
          <w:sz w:val="32"/>
          <w:szCs w:val="32"/>
          <w:highlight w:val="none"/>
        </w:rPr>
        <w:t>入决算表</w:t>
      </w:r>
      <w:bookmarkEnd w:id="57"/>
    </w:p>
    <w:p>
      <w:pPr>
        <w:pStyle w:val="4"/>
        <w:rPr>
          <w:rFonts w:ascii="仿宋" w:hAnsi="仿宋" w:eastAsia="仿宋"/>
          <w:color w:val="auto"/>
          <w:sz w:val="32"/>
          <w:szCs w:val="32"/>
          <w:highlight w:val="none"/>
        </w:rPr>
      </w:pPr>
      <w:bookmarkStart w:id="58" w:name="_Toc15396621"/>
      <w:r>
        <w:rPr>
          <w:rStyle w:val="36"/>
          <w:rFonts w:hint="eastAsia" w:ascii="仿宋" w:hAnsi="仿宋" w:eastAsia="仿宋"/>
          <w:b w:val="0"/>
          <w:bCs w:val="0"/>
          <w:color w:val="auto"/>
          <w:sz w:val="32"/>
          <w:szCs w:val="32"/>
          <w:highlight w:val="none"/>
        </w:rPr>
        <w:t>三、</w:t>
      </w:r>
      <w:r>
        <w:rPr>
          <w:rFonts w:hint="eastAsia" w:ascii="仿宋" w:hAnsi="仿宋" w:eastAsia="仿宋"/>
          <w:b w:val="0"/>
          <w:color w:val="auto"/>
          <w:sz w:val="32"/>
          <w:szCs w:val="32"/>
          <w:highlight w:val="none"/>
        </w:rPr>
        <w:t>支</w:t>
      </w:r>
      <w:r>
        <w:rPr>
          <w:rStyle w:val="36"/>
          <w:rFonts w:hint="eastAsia" w:ascii="仿宋" w:hAnsi="仿宋" w:eastAsia="仿宋"/>
          <w:b w:val="0"/>
          <w:bCs w:val="0"/>
          <w:color w:val="auto"/>
          <w:sz w:val="32"/>
          <w:szCs w:val="32"/>
          <w:highlight w:val="none"/>
        </w:rPr>
        <w:t>出决算表</w:t>
      </w:r>
      <w:bookmarkEnd w:id="58"/>
    </w:p>
    <w:p>
      <w:pPr>
        <w:pStyle w:val="4"/>
        <w:rPr>
          <w:rFonts w:ascii="仿宋" w:hAnsi="仿宋" w:eastAsia="仿宋"/>
          <w:b w:val="0"/>
          <w:color w:val="auto"/>
          <w:sz w:val="32"/>
          <w:szCs w:val="32"/>
          <w:highlight w:val="none"/>
        </w:rPr>
      </w:pPr>
      <w:bookmarkStart w:id="59" w:name="_Toc15396622"/>
      <w:r>
        <w:rPr>
          <w:rStyle w:val="36"/>
          <w:rFonts w:hint="eastAsia" w:ascii="仿宋" w:hAnsi="仿宋" w:eastAsia="仿宋"/>
          <w:b w:val="0"/>
          <w:bCs w:val="0"/>
          <w:color w:val="auto"/>
          <w:sz w:val="32"/>
          <w:szCs w:val="32"/>
          <w:highlight w:val="none"/>
        </w:rPr>
        <w:t>四、</w:t>
      </w:r>
      <w:r>
        <w:rPr>
          <w:rFonts w:hint="eastAsia" w:ascii="仿宋" w:hAnsi="仿宋" w:eastAsia="仿宋"/>
          <w:b w:val="0"/>
          <w:color w:val="auto"/>
          <w:sz w:val="32"/>
          <w:szCs w:val="32"/>
          <w:highlight w:val="none"/>
        </w:rPr>
        <w:t>财</w:t>
      </w:r>
      <w:r>
        <w:rPr>
          <w:rStyle w:val="36"/>
          <w:rFonts w:hint="eastAsia" w:ascii="仿宋" w:hAnsi="仿宋" w:eastAsia="仿宋"/>
          <w:b w:val="0"/>
          <w:bCs w:val="0"/>
          <w:color w:val="auto"/>
          <w:sz w:val="32"/>
          <w:szCs w:val="32"/>
          <w:highlight w:val="none"/>
        </w:rPr>
        <w:t>政拨款收入支出决算总表</w:t>
      </w:r>
      <w:bookmarkEnd w:id="59"/>
    </w:p>
    <w:p>
      <w:pPr>
        <w:pStyle w:val="4"/>
        <w:rPr>
          <w:rStyle w:val="36"/>
          <w:rFonts w:ascii="仿宋" w:hAnsi="仿宋" w:eastAsia="仿宋"/>
          <w:b w:val="0"/>
          <w:bCs w:val="0"/>
          <w:color w:val="auto"/>
          <w:sz w:val="32"/>
          <w:szCs w:val="32"/>
          <w:highlight w:val="none"/>
        </w:rPr>
      </w:pPr>
      <w:bookmarkStart w:id="60" w:name="_Toc15396623"/>
      <w:r>
        <w:rPr>
          <w:rStyle w:val="36"/>
          <w:rFonts w:hint="eastAsia" w:ascii="仿宋" w:hAnsi="仿宋" w:eastAsia="仿宋"/>
          <w:b w:val="0"/>
          <w:bCs w:val="0"/>
          <w:color w:val="auto"/>
          <w:sz w:val="32"/>
          <w:szCs w:val="32"/>
          <w:highlight w:val="none"/>
        </w:rPr>
        <w:t>五、</w:t>
      </w:r>
      <w:r>
        <w:rPr>
          <w:rFonts w:hint="eastAsia" w:ascii="仿宋" w:hAnsi="仿宋" w:eastAsia="仿宋"/>
          <w:b w:val="0"/>
          <w:color w:val="auto"/>
          <w:sz w:val="32"/>
          <w:szCs w:val="32"/>
          <w:highlight w:val="none"/>
        </w:rPr>
        <w:t>财</w:t>
      </w:r>
      <w:r>
        <w:rPr>
          <w:rStyle w:val="36"/>
          <w:rFonts w:hint="eastAsia" w:ascii="仿宋" w:hAnsi="仿宋" w:eastAsia="仿宋"/>
          <w:b w:val="0"/>
          <w:bCs w:val="0"/>
          <w:color w:val="auto"/>
          <w:sz w:val="32"/>
          <w:szCs w:val="32"/>
          <w:highlight w:val="none"/>
        </w:rPr>
        <w:t>政拨款支出决算明细表</w:t>
      </w:r>
      <w:bookmarkEnd w:id="60"/>
      <w:bookmarkStart w:id="61" w:name="_Toc15396624"/>
    </w:p>
    <w:p>
      <w:pPr>
        <w:pStyle w:val="4"/>
        <w:rPr>
          <w:rFonts w:ascii="仿宋" w:hAnsi="仿宋" w:eastAsia="仿宋"/>
          <w:color w:val="auto"/>
          <w:sz w:val="32"/>
          <w:szCs w:val="32"/>
          <w:highlight w:val="none"/>
        </w:rPr>
      </w:pPr>
      <w:r>
        <w:rPr>
          <w:rStyle w:val="36"/>
          <w:rFonts w:hint="eastAsia" w:ascii="仿宋" w:hAnsi="仿宋" w:eastAsia="仿宋"/>
          <w:b w:val="0"/>
          <w:bCs w:val="0"/>
          <w:color w:val="auto"/>
          <w:sz w:val="32"/>
          <w:szCs w:val="32"/>
          <w:highlight w:val="none"/>
        </w:rPr>
        <w:t>六、</w:t>
      </w:r>
      <w:r>
        <w:rPr>
          <w:rFonts w:hint="eastAsia" w:ascii="仿宋" w:hAnsi="仿宋" w:eastAsia="仿宋"/>
          <w:b w:val="0"/>
          <w:color w:val="auto"/>
          <w:sz w:val="32"/>
          <w:szCs w:val="32"/>
          <w:highlight w:val="none"/>
        </w:rPr>
        <w:t>一</w:t>
      </w:r>
      <w:r>
        <w:rPr>
          <w:rStyle w:val="36"/>
          <w:rFonts w:hint="eastAsia" w:ascii="仿宋" w:hAnsi="仿宋" w:eastAsia="仿宋"/>
          <w:b w:val="0"/>
          <w:bCs w:val="0"/>
          <w:color w:val="auto"/>
          <w:sz w:val="32"/>
          <w:szCs w:val="32"/>
          <w:highlight w:val="none"/>
        </w:rPr>
        <w:t>般公共预算财政拨款支出决算表</w:t>
      </w:r>
      <w:bookmarkEnd w:id="61"/>
    </w:p>
    <w:p>
      <w:pPr>
        <w:pStyle w:val="4"/>
        <w:rPr>
          <w:rFonts w:ascii="仿宋" w:hAnsi="仿宋" w:eastAsia="仿宋"/>
          <w:color w:val="auto"/>
          <w:sz w:val="32"/>
          <w:szCs w:val="32"/>
          <w:highlight w:val="none"/>
        </w:rPr>
      </w:pPr>
      <w:bookmarkStart w:id="62" w:name="_Toc15396625"/>
      <w:r>
        <w:rPr>
          <w:rStyle w:val="36"/>
          <w:rFonts w:hint="eastAsia" w:ascii="仿宋" w:hAnsi="仿宋" w:eastAsia="仿宋"/>
          <w:b w:val="0"/>
          <w:bCs w:val="0"/>
          <w:color w:val="auto"/>
          <w:sz w:val="32"/>
          <w:szCs w:val="32"/>
          <w:highlight w:val="none"/>
        </w:rPr>
        <w:t>七、</w:t>
      </w:r>
      <w:r>
        <w:rPr>
          <w:rFonts w:hint="eastAsia" w:ascii="仿宋" w:hAnsi="仿宋" w:eastAsia="仿宋"/>
          <w:b w:val="0"/>
          <w:color w:val="auto"/>
          <w:sz w:val="32"/>
          <w:szCs w:val="32"/>
          <w:highlight w:val="none"/>
        </w:rPr>
        <w:t>一</w:t>
      </w:r>
      <w:r>
        <w:rPr>
          <w:rStyle w:val="36"/>
          <w:rFonts w:hint="eastAsia" w:ascii="仿宋" w:hAnsi="仿宋" w:eastAsia="仿宋"/>
          <w:b w:val="0"/>
          <w:bCs w:val="0"/>
          <w:color w:val="auto"/>
          <w:sz w:val="32"/>
          <w:szCs w:val="32"/>
          <w:highlight w:val="none"/>
        </w:rPr>
        <w:t>般公共预算财政拨款支出决算明细表</w:t>
      </w:r>
      <w:bookmarkEnd w:id="62"/>
    </w:p>
    <w:p>
      <w:pPr>
        <w:pStyle w:val="4"/>
        <w:rPr>
          <w:rFonts w:ascii="仿宋" w:hAnsi="仿宋" w:eastAsia="仿宋"/>
          <w:color w:val="auto"/>
          <w:sz w:val="32"/>
          <w:szCs w:val="32"/>
          <w:highlight w:val="none"/>
        </w:rPr>
      </w:pPr>
      <w:bookmarkStart w:id="63" w:name="_Toc15396626"/>
      <w:r>
        <w:rPr>
          <w:rStyle w:val="36"/>
          <w:rFonts w:hint="eastAsia" w:ascii="仿宋" w:hAnsi="仿宋" w:eastAsia="仿宋"/>
          <w:b w:val="0"/>
          <w:bCs w:val="0"/>
          <w:color w:val="auto"/>
          <w:sz w:val="32"/>
          <w:szCs w:val="32"/>
          <w:highlight w:val="none"/>
        </w:rPr>
        <w:t>八、</w:t>
      </w:r>
      <w:r>
        <w:rPr>
          <w:rFonts w:hint="eastAsia" w:ascii="仿宋" w:hAnsi="仿宋" w:eastAsia="仿宋"/>
          <w:b w:val="0"/>
          <w:color w:val="auto"/>
          <w:sz w:val="32"/>
          <w:szCs w:val="32"/>
          <w:highlight w:val="none"/>
        </w:rPr>
        <w:t>一</w:t>
      </w:r>
      <w:r>
        <w:rPr>
          <w:rStyle w:val="36"/>
          <w:rFonts w:hint="eastAsia" w:ascii="仿宋" w:hAnsi="仿宋" w:eastAsia="仿宋"/>
          <w:b w:val="0"/>
          <w:bCs w:val="0"/>
          <w:color w:val="auto"/>
          <w:sz w:val="32"/>
          <w:szCs w:val="32"/>
          <w:highlight w:val="none"/>
        </w:rPr>
        <w:t>般公共预算财政拨款基本支出决算表</w:t>
      </w:r>
      <w:bookmarkEnd w:id="63"/>
    </w:p>
    <w:p>
      <w:pPr>
        <w:pStyle w:val="4"/>
        <w:rPr>
          <w:rFonts w:ascii="仿宋" w:hAnsi="仿宋" w:eastAsia="仿宋"/>
          <w:color w:val="auto"/>
          <w:sz w:val="32"/>
          <w:szCs w:val="32"/>
          <w:highlight w:val="none"/>
        </w:rPr>
      </w:pPr>
      <w:bookmarkStart w:id="64" w:name="_Toc15396627"/>
      <w:r>
        <w:rPr>
          <w:rStyle w:val="36"/>
          <w:rFonts w:hint="eastAsia" w:ascii="仿宋" w:hAnsi="仿宋" w:eastAsia="仿宋"/>
          <w:b w:val="0"/>
          <w:bCs w:val="0"/>
          <w:color w:val="auto"/>
          <w:sz w:val="32"/>
          <w:szCs w:val="32"/>
          <w:highlight w:val="none"/>
        </w:rPr>
        <w:t>九、</w:t>
      </w:r>
      <w:r>
        <w:rPr>
          <w:rFonts w:hint="eastAsia" w:ascii="仿宋" w:hAnsi="仿宋" w:eastAsia="仿宋"/>
          <w:b w:val="0"/>
          <w:color w:val="auto"/>
          <w:sz w:val="32"/>
          <w:szCs w:val="32"/>
          <w:highlight w:val="none"/>
        </w:rPr>
        <w:t>一</w:t>
      </w:r>
      <w:r>
        <w:rPr>
          <w:rStyle w:val="36"/>
          <w:rFonts w:hint="eastAsia" w:ascii="仿宋" w:hAnsi="仿宋" w:eastAsia="仿宋"/>
          <w:b w:val="0"/>
          <w:bCs w:val="0"/>
          <w:color w:val="auto"/>
          <w:sz w:val="32"/>
          <w:szCs w:val="32"/>
          <w:highlight w:val="none"/>
        </w:rPr>
        <w:t>般公共预算财政拨款项目支出决算表</w:t>
      </w:r>
      <w:bookmarkEnd w:id="64"/>
    </w:p>
    <w:p>
      <w:pPr>
        <w:pStyle w:val="4"/>
        <w:rPr>
          <w:rFonts w:ascii="仿宋" w:hAnsi="仿宋" w:eastAsia="仿宋"/>
          <w:color w:val="auto"/>
          <w:sz w:val="32"/>
          <w:szCs w:val="32"/>
          <w:highlight w:val="none"/>
        </w:rPr>
      </w:pPr>
      <w:bookmarkStart w:id="65" w:name="_Toc15396628"/>
      <w:r>
        <w:rPr>
          <w:rStyle w:val="36"/>
          <w:rFonts w:hint="eastAsia" w:ascii="仿宋" w:hAnsi="仿宋" w:eastAsia="仿宋"/>
          <w:b w:val="0"/>
          <w:bCs w:val="0"/>
          <w:color w:val="auto"/>
          <w:sz w:val="32"/>
          <w:szCs w:val="32"/>
          <w:highlight w:val="none"/>
        </w:rPr>
        <w:t>十、</w:t>
      </w:r>
      <w:r>
        <w:rPr>
          <w:rFonts w:hint="eastAsia" w:ascii="仿宋" w:hAnsi="仿宋" w:eastAsia="仿宋"/>
          <w:b w:val="0"/>
          <w:color w:val="auto"/>
          <w:sz w:val="32"/>
          <w:szCs w:val="32"/>
          <w:highlight w:val="none"/>
        </w:rPr>
        <w:t>一</w:t>
      </w:r>
      <w:r>
        <w:rPr>
          <w:rStyle w:val="36"/>
          <w:rFonts w:hint="eastAsia" w:ascii="仿宋" w:hAnsi="仿宋" w:eastAsia="仿宋"/>
          <w:b w:val="0"/>
          <w:bCs w:val="0"/>
          <w:color w:val="auto"/>
          <w:sz w:val="32"/>
          <w:szCs w:val="32"/>
          <w:highlight w:val="none"/>
        </w:rPr>
        <w:t>般公共预算财政拨款“三公”经费支出决算表</w:t>
      </w:r>
      <w:bookmarkEnd w:id="65"/>
    </w:p>
    <w:p>
      <w:pPr>
        <w:pStyle w:val="4"/>
        <w:rPr>
          <w:rFonts w:ascii="仿宋" w:hAnsi="仿宋" w:eastAsia="仿宋"/>
          <w:color w:val="auto"/>
          <w:sz w:val="32"/>
          <w:szCs w:val="32"/>
          <w:highlight w:val="none"/>
        </w:rPr>
      </w:pPr>
      <w:bookmarkStart w:id="66" w:name="_Toc15396629"/>
      <w:r>
        <w:rPr>
          <w:rStyle w:val="36"/>
          <w:rFonts w:hint="eastAsia" w:ascii="仿宋" w:hAnsi="仿宋" w:eastAsia="仿宋"/>
          <w:b w:val="0"/>
          <w:bCs w:val="0"/>
          <w:color w:val="auto"/>
          <w:sz w:val="32"/>
          <w:szCs w:val="32"/>
          <w:highlight w:val="none"/>
        </w:rPr>
        <w:t>十一、</w:t>
      </w:r>
      <w:r>
        <w:rPr>
          <w:rFonts w:hint="eastAsia" w:ascii="仿宋" w:hAnsi="仿宋" w:eastAsia="仿宋"/>
          <w:b w:val="0"/>
          <w:color w:val="auto"/>
          <w:sz w:val="32"/>
          <w:szCs w:val="32"/>
          <w:highlight w:val="none"/>
        </w:rPr>
        <w:t>政</w:t>
      </w:r>
      <w:r>
        <w:rPr>
          <w:rStyle w:val="36"/>
          <w:rFonts w:hint="eastAsia" w:ascii="仿宋" w:hAnsi="仿宋" w:eastAsia="仿宋"/>
          <w:b w:val="0"/>
          <w:bCs w:val="0"/>
          <w:color w:val="auto"/>
          <w:sz w:val="32"/>
          <w:szCs w:val="32"/>
          <w:highlight w:val="none"/>
        </w:rPr>
        <w:t>府性基金预算财政拨款收入支出决算表</w:t>
      </w:r>
      <w:bookmarkEnd w:id="66"/>
    </w:p>
    <w:p>
      <w:pPr>
        <w:pStyle w:val="4"/>
        <w:rPr>
          <w:rFonts w:ascii="仿宋" w:hAnsi="仿宋" w:eastAsia="仿宋"/>
          <w:color w:val="auto"/>
          <w:sz w:val="32"/>
          <w:szCs w:val="32"/>
          <w:highlight w:val="none"/>
        </w:rPr>
      </w:pPr>
      <w:bookmarkStart w:id="67" w:name="_Toc15396630"/>
      <w:r>
        <w:rPr>
          <w:rStyle w:val="36"/>
          <w:rFonts w:hint="eastAsia" w:ascii="仿宋" w:hAnsi="仿宋" w:eastAsia="仿宋"/>
          <w:b w:val="0"/>
          <w:bCs w:val="0"/>
          <w:color w:val="auto"/>
          <w:sz w:val="32"/>
          <w:szCs w:val="32"/>
          <w:highlight w:val="none"/>
        </w:rPr>
        <w:t>十二、</w:t>
      </w:r>
      <w:r>
        <w:rPr>
          <w:rFonts w:hint="eastAsia" w:ascii="仿宋" w:hAnsi="仿宋" w:eastAsia="仿宋"/>
          <w:b w:val="0"/>
          <w:color w:val="auto"/>
          <w:sz w:val="32"/>
          <w:szCs w:val="32"/>
          <w:highlight w:val="none"/>
        </w:rPr>
        <w:t>政</w:t>
      </w:r>
      <w:r>
        <w:rPr>
          <w:rStyle w:val="36"/>
          <w:rFonts w:hint="eastAsia" w:ascii="仿宋" w:hAnsi="仿宋" w:eastAsia="仿宋"/>
          <w:b w:val="0"/>
          <w:bCs w:val="0"/>
          <w:color w:val="auto"/>
          <w:sz w:val="32"/>
          <w:szCs w:val="32"/>
          <w:highlight w:val="none"/>
        </w:rPr>
        <w:t>府性基金预算财政拨款“三公”经费支出决算表</w:t>
      </w:r>
      <w:bookmarkEnd w:id="67"/>
    </w:p>
    <w:p>
      <w:pPr>
        <w:pStyle w:val="4"/>
        <w:rPr>
          <w:rStyle w:val="36"/>
          <w:rFonts w:hint="eastAsia" w:ascii="仿宋" w:hAnsi="仿宋" w:eastAsia="仿宋"/>
          <w:b w:val="0"/>
          <w:bCs w:val="0"/>
          <w:color w:val="auto"/>
          <w:sz w:val="32"/>
          <w:szCs w:val="32"/>
          <w:highlight w:val="none"/>
        </w:rPr>
      </w:pPr>
      <w:bookmarkStart w:id="68" w:name="_Toc15396631"/>
      <w:r>
        <w:rPr>
          <w:rStyle w:val="36"/>
          <w:rFonts w:hint="eastAsia" w:ascii="仿宋" w:hAnsi="仿宋" w:eastAsia="仿宋"/>
          <w:b w:val="0"/>
          <w:bCs w:val="0"/>
          <w:color w:val="auto"/>
          <w:sz w:val="32"/>
          <w:szCs w:val="32"/>
          <w:highlight w:val="none"/>
        </w:rPr>
        <w:t>十三、</w:t>
      </w:r>
      <w:r>
        <w:rPr>
          <w:rFonts w:hint="eastAsia" w:ascii="仿宋" w:hAnsi="仿宋" w:eastAsia="仿宋"/>
          <w:b w:val="0"/>
          <w:color w:val="auto"/>
          <w:sz w:val="32"/>
          <w:szCs w:val="32"/>
          <w:highlight w:val="none"/>
        </w:rPr>
        <w:t>国</w:t>
      </w:r>
      <w:r>
        <w:rPr>
          <w:rStyle w:val="36"/>
          <w:rFonts w:hint="eastAsia" w:ascii="仿宋" w:hAnsi="仿宋" w:eastAsia="仿宋"/>
          <w:b w:val="0"/>
          <w:bCs w:val="0"/>
          <w:color w:val="auto"/>
          <w:sz w:val="32"/>
          <w:szCs w:val="32"/>
          <w:highlight w:val="none"/>
        </w:rPr>
        <w:t>有资本经营预算</w:t>
      </w:r>
      <w:r>
        <w:rPr>
          <w:rStyle w:val="36"/>
          <w:rFonts w:hint="eastAsia" w:ascii="仿宋" w:hAnsi="仿宋" w:eastAsia="仿宋"/>
          <w:b w:val="0"/>
          <w:bCs w:val="0"/>
          <w:color w:val="auto"/>
          <w:sz w:val="32"/>
          <w:szCs w:val="32"/>
          <w:highlight w:val="none"/>
          <w:lang w:eastAsia="zh-CN"/>
        </w:rPr>
        <w:t>财政拨款收入</w:t>
      </w:r>
      <w:r>
        <w:rPr>
          <w:rStyle w:val="36"/>
          <w:rFonts w:hint="eastAsia" w:ascii="仿宋" w:hAnsi="仿宋" w:eastAsia="仿宋"/>
          <w:b w:val="0"/>
          <w:bCs w:val="0"/>
          <w:color w:val="auto"/>
          <w:sz w:val="32"/>
          <w:szCs w:val="32"/>
          <w:highlight w:val="none"/>
        </w:rPr>
        <w:t>支出决算表</w:t>
      </w:r>
      <w:bookmarkEnd w:id="68"/>
    </w:p>
    <w:p>
      <w:pPr>
        <w:rPr>
          <w:rFonts w:hint="eastAsia" w:eastAsia="仿宋"/>
          <w:color w:val="auto"/>
          <w:sz w:val="32"/>
          <w:szCs w:val="32"/>
          <w:highlight w:val="none"/>
          <w:lang w:eastAsia="zh-CN"/>
        </w:rPr>
      </w:pPr>
      <w:r>
        <w:rPr>
          <w:rStyle w:val="36"/>
          <w:rFonts w:hint="eastAsia" w:ascii="仿宋" w:hAnsi="仿宋" w:eastAsia="仿宋"/>
          <w:b w:val="0"/>
          <w:bCs w:val="0"/>
          <w:color w:val="auto"/>
          <w:sz w:val="32"/>
          <w:szCs w:val="32"/>
          <w:highlight w:val="none"/>
          <w:lang w:eastAsia="zh-CN"/>
        </w:rPr>
        <w:t>十四、国有资本经营预算财政拨款支出决算表</w:t>
      </w:r>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B2368ED-D382-480F-84B8-DF8722E4F6C1}"/>
  </w:font>
  <w:font w:name="黑体">
    <w:panose1 w:val="02010609060101010101"/>
    <w:charset w:val="86"/>
    <w:family w:val="auto"/>
    <w:pitch w:val="default"/>
    <w:sig w:usb0="800002BF" w:usb1="38CF7CFA" w:usb2="00000016" w:usb3="00000000" w:csb0="00040001" w:csb1="00000000"/>
    <w:embedRegular r:id="rId2" w:fontKey="{C63812C9-0A1B-423C-BCA8-37247131923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984A92E2-5C8C-443D-A615-39179947C7AF}"/>
  </w:font>
  <w:font w:name="Cambria">
    <w:panose1 w:val="02040503050406030204"/>
    <w:charset w:val="00"/>
    <w:family w:val="roman"/>
    <w:pitch w:val="default"/>
    <w:sig w:usb0="E00002FF" w:usb1="400004FF" w:usb2="00000000" w:usb3="00000000" w:csb0="2000019F" w:csb1="00000000"/>
    <w:embedRegular r:id="rId4" w:fontKey="{AF601B65-D2A6-4DE3-A489-9401457D79F3}"/>
  </w:font>
  <w:font w:name="仿宋_GB2312">
    <w:panose1 w:val="02010609030101010101"/>
    <w:charset w:val="86"/>
    <w:family w:val="modern"/>
    <w:pitch w:val="default"/>
    <w:sig w:usb0="00000001" w:usb1="080E0000" w:usb2="00000000" w:usb3="00000000" w:csb0="00040000" w:csb1="00000000"/>
    <w:embedRegular r:id="rId5" w:fontKey="{B39DE4F3-9D25-4584-9BE5-347BE9FCAC74}"/>
  </w:font>
  <w:font w:name="仿宋">
    <w:panose1 w:val="02010609060101010101"/>
    <w:charset w:val="86"/>
    <w:family w:val="auto"/>
    <w:pitch w:val="default"/>
    <w:sig w:usb0="800002BF" w:usb1="38CF7CFA" w:usb2="00000016" w:usb3="00000000" w:csb0="00040001" w:csb1="00000000"/>
    <w:embedRegular r:id="rId6" w:fontKey="{203FBDC9-D716-480A-8538-BB00C300A022}"/>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7" w:fontKey="{79F67EF8-B7EE-46B1-9EC2-B7F146B8E375}"/>
  </w:font>
  <w:font w:name="楷体">
    <w:panose1 w:val="02010609060101010101"/>
    <w:charset w:val="86"/>
    <w:family w:val="auto"/>
    <w:pitch w:val="default"/>
    <w:sig w:usb0="800002BF" w:usb1="38CF7CFA" w:usb2="00000016" w:usb3="00000000" w:csb0="00040001" w:csb1="00000000"/>
    <w:embedRegular r:id="rId8" w:fontKey="{6C70F252-1248-4BC0-B9D8-F95B6382F9AB}"/>
  </w:font>
  <w:font w:name="方正楷体简体">
    <w:panose1 w:val="03000509000000000000"/>
    <w:charset w:val="86"/>
    <w:family w:val="script"/>
    <w:pitch w:val="default"/>
    <w:sig w:usb0="00000001" w:usb1="080E0000" w:usb2="00000000" w:usb3="00000000" w:csb0="00040000" w:csb1="00000000"/>
    <w:embedRegular r:id="rId9" w:fontKey="{4656CC8C-24D8-4174-9641-B78DDF6E9A68}"/>
  </w:font>
  <w:font w:name="微软雅黑">
    <w:panose1 w:val="020B0503020204020204"/>
    <w:charset w:val="86"/>
    <w:family w:val="auto"/>
    <w:pitch w:val="default"/>
    <w:sig w:usb0="80000287" w:usb1="280F3C52" w:usb2="00000016" w:usb3="00000000" w:csb0="0004001F" w:csb1="00000000"/>
    <w:embedRegular r:id="rId10" w:fontKey="{6F884763-F1AB-4A64-A7A0-436F3C4AF396}"/>
  </w:font>
  <w:font w:name="方正黑体简体">
    <w:panose1 w:val="02000000000000000000"/>
    <w:charset w:val="86"/>
    <w:family w:val="auto"/>
    <w:pitch w:val="default"/>
    <w:sig w:usb0="A00002BF" w:usb1="184F6CFA" w:usb2="00000012" w:usb3="00000000" w:csb0="00040001" w:csb1="00000000"/>
    <w:embedRegular r:id="rId11" w:fontKey="{E3B5FB4D-E882-437C-933A-DCEFB756A5CC}"/>
  </w:font>
  <w:font w:name="方正大标宋简体">
    <w:panose1 w:val="03000509000000000000"/>
    <w:charset w:val="86"/>
    <w:family w:val="auto"/>
    <w:pitch w:val="default"/>
    <w:sig w:usb0="00000001" w:usb1="080E0000" w:usb2="00000000" w:usb3="00000000" w:csb0="00040000" w:csb1="00000000"/>
    <w:embedRegular r:id="rId12" w:fontKey="{3DC05201-7B52-4DCB-905C-2DD9D3F8A2DF}"/>
  </w:font>
  <w:font w:name="方正大标宋_GBK">
    <w:panose1 w:val="02000000000000000000"/>
    <w:charset w:val="86"/>
    <w:family w:val="auto"/>
    <w:pitch w:val="default"/>
    <w:sig w:usb0="A00002BF" w:usb1="08CF7CFA" w:usb2="00000000" w:usb3="00000000" w:csb0="00040001" w:csb1="00000000"/>
    <w:embedRegular r:id="rId13" w:fontKey="{324EA21A-6673-4CFD-921C-9BE8D84B0E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default"/>
                              <w:lang w:val="en-US"/>
                            </w:rPr>
                            <w:id w:val="-1994781956"/>
                          </w:sdtPr>
                          <w:sdtEndPr>
                            <w:rPr>
                              <w:rFonts w:hint="default"/>
                              <w:lang w:val="en-US"/>
                            </w:rPr>
                          </w:sdtEndPr>
                          <w:sdtContent>
                            <w:p>
                              <w:pPr>
                                <w:pStyle w:val="12"/>
                                <w:jc w:val="center"/>
                                <w:rPr>
                                  <w:rFonts w:hint="default"/>
                                  <w:lang w:val="en-US"/>
                                </w:rPr>
                              </w:pPr>
                            </w:p>
                          </w:sdtContent>
                        </w:sdt>
                        <w:p>
                          <w:pPr>
                            <w:pStyle w:val="2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rPr>
                        <w:rFonts w:hint="default"/>
                        <w:lang w:val="en-US"/>
                      </w:rPr>
                      <w:id w:val="-1994781956"/>
                    </w:sdtPr>
                    <w:sdtEndPr>
                      <w:rPr>
                        <w:rFonts w:hint="default"/>
                        <w:lang w:val="en-US"/>
                      </w:rPr>
                    </w:sdtEndPr>
                    <w:sdtContent>
                      <w:p>
                        <w:pPr>
                          <w:pStyle w:val="12"/>
                          <w:jc w:val="center"/>
                          <w:rPr>
                            <w:rFonts w:hint="default"/>
                            <w:lang w:val="en-US"/>
                          </w:rPr>
                        </w:pPr>
                      </w:p>
                    </w:sdtContent>
                  </w:sdt>
                  <w:p>
                    <w:pPr>
                      <w:pStyle w:val="20"/>
                    </w:pP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default"/>
                              <w:lang w:val="en-US"/>
                            </w:rPr>
                            <w:id w:val="-1994781956"/>
                          </w:sdtPr>
                          <w:sdtEndPr>
                            <w:rPr>
                              <w:rFonts w:hint="default"/>
                              <w:lang w:val="en-US"/>
                            </w:rPr>
                          </w:sdtEndPr>
                          <w:sdtContent>
                            <w:p>
                              <w:pPr>
                                <w:pStyle w:val="12"/>
                                <w:jc w:val="center"/>
                                <w:rPr>
                                  <w:rFonts w:hint="default"/>
                                  <w:lang w:val="en-US"/>
                                </w:rPr>
                              </w:pPr>
                            </w:p>
                          </w:sdtContent>
                        </w:sdt>
                        <w:p>
                          <w:pPr>
                            <w:pStyle w:val="2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sdt>
                    <w:sdtPr>
                      <w:rPr>
                        <w:rFonts w:hint="default"/>
                        <w:lang w:val="en-US"/>
                      </w:rPr>
                      <w:id w:val="-1994781956"/>
                    </w:sdtPr>
                    <w:sdtEndPr>
                      <w:rPr>
                        <w:rFonts w:hint="default"/>
                        <w:lang w:val="en-US"/>
                      </w:rPr>
                    </w:sdtEndPr>
                    <w:sdtContent>
                      <w:p>
                        <w:pPr>
                          <w:pStyle w:val="12"/>
                          <w:jc w:val="center"/>
                          <w:rPr>
                            <w:rFonts w:hint="default"/>
                            <w:lang w:val="en-US"/>
                          </w:rPr>
                        </w:pPr>
                      </w:p>
                    </w:sdtContent>
                  </w:sdt>
                  <w:p>
                    <w:pPr>
                      <w:pStyle w:val="20"/>
                    </w:pPr>
                  </w:p>
                </w:txbxContent>
              </v:textbox>
            </v:shape>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ind w:left="0" w:leftChars="0" w:firstLine="0" w:firstLineChars="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20"/>
                      <w:ind w:left="0" w:leftChars="0" w:firstLine="0" w:firstLineChars="0"/>
                    </w:pPr>
                  </w:p>
                </w:txbxContent>
              </v:textbox>
            </v:shape>
          </w:pict>
        </mc:Fallback>
      </mc:AlternateConten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00000004"/>
    <w:multiLevelType w:val="multilevel"/>
    <w:tmpl w:val="00000004"/>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5"/>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26C0E2D0"/>
    <w:multiLevelType w:val="singleLevel"/>
    <w:tmpl w:val="26C0E2D0"/>
    <w:lvl w:ilvl="0" w:tentative="0">
      <w:start w:val="2"/>
      <w:numFmt w:val="chineseCounting"/>
      <w:suff w:val="nothing"/>
      <w:lvlText w:val="（%1）"/>
      <w:lvlJc w:val="left"/>
      <w:rPr>
        <w:rFonts w:hint="eastAsia"/>
      </w:rPr>
    </w:lvl>
  </w:abstractNum>
  <w:abstractNum w:abstractNumId="5">
    <w:nsid w:val="2842409D"/>
    <w:multiLevelType w:val="multilevel"/>
    <w:tmpl w:val="2842409D"/>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6905B1A7"/>
    <w:multiLevelType w:val="multilevel"/>
    <w:tmpl w:val="6905B1A7"/>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NDBiZjY1MjA2NmM1ZWFkZDk2YzRlOTQyZDkyZG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0A3"/>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7568FB"/>
    <w:rsid w:val="02E87DE4"/>
    <w:rsid w:val="033B3B8F"/>
    <w:rsid w:val="06380333"/>
    <w:rsid w:val="066E0107"/>
    <w:rsid w:val="0708442B"/>
    <w:rsid w:val="07996F6E"/>
    <w:rsid w:val="08C05496"/>
    <w:rsid w:val="0A2032A3"/>
    <w:rsid w:val="0B6739D2"/>
    <w:rsid w:val="0C5E1E2E"/>
    <w:rsid w:val="0C85724D"/>
    <w:rsid w:val="0EC00BA2"/>
    <w:rsid w:val="0F0B10F5"/>
    <w:rsid w:val="0FAB1E11"/>
    <w:rsid w:val="0FAC3298"/>
    <w:rsid w:val="101860EC"/>
    <w:rsid w:val="10C055FF"/>
    <w:rsid w:val="11380EA0"/>
    <w:rsid w:val="118107EC"/>
    <w:rsid w:val="11E21B6F"/>
    <w:rsid w:val="12557610"/>
    <w:rsid w:val="137658CD"/>
    <w:rsid w:val="13D50BC4"/>
    <w:rsid w:val="168432C2"/>
    <w:rsid w:val="16BB723D"/>
    <w:rsid w:val="179B7988"/>
    <w:rsid w:val="181C6579"/>
    <w:rsid w:val="186034E0"/>
    <w:rsid w:val="1BE8440E"/>
    <w:rsid w:val="1D155CEE"/>
    <w:rsid w:val="1FC82C64"/>
    <w:rsid w:val="213842C8"/>
    <w:rsid w:val="22EE46D6"/>
    <w:rsid w:val="23860B96"/>
    <w:rsid w:val="240371BF"/>
    <w:rsid w:val="24BE67C5"/>
    <w:rsid w:val="29FD04D3"/>
    <w:rsid w:val="2C8A61B5"/>
    <w:rsid w:val="2DF04E50"/>
    <w:rsid w:val="2F8A2FB6"/>
    <w:rsid w:val="2F9406C7"/>
    <w:rsid w:val="30135A32"/>
    <w:rsid w:val="30535B0C"/>
    <w:rsid w:val="30894B0D"/>
    <w:rsid w:val="30925E74"/>
    <w:rsid w:val="30FB0A63"/>
    <w:rsid w:val="319F7F4E"/>
    <w:rsid w:val="32996234"/>
    <w:rsid w:val="32A618DE"/>
    <w:rsid w:val="359F7AA1"/>
    <w:rsid w:val="36333DA4"/>
    <w:rsid w:val="36AA5135"/>
    <w:rsid w:val="376B053F"/>
    <w:rsid w:val="37E16F03"/>
    <w:rsid w:val="385B0DC2"/>
    <w:rsid w:val="3911350E"/>
    <w:rsid w:val="3CDE5C4B"/>
    <w:rsid w:val="3D6002C1"/>
    <w:rsid w:val="3D6F7148"/>
    <w:rsid w:val="3D98207C"/>
    <w:rsid w:val="3EAC2B6C"/>
    <w:rsid w:val="421425CD"/>
    <w:rsid w:val="42C70365"/>
    <w:rsid w:val="42F14BBA"/>
    <w:rsid w:val="43D70397"/>
    <w:rsid w:val="447C2876"/>
    <w:rsid w:val="44AD299B"/>
    <w:rsid w:val="44E268DA"/>
    <w:rsid w:val="488F5A00"/>
    <w:rsid w:val="4A627F82"/>
    <w:rsid w:val="4ABE08AA"/>
    <w:rsid w:val="4B4F25DA"/>
    <w:rsid w:val="4BE068DB"/>
    <w:rsid w:val="4D083549"/>
    <w:rsid w:val="4D1D44CA"/>
    <w:rsid w:val="4D2C2F40"/>
    <w:rsid w:val="4D577224"/>
    <w:rsid w:val="4EAB630A"/>
    <w:rsid w:val="4ECE2238"/>
    <w:rsid w:val="4F235162"/>
    <w:rsid w:val="4FB745B4"/>
    <w:rsid w:val="50EA5391"/>
    <w:rsid w:val="5108483D"/>
    <w:rsid w:val="525A7F6F"/>
    <w:rsid w:val="552865AE"/>
    <w:rsid w:val="56A40E7F"/>
    <w:rsid w:val="572C1470"/>
    <w:rsid w:val="57A51B83"/>
    <w:rsid w:val="583D3D62"/>
    <w:rsid w:val="584C2527"/>
    <w:rsid w:val="58E91622"/>
    <w:rsid w:val="5AF92295"/>
    <w:rsid w:val="5B581551"/>
    <w:rsid w:val="5CD71FC4"/>
    <w:rsid w:val="5E08260B"/>
    <w:rsid w:val="5F8328B3"/>
    <w:rsid w:val="60936B26"/>
    <w:rsid w:val="61D513C0"/>
    <w:rsid w:val="630E456D"/>
    <w:rsid w:val="65826227"/>
    <w:rsid w:val="66376316"/>
    <w:rsid w:val="67CB65CD"/>
    <w:rsid w:val="6AEF53C4"/>
    <w:rsid w:val="6C4A05C8"/>
    <w:rsid w:val="6E216B43"/>
    <w:rsid w:val="6E7E3605"/>
    <w:rsid w:val="6EF909EA"/>
    <w:rsid w:val="6FCA3330"/>
    <w:rsid w:val="6FF5CC65"/>
    <w:rsid w:val="70520A70"/>
    <w:rsid w:val="71457634"/>
    <w:rsid w:val="715C0E4B"/>
    <w:rsid w:val="7160555E"/>
    <w:rsid w:val="71F6302D"/>
    <w:rsid w:val="72734D90"/>
    <w:rsid w:val="73AD73D5"/>
    <w:rsid w:val="73B6EB34"/>
    <w:rsid w:val="760C0DEC"/>
    <w:rsid w:val="76BC4EC4"/>
    <w:rsid w:val="76C03159"/>
    <w:rsid w:val="78523FC0"/>
    <w:rsid w:val="78894CD0"/>
    <w:rsid w:val="79EE5BA4"/>
    <w:rsid w:val="7A894339"/>
    <w:rsid w:val="7EEF11D3"/>
    <w:rsid w:val="7FA30C79"/>
    <w:rsid w:val="7FC96657"/>
    <w:rsid w:val="CF7F0AD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9"/>
    <w:unhideWhenUsed/>
    <w:qFormat/>
    <w:uiPriority w:val="9"/>
    <w:pPr>
      <w:keepNext/>
      <w:keepLines/>
      <w:spacing w:before="260" w:after="260" w:line="416" w:lineRule="auto"/>
      <w:outlineLvl w:val="2"/>
    </w:pPr>
    <w:rPr>
      <w:b/>
      <w:bCs/>
      <w:sz w:val="32"/>
      <w:szCs w:val="32"/>
    </w:rPr>
  </w:style>
  <w:style w:type="character" w:default="1" w:styleId="22">
    <w:name w:val="Default Paragraph Font"/>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link w:val="32"/>
    <w:qFormat/>
    <w:uiPriority w:val="99"/>
    <w:pPr>
      <w:spacing w:beforeLines="30"/>
    </w:pPr>
    <w:rPr>
      <w:rFonts w:ascii="仿宋_GB2312" w:eastAsia="仿宋_GB2312"/>
      <w:kern w:val="0"/>
      <w:sz w:val="30"/>
    </w:rPr>
  </w:style>
  <w:style w:type="paragraph" w:styleId="6">
    <w:name w:val="Normal Indent"/>
    <w:basedOn w:val="1"/>
    <w:unhideWhenUsed/>
    <w:qFormat/>
    <w:uiPriority w:val="99"/>
    <w:pPr>
      <w:ind w:firstLine="420" w:firstLineChars="200"/>
    </w:pPr>
  </w:style>
  <w:style w:type="paragraph" w:styleId="7">
    <w:name w:val="Salutation"/>
    <w:basedOn w:val="1"/>
    <w:next w:val="1"/>
    <w:qFormat/>
    <w:uiPriority w:val="0"/>
    <w:pPr>
      <w:textAlignment w:val="baseline"/>
    </w:pPr>
    <w:rPr>
      <w:szCs w:val="22"/>
    </w:rPr>
  </w:style>
  <w:style w:type="paragraph" w:styleId="8">
    <w:name w:val="Body Text Indent"/>
    <w:basedOn w:val="1"/>
    <w:qFormat/>
    <w:uiPriority w:val="0"/>
    <w:pPr>
      <w:spacing w:after="120" w:afterLines="0" w:afterAutospacing="0"/>
      <w:ind w:left="420" w:leftChars="200"/>
    </w:p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link w:val="42"/>
    <w:semiHidden/>
    <w:unhideWhenUsed/>
    <w:qFormat/>
    <w:uiPriority w:val="99"/>
    <w:rPr>
      <w:rFonts w:ascii="宋体" w:hAnsi="Courier New"/>
    </w:rPr>
  </w:style>
  <w:style w:type="paragraph" w:styleId="11">
    <w:name w:val="Balloon Text"/>
    <w:basedOn w:val="1"/>
    <w:link w:val="38"/>
    <w:semiHidden/>
    <w:unhideWhenUsed/>
    <w:qFormat/>
    <w:uiPriority w:val="99"/>
    <w:rPr>
      <w:sz w:val="18"/>
      <w:szCs w:val="18"/>
    </w:rPr>
  </w:style>
  <w:style w:type="paragraph" w:styleId="12">
    <w:name w:val="footer"/>
    <w:basedOn w:val="1"/>
    <w:link w:val="30"/>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Subtitle"/>
    <w:basedOn w:val="1"/>
    <w:link w:val="49"/>
    <w:qFormat/>
    <w:uiPriority w:val="11"/>
    <w:pPr>
      <w:spacing w:before="240" w:beforeLines="0" w:beforeAutospacing="0" w:after="60" w:afterLines="0" w:afterAutospacing="0" w:line="312" w:lineRule="auto"/>
      <w:jc w:val="center"/>
      <w:outlineLvl w:val="1"/>
    </w:pPr>
    <w:rPr>
      <w:rFonts w:ascii="Arial" w:hAnsi="Arial"/>
      <w:b/>
      <w:kern w:val="28"/>
      <w:sz w:val="32"/>
    </w:rPr>
  </w:style>
  <w:style w:type="paragraph" w:styleId="16">
    <w:name w:val="toc 2"/>
    <w:basedOn w:val="1"/>
    <w:next w:val="1"/>
    <w:unhideWhenUsed/>
    <w:qFormat/>
    <w:uiPriority w:val="39"/>
    <w:pPr>
      <w:tabs>
        <w:tab w:val="right" w:leader="dot" w:pos="8296"/>
      </w:tabs>
      <w:ind w:left="420" w:leftChars="200"/>
    </w:p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link w:val="48"/>
    <w:qFormat/>
    <w:uiPriority w:val="99"/>
    <w:pPr>
      <w:spacing w:before="240" w:after="60"/>
      <w:jc w:val="center"/>
      <w:outlineLvl w:val="0"/>
    </w:pPr>
    <w:rPr>
      <w:rFonts w:ascii="Arial" w:hAnsi="Arial" w:cs="Arial"/>
      <w:b/>
      <w:bCs/>
      <w:sz w:val="32"/>
      <w:szCs w:val="32"/>
    </w:rPr>
  </w:style>
  <w:style w:type="paragraph" w:styleId="19">
    <w:name w:val="Body Text First Indent"/>
    <w:basedOn w:val="2"/>
    <w:qFormat/>
    <w:uiPriority w:val="0"/>
    <w:pPr>
      <w:spacing w:after="120"/>
      <w:ind w:firstLine="100" w:firstLineChars="100"/>
    </w:pPr>
  </w:style>
  <w:style w:type="paragraph" w:styleId="20">
    <w:name w:val="Body Text First Indent 2"/>
    <w:basedOn w:val="8"/>
    <w:next w:val="1"/>
    <w:qFormat/>
    <w:uiPriority w:val="0"/>
    <w:pPr>
      <w:ind w:firstLine="420" w:firstLineChars="200"/>
    </w:pPr>
    <w:rPr>
      <w:rFonts w:ascii="Calibri" w:hAnsi="Calibri" w:eastAsia="宋体" w:cs="Times New Roman"/>
      <w:szCs w:val="22"/>
    </w:rPr>
  </w:style>
  <w:style w:type="character" w:styleId="23">
    <w:name w:val="Strong"/>
    <w:basedOn w:val="22"/>
    <w:qFormat/>
    <w:uiPriority w:val="99"/>
    <w:rPr>
      <w:b/>
    </w:rPr>
  </w:style>
  <w:style w:type="character" w:styleId="24">
    <w:name w:val="Hyperlink"/>
    <w:basedOn w:val="22"/>
    <w:unhideWhenUsed/>
    <w:qFormat/>
    <w:uiPriority w:val="99"/>
    <w:rPr>
      <w:color w:val="0000FF" w:themeColor="hyperlink"/>
      <w:u w:val="single"/>
      <w14:textFill>
        <w14:solidFill>
          <w14:schemeClr w14:val="hlink"/>
        </w14:solidFill>
      </w14:textFill>
    </w:rPr>
  </w:style>
  <w:style w:type="paragraph" w:customStyle="1" w:styleId="25">
    <w:name w:val="标题 5（有编号）（绿盟科技）"/>
    <w:basedOn w:val="1"/>
    <w:next w:val="26"/>
    <w:qFormat/>
    <w:uiPriority w:val="99"/>
    <w:pPr>
      <w:keepNext/>
      <w:keepLines/>
      <w:numPr>
        <w:ilvl w:val="4"/>
        <w:numId w:val="1"/>
      </w:numPr>
      <w:spacing w:before="280" w:after="156" w:line="377" w:lineRule="auto"/>
      <w:jc w:val="left"/>
      <w:outlineLvl w:val="4"/>
    </w:pPr>
    <w:rPr>
      <w:rFonts w:ascii="Arial" w:hAnsi="Arial" w:eastAsia="黑体" w:cs="Arial"/>
      <w:b/>
      <w:bCs/>
      <w:sz w:val="24"/>
      <w:szCs w:val="24"/>
    </w:rPr>
  </w:style>
  <w:style w:type="paragraph" w:customStyle="1" w:styleId="26">
    <w:name w:val="正文（绿盟科技）"/>
    <w:qFormat/>
    <w:uiPriority w:val="99"/>
    <w:pPr>
      <w:spacing w:line="300" w:lineRule="auto"/>
    </w:pPr>
    <w:rPr>
      <w:rFonts w:ascii="Arial" w:hAnsi="Arial" w:eastAsia="宋体" w:cs="Arial"/>
      <w:kern w:val="0"/>
      <w:sz w:val="21"/>
      <w:szCs w:val="21"/>
      <w:lang w:val="en-US" w:eastAsia="zh-CN" w:bidi="ar-SA"/>
    </w:rPr>
  </w:style>
  <w:style w:type="character" w:customStyle="1" w:styleId="27">
    <w:name w:val="Header Char"/>
    <w:basedOn w:val="22"/>
    <w:semiHidden/>
    <w:qFormat/>
    <w:uiPriority w:val="99"/>
    <w:rPr>
      <w:rFonts w:ascii="Times New Roman" w:hAnsi="Times New Roman"/>
      <w:sz w:val="18"/>
      <w:szCs w:val="18"/>
    </w:rPr>
  </w:style>
  <w:style w:type="character" w:customStyle="1" w:styleId="28">
    <w:name w:val="页眉 Char"/>
    <w:link w:val="13"/>
    <w:semiHidden/>
    <w:qFormat/>
    <w:locked/>
    <w:uiPriority w:val="99"/>
    <w:rPr>
      <w:sz w:val="18"/>
    </w:rPr>
  </w:style>
  <w:style w:type="character" w:customStyle="1" w:styleId="29">
    <w:name w:val="Footer Char"/>
    <w:basedOn w:val="22"/>
    <w:semiHidden/>
    <w:qFormat/>
    <w:uiPriority w:val="99"/>
    <w:rPr>
      <w:rFonts w:ascii="Times New Roman" w:hAnsi="Times New Roman"/>
      <w:sz w:val="18"/>
      <w:szCs w:val="18"/>
    </w:rPr>
  </w:style>
  <w:style w:type="character" w:customStyle="1" w:styleId="30">
    <w:name w:val="页脚 Char"/>
    <w:link w:val="12"/>
    <w:qFormat/>
    <w:locked/>
    <w:uiPriority w:val="99"/>
    <w:rPr>
      <w:sz w:val="18"/>
    </w:rPr>
  </w:style>
  <w:style w:type="character" w:customStyle="1" w:styleId="31">
    <w:name w:val="Body Text Char"/>
    <w:basedOn w:val="22"/>
    <w:semiHidden/>
    <w:qFormat/>
    <w:uiPriority w:val="99"/>
    <w:rPr>
      <w:rFonts w:ascii="Times New Roman" w:hAnsi="Times New Roman"/>
      <w:szCs w:val="24"/>
    </w:rPr>
  </w:style>
  <w:style w:type="character" w:customStyle="1" w:styleId="32">
    <w:name w:val="正文文本 Char"/>
    <w:link w:val="2"/>
    <w:qFormat/>
    <w:locked/>
    <w:uiPriority w:val="99"/>
    <w:rPr>
      <w:rFonts w:ascii="仿宋_GB2312" w:hAnsi="Times New Roman" w:eastAsia="仿宋_GB2312"/>
      <w:sz w:val="24"/>
    </w:rPr>
  </w:style>
  <w:style w:type="paragraph" w:customStyle="1" w:styleId="3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4">
    <w:name w:val="List Paragraph"/>
    <w:basedOn w:val="1"/>
    <w:qFormat/>
    <w:uiPriority w:val="34"/>
    <w:pPr>
      <w:ind w:firstLine="420" w:firstLineChars="200"/>
    </w:pPr>
  </w:style>
  <w:style w:type="character" w:customStyle="1" w:styleId="35">
    <w:name w:val="标题 1 Char"/>
    <w:basedOn w:val="22"/>
    <w:link w:val="3"/>
    <w:qFormat/>
    <w:uiPriority w:val="9"/>
    <w:rPr>
      <w:rFonts w:ascii="Times New Roman" w:hAnsi="Times New Roman"/>
      <w:b/>
      <w:bCs/>
      <w:kern w:val="44"/>
      <w:sz w:val="44"/>
      <w:szCs w:val="44"/>
    </w:rPr>
  </w:style>
  <w:style w:type="character" w:customStyle="1" w:styleId="36">
    <w:name w:val="标题 2 Char"/>
    <w:basedOn w:val="22"/>
    <w:link w:val="4"/>
    <w:qFormat/>
    <w:uiPriority w:val="9"/>
    <w:rPr>
      <w:rFonts w:asciiTheme="majorHAnsi" w:hAnsiTheme="majorHAnsi" w:eastAsiaTheme="majorEastAsia" w:cstheme="majorBidi"/>
      <w:b/>
      <w:bCs/>
      <w:kern w:val="2"/>
      <w:sz w:val="32"/>
      <w:szCs w:val="32"/>
    </w:rPr>
  </w:style>
  <w:style w:type="paragraph" w:customStyle="1" w:styleId="3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8">
    <w:name w:val="批注框文本 Char"/>
    <w:basedOn w:val="22"/>
    <w:link w:val="11"/>
    <w:semiHidden/>
    <w:qFormat/>
    <w:uiPriority w:val="99"/>
    <w:rPr>
      <w:rFonts w:ascii="Times New Roman" w:hAnsi="Times New Roman"/>
      <w:kern w:val="2"/>
      <w:sz w:val="18"/>
      <w:szCs w:val="18"/>
    </w:rPr>
  </w:style>
  <w:style w:type="character" w:customStyle="1" w:styleId="39">
    <w:name w:val="标题 3 Char"/>
    <w:basedOn w:val="22"/>
    <w:link w:val="5"/>
    <w:qFormat/>
    <w:uiPriority w:val="9"/>
    <w:rPr>
      <w:rFonts w:ascii="Times New Roman" w:hAnsi="Times New Roman"/>
      <w:b/>
      <w:bCs/>
      <w:kern w:val="2"/>
      <w:sz w:val="32"/>
      <w:szCs w:val="32"/>
    </w:rPr>
  </w:style>
  <w:style w:type="paragraph" w:customStyle="1" w:styleId="4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1">
    <w:name w:val="Heading 2 Char"/>
    <w:basedOn w:val="22"/>
    <w:link w:val="4"/>
    <w:qFormat/>
    <w:locked/>
    <w:uiPriority w:val="99"/>
    <w:rPr>
      <w:rFonts w:ascii="Cambria" w:hAnsi="Cambria" w:eastAsia="宋体" w:cs="Cambria"/>
      <w:b/>
      <w:bCs/>
      <w:kern w:val="2"/>
      <w:sz w:val="32"/>
      <w:szCs w:val="32"/>
    </w:rPr>
  </w:style>
  <w:style w:type="character" w:customStyle="1" w:styleId="42">
    <w:name w:val="纯文本 Char"/>
    <w:basedOn w:val="22"/>
    <w:link w:val="10"/>
    <w:qFormat/>
    <w:uiPriority w:val="0"/>
    <w:rPr>
      <w:rFonts w:hint="eastAsia" w:ascii="宋体" w:hAnsi="Courier New" w:eastAsia="宋体" w:cs="Courier New"/>
      <w:kern w:val="2"/>
      <w:sz w:val="21"/>
      <w:szCs w:val="21"/>
    </w:rPr>
  </w:style>
  <w:style w:type="character" w:customStyle="1" w:styleId="43">
    <w:name w:val="font31"/>
    <w:basedOn w:val="22"/>
    <w:qFormat/>
    <w:uiPriority w:val="0"/>
    <w:rPr>
      <w:rFonts w:hint="eastAsia" w:ascii="宋体" w:hAnsi="宋体" w:eastAsia="宋体" w:cs="宋体"/>
      <w:b/>
      <w:bCs/>
      <w:color w:val="000000"/>
      <w:sz w:val="36"/>
      <w:szCs w:val="36"/>
      <w:u w:val="none"/>
    </w:rPr>
  </w:style>
  <w:style w:type="paragraph" w:customStyle="1" w:styleId="44">
    <w:name w:val="常用样式（方正仿宋简）"/>
    <w:basedOn w:val="1"/>
    <w:qFormat/>
    <w:uiPriority w:val="0"/>
    <w:pPr>
      <w:keepNext w:val="0"/>
      <w:keepLines w:val="0"/>
      <w:widowControl w:val="0"/>
      <w:suppressLineNumbers w:val="0"/>
      <w:spacing w:before="0" w:beforeAutospacing="0" w:after="0" w:afterAutospacing="0" w:line="560" w:lineRule="exact"/>
      <w:ind w:left="0" w:right="0" w:firstLine="640" w:firstLineChars="200"/>
      <w:jc w:val="both"/>
    </w:pPr>
    <w:rPr>
      <w:rFonts w:hint="default" w:ascii="Times New Roman" w:hAnsi="Times New Roman" w:eastAsia="方正仿宋简体" w:cs="Times New Roman"/>
      <w:kern w:val="2"/>
      <w:sz w:val="21"/>
      <w:szCs w:val="24"/>
      <w:lang w:val="en-US" w:eastAsia="zh-CN" w:bidi="ar"/>
    </w:rPr>
  </w:style>
  <w:style w:type="paragraph" w:customStyle="1" w:styleId="45">
    <w:name w:val="ToCaption"/>
    <w:basedOn w:val="1"/>
    <w:next w:val="1"/>
    <w:qFormat/>
    <w:uiPriority w:val="0"/>
    <w:pPr>
      <w:suppressAutoHyphens/>
      <w:ind w:leftChars="200" w:hanging="200" w:hangingChars="200"/>
      <w:jc w:val="both"/>
      <w:textAlignment w:val="baseline"/>
    </w:pPr>
  </w:style>
  <w:style w:type="character" w:customStyle="1" w:styleId="46">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7">
    <w:name w:val="western"/>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48">
    <w:name w:val="标题 Char"/>
    <w:basedOn w:val="22"/>
    <w:link w:val="18"/>
    <w:qFormat/>
    <w:uiPriority w:val="0"/>
    <w:rPr>
      <w:rFonts w:hint="default" w:ascii="Cambria" w:hAnsi="Cambria" w:eastAsia="Cambria" w:cs="Times New Roman"/>
      <w:b/>
      <w:bCs/>
      <w:kern w:val="2"/>
      <w:sz w:val="32"/>
      <w:szCs w:val="32"/>
    </w:rPr>
  </w:style>
  <w:style w:type="character" w:customStyle="1" w:styleId="49">
    <w:name w:val="副标题 Char"/>
    <w:basedOn w:val="22"/>
    <w:link w:val="15"/>
    <w:qFormat/>
    <w:uiPriority w:val="0"/>
    <w:rPr>
      <w:rFonts w:ascii="Cambria" w:hAnsi="Cambria" w:eastAsia="Cambria" w:cs="Times New Roman"/>
      <w:b/>
      <w:bCs/>
      <w:kern w:val="28"/>
      <w:sz w:val="32"/>
      <w:szCs w:val="32"/>
    </w:rPr>
  </w:style>
  <w:style w:type="paragraph" w:customStyle="1" w:styleId="50">
    <w:name w:val="Normal (Web)"/>
    <w:basedOn w:val="1"/>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0"/>
      <w:sz w:val="24"/>
      <w:szCs w:val="24"/>
      <w:lang w:val="en-US" w:eastAsia="zh-CN" w:bidi="ar"/>
    </w:rPr>
  </w:style>
  <w:style w:type="character" w:customStyle="1" w:styleId="51">
    <w:name w:val="font41"/>
    <w:basedOn w:val="22"/>
    <w:qFormat/>
    <w:uiPriority w:val="0"/>
    <w:rPr>
      <w:rFonts w:hint="eastAsia" w:ascii="宋体" w:hAnsi="宋体" w:eastAsia="宋体" w:cs="宋体"/>
      <w:color w:val="000000"/>
      <w:sz w:val="18"/>
      <w:szCs w:val="18"/>
      <w:u w:val="none"/>
    </w:rPr>
  </w:style>
  <w:style w:type="character" w:customStyle="1" w:styleId="52">
    <w:name w:val="font51"/>
    <w:basedOn w:val="22"/>
    <w:qFormat/>
    <w:uiPriority w:val="0"/>
    <w:rPr>
      <w:rFonts w:hint="eastAsia" w:ascii="宋体" w:hAnsi="宋体" w:eastAsia="宋体" w:cs="宋体"/>
      <w:b/>
      <w:bCs/>
      <w:color w:val="000000"/>
      <w:sz w:val="18"/>
      <w:szCs w:val="18"/>
      <w:u w:val="none"/>
    </w:rPr>
  </w:style>
  <w:style w:type="character" w:customStyle="1" w:styleId="53">
    <w:name w:val="font71"/>
    <w:basedOn w:val="22"/>
    <w:qFormat/>
    <w:uiPriority w:val="0"/>
    <w:rPr>
      <w:rFonts w:hint="eastAsia" w:ascii="宋体" w:hAnsi="宋体" w:eastAsia="宋体" w:cs="宋体"/>
      <w:b/>
      <w:bCs/>
      <w:color w:val="000000"/>
      <w:sz w:val="21"/>
      <w:szCs w:val="21"/>
      <w:u w:val="none"/>
    </w:rPr>
  </w:style>
  <w:style w:type="character" w:customStyle="1" w:styleId="54">
    <w:name w:val="font91"/>
    <w:basedOn w:val="22"/>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收、支决算总计变动情况图</a:t>
            </a:r>
            <a:r>
              <a:rPr lang="en-US" altLang="zh-CN"/>
              <a:t>                 </a:t>
            </a:r>
            <a:r>
              <a:t>（单位：万元）</a:t>
            </a:r>
          </a:p>
        </c:rich>
      </c:tx>
      <c:layout>
        <c:manualLayout>
          <c:xMode val="edge"/>
          <c:yMode val="edge"/>
          <c:x val="0.235277777777778"/>
          <c:y val="0.0347222222222222"/>
        </c:manualLayout>
      </c:layout>
      <c:overlay val="0"/>
      <c:spPr>
        <a:noFill/>
        <a:ln>
          <a:noFill/>
        </a:ln>
        <a:effectLst/>
      </c:spPr>
    </c:title>
    <c:autoTitleDeleted val="0"/>
    <c:plotArea>
      <c:layout/>
      <c:barChart>
        <c:barDir val="col"/>
        <c:grouping val="clustered"/>
        <c:varyColors val="0"/>
        <c:ser>
          <c:idx val="0"/>
          <c:order val="0"/>
          <c:tx>
            <c:strRef>
              <c:f>'[画图工具（行政审批局).xlsx]收支总计'!$B$1</c:f>
              <c:strCache>
                <c:ptCount val="1"/>
                <c:pt idx="0">
                  <c:v>收入决算数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'[画图工具（行政审批局).xlsx]收支总计'!$A$2:$A$6</c:f>
              <c:strCache>
                <c:ptCount val="5"/>
                <c:pt idx="0">
                  <c:v>2020年</c:v>
                </c:pt>
                <c:pt idx="1">
                  <c:v>2021年</c:v>
                </c:pt>
                <c:pt idx="2">
                  <c:v>2020年</c:v>
                </c:pt>
                <c:pt idx="3">
                  <c:v>2021年</c:v>
                </c:pt>
              </c:strCache>
            </c:strRef>
          </c:cat>
          <c:val>
            <c:numRef>
              <c:f>'[画图工具（行政审批局).xlsx]收支总计'!$B$2:$B$6</c:f>
              <c:numCache>
                <c:formatCode>General</c:formatCode>
                <c:ptCount val="5"/>
                <c:pt idx="0">
                  <c:v>300.01</c:v>
                </c:pt>
                <c:pt idx="1">
                  <c:v>284.02</c:v>
                </c:pt>
              </c:numCache>
            </c:numRef>
          </c:val>
        </c:ser>
        <c:ser>
          <c:idx val="1"/>
          <c:order val="1"/>
          <c:tx>
            <c:strRef>
              <c:f>'[画图工具（行政审批局).xlsx]收支总计'!$C$1</c:f>
              <c:strCache>
                <c:ptCount val="1"/>
                <c:pt idx="0">
                  <c:v>支出决算数</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'[画图工具（行政审批局).xlsx]收支总计'!$A$2:$A$6</c:f>
              <c:strCache>
                <c:ptCount val="5"/>
                <c:pt idx="0">
                  <c:v>2020年</c:v>
                </c:pt>
                <c:pt idx="1">
                  <c:v>2021年</c:v>
                </c:pt>
                <c:pt idx="2">
                  <c:v>2020年</c:v>
                </c:pt>
                <c:pt idx="3">
                  <c:v>2021年</c:v>
                </c:pt>
              </c:strCache>
            </c:strRef>
          </c:cat>
          <c:val>
            <c:numRef>
              <c:f>'[画图工具（行政审批局).xlsx]收支总计'!$C$2:$C$6</c:f>
              <c:numCache>
                <c:formatCode>General</c:formatCode>
                <c:ptCount val="5"/>
                <c:pt idx="2">
                  <c:v>300.01</c:v>
                </c:pt>
                <c:pt idx="3">
                  <c:v>284.02</c:v>
                </c:pt>
              </c:numCache>
            </c:numRef>
          </c:val>
        </c:ser>
        <c:ser>
          <c:idx val="2"/>
          <c:order val="2"/>
          <c:tx>
            <c:strRef>
              <c:f>'[画图工具（行政审批局).xlsx]收支总计'!$D$1</c:f>
              <c:strCache>
                <c:ptCount val="1"/>
                <c:pt idx="0">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'[画图工具（行政审批局).xlsx]收支总计'!$A$2:$A$6</c:f>
              <c:strCache>
                <c:ptCount val="5"/>
                <c:pt idx="0">
                  <c:v>2020年</c:v>
                </c:pt>
                <c:pt idx="1">
                  <c:v>2021年</c:v>
                </c:pt>
                <c:pt idx="2">
                  <c:v>2020年</c:v>
                </c:pt>
                <c:pt idx="3">
                  <c:v>2021年</c:v>
                </c:pt>
              </c:strCache>
            </c:strRef>
          </c:cat>
          <c:val>
            <c:numRef>
              <c:f>'[画图工具（行政审批局).xlsx]收支总计'!$D$2:$D$6</c:f>
              <c:numCache>
                <c:formatCode>General</c:formatCode>
                <c:ptCount val="5"/>
              </c:numCache>
            </c:numRef>
          </c:val>
        </c:ser>
        <c:dLbls>
          <c:showLegendKey val="0"/>
          <c:showVal val="0"/>
          <c:showCatName val="0"/>
          <c:showSerName val="0"/>
          <c:showPercent val="0"/>
          <c:showBubbleSize val="0"/>
        </c:dLbls>
        <c:gapWidth val="100"/>
        <c:overlap val="-24"/>
        <c:axId val="250727424"/>
        <c:axId val="250745600"/>
      </c:barChart>
      <c:catAx>
        <c:axId val="250727424"/>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250745600"/>
        <c:crosses val="autoZero"/>
        <c:auto val="1"/>
        <c:lblAlgn val="ctr"/>
        <c:lblOffset val="100"/>
        <c:noMultiLvlLbl val="0"/>
      </c:catAx>
      <c:valAx>
        <c:axId val="25074560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2507274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'[画图工具（行政审批局).xlsx]总收入'!$B$1</c:f>
              <c:strCache>
                <c:ptCount val="1"/>
                <c:pt idx="0">
                  <c:v>收入决算结构（单位：万元）</c:v>
                </c:pt>
              </c:strCache>
            </c:strRef>
          </c:tx>
          <c:spPr/>
          <c:explosion val="0"/>
          <c:dPt>
            <c:idx val="0"/>
            <c:bubble3D val="0"/>
            <c:spPr>
              <a:solidFill>
                <a:schemeClr val="accent1">
                  <a:shade val="76667"/>
                </a:schemeClr>
              </a:solidFill>
              <a:ln>
                <a:noFill/>
              </a:ln>
              <a:effectLst>
                <a:outerShdw blurRad="254000" sx="102000" sy="102000" algn="ctr" rotWithShape="0">
                  <a:prstClr val="black">
                    <a:alpha val="20000"/>
                  </a:prstClr>
                </a:outerShdw>
              </a:effectLst>
            </c:spPr>
          </c:dPt>
          <c:dLbls>
            <c:spPr>
              <a:solidFill>
                <a:schemeClr val="accent2"/>
              </a:solid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'[画图工具（行政审批局).xlsx]总收入'!$A$2</c:f>
              <c:strCache>
                <c:ptCount val="1"/>
                <c:pt idx="0">
                  <c:v>一般公共预算财政拨款收入</c:v>
                </c:pt>
              </c:strCache>
            </c:strRef>
          </c:cat>
          <c:val>
            <c:numRef>
              <c:f>'[画图工具（行政审批局).xlsx]总收入'!$B$2</c:f>
              <c:numCache>
                <c:formatCode>0.00_);\(0.00\)</c:formatCode>
                <c:ptCount val="1"/>
                <c:pt idx="0">
                  <c:v>284.02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r>
              <a:t>支出决算结构图（单位：万元）</a:t>
            </a:r>
          </a:p>
        </c:rich>
      </c:tx>
      <c:layout/>
      <c:overlay val="0"/>
      <c:spPr>
        <a:noFill/>
        <a:ln>
          <a:noFill/>
        </a:ln>
        <a:effectLst/>
      </c:spPr>
    </c:title>
    <c:autoTitleDeleted val="0"/>
    <c:plotArea>
      <c:layout/>
      <c:pieChart>
        <c:varyColors val="1"/>
        <c:ser>
          <c:idx val="0"/>
          <c:order val="0"/>
          <c:tx>
            <c:strRef>
              <c:f>'[画图工具（行政审批局).xlsx]总支出'!$B$1</c:f>
              <c:strCache>
                <c:ptCount val="1"/>
                <c:pt idx="0">
                  <c:v>2021年支出合计（单位：万元）</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'[画图工具（行政审批局).xlsx]总支出'!$A$2:$A$3</c:f>
              <c:strCache>
                <c:ptCount val="2"/>
                <c:pt idx="0">
                  <c:v>基本支出</c:v>
                </c:pt>
                <c:pt idx="1">
                  <c:v>项目支出</c:v>
                </c:pt>
              </c:strCache>
            </c:strRef>
          </c:cat>
          <c:val>
            <c:numRef>
              <c:f>'[画图工具（行政审批局).xlsx]总支出'!$B$2:$B$3</c:f>
              <c:numCache>
                <c:formatCode>General</c:formatCode>
                <c:ptCount val="2"/>
                <c:pt idx="0">
                  <c:v>242.11</c:v>
                </c:pt>
                <c:pt idx="1">
                  <c:v>41.91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财政拨款收、支决算总计变动情况  （单位：万元）</a:t>
            </a:r>
          </a:p>
        </c:rich>
      </c:tx>
      <c:layout>
        <c:manualLayout>
          <c:xMode val="edge"/>
          <c:yMode val="edge"/>
          <c:x val="0.235277777777778"/>
          <c:y val="0.0347222222222222"/>
        </c:manualLayout>
      </c:layout>
      <c:overlay val="0"/>
      <c:spPr>
        <a:noFill/>
        <a:ln>
          <a:noFill/>
        </a:ln>
        <a:effectLst/>
      </c:spPr>
    </c:title>
    <c:autoTitleDeleted val="0"/>
    <c:plotArea>
      <c:layout/>
      <c:barChart>
        <c:barDir val="col"/>
        <c:grouping val="clustered"/>
        <c:varyColors val="0"/>
        <c:ser>
          <c:idx val="0"/>
          <c:order val="0"/>
          <c:tx>
            <c:strRef>
              <c:f>'[画图工具（行政审批局).xlsx]收支总计 (2)'!$B$1</c:f>
              <c:strCache>
                <c:ptCount val="1"/>
                <c:pt idx="0">
                  <c:v>财政拨款收入总计</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'[画图工具（行政审批局).xlsx]收支总计 (2)'!$A$2:$A$6</c:f>
              <c:strCache>
                <c:ptCount val="5"/>
                <c:pt idx="0">
                  <c:v>2020年</c:v>
                </c:pt>
                <c:pt idx="1">
                  <c:v>2021年</c:v>
                </c:pt>
                <c:pt idx="2">
                  <c:v>2020年</c:v>
                </c:pt>
                <c:pt idx="3">
                  <c:v>2021年</c:v>
                </c:pt>
              </c:strCache>
            </c:strRef>
          </c:cat>
          <c:val>
            <c:numRef>
              <c:f>'[画图工具（行政审批局).xlsx]收支总计 (2)'!$B$2:$B$6</c:f>
              <c:numCache>
                <c:formatCode>General</c:formatCode>
                <c:ptCount val="5"/>
                <c:pt idx="0">
                  <c:v>300.01</c:v>
                </c:pt>
                <c:pt idx="1">
                  <c:v>284.02</c:v>
                </c:pt>
              </c:numCache>
            </c:numRef>
          </c:val>
        </c:ser>
        <c:ser>
          <c:idx val="1"/>
          <c:order val="1"/>
          <c:tx>
            <c:strRef>
              <c:f>'[画图工具（行政审批局).xlsx]收支总计 (2)'!$C$1</c:f>
              <c:strCache>
                <c:ptCount val="1"/>
                <c:pt idx="0">
                  <c:v>财政拨款支出总计</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'[画图工具（行政审批局).xlsx]收支总计 (2)'!$A$2:$A$6</c:f>
              <c:strCache>
                <c:ptCount val="5"/>
                <c:pt idx="0">
                  <c:v>2020年</c:v>
                </c:pt>
                <c:pt idx="1">
                  <c:v>2021年</c:v>
                </c:pt>
                <c:pt idx="2">
                  <c:v>2020年</c:v>
                </c:pt>
                <c:pt idx="3">
                  <c:v>2021年</c:v>
                </c:pt>
              </c:strCache>
            </c:strRef>
          </c:cat>
          <c:val>
            <c:numRef>
              <c:f>'[画图工具（行政审批局).xlsx]收支总计 (2)'!$C$2:$C$6</c:f>
              <c:numCache>
                <c:formatCode>General</c:formatCode>
                <c:ptCount val="5"/>
                <c:pt idx="2">
                  <c:v>300.01</c:v>
                </c:pt>
                <c:pt idx="3">
                  <c:v>284.02</c:v>
                </c:pt>
              </c:numCache>
            </c:numRef>
          </c:val>
        </c:ser>
        <c:ser>
          <c:idx val="2"/>
          <c:order val="2"/>
          <c:tx>
            <c:strRef>
              <c:f>'[画图工具（行政审批局).xlsx]收支总计 (2)'!$D$1</c:f>
              <c:strCache>
                <c:ptCount val="1"/>
                <c:pt idx="0">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'[画图工具（行政审批局).xlsx]收支总计 (2)'!$A$2:$A$6</c:f>
              <c:strCache>
                <c:ptCount val="5"/>
                <c:pt idx="0">
                  <c:v>2020年</c:v>
                </c:pt>
                <c:pt idx="1">
                  <c:v>2021年</c:v>
                </c:pt>
                <c:pt idx="2">
                  <c:v>2020年</c:v>
                </c:pt>
                <c:pt idx="3">
                  <c:v>2021年</c:v>
                </c:pt>
              </c:strCache>
            </c:strRef>
          </c:cat>
          <c:val>
            <c:numRef>
              <c:f>'[画图工具（行政审批局).xlsx]收支总计 (2)'!$D$2:$D$6</c:f>
              <c:numCache>
                <c:formatCode>General</c:formatCode>
                <c:ptCount val="5"/>
              </c:numCache>
            </c:numRef>
          </c:val>
        </c:ser>
        <c:dLbls>
          <c:showLegendKey val="0"/>
          <c:showVal val="0"/>
          <c:showCatName val="0"/>
          <c:showSerName val="0"/>
          <c:showPercent val="0"/>
          <c:showBubbleSize val="0"/>
        </c:dLbls>
        <c:gapWidth val="100"/>
        <c:overlap val="-24"/>
        <c:axId val="250162176"/>
        <c:axId val="250188544"/>
      </c:barChart>
      <c:catAx>
        <c:axId val="250162176"/>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250188544"/>
        <c:crosses val="autoZero"/>
        <c:auto val="1"/>
        <c:lblAlgn val="ctr"/>
        <c:lblOffset val="100"/>
        <c:noMultiLvlLbl val="0"/>
      </c:catAx>
      <c:valAx>
        <c:axId val="2501885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2501621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一般公共预算财政拨款支出</a:t>
            </a:r>
            <a:r>
              <a:rPr lang="en-US" altLang="zh-CN"/>
              <a:t>                </a:t>
            </a:r>
            <a:r>
              <a:t>（单位：万元）</a:t>
            </a:r>
          </a:p>
        </c:rich>
      </c:tx>
      <c:layout/>
      <c:overlay val="0"/>
      <c:spPr>
        <a:noFill/>
        <a:ln>
          <a:noFill/>
        </a:ln>
        <a:effectLst/>
      </c:spPr>
    </c:title>
    <c:autoTitleDeleted val="0"/>
    <c:plotArea>
      <c:layout/>
      <c:barChart>
        <c:barDir val="col"/>
        <c:grouping val="clustered"/>
        <c:varyColors val="0"/>
        <c:ser>
          <c:idx val="0"/>
          <c:order val="0"/>
          <c:tx>
            <c:strRef>
              <c:f>'[画图工具（行政审批局).xlsx]Sheet1 (4)'!$B$1</c:f>
              <c:strCache>
                <c:ptCount val="1"/>
                <c:pt idx="0">
                  <c:v>一般公共预算财政拨款支出（单位：万元）</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'[画图工具（行政审批局).xlsx]Sheet1 (4)'!$A$2:$A$3</c:f>
              <c:strCache>
                <c:ptCount val="2"/>
                <c:pt idx="0">
                  <c:v>2020年</c:v>
                </c:pt>
                <c:pt idx="1">
                  <c:v>2021年</c:v>
                </c:pt>
              </c:strCache>
            </c:strRef>
          </c:cat>
          <c:val>
            <c:numRef>
              <c:f>'[画图工具（行政审批局).xlsx]Sheet1 (4)'!$B$2:$B$3</c:f>
              <c:numCache>
                <c:formatCode>General</c:formatCode>
                <c:ptCount val="2"/>
                <c:pt idx="0">
                  <c:v>300.01</c:v>
                </c:pt>
                <c:pt idx="1">
                  <c:v>284.02</c:v>
                </c:pt>
              </c:numCache>
            </c:numRef>
          </c:val>
        </c:ser>
        <c:dLbls>
          <c:showLegendKey val="0"/>
          <c:showVal val="1"/>
          <c:showCatName val="0"/>
          <c:showSerName val="0"/>
          <c:showPercent val="0"/>
          <c:showBubbleSize val="0"/>
        </c:dLbls>
        <c:gapWidth val="100"/>
        <c:overlap val="-24"/>
        <c:axId val="252047360"/>
        <c:axId val="252048896"/>
      </c:barChart>
      <c:catAx>
        <c:axId val="252047360"/>
        <c:scaling>
          <c:orientation val="minMax"/>
        </c:scaling>
        <c:delete val="0"/>
        <c:axPos val="b"/>
        <c:majorTickMark val="out"/>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252048896"/>
        <c:crosses val="autoZero"/>
        <c:auto val="1"/>
        <c:lblAlgn val="ctr"/>
        <c:lblOffset val="100"/>
        <c:noMultiLvlLbl val="0"/>
      </c:catAx>
      <c:valAx>
        <c:axId val="25204889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2520473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0885416666666667"/>
          <c:y val="0.0364372469635627"/>
        </c:manualLayout>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'[画图工具（行政审批局).xlsx]一般公共预算财政拨款支出'!$B$1</c:f>
              <c:strCache>
                <c:ptCount val="1"/>
                <c:pt idx="0">
                  <c:v>一般公共预算财政拨款支出（单位：万元）</c:v>
                </c:pt>
              </c:strCache>
            </c:strRef>
          </c:tx>
          <c:spPr/>
          <c:explosion val="0"/>
          <c:dPt>
            <c:idx val="0"/>
            <c:bubble3D val="0"/>
            <c:spPr>
              <a:solidFill>
                <a:schemeClr val="accent1">
                  <a:shade val="76667"/>
                </a:schemeClr>
              </a:solidFill>
              <a:ln>
                <a:noFill/>
              </a:ln>
              <a:effectLst>
                <a:outerShdw blurRad="254000" sx="102000" sy="102000" algn="ctr" rotWithShape="0">
                  <a:prstClr val="black">
                    <a:alpha val="20000"/>
                  </a:prstClr>
                </a:outerShdw>
              </a:effectLst>
            </c:spPr>
          </c:dPt>
          <c:dPt>
            <c:idx val="1"/>
            <c:bubble3D val="0"/>
            <c:spPr>
              <a:solidFill>
                <a:schemeClr val="accent2">
                  <a:shade val="76667"/>
                </a:schemeClr>
              </a:solidFill>
              <a:ln>
                <a:noFill/>
              </a:ln>
              <a:effectLst>
                <a:outerShdw blurRad="254000" sx="102000" sy="102000" algn="ctr" rotWithShape="0">
                  <a:prstClr val="black">
                    <a:alpha val="20000"/>
                  </a:prstClr>
                </a:outerShdw>
              </a:effectLst>
            </c:spPr>
          </c:dPt>
          <c:dPt>
            <c:idx val="2"/>
            <c:bubble3D val="0"/>
            <c:spPr>
              <a:solidFill>
                <a:schemeClr val="accent3">
                  <a:shade val="76667"/>
                </a:schemeClr>
              </a:solidFill>
              <a:ln>
                <a:noFill/>
              </a:ln>
              <a:effectLst>
                <a:outerShdw blurRad="254000" sx="102000" sy="102000" algn="ctr" rotWithShape="0">
                  <a:prstClr val="black">
                    <a:alpha val="20000"/>
                  </a:prstClr>
                </a:outerShdw>
              </a:effectLst>
            </c:spPr>
          </c:dPt>
          <c:dPt>
            <c:idx val="3"/>
            <c:bubble3D val="0"/>
            <c:spPr>
              <a:solidFill>
                <a:schemeClr val="accent4">
                  <a:shade val="76667"/>
                </a:schemeClr>
              </a:solidFill>
              <a:ln>
                <a:noFill/>
              </a:ln>
              <a:effectLst>
                <a:outerShdw blurRad="254000" sx="102000" sy="102000" algn="ctr" rotWithShape="0">
                  <a:prstClr val="black">
                    <a:alpha val="20000"/>
                  </a:prstClr>
                </a:outerShdw>
              </a:effectLst>
            </c:spPr>
          </c:dPt>
          <c:dLbls>
            <c:dLbl>
              <c:idx val="1"/>
              <c:layout>
                <c:manualLayout>
                  <c:x val="0.0227280169112989"/>
                  <c:y val="0.0909548687788862"/>
                </c:manualLayout>
              </c:layout>
              <c:dLblPos val="bestFit"/>
              <c:showLegendKey val="0"/>
              <c:showVal val="1"/>
              <c:showCatName val="0"/>
              <c:showSerName val="0"/>
              <c:showPercent val="1"/>
              <c:showBubbleSize val="0"/>
              <c:extLst>
                <c:ext xmlns:c15="http://schemas.microsoft.com/office/drawing/2012/chart" uri="{CE6537A1-D6FC-4f65-9D91-7224C49458BB}">
                  <c15:layout>
                    <c:manualLayout>
                      <c:w val="0.137361111111111"/>
                      <c:h val="0.0774628879892038"/>
                    </c:manualLayout>
                  </c15:layout>
                </c:ext>
              </c:extLst>
            </c:dLbl>
            <c:dLbl>
              <c:idx val="2"/>
              <c:layout>
                <c:manualLayout>
                  <c:x val="-0.0212147127066238"/>
                  <c:y val="0.036374832919601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26270715402344"/>
                  <c:y val="0.0824639413239561"/>
                </c:manualLayout>
              </c:layout>
              <c:dLblPos val="bestFit"/>
              <c:showLegendKey val="0"/>
              <c:showVal val="1"/>
              <c:showCatName val="0"/>
              <c:showSerName val="0"/>
              <c:showPercent val="1"/>
              <c:showBubbleSize val="0"/>
              <c:extLst>
                <c:ext xmlns:c15="http://schemas.microsoft.com/office/drawing/2012/chart" uri="{CE6537A1-D6FC-4f65-9D91-7224C49458BB}">
                  <c15:layout>
                    <c:manualLayout>
                      <c:w val="0.175694444444444"/>
                      <c:h val="0.0831309041835358"/>
                    </c:manualLayout>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'[画图工具（行政审批局).xlsx]一般公共预算财政拨款支出'!$A$2:$A$5</c:f>
              <c:strCache>
                <c:ptCount val="4"/>
                <c:pt idx="0">
                  <c:v>一般公共服务支出</c:v>
                </c:pt>
                <c:pt idx="1">
                  <c:v>社会保障和就业支出</c:v>
                </c:pt>
                <c:pt idx="2">
                  <c:v>卫生健康支出</c:v>
                </c:pt>
                <c:pt idx="3">
                  <c:v>住房保障支出</c:v>
                </c:pt>
              </c:strCache>
            </c:strRef>
          </c:cat>
          <c:val>
            <c:numRef>
              <c:f>'[画图工具（行政审批局).xlsx]一般公共预算财政拨款支出'!$B$2:$B$5</c:f>
              <c:numCache>
                <c:formatCode>General</c:formatCode>
                <c:ptCount val="4"/>
                <c:pt idx="0">
                  <c:v>217.57</c:v>
                </c:pt>
                <c:pt idx="1">
                  <c:v>38.35</c:v>
                </c:pt>
                <c:pt idx="2">
                  <c:v>9.75</c:v>
                </c:pt>
                <c:pt idx="3">
                  <c:v>18.35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“三公”经费财政拨款支出</a:t>
            </a:r>
            <a:r>
              <a:rPr lang="en-US" altLang="zh-CN"/>
              <a:t>         </a:t>
            </a:r>
            <a:r>
              <a:t>（单位：万元）</a:t>
            </a:r>
          </a:p>
        </c:rich>
      </c:tx>
      <c:layout/>
      <c:overlay val="0"/>
      <c:spPr>
        <a:noFill/>
        <a:ln>
          <a:noFill/>
        </a:ln>
        <a:effectLst/>
      </c:spPr>
    </c:title>
    <c:autoTitleDeleted val="0"/>
    <c:plotArea>
      <c:layout/>
      <c:pieChart>
        <c:varyColors val="1"/>
        <c:ser>
          <c:idx val="0"/>
          <c:order val="0"/>
          <c:tx>
            <c:strRef>
              <c:f>'[画图工具（行政审批局).xlsx]“三公”经费财政拨款支出'!$B$1</c:f>
              <c:strCache>
                <c:ptCount val="1"/>
                <c:pt idx="0">
                  <c:v>“三公”经费财政拨款支出（单位：万元）</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'[画图工具（行政审批局).xlsx]“三公”经费财政拨款支出'!$A$2:$A$4</c:f>
              <c:strCache>
                <c:ptCount val="3"/>
                <c:pt idx="0">
                  <c:v>因公出国（境）费支出</c:v>
                </c:pt>
                <c:pt idx="1">
                  <c:v>公务用车购置及运行维护费支出</c:v>
                </c:pt>
                <c:pt idx="2">
                  <c:v>公务接待费支出</c:v>
                </c:pt>
              </c:strCache>
            </c:strRef>
          </c:cat>
          <c:val>
            <c:numRef>
              <c:f>'[画图工具（行政审批局).xlsx]“三公”经费财政拨款支出'!$B$2:$B$4</c:f>
              <c:numCache>
                <c:formatCode>General</c:formatCode>
                <c:ptCount val="3"/>
                <c:pt idx="0">
                  <c:v>0</c:v>
                </c:pt>
                <c:pt idx="1">
                  <c:v>0</c:v>
                </c:pt>
                <c:pt idx="2">
                  <c:v>0.19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6.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7.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72</Pages>
  <Words>33884</Words>
  <Characters>35464</Characters>
  <Lines>61</Lines>
  <Paragraphs>17</Paragraphs>
  <TotalTime>70</TotalTime>
  <ScaleCrop>false</ScaleCrop>
  <LinksUpToDate>false</LinksUpToDate>
  <CharactersWithSpaces>53226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坦诚</cp:lastModifiedBy>
  <cp:lastPrinted>2022-09-26T16:52:00Z</cp:lastPrinted>
  <dcterms:modified xsi:type="dcterms:W3CDTF">2023-09-12T09:54:48Z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A7FF52DDA277406B8A46F71FF7E2D170_13</vt:lpwstr>
  </property>
</Properties>
</file>