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bookmarkEnd w:id="0"/>
    <w:p>
      <w:pPr>
        <w:adjustRightInd w:val="0"/>
        <w:snapToGrid w:val="0"/>
        <w:spacing w:line="360" w:lineRule="auto"/>
        <w:jc w:val="center"/>
        <w:outlineLvl w:val="0"/>
        <w:rPr>
          <w:rFonts w:hint="eastAsia" w:ascii="黑体" w:hAnsi="黑体" w:eastAsia="黑体" w:cs="黑体"/>
          <w:color w:val="000000"/>
          <w:sz w:val="72"/>
          <w:szCs w:val="72"/>
          <w:lang w:val="en-US" w:eastAsia="zh-CN"/>
        </w:rPr>
      </w:pPr>
      <w:bookmarkStart w:id="1" w:name="_Toc83393177"/>
      <w:bookmarkStart w:id="2" w:name="_Toc15377426"/>
      <w:bookmarkStart w:id="3" w:name="_Toc15378442"/>
      <w:bookmarkStart w:id="4" w:name="_Toc15377194"/>
      <w:bookmarkStart w:id="5" w:name="_Toc15396476"/>
      <w:bookmarkStart w:id="6" w:name="_Toc15396598"/>
      <w:r>
        <w:rPr>
          <w:rFonts w:hint="eastAsia" w:ascii="黑体" w:hAnsi="黑体" w:eastAsia="黑体" w:cs="黑体"/>
          <w:color w:val="000000"/>
          <w:sz w:val="72"/>
          <w:szCs w:val="72"/>
          <w:lang w:val="en-US" w:eastAsia="zh-CN"/>
        </w:rPr>
        <w:t>2021年度</w:t>
      </w:r>
    </w:p>
    <w:p>
      <w:pPr>
        <w:adjustRightInd w:val="0"/>
        <w:snapToGrid w:val="0"/>
        <w:spacing w:line="360" w:lineRule="auto"/>
        <w:jc w:val="center"/>
        <w:outlineLvl w:val="0"/>
        <w:rPr>
          <w:rFonts w:hint="eastAsia" w:ascii="黑体" w:hAnsi="黑体" w:eastAsia="黑体" w:cs="黑体"/>
          <w:color w:val="000000"/>
          <w:sz w:val="72"/>
          <w:szCs w:val="72"/>
        </w:rPr>
      </w:pPr>
      <w:bookmarkStart w:id="7" w:name="_Toc15306268"/>
      <w:r>
        <w:rPr>
          <w:rFonts w:hint="eastAsia" w:ascii="黑体" w:hAnsi="黑体" w:eastAsia="黑体" w:cs="黑体"/>
          <w:color w:val="000000"/>
          <w:sz w:val="72"/>
          <w:szCs w:val="72"/>
        </w:rPr>
        <w:t>广元市朝天区人民政府</w:t>
      </w:r>
      <w:r>
        <w:rPr>
          <w:rFonts w:hint="eastAsia" w:ascii="黑体" w:hAnsi="黑体" w:eastAsia="黑体" w:cs="黑体"/>
          <w:color w:val="000000"/>
          <w:sz w:val="72"/>
          <w:szCs w:val="72"/>
          <w:lang w:eastAsia="zh-CN"/>
        </w:rPr>
        <w:t>办公室单位</w:t>
      </w:r>
      <w:r>
        <w:rPr>
          <w:rFonts w:hint="eastAsia" w:ascii="黑体" w:hAnsi="黑体" w:eastAsia="黑体" w:cs="黑体"/>
          <w:color w:val="000000"/>
          <w:sz w:val="72"/>
          <w:szCs w:val="72"/>
        </w:rPr>
        <w:t>决算</w:t>
      </w:r>
      <w:bookmarkEnd w:id="1"/>
      <w:bookmarkEnd w:id="2"/>
      <w:bookmarkEnd w:id="3"/>
      <w:bookmarkEnd w:id="4"/>
      <w:bookmarkEnd w:id="5"/>
      <w:bookmarkEnd w:id="6"/>
      <w:bookmarkEnd w:id="7"/>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2"/>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9</w:t>
      </w:r>
      <w:r>
        <w:rPr>
          <w:rFonts w:hint="eastAsia"/>
          <w:color w:val="auto"/>
          <w:highlight w:val="none"/>
        </w:rPr>
        <w:t>日</w:t>
      </w:r>
    </w:p>
    <w:p>
      <w:pPr>
        <w:rPr>
          <w:color w:val="auto"/>
          <w:highlight w:val="none"/>
        </w:rPr>
      </w:pPr>
    </w:p>
    <w:p>
      <w:pPr>
        <w:pStyle w:val="12"/>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3"/>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一、职能</w:t>
      </w:r>
      <w:r>
        <w:rPr>
          <w:rFonts w:hint="eastAsia"/>
          <w:color w:val="auto"/>
          <w:sz w:val="24"/>
          <w:highlight w:val="none"/>
          <w:lang w:eastAsia="zh-CN"/>
        </w:rPr>
        <w:t>简介</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二、</w:t>
      </w:r>
      <w:r>
        <w:rPr>
          <w:rFonts w:hint="eastAsia" w:asciiTheme="minorEastAsia" w:hAnsiTheme="minorEastAsia" w:eastAsiaTheme="minorEastAsia" w:cstheme="minorEastAsia"/>
          <w:color w:val="auto"/>
          <w:sz w:val="24"/>
          <w:highlight w:val="none"/>
          <w:lang w:val="en-US" w:eastAsia="zh-CN"/>
        </w:rPr>
        <w:t>2021年重点</w:t>
      </w:r>
      <w:r>
        <w:rPr>
          <w:rFonts w:hint="eastAsia" w:asciiTheme="minorEastAsia" w:hAnsiTheme="minorEastAsia" w:eastAsiaTheme="minorEastAsia" w:cstheme="minorEastAsia"/>
          <w:color w:val="auto"/>
          <w:sz w:val="24"/>
          <w:highlight w:val="none"/>
        </w:rPr>
        <w:t>工作</w:t>
      </w:r>
      <w:r>
        <w:rPr>
          <w:rFonts w:hint="eastAsia" w:asciiTheme="minorEastAsia" w:hAnsiTheme="minorEastAsia" w:eastAsiaTheme="minorEastAsia" w:cstheme="minorEastAsia"/>
          <w:color w:val="auto"/>
          <w:sz w:val="24"/>
          <w:highlight w:val="none"/>
          <w:lang w:eastAsia="zh-CN"/>
        </w:rPr>
        <w:t>完成情况</w:t>
      </w:r>
    </w:p>
    <w:p>
      <w:pPr>
        <w:tabs>
          <w:tab w:val="left" w:pos="220"/>
        </w:tabs>
        <w:rPr>
          <w:rFonts w:hint="default"/>
          <w:lang w:val="en-US" w:eastAsia="zh-CN"/>
        </w:rPr>
      </w:pP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 xml:space="preserve">  三、单位基本情况</w:t>
      </w:r>
    </w:p>
    <w:p>
      <w:pPr>
        <w:pStyle w:val="12"/>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lang w:eastAsia="zh-CN"/>
        </w:rPr>
        <w:t>单位</w:t>
      </w:r>
      <w:r>
        <w:rPr>
          <w:rFonts w:hint="eastAsia"/>
          <w:color w:val="auto"/>
          <w:sz w:val="24"/>
          <w:highlight w:val="none"/>
        </w:rPr>
        <w:t>决算情况说明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pPr>
        <w:pStyle w:val="13"/>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p>
    <w:p>
      <w:pPr>
        <w:pStyle w:val="12"/>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2"/>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2"/>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十、一般公共预算财政拨款“三公”经费支出决算表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十一、政府性基金预算财政拨款收入支出决算表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十二、政府性基金预算财政拨款“三公”经费支出决算表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十三、国有资本经营预算</w:t>
      </w:r>
      <w:r>
        <w:rPr>
          <w:rFonts w:hint="eastAsia"/>
          <w:color w:val="auto"/>
          <w:sz w:val="24"/>
          <w:highlight w:val="none"/>
          <w:lang w:eastAsia="zh-CN"/>
        </w:rPr>
        <w:t>财政拨款收入</w:t>
      </w:r>
      <w:r>
        <w:rPr>
          <w:rFonts w:hint="eastAsia"/>
          <w:color w:val="auto"/>
          <w:sz w:val="24"/>
          <w:highlight w:val="none"/>
        </w:rPr>
        <w:t>支出决算表</w:t>
      </w:r>
    </w:p>
    <w:p>
      <w:pPr>
        <w:pStyle w:val="13"/>
        <w:adjustRightInd w:val="0"/>
        <w:snapToGrid w:val="0"/>
        <w:spacing w:line="440" w:lineRule="exact"/>
        <w:jc w:val="left"/>
        <w:rPr>
          <w:rFonts w:hint="default"/>
          <w:color w:val="auto"/>
          <w:sz w:val="24"/>
          <w:highlight w:val="none"/>
          <w:lang w:val="en-US" w:eastAsia="zh-CN"/>
        </w:rPr>
      </w:pPr>
      <w:r>
        <w:rPr>
          <w:rFonts w:hint="eastAsia"/>
          <w:color w:val="auto"/>
          <w:sz w:val="24"/>
          <w:highlight w:val="none"/>
          <w:lang w:val="en-US" w:eastAsia="zh-CN"/>
        </w:rPr>
        <w:t>十四、国有资本经营预算财政拨款支出决算表</w:t>
      </w:r>
    </w:p>
    <w:p>
      <w:pPr>
        <w:widowControl/>
        <w:spacing w:line="440" w:lineRule="exact"/>
        <w:jc w:val="left"/>
        <w:rPr>
          <w:rFonts w:ascii="仿宋" w:hAnsi="仿宋" w:eastAsia="仿宋"/>
          <w:bCs/>
          <w:color w:val="auto"/>
          <w:kern w:val="44"/>
          <w:sz w:val="24"/>
          <w:highlight w:val="none"/>
        </w:rPr>
      </w:pPr>
      <w:bookmarkStart w:id="8" w:name="_Toc15377196"/>
      <w:bookmarkStart w:id="9" w:name="_Toc15396599"/>
      <w:r>
        <w:rPr>
          <w:rFonts w:ascii="仿宋" w:hAnsi="仿宋" w:eastAsia="仿宋"/>
          <w:b/>
          <w:color w:val="auto"/>
          <w:sz w:val="24"/>
          <w:highlight w:val="none"/>
        </w:rPr>
        <w:br w:type="page"/>
      </w:r>
    </w:p>
    <w:p>
      <w:pPr>
        <w:pStyle w:val="2"/>
        <w:jc w:val="center"/>
        <w:rPr>
          <w:rStyle w:val="28"/>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8"/>
          <w:rFonts w:hint="eastAsia" w:ascii="黑体" w:hAnsi="黑体" w:eastAsia="黑体"/>
          <w:b w:val="0"/>
          <w:bCs w:val="0"/>
          <w:color w:val="auto"/>
          <w:highlight w:val="none"/>
        </w:rPr>
        <w:t>概况</w:t>
      </w:r>
      <w:bookmarkEnd w:id="8"/>
      <w:bookmarkEnd w:id="9"/>
    </w:p>
    <w:p>
      <w:pPr>
        <w:widowControl/>
        <w:jc w:val="left"/>
        <w:rPr>
          <w:rFonts w:ascii="黑体" w:eastAsia="黑体"/>
          <w:color w:val="auto"/>
          <w:sz w:val="32"/>
          <w:szCs w:val="32"/>
          <w:highlight w:val="none"/>
        </w:rPr>
      </w:pPr>
    </w:p>
    <w:p>
      <w:pPr>
        <w:pStyle w:val="3"/>
        <w:pageBreakBefore w:val="0"/>
        <w:widowControl w:val="0"/>
        <w:numPr>
          <w:ilvl w:val="0"/>
          <w:numId w:val="1"/>
        </w:numPr>
        <w:kinsoku/>
        <w:wordWrap/>
        <w:overflowPunct/>
        <w:topLinePunct w:val="0"/>
        <w:autoSpaceDE/>
        <w:autoSpaceDN/>
        <w:bidi w:val="0"/>
        <w:adjustRightInd/>
        <w:snapToGrid/>
        <w:spacing w:before="0" w:after="0" w:line="576" w:lineRule="exact"/>
        <w:ind w:firstLine="640" w:firstLineChars="200"/>
        <w:textAlignment w:val="auto"/>
        <w:rPr>
          <w:rFonts w:ascii="仿宋" w:hAnsi="仿宋" w:eastAsia="仿宋"/>
          <w:bCs/>
          <w:color w:val="000000"/>
          <w:sz w:val="32"/>
          <w:szCs w:val="32"/>
        </w:rPr>
      </w:pPr>
      <w:bookmarkStart w:id="10" w:name="_Toc15396600"/>
      <w:bookmarkStart w:id="11" w:name="_Toc15377197"/>
      <w:r>
        <w:rPr>
          <w:rStyle w:val="29"/>
          <w:rFonts w:hint="eastAsia" w:ascii="黑体" w:hAnsi="黑体" w:eastAsia="黑体"/>
          <w:b w:val="0"/>
          <w:bCs w:val="0"/>
          <w:color w:val="auto"/>
          <w:highlight w:val="none"/>
        </w:rPr>
        <w:t>职能</w:t>
      </w:r>
      <w:r>
        <w:rPr>
          <w:rStyle w:val="29"/>
          <w:rFonts w:hint="eastAsia" w:ascii="黑体" w:hAnsi="黑体" w:eastAsia="黑体"/>
          <w:b w:val="0"/>
          <w:bCs w:val="0"/>
          <w:color w:val="auto"/>
          <w:highlight w:val="none"/>
          <w:lang w:eastAsia="zh-CN"/>
        </w:rPr>
        <w:t>简介</w:t>
      </w:r>
    </w:p>
    <w:p>
      <w:pPr>
        <w:pStyle w:val="8"/>
        <w:pageBreakBefore w:val="0"/>
        <w:widowControl w:val="0"/>
        <w:kinsoku/>
        <w:wordWrap/>
        <w:overflowPunct/>
        <w:topLinePunct w:val="0"/>
        <w:autoSpaceDE/>
        <w:autoSpaceDN/>
        <w:bidi w:val="0"/>
        <w:adjustRightInd/>
        <w:snapToGrid/>
        <w:spacing w:line="576" w:lineRule="exact"/>
        <w:ind w:firstLine="664" w:firstLineChars="200"/>
        <w:textAlignment w:val="auto"/>
        <w:rPr>
          <w:rFonts w:hint="eastAsia" w:ascii="仿宋_GB2312" w:hAnsi="Times New Roman" w:eastAsia="仿宋_GB2312" w:cs="Times New Roman"/>
          <w:color w:val="000000"/>
          <w:spacing w:val="6"/>
          <w:sz w:val="32"/>
          <w:szCs w:val="32"/>
        </w:rPr>
      </w:pPr>
      <w:r>
        <w:rPr>
          <w:rFonts w:hint="eastAsia" w:ascii="仿宋_GB2312" w:hAnsi="Times New Roman" w:eastAsia="仿宋_GB2312" w:cs="Times New Roman"/>
          <w:color w:val="000000"/>
          <w:spacing w:val="6"/>
          <w:sz w:val="32"/>
          <w:szCs w:val="32"/>
        </w:rPr>
        <w:t>（一）协助区政府领导同志组织起草或审核以区人民政府、区人民政府办公室名义发布或上报的公文。办理市政府、市政府办公室以及市级各部门发送区政府、区政府办公室的文电。指导全区行政机关公文处理工作。</w:t>
      </w:r>
    </w:p>
    <w:p>
      <w:pPr>
        <w:pStyle w:val="8"/>
        <w:pageBreakBefore w:val="0"/>
        <w:widowControl w:val="0"/>
        <w:kinsoku/>
        <w:wordWrap/>
        <w:overflowPunct/>
        <w:topLinePunct w:val="0"/>
        <w:autoSpaceDE/>
        <w:autoSpaceDN/>
        <w:bidi w:val="0"/>
        <w:adjustRightInd/>
        <w:snapToGrid/>
        <w:spacing w:line="576" w:lineRule="exact"/>
        <w:ind w:firstLine="664" w:firstLineChars="200"/>
        <w:textAlignment w:val="auto"/>
        <w:rPr>
          <w:rFonts w:hint="eastAsia" w:ascii="仿宋_GB2312" w:hAnsi="Times New Roman" w:eastAsia="仿宋_GB2312" w:cs="Times New Roman"/>
          <w:color w:val="000000"/>
          <w:spacing w:val="6"/>
          <w:sz w:val="32"/>
          <w:szCs w:val="32"/>
        </w:rPr>
      </w:pPr>
      <w:r>
        <w:rPr>
          <w:rFonts w:hint="eastAsia" w:ascii="仿宋_GB2312" w:hAnsi="Times New Roman" w:eastAsia="仿宋_GB2312" w:cs="Times New Roman"/>
          <w:color w:val="000000"/>
          <w:spacing w:val="6"/>
          <w:sz w:val="32"/>
          <w:szCs w:val="32"/>
        </w:rPr>
        <w:t>（二）研究区政府各部门及各乡镇人民政府请示区人民政府的事项，提出审核意见，报区政府领导同志审批。</w:t>
      </w:r>
    </w:p>
    <w:p>
      <w:pPr>
        <w:pStyle w:val="8"/>
        <w:pageBreakBefore w:val="0"/>
        <w:widowControl w:val="0"/>
        <w:kinsoku/>
        <w:wordWrap/>
        <w:overflowPunct/>
        <w:topLinePunct w:val="0"/>
        <w:autoSpaceDE/>
        <w:autoSpaceDN/>
        <w:bidi w:val="0"/>
        <w:adjustRightInd/>
        <w:snapToGrid/>
        <w:spacing w:line="576" w:lineRule="exact"/>
        <w:ind w:firstLine="664" w:firstLineChars="200"/>
        <w:textAlignment w:val="auto"/>
        <w:rPr>
          <w:rFonts w:hint="eastAsia" w:ascii="仿宋_GB2312" w:hAnsi="Times New Roman" w:eastAsia="仿宋_GB2312" w:cs="Times New Roman"/>
          <w:color w:val="000000"/>
          <w:spacing w:val="6"/>
          <w:sz w:val="32"/>
          <w:szCs w:val="32"/>
        </w:rPr>
      </w:pPr>
      <w:r>
        <w:rPr>
          <w:rFonts w:hint="eastAsia" w:ascii="仿宋_GB2312" w:hAnsi="Times New Roman" w:eastAsia="仿宋_GB2312" w:cs="Times New Roman"/>
          <w:color w:val="000000"/>
          <w:spacing w:val="6"/>
          <w:sz w:val="32"/>
          <w:szCs w:val="32"/>
        </w:rPr>
        <w:t>（三）负责区政府会议的准备工作，协助区政府领导同志组织实施会议决定事项。</w:t>
      </w:r>
    </w:p>
    <w:p>
      <w:pPr>
        <w:pStyle w:val="8"/>
        <w:pageBreakBefore w:val="0"/>
        <w:widowControl w:val="0"/>
        <w:kinsoku/>
        <w:wordWrap/>
        <w:overflowPunct/>
        <w:topLinePunct w:val="0"/>
        <w:autoSpaceDE/>
        <w:autoSpaceDN/>
        <w:bidi w:val="0"/>
        <w:adjustRightInd/>
        <w:snapToGrid/>
        <w:spacing w:line="576" w:lineRule="exact"/>
        <w:ind w:firstLine="664" w:firstLineChars="200"/>
        <w:textAlignment w:val="auto"/>
        <w:rPr>
          <w:rFonts w:hint="eastAsia" w:ascii="仿宋_GB2312" w:hAnsi="Times New Roman" w:eastAsia="仿宋_GB2312" w:cs="Times New Roman"/>
          <w:color w:val="000000"/>
          <w:spacing w:val="6"/>
          <w:sz w:val="32"/>
          <w:szCs w:val="32"/>
        </w:rPr>
      </w:pPr>
      <w:r>
        <w:rPr>
          <w:rFonts w:hint="eastAsia" w:ascii="仿宋_GB2312" w:hAnsi="Times New Roman" w:eastAsia="仿宋_GB2312" w:cs="Times New Roman"/>
          <w:color w:val="000000"/>
          <w:spacing w:val="6"/>
          <w:sz w:val="32"/>
          <w:szCs w:val="32"/>
        </w:rPr>
        <w:t>（四）督促检查区政府部门和乡镇人民政府对区政府决定事项及区政府领导同志指示的贯彻落实情况，及时向区政府领导同志报告。</w:t>
      </w:r>
    </w:p>
    <w:p>
      <w:pPr>
        <w:pStyle w:val="8"/>
        <w:pageBreakBefore w:val="0"/>
        <w:widowControl w:val="0"/>
        <w:kinsoku/>
        <w:wordWrap/>
        <w:overflowPunct/>
        <w:topLinePunct w:val="0"/>
        <w:autoSpaceDE/>
        <w:autoSpaceDN/>
        <w:bidi w:val="0"/>
        <w:adjustRightInd/>
        <w:snapToGrid/>
        <w:spacing w:line="576" w:lineRule="exact"/>
        <w:ind w:firstLine="664" w:firstLineChars="200"/>
        <w:textAlignment w:val="auto"/>
        <w:rPr>
          <w:rFonts w:hint="eastAsia" w:ascii="仿宋_GB2312" w:hAnsi="Times New Roman" w:eastAsia="仿宋_GB2312" w:cs="Times New Roman"/>
          <w:color w:val="000000"/>
          <w:spacing w:val="6"/>
          <w:sz w:val="32"/>
          <w:szCs w:val="32"/>
        </w:rPr>
      </w:pPr>
      <w:r>
        <w:rPr>
          <w:rFonts w:hint="eastAsia" w:ascii="仿宋_GB2312" w:hAnsi="Times New Roman" w:eastAsia="仿宋_GB2312" w:cs="Times New Roman"/>
          <w:color w:val="000000"/>
          <w:spacing w:val="6"/>
          <w:sz w:val="32"/>
          <w:szCs w:val="32"/>
        </w:rPr>
        <w:t>（五）负责政务信息工作，及时准确地向区政府领导、区政府各部门和上级政府提供信息服务；指导、监督全区政府信息公开工作和机关效能建设工作。</w:t>
      </w:r>
    </w:p>
    <w:p>
      <w:pPr>
        <w:pStyle w:val="8"/>
        <w:pageBreakBefore w:val="0"/>
        <w:widowControl w:val="0"/>
        <w:kinsoku/>
        <w:wordWrap/>
        <w:overflowPunct/>
        <w:topLinePunct w:val="0"/>
        <w:autoSpaceDE/>
        <w:autoSpaceDN/>
        <w:bidi w:val="0"/>
        <w:adjustRightInd/>
        <w:snapToGrid/>
        <w:spacing w:line="576" w:lineRule="exact"/>
        <w:ind w:firstLine="664" w:firstLineChars="200"/>
        <w:textAlignment w:val="auto"/>
        <w:rPr>
          <w:rFonts w:hint="eastAsia" w:ascii="仿宋_GB2312" w:hAnsi="Times New Roman" w:eastAsia="仿宋_GB2312" w:cs="Times New Roman"/>
          <w:color w:val="000000"/>
          <w:spacing w:val="6"/>
          <w:sz w:val="32"/>
          <w:szCs w:val="32"/>
        </w:rPr>
      </w:pPr>
      <w:r>
        <w:rPr>
          <w:rFonts w:hint="eastAsia" w:ascii="仿宋_GB2312" w:hAnsi="Times New Roman" w:eastAsia="仿宋_GB2312" w:cs="Times New Roman"/>
          <w:color w:val="000000"/>
          <w:spacing w:val="6"/>
          <w:sz w:val="32"/>
          <w:szCs w:val="32"/>
        </w:rPr>
        <w:t>（六）组织办理涉及区政府工作的人大代表议案、批评、建议和政协委员提案、建议案工作。</w:t>
      </w:r>
    </w:p>
    <w:p>
      <w:pPr>
        <w:pStyle w:val="8"/>
        <w:pageBreakBefore w:val="0"/>
        <w:widowControl w:val="0"/>
        <w:kinsoku/>
        <w:wordWrap/>
        <w:overflowPunct/>
        <w:topLinePunct w:val="0"/>
        <w:autoSpaceDE/>
        <w:autoSpaceDN/>
        <w:bidi w:val="0"/>
        <w:adjustRightInd/>
        <w:snapToGrid/>
        <w:spacing w:line="576" w:lineRule="exact"/>
        <w:ind w:firstLine="664" w:firstLineChars="200"/>
        <w:textAlignment w:val="auto"/>
        <w:rPr>
          <w:rFonts w:hint="eastAsia" w:ascii="仿宋_GB2312" w:hAnsi="Times New Roman" w:eastAsia="仿宋_GB2312" w:cs="Times New Roman"/>
          <w:color w:val="000000"/>
          <w:spacing w:val="6"/>
          <w:sz w:val="32"/>
          <w:szCs w:val="32"/>
        </w:rPr>
      </w:pPr>
      <w:r>
        <w:rPr>
          <w:rFonts w:hint="eastAsia" w:ascii="仿宋_GB2312" w:hAnsi="Times New Roman" w:eastAsia="仿宋_GB2312" w:cs="Times New Roman"/>
          <w:color w:val="000000"/>
          <w:spacing w:val="6"/>
          <w:sz w:val="32"/>
          <w:szCs w:val="32"/>
        </w:rPr>
        <w:t>（七）围绕区政府中心工作和根据区政府领导同志的指示，组织专题调查研究，及时反映情况，提出政策性建议。</w:t>
      </w:r>
    </w:p>
    <w:p>
      <w:pPr>
        <w:pStyle w:val="8"/>
        <w:pageBreakBefore w:val="0"/>
        <w:widowControl w:val="0"/>
        <w:kinsoku/>
        <w:wordWrap/>
        <w:overflowPunct/>
        <w:topLinePunct w:val="0"/>
        <w:autoSpaceDE/>
        <w:autoSpaceDN/>
        <w:bidi w:val="0"/>
        <w:adjustRightInd/>
        <w:snapToGrid/>
        <w:spacing w:line="576" w:lineRule="exact"/>
        <w:ind w:firstLine="664" w:firstLineChars="200"/>
        <w:textAlignment w:val="auto"/>
        <w:rPr>
          <w:rFonts w:hint="eastAsia" w:ascii="仿宋_GB2312" w:hAnsi="Times New Roman" w:eastAsia="仿宋_GB2312" w:cs="Times New Roman"/>
          <w:color w:val="000000"/>
          <w:spacing w:val="6"/>
          <w:sz w:val="32"/>
          <w:szCs w:val="32"/>
        </w:rPr>
      </w:pPr>
      <w:r>
        <w:rPr>
          <w:rFonts w:hint="eastAsia" w:ascii="仿宋_GB2312" w:hAnsi="Times New Roman" w:eastAsia="仿宋_GB2312" w:cs="Times New Roman"/>
          <w:color w:val="000000"/>
          <w:spacing w:val="6"/>
          <w:sz w:val="32"/>
          <w:szCs w:val="32"/>
        </w:rPr>
        <w:t xml:space="preserve">（八）负责全区地方志的编撰工作。组织编撰《朝天区志》和《朝天年鉴》，指导各乡镇和区政府各部门、行业志的编撰；参与对全区文化古迹的保护及朝天文史资料的整理搜集。 </w:t>
      </w:r>
    </w:p>
    <w:p>
      <w:pPr>
        <w:pStyle w:val="8"/>
        <w:pageBreakBefore w:val="0"/>
        <w:widowControl w:val="0"/>
        <w:kinsoku/>
        <w:wordWrap/>
        <w:overflowPunct/>
        <w:topLinePunct w:val="0"/>
        <w:autoSpaceDE/>
        <w:autoSpaceDN/>
        <w:bidi w:val="0"/>
        <w:adjustRightInd/>
        <w:snapToGrid/>
        <w:spacing w:line="576" w:lineRule="exact"/>
        <w:ind w:firstLine="664" w:firstLineChars="200"/>
        <w:textAlignment w:val="auto"/>
        <w:rPr>
          <w:rFonts w:ascii="仿宋" w:hAnsi="仿宋" w:eastAsia="仿宋" w:cs="仿宋"/>
          <w:sz w:val="32"/>
          <w:szCs w:val="32"/>
        </w:rPr>
      </w:pPr>
      <w:r>
        <w:rPr>
          <w:rFonts w:hint="eastAsia" w:ascii="仿宋_GB2312" w:hAnsi="Times New Roman" w:eastAsia="仿宋_GB2312" w:cs="Times New Roman"/>
          <w:color w:val="000000"/>
          <w:spacing w:val="6"/>
          <w:sz w:val="32"/>
          <w:szCs w:val="32"/>
        </w:rPr>
        <w:t>（</w:t>
      </w:r>
      <w:r>
        <w:rPr>
          <w:rFonts w:hint="eastAsia" w:ascii="仿宋_GB2312" w:hAnsi="Times New Roman" w:eastAsia="仿宋_GB2312" w:cs="Times New Roman"/>
          <w:color w:val="000000"/>
          <w:spacing w:val="6"/>
          <w:sz w:val="32"/>
          <w:szCs w:val="32"/>
          <w:lang w:eastAsia="zh-CN"/>
        </w:rPr>
        <w:t>九</w:t>
      </w:r>
      <w:r>
        <w:rPr>
          <w:rFonts w:hint="eastAsia" w:ascii="仿宋_GB2312" w:hAnsi="Times New Roman" w:eastAsia="仿宋_GB2312" w:cs="Times New Roman"/>
          <w:color w:val="000000"/>
          <w:spacing w:val="6"/>
          <w:sz w:val="32"/>
          <w:szCs w:val="32"/>
        </w:rPr>
        <w:t>）办理区政府和区政府领导同志及市政府办公室交办的其他事项。</w:t>
      </w:r>
    </w:p>
    <w:p>
      <w:pPr>
        <w:pStyle w:val="3"/>
        <w:pageBreakBefore w:val="0"/>
        <w:widowControl w:val="0"/>
        <w:numPr>
          <w:ilvl w:val="0"/>
          <w:numId w:val="0"/>
        </w:numPr>
        <w:kinsoku/>
        <w:wordWrap/>
        <w:overflowPunct/>
        <w:topLinePunct w:val="0"/>
        <w:autoSpaceDE/>
        <w:autoSpaceDN/>
        <w:bidi w:val="0"/>
        <w:adjustRightInd/>
        <w:snapToGrid/>
        <w:spacing w:before="0" w:after="0" w:line="576" w:lineRule="exact"/>
        <w:ind w:firstLine="640" w:firstLineChars="200"/>
        <w:textAlignment w:val="auto"/>
        <w:rPr>
          <w:rFonts w:hint="eastAsia" w:ascii="黑体" w:hAnsi="黑体" w:eastAsia="黑体"/>
          <w:b w:val="0"/>
          <w:color w:val="auto"/>
          <w:highlight w:val="none"/>
          <w:lang w:eastAsia="zh-CN"/>
        </w:rPr>
      </w:pPr>
      <w:r>
        <w:rPr>
          <w:rFonts w:hint="eastAsia" w:ascii="黑体" w:hAnsi="黑体" w:eastAsia="黑体"/>
          <w:b w:val="0"/>
          <w:color w:val="auto"/>
          <w:highlight w:val="none"/>
          <w:lang w:val="en-US" w:eastAsia="zh-CN"/>
        </w:rPr>
        <w:t>二、2021年重点</w:t>
      </w:r>
      <w:r>
        <w:rPr>
          <w:rFonts w:hint="eastAsia" w:ascii="黑体" w:hAnsi="黑体" w:eastAsia="黑体"/>
          <w:b w:val="0"/>
          <w:color w:val="auto"/>
          <w:highlight w:val="none"/>
        </w:rPr>
        <w:t>工作</w:t>
      </w:r>
      <w:bookmarkEnd w:id="10"/>
      <w:bookmarkEnd w:id="11"/>
      <w:r>
        <w:rPr>
          <w:rFonts w:hint="eastAsia" w:ascii="黑体" w:hAnsi="黑体" w:eastAsia="黑体"/>
          <w:b w:val="0"/>
          <w:color w:val="auto"/>
          <w:highlight w:val="none"/>
          <w:lang w:eastAsia="zh-CN"/>
        </w:rPr>
        <w:t>完成情况</w:t>
      </w:r>
    </w:p>
    <w:p>
      <w:pPr>
        <w:pStyle w:val="3"/>
        <w:pageBreakBefore w:val="0"/>
        <w:widowControl w:val="0"/>
        <w:numPr>
          <w:ilvl w:val="0"/>
          <w:numId w:val="2"/>
        </w:numPr>
        <w:kinsoku/>
        <w:wordWrap/>
        <w:overflowPunct/>
        <w:topLinePunct w:val="0"/>
        <w:autoSpaceDE/>
        <w:autoSpaceDN/>
        <w:bidi w:val="0"/>
        <w:adjustRightInd/>
        <w:snapToGrid/>
        <w:spacing w:before="0" w:after="0" w:line="576" w:lineRule="exact"/>
        <w:ind w:firstLine="643" w:firstLineChars="200"/>
        <w:textAlignment w:val="auto"/>
        <w:rPr>
          <w:rFonts w:hint="eastAsia" w:ascii="黑体" w:hAnsi="黑体" w:eastAsia="黑体"/>
          <w:bCs/>
          <w:sz w:val="32"/>
          <w:szCs w:val="32"/>
        </w:rPr>
      </w:pPr>
      <w:r>
        <w:rPr>
          <w:rFonts w:hint="eastAsia" w:ascii="黑体" w:hAnsi="黑体" w:eastAsia="黑体"/>
          <w:bCs/>
          <w:sz w:val="32"/>
          <w:szCs w:val="32"/>
        </w:rPr>
        <w:t>守初心、重学习，队伍素养不断提升</w:t>
      </w:r>
    </w:p>
    <w:p>
      <w:pPr>
        <w:pStyle w:val="3"/>
        <w:pageBreakBefore w:val="0"/>
        <w:widowControl w:val="0"/>
        <w:numPr>
          <w:ilvl w:val="0"/>
          <w:numId w:val="0"/>
        </w:numPr>
        <w:kinsoku/>
        <w:wordWrap/>
        <w:overflowPunct/>
        <w:topLinePunct w:val="0"/>
        <w:autoSpaceDE/>
        <w:autoSpaceDN/>
        <w:bidi w:val="0"/>
        <w:adjustRightInd/>
        <w:snapToGrid/>
        <w:spacing w:before="0" w:after="0" w:line="576" w:lineRule="exact"/>
        <w:ind w:firstLine="664" w:firstLineChars="200"/>
        <w:textAlignment w:val="auto"/>
        <w:rPr>
          <w:rFonts w:hint="eastAsia" w:ascii="仿宋_GB2312" w:hAnsi="Times New Roman" w:eastAsia="仿宋_GB2312" w:cs="Times New Roman"/>
          <w:b w:val="0"/>
          <w:bCs w:val="0"/>
          <w:color w:val="000000"/>
          <w:spacing w:val="6"/>
          <w:kern w:val="2"/>
          <w:sz w:val="32"/>
          <w:szCs w:val="32"/>
          <w:lang w:val="en-US" w:eastAsia="zh-CN" w:bidi="ar-SA"/>
        </w:rPr>
      </w:pPr>
      <w:r>
        <w:rPr>
          <w:rFonts w:hint="eastAsia" w:ascii="仿宋_GB2312" w:hAnsi="Times New Roman" w:eastAsia="仿宋_GB2312" w:cs="Times New Roman"/>
          <w:b w:val="0"/>
          <w:bCs w:val="0"/>
          <w:color w:val="000000"/>
          <w:spacing w:val="6"/>
          <w:kern w:val="2"/>
          <w:sz w:val="32"/>
          <w:szCs w:val="32"/>
          <w:lang w:val="en-US" w:eastAsia="zh-CN" w:bidi="ar-SA"/>
        </w:rPr>
        <w:t>1.旗帜鲜明讲政治。坚持把政治建设摆在首位，严守党的政治纪律和政治规矩，深刻领会“两个确立”的决定性意义，增强“四个意识”，坚定“四个自信”，做到“两个维护”，始终在思想上政治上行动上同以习近平同志为核心的党中央保持高度一致。</w:t>
      </w:r>
    </w:p>
    <w:p>
      <w:pPr>
        <w:pageBreakBefore w:val="0"/>
        <w:widowControl w:val="0"/>
        <w:kinsoku/>
        <w:wordWrap/>
        <w:overflowPunct/>
        <w:topLinePunct w:val="0"/>
        <w:autoSpaceDE/>
        <w:autoSpaceDN/>
        <w:bidi w:val="0"/>
        <w:adjustRightInd/>
        <w:snapToGrid/>
        <w:spacing w:line="576" w:lineRule="exact"/>
        <w:ind w:firstLine="664" w:firstLineChars="200"/>
        <w:textAlignment w:val="auto"/>
        <w:rPr>
          <w:rFonts w:hint="eastAsia" w:ascii="仿宋_GB2312" w:hAnsi="Times New Roman" w:eastAsia="仿宋_GB2312" w:cs="Times New Roman"/>
          <w:b w:val="0"/>
          <w:bCs w:val="0"/>
          <w:color w:val="000000"/>
          <w:spacing w:val="6"/>
          <w:kern w:val="2"/>
          <w:sz w:val="32"/>
          <w:szCs w:val="32"/>
          <w:lang w:val="en-US" w:eastAsia="zh-CN" w:bidi="ar-SA"/>
        </w:rPr>
      </w:pPr>
      <w:r>
        <w:rPr>
          <w:rFonts w:hint="eastAsia" w:ascii="仿宋_GB2312" w:hAnsi="Times New Roman" w:eastAsia="仿宋_GB2312" w:cs="Times New Roman"/>
          <w:b w:val="0"/>
          <w:bCs w:val="0"/>
          <w:color w:val="000000"/>
          <w:spacing w:val="6"/>
          <w:kern w:val="2"/>
          <w:sz w:val="32"/>
          <w:szCs w:val="32"/>
          <w:lang w:val="en-US" w:eastAsia="zh-CN" w:bidi="ar-SA"/>
        </w:rPr>
        <w:t>2.加强学习练内功。以党史学习教育为契机，强化组织领导、制定学习方案、细化安排部署。组织全体干部职工深入学习贯彻习近平新时代中国特色社会主义思想、习近平总书记“七一”重要讲话精神、党的十九届五中、六中全会精神，以及各级重大会议、重要文件精神，认真组织办公室党组中心组、办公室夜学、全体干部职工大会、党员大会等学习会议80余次，充分运用网络报刊、“学习强国”等载体开展自学，组织党员干部到区内红色教育基地现场教学，制定完成“我为群众办实事”项目52项，全办干部职工眼界视野、理论水平不断提高。</w:t>
      </w:r>
    </w:p>
    <w:p>
      <w:pPr>
        <w:pageBreakBefore w:val="0"/>
        <w:widowControl w:val="0"/>
        <w:kinsoku/>
        <w:wordWrap/>
        <w:overflowPunct/>
        <w:topLinePunct w:val="0"/>
        <w:autoSpaceDE/>
        <w:autoSpaceDN/>
        <w:bidi w:val="0"/>
        <w:adjustRightInd/>
        <w:snapToGrid/>
        <w:spacing w:line="576" w:lineRule="exact"/>
        <w:ind w:firstLine="664" w:firstLineChars="200"/>
        <w:textAlignment w:val="auto"/>
        <w:rPr>
          <w:rFonts w:hint="eastAsia" w:ascii="仿宋_GB2312" w:hAnsi="Times New Roman" w:eastAsia="仿宋_GB2312" w:cs="Times New Roman"/>
          <w:b w:val="0"/>
          <w:bCs w:val="0"/>
          <w:color w:val="000000"/>
          <w:spacing w:val="6"/>
          <w:kern w:val="2"/>
          <w:sz w:val="32"/>
          <w:szCs w:val="32"/>
          <w:lang w:val="en-US" w:eastAsia="zh-CN" w:bidi="ar-SA"/>
        </w:rPr>
      </w:pPr>
      <w:r>
        <w:rPr>
          <w:rFonts w:hint="eastAsia" w:ascii="仿宋_GB2312" w:hAnsi="Times New Roman" w:eastAsia="仿宋_GB2312" w:cs="Times New Roman"/>
          <w:b w:val="0"/>
          <w:bCs w:val="0"/>
          <w:color w:val="000000"/>
          <w:spacing w:val="6"/>
          <w:kern w:val="2"/>
          <w:sz w:val="32"/>
          <w:szCs w:val="32"/>
          <w:lang w:val="en-US" w:eastAsia="zh-CN" w:bidi="ar-SA"/>
        </w:rPr>
        <w:t>3.以学促行提能力。坚持运用所学理论知识和业务知识武装头脑、指导实践，在围绕中心服务全局工作、化解矛盾风险的政治实践中全面提高干部队伍的参谋能力、协调能力、服务能力、写作能力，干部队伍积极向上、奋勇争先、善做善成的优良传统表现更加明显。</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bCs/>
          <w:sz w:val="32"/>
          <w:szCs w:val="32"/>
        </w:rPr>
      </w:pPr>
      <w:r>
        <w:rPr>
          <w:rFonts w:hint="eastAsia" w:ascii="黑体" w:hAnsi="黑体" w:eastAsia="黑体"/>
          <w:bCs/>
          <w:sz w:val="32"/>
          <w:szCs w:val="32"/>
          <w:lang w:val="en-US" w:eastAsia="zh-CN"/>
        </w:rPr>
        <w:t>(</w:t>
      </w:r>
      <w:r>
        <w:rPr>
          <w:rFonts w:hint="eastAsia" w:ascii="黑体" w:hAnsi="黑体" w:eastAsia="黑体"/>
          <w:bCs/>
          <w:sz w:val="32"/>
          <w:szCs w:val="32"/>
        </w:rPr>
        <w:t>二</w:t>
      </w:r>
      <w:r>
        <w:rPr>
          <w:rFonts w:hint="eastAsia" w:ascii="黑体" w:hAnsi="黑体" w:eastAsia="黑体"/>
          <w:bCs/>
          <w:sz w:val="32"/>
          <w:szCs w:val="32"/>
          <w:lang w:val="en-US" w:eastAsia="zh-CN"/>
        </w:rPr>
        <w:t>)</w:t>
      </w:r>
      <w:r>
        <w:rPr>
          <w:rFonts w:hint="eastAsia" w:ascii="黑体" w:hAnsi="黑体" w:eastAsia="黑体"/>
          <w:bCs/>
          <w:sz w:val="32"/>
          <w:szCs w:val="32"/>
        </w:rPr>
        <w:t>勇担当、强作为，服务能力不断增强</w:t>
      </w:r>
    </w:p>
    <w:p>
      <w:pPr>
        <w:pageBreakBefore w:val="0"/>
        <w:widowControl w:val="0"/>
        <w:kinsoku/>
        <w:wordWrap/>
        <w:overflowPunct/>
        <w:topLinePunct w:val="0"/>
        <w:autoSpaceDE/>
        <w:autoSpaceDN/>
        <w:bidi w:val="0"/>
        <w:adjustRightInd/>
        <w:snapToGrid/>
        <w:spacing w:line="576" w:lineRule="exact"/>
        <w:ind w:firstLine="664" w:firstLineChars="200"/>
        <w:textAlignment w:val="auto"/>
        <w:rPr>
          <w:rFonts w:hint="eastAsia" w:ascii="仿宋_GB2312" w:hAnsi="Times New Roman" w:eastAsia="仿宋_GB2312" w:cs="Times New Roman"/>
          <w:b w:val="0"/>
          <w:bCs w:val="0"/>
          <w:color w:val="000000"/>
          <w:spacing w:val="6"/>
          <w:kern w:val="2"/>
          <w:sz w:val="32"/>
          <w:szCs w:val="32"/>
          <w:lang w:val="en-US" w:eastAsia="zh-CN" w:bidi="ar-SA"/>
        </w:rPr>
      </w:pPr>
      <w:r>
        <w:rPr>
          <w:rFonts w:hint="eastAsia" w:ascii="仿宋_GB2312" w:hAnsi="Times New Roman" w:eastAsia="仿宋_GB2312" w:cs="Times New Roman"/>
          <w:b w:val="0"/>
          <w:bCs w:val="0"/>
          <w:color w:val="000000"/>
          <w:spacing w:val="6"/>
          <w:kern w:val="2"/>
          <w:sz w:val="32"/>
          <w:szCs w:val="32"/>
          <w:lang w:val="en-US" w:eastAsia="zh-CN" w:bidi="ar-SA"/>
        </w:rPr>
        <w:t>1.统筹协调有序高效。一是加强日常沟通协调。主动加强与区委办、人大办、政协办三大办公室的互动联系，及时主动做好区领导政务事务沟通衔接，强化与各乡镇、部门的沟通，实现了各项工作衔接有序、执行有力，确保了区政府高效运转、工作有效落实。二是加强重大活动统筹。全力协助全省旅游景区发展大会、第十一届大蜀道文化旅游节和全市文旅发展大会、2021年中国·朝天食用菌产业创新发展大会、全省现代林业园区建设现场推进会等各类重大节会活动，高质量完成国家、省、市各级领导及嘉宾来朝天检查、调研、考察的统筹协调服务工作。</w:t>
      </w:r>
    </w:p>
    <w:p>
      <w:pPr>
        <w:pageBreakBefore w:val="0"/>
        <w:widowControl w:val="0"/>
        <w:kinsoku/>
        <w:wordWrap/>
        <w:overflowPunct/>
        <w:topLinePunct w:val="0"/>
        <w:autoSpaceDE/>
        <w:autoSpaceDN/>
        <w:bidi w:val="0"/>
        <w:adjustRightInd/>
        <w:snapToGrid/>
        <w:spacing w:line="576" w:lineRule="exact"/>
        <w:ind w:firstLine="664" w:firstLineChars="200"/>
        <w:textAlignment w:val="auto"/>
        <w:rPr>
          <w:rFonts w:hint="eastAsia" w:ascii="仿宋_GB2312" w:hAnsi="Times New Roman" w:eastAsia="仿宋_GB2312" w:cs="Times New Roman"/>
          <w:b w:val="0"/>
          <w:bCs w:val="0"/>
          <w:color w:val="000000"/>
          <w:spacing w:val="6"/>
          <w:kern w:val="2"/>
          <w:sz w:val="32"/>
          <w:szCs w:val="32"/>
          <w:lang w:val="en-US" w:eastAsia="zh-CN" w:bidi="ar-SA"/>
        </w:rPr>
      </w:pPr>
      <w:r>
        <w:rPr>
          <w:rFonts w:hint="eastAsia" w:ascii="仿宋_GB2312" w:hAnsi="Times New Roman" w:eastAsia="仿宋_GB2312" w:cs="Times New Roman"/>
          <w:b w:val="0"/>
          <w:bCs w:val="0"/>
          <w:color w:val="000000"/>
          <w:spacing w:val="6"/>
          <w:kern w:val="2"/>
          <w:sz w:val="32"/>
          <w:szCs w:val="32"/>
          <w:lang w:val="en-US" w:eastAsia="zh-CN" w:bidi="ar-SA"/>
        </w:rPr>
        <w:t>2.办文办会质效双升。一是综合文稿精益求精。高质量完成政府工作报告、重要汇报材料等综合性材料起草，全年起草领导讲话稿200余篇，精心组织了一批质量较高、说服力强的文稿，为争取扶持政策、项目资金倾斜、招引项目发挥了积极作用。二是办文办会精简高效。全年起草、审核以区政府和区政府办名义印发的各类文件515件，整理出台会议纪要42期；处理上级来文2514件，乡镇及部门来文928件，全年未出现公文处理不当或失误情况。严格会议审核报批程序，抓好会务统筹整合，全年共承办区政府全体会议、区政府常务会、疫情防控会、重点工作专题会等重大会议80余次。</w:t>
      </w:r>
    </w:p>
    <w:p>
      <w:pPr>
        <w:pageBreakBefore w:val="0"/>
        <w:widowControl w:val="0"/>
        <w:kinsoku/>
        <w:wordWrap/>
        <w:overflowPunct/>
        <w:topLinePunct w:val="0"/>
        <w:autoSpaceDE/>
        <w:autoSpaceDN/>
        <w:bidi w:val="0"/>
        <w:adjustRightInd/>
        <w:snapToGrid/>
        <w:spacing w:line="576" w:lineRule="exact"/>
        <w:ind w:firstLine="664" w:firstLineChars="200"/>
        <w:textAlignment w:val="auto"/>
        <w:rPr>
          <w:rFonts w:hint="eastAsia" w:ascii="仿宋_GB2312" w:hAnsi="Times New Roman" w:eastAsia="仿宋_GB2312" w:cs="Times New Roman"/>
          <w:b w:val="0"/>
          <w:bCs w:val="0"/>
          <w:color w:val="000000"/>
          <w:spacing w:val="6"/>
          <w:kern w:val="2"/>
          <w:sz w:val="32"/>
          <w:szCs w:val="32"/>
          <w:lang w:val="en-US" w:eastAsia="zh-CN" w:bidi="ar-SA"/>
        </w:rPr>
      </w:pPr>
      <w:r>
        <w:rPr>
          <w:rFonts w:hint="eastAsia" w:ascii="仿宋_GB2312" w:hAnsi="Times New Roman" w:eastAsia="仿宋_GB2312" w:cs="Times New Roman"/>
          <w:b w:val="0"/>
          <w:bCs w:val="0"/>
          <w:color w:val="000000"/>
          <w:spacing w:val="6"/>
          <w:kern w:val="2"/>
          <w:sz w:val="32"/>
          <w:szCs w:val="32"/>
          <w:lang w:val="en-US" w:eastAsia="zh-CN" w:bidi="ar-SA"/>
        </w:rPr>
        <w:t>3.后勤保障坚强有力。一是服务工作细致高效。树立超前服务、主动服务工作理念，坚持由事务型服务向智慧型服务转变，由参与型服务向参谋型服务转变，忠心为领导服务，耐心为部门服务，热心为群众服务，“我为群众办实事”实践活动深入开展，服务质量和机关形象得到广泛认可。二是日常运转严谨规范。坚持对机要、保密等工作常抓不懈，警钟长鸣，全年未发生失泄密事件。坚持把事务办理作为精细服务的具体手段，建立健全日常管理制度和运转机制，努力将工作做细、做实、做精，始终做到周全细致、忙而不乱、有条不紊、应对有序，不断推动区政府高效运转。</w:t>
      </w:r>
    </w:p>
    <w:p>
      <w:pPr>
        <w:pageBreakBefore w:val="0"/>
        <w:widowControl w:val="0"/>
        <w:kinsoku/>
        <w:wordWrap/>
        <w:overflowPunct/>
        <w:topLinePunct w:val="0"/>
        <w:autoSpaceDE/>
        <w:autoSpaceDN/>
        <w:bidi w:val="0"/>
        <w:adjustRightInd/>
        <w:snapToGrid/>
        <w:spacing w:line="576" w:lineRule="exact"/>
        <w:ind w:firstLine="664" w:firstLineChars="200"/>
        <w:textAlignment w:val="auto"/>
        <w:rPr>
          <w:rFonts w:hint="eastAsia" w:ascii="仿宋_GB2312" w:hAnsi="Times New Roman" w:eastAsia="仿宋_GB2312" w:cs="Times New Roman"/>
          <w:b w:val="0"/>
          <w:bCs w:val="0"/>
          <w:color w:val="000000"/>
          <w:spacing w:val="6"/>
          <w:kern w:val="2"/>
          <w:sz w:val="32"/>
          <w:szCs w:val="32"/>
          <w:lang w:val="en-US" w:eastAsia="zh-CN" w:bidi="ar-SA"/>
        </w:rPr>
      </w:pPr>
      <w:r>
        <w:rPr>
          <w:rFonts w:hint="eastAsia" w:ascii="仿宋_GB2312" w:hAnsi="Times New Roman" w:eastAsia="仿宋_GB2312" w:cs="Times New Roman"/>
          <w:b w:val="0"/>
          <w:bCs w:val="0"/>
          <w:color w:val="000000"/>
          <w:spacing w:val="6"/>
          <w:kern w:val="2"/>
          <w:sz w:val="32"/>
          <w:szCs w:val="32"/>
          <w:lang w:val="en-US" w:eastAsia="zh-CN" w:bidi="ar-SA"/>
        </w:rPr>
        <w:t>4.信息宣传成效显著。坚持立足本职以文辅政，全年出刊《政务要情》49期，上报政务信息700余篇，均被市政府网站采编，完成国办约稿120篇。市政府《政务晨讯》采编100余条，《朝天区聚焦关键环节提速企业发展》等9篇信息被市委市政府主要领导签批，《朝天区抓链条延伸食用菌增值空间》等文章被省级刊物采编，《四川反映促进双创主体融通发展存在五方面困难问题亟待关注》等50余篇文章分别被国办综合、国办专报采编，《四川落实&lt;保障农民工工资支付条例&gt;成效显著但有多方面问题值得关注》等14篇文稿被国务院领导签批肯定，为领导决策提供了有力参考。</w:t>
      </w:r>
    </w:p>
    <w:p>
      <w:pPr>
        <w:pageBreakBefore w:val="0"/>
        <w:widowControl w:val="0"/>
        <w:kinsoku/>
        <w:wordWrap/>
        <w:overflowPunct/>
        <w:topLinePunct w:val="0"/>
        <w:autoSpaceDE/>
        <w:autoSpaceDN/>
        <w:bidi w:val="0"/>
        <w:adjustRightInd/>
        <w:snapToGrid/>
        <w:spacing w:line="576" w:lineRule="exact"/>
        <w:ind w:firstLine="664" w:firstLineChars="200"/>
        <w:textAlignment w:val="auto"/>
        <w:rPr>
          <w:rFonts w:hint="eastAsia" w:ascii="仿宋_GB2312" w:hAnsi="Times New Roman" w:eastAsia="仿宋_GB2312" w:cs="Times New Roman"/>
          <w:b w:val="0"/>
          <w:bCs w:val="0"/>
          <w:color w:val="000000"/>
          <w:spacing w:val="6"/>
          <w:kern w:val="2"/>
          <w:sz w:val="32"/>
          <w:szCs w:val="32"/>
          <w:lang w:val="en-US" w:eastAsia="zh-CN" w:bidi="ar-SA"/>
        </w:rPr>
      </w:pPr>
      <w:r>
        <w:rPr>
          <w:rFonts w:hint="eastAsia" w:ascii="仿宋_GB2312" w:hAnsi="Times New Roman" w:eastAsia="仿宋_GB2312" w:cs="Times New Roman"/>
          <w:b w:val="0"/>
          <w:bCs w:val="0"/>
          <w:color w:val="000000"/>
          <w:spacing w:val="6"/>
          <w:kern w:val="2"/>
          <w:sz w:val="32"/>
          <w:szCs w:val="32"/>
          <w:lang w:val="en-US" w:eastAsia="zh-CN" w:bidi="ar-SA"/>
        </w:rPr>
        <w:t>5.营商环境持续优化。一是全面深化“放管服”改革。动态调整区本级行政权力1000余项，规范制定乡镇行政权力清单152项、属地事项责任清单109项；梳理“川渝通办”区级事项137项，跨省通办事项50项，省内通办事项151项。累计办理“省内通办”200余件。二是稳步提升政务服务能力。依托全省一体化政务服务平台，累计办件42万余件，按时办结率100%，群众满意度达100%。累计办理民意诉求件3000余件，按时处置率、办结率及群众满意度均为100%。严格落实《政府信息公开条例》，扎实推进政府决策、执行、管理、服务、结果等五公开，全区通过不同渠道和方式公开政府信息41295条，确保了政府信息公开工作扎实有效开展。三是切实加强市场监管。着力构建以“双随机、一公开”为主，信用监管为辅新型监管机制，用活用好涉企信息归集、企业异常名录管理等制度。全年累计开展市场主体抽查1000余家，联合监管占比达70%以上，发现并处理问题200余个。</w:t>
      </w:r>
    </w:p>
    <w:p>
      <w:pPr>
        <w:pageBreakBefore w:val="0"/>
        <w:widowControl w:val="0"/>
        <w:kinsoku/>
        <w:wordWrap/>
        <w:overflowPunct/>
        <w:topLinePunct w:val="0"/>
        <w:autoSpaceDE/>
        <w:autoSpaceDN/>
        <w:bidi w:val="0"/>
        <w:adjustRightInd/>
        <w:snapToGrid/>
        <w:spacing w:line="576" w:lineRule="exact"/>
        <w:ind w:firstLine="664" w:firstLineChars="200"/>
        <w:textAlignment w:val="auto"/>
        <w:rPr>
          <w:rFonts w:hint="eastAsia" w:ascii="仿宋_GB2312" w:hAnsi="Times New Roman" w:eastAsia="仿宋_GB2312" w:cs="Times New Roman"/>
          <w:b w:val="0"/>
          <w:bCs w:val="0"/>
          <w:color w:val="000000"/>
          <w:spacing w:val="6"/>
          <w:kern w:val="2"/>
          <w:sz w:val="32"/>
          <w:szCs w:val="32"/>
          <w:lang w:val="en-US" w:eastAsia="zh-CN" w:bidi="ar-SA"/>
        </w:rPr>
      </w:pPr>
      <w:r>
        <w:rPr>
          <w:rFonts w:hint="eastAsia" w:ascii="仿宋_GB2312" w:hAnsi="Times New Roman" w:eastAsia="仿宋_GB2312" w:cs="Times New Roman"/>
          <w:b w:val="0"/>
          <w:bCs w:val="0"/>
          <w:color w:val="000000"/>
          <w:spacing w:val="6"/>
          <w:kern w:val="2"/>
          <w:sz w:val="32"/>
          <w:szCs w:val="32"/>
          <w:lang w:val="en-US" w:eastAsia="zh-CN" w:bidi="ar-SA"/>
        </w:rPr>
        <w:t>6.代管工作统筹推进。一是应急值守平稳有序。严格督导区政府总值班室值班值守工作，确保了值班信息沟通及时、对称，应急处置工作规范高效。二是民营经济稳步提升。全区民营经济增加值实现42.85亿元，同比增长8.5%，高于全市平均增速0.7个百分点，排位全市县区第二；着力民营企业困难问题化解，常态化开展企业走访活动，精准点穴民营企业发展的痛点、难点、堵点，切实为企业纾困解难，全年共计为民营企业协调解决困难问题50余件。</w:t>
      </w:r>
    </w:p>
    <w:p>
      <w:pPr>
        <w:pageBreakBefore w:val="0"/>
        <w:widowControl w:val="0"/>
        <w:kinsoku/>
        <w:wordWrap/>
        <w:overflowPunct/>
        <w:topLinePunct w:val="0"/>
        <w:autoSpaceDE/>
        <w:autoSpaceDN/>
        <w:bidi w:val="0"/>
        <w:adjustRightInd/>
        <w:snapToGrid/>
        <w:spacing w:line="576" w:lineRule="exact"/>
        <w:ind w:firstLine="664" w:firstLineChars="200"/>
        <w:textAlignment w:val="auto"/>
        <w:rPr>
          <w:rFonts w:hint="eastAsia" w:ascii="仿宋_GB2312" w:hAnsi="Times New Roman" w:eastAsia="仿宋_GB2312" w:cs="Times New Roman"/>
          <w:b w:val="0"/>
          <w:bCs w:val="0"/>
          <w:color w:val="000000"/>
          <w:spacing w:val="6"/>
          <w:kern w:val="2"/>
          <w:sz w:val="32"/>
          <w:szCs w:val="32"/>
          <w:lang w:val="en-US" w:eastAsia="zh-CN" w:bidi="ar-SA"/>
        </w:rPr>
      </w:pPr>
      <w:r>
        <w:rPr>
          <w:rFonts w:hint="eastAsia" w:ascii="仿宋_GB2312" w:hAnsi="Times New Roman" w:eastAsia="仿宋_GB2312" w:cs="Times New Roman"/>
          <w:b w:val="0"/>
          <w:bCs w:val="0"/>
          <w:color w:val="000000"/>
          <w:spacing w:val="6"/>
          <w:kern w:val="2"/>
          <w:sz w:val="32"/>
          <w:szCs w:val="32"/>
          <w:lang w:val="en-US" w:eastAsia="zh-CN" w:bidi="ar-SA"/>
        </w:rPr>
        <w:t>7.乡村振兴扎实有效。一是帮扶措施有力。及时调整充实驻村帮扶力量，协调相关部门为帮扶的麻柳乡石坂村投入各类帮扶资金275万元，用于基础设施建设和猕猴桃产业园提档升级、蔬菜产业园区配套设施建设，群众收入不断提升，生产生活条件得到全面改善。二是帮扶成效明显。全力做好巩固拓展脱贫攻坚成果的底线任务，聚焦脱贫户中不稳定户、边缘易致贫户等农村易返贫致贫人口，建立健全防止返贫动态监测和帮扶机制，落实“一户一策”精准帮扶，顺利通过省级巩固脱贫成果后评估。</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bCs/>
          <w:sz w:val="32"/>
          <w:szCs w:val="32"/>
        </w:rPr>
      </w:pPr>
      <w:r>
        <w:rPr>
          <w:rFonts w:hint="eastAsia" w:ascii="黑体" w:hAnsi="黑体" w:eastAsia="黑体"/>
          <w:bCs/>
          <w:sz w:val="32"/>
          <w:szCs w:val="32"/>
          <w:lang w:val="en-US" w:eastAsia="zh-CN"/>
        </w:rPr>
        <w:t>(</w:t>
      </w:r>
      <w:r>
        <w:rPr>
          <w:rFonts w:hint="eastAsia" w:ascii="黑体" w:hAnsi="黑体" w:eastAsia="黑体"/>
          <w:bCs/>
          <w:sz w:val="32"/>
          <w:szCs w:val="32"/>
        </w:rPr>
        <w:t>三</w:t>
      </w:r>
      <w:r>
        <w:rPr>
          <w:rFonts w:hint="eastAsia" w:ascii="黑体" w:hAnsi="黑体" w:eastAsia="黑体"/>
          <w:bCs/>
          <w:sz w:val="32"/>
          <w:szCs w:val="32"/>
          <w:lang w:val="en-US" w:eastAsia="zh-CN"/>
        </w:rPr>
        <w:t>)</w:t>
      </w:r>
      <w:r>
        <w:rPr>
          <w:rFonts w:hint="eastAsia" w:ascii="黑体" w:hAnsi="黑体" w:eastAsia="黑体"/>
          <w:bCs/>
          <w:sz w:val="32"/>
          <w:szCs w:val="32"/>
        </w:rPr>
        <w:t>炼队伍、肃风气，从严治党不断深化</w:t>
      </w:r>
    </w:p>
    <w:p>
      <w:pPr>
        <w:pageBreakBefore w:val="0"/>
        <w:widowControl w:val="0"/>
        <w:kinsoku/>
        <w:wordWrap/>
        <w:overflowPunct/>
        <w:topLinePunct w:val="0"/>
        <w:autoSpaceDE/>
        <w:autoSpaceDN/>
        <w:bidi w:val="0"/>
        <w:adjustRightInd/>
        <w:snapToGrid/>
        <w:spacing w:line="576" w:lineRule="exact"/>
        <w:ind w:firstLine="664" w:firstLineChars="200"/>
        <w:textAlignment w:val="auto"/>
        <w:rPr>
          <w:rFonts w:hint="eastAsia" w:ascii="仿宋_GB2312" w:hAnsi="Times New Roman" w:eastAsia="仿宋_GB2312" w:cs="Times New Roman"/>
          <w:b w:val="0"/>
          <w:bCs w:val="0"/>
          <w:color w:val="000000"/>
          <w:spacing w:val="6"/>
          <w:kern w:val="2"/>
          <w:sz w:val="32"/>
          <w:szCs w:val="32"/>
          <w:lang w:val="en-US" w:eastAsia="zh-CN" w:bidi="ar-SA"/>
        </w:rPr>
      </w:pPr>
      <w:r>
        <w:rPr>
          <w:rFonts w:hint="eastAsia" w:ascii="仿宋_GB2312" w:hAnsi="Times New Roman" w:eastAsia="仿宋_GB2312" w:cs="Times New Roman"/>
          <w:b w:val="0"/>
          <w:bCs w:val="0"/>
          <w:color w:val="000000"/>
          <w:spacing w:val="6"/>
          <w:kern w:val="2"/>
          <w:sz w:val="32"/>
          <w:szCs w:val="32"/>
          <w:lang w:val="en-US" w:eastAsia="zh-CN" w:bidi="ar-SA"/>
        </w:rPr>
        <w:t>强化队伍建设。坚决落实好干部标准，坚持公道正派选人用人，拓宽选人用人视野，始终树立正确选人用人导向。不断激励干部展现新时代新担当新作为，支持2名干部就读省委党校在职研究生，选拔了2名符合条件人员参加了后备干部培训，推荐输送科级干部2名，向市级单位推荐干部1名，解决干部职级待遇2名，新选聘工作人员6名，新发展党员2名。</w:t>
      </w:r>
    </w:p>
    <w:p>
      <w:pPr>
        <w:pStyle w:val="3"/>
        <w:pageBreakBefore w:val="0"/>
        <w:widowControl w:val="0"/>
        <w:numPr>
          <w:ilvl w:val="0"/>
          <w:numId w:val="0"/>
        </w:numPr>
        <w:kinsoku/>
        <w:wordWrap/>
        <w:overflowPunct/>
        <w:topLinePunct w:val="0"/>
        <w:autoSpaceDE/>
        <w:autoSpaceDN/>
        <w:bidi w:val="0"/>
        <w:adjustRightInd/>
        <w:snapToGrid/>
        <w:spacing w:before="0" w:after="0" w:line="576" w:lineRule="exact"/>
        <w:ind w:firstLine="640" w:firstLineChars="200"/>
        <w:textAlignment w:val="auto"/>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三、单位基本情况</w:t>
      </w:r>
    </w:p>
    <w:p>
      <w:pPr>
        <w:pageBreakBefore w:val="0"/>
        <w:widowControl w:val="0"/>
        <w:kinsoku/>
        <w:wordWrap/>
        <w:overflowPunct/>
        <w:topLinePunct w:val="0"/>
        <w:autoSpaceDE/>
        <w:autoSpaceDN/>
        <w:bidi w:val="0"/>
        <w:adjustRightInd/>
        <w:snapToGrid/>
        <w:spacing w:line="576" w:lineRule="exact"/>
        <w:ind w:firstLine="664" w:firstLineChars="200"/>
        <w:textAlignment w:val="auto"/>
        <w:rPr>
          <w:rFonts w:hint="eastAsia" w:ascii="仿宋_GB2312" w:hAnsi="Times New Roman" w:eastAsia="仿宋_GB2312" w:cs="Times New Roman"/>
          <w:b w:val="0"/>
          <w:bCs w:val="0"/>
          <w:color w:val="000000"/>
          <w:spacing w:val="6"/>
          <w:kern w:val="2"/>
          <w:sz w:val="32"/>
          <w:szCs w:val="32"/>
          <w:lang w:val="en-US" w:eastAsia="zh-CN" w:bidi="ar-SA"/>
        </w:rPr>
      </w:pPr>
      <w:r>
        <w:rPr>
          <w:rFonts w:hint="eastAsia" w:ascii="仿宋_GB2312" w:hAnsi="Times New Roman" w:eastAsia="仿宋_GB2312" w:cs="Times New Roman"/>
          <w:b w:val="0"/>
          <w:bCs w:val="0"/>
          <w:color w:val="000000"/>
          <w:spacing w:val="6"/>
          <w:kern w:val="2"/>
          <w:sz w:val="32"/>
          <w:szCs w:val="32"/>
          <w:lang w:val="en-US" w:eastAsia="zh-CN" w:bidi="ar-SA"/>
        </w:rPr>
        <w:t xml:space="preserve">我单位属财政一级预算单位，下属二级预算单位1个，其中参照公务员法管理的事业单位0个，（其他事业单位1个）。 </w:t>
      </w:r>
    </w:p>
    <w:p>
      <w:pPr>
        <w:pageBreakBefore w:val="0"/>
        <w:widowControl w:val="0"/>
        <w:kinsoku/>
        <w:wordWrap/>
        <w:overflowPunct/>
        <w:topLinePunct w:val="0"/>
        <w:autoSpaceDE/>
        <w:autoSpaceDN/>
        <w:bidi w:val="0"/>
        <w:adjustRightInd/>
        <w:snapToGrid/>
        <w:spacing w:line="576" w:lineRule="exact"/>
        <w:ind w:firstLine="664" w:firstLineChars="200"/>
        <w:textAlignment w:val="auto"/>
        <w:rPr>
          <w:rFonts w:hint="eastAsia" w:ascii="黑体" w:hAnsi="黑体" w:eastAsia="黑体"/>
          <w:b w:val="0"/>
          <w:bCs/>
          <w:color w:val="auto"/>
          <w:highlight w:val="none"/>
        </w:rPr>
      </w:pPr>
      <w:r>
        <w:rPr>
          <w:rFonts w:hint="eastAsia" w:ascii="仿宋_GB2312" w:hAnsi="Times New Roman" w:eastAsia="仿宋_GB2312" w:cs="Times New Roman"/>
          <w:b w:val="0"/>
          <w:bCs w:val="0"/>
          <w:color w:val="000000"/>
          <w:spacing w:val="6"/>
          <w:kern w:val="2"/>
          <w:sz w:val="32"/>
          <w:szCs w:val="32"/>
          <w:lang w:val="en-US" w:eastAsia="zh-CN" w:bidi="ar-SA"/>
        </w:rPr>
        <w:t xml:space="preserve">单位总编制41名，其中行政编制21名，事业编制18名，工勤编制2人。年末在职人员总数45人，其中行政人员23人，事业人员13人，工勤人员9人；退休人员5人。固定资产总额231.73万元。 </w:t>
      </w:r>
      <w:bookmarkStart w:id="62" w:name="_GoBack"/>
      <w:bookmarkEnd w:id="62"/>
      <w:bookmarkStart w:id="12" w:name="_Toc15396602"/>
      <w:bookmarkStart w:id="13" w:name="_Toc15377204"/>
    </w:p>
    <w:p>
      <w:pPr>
        <w:rPr>
          <w:rFonts w:hint="eastAsia"/>
        </w:rPr>
      </w:pPr>
    </w:p>
    <w:p>
      <w:pPr>
        <w:pStyle w:val="2"/>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Style w:val="28"/>
          <w:rFonts w:hint="eastAsia" w:ascii="黑体" w:hAnsi="黑体" w:eastAsia="黑体"/>
          <w:b w:val="0"/>
          <w:bCs/>
          <w:color w:val="auto"/>
          <w:highlight w:val="none"/>
        </w:rPr>
      </w:pP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8"/>
          <w:rFonts w:hint="eastAsia" w:ascii="黑体" w:hAnsi="黑体" w:eastAsia="黑体"/>
          <w:b w:val="0"/>
          <w:bCs/>
          <w:color w:val="auto"/>
          <w:highlight w:val="none"/>
          <w:lang w:eastAsia="zh-CN"/>
        </w:rPr>
        <w:t>单位</w:t>
      </w:r>
      <w:r>
        <w:rPr>
          <w:rStyle w:val="28"/>
          <w:rFonts w:hint="eastAsia" w:ascii="黑体" w:hAnsi="黑体" w:eastAsia="黑体"/>
          <w:b w:val="0"/>
          <w:bCs/>
          <w:color w:val="auto"/>
          <w:highlight w:val="none"/>
        </w:rPr>
        <w:t>决算情况说明</w:t>
      </w:r>
      <w:bookmarkEnd w:id="12"/>
      <w:bookmarkEnd w:id="13"/>
    </w:p>
    <w:p/>
    <w:p>
      <w:pPr>
        <w:pStyle w:val="27"/>
        <w:pageBreakBefore w:val="0"/>
        <w:widowControl w:val="0"/>
        <w:numPr>
          <w:ilvl w:val="0"/>
          <w:numId w:val="0"/>
        </w:numPr>
        <w:kinsoku/>
        <w:wordWrap/>
        <w:overflowPunct/>
        <w:topLinePunct w:val="0"/>
        <w:autoSpaceDE/>
        <w:autoSpaceDN/>
        <w:bidi w:val="0"/>
        <w:adjustRightInd/>
        <w:snapToGrid/>
        <w:spacing w:line="560" w:lineRule="exact"/>
        <w:ind w:leftChars="304" w:right="0" w:rightChars="0"/>
        <w:textAlignment w:val="auto"/>
        <w:outlineLvl w:val="1"/>
        <w:rPr>
          <w:rStyle w:val="29"/>
          <w:rFonts w:ascii="黑体" w:hAnsi="黑体" w:eastAsia="黑体"/>
          <w:b w:val="0"/>
          <w:color w:val="auto"/>
          <w:highlight w:val="none"/>
        </w:rPr>
      </w:pPr>
      <w:bookmarkStart w:id="14" w:name="_Toc15377205"/>
      <w:bookmarkStart w:id="15" w:name="_Toc15396603"/>
      <w:r>
        <w:rPr>
          <w:rFonts w:hint="eastAsia" w:ascii="黑体" w:hAnsi="黑体" w:eastAsia="黑体"/>
          <w:color w:val="auto"/>
          <w:sz w:val="32"/>
          <w:szCs w:val="32"/>
          <w:highlight w:val="none"/>
          <w:lang w:eastAsia="zh-CN"/>
        </w:rPr>
        <w:t>一、</w:t>
      </w:r>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入支出决算总体情况说明</w:t>
      </w:r>
      <w:bookmarkEnd w:id="14"/>
      <w:bookmarkEnd w:id="15"/>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911.26</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年相比，收、支总计减少</w:t>
      </w:r>
      <w:r>
        <w:rPr>
          <w:rFonts w:hint="eastAsia" w:ascii="仿宋" w:hAnsi="仿宋" w:eastAsia="仿宋"/>
          <w:color w:val="auto"/>
          <w:sz w:val="32"/>
          <w:szCs w:val="32"/>
          <w:highlight w:val="none"/>
          <w:lang w:val="en-US" w:eastAsia="zh-CN"/>
        </w:rPr>
        <w:t>221.69</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19.57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安可替代项目取消。</w:t>
      </w:r>
    </w:p>
    <w:p>
      <w:pPr>
        <w:jc w:val="center"/>
        <w:rPr>
          <w:rFonts w:hint="eastAsia" w:ascii="仿宋" w:hAnsi="仿宋" w:eastAsia="仿宋"/>
          <w:color w:val="auto"/>
          <w:sz w:val="32"/>
          <w:szCs w:val="32"/>
          <w:highlight w:val="none"/>
          <w:lang w:eastAsia="zh-CN"/>
        </w:rPr>
      </w:pPr>
      <w:r>
        <w:drawing>
          <wp:inline distT="0" distB="0" distL="114300" distR="114300">
            <wp:extent cx="3472180" cy="2578100"/>
            <wp:effectExtent l="0" t="0" r="13970" b="1270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6"/>
                    <a:stretch>
                      <a:fillRect/>
                    </a:stretch>
                  </pic:blipFill>
                  <pic:spPr>
                    <a:xfrm>
                      <a:off x="0" y="0"/>
                      <a:ext cx="3472180" cy="25781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textAlignment w:val="auto"/>
        <w:outlineLvl w:val="1"/>
        <w:rPr>
          <w:rStyle w:val="29"/>
          <w:rFonts w:ascii="黑体" w:hAnsi="黑体" w:eastAsia="黑体"/>
          <w:b w:val="0"/>
          <w:color w:val="auto"/>
          <w:highlight w:val="none"/>
        </w:rPr>
      </w:pPr>
      <w:bookmarkStart w:id="16" w:name="_Toc15396604"/>
      <w:bookmarkStart w:id="17" w:name="_Toc15377206"/>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911.26</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911.26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p>
    <w:p>
      <w:pPr>
        <w:pStyle w:val="5"/>
        <w:jc w:val="center"/>
        <w:rPr>
          <w:rFonts w:ascii="仿宋" w:hAnsi="仿宋" w:eastAsia="仿宋"/>
          <w:b/>
          <w:color w:val="auto"/>
          <w:sz w:val="32"/>
          <w:szCs w:val="32"/>
          <w:highlight w:val="none"/>
        </w:rPr>
      </w:pPr>
      <w:r>
        <w:drawing>
          <wp:inline distT="0" distB="0" distL="114300" distR="114300">
            <wp:extent cx="2927985" cy="2136140"/>
            <wp:effectExtent l="0" t="0" r="5715" b="165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2927985" cy="2136140"/>
                    </a:xfrm>
                    <a:prstGeom prst="rect">
                      <a:avLst/>
                    </a:prstGeom>
                    <a:noFill/>
                    <a:ln>
                      <a:noFill/>
                    </a:ln>
                  </pic:spPr>
                </pic:pic>
              </a:graphicData>
            </a:graphic>
          </wp:inline>
        </w:drawing>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w:t>
      </w:r>
    </w:p>
    <w:p>
      <w:pPr>
        <w:pStyle w:val="27"/>
        <w:numPr>
          <w:ilvl w:val="0"/>
          <w:numId w:val="0"/>
        </w:numPr>
        <w:spacing w:line="600" w:lineRule="exact"/>
        <w:ind w:left="640" w:leftChars="0"/>
        <w:outlineLvl w:val="1"/>
        <w:rPr>
          <w:rStyle w:val="29"/>
          <w:rFonts w:ascii="黑体" w:hAnsi="黑体" w:eastAsia="黑体"/>
          <w:b w:val="0"/>
          <w:color w:val="auto"/>
          <w:highlight w:val="none"/>
        </w:rPr>
      </w:pPr>
      <w:bookmarkStart w:id="18" w:name="_Toc15377207"/>
      <w:bookmarkStart w:id="19" w:name="_Toc15396605"/>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w:t>
      </w:r>
      <w:r>
        <w:rPr>
          <w:rStyle w:val="29"/>
          <w:rFonts w:hint="eastAsia" w:ascii="黑体" w:hAnsi="黑体" w:eastAsia="黑体"/>
          <w:b w:val="0"/>
          <w:color w:val="auto"/>
          <w:highlight w:val="none"/>
        </w:rPr>
        <w:t>出决算情况说明</w:t>
      </w:r>
      <w:bookmarkEnd w:id="18"/>
      <w:bookmarkEnd w:id="19"/>
    </w:p>
    <w:p>
      <w:pPr>
        <w:spacing w:line="600" w:lineRule="exact"/>
        <w:ind w:firstLine="640" w:firstLineChars="200"/>
        <w:outlineLvl w:val="1"/>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911.26</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711.13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78.04</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200.13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21.96</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spacing w:line="600" w:lineRule="exact"/>
        <w:ind w:firstLine="643" w:firstLineChars="200"/>
        <w:outlineLvl w:val="1"/>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04</w:t>
      </w:r>
      <w:r>
        <w:rPr>
          <w:rFonts w:hint="eastAsia" w:ascii="仿宋" w:hAnsi="仿宋" w:eastAsia="仿宋"/>
          <w:b/>
          <w:color w:val="auto"/>
          <w:sz w:val="32"/>
          <w:szCs w:val="32"/>
          <w:highlight w:val="none"/>
        </w:rPr>
        <w:t>表</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olor w:val="auto"/>
          <w:sz w:val="32"/>
          <w:szCs w:val="32"/>
          <w:highlight w:val="none"/>
        </w:rPr>
      </w:pPr>
      <w:r>
        <w:drawing>
          <wp:inline distT="0" distB="0" distL="114300" distR="114300">
            <wp:extent cx="2946400" cy="2092960"/>
            <wp:effectExtent l="0" t="0" r="6350" b="254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2946400" cy="2092960"/>
                    </a:xfrm>
                    <a:prstGeom prst="rect">
                      <a:avLst/>
                    </a:prstGeom>
                    <a:noFill/>
                    <a:ln>
                      <a:noFill/>
                    </a:ln>
                  </pic:spPr>
                </pic:pic>
              </a:graphicData>
            </a:graphic>
          </wp:inline>
        </w:drawing>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w:t>
      </w:r>
    </w:p>
    <w:p>
      <w:pPr>
        <w:spacing w:line="600" w:lineRule="exact"/>
        <w:ind w:firstLine="640" w:firstLineChars="200"/>
        <w:outlineLvl w:val="1"/>
        <w:rPr>
          <w:rStyle w:val="29"/>
          <w:rFonts w:ascii="黑体" w:hAnsi="黑体" w:eastAsia="黑体"/>
          <w:b w:val="0"/>
          <w:color w:val="auto"/>
          <w:highlight w:val="none"/>
        </w:rPr>
      </w:pPr>
      <w:bookmarkStart w:id="20" w:name="_Toc15377208"/>
      <w:bookmarkStart w:id="21" w:name="_Toc15396606"/>
      <w:r>
        <w:rPr>
          <w:rFonts w:hint="eastAsia" w:ascii="黑体" w:hAnsi="黑体" w:eastAsia="黑体"/>
          <w:color w:val="auto"/>
          <w:sz w:val="32"/>
          <w:szCs w:val="32"/>
          <w:highlight w:val="none"/>
        </w:rPr>
        <w:t>四、财</w:t>
      </w:r>
      <w:r>
        <w:rPr>
          <w:rStyle w:val="29"/>
          <w:rFonts w:hint="eastAsia" w:ascii="黑体" w:hAnsi="黑体" w:eastAsia="黑体"/>
          <w:b w:val="0"/>
          <w:color w:val="auto"/>
          <w:highlight w:val="none"/>
        </w:rPr>
        <w:t>政拨款收入支出决算总体情况说明</w:t>
      </w:r>
      <w:bookmarkEnd w:id="20"/>
      <w:bookmarkEnd w:id="21"/>
    </w:p>
    <w:p>
      <w:pPr>
        <w:keepNext w:val="0"/>
        <w:keepLines w:val="0"/>
        <w:pageBreakBefore w:val="0"/>
        <w:widowControl w:val="0"/>
        <w:kinsoku/>
        <w:wordWrap/>
        <w:overflowPunct/>
        <w:topLinePunct w:val="0"/>
        <w:autoSpaceDE/>
        <w:autoSpaceDN/>
        <w:bidi w:val="0"/>
        <w:adjustRightInd/>
        <w:snapToGrid/>
        <w:spacing w:line="576" w:lineRule="exact"/>
        <w:ind w:firstLine="641"/>
        <w:textAlignment w:val="auto"/>
        <w:rPr>
          <w:rFonts w:hint="eastAsia" w:ascii="方正仿宋_GBK" w:hAnsi="仿宋" w:eastAsia="方正仿宋_GBK"/>
          <w:color w:val="000000"/>
          <w:sz w:val="32"/>
          <w:szCs w:val="32"/>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w:t>
      </w:r>
      <w:r>
        <w:rPr>
          <w:rFonts w:hint="eastAsia" w:ascii="黑体" w:hAnsi="黑体" w:eastAsia="黑体" w:cs="黑体"/>
          <w:color w:val="000000"/>
          <w:sz w:val="32"/>
          <w:szCs w:val="32"/>
          <w:lang w:eastAsia="zh-CN"/>
        </w:rPr>
        <w:t>入总</w:t>
      </w:r>
      <w:r>
        <w:rPr>
          <w:rFonts w:hint="eastAsia" w:ascii="黑体" w:hAnsi="黑体" w:eastAsia="黑体" w:cs="黑体"/>
          <w:color w:val="000000"/>
          <w:sz w:val="32"/>
          <w:szCs w:val="32"/>
        </w:rPr>
        <w:t>计</w:t>
      </w:r>
      <w:r>
        <w:rPr>
          <w:rFonts w:hint="eastAsia" w:ascii="黑体" w:hAnsi="黑体" w:eastAsia="黑体" w:cs="黑体"/>
          <w:color w:val="000000"/>
          <w:sz w:val="32"/>
          <w:szCs w:val="32"/>
          <w:lang w:val="en-US" w:eastAsia="zh-CN"/>
        </w:rPr>
        <w:t>911.26</w:t>
      </w:r>
      <w:r>
        <w:rPr>
          <w:rFonts w:hint="eastAsia" w:ascii="黑体" w:hAnsi="黑体" w:eastAsia="黑体" w:cs="黑体"/>
          <w:color w:val="000000"/>
          <w:sz w:val="32"/>
          <w:szCs w:val="32"/>
        </w:rPr>
        <w:t>万元</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与20</w:t>
      </w:r>
      <w:r>
        <w:rPr>
          <w:rFonts w:hint="eastAsia" w:ascii="黑体" w:hAnsi="黑体" w:eastAsia="黑体" w:cs="黑体"/>
          <w:color w:val="000000"/>
          <w:sz w:val="32"/>
          <w:szCs w:val="32"/>
          <w:lang w:val="en-US" w:eastAsia="zh-CN"/>
        </w:rPr>
        <w:t>20</w:t>
      </w:r>
      <w:r>
        <w:rPr>
          <w:rFonts w:hint="eastAsia" w:ascii="黑体" w:hAnsi="黑体" w:eastAsia="黑体" w:cs="黑体"/>
          <w:color w:val="000000"/>
          <w:sz w:val="32"/>
          <w:szCs w:val="32"/>
        </w:rPr>
        <w:t>年相比</w:t>
      </w:r>
      <w:r>
        <w:rPr>
          <w:rFonts w:hint="eastAsia" w:ascii="黑体" w:hAnsi="黑体" w:eastAsia="黑体" w:cs="黑体"/>
          <w:color w:val="000000"/>
          <w:sz w:val="32"/>
          <w:szCs w:val="32"/>
          <w:lang w:eastAsia="zh-CN"/>
        </w:rPr>
        <w:t>减少</w:t>
      </w:r>
      <w:r>
        <w:rPr>
          <w:rFonts w:hint="eastAsia" w:ascii="黑体" w:hAnsi="黑体" w:eastAsia="黑体" w:cs="黑体"/>
          <w:color w:val="000000" w:themeColor="text1"/>
          <w:sz w:val="32"/>
          <w:szCs w:val="32"/>
          <w:lang w:val="en-US" w:eastAsia="zh-CN"/>
          <w14:textFill>
            <w14:solidFill>
              <w14:schemeClr w14:val="tx1"/>
            </w14:solidFill>
          </w14:textFill>
        </w:rPr>
        <w:t>221.69</w:t>
      </w:r>
      <w:r>
        <w:rPr>
          <w:rFonts w:hint="eastAsia" w:ascii="黑体" w:hAnsi="黑体" w:eastAsia="黑体" w:cs="黑体"/>
          <w:color w:val="000000" w:themeColor="text1"/>
          <w:sz w:val="32"/>
          <w:szCs w:val="32"/>
          <w14:textFill>
            <w14:solidFill>
              <w14:schemeClr w14:val="tx1"/>
            </w14:solidFill>
          </w14:textFill>
        </w:rPr>
        <w:t>万元</w:t>
      </w:r>
      <w:r>
        <w:rPr>
          <w:rFonts w:hint="eastAsia" w:ascii="黑体" w:hAnsi="黑体" w:eastAsia="黑体" w:cs="黑体"/>
          <w:color w:val="000000" w:themeColor="text1"/>
          <w:sz w:val="32"/>
          <w:szCs w:val="32"/>
          <w:lang w:eastAsia="zh-CN"/>
          <w14:textFill>
            <w14:solidFill>
              <w14:schemeClr w14:val="tx1"/>
            </w14:solidFill>
          </w14:textFill>
        </w:rPr>
        <w:t>，下降</w:t>
      </w:r>
      <w:r>
        <w:rPr>
          <w:rFonts w:hint="eastAsia" w:ascii="黑体" w:hAnsi="黑体" w:eastAsia="黑体" w:cs="黑体"/>
          <w:color w:val="000000" w:themeColor="text1"/>
          <w:sz w:val="32"/>
          <w:szCs w:val="32"/>
          <w:lang w:val="en-US" w:eastAsia="zh-CN"/>
          <w14:textFill>
            <w14:solidFill>
              <w14:schemeClr w14:val="tx1"/>
            </w14:solidFill>
          </w14:textFill>
        </w:rPr>
        <w:t>19.57</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z w:val="32"/>
          <w:szCs w:val="32"/>
          <w:lang w:val="en-US" w:eastAsia="zh-CN"/>
          <w14:textFill>
            <w14:solidFill>
              <w14:schemeClr w14:val="tx1"/>
            </w14:solidFill>
          </w14:textFill>
        </w:rPr>
        <w:t>2</w:t>
      </w:r>
      <w:r>
        <w:rPr>
          <w:rFonts w:hint="eastAsia" w:ascii="黑体" w:hAnsi="黑体" w:eastAsia="黑体" w:cs="黑体"/>
          <w:color w:val="000000"/>
          <w:sz w:val="32"/>
          <w:szCs w:val="32"/>
          <w:lang w:val="en-US" w:eastAsia="zh-CN"/>
        </w:rPr>
        <w:t>021年度支出合计911.26万元，</w:t>
      </w:r>
      <w:r>
        <w:rPr>
          <w:rFonts w:hint="eastAsia" w:ascii="黑体" w:hAnsi="黑体" w:eastAsia="黑体" w:cs="黑体"/>
          <w:color w:val="000000"/>
          <w:sz w:val="32"/>
          <w:szCs w:val="32"/>
        </w:rPr>
        <w:t>与20</w:t>
      </w:r>
      <w:r>
        <w:rPr>
          <w:rFonts w:hint="eastAsia" w:ascii="黑体" w:hAnsi="黑体" w:eastAsia="黑体" w:cs="黑体"/>
          <w:color w:val="000000"/>
          <w:sz w:val="32"/>
          <w:szCs w:val="32"/>
          <w:lang w:val="en-US" w:eastAsia="zh-CN"/>
        </w:rPr>
        <w:t>20</w:t>
      </w:r>
      <w:r>
        <w:rPr>
          <w:rFonts w:hint="eastAsia" w:ascii="黑体" w:hAnsi="黑体" w:eastAsia="黑体" w:cs="黑体"/>
          <w:color w:val="000000"/>
          <w:sz w:val="32"/>
          <w:szCs w:val="32"/>
        </w:rPr>
        <w:t>年相比</w:t>
      </w:r>
      <w:r>
        <w:rPr>
          <w:rFonts w:hint="eastAsia" w:ascii="黑体" w:hAnsi="黑体" w:eastAsia="黑体" w:cs="黑体"/>
          <w:color w:val="000000"/>
          <w:sz w:val="32"/>
          <w:szCs w:val="32"/>
          <w:lang w:eastAsia="zh-CN"/>
        </w:rPr>
        <w:t>减少</w:t>
      </w:r>
      <w:r>
        <w:rPr>
          <w:rFonts w:hint="eastAsia" w:ascii="黑体" w:hAnsi="黑体" w:eastAsia="黑体" w:cs="黑体"/>
          <w:color w:val="000000"/>
          <w:sz w:val="32"/>
          <w:szCs w:val="32"/>
          <w:lang w:val="en-US" w:eastAsia="zh-CN"/>
        </w:rPr>
        <w:t>221.69</w:t>
      </w:r>
      <w:r>
        <w:rPr>
          <w:rFonts w:hint="eastAsia" w:ascii="黑体" w:hAnsi="黑体" w:eastAsia="黑体" w:cs="黑体"/>
          <w:color w:val="000000"/>
          <w:sz w:val="32"/>
          <w:szCs w:val="32"/>
        </w:rPr>
        <w:t>万元，</w:t>
      </w:r>
      <w:r>
        <w:rPr>
          <w:rFonts w:hint="eastAsia" w:ascii="黑体" w:hAnsi="黑体" w:eastAsia="黑体" w:cs="黑体"/>
          <w:color w:val="000000"/>
          <w:sz w:val="32"/>
          <w:szCs w:val="32"/>
          <w:lang w:eastAsia="zh-CN"/>
        </w:rPr>
        <w:t>减少</w:t>
      </w:r>
      <w:r>
        <w:rPr>
          <w:rFonts w:hint="eastAsia" w:ascii="黑体" w:hAnsi="黑体" w:eastAsia="黑体" w:cs="黑体"/>
          <w:color w:val="000000"/>
          <w:sz w:val="32"/>
          <w:szCs w:val="32"/>
          <w:lang w:val="en-US" w:eastAsia="zh-CN"/>
        </w:rPr>
        <w:t>19.57</w:t>
      </w:r>
      <w:r>
        <w:rPr>
          <w:rFonts w:hint="eastAsia" w:ascii="黑体" w:hAnsi="黑体" w:eastAsia="黑体" w:cs="黑体"/>
          <w:color w:val="000000"/>
          <w:sz w:val="32"/>
          <w:szCs w:val="32"/>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安可替代项目取消</w:t>
      </w:r>
      <w:r>
        <w:rPr>
          <w:rFonts w:hint="eastAsia" w:ascii="方正仿宋_GBK" w:hAnsi="仿宋" w:eastAsia="方正仿宋_GBK"/>
          <w:color w:val="000000"/>
          <w:sz w:val="32"/>
          <w:szCs w:val="32"/>
        </w:rPr>
        <w:t>。</w:t>
      </w:r>
    </w:p>
    <w:p>
      <w:pPr>
        <w:pStyle w:val="5"/>
        <w:jc w:val="center"/>
        <w:rPr>
          <w:rFonts w:hint="eastAsia" w:eastAsia="仿宋_GB2312"/>
          <w:lang w:eastAsia="zh-CN"/>
        </w:rPr>
      </w:pPr>
      <w:r>
        <w:drawing>
          <wp:inline distT="0" distB="0" distL="114300" distR="114300">
            <wp:extent cx="3067050" cy="2395220"/>
            <wp:effectExtent l="0" t="0" r="0" b="508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9"/>
                    <a:stretch>
                      <a:fillRect/>
                    </a:stretch>
                  </pic:blipFill>
                  <pic:spPr>
                    <a:xfrm>
                      <a:off x="0" y="0"/>
                      <a:ext cx="3067050" cy="239522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Style w:val="29"/>
          <w:rFonts w:ascii="黑体" w:hAnsi="黑体" w:eastAsia="黑体"/>
          <w:b w:val="0"/>
          <w:color w:val="auto"/>
          <w:highlight w:val="none"/>
        </w:rPr>
      </w:pPr>
      <w:bookmarkStart w:id="22" w:name="_Toc15377209"/>
      <w:bookmarkStart w:id="23"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般公共预算财政拨款支出决算情况说明</w:t>
      </w:r>
      <w:bookmarkEnd w:id="22"/>
      <w:bookmarkEnd w:id="23"/>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2"/>
        <w:rPr>
          <w:rFonts w:ascii="仿宋" w:hAnsi="仿宋" w:eastAsia="仿宋"/>
          <w:b/>
          <w:color w:val="auto"/>
          <w:sz w:val="32"/>
          <w:szCs w:val="32"/>
          <w:highlight w:val="none"/>
        </w:rPr>
      </w:pPr>
      <w:bookmarkStart w:id="24" w:name="_Toc15377210"/>
      <w:r>
        <w:rPr>
          <w:rFonts w:hint="eastAsia" w:ascii="仿宋" w:hAnsi="仿宋" w:eastAsia="仿宋"/>
          <w:b/>
          <w:color w:val="auto"/>
          <w:sz w:val="32"/>
          <w:szCs w:val="32"/>
          <w:highlight w:val="none"/>
        </w:rPr>
        <w:t>（一）一般公共预算财政拨款支出决算总体情况</w:t>
      </w:r>
      <w:bookmarkEnd w:id="2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911.26</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221.69</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19.57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安可替代项目取消。</w:t>
      </w:r>
    </w:p>
    <w:p>
      <w:pPr>
        <w:pStyle w:val="5"/>
        <w:jc w:val="center"/>
        <w:rPr>
          <w:rFonts w:hint="eastAsia"/>
          <w:lang w:eastAsia="zh-CN"/>
        </w:rPr>
      </w:pPr>
      <w:r>
        <w:drawing>
          <wp:inline distT="0" distB="0" distL="114300" distR="114300">
            <wp:extent cx="3050540" cy="2381885"/>
            <wp:effectExtent l="0" t="0" r="16510" b="1841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a:stretch>
                      <a:fillRect/>
                    </a:stretch>
                  </pic:blipFill>
                  <pic:spPr>
                    <a:xfrm>
                      <a:off x="0" y="0"/>
                      <a:ext cx="3050540" cy="2381885"/>
                    </a:xfrm>
                    <a:prstGeom prst="rect">
                      <a:avLst/>
                    </a:prstGeom>
                    <a:noFill/>
                    <a:ln>
                      <a:noFill/>
                    </a:ln>
                  </pic:spPr>
                </pic:pic>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spacing w:line="600" w:lineRule="exact"/>
        <w:ind w:firstLine="643" w:firstLineChars="200"/>
        <w:outlineLvl w:val="2"/>
        <w:rPr>
          <w:rFonts w:ascii="仿宋" w:hAnsi="仿宋" w:eastAsia="仿宋"/>
          <w:b/>
          <w:color w:val="auto"/>
          <w:sz w:val="32"/>
          <w:szCs w:val="32"/>
          <w:highlight w:val="none"/>
        </w:rPr>
      </w:pPr>
      <w:bookmarkStart w:id="25" w:name="_Toc15377211"/>
      <w:r>
        <w:rPr>
          <w:rFonts w:hint="eastAsia" w:ascii="仿宋" w:hAnsi="仿宋" w:eastAsia="仿宋"/>
          <w:b/>
          <w:color w:val="auto"/>
          <w:sz w:val="32"/>
          <w:szCs w:val="32"/>
          <w:highlight w:val="none"/>
        </w:rPr>
        <w:t>（二）一般公共预算财政拨款支出决算结构情况</w:t>
      </w:r>
      <w:bookmarkEnd w:id="25"/>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911.26</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763.06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83.74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74.02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8.12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color w:val="auto"/>
          <w:sz w:val="32"/>
          <w:szCs w:val="32"/>
          <w:highlight w:val="none"/>
        </w:rPr>
        <w:t>（类）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24.95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2.74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住房保障（类）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41.18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4.52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lang w:eastAsia="zh-CN"/>
        </w:rPr>
        <w:t>农林水（类）</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8.05万元，占0.88%</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drawing>
          <wp:inline distT="0" distB="0" distL="114300" distR="114300">
            <wp:extent cx="3723005" cy="2439035"/>
            <wp:effectExtent l="0" t="0" r="10795" b="184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3723005" cy="24390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spacing w:line="600" w:lineRule="exact"/>
        <w:ind w:firstLine="643" w:firstLineChars="200"/>
        <w:outlineLvl w:val="2"/>
        <w:rPr>
          <w:rFonts w:ascii="仿宋" w:hAnsi="仿宋" w:eastAsia="仿宋"/>
          <w:b/>
          <w:color w:val="auto"/>
          <w:sz w:val="32"/>
          <w:szCs w:val="32"/>
          <w:highlight w:val="none"/>
        </w:rPr>
      </w:pPr>
      <w:bookmarkStart w:id="26" w:name="_Toc15377212"/>
      <w:r>
        <w:rPr>
          <w:rFonts w:hint="eastAsia" w:ascii="仿宋" w:hAnsi="仿宋" w:eastAsia="仿宋"/>
          <w:b/>
          <w:color w:val="auto"/>
          <w:sz w:val="32"/>
          <w:szCs w:val="32"/>
          <w:highlight w:val="none"/>
        </w:rPr>
        <w:t>（三）一般公共预算财政拨款支出决算具体情况</w:t>
      </w:r>
      <w:bookmarkEnd w:id="26"/>
    </w:p>
    <w:p>
      <w:pPr>
        <w:spacing w:line="600" w:lineRule="exact"/>
        <w:ind w:firstLine="643" w:firstLineChars="200"/>
        <w:outlineLvl w:val="2"/>
        <w:rPr>
          <w:rFonts w:ascii="仿宋" w:hAnsi="仿宋" w:eastAsia="仿宋"/>
          <w:color w:val="auto"/>
          <w:sz w:val="32"/>
          <w:szCs w:val="32"/>
          <w:highlight w:val="none"/>
        </w:rPr>
      </w:pPr>
      <w:bookmarkStart w:id="27" w:name="_Toc15377213"/>
      <w:bookmarkStart w:id="28" w:name="_Toc15378460"/>
      <w:bookmarkStart w:id="29"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911.26</w:t>
      </w:r>
      <w:r>
        <w:rPr>
          <w:rFonts w:hint="eastAsia" w:ascii="仿宋" w:hAnsi="仿宋" w:eastAsia="仿宋"/>
          <w:color w:val="auto"/>
          <w:sz w:val="32"/>
          <w:szCs w:val="32"/>
          <w:highlight w:val="none"/>
        </w:rPr>
        <w:t>，</w:t>
      </w:r>
      <w:r>
        <w:rPr>
          <w:rStyle w:val="18"/>
          <w:rFonts w:hint="eastAsia" w:ascii="仿宋" w:hAnsi="仿宋" w:eastAsia="仿宋"/>
          <w:bCs/>
          <w:color w:val="auto"/>
          <w:sz w:val="32"/>
          <w:szCs w:val="32"/>
          <w:highlight w:val="none"/>
        </w:rPr>
        <w:t>完成预算</w:t>
      </w:r>
      <w:r>
        <w:rPr>
          <w:rStyle w:val="18"/>
          <w:rFonts w:hint="eastAsia" w:ascii="仿宋" w:hAnsi="仿宋" w:eastAsia="仿宋"/>
          <w:bCs/>
          <w:color w:val="auto"/>
          <w:sz w:val="32"/>
          <w:szCs w:val="32"/>
          <w:highlight w:val="none"/>
          <w:lang w:val="en-US" w:eastAsia="zh-CN"/>
        </w:rPr>
        <w:t>100</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。其中：</w:t>
      </w:r>
      <w:bookmarkEnd w:id="27"/>
      <w:bookmarkEnd w:id="28"/>
      <w:bookmarkEnd w:id="29"/>
    </w:p>
    <w:p>
      <w:pPr>
        <w:numPr>
          <w:ilvl w:val="0"/>
          <w:numId w:val="3"/>
        </w:numPr>
        <w:spacing w:line="600" w:lineRule="exact"/>
        <w:ind w:firstLine="643" w:firstLineChars="200"/>
        <w:rPr>
          <w:rStyle w:val="18"/>
          <w:rFonts w:hint="eastAsia" w:ascii="仿宋" w:hAnsi="仿宋" w:eastAsia="仿宋"/>
          <w:b w:val="0"/>
          <w:bCs/>
          <w:color w:val="auto"/>
          <w:sz w:val="32"/>
          <w:szCs w:val="32"/>
          <w:highlight w:val="none"/>
        </w:rPr>
      </w:pPr>
      <w:r>
        <w:rPr>
          <w:rStyle w:val="18"/>
          <w:rFonts w:hint="eastAsia" w:ascii="仿宋" w:hAnsi="仿宋" w:eastAsia="仿宋"/>
          <w:bCs/>
          <w:color w:val="000000"/>
          <w:sz w:val="32"/>
          <w:szCs w:val="32"/>
        </w:rPr>
        <w:t>一般公共服务（类）政府办公厅（室）及相关机构事务（款）行政运行（项）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432.06</w:t>
      </w:r>
      <w:r>
        <w:rPr>
          <w:rStyle w:val="18"/>
          <w:rFonts w:hint="eastAsia" w:ascii="仿宋" w:hAnsi="仿宋" w:eastAsia="仿宋"/>
          <w:b w:val="0"/>
          <w:bCs/>
          <w:color w:val="auto"/>
          <w:sz w:val="32"/>
          <w:szCs w:val="32"/>
          <w:highlight w:val="none"/>
        </w:rPr>
        <w:t>万元。</w:t>
      </w:r>
    </w:p>
    <w:p>
      <w:pPr>
        <w:pStyle w:val="15"/>
        <w:numPr>
          <w:ilvl w:val="0"/>
          <w:numId w:val="3"/>
        </w:numPr>
      </w:pPr>
      <w:r>
        <w:rPr>
          <w:rStyle w:val="18"/>
          <w:rFonts w:hint="eastAsia" w:ascii="仿宋" w:hAnsi="仿宋" w:eastAsia="仿宋"/>
          <w:bCs/>
          <w:color w:val="000000"/>
          <w:sz w:val="32"/>
          <w:szCs w:val="32"/>
        </w:rPr>
        <w:t>一般公共服务（类）政府办公厅（室）及相关机构事务（款）一般行政管理事务（项）</w:t>
      </w:r>
      <w:r>
        <w:rPr>
          <w:rStyle w:val="18"/>
          <w:rFonts w:hint="eastAsia" w:ascii="仿宋" w:hAnsi="仿宋" w:eastAsia="仿宋"/>
          <w:bCs/>
          <w:color w:val="000000"/>
          <w:sz w:val="32"/>
          <w:szCs w:val="32"/>
          <w:lang w:val="en-US" w:eastAsia="zh-CN"/>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192.08</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pPr>
        <w:pStyle w:val="15"/>
        <w:numPr>
          <w:ilvl w:val="0"/>
          <w:numId w:val="3"/>
        </w:numPr>
      </w:pPr>
      <w:r>
        <w:rPr>
          <w:rStyle w:val="18"/>
          <w:rFonts w:hint="eastAsia" w:ascii="仿宋" w:hAnsi="仿宋" w:eastAsia="仿宋"/>
          <w:bCs/>
          <w:color w:val="000000"/>
          <w:sz w:val="32"/>
          <w:szCs w:val="32"/>
        </w:rPr>
        <w:t>一般公共服务（类）政府办公厅（室）及相关机构事务（款）事业运行（项）</w:t>
      </w:r>
      <w:r>
        <w:rPr>
          <w:rStyle w:val="18"/>
          <w:rFonts w:hint="eastAsia" w:ascii="仿宋" w:hAnsi="仿宋" w:eastAsia="仿宋"/>
          <w:bCs/>
          <w:color w:val="000000"/>
          <w:sz w:val="32"/>
          <w:szCs w:val="32"/>
          <w:lang w:val="en-US" w:eastAsia="zh-CN"/>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138.92</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cstheme="minorBidi"/>
          <w:b w:val="0"/>
          <w:bCs/>
          <w:color w:val="auto"/>
          <w:sz w:val="32"/>
          <w:szCs w:val="32"/>
          <w:highlight w:val="none"/>
          <w:lang w:eastAsia="zh-CN"/>
        </w:rPr>
        <w:t>。</w:t>
      </w:r>
    </w:p>
    <w:p/>
    <w:p>
      <w:pPr>
        <w:numPr>
          <w:ilvl w:val="0"/>
          <w:numId w:val="0"/>
        </w:numPr>
        <w:spacing w:line="600" w:lineRule="exact"/>
        <w:ind w:leftChars="200"/>
        <w:rPr>
          <w:rStyle w:val="18"/>
          <w:rFonts w:hint="eastAsia" w:ascii="仿宋" w:hAnsi="仿宋" w:eastAsia="仿宋"/>
          <w:b w:val="0"/>
          <w:bCs/>
          <w:color w:val="auto"/>
          <w:sz w:val="32"/>
          <w:szCs w:val="32"/>
          <w:highlight w:val="none"/>
        </w:rPr>
      </w:pPr>
      <w:r>
        <w:rPr>
          <w:rStyle w:val="18"/>
          <w:rFonts w:hint="eastAsia" w:ascii="仿宋" w:hAnsi="仿宋" w:eastAsia="仿宋"/>
          <w:bCs/>
          <w:color w:val="auto"/>
          <w:sz w:val="32"/>
          <w:szCs w:val="32"/>
          <w:highlight w:val="none"/>
          <w:lang w:val="en-US" w:eastAsia="zh-CN"/>
        </w:rPr>
        <w:t>4.</w:t>
      </w:r>
      <w:r>
        <w:rPr>
          <w:rStyle w:val="18"/>
          <w:rFonts w:hint="eastAsia" w:ascii="仿宋" w:hAnsi="仿宋" w:eastAsia="仿宋"/>
          <w:bCs/>
          <w:color w:val="auto"/>
          <w:sz w:val="32"/>
          <w:szCs w:val="32"/>
          <w:highlight w:val="none"/>
        </w:rPr>
        <w:t>社会保障和就业（类）行政事业单位养老支出（款）机关事业单位基本养老保险缴费支出（项）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55.35</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numPr>
          <w:ilvl w:val="0"/>
          <w:numId w:val="0"/>
        </w:numPr>
        <w:spacing w:line="600" w:lineRule="exact"/>
        <w:ind w:leftChars="200"/>
        <w:rPr>
          <w:rStyle w:val="18"/>
          <w:rFonts w:hint="eastAsia" w:ascii="仿宋" w:hAnsi="仿宋" w:eastAsia="仿宋"/>
          <w:b w:val="0"/>
          <w:bCs/>
          <w:color w:val="auto"/>
          <w:sz w:val="32"/>
          <w:szCs w:val="32"/>
          <w:highlight w:val="none"/>
        </w:rPr>
      </w:pPr>
      <w:r>
        <w:rPr>
          <w:rStyle w:val="18"/>
          <w:rFonts w:hint="eastAsia" w:ascii="仿宋" w:hAnsi="仿宋" w:eastAsia="仿宋"/>
          <w:bCs/>
          <w:color w:val="auto"/>
          <w:sz w:val="32"/>
          <w:szCs w:val="32"/>
          <w:highlight w:val="none"/>
          <w:lang w:val="en-US" w:eastAsia="zh-CN"/>
        </w:rPr>
        <w:t>5.</w:t>
      </w:r>
      <w:r>
        <w:rPr>
          <w:rStyle w:val="18"/>
          <w:rFonts w:hint="eastAsia" w:ascii="仿宋" w:hAnsi="仿宋" w:eastAsia="仿宋"/>
          <w:bCs/>
          <w:color w:val="auto"/>
          <w:sz w:val="32"/>
          <w:szCs w:val="32"/>
          <w:highlight w:val="none"/>
        </w:rPr>
        <w:t>社会保障和就业（类）行政事业单位养老支出（款）机关事业单位职业年金缴费支出（项）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16.82</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numPr>
          <w:ilvl w:val="0"/>
          <w:numId w:val="0"/>
        </w:numPr>
        <w:spacing w:line="600" w:lineRule="exact"/>
        <w:ind w:leftChars="200"/>
      </w:pPr>
      <w:r>
        <w:rPr>
          <w:rStyle w:val="18"/>
          <w:rFonts w:hint="eastAsia" w:ascii="仿宋" w:hAnsi="仿宋" w:eastAsia="仿宋"/>
          <w:bCs/>
          <w:color w:val="auto"/>
          <w:sz w:val="32"/>
          <w:szCs w:val="32"/>
          <w:highlight w:val="none"/>
          <w:lang w:val="en-US" w:eastAsia="zh-CN"/>
        </w:rPr>
        <w:t>6.</w:t>
      </w:r>
      <w:r>
        <w:rPr>
          <w:rStyle w:val="18"/>
          <w:rFonts w:hint="eastAsia" w:ascii="仿宋" w:hAnsi="仿宋" w:eastAsia="仿宋"/>
          <w:bCs/>
          <w:color w:val="auto"/>
          <w:sz w:val="32"/>
          <w:szCs w:val="32"/>
          <w:highlight w:val="none"/>
        </w:rPr>
        <w:t>社会保障和就业（类）其他社会保障和就业支出（款）其他社会保障和就业支出（项）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支出决算为1</w:t>
      </w:r>
      <w:r>
        <w:rPr>
          <w:rStyle w:val="18"/>
          <w:rFonts w:hint="eastAsia" w:ascii="仿宋" w:hAnsi="仿宋" w:eastAsia="仿宋"/>
          <w:b w:val="0"/>
          <w:bCs/>
          <w:color w:val="auto"/>
          <w:sz w:val="32"/>
          <w:szCs w:val="32"/>
          <w:highlight w:val="none"/>
          <w:lang w:val="en-US" w:eastAsia="zh-CN"/>
        </w:rPr>
        <w:t>.</w:t>
      </w:r>
      <w:r>
        <w:rPr>
          <w:rStyle w:val="18"/>
          <w:rFonts w:hint="eastAsia" w:ascii="仿宋" w:hAnsi="仿宋" w:eastAsia="仿宋"/>
          <w:b w:val="0"/>
          <w:bCs/>
          <w:color w:val="auto"/>
          <w:sz w:val="32"/>
          <w:szCs w:val="32"/>
          <w:highlight w:val="none"/>
        </w:rPr>
        <w:t>85万元，完成预算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spacing w:line="600" w:lineRule="exact"/>
        <w:ind w:firstLine="643" w:firstLineChars="200"/>
        <w:rPr>
          <w:rStyle w:val="18"/>
          <w:rFonts w:hint="eastAsia" w:ascii="仿宋" w:hAnsi="仿宋" w:eastAsia="仿宋"/>
          <w:b w:val="0"/>
          <w:bCs/>
          <w:color w:val="auto"/>
          <w:sz w:val="32"/>
          <w:szCs w:val="32"/>
          <w:highlight w:val="none"/>
        </w:rPr>
      </w:pPr>
      <w:r>
        <w:rPr>
          <w:rStyle w:val="18"/>
          <w:rFonts w:hint="eastAsia" w:ascii="仿宋" w:hAnsi="仿宋" w:eastAsia="仿宋"/>
          <w:bCs/>
          <w:color w:val="auto"/>
          <w:sz w:val="32"/>
          <w:szCs w:val="32"/>
          <w:highlight w:val="none"/>
          <w:lang w:val="en-US" w:eastAsia="zh-CN"/>
        </w:rPr>
        <w:t>7</w:t>
      </w:r>
      <w:r>
        <w:rPr>
          <w:rFonts w:hint="eastAsia" w:ascii="仿宋_GB2312" w:hAnsi="宋体" w:eastAsia="仿宋_GB2312" w:cs="Times New Roman"/>
          <w:color w:val="auto"/>
          <w:sz w:val="32"/>
          <w:szCs w:val="32"/>
          <w:highlight w:val="none"/>
          <w:lang w:val="zh-CN"/>
        </w:rPr>
        <w:t>．</w:t>
      </w:r>
      <w:r>
        <w:rPr>
          <w:rFonts w:hint="eastAsia" w:ascii="仿宋" w:hAnsi="仿宋" w:eastAsia="仿宋"/>
          <w:b/>
          <w:bCs/>
          <w:color w:val="auto"/>
          <w:sz w:val="32"/>
          <w:szCs w:val="32"/>
          <w:highlight w:val="none"/>
        </w:rPr>
        <w:t>卫生健康</w:t>
      </w:r>
      <w:r>
        <w:rPr>
          <w:rStyle w:val="18"/>
          <w:rFonts w:hint="eastAsia" w:ascii="仿宋" w:hAnsi="仿宋" w:eastAsia="仿宋"/>
          <w:bCs/>
          <w:color w:val="auto"/>
          <w:sz w:val="32"/>
          <w:szCs w:val="32"/>
          <w:highlight w:val="none"/>
        </w:rPr>
        <w:t>（类）行政事业单位医疗（款）行政单位医疗（项）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24.95</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spacing w:line="600" w:lineRule="exact"/>
        <w:ind w:firstLine="643" w:firstLineChars="200"/>
        <w:rPr>
          <w:rStyle w:val="18"/>
          <w:rFonts w:hint="eastAsia" w:ascii="仿宋" w:hAnsi="仿宋" w:eastAsia="仿宋"/>
          <w:b w:val="0"/>
          <w:bCs/>
          <w:color w:val="auto"/>
          <w:sz w:val="32"/>
          <w:szCs w:val="32"/>
          <w:highlight w:val="none"/>
        </w:rPr>
      </w:pPr>
      <w:r>
        <w:rPr>
          <w:rStyle w:val="18"/>
          <w:rFonts w:hint="eastAsia" w:ascii="仿宋" w:hAnsi="仿宋" w:eastAsia="仿宋"/>
          <w:bCs/>
          <w:color w:val="auto"/>
          <w:sz w:val="32"/>
          <w:szCs w:val="32"/>
          <w:highlight w:val="none"/>
          <w:lang w:val="en-US" w:eastAsia="zh-CN"/>
        </w:rPr>
        <w:t>8</w:t>
      </w:r>
      <w:r>
        <w:rPr>
          <w:rFonts w:hint="eastAsia" w:ascii="仿宋_GB2312" w:hAnsi="宋体" w:eastAsia="仿宋_GB2312" w:cs="Times New Roman"/>
          <w:color w:val="auto"/>
          <w:sz w:val="32"/>
          <w:szCs w:val="32"/>
          <w:highlight w:val="none"/>
          <w:lang w:val="zh-CN"/>
        </w:rPr>
        <w:t>．</w:t>
      </w:r>
      <w:r>
        <w:rPr>
          <w:rFonts w:hint="eastAsia" w:ascii="仿宋" w:hAnsi="仿宋" w:eastAsia="仿宋"/>
          <w:b/>
          <w:bCs/>
          <w:color w:val="auto"/>
          <w:sz w:val="32"/>
          <w:szCs w:val="32"/>
          <w:highlight w:val="none"/>
        </w:rPr>
        <w:t>农林水支出</w:t>
      </w:r>
      <w:r>
        <w:rPr>
          <w:rStyle w:val="18"/>
          <w:rFonts w:hint="eastAsia" w:ascii="仿宋" w:hAnsi="仿宋" w:eastAsia="仿宋"/>
          <w:bCs/>
          <w:color w:val="auto"/>
          <w:sz w:val="32"/>
          <w:szCs w:val="32"/>
          <w:highlight w:val="none"/>
        </w:rPr>
        <w:t>（类）扶贫（款）其他扶贫支出（项）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8.05</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spacing w:line="600" w:lineRule="exact"/>
        <w:ind w:firstLine="643" w:firstLineChars="200"/>
        <w:rPr>
          <w:rFonts w:hint="eastAsia"/>
        </w:rPr>
      </w:pPr>
      <w:r>
        <w:rPr>
          <w:rStyle w:val="18"/>
          <w:rFonts w:hint="eastAsia" w:ascii="仿宋" w:hAnsi="仿宋" w:eastAsia="仿宋"/>
          <w:bCs/>
          <w:color w:val="auto"/>
          <w:sz w:val="32"/>
          <w:szCs w:val="32"/>
          <w:highlight w:val="none"/>
          <w:lang w:val="en-US" w:eastAsia="zh-CN"/>
        </w:rPr>
        <w:t>9</w:t>
      </w:r>
      <w:r>
        <w:rPr>
          <w:rFonts w:hint="eastAsia" w:ascii="仿宋_GB2312" w:hAnsi="宋体" w:eastAsia="仿宋_GB2312" w:cs="Times New Roman"/>
          <w:color w:val="auto"/>
          <w:sz w:val="32"/>
          <w:szCs w:val="32"/>
          <w:highlight w:val="none"/>
          <w:lang w:val="zh-CN"/>
        </w:rPr>
        <w:t>．住房保障支出</w:t>
      </w:r>
      <w:r>
        <w:rPr>
          <w:rStyle w:val="18"/>
          <w:rFonts w:hint="eastAsia" w:ascii="仿宋" w:hAnsi="仿宋" w:eastAsia="仿宋"/>
          <w:bCs/>
          <w:color w:val="auto"/>
          <w:sz w:val="32"/>
          <w:szCs w:val="32"/>
          <w:highlight w:val="none"/>
        </w:rPr>
        <w:t>（类）住房改革支出（款</w:t>
      </w:r>
      <w:r>
        <w:rPr>
          <w:rStyle w:val="18"/>
          <w:rFonts w:hint="eastAsia" w:ascii="仿宋" w:hAnsi="仿宋" w:eastAsia="仿宋"/>
          <w:bCs/>
          <w:color w:val="auto"/>
          <w:sz w:val="32"/>
          <w:szCs w:val="32"/>
          <w:highlight w:val="none"/>
          <w:lang w:val="en-US" w:eastAsia="zh-CN"/>
        </w:rPr>
        <w:t>)</w:t>
      </w:r>
      <w:r>
        <w:rPr>
          <w:rStyle w:val="18"/>
          <w:rFonts w:hint="eastAsia" w:ascii="仿宋" w:hAnsi="仿宋" w:eastAsia="仿宋"/>
          <w:bCs/>
          <w:color w:val="auto"/>
          <w:sz w:val="32"/>
          <w:szCs w:val="32"/>
          <w:highlight w:val="none"/>
        </w:rPr>
        <w:t>住房公积金（项）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41.18</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FF0000"/>
          <w:sz w:val="32"/>
          <w:szCs w:val="32"/>
          <w:highlight w:val="none"/>
        </w:rPr>
        <w:t>。</w:t>
      </w:r>
      <w:r>
        <w:rPr>
          <w:rFonts w:hint="eastAsia" w:ascii="仿宋" w:hAnsi="仿宋" w:eastAsia="仿宋"/>
          <w:b/>
          <w:color w:val="auto"/>
          <w:sz w:val="32"/>
          <w:szCs w:val="32"/>
          <w:highlight w:val="none"/>
        </w:rPr>
        <w:t>）</w:t>
      </w:r>
    </w:p>
    <w:p>
      <w:pPr>
        <w:tabs>
          <w:tab w:val="right" w:pos="8306"/>
        </w:tabs>
        <w:spacing w:line="600" w:lineRule="exact"/>
        <w:ind w:firstLine="640"/>
        <w:outlineLvl w:val="1"/>
        <w:rPr>
          <w:rStyle w:val="29"/>
          <w:color w:val="auto"/>
          <w:highlight w:val="none"/>
        </w:rPr>
      </w:pPr>
      <w:bookmarkStart w:id="30" w:name="_Toc15396608"/>
      <w:bookmarkStart w:id="31"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般公共预算财政拨款基本支出决算情况说明</w:t>
      </w:r>
      <w:bookmarkEnd w:id="30"/>
      <w:bookmarkEnd w:id="31"/>
      <w:r>
        <w:rPr>
          <w:rStyle w:val="29"/>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711.13</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634.87</w:t>
      </w:r>
      <w:r>
        <w:rPr>
          <w:rFonts w:hint="eastAsia" w:ascii="仿宋" w:hAnsi="仿宋" w:eastAsia="仿宋"/>
          <w:color w:val="auto"/>
          <w:sz w:val="32"/>
          <w:szCs w:val="32"/>
          <w:highlight w:val="none"/>
        </w:rPr>
        <w:t>万元，主要包括：基本工资、津贴补贴、奖金、绩效工资、机关事业单位基本养老保险缴费、职业年金缴费、其他社会保障缴费、其他工资福利支出、抚恤金、生活补助、奖励金、住房公积金、其他对个人和家庭的补助支出等。</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76.26</w:t>
      </w:r>
      <w:r>
        <w:rPr>
          <w:rFonts w:hint="eastAsia" w:ascii="仿宋" w:hAnsi="仿宋" w:eastAsia="仿宋"/>
          <w:color w:val="auto"/>
          <w:sz w:val="32"/>
          <w:szCs w:val="32"/>
          <w:highlight w:val="none"/>
        </w:rPr>
        <w:t>万元，主要包括：办公费、印刷费、咨询费、手续费、水费、电费、邮电费、物业管理费、差旅费、维修（护）费、租赁费、会议费、培训费、公务接待费、劳务费、委托业务费、工会经费、公务用车运行维护费、其他交通费、办公设备购置等。</w:t>
      </w:r>
    </w:p>
    <w:p>
      <w:pPr>
        <w:spacing w:line="600" w:lineRule="exact"/>
        <w:ind w:firstLine="645"/>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p>
    <w:p>
      <w:pPr>
        <w:spacing w:line="600" w:lineRule="exact"/>
        <w:ind w:firstLine="640"/>
        <w:outlineLvl w:val="1"/>
        <w:rPr>
          <w:rStyle w:val="29"/>
          <w:rFonts w:ascii="黑体" w:hAnsi="黑体" w:eastAsia="黑体"/>
          <w:b w:val="0"/>
          <w:color w:val="auto"/>
          <w:highlight w:val="none"/>
        </w:rPr>
      </w:pPr>
      <w:bookmarkStart w:id="32" w:name="_Toc15377215"/>
      <w:bookmarkStart w:id="33" w:name="_Toc15396609"/>
      <w:r>
        <w:rPr>
          <w:rFonts w:hint="eastAsia" w:ascii="黑体" w:eastAsia="黑体"/>
          <w:color w:val="auto"/>
          <w:sz w:val="32"/>
          <w:szCs w:val="32"/>
          <w:highlight w:val="none"/>
        </w:rPr>
        <w:t>七、</w:t>
      </w:r>
      <w:r>
        <w:rPr>
          <w:rStyle w:val="29"/>
          <w:rFonts w:hint="eastAsia" w:ascii="黑体" w:hAnsi="黑体" w:eastAsia="黑体"/>
          <w:color w:val="auto"/>
          <w:highlight w:val="none"/>
        </w:rPr>
        <w:t>“</w:t>
      </w:r>
      <w:r>
        <w:rPr>
          <w:rStyle w:val="29"/>
          <w:rFonts w:hint="eastAsia" w:ascii="黑体" w:hAnsi="黑体" w:eastAsia="黑体"/>
          <w:b w:val="0"/>
          <w:color w:val="auto"/>
          <w:highlight w:val="none"/>
        </w:rPr>
        <w:t>三公”经费财政拨款支出决算情况说明</w:t>
      </w:r>
      <w:bookmarkEnd w:id="32"/>
      <w:bookmarkEnd w:id="33"/>
    </w:p>
    <w:p>
      <w:pPr>
        <w:spacing w:line="600" w:lineRule="exact"/>
        <w:ind w:firstLine="640"/>
        <w:outlineLvl w:val="2"/>
        <w:rPr>
          <w:rFonts w:ascii="仿宋" w:hAnsi="仿宋" w:eastAsia="仿宋"/>
          <w:b/>
          <w:color w:val="auto"/>
          <w:sz w:val="32"/>
          <w:szCs w:val="32"/>
          <w:highlight w:val="none"/>
        </w:rPr>
      </w:pPr>
      <w:bookmarkStart w:id="34" w:name="_Toc15377216"/>
      <w:r>
        <w:rPr>
          <w:rFonts w:hint="eastAsia" w:ascii="仿宋" w:hAnsi="仿宋" w:eastAsia="仿宋"/>
          <w:b/>
          <w:color w:val="auto"/>
          <w:sz w:val="32"/>
          <w:szCs w:val="32"/>
          <w:highlight w:val="none"/>
        </w:rPr>
        <w:t>（一）“三公”经费财政拨款支出决算总体情况说明</w:t>
      </w:r>
      <w:bookmarkEnd w:id="34"/>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14.98</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63.31</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，决算数小于预算数的主要原因是严格控制开支，按照预算执行。</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（注：上述“预算”口径为调整预算数，包括</w:t>
      </w:r>
      <w:r>
        <w:rPr>
          <w:rFonts w:hint="eastAsia" w:ascii="仿宋" w:hAnsi="仿宋" w:eastAsia="仿宋"/>
          <w:b/>
          <w:color w:val="auto"/>
          <w:sz w:val="32"/>
          <w:szCs w:val="32"/>
          <w:highlight w:val="none"/>
          <w:lang w:eastAsia="zh-CN"/>
        </w:rPr>
        <w:t>一般公共预算和</w:t>
      </w:r>
      <w:r>
        <w:rPr>
          <w:rFonts w:hint="eastAsia" w:ascii="仿宋" w:hAnsi="仿宋" w:eastAsia="仿宋"/>
          <w:b/>
          <w:color w:val="auto"/>
          <w:sz w:val="32"/>
          <w:szCs w:val="32"/>
          <w:highlight w:val="none"/>
        </w:rPr>
        <w:t>政府性基金</w:t>
      </w:r>
      <w:r>
        <w:rPr>
          <w:rFonts w:hint="eastAsia" w:ascii="仿宋" w:hAnsi="仿宋" w:eastAsia="仿宋"/>
          <w:b/>
          <w:color w:val="auto"/>
          <w:sz w:val="32"/>
          <w:szCs w:val="32"/>
          <w:highlight w:val="none"/>
          <w:lang w:eastAsia="zh-CN"/>
        </w:rPr>
        <w:t>预算财政拨款</w:t>
      </w:r>
      <w:r>
        <w:rPr>
          <w:rFonts w:hint="eastAsia" w:ascii="仿宋" w:hAnsi="仿宋" w:eastAsia="仿宋"/>
          <w:b/>
          <w:color w:val="auto"/>
          <w:sz w:val="32"/>
          <w:szCs w:val="32"/>
          <w:highlight w:val="none"/>
        </w:rPr>
        <w:t>支出决算情况。）</w:t>
      </w:r>
    </w:p>
    <w:p>
      <w:pPr>
        <w:spacing w:line="600" w:lineRule="exact"/>
        <w:ind w:firstLine="640"/>
        <w:outlineLvl w:val="2"/>
        <w:rPr>
          <w:rFonts w:ascii="仿宋" w:hAnsi="仿宋" w:eastAsia="仿宋"/>
          <w:b/>
          <w:color w:val="auto"/>
          <w:sz w:val="32"/>
          <w:szCs w:val="32"/>
          <w:highlight w:val="none"/>
        </w:rPr>
      </w:pPr>
      <w:bookmarkStart w:id="35" w:name="_Toc15377217"/>
      <w:r>
        <w:rPr>
          <w:rFonts w:hint="eastAsia" w:ascii="仿宋" w:hAnsi="仿宋" w:eastAsia="仿宋"/>
          <w:b/>
          <w:color w:val="auto"/>
          <w:sz w:val="32"/>
          <w:szCs w:val="32"/>
          <w:highlight w:val="none"/>
        </w:rPr>
        <w:t>（二）“三公”经费财政拨款支出决算具体情况说明</w:t>
      </w:r>
      <w:bookmarkEnd w:id="35"/>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年“三公”经费财政拨款支出决算中，公务用车购置及运行维护费支出决算</w:t>
      </w:r>
      <w:r>
        <w:rPr>
          <w:rFonts w:hint="eastAsia" w:ascii="仿宋" w:hAnsi="仿宋" w:eastAsia="仿宋"/>
          <w:color w:val="auto"/>
          <w:sz w:val="32"/>
          <w:szCs w:val="32"/>
          <w:highlight w:val="none"/>
          <w:lang w:val="en-US" w:eastAsia="zh-CN"/>
        </w:rPr>
        <w:t>4.93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32.91</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10.05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67.09</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pPr>
      <w:r>
        <w:drawing>
          <wp:inline distT="0" distB="0" distL="114300" distR="114300">
            <wp:extent cx="3171825" cy="2762250"/>
            <wp:effectExtent l="0" t="0" r="9525"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2"/>
                    <a:stretch>
                      <a:fillRect/>
                    </a:stretch>
                  </pic:blipFill>
                  <pic:spPr>
                    <a:xfrm>
                      <a:off x="0" y="0"/>
                      <a:ext cx="3171825" cy="2762250"/>
                    </a:xfrm>
                    <a:prstGeom prst="rect">
                      <a:avLst/>
                    </a:prstGeom>
                    <a:noFill/>
                    <a:ln>
                      <a:noFill/>
                    </a:ln>
                  </pic:spPr>
                </pic:pic>
              </a:graphicData>
            </a:graphic>
          </wp:inline>
        </w:drawing>
      </w:r>
    </w:p>
    <w:p>
      <w:pPr>
        <w:spacing w:line="600" w:lineRule="exact"/>
        <w:ind w:firstLine="640"/>
        <w:rPr>
          <w:rFonts w:hint="eastAsia" w:ascii="仿宋_GB2312" w:eastAsia="仿宋_GB2312"/>
          <w:color w:val="auto"/>
          <w:sz w:val="32"/>
          <w:szCs w:val="32"/>
          <w:highlight w:val="none"/>
        </w:rPr>
      </w:pPr>
      <w:r>
        <w:rPr>
          <w:rFonts w:hint="eastAsia" w:ascii="仿宋" w:hAnsi="仿宋" w:eastAsia="仿宋"/>
          <w:color w:val="auto"/>
          <w:sz w:val="32"/>
          <w:szCs w:val="32"/>
          <w:highlight w:val="none"/>
        </w:rPr>
        <w:t>（图7：“三公”经费财政拨款支出结构）</w:t>
      </w:r>
      <w:r>
        <w:rPr>
          <w:rFonts w:hint="eastAsia" w:ascii="仿宋_GB2312" w:eastAsia="仿宋_GB2312"/>
          <w:b/>
          <w:color w:val="auto"/>
          <w:sz w:val="32"/>
          <w:szCs w:val="32"/>
          <w:highlight w:val="none"/>
          <w:lang w:val="en-US" w:eastAsia="zh-CN"/>
        </w:rPr>
        <w:t>1</w:t>
      </w:r>
      <w:r>
        <w:rPr>
          <w:rFonts w:hint="eastAsia" w:ascii="仿宋_GB2312" w:hAnsi="宋体" w:eastAsia="仿宋_GB2312" w:cs="Times New Roman"/>
          <w:color w:val="auto"/>
          <w:sz w:val="32"/>
          <w:szCs w:val="32"/>
          <w:highlight w:val="none"/>
          <w:lang w:val="zh-CN"/>
        </w:rPr>
        <w:t>．</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4.93</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98.60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0.12</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2.38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。主要原因是严格控制成本，节约开支。</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4.93</w:t>
      </w:r>
      <w:r>
        <w:rPr>
          <w:rFonts w:hint="eastAsia" w:ascii="仿宋_GB2312" w:eastAsia="仿宋_GB2312"/>
          <w:color w:val="auto"/>
          <w:sz w:val="32"/>
          <w:szCs w:val="32"/>
          <w:highlight w:val="none"/>
        </w:rPr>
        <w:t>万元。主要用于</w:t>
      </w:r>
      <w:r>
        <w:rPr>
          <w:rFonts w:hint="eastAsia" w:ascii="方正仿宋_GBK" w:eastAsia="方正仿宋_GBK"/>
          <w:color w:val="000000"/>
          <w:sz w:val="32"/>
          <w:szCs w:val="32"/>
        </w:rPr>
        <w:t>下乡开展工作</w:t>
      </w:r>
      <w:r>
        <w:rPr>
          <w:rFonts w:hint="eastAsia" w:ascii="仿宋_GB2312" w:eastAsia="仿宋_GB2312"/>
          <w:color w:val="auto"/>
          <w:sz w:val="32"/>
          <w:szCs w:val="32"/>
          <w:highlight w:val="none"/>
        </w:rPr>
        <w:t>等所需的公务用车燃料费、维修费、过路过桥费、保险费等支出。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hAnsi="宋体" w:eastAsia="仿宋_GB2312" w:cs="Times New Roman"/>
          <w:color w:val="auto"/>
          <w:sz w:val="32"/>
          <w:szCs w:val="32"/>
          <w:highlight w:val="none"/>
          <w:lang w:val="zh-CN"/>
        </w:rPr>
        <w:t>．</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10.05</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56.27</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8.50</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43.40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。主要原因是主要用于考察项目或会议用餐所发生的等公务接待工作用餐。其中：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10.05</w:t>
      </w:r>
      <w:r>
        <w:rPr>
          <w:rFonts w:hint="eastAsia" w:ascii="仿宋_GB2312" w:eastAsia="仿宋_GB2312"/>
          <w:color w:val="auto"/>
          <w:sz w:val="32"/>
          <w:szCs w:val="32"/>
          <w:highlight w:val="none"/>
        </w:rPr>
        <w:t>万元，主要用于</w:t>
      </w:r>
      <w:r>
        <w:rPr>
          <w:rFonts w:hint="eastAsia" w:ascii="方正仿宋_GBK" w:eastAsia="方正仿宋_GBK"/>
          <w:color w:val="000000"/>
          <w:sz w:val="32"/>
          <w:szCs w:val="32"/>
        </w:rPr>
        <w:t>对接工作用餐</w:t>
      </w:r>
      <w:r>
        <w:rPr>
          <w:rFonts w:hint="eastAsia" w:ascii="仿宋_GB2312" w:eastAsia="仿宋_GB2312"/>
          <w:color w:val="auto"/>
          <w:sz w:val="32"/>
          <w:szCs w:val="32"/>
          <w:highlight w:val="none"/>
        </w:rPr>
        <w:t>(执行公务、开展业务活动开支的交通费、住宿费、用餐费等)。国内公务接待</w:t>
      </w:r>
      <w:r>
        <w:rPr>
          <w:rFonts w:hint="eastAsia" w:ascii="仿宋_GB2312" w:eastAsia="仿宋_GB2312"/>
          <w:color w:val="auto"/>
          <w:sz w:val="32"/>
          <w:szCs w:val="32"/>
          <w:highlight w:val="none"/>
          <w:lang w:val="en-US" w:eastAsia="zh-CN"/>
        </w:rPr>
        <w:t>102</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662</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10.05</w:t>
      </w:r>
      <w:r>
        <w:rPr>
          <w:rFonts w:hint="eastAsia" w:ascii="仿宋_GB2312" w:eastAsia="仿宋_GB2312"/>
          <w:color w:val="auto"/>
          <w:sz w:val="32"/>
          <w:szCs w:val="32"/>
          <w:highlight w:val="none"/>
        </w:rPr>
        <w:t>万元，具体内容包括：</w:t>
      </w:r>
      <w:r>
        <w:rPr>
          <w:rFonts w:hint="eastAsia" w:ascii="方正仿宋_GBK" w:eastAsia="方正仿宋_GBK"/>
          <w:color w:val="000000"/>
          <w:sz w:val="32"/>
          <w:szCs w:val="32"/>
        </w:rPr>
        <w:t>东西协作项目考察接待工作用餐</w:t>
      </w:r>
      <w:r>
        <w:rPr>
          <w:rFonts w:hint="eastAsia" w:ascii="方正仿宋_GBK" w:eastAsia="方正仿宋_GBK"/>
          <w:color w:val="000000"/>
          <w:sz w:val="32"/>
          <w:szCs w:val="32"/>
          <w:lang w:val="en-US" w:eastAsia="zh-CN"/>
        </w:rPr>
        <w:t>3.41</w:t>
      </w:r>
      <w:r>
        <w:rPr>
          <w:rFonts w:hint="eastAsia" w:ascii="方正仿宋_GBK" w:eastAsia="方正仿宋_GBK"/>
          <w:color w:val="000000"/>
          <w:sz w:val="32"/>
          <w:szCs w:val="32"/>
        </w:rPr>
        <w:t>万元，各优质企业来朝考察项目商务接待费用</w:t>
      </w:r>
      <w:r>
        <w:rPr>
          <w:rFonts w:hint="eastAsia" w:ascii="方正仿宋_GBK" w:eastAsia="方正仿宋_GBK"/>
          <w:color w:val="000000"/>
          <w:sz w:val="32"/>
          <w:szCs w:val="32"/>
          <w:lang w:val="en-US" w:eastAsia="zh-CN"/>
        </w:rPr>
        <w:t>6.64</w:t>
      </w:r>
      <w:r>
        <w:rPr>
          <w:rFonts w:hint="eastAsia" w:ascii="方正仿宋_GBK" w:eastAsia="方正仿宋_GBK"/>
          <w:color w:val="000000"/>
          <w:sz w:val="32"/>
          <w:szCs w:val="32"/>
        </w:rPr>
        <w:t>万元等</w:t>
      </w:r>
      <w:r>
        <w:rPr>
          <w:rFonts w:hint="eastAsia" w:ascii="仿宋_GB2312" w:eastAsia="仿宋_GB2312"/>
          <w:color w:val="auto"/>
          <w:sz w:val="32"/>
          <w:szCs w:val="32"/>
          <w:highlight w:val="none"/>
        </w:rPr>
        <w:t>。</w:t>
      </w:r>
    </w:p>
    <w:p>
      <w:pPr>
        <w:spacing w:line="600" w:lineRule="exact"/>
        <w:ind w:firstLine="640"/>
        <w:outlineLvl w:val="1"/>
        <w:rPr>
          <w:rStyle w:val="29"/>
          <w:rFonts w:ascii="黑体" w:hAnsi="黑体" w:eastAsia="黑体"/>
          <w:color w:val="auto"/>
          <w:highlight w:val="none"/>
        </w:rPr>
      </w:pPr>
      <w:bookmarkStart w:id="36" w:name="_Toc15377218"/>
      <w:bookmarkStart w:id="37" w:name="_Toc15396610"/>
      <w:r>
        <w:rPr>
          <w:rFonts w:hint="eastAsia" w:ascii="黑体" w:eastAsia="黑体"/>
          <w:color w:val="auto"/>
          <w:sz w:val="32"/>
          <w:szCs w:val="32"/>
          <w:highlight w:val="none"/>
        </w:rPr>
        <w:t>八、</w:t>
      </w:r>
      <w:r>
        <w:rPr>
          <w:rStyle w:val="29"/>
          <w:rFonts w:hint="eastAsia" w:ascii="黑体" w:hAnsi="黑体" w:eastAsia="黑体"/>
          <w:b w:val="0"/>
          <w:color w:val="auto"/>
          <w:highlight w:val="none"/>
        </w:rPr>
        <w:t>政府性基金预算支出决算情况说明</w:t>
      </w:r>
      <w:bookmarkEnd w:id="36"/>
      <w:bookmarkEnd w:id="37"/>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4"/>
        </w:numPr>
        <w:spacing w:line="600" w:lineRule="exact"/>
        <w:ind w:firstLine="640"/>
        <w:outlineLvl w:val="1"/>
        <w:rPr>
          <w:rStyle w:val="29"/>
          <w:rFonts w:ascii="黑体" w:hAnsi="黑体" w:eastAsia="黑体"/>
          <w:b w:val="0"/>
          <w:color w:val="auto"/>
          <w:highlight w:val="none"/>
        </w:rPr>
      </w:pPr>
      <w:bookmarkStart w:id="38" w:name="_Toc15377219"/>
      <w:bookmarkStart w:id="39" w:name="_Toc15396611"/>
      <w:r>
        <w:rPr>
          <w:rStyle w:val="29"/>
          <w:rFonts w:hint="eastAsia" w:ascii="黑体" w:hAnsi="黑体" w:eastAsia="黑体"/>
          <w:b w:val="0"/>
          <w:color w:val="auto"/>
          <w:highlight w:val="none"/>
        </w:rPr>
        <w:t>国有资本经营预算支出决算情况说明</w:t>
      </w:r>
      <w:bookmarkEnd w:id="38"/>
      <w:bookmarkEnd w:id="39"/>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4"/>
        </w:numPr>
        <w:spacing w:line="600" w:lineRule="exact"/>
        <w:ind w:firstLine="640"/>
        <w:outlineLvl w:val="1"/>
        <w:rPr>
          <w:rStyle w:val="29"/>
          <w:rFonts w:hint="eastAsia" w:ascii="黑体" w:hAnsi="黑体" w:eastAsia="黑体"/>
          <w:b w:val="0"/>
          <w:color w:val="auto"/>
          <w:highlight w:val="none"/>
        </w:rPr>
      </w:pPr>
      <w:bookmarkStart w:id="40" w:name="_Toc15377221"/>
      <w:bookmarkStart w:id="41" w:name="_Toc15396612"/>
      <w:r>
        <w:rPr>
          <w:rStyle w:val="29"/>
          <w:rFonts w:hint="eastAsia" w:ascii="黑体" w:hAnsi="黑体" w:eastAsia="黑体"/>
          <w:b w:val="0"/>
          <w:color w:val="auto"/>
          <w:highlight w:val="none"/>
        </w:rPr>
        <w:t>其他重要事项的情况说明</w:t>
      </w:r>
      <w:bookmarkEnd w:id="40"/>
      <w:bookmarkEnd w:id="41"/>
    </w:p>
    <w:p>
      <w:pPr>
        <w:spacing w:line="600" w:lineRule="exact"/>
        <w:ind w:firstLine="643" w:firstLineChars="200"/>
        <w:outlineLvl w:val="2"/>
        <w:rPr>
          <w:rFonts w:ascii="仿宋" w:hAnsi="仿宋" w:eastAsia="仿宋"/>
          <w:color w:val="auto"/>
          <w:sz w:val="32"/>
          <w:szCs w:val="32"/>
          <w:highlight w:val="none"/>
        </w:rPr>
      </w:pPr>
      <w:bookmarkStart w:id="42" w:name="_Toc15377222"/>
      <w:r>
        <w:rPr>
          <w:rFonts w:hint="eastAsia" w:ascii="仿宋" w:hAnsi="仿宋" w:eastAsia="仿宋"/>
          <w:b/>
          <w:color w:val="auto"/>
          <w:sz w:val="32"/>
          <w:szCs w:val="32"/>
          <w:highlight w:val="none"/>
        </w:rPr>
        <w:t>（一）机关运行经费支出情况</w:t>
      </w:r>
      <w:bookmarkEnd w:id="42"/>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政府办</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76.26</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增加</w:t>
      </w:r>
      <w:r>
        <w:rPr>
          <w:rFonts w:hint="eastAsia" w:ascii="仿宋_GB2312" w:eastAsia="仿宋_GB2312"/>
          <w:color w:val="auto"/>
          <w:sz w:val="32"/>
          <w:szCs w:val="32"/>
          <w:highlight w:val="none"/>
          <w:lang w:val="en-US" w:eastAsia="zh-CN"/>
        </w:rPr>
        <w:t>14.82</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24.12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办公设备购置。</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3" w:name="_Toc15377223"/>
      <w:r>
        <w:rPr>
          <w:rFonts w:hint="eastAsia" w:ascii="仿宋" w:hAnsi="仿宋" w:eastAsia="仿宋"/>
          <w:b/>
          <w:color w:val="auto"/>
          <w:sz w:val="32"/>
          <w:szCs w:val="32"/>
          <w:highlight w:val="none"/>
        </w:rPr>
        <w:t>（二）政府采购支出情况</w:t>
      </w:r>
      <w:bookmarkEnd w:id="43"/>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办公室</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7.66</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7.66</w:t>
      </w:r>
      <w:r>
        <w:rPr>
          <w:rFonts w:hint="eastAsia" w:ascii="仿宋_GB2312" w:eastAsia="仿宋_GB2312"/>
          <w:color w:val="auto"/>
          <w:sz w:val="32"/>
          <w:szCs w:val="32"/>
          <w:highlight w:val="none"/>
        </w:rPr>
        <w:t>万元。主要用于</w:t>
      </w:r>
      <w:r>
        <w:rPr>
          <w:rFonts w:hint="eastAsia" w:ascii="方正仿宋_GBK" w:eastAsia="方正仿宋_GBK"/>
          <w:color w:val="000000"/>
          <w:sz w:val="32"/>
          <w:szCs w:val="32"/>
        </w:rPr>
        <w:t>购买电脑、打印机、办公家具</w:t>
      </w:r>
      <w:r>
        <w:rPr>
          <w:rFonts w:hint="eastAsia" w:ascii="仿宋_GB2312" w:eastAsia="仿宋_GB2312"/>
          <w:color w:val="auto"/>
          <w:sz w:val="32"/>
          <w:szCs w:val="32"/>
          <w:highlight w:val="none"/>
        </w:rPr>
        <w:t>。授予中小企业合同金额</w:t>
      </w:r>
      <w:r>
        <w:rPr>
          <w:rFonts w:hint="eastAsia" w:ascii="仿宋_GB2312" w:eastAsia="仿宋_GB2312"/>
          <w:color w:val="auto"/>
          <w:sz w:val="32"/>
          <w:szCs w:val="32"/>
          <w:highlight w:val="none"/>
          <w:lang w:val="en-US" w:eastAsia="zh-CN"/>
        </w:rPr>
        <w:t>7.66</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7.66</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4" w:name="_Toc15377224"/>
      <w:r>
        <w:rPr>
          <w:rFonts w:hint="eastAsia" w:ascii="仿宋" w:hAnsi="仿宋" w:eastAsia="仿宋"/>
          <w:b/>
          <w:color w:val="auto"/>
          <w:sz w:val="32"/>
          <w:szCs w:val="32"/>
          <w:highlight w:val="none"/>
        </w:rPr>
        <w:t>（三）国有资产占有使用情况</w:t>
      </w:r>
      <w:bookmarkEnd w:id="44"/>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办公室</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辆，其中：其他用车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方正仿宋_GBK" w:eastAsia="方正仿宋_GBK"/>
          <w:color w:val="000000"/>
          <w:sz w:val="32"/>
          <w:szCs w:val="32"/>
        </w:rPr>
        <w:t>用于下乡（镇）开展工作需要</w:t>
      </w:r>
      <w:r>
        <w:rPr>
          <w:rFonts w:hint="eastAsia" w:ascii="方正仿宋_GBK" w:eastAsia="方正仿宋_GBK"/>
          <w:color w:val="000000"/>
          <w:sz w:val="32"/>
          <w:szCs w:val="32"/>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sz w:val="32"/>
          <w:szCs w:val="32"/>
        </w:rPr>
        <w:t>“脱贫攻坚工作经费”“办公室</w:t>
      </w:r>
      <w:r>
        <w:rPr>
          <w:rFonts w:hint="eastAsia" w:ascii="仿宋_GB2312" w:hAnsi="仿宋_GB2312" w:eastAsia="仿宋_GB2312" w:cs="仿宋_GB2312"/>
          <w:sz w:val="32"/>
          <w:szCs w:val="32"/>
          <w:lang w:eastAsia="zh-CN"/>
        </w:rPr>
        <w:t>专项工作</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eastAsia="zh-CN"/>
        </w:rPr>
        <w:t>、“民营经济发展中心工作经费”、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电子政务外网租赁费”、“政务公开工作经费”等9个项目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2021年特定目标类部门预算项目绩效目标自评表见附件（第四部分）</w:t>
      </w:r>
      <w:r>
        <w:rPr>
          <w:rFonts w:hint="eastAsia" w:ascii="仿宋_GB2312" w:hAnsi="仿宋_GB2312" w:eastAsia="仿宋_GB2312" w:cs="仿宋_GB2312"/>
          <w:color w:val="auto"/>
          <w:sz w:val="32"/>
          <w:szCs w:val="32"/>
          <w:highlight w:val="none"/>
        </w:rPr>
        <w:t>。</w:t>
      </w:r>
    </w:p>
    <w:p>
      <w:pPr>
        <w:pStyle w:val="15"/>
      </w:pPr>
    </w:p>
    <w:p>
      <w:pPr>
        <w:pStyle w:val="5"/>
        <w:rPr>
          <w:highlight w:val="yellow"/>
        </w:rPr>
      </w:pP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5"/>
        </w:numPr>
        <w:spacing w:line="600" w:lineRule="exact"/>
        <w:ind w:firstLine="660" w:firstLineChars="150"/>
        <w:jc w:val="center"/>
        <w:outlineLvl w:val="0"/>
        <w:rPr>
          <w:rStyle w:val="28"/>
          <w:rFonts w:ascii="黑体" w:hAnsi="黑体" w:eastAsia="黑体"/>
          <w:b w:val="0"/>
          <w:color w:val="auto"/>
          <w:highlight w:val="none"/>
        </w:rPr>
      </w:pPr>
      <w:bookmarkStart w:id="45" w:name="_Toc15396613"/>
      <w:bookmarkStart w:id="46" w:name="_Toc15377225"/>
      <w:r>
        <w:rPr>
          <w:rFonts w:hint="eastAsia" w:ascii="黑体" w:hAnsi="黑体" w:eastAsia="黑体"/>
          <w:color w:val="auto"/>
          <w:sz w:val="44"/>
          <w:szCs w:val="44"/>
          <w:highlight w:val="none"/>
        </w:rPr>
        <w:t>名</w:t>
      </w:r>
      <w:r>
        <w:rPr>
          <w:rStyle w:val="28"/>
          <w:rFonts w:hint="eastAsia" w:ascii="黑体" w:hAnsi="黑体" w:eastAsia="黑体"/>
          <w:b w:val="0"/>
          <w:color w:val="auto"/>
          <w:highlight w:val="none"/>
        </w:rPr>
        <w:t>词解释</w:t>
      </w:r>
      <w:bookmarkEnd w:id="45"/>
      <w:bookmarkEnd w:id="46"/>
    </w:p>
    <w:p>
      <w:pPr>
        <w:spacing w:line="600" w:lineRule="exact"/>
        <w:jc w:val="left"/>
        <w:rPr>
          <w:rFonts w:ascii="宋体"/>
          <w:b/>
          <w:color w:val="auto"/>
          <w:sz w:val="44"/>
          <w:szCs w:val="44"/>
          <w:highlight w:val="none"/>
        </w:rPr>
      </w:pP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hAnsi="宋体" w:eastAsia="仿宋_GB2312" w:cs="Times New Roman"/>
          <w:color w:val="auto"/>
          <w:sz w:val="32"/>
          <w:szCs w:val="32"/>
          <w:highlight w:val="none"/>
          <w:lang w:val="zh-CN"/>
        </w:rPr>
        <w:t>．</w:t>
      </w:r>
      <w:r>
        <w:rPr>
          <w:rFonts w:hint="eastAsia" w:ascii="仿宋_GB2312" w:eastAsia="仿宋_GB2312"/>
          <w:color w:val="auto"/>
          <w:sz w:val="32"/>
          <w:szCs w:val="32"/>
          <w:highlight w:val="none"/>
        </w:rPr>
        <w:t>财政拨款收入：指单位从同级财政部门取得的财政预算资金。</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hint="eastAsia" w:ascii="仿宋_GB2312" w:hAnsi="宋体" w:eastAsia="仿宋_GB2312" w:cs="Times New Roman"/>
          <w:color w:val="auto"/>
          <w:sz w:val="32"/>
          <w:szCs w:val="32"/>
          <w:highlight w:val="none"/>
          <w:lang w:val="zh-CN"/>
        </w:rPr>
        <w:t>．</w:t>
      </w:r>
      <w:r>
        <w:rPr>
          <w:rFonts w:hint="eastAsia" w:ascii="仿宋_GB2312" w:eastAsia="仿宋_GB2312"/>
          <w:color w:val="auto"/>
          <w:sz w:val="32"/>
          <w:szCs w:val="32"/>
          <w:highlight w:val="none"/>
        </w:rPr>
        <w:t>一般公共服务（类）</w:t>
      </w:r>
      <w:r>
        <w:rPr>
          <w:rFonts w:hint="eastAsia" w:ascii="仿宋_GB2312" w:eastAsia="仿宋_GB2312"/>
          <w:color w:val="auto"/>
          <w:sz w:val="32"/>
          <w:szCs w:val="32"/>
          <w:highlight w:val="none"/>
          <w:lang w:eastAsia="zh-CN"/>
        </w:rPr>
        <w:t>政</w:t>
      </w:r>
      <w:r>
        <w:rPr>
          <w:rFonts w:hint="eastAsia" w:ascii="仿宋_GB2312" w:eastAsia="仿宋_GB2312"/>
          <w:color w:val="auto"/>
          <w:sz w:val="32"/>
          <w:szCs w:val="32"/>
          <w:highlight w:val="none"/>
        </w:rPr>
        <w:t>府办公厅（室）及相关机构事务（款）行政运行（项）：指</w:t>
      </w:r>
      <w:r>
        <w:rPr>
          <w:rFonts w:hint="eastAsia" w:ascii="仿宋_GB2312" w:eastAsia="仿宋_GB2312"/>
          <w:color w:val="auto"/>
          <w:sz w:val="32"/>
          <w:szCs w:val="32"/>
          <w:highlight w:val="none"/>
          <w:lang w:eastAsia="zh-CN"/>
        </w:rPr>
        <w:t>办公室行政人员基本支出含人员经费及公用经费支出</w:t>
      </w:r>
      <w:r>
        <w:rPr>
          <w:rFonts w:hint="eastAsia" w:ascii="仿宋_GB2312" w:eastAsia="仿宋_GB2312"/>
          <w:color w:val="auto"/>
          <w:sz w:val="32"/>
          <w:szCs w:val="32"/>
          <w:highlight w:val="none"/>
        </w:rPr>
        <w:t>。</w:t>
      </w:r>
    </w:p>
    <w:p>
      <w:pPr>
        <w:pStyle w:val="26"/>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一般公共服务（类）政府办公厅（室）及相关机构事务（款）一般行政管理事务（项）</w:t>
      </w:r>
      <w:r>
        <w:rPr>
          <w:rFonts w:hint="eastAsia" w:ascii="仿宋_GB2312" w:eastAsia="仿宋_GB2312"/>
          <w:color w:val="auto"/>
          <w:sz w:val="32"/>
          <w:szCs w:val="32"/>
          <w:highlight w:val="none"/>
          <w:lang w:eastAsia="zh-CN"/>
        </w:rPr>
        <w:t>：指办公室项目支出。</w:t>
      </w:r>
    </w:p>
    <w:p>
      <w:pPr>
        <w:pStyle w:val="26"/>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一般公共服务（类）政府办公厅（室）及相关机构事务（款）事业运行（项）</w:t>
      </w:r>
      <w:r>
        <w:rPr>
          <w:rFonts w:hint="eastAsia" w:ascii="仿宋_GB2312" w:eastAsia="仿宋_GB2312"/>
          <w:color w:val="auto"/>
          <w:sz w:val="32"/>
          <w:szCs w:val="32"/>
          <w:highlight w:val="none"/>
          <w:lang w:val="en-US" w:eastAsia="zh-CN"/>
        </w:rPr>
        <w:t>:指办公室事业人员基本支出含人员经费及公用经费支出。</w:t>
      </w:r>
    </w:p>
    <w:p>
      <w:pPr>
        <w:pStyle w:val="26"/>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社会保障和就业（类）行政事业单位养老支出（款）机关事业单位基本养老保险缴费支出（项）</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指办公室人员养老保险支出</w:t>
      </w:r>
      <w:r>
        <w:rPr>
          <w:rFonts w:hint="eastAsia" w:ascii="仿宋_GB2312" w:eastAsia="仿宋_GB2312"/>
          <w:color w:val="auto"/>
          <w:sz w:val="32"/>
          <w:szCs w:val="32"/>
          <w:highlight w:val="none"/>
        </w:rPr>
        <w:t>。</w:t>
      </w:r>
    </w:p>
    <w:p>
      <w:pPr>
        <w:pStyle w:val="26"/>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社会保障和就业（类）行政事业单位养老支出（款）机关事业单位职业年金缴费支出（项）</w:t>
      </w: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lang w:eastAsia="zh-CN"/>
        </w:rPr>
        <w:t>指办公室人员职业年金支出</w:t>
      </w:r>
      <w:r>
        <w:rPr>
          <w:rFonts w:hint="eastAsia" w:ascii="仿宋_GB2312" w:eastAsia="仿宋_GB2312"/>
          <w:color w:val="auto"/>
          <w:sz w:val="32"/>
          <w:szCs w:val="32"/>
          <w:highlight w:val="none"/>
        </w:rPr>
        <w:t>。</w:t>
      </w:r>
    </w:p>
    <w:p>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社会保障和就业（类）其他社会保障和就业支出（款）其他社会保障和就业支出（项）</w:t>
      </w: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lang w:eastAsia="zh-CN"/>
        </w:rPr>
        <w:t>指办公室人员工伤保险及失业保险支出</w:t>
      </w:r>
      <w:r>
        <w:rPr>
          <w:rFonts w:hint="eastAsia" w:ascii="仿宋_GB2312" w:eastAsia="仿宋_GB2312"/>
          <w:color w:val="auto"/>
          <w:sz w:val="32"/>
          <w:szCs w:val="32"/>
          <w:highlight w:val="none"/>
        </w:rPr>
        <w:t>。</w:t>
      </w:r>
    </w:p>
    <w:p>
      <w:pPr>
        <w:pStyle w:val="26"/>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lang w:val="zh-CN"/>
        </w:rPr>
        <w:t>．</w:t>
      </w:r>
      <w:r>
        <w:rPr>
          <w:rFonts w:hint="eastAsia" w:ascii="仿宋_GB2312" w:eastAsia="仿宋_GB2312"/>
          <w:color w:val="auto"/>
          <w:sz w:val="32"/>
          <w:szCs w:val="32"/>
          <w:highlight w:val="none"/>
        </w:rPr>
        <w:t>卫生健康（类）行政事业单位医疗（款）行政单位医疗（项）</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指办公室人员医疗保险支出</w:t>
      </w:r>
      <w:r>
        <w:rPr>
          <w:rFonts w:hint="eastAsia" w:ascii="仿宋_GB2312" w:eastAsia="仿宋_GB2312"/>
          <w:color w:val="auto"/>
          <w:sz w:val="32"/>
          <w:szCs w:val="32"/>
          <w:highlight w:val="none"/>
        </w:rPr>
        <w:t>。</w:t>
      </w:r>
    </w:p>
    <w:p>
      <w:pPr>
        <w:pStyle w:val="26"/>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lang w:val="zh-CN"/>
        </w:rPr>
        <w:t>．</w:t>
      </w:r>
      <w:r>
        <w:rPr>
          <w:rFonts w:hint="eastAsia" w:ascii="仿宋_GB2312" w:eastAsia="仿宋_GB2312"/>
          <w:color w:val="auto"/>
          <w:sz w:val="32"/>
          <w:szCs w:val="32"/>
          <w:highlight w:val="none"/>
        </w:rPr>
        <w:t>农林水支出（类）扶贫（款）其他扶贫支出（项）</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指乡村振兴工作支出</w:t>
      </w:r>
      <w:r>
        <w:rPr>
          <w:rFonts w:hint="eastAsia" w:ascii="仿宋_GB2312" w:eastAsia="仿宋_GB2312"/>
          <w:color w:val="auto"/>
          <w:sz w:val="32"/>
          <w:szCs w:val="32"/>
          <w:highlight w:val="none"/>
        </w:rPr>
        <w:t>。</w:t>
      </w:r>
    </w:p>
    <w:p>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lang w:val="zh-CN"/>
        </w:rPr>
        <w:t>．住房保障支出</w:t>
      </w:r>
      <w:r>
        <w:rPr>
          <w:rFonts w:hint="eastAsia" w:ascii="仿宋_GB2312" w:eastAsia="仿宋_GB2312"/>
          <w:color w:val="auto"/>
          <w:sz w:val="32"/>
          <w:szCs w:val="32"/>
          <w:highlight w:val="none"/>
        </w:rPr>
        <w:t>（类）住房改革支出（款</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住房公积金（项）</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指办公室人员住房公积金支出</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hint="eastAsia" w:ascii="仿宋_GB2312" w:hAnsi="宋体" w:eastAsia="仿宋_GB2312" w:cs="Times New Roman"/>
          <w:color w:val="auto"/>
          <w:sz w:val="32"/>
          <w:szCs w:val="32"/>
          <w:highlight w:val="none"/>
          <w:lang w:val="zh-CN"/>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hint="eastAsia" w:ascii="仿宋_GB2312" w:hAnsi="宋体" w:eastAsia="仿宋_GB2312" w:cs="Times New Roman"/>
          <w:color w:val="auto"/>
          <w:sz w:val="32"/>
          <w:szCs w:val="32"/>
          <w:highlight w:val="none"/>
          <w:lang w:val="zh-CN"/>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hint="eastAsia" w:ascii="仿宋_GB2312" w:hAnsi="宋体" w:eastAsia="仿宋_GB2312" w:cs="Times New Roman"/>
          <w:color w:val="auto"/>
          <w:sz w:val="32"/>
          <w:szCs w:val="32"/>
          <w:highlight w:val="none"/>
          <w:lang w:val="zh-CN"/>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hint="eastAsia" w:ascii="仿宋_GB2312" w:hAnsi="宋体" w:eastAsia="仿宋_GB2312" w:cs="Times New Roman"/>
          <w:color w:val="auto"/>
          <w:sz w:val="32"/>
          <w:szCs w:val="32"/>
          <w:highlight w:val="none"/>
          <w:lang w:val="zh-CN"/>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6"/>
        <w:spacing w:line="560" w:lineRule="exact"/>
        <w:ind w:firstLine="640" w:firstLineChars="200"/>
        <w:rPr>
          <w:rFonts w:ascii="仿宋_GB2312" w:eastAsia="仿宋_GB2312" w:cs="黑体"/>
          <w:color w:val="auto"/>
          <w:sz w:val="32"/>
          <w:szCs w:val="32"/>
          <w:highlight w:val="none"/>
        </w:rPr>
      </w:pPr>
    </w:p>
    <w:p>
      <w:pPr>
        <w:spacing w:line="600" w:lineRule="exact"/>
        <w:jc w:val="center"/>
        <w:outlineLvl w:val="0"/>
        <w:rPr>
          <w:rStyle w:val="28"/>
          <w:rFonts w:ascii="黑体" w:hAnsi="黑体" w:eastAsia="黑体"/>
          <w:b w:val="0"/>
          <w:color w:val="auto"/>
          <w:highlight w:val="none"/>
        </w:rPr>
      </w:pPr>
      <w:bookmarkStart w:id="47" w:name="_Toc15377226"/>
      <w:r>
        <w:rPr>
          <w:rFonts w:ascii="宋体"/>
          <w:b/>
          <w:color w:val="auto"/>
          <w:sz w:val="44"/>
          <w:szCs w:val="44"/>
          <w:highlight w:val="none"/>
        </w:rPr>
        <w:br w:type="page"/>
      </w:r>
      <w:bookmarkStart w:id="48" w:name="_Toc15396614"/>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四部分 附件</w:t>
      </w:r>
      <w:bookmarkEnd w:id="48"/>
    </w:p>
    <w:p>
      <w:pPr>
        <w:spacing w:line="600" w:lineRule="exact"/>
        <w:jc w:val="center"/>
        <w:rPr>
          <w:rFonts w:ascii="方正小标宋简体" w:hAnsi="宋体" w:eastAsia="方正小标宋简体"/>
          <w:color w:val="000000"/>
          <w:kern w:val="0"/>
          <w:sz w:val="40"/>
          <w:szCs w:val="44"/>
          <w:lang w:val="zh-CN"/>
        </w:rPr>
      </w:pPr>
      <w:bookmarkStart w:id="49" w:name="_Toc15396618"/>
      <w:r>
        <w:rPr>
          <w:rFonts w:hint="eastAsia" w:ascii="方正小标宋简体" w:hAnsi="宋体" w:eastAsia="方正小标宋简体"/>
          <w:color w:val="000000"/>
          <w:kern w:val="0"/>
          <w:sz w:val="40"/>
          <w:szCs w:val="44"/>
        </w:rPr>
        <w:t>朝天区人民政府办公室</w:t>
      </w:r>
      <w:r>
        <w:rPr>
          <w:rFonts w:ascii="方正小标宋简体" w:hAnsi="宋体" w:eastAsia="方正小标宋简体"/>
          <w:color w:val="000000"/>
          <w:kern w:val="0"/>
          <w:sz w:val="40"/>
          <w:szCs w:val="44"/>
        </w:rPr>
        <w:t>202</w:t>
      </w:r>
      <w:r>
        <w:rPr>
          <w:rFonts w:hint="eastAsia" w:ascii="方正小标宋简体" w:hAnsi="宋体" w:eastAsia="方正小标宋简体"/>
          <w:color w:val="000000"/>
          <w:kern w:val="0"/>
          <w:sz w:val="40"/>
          <w:szCs w:val="44"/>
          <w:lang w:val="en-US" w:eastAsia="zh-CN"/>
        </w:rPr>
        <w:t>1</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w:t>
      </w: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zh-CN"/>
        </w:rPr>
        <w:t>绩效评价报告</w:t>
      </w:r>
    </w:p>
    <w:p>
      <w:pPr>
        <w:widowControl/>
        <w:spacing w:line="580" w:lineRule="exact"/>
        <w:ind w:firstLine="1920" w:firstLineChars="600"/>
        <w:contextualSpacing/>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spacing w:line="580" w:lineRule="exact"/>
        <w:ind w:firstLine="640" w:firstLineChars="200"/>
        <w:rPr>
          <w:rFonts w:ascii="方正楷体_GBK" w:hAnsi="仿宋" w:eastAsia="方正楷体_GBK" w:cs="仿宋_GB2312"/>
          <w:sz w:val="32"/>
          <w:szCs w:val="32"/>
        </w:rPr>
      </w:pPr>
      <w:r>
        <w:rPr>
          <w:rFonts w:hint="eastAsia" w:ascii="方正楷体_GBK" w:hAnsi="仿宋" w:eastAsia="方正楷体_GBK" w:cs="仿宋_GB2312"/>
          <w:sz w:val="32"/>
          <w:szCs w:val="32"/>
        </w:rPr>
        <w:t>（一）机构组成。</w:t>
      </w:r>
    </w:p>
    <w:p>
      <w:pPr>
        <w:spacing w:line="580" w:lineRule="exact"/>
        <w:ind w:firstLine="600" w:firstLineChars="200"/>
        <w:rPr>
          <w:rFonts w:ascii="仿宋" w:hAnsi="仿宋" w:eastAsia="仿宋" w:cs="仿宋_GB2312"/>
          <w:sz w:val="32"/>
          <w:szCs w:val="32"/>
        </w:rPr>
      </w:pPr>
      <w:r>
        <w:rPr>
          <w:rFonts w:hint="eastAsia" w:ascii="方正仿宋_GBK" w:eastAsia="方正仿宋_GBK"/>
          <w:sz w:val="30"/>
          <w:szCs w:val="30"/>
        </w:rPr>
        <w:t>内设综合科、秘书科、信息科、目标管理科、行政科、政工人事科、安全保卫科</w:t>
      </w:r>
      <w:r>
        <w:rPr>
          <w:rFonts w:hint="eastAsia" w:ascii="仿宋" w:hAnsi="仿宋" w:eastAsia="仿宋" w:cs="仿宋_GB2312"/>
          <w:sz w:val="32"/>
          <w:szCs w:val="32"/>
        </w:rPr>
        <w:t>。</w:t>
      </w:r>
    </w:p>
    <w:p>
      <w:pPr>
        <w:spacing w:line="580" w:lineRule="exact"/>
        <w:ind w:firstLine="640" w:firstLineChars="200"/>
        <w:rPr>
          <w:rFonts w:ascii="方正楷体_GBK" w:hAnsi="仿宋" w:eastAsia="方正楷体_GBK" w:cs="仿宋_GB2312"/>
          <w:sz w:val="32"/>
          <w:szCs w:val="32"/>
        </w:rPr>
      </w:pPr>
      <w:r>
        <w:rPr>
          <w:rFonts w:hint="eastAsia" w:ascii="方正楷体_GBK" w:hAnsi="仿宋" w:eastAsia="方正楷体_GBK" w:cs="仿宋_GB2312"/>
          <w:sz w:val="32"/>
          <w:szCs w:val="32"/>
        </w:rPr>
        <w:t>（二）机构职能。</w:t>
      </w:r>
    </w:p>
    <w:p>
      <w:pPr>
        <w:spacing w:line="580" w:lineRule="exact"/>
        <w:ind w:firstLine="600" w:firstLineChars="200"/>
        <w:rPr>
          <w:rFonts w:ascii="方正仿宋_GBK" w:eastAsia="方正仿宋_GBK"/>
          <w:sz w:val="30"/>
          <w:szCs w:val="30"/>
        </w:rPr>
      </w:pPr>
      <w:r>
        <w:rPr>
          <w:rFonts w:hint="eastAsia" w:ascii="方正仿宋_GBK" w:eastAsia="方正仿宋_GBK"/>
          <w:sz w:val="30"/>
          <w:szCs w:val="30"/>
        </w:rPr>
        <w:t>负责起草审核区政府各类公文、接收办理上三级文件、指导全区行政机关公文处理工作；负责区政府各类会议的组织召开；督促检查部门乡镇对区政府决定事项的贯彻落实情况；负责政务信息工作；组织办理人大政协各类议案提案工作；围绕政府中心工作组织专题调研并提出政策性建议；指导全区应急管理工作、协助各类突发事件处置工作。</w:t>
      </w:r>
    </w:p>
    <w:p>
      <w:pPr>
        <w:spacing w:line="580" w:lineRule="exact"/>
        <w:ind w:firstLine="640" w:firstLineChars="200"/>
        <w:rPr>
          <w:rFonts w:ascii="方正楷体_GBK" w:hAnsi="仿宋" w:eastAsia="方正楷体_GBK" w:cs="仿宋_GB2312"/>
          <w:sz w:val="32"/>
          <w:szCs w:val="32"/>
        </w:rPr>
      </w:pPr>
      <w:r>
        <w:rPr>
          <w:rFonts w:hint="eastAsia" w:ascii="方正楷体_GBK" w:hAnsi="仿宋" w:eastAsia="方正楷体_GBK" w:cs="仿宋_GB2312"/>
          <w:sz w:val="32"/>
          <w:szCs w:val="32"/>
        </w:rPr>
        <w:t>（三）人员概况</w:t>
      </w:r>
    </w:p>
    <w:p>
      <w:pPr>
        <w:spacing w:line="240" w:lineRule="auto"/>
        <w:ind w:firstLine="600" w:firstLineChars="200"/>
        <w:rPr>
          <w:rFonts w:hint="eastAsia" w:ascii="方正仿宋_GBK" w:eastAsia="方正仿宋_GBK"/>
          <w:sz w:val="30"/>
          <w:szCs w:val="30"/>
          <w:u w:val="none"/>
        </w:rPr>
      </w:pPr>
      <w:r>
        <w:rPr>
          <w:rFonts w:hint="eastAsia" w:ascii="方正仿宋_GBK" w:eastAsia="方正仿宋_GBK"/>
          <w:sz w:val="30"/>
          <w:szCs w:val="30"/>
          <w:u w:val="none"/>
        </w:rPr>
        <w:t>办公室现有人员编制47个，其中行政编制21人，事业编制</w:t>
      </w:r>
      <w:r>
        <w:rPr>
          <w:rFonts w:hint="eastAsia" w:ascii="方正仿宋_GBK" w:eastAsia="方正仿宋_GBK"/>
          <w:sz w:val="30"/>
          <w:szCs w:val="30"/>
          <w:u w:val="none"/>
          <w:lang w:val="en-US" w:eastAsia="zh-CN"/>
        </w:rPr>
        <w:t>18</w:t>
      </w:r>
      <w:r>
        <w:rPr>
          <w:rFonts w:hint="eastAsia" w:ascii="方正仿宋_GBK" w:eastAsia="方正仿宋_GBK"/>
          <w:sz w:val="30"/>
          <w:szCs w:val="30"/>
          <w:u w:val="none"/>
        </w:rPr>
        <w:t>个，机关工勤编制2人。遗嘱生活补助1人。内设政府督查室、综合科、秘书科、信息科、目标管理科、行政科、政工人事科、安全保卫科8个职能科室。 202</w:t>
      </w:r>
      <w:r>
        <w:rPr>
          <w:rFonts w:hint="eastAsia" w:ascii="方正仿宋_GBK" w:eastAsia="方正仿宋_GBK"/>
          <w:sz w:val="30"/>
          <w:szCs w:val="30"/>
          <w:u w:val="none"/>
          <w:lang w:val="en-US" w:eastAsia="zh-CN"/>
        </w:rPr>
        <w:t>1</w:t>
      </w:r>
      <w:r>
        <w:rPr>
          <w:rFonts w:hint="eastAsia" w:ascii="方正仿宋_GBK" w:eastAsia="方正仿宋_GBK"/>
          <w:sz w:val="30"/>
          <w:szCs w:val="30"/>
          <w:u w:val="none"/>
        </w:rPr>
        <w:t>年末共有在职干部职工</w:t>
      </w:r>
      <w:r>
        <w:rPr>
          <w:rFonts w:hint="eastAsia" w:ascii="方正仿宋_GBK" w:eastAsia="方正仿宋_GBK"/>
          <w:sz w:val="30"/>
          <w:szCs w:val="30"/>
          <w:u w:val="none"/>
          <w:lang w:val="en-US" w:eastAsia="zh-CN"/>
        </w:rPr>
        <w:t>67</w:t>
      </w:r>
      <w:r>
        <w:rPr>
          <w:rFonts w:hint="eastAsia" w:ascii="方正仿宋_GBK" w:eastAsia="方正仿宋_GBK"/>
          <w:sz w:val="30"/>
          <w:szCs w:val="30"/>
          <w:u w:val="none"/>
        </w:rPr>
        <w:t>人，其中在编在职工作人员45人，中国国机集团下派副县级区长1人，浙江台州下派副县级区长1人，浙江台州下派办公室副主任1人，借用18人，大学生志愿者1人。年内因工作原因调出1人。</w:t>
      </w:r>
    </w:p>
    <w:p>
      <w:pPr>
        <w:spacing w:line="580" w:lineRule="exact"/>
        <w:ind w:firstLine="640" w:firstLineChars="200"/>
        <w:rPr>
          <w:rFonts w:ascii="方正楷体_GBK" w:hAnsi="仿宋" w:eastAsia="方正楷体_GBK" w:cs="仿宋_GB2312"/>
          <w:sz w:val="32"/>
          <w:szCs w:val="32"/>
        </w:rPr>
      </w:pPr>
      <w:r>
        <w:rPr>
          <w:rFonts w:hint="eastAsia" w:ascii="黑体" w:hAnsi="宋体" w:eastAsia="黑体" w:cs="宋体"/>
          <w:color w:val="000000"/>
          <w:kern w:val="0"/>
          <w:sz w:val="32"/>
          <w:szCs w:val="32"/>
          <w:shd w:val="clear" w:color="auto" w:fill="FFFFFF"/>
        </w:rPr>
        <w:t>二、部门财政资金收支情况</w:t>
      </w:r>
    </w:p>
    <w:p>
      <w:pPr>
        <w:spacing w:line="580" w:lineRule="exact"/>
        <w:ind w:firstLine="640" w:firstLineChars="200"/>
        <w:rPr>
          <w:rFonts w:ascii="方正楷体_GBK" w:hAnsi="仿宋" w:eastAsia="方正楷体_GBK" w:cs="仿宋_GB2312"/>
          <w:sz w:val="32"/>
          <w:szCs w:val="32"/>
        </w:rPr>
      </w:pPr>
      <w:r>
        <w:rPr>
          <w:rFonts w:hint="eastAsia" w:ascii="方正楷体_GBK" w:hAnsi="仿宋" w:eastAsia="方正楷体_GBK" w:cs="仿宋_GB2312"/>
          <w:sz w:val="32"/>
          <w:szCs w:val="32"/>
        </w:rPr>
        <w:t>（一）部门财政资金收入情况。</w:t>
      </w:r>
    </w:p>
    <w:p>
      <w:pPr>
        <w:spacing w:line="600" w:lineRule="exact"/>
        <w:ind w:firstLine="600" w:firstLineChars="200"/>
        <w:rPr>
          <w:rFonts w:ascii="方正仿宋_GBK" w:eastAsia="方正仿宋_GBK"/>
          <w:sz w:val="30"/>
          <w:szCs w:val="30"/>
        </w:rPr>
      </w:pPr>
      <w:r>
        <w:rPr>
          <w:rFonts w:ascii="方正仿宋_GBK" w:eastAsia="方正仿宋_GBK"/>
          <w:sz w:val="30"/>
          <w:szCs w:val="30"/>
        </w:rPr>
        <w:t>202</w:t>
      </w:r>
      <w:r>
        <w:rPr>
          <w:rFonts w:hint="eastAsia" w:ascii="方正仿宋_GBK" w:eastAsia="方正仿宋_GBK"/>
          <w:sz w:val="30"/>
          <w:szCs w:val="30"/>
          <w:lang w:val="en-US" w:eastAsia="zh-CN"/>
        </w:rPr>
        <w:t>1</w:t>
      </w:r>
      <w:r>
        <w:rPr>
          <w:rFonts w:hint="eastAsia" w:ascii="方正仿宋_GBK" w:eastAsia="方正仿宋_GBK"/>
          <w:sz w:val="30"/>
          <w:szCs w:val="30"/>
        </w:rPr>
        <w:t>年本年收入合计</w:t>
      </w:r>
      <w:r>
        <w:rPr>
          <w:rFonts w:hint="eastAsia" w:ascii="仿宋" w:hAnsi="仿宋" w:eastAsia="仿宋"/>
          <w:color w:val="auto"/>
          <w:sz w:val="36"/>
          <w:szCs w:val="36"/>
          <w:highlight w:val="none"/>
          <w:lang w:val="en-US" w:eastAsia="zh-CN"/>
        </w:rPr>
        <w:t>911.26</w:t>
      </w:r>
      <w:r>
        <w:rPr>
          <w:rFonts w:hint="eastAsia" w:ascii="方正仿宋_GBK" w:eastAsia="方正仿宋_GBK"/>
          <w:sz w:val="30"/>
          <w:szCs w:val="30"/>
        </w:rPr>
        <w:t>万元，其中：一般公共预算财政拨款收入</w:t>
      </w:r>
      <w:r>
        <w:rPr>
          <w:rFonts w:hint="eastAsia" w:ascii="方正仿宋_GBK" w:eastAsia="方正仿宋_GBK"/>
          <w:sz w:val="30"/>
          <w:szCs w:val="30"/>
          <w:lang w:val="en-US" w:eastAsia="zh-CN"/>
        </w:rPr>
        <w:t>911.26</w:t>
      </w:r>
      <w:r>
        <w:rPr>
          <w:rFonts w:hint="eastAsia" w:ascii="方正仿宋_GBK" w:eastAsia="方正仿宋_GBK"/>
          <w:sz w:val="30"/>
          <w:szCs w:val="30"/>
        </w:rPr>
        <w:t>万元，占</w:t>
      </w:r>
      <w:r>
        <w:rPr>
          <w:rFonts w:ascii="方正仿宋_GBK" w:eastAsia="方正仿宋_GBK"/>
          <w:sz w:val="30"/>
          <w:szCs w:val="30"/>
        </w:rPr>
        <w:t>100%</w:t>
      </w:r>
      <w:r>
        <w:rPr>
          <w:rFonts w:hint="eastAsia" w:ascii="方正仿宋_GBK" w:eastAsia="方正仿宋_GBK"/>
          <w:sz w:val="30"/>
          <w:szCs w:val="30"/>
        </w:rPr>
        <w:t>；</w:t>
      </w:r>
    </w:p>
    <w:p>
      <w:pPr>
        <w:spacing w:line="580" w:lineRule="exact"/>
        <w:ind w:firstLine="640" w:firstLineChars="200"/>
        <w:rPr>
          <w:rFonts w:ascii="方正楷体_GBK" w:hAnsi="仿宋" w:eastAsia="方正楷体_GBK" w:cs="仿宋_GB2312"/>
          <w:sz w:val="32"/>
          <w:szCs w:val="32"/>
        </w:rPr>
      </w:pPr>
      <w:r>
        <w:rPr>
          <w:rFonts w:hint="eastAsia" w:ascii="方正楷体_GBK" w:hAnsi="仿宋" w:eastAsia="方正楷体_GBK" w:cs="仿宋_GB2312"/>
          <w:sz w:val="32"/>
          <w:szCs w:val="32"/>
        </w:rPr>
        <w:t>（二）部门财政资金支出情况。</w:t>
      </w:r>
    </w:p>
    <w:p>
      <w:pPr>
        <w:spacing w:line="600" w:lineRule="exact"/>
        <w:ind w:firstLine="600" w:firstLineChars="200"/>
        <w:rPr>
          <w:rFonts w:ascii="方正仿宋_GBK" w:eastAsia="方正仿宋_GBK"/>
          <w:sz w:val="30"/>
          <w:szCs w:val="30"/>
        </w:rPr>
      </w:pPr>
      <w:r>
        <w:rPr>
          <w:rFonts w:ascii="方正仿宋_GBK" w:eastAsia="方正仿宋_GBK"/>
          <w:sz w:val="30"/>
          <w:szCs w:val="30"/>
        </w:rPr>
        <w:t>2020</w:t>
      </w:r>
      <w:r>
        <w:rPr>
          <w:rFonts w:hint="eastAsia" w:ascii="方正仿宋_GBK" w:eastAsia="方正仿宋_GBK"/>
          <w:sz w:val="30"/>
          <w:szCs w:val="30"/>
        </w:rPr>
        <w:t>年本年支出合计</w:t>
      </w:r>
      <w:r>
        <w:rPr>
          <w:rFonts w:hint="eastAsia" w:ascii="方正仿宋_GBK" w:eastAsia="方正仿宋_GBK"/>
          <w:sz w:val="30"/>
          <w:szCs w:val="30"/>
          <w:lang w:val="en-US" w:eastAsia="zh-CN"/>
        </w:rPr>
        <w:t>911.26</w:t>
      </w:r>
      <w:r>
        <w:rPr>
          <w:rFonts w:hint="eastAsia" w:ascii="方正仿宋_GBK" w:eastAsia="方正仿宋_GBK"/>
          <w:sz w:val="30"/>
          <w:szCs w:val="30"/>
        </w:rPr>
        <w:t>万元，其中：</w:t>
      </w:r>
      <w:r>
        <w:rPr>
          <w:rFonts w:hint="eastAsia" w:ascii="仿宋" w:hAnsi="仿宋" w:eastAsia="仿宋"/>
          <w:color w:val="auto"/>
          <w:sz w:val="32"/>
          <w:szCs w:val="32"/>
          <w:highlight w:val="none"/>
        </w:rPr>
        <w:t>基本支出</w:t>
      </w:r>
      <w:r>
        <w:rPr>
          <w:rFonts w:hint="eastAsia" w:ascii="仿宋" w:hAnsi="仿宋" w:eastAsia="仿宋"/>
          <w:color w:val="auto"/>
          <w:sz w:val="32"/>
          <w:szCs w:val="32"/>
          <w:highlight w:val="none"/>
          <w:lang w:val="en-US" w:eastAsia="zh-CN"/>
        </w:rPr>
        <w:t>711.13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78.04</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200.13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21.96</w:t>
      </w:r>
      <w:r>
        <w:rPr>
          <w:rFonts w:ascii="仿宋" w:hAnsi="仿宋" w:eastAsia="仿宋"/>
          <w:color w:val="auto"/>
          <w:sz w:val="32"/>
          <w:szCs w:val="32"/>
          <w:highlight w:val="none"/>
        </w:rPr>
        <w:t>%</w:t>
      </w:r>
      <w:r>
        <w:rPr>
          <w:rFonts w:hint="eastAsia" w:ascii="方正仿宋_GBK" w:eastAsia="方正仿宋_GBK"/>
          <w:sz w:val="30"/>
          <w:szCs w:val="30"/>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spacing w:line="580" w:lineRule="exact"/>
        <w:ind w:firstLine="640" w:firstLineChars="200"/>
        <w:rPr>
          <w:rFonts w:ascii="方正楷体_GBK" w:hAnsi="仿宋" w:eastAsia="方正楷体_GBK" w:cs="仿宋_GB2312"/>
          <w:sz w:val="32"/>
          <w:szCs w:val="32"/>
        </w:rPr>
      </w:pPr>
      <w:r>
        <w:rPr>
          <w:rFonts w:hint="eastAsia" w:ascii="方正楷体_GBK" w:hAnsi="仿宋" w:eastAsia="方正楷体_GBK" w:cs="仿宋_GB2312"/>
          <w:sz w:val="32"/>
          <w:szCs w:val="32"/>
        </w:rPr>
        <w:t>（一）部门预算管理。</w:t>
      </w:r>
    </w:p>
    <w:p>
      <w:pPr>
        <w:spacing w:line="580" w:lineRule="exact"/>
        <w:ind w:firstLine="750" w:firstLineChars="250"/>
        <w:rPr>
          <w:rFonts w:ascii="仿宋" w:hAnsi="仿宋" w:eastAsia="仿宋" w:cs="仿宋_GB2312"/>
          <w:sz w:val="32"/>
          <w:szCs w:val="32"/>
        </w:rPr>
      </w:pPr>
      <w:r>
        <w:rPr>
          <w:rFonts w:hint="eastAsia" w:ascii="方正仿宋_GBK" w:eastAsia="方正仿宋_GBK"/>
          <w:sz w:val="30"/>
          <w:szCs w:val="30"/>
        </w:rPr>
        <w:t>严格执行国家《预算法》、《会计法》、《政府会计准则》、《行政单位会计制度》等规定，并结合单位情况制定了《财会管理制度》，单位内控制度完整，包含了预算资金管理、内部财务管理、会计核算等方面。相关管理制度总体上得到有效执行，基本支出、项目支出符合国家财经法规、财务管理制度规定，符合预算批复的用途；重大项目支出按规定经过评估论证；各项支出和资金拨付有完整的审批程序和手续；资金使用过程中无截留、挤占、挪用、虚列支出等情况。单位已按照规定时限和内容公开了预、决算；财务核算信息及预、决算编制所依据的会计基础信息准确、完整。</w:t>
      </w:r>
    </w:p>
    <w:p>
      <w:pPr>
        <w:spacing w:line="580" w:lineRule="exact"/>
        <w:ind w:firstLine="640" w:firstLineChars="200"/>
        <w:rPr>
          <w:rFonts w:ascii="方正楷体_GBK" w:hAnsi="仿宋" w:eastAsia="方正楷体_GBK" w:cs="仿宋_GB2312"/>
          <w:sz w:val="32"/>
          <w:szCs w:val="32"/>
        </w:rPr>
      </w:pPr>
      <w:r>
        <w:rPr>
          <w:rFonts w:hint="eastAsia" w:ascii="方正楷体_GBK" w:hAnsi="仿宋" w:eastAsia="方正楷体_GBK" w:cs="仿宋_GB2312"/>
          <w:sz w:val="32"/>
          <w:szCs w:val="32"/>
        </w:rPr>
        <w:t>（二）专项预算管理。</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一是进一步完善专项资金管理制度。认真贯彻执行《会计法》与《预算法》完善财政补助结构，减少专项补助比例，提高财力性补助，促进预算的规范和效益。</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二是进一步加强专项资金的管理监督。对专项资金的使用单位应进行严格审核，减少或避免“先安排资金，后论证项目”等盲目预算的现象出现。</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三是健全内控机制，确保专款专用。单位要认真审查项目相关资料，根据项目进度及时拨付资金，避免资金闲置、截留。</w:t>
      </w:r>
    </w:p>
    <w:p>
      <w:pPr>
        <w:spacing w:line="580" w:lineRule="exact"/>
        <w:ind w:firstLine="640" w:firstLineChars="200"/>
        <w:rPr>
          <w:rFonts w:ascii="方正楷体_GBK" w:hAnsi="仿宋" w:eastAsia="方正楷体_GBK" w:cs="仿宋_GB2312"/>
          <w:sz w:val="32"/>
          <w:szCs w:val="32"/>
        </w:rPr>
      </w:pPr>
      <w:r>
        <w:rPr>
          <w:rFonts w:hint="eastAsia" w:ascii="方正楷体_GBK" w:hAnsi="仿宋" w:eastAsia="方正楷体_GBK" w:cs="仿宋_GB2312"/>
          <w:sz w:val="32"/>
          <w:szCs w:val="32"/>
        </w:rPr>
        <w:t>（三）结果应用情况。</w:t>
      </w:r>
    </w:p>
    <w:p>
      <w:pPr>
        <w:spacing w:line="600" w:lineRule="exact"/>
        <w:ind w:firstLine="600" w:firstLineChars="200"/>
        <w:rPr>
          <w:rFonts w:ascii="方正仿宋_GBK" w:eastAsia="方正仿宋_GBK"/>
          <w:sz w:val="30"/>
          <w:szCs w:val="30"/>
        </w:rPr>
      </w:pPr>
      <w:r>
        <w:rPr>
          <w:rFonts w:ascii="方正仿宋_GBK" w:eastAsia="方正仿宋_GBK"/>
          <w:sz w:val="30"/>
          <w:szCs w:val="30"/>
        </w:rPr>
        <w:t>1</w:t>
      </w:r>
      <w:r>
        <w:rPr>
          <w:rFonts w:hint="eastAsia" w:ascii="方正仿宋_GBK" w:eastAsia="方正仿宋_GBK"/>
          <w:sz w:val="30"/>
          <w:szCs w:val="30"/>
        </w:rPr>
        <w:t>、评价结果作为改进预算管理和安排以后年度预算的重要依据。同时，根据绩效自评情况，不断补充完善绩效评价指标。</w:t>
      </w:r>
    </w:p>
    <w:p>
      <w:pPr>
        <w:spacing w:line="600" w:lineRule="exact"/>
        <w:ind w:firstLine="600" w:firstLineChars="200"/>
        <w:rPr>
          <w:rFonts w:ascii="方正仿宋_GBK" w:eastAsia="方正仿宋_GBK"/>
          <w:sz w:val="30"/>
          <w:szCs w:val="30"/>
        </w:rPr>
      </w:pPr>
      <w:r>
        <w:rPr>
          <w:rFonts w:ascii="方正仿宋_GBK" w:eastAsia="方正仿宋_GBK"/>
          <w:sz w:val="30"/>
          <w:szCs w:val="30"/>
        </w:rPr>
        <w:t>2</w:t>
      </w:r>
      <w:r>
        <w:rPr>
          <w:rFonts w:hint="eastAsia" w:ascii="方正仿宋_GBK" w:eastAsia="方正仿宋_GBK"/>
          <w:sz w:val="30"/>
          <w:szCs w:val="30"/>
        </w:rPr>
        <w:t>、规范财务管理，提高财务信息质量。严格按照《预算法》、《会计法》、《行政单位会计制度》等规定，结合实际情况，严格执行单位经费支出审批程序，加强财务管理制度，确保财务信息完整性、真实性。</w:t>
      </w:r>
    </w:p>
    <w:p>
      <w:pPr>
        <w:spacing w:line="600" w:lineRule="exact"/>
        <w:ind w:firstLine="600" w:firstLineChars="200"/>
        <w:rPr>
          <w:rFonts w:ascii="方正仿宋_GBK" w:eastAsia="方正仿宋_GBK"/>
          <w:sz w:val="30"/>
          <w:szCs w:val="30"/>
        </w:rPr>
      </w:pPr>
      <w:r>
        <w:rPr>
          <w:rFonts w:ascii="方正仿宋_GBK" w:eastAsia="方正仿宋_GBK"/>
          <w:sz w:val="30"/>
          <w:szCs w:val="30"/>
        </w:rPr>
        <w:t>3</w:t>
      </w:r>
      <w:r>
        <w:rPr>
          <w:rFonts w:hint="eastAsia" w:ascii="方正仿宋_GBK" w:eastAsia="方正仿宋_GBK"/>
          <w:sz w:val="30"/>
          <w:szCs w:val="30"/>
        </w:rPr>
        <w:t>、加强预算的控制力，细化预算编制工作。进一步加强部门预算管理意识，严格遵守预算编制的相关制度和要求，公用经费根据单位的年度工作重点和项目专项工作规划，本着“厉行节约、保障运转”的原则进行单位预算编制。杜绝一切超预算开支的情况发生，进一步提高预算编制的科学性、有效性，严谨性和可控性。</w:t>
      </w:r>
    </w:p>
    <w:p>
      <w:pPr>
        <w:spacing w:line="600" w:lineRule="exact"/>
        <w:ind w:firstLine="600" w:firstLineChars="200"/>
        <w:rPr>
          <w:rFonts w:ascii="黑体" w:eastAsia="黑体"/>
          <w:sz w:val="30"/>
          <w:szCs w:val="30"/>
        </w:rPr>
      </w:pPr>
      <w:r>
        <w:rPr>
          <w:rFonts w:hint="eastAsia" w:ascii="黑体" w:eastAsia="黑体"/>
          <w:sz w:val="30"/>
          <w:szCs w:val="30"/>
        </w:rPr>
        <w:t>四、评价结论及建议</w:t>
      </w:r>
    </w:p>
    <w:p>
      <w:pPr>
        <w:spacing w:line="580" w:lineRule="exact"/>
        <w:ind w:firstLine="640" w:firstLineChars="200"/>
        <w:rPr>
          <w:rFonts w:ascii="方正楷体_GBK" w:hAnsi="仿宋" w:eastAsia="方正楷体_GBK" w:cs="仿宋_GB2312"/>
          <w:sz w:val="32"/>
          <w:szCs w:val="32"/>
        </w:rPr>
      </w:pPr>
      <w:r>
        <w:rPr>
          <w:rFonts w:hint="eastAsia" w:ascii="方正楷体_GBK" w:hAnsi="仿宋" w:eastAsia="方正楷体_GBK" w:cs="仿宋_GB2312"/>
          <w:sz w:val="32"/>
          <w:szCs w:val="32"/>
        </w:rPr>
        <w:t>（一）评价结论。</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此次开展部门整体支出及项目支出绩效自评，主要是为了对</w:t>
      </w:r>
      <w:r>
        <w:rPr>
          <w:rFonts w:ascii="方正仿宋_GBK" w:eastAsia="方正仿宋_GBK"/>
          <w:sz w:val="30"/>
          <w:szCs w:val="30"/>
        </w:rPr>
        <w:t>202</w:t>
      </w:r>
      <w:r>
        <w:rPr>
          <w:rFonts w:hint="eastAsia" w:ascii="方正仿宋_GBK" w:eastAsia="方正仿宋_GBK"/>
          <w:sz w:val="30"/>
          <w:szCs w:val="30"/>
          <w:lang w:val="en-US" w:eastAsia="zh-CN"/>
        </w:rPr>
        <w:t>1</w:t>
      </w:r>
      <w:r>
        <w:rPr>
          <w:rFonts w:hint="eastAsia" w:ascii="方正仿宋_GBK" w:eastAsia="方正仿宋_GBK"/>
          <w:sz w:val="30"/>
          <w:szCs w:val="30"/>
        </w:rPr>
        <w:t>年工作绩效目标、资金使用情况、工作项目实施管理情况进行自检自查，以了解资金使用是否有效并达到预期目标，资金管理是否规范，通过检验资金支出效率和效果，分析存在问题及原因，及时总结经验，改进单位服务管理水平，落实绩效管理责任，完善工作机制，提高财政资金使用效益。</w:t>
      </w:r>
    </w:p>
    <w:p>
      <w:pPr>
        <w:spacing w:line="580" w:lineRule="exact"/>
        <w:ind w:firstLine="640" w:firstLineChars="200"/>
        <w:rPr>
          <w:rFonts w:ascii="方正楷体_GBK" w:hAnsi="仿宋" w:eastAsia="方正楷体_GBK" w:cs="仿宋_GB2312"/>
          <w:sz w:val="32"/>
          <w:szCs w:val="32"/>
        </w:rPr>
      </w:pPr>
      <w:r>
        <w:rPr>
          <w:rFonts w:hint="eastAsia" w:ascii="方正楷体_GBK" w:hAnsi="仿宋" w:eastAsia="方正楷体_GBK" w:cs="仿宋_GB2312"/>
          <w:sz w:val="32"/>
          <w:szCs w:val="32"/>
        </w:rPr>
        <w:t>（二）存在问题。</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绩效目标设立不够明确、细化和量化。</w:t>
      </w:r>
    </w:p>
    <w:p>
      <w:pPr>
        <w:spacing w:line="580" w:lineRule="exact"/>
        <w:ind w:firstLine="640" w:firstLineChars="200"/>
        <w:rPr>
          <w:rFonts w:ascii="方正楷体_GBK" w:hAnsi="仿宋" w:eastAsia="方正楷体_GBK" w:cs="仿宋_GB2312"/>
          <w:sz w:val="32"/>
          <w:szCs w:val="32"/>
        </w:rPr>
      </w:pPr>
      <w:r>
        <w:rPr>
          <w:rFonts w:hint="eastAsia" w:ascii="方正楷体_GBK" w:hAnsi="仿宋" w:eastAsia="方正楷体_GBK" w:cs="仿宋_GB2312"/>
          <w:sz w:val="32"/>
          <w:szCs w:val="32"/>
        </w:rPr>
        <w:t>（三）改进建议。</w:t>
      </w:r>
    </w:p>
    <w:p>
      <w:pPr>
        <w:spacing w:line="600" w:lineRule="exact"/>
        <w:ind w:firstLine="600" w:firstLineChars="200"/>
        <w:rPr>
          <w:rFonts w:ascii="方正仿宋_GBK" w:eastAsia="方正仿宋_GBK"/>
          <w:sz w:val="30"/>
          <w:szCs w:val="30"/>
        </w:rPr>
      </w:pPr>
      <w:r>
        <w:rPr>
          <w:rFonts w:ascii="方正仿宋_GBK" w:eastAsia="方正仿宋_GBK"/>
          <w:sz w:val="30"/>
          <w:szCs w:val="30"/>
        </w:rPr>
        <w:t>1</w:t>
      </w:r>
      <w:r>
        <w:rPr>
          <w:rFonts w:hint="eastAsia" w:ascii="方正仿宋_GBK" w:eastAsia="方正仿宋_GBK"/>
          <w:sz w:val="30"/>
          <w:szCs w:val="30"/>
        </w:rPr>
        <w:t>、细化预算编制工作，认真做好预算的编制。进一步加强单位内部机构各科室的预算管理意识，严格按照预算编制的相关制度和要求，本着“勤俭节约、保障运转”的原则进行预算编制；编制范围尽可能的全面，不漏项；在预算编制时首先需满足固定性的、相对刚性的费用支出项目，尽量压缩变动性的、有控制空间的费用项目；进一步提高预算编制的科学性、合理性、严谨性和可控性。</w:t>
      </w:r>
    </w:p>
    <w:p>
      <w:pPr>
        <w:spacing w:line="600" w:lineRule="exact"/>
        <w:ind w:firstLine="600" w:firstLineChars="200"/>
        <w:rPr>
          <w:rFonts w:ascii="方正仿宋_GBK" w:eastAsia="方正仿宋_GBK"/>
          <w:sz w:val="30"/>
          <w:szCs w:val="30"/>
        </w:rPr>
      </w:pPr>
      <w:r>
        <w:rPr>
          <w:rFonts w:ascii="方正仿宋_GBK" w:eastAsia="方正仿宋_GBK"/>
          <w:sz w:val="30"/>
          <w:szCs w:val="30"/>
        </w:rPr>
        <w:t>2</w:t>
      </w:r>
      <w:r>
        <w:rPr>
          <w:rFonts w:hint="eastAsia" w:ascii="方正仿宋_GBK" w:eastAsia="方正仿宋_GBK"/>
          <w:sz w:val="30"/>
          <w:szCs w:val="30"/>
        </w:rPr>
        <w:t>、加强财务管理，严格财务审核。在费用报账时，按照预算规定的费用项目和用途进行资金使用的审核，严格按照费用的使用用途列报，同时严格费用支出内容进行财务核算，预算金额内严格控制费用的支出。</w:t>
      </w:r>
    </w:p>
    <w:p>
      <w:pPr>
        <w:spacing w:line="600" w:lineRule="exact"/>
        <w:ind w:firstLine="600" w:firstLineChars="200"/>
        <w:rPr>
          <w:rFonts w:ascii="方正仿宋_GBK" w:eastAsia="方正仿宋_GBK"/>
          <w:sz w:val="30"/>
          <w:szCs w:val="30"/>
        </w:rPr>
      </w:pPr>
      <w:r>
        <w:rPr>
          <w:rFonts w:ascii="方正仿宋_GBK" w:eastAsia="方正仿宋_GBK"/>
          <w:sz w:val="30"/>
          <w:szCs w:val="30"/>
        </w:rPr>
        <w:t>3</w:t>
      </w:r>
      <w:r>
        <w:rPr>
          <w:rFonts w:hint="eastAsia" w:ascii="方正仿宋_GBK" w:eastAsia="方正仿宋_GBK"/>
          <w:sz w:val="30"/>
          <w:szCs w:val="30"/>
        </w:rPr>
        <w:t>、遵循预算管理原则。按照程序预算调整追加，逐级申报；结余资金调整用途的按照预算调整追加程序逐级申报报批，做到资金支付、预算先行，确保资金使用按照预算项目和使用用途执行。</w:t>
      </w:r>
    </w:p>
    <w:p>
      <w:pPr>
        <w:spacing w:line="600" w:lineRule="exact"/>
        <w:ind w:firstLine="600" w:firstLineChars="200"/>
        <w:rPr>
          <w:rFonts w:ascii="方正仿宋_GBK" w:eastAsia="方正仿宋_GBK"/>
          <w:sz w:val="30"/>
          <w:szCs w:val="30"/>
        </w:rPr>
      </w:pPr>
      <w:r>
        <w:rPr>
          <w:rFonts w:ascii="方正仿宋_GBK" w:eastAsia="方正仿宋_GBK"/>
          <w:sz w:val="30"/>
          <w:szCs w:val="30"/>
        </w:rPr>
        <w:t>4</w:t>
      </w:r>
      <w:r>
        <w:rPr>
          <w:rFonts w:hint="eastAsia" w:ascii="方正仿宋_GBK" w:eastAsia="方正仿宋_GBK"/>
          <w:sz w:val="30"/>
          <w:szCs w:val="30"/>
        </w:rPr>
        <w:t>、进一步严控“三公经费”支出，严控“三公经费”的规模和比例及“三公经费”支出的审核审批流程，进一步细化“三公经费”的管理。</w:t>
      </w:r>
    </w:p>
    <w:p>
      <w:pPr>
        <w:spacing w:line="600" w:lineRule="exact"/>
        <w:ind w:firstLine="600" w:firstLineChars="200"/>
        <w:rPr>
          <w:rFonts w:ascii="方正仿宋_GBK" w:eastAsia="方正仿宋_GBK"/>
          <w:sz w:val="30"/>
          <w:szCs w:val="30"/>
        </w:rPr>
      </w:pPr>
    </w:p>
    <w:p>
      <w:pPr>
        <w:spacing w:line="580" w:lineRule="exact"/>
        <w:ind w:firstLine="640" w:firstLineChars="200"/>
        <w:rPr>
          <w:rFonts w:ascii="仿宋_GB2312" w:hAnsi="仿宋_GB2312" w:eastAsia="仿宋_GB2312" w:cs="仿宋_GB2312"/>
          <w:sz w:val="32"/>
          <w:szCs w:val="32"/>
        </w:rPr>
      </w:pPr>
    </w:p>
    <w:p>
      <w:pPr>
        <w:pStyle w:val="15"/>
        <w:ind w:firstLine="640"/>
        <w:rPr>
          <w:rFonts w:ascii="仿宋_GB2312" w:cs="仿宋_GB2312"/>
          <w:szCs w:val="32"/>
        </w:rPr>
      </w:pPr>
    </w:p>
    <w:p>
      <w:pPr>
        <w:rPr>
          <w:rFonts w:ascii="仿宋_GB2312" w:hAnsi="仿宋_GB2312" w:eastAsia="仿宋_GB2312" w:cs="仿宋_GB2312"/>
          <w:sz w:val="32"/>
          <w:szCs w:val="32"/>
        </w:rPr>
      </w:pPr>
    </w:p>
    <w:p>
      <w:pPr>
        <w:pStyle w:val="15"/>
        <w:ind w:firstLine="640"/>
        <w:rPr>
          <w:rFonts w:ascii="仿宋_GB2312" w:cs="仿宋_GB2312"/>
          <w:szCs w:val="32"/>
        </w:rPr>
      </w:pPr>
    </w:p>
    <w:p>
      <w:pPr>
        <w:rPr>
          <w:rFonts w:ascii="仿宋_GB2312" w:hAnsi="仿宋_GB2312" w:eastAsia="仿宋_GB2312" w:cs="仿宋_GB2312"/>
          <w:sz w:val="32"/>
          <w:szCs w:val="32"/>
        </w:rPr>
      </w:pPr>
    </w:p>
    <w:p>
      <w:pPr>
        <w:pStyle w:val="15"/>
        <w:ind w:firstLine="640"/>
        <w:rPr>
          <w:rFonts w:ascii="仿宋_GB2312" w:cs="仿宋_GB2312"/>
          <w:szCs w:val="32"/>
        </w:rPr>
      </w:pPr>
    </w:p>
    <w:p>
      <w:pPr>
        <w:rPr>
          <w:rFonts w:ascii="仿宋_GB2312" w:hAnsi="仿宋_GB2312" w:eastAsia="仿宋_GB2312" w:cs="仿宋_GB2312"/>
          <w:sz w:val="32"/>
          <w:szCs w:val="32"/>
        </w:rPr>
      </w:pPr>
    </w:p>
    <w:p>
      <w:pPr>
        <w:pStyle w:val="15"/>
        <w:ind w:firstLine="640"/>
        <w:rPr>
          <w:rFonts w:ascii="仿宋_GB2312" w:cs="仿宋_GB2312"/>
          <w:szCs w:val="32"/>
        </w:rPr>
      </w:pPr>
    </w:p>
    <w:p>
      <w:pPr>
        <w:rPr>
          <w:rFonts w:ascii="仿宋_GB2312" w:hAnsi="仿宋_GB2312" w:eastAsia="仿宋_GB2312" w:cs="仿宋_GB2312"/>
          <w:sz w:val="32"/>
          <w:szCs w:val="32"/>
        </w:rPr>
      </w:pPr>
    </w:p>
    <w:p>
      <w:pPr>
        <w:pStyle w:val="15"/>
        <w:ind w:firstLine="640"/>
        <w:rPr>
          <w:rFonts w:ascii="仿宋_GB2312" w:cs="仿宋_GB2312"/>
          <w:szCs w:val="32"/>
        </w:rPr>
      </w:pPr>
    </w:p>
    <w:p>
      <w:pPr>
        <w:rPr>
          <w:rFonts w:ascii="仿宋_GB2312" w:hAnsi="仿宋_GB2312" w:eastAsia="仿宋_GB2312" w:cs="仿宋_GB2312"/>
          <w:sz w:val="32"/>
          <w:szCs w:val="32"/>
        </w:rPr>
      </w:pPr>
    </w:p>
    <w:p>
      <w:pPr>
        <w:pStyle w:val="15"/>
        <w:ind w:firstLine="640"/>
        <w:rPr>
          <w:rFonts w:ascii="仿宋_GB2312" w:cs="仿宋_GB2312"/>
          <w:szCs w:val="32"/>
        </w:rPr>
      </w:pPr>
    </w:p>
    <w:p>
      <w:pPr>
        <w:rPr>
          <w:rFonts w:ascii="仿宋_GB2312" w:hAnsi="仿宋_GB2312" w:eastAsia="仿宋_GB2312" w:cs="仿宋_GB2312"/>
          <w:sz w:val="32"/>
          <w:szCs w:val="32"/>
        </w:rPr>
      </w:pPr>
    </w:p>
    <w:p>
      <w:pPr>
        <w:pStyle w:val="15"/>
        <w:ind w:firstLine="640"/>
        <w:rPr>
          <w:rFonts w:ascii="仿宋_GB2312" w:cs="仿宋_GB2312"/>
          <w:szCs w:val="32"/>
        </w:rPr>
      </w:pPr>
    </w:p>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pStyle w:val="15"/>
        <w:rPr>
          <w:rFonts w:ascii="黑体" w:hAnsi="黑体" w:eastAsia="黑体" w:cs="黑体"/>
          <w:sz w:val="32"/>
          <w:szCs w:val="32"/>
        </w:rPr>
      </w:pPr>
    </w:p>
    <w:p>
      <w:pPr>
        <w:rPr>
          <w:rFonts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autoSpaceDE w:val="0"/>
        <w:spacing w:line="540" w:lineRule="exact"/>
        <w:jc w:val="cente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1</w:t>
      </w:r>
      <w:r>
        <w:rPr>
          <w:rFonts w:hint="eastAsia" w:ascii="方正大标宋简体" w:hAnsi="??" w:eastAsia="方正大标宋简体" w:cs="Times New Roman"/>
          <w:b/>
          <w:color w:val="000000"/>
          <w:spacing w:val="-6"/>
          <w:kern w:val="0"/>
          <w:sz w:val="44"/>
          <w:szCs w:val="44"/>
        </w:rPr>
        <w:t>年</w:t>
      </w:r>
      <w:r>
        <w:rPr>
          <w:rFonts w:hint="eastAsia" w:ascii="方正大标宋简体" w:hAnsi="??" w:eastAsia="方正大标宋简体" w:cs="Times New Roman"/>
          <w:b/>
          <w:color w:val="000000"/>
          <w:spacing w:val="-6"/>
          <w:kern w:val="0"/>
          <w:sz w:val="44"/>
          <w:szCs w:val="44"/>
          <w:lang w:eastAsia="zh-CN"/>
        </w:rPr>
        <w:t>办公室专项工作经费</w:t>
      </w:r>
      <w:r>
        <w:rPr>
          <w:rFonts w:hint="eastAsia" w:ascii="方正大标宋简体" w:hAnsi="??" w:eastAsia="方正大标宋简体" w:cs="Times New Roman"/>
          <w:b/>
          <w:color w:val="000000"/>
          <w:spacing w:val="-6"/>
          <w:kern w:val="0"/>
          <w:sz w:val="44"/>
          <w:szCs w:val="44"/>
        </w:rPr>
        <w:t>支出绩效评价</w:t>
      </w:r>
    </w:p>
    <w:p>
      <w:pPr>
        <w:autoSpaceDE w:val="0"/>
        <w:spacing w:line="540" w:lineRule="exact"/>
        <w:jc w:val="cente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报告</w:t>
      </w:r>
    </w:p>
    <w:p>
      <w:pPr>
        <w:rPr>
          <w:rFonts w:hint="eastAsia" w:ascii="仿宋" w:hAnsi="仿宋" w:eastAsia="仿宋"/>
          <w:b/>
          <w:sz w:val="32"/>
          <w:szCs w:val="32"/>
        </w:rPr>
      </w:pPr>
    </w:p>
    <w:p>
      <w:pPr>
        <w:numPr>
          <w:ilvl w:val="0"/>
          <w:numId w:val="6"/>
        </w:num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项目概况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（一）项目基本情况：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项目立项依据：</w:t>
      </w:r>
      <w:r>
        <w:rPr>
          <w:rFonts w:hint="eastAsia" w:ascii="仿宋_GB2312" w:eastAsia="仿宋_GB2312"/>
          <w:sz w:val="32"/>
          <w:szCs w:val="32"/>
          <w:lang w:eastAsia="zh-CN"/>
        </w:rPr>
        <w:t>根据办公室日常运行开支情况</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项目实施主体：朝天区</w:t>
      </w:r>
      <w:r>
        <w:rPr>
          <w:rFonts w:hint="eastAsia" w:ascii="仿宋_GB2312" w:eastAsia="仿宋_GB2312"/>
          <w:sz w:val="32"/>
          <w:szCs w:val="32"/>
          <w:lang w:eastAsia="zh-CN"/>
        </w:rPr>
        <w:t>人民政府办公室</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项目实施计划及主要内容：涉及全区重大活动、重要会议，全力抓好统筹协调等工作。</w:t>
      </w:r>
    </w:p>
    <w:p>
      <w:pPr>
        <w:spacing w:line="560" w:lineRule="exact"/>
        <w:ind w:firstLine="640" w:firstLineChars="200"/>
        <w:rPr>
          <w:rFonts w:hint="eastAsia" w:ascii="黑体" w:eastAsia="黑体"/>
          <w:b/>
          <w:sz w:val="32"/>
          <w:szCs w:val="32"/>
        </w:rPr>
      </w:pPr>
      <w:r>
        <w:rPr>
          <w:rFonts w:hint="eastAsia" w:ascii="仿宋_GB2312" w:eastAsia="仿宋_GB2312"/>
          <w:sz w:val="32"/>
          <w:szCs w:val="32"/>
        </w:rPr>
        <w:t>（二）项目预算情况：项目资金预算（或计划）及测算</w:t>
      </w:r>
      <w:r>
        <w:rPr>
          <w:rFonts w:hint="eastAsia" w:ascii="仿宋_GB2312" w:eastAsia="仿宋_GB2312" w:cs="宋体"/>
          <w:color w:val="000000"/>
          <w:sz w:val="24"/>
          <w:lang w:eastAsia="zh-CN"/>
        </w:rPr>
        <w:t>213</w:t>
      </w:r>
      <w:r>
        <w:rPr>
          <w:rFonts w:hint="eastAsia" w:ascii="仿宋_GB2312" w:eastAsia="仿宋_GB2312" w:cs="宋体"/>
          <w:color w:val="000000"/>
          <w:sz w:val="24"/>
          <w:lang w:val="en-US" w:eastAsia="zh-CN"/>
        </w:rPr>
        <w:t>.</w:t>
      </w:r>
      <w:r>
        <w:rPr>
          <w:rFonts w:hint="eastAsia" w:ascii="仿宋_GB2312" w:eastAsia="仿宋_GB2312" w:cs="宋体"/>
          <w:color w:val="000000"/>
          <w:sz w:val="24"/>
          <w:lang w:eastAsia="zh-CN"/>
        </w:rPr>
        <w:t>9</w:t>
      </w:r>
      <w:r>
        <w:rPr>
          <w:rFonts w:hint="eastAsia" w:ascii="仿宋_GB2312" w:eastAsia="仿宋_GB2312" w:cs="宋体"/>
          <w:color w:val="000000"/>
          <w:sz w:val="24"/>
          <w:lang w:val="en-US" w:eastAsia="zh-CN"/>
        </w:rPr>
        <w:t>2</w:t>
      </w:r>
      <w:r>
        <w:rPr>
          <w:rFonts w:hint="eastAsia" w:ascii="仿宋_GB2312" w:eastAsia="仿宋_GB2312"/>
          <w:sz w:val="32"/>
          <w:szCs w:val="32"/>
        </w:rPr>
        <w:t>万元。项目预算无调整。</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二、项目资金管理情况</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（一）资金到位情况：项目资金</w:t>
      </w:r>
      <w:r>
        <w:rPr>
          <w:rFonts w:hint="eastAsia" w:ascii="仿宋_GB2312" w:hAnsi="仿宋" w:eastAsia="仿宋_GB2312"/>
          <w:sz w:val="32"/>
          <w:szCs w:val="32"/>
          <w:lang w:val="en-US" w:eastAsia="zh-CN"/>
        </w:rPr>
        <w:t>1月到12月30万元。</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（二）预算资金执行情况：截止12月31日我单位该项目支出30万元。</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（三）项目资金规范运行情况：</w:t>
      </w:r>
      <w:r>
        <w:rPr>
          <w:rFonts w:hint="eastAsia" w:ascii="仿宋_GB2312" w:hAnsi="仿宋" w:eastAsia="仿宋_GB2312"/>
          <w:sz w:val="32"/>
          <w:szCs w:val="32"/>
        </w:rPr>
        <w:t>严格执行资金使用申请程序及资金使用各项标准进行管理使用</w:t>
      </w:r>
      <w:r>
        <w:rPr>
          <w:rFonts w:hint="eastAsia" w:ascii="仿宋_GB2312" w:hAnsi="仿宋" w:eastAsia="仿宋_GB2312"/>
          <w:sz w:val="32"/>
          <w:szCs w:val="32"/>
          <w:lang w:eastAsia="zh-CN"/>
        </w:rPr>
        <w:t>。</w:t>
      </w:r>
    </w:p>
    <w:p>
      <w:pPr>
        <w:spacing w:line="560" w:lineRule="exact"/>
        <w:ind w:firstLine="640" w:firstLineChars="200"/>
        <w:rPr>
          <w:rFonts w:hint="eastAsia" w:ascii="仿宋_GB2312" w:eastAsia="仿宋_GB2312"/>
          <w:sz w:val="32"/>
          <w:szCs w:val="32"/>
        </w:rPr>
      </w:pPr>
      <w:r>
        <w:rPr>
          <w:rFonts w:hint="eastAsia" w:ascii="仿宋_GB2312" w:hAnsi="仿宋" w:eastAsia="仿宋_GB2312"/>
          <w:sz w:val="32"/>
          <w:szCs w:val="32"/>
          <w:lang w:eastAsia="zh-CN"/>
        </w:rPr>
        <w:t>（四）财务管理情况：</w:t>
      </w:r>
      <w:r>
        <w:rPr>
          <w:rFonts w:ascii="仿宋_GB2312" w:hAnsi="仿宋" w:eastAsia="仿宋_GB2312"/>
          <w:sz w:val="32"/>
          <w:szCs w:val="32"/>
        </w:rPr>
        <w:t>我办</w:t>
      </w:r>
      <w:r>
        <w:rPr>
          <w:rFonts w:hint="eastAsia" w:ascii="仿宋_GB2312" w:hAnsi="仿宋" w:eastAsia="仿宋_GB2312"/>
          <w:sz w:val="32"/>
          <w:szCs w:val="32"/>
        </w:rPr>
        <w:t>按照财务管理制度</w:t>
      </w:r>
      <w:r>
        <w:rPr>
          <w:rFonts w:hint="eastAsia" w:ascii="仿宋_GB2312" w:hAnsi="仿宋" w:eastAsia="仿宋_GB2312"/>
          <w:sz w:val="32"/>
          <w:szCs w:val="32"/>
          <w:lang w:eastAsia="zh-CN"/>
        </w:rPr>
        <w:t>健全</w:t>
      </w:r>
      <w:r>
        <w:rPr>
          <w:rFonts w:hint="eastAsia" w:ascii="仿宋_GB2312" w:hAnsi="仿宋" w:eastAsia="仿宋_GB2312"/>
          <w:sz w:val="32"/>
          <w:szCs w:val="32"/>
        </w:rPr>
        <w:t>，</w:t>
      </w:r>
      <w:r>
        <w:rPr>
          <w:rFonts w:hint="eastAsia" w:ascii="仿宋_GB2312" w:hAnsi="仿宋" w:eastAsia="仿宋_GB2312"/>
          <w:sz w:val="32"/>
          <w:szCs w:val="32"/>
          <w:lang w:eastAsia="zh-CN"/>
        </w:rPr>
        <w:t>管理规范，会计规范核算财务处理，</w:t>
      </w:r>
      <w:r>
        <w:rPr>
          <w:rFonts w:hint="eastAsia" w:ascii="仿宋_GB2312" w:hAnsi="仿宋" w:eastAsia="仿宋_GB2312"/>
          <w:sz w:val="32"/>
          <w:szCs w:val="32"/>
        </w:rPr>
        <w:t>最大化发挥了项目资金的综合效益。</w:t>
      </w:r>
    </w:p>
    <w:p>
      <w:pPr>
        <w:spacing w:line="560" w:lineRule="exact"/>
        <w:ind w:firstLine="640" w:firstLineChars="200"/>
        <w:rPr>
          <w:rFonts w:hint="eastAsia" w:ascii="仿宋" w:hAnsi="仿宋" w:eastAsia="仿宋"/>
          <w:sz w:val="32"/>
          <w:szCs w:val="32"/>
        </w:rPr>
      </w:pPr>
      <w:r>
        <w:rPr>
          <w:rFonts w:hint="eastAsia" w:ascii="黑体" w:hAnsi="黑体" w:eastAsia="黑体"/>
          <w:sz w:val="32"/>
          <w:szCs w:val="32"/>
          <w:lang w:eastAsia="zh-CN"/>
        </w:rPr>
        <w:t>三</w:t>
      </w:r>
      <w:r>
        <w:rPr>
          <w:rFonts w:hint="eastAsia" w:ascii="黑体" w:hAnsi="黑体" w:eastAsia="黑体"/>
          <w:sz w:val="32"/>
          <w:szCs w:val="32"/>
        </w:rPr>
        <w:t>、项目组织实施情况</w:t>
      </w:r>
    </w:p>
    <w:p>
      <w:pPr>
        <w:spacing w:line="560" w:lineRule="exact"/>
        <w:ind w:firstLine="660"/>
        <w:rPr>
          <w:rFonts w:hint="eastAsia" w:ascii="仿宋_GB2312" w:hAnsi="仿宋" w:eastAsia="仿宋_GB2312"/>
          <w:sz w:val="32"/>
          <w:szCs w:val="32"/>
          <w:lang w:eastAsia="zh-CN"/>
        </w:rPr>
      </w:pPr>
      <w:r>
        <w:rPr>
          <w:rFonts w:hint="eastAsia" w:ascii="仿宋_GB2312" w:hAnsi="仿宋" w:eastAsia="仿宋_GB2312"/>
          <w:sz w:val="32"/>
          <w:szCs w:val="32"/>
          <w:lang w:eastAsia="zh-CN"/>
        </w:rPr>
        <w:t>（一）项目组织机关与职责落实情况：项目由办公室组织实施，由专班专人负责落实。</w:t>
      </w:r>
    </w:p>
    <w:p>
      <w:pPr>
        <w:spacing w:line="560" w:lineRule="exact"/>
        <w:ind w:firstLine="660"/>
        <w:rPr>
          <w:rFonts w:ascii="仿宋_GB2312" w:hAnsi="仿宋" w:eastAsia="仿宋_GB2312"/>
          <w:sz w:val="32"/>
          <w:szCs w:val="32"/>
        </w:rPr>
      </w:pPr>
      <w:r>
        <w:rPr>
          <w:rFonts w:hint="eastAsia" w:ascii="仿宋_GB2312" w:hAnsi="仿宋" w:eastAsia="仿宋_GB2312"/>
          <w:sz w:val="32"/>
          <w:szCs w:val="32"/>
          <w:lang w:eastAsia="zh-CN"/>
        </w:rPr>
        <w:t>（二）项目管理制度建设情况：严格按照办公室相关的</w:t>
      </w:r>
      <w:r>
        <w:rPr>
          <w:rFonts w:ascii="仿宋_GB2312" w:hAnsi="仿宋" w:eastAsia="仿宋_GB2312"/>
          <w:sz w:val="32"/>
          <w:szCs w:val="32"/>
        </w:rPr>
        <w:t>工作职责</w:t>
      </w:r>
      <w:r>
        <w:rPr>
          <w:rFonts w:hint="eastAsia" w:ascii="仿宋_GB2312" w:hAnsi="仿宋" w:eastAsia="仿宋_GB2312"/>
          <w:sz w:val="32"/>
          <w:szCs w:val="32"/>
          <w:lang w:eastAsia="zh-CN"/>
        </w:rPr>
        <w:t>开展工作</w:t>
      </w:r>
      <w:r>
        <w:rPr>
          <w:rFonts w:ascii="仿宋_GB2312" w:hAnsi="仿宋" w:eastAsia="仿宋_GB2312"/>
          <w:sz w:val="32"/>
          <w:szCs w:val="32"/>
        </w:rPr>
        <w:t>。</w:t>
      </w:r>
    </w:p>
    <w:p>
      <w:pPr>
        <w:spacing w:line="560" w:lineRule="exact"/>
        <w:ind w:firstLine="660"/>
        <w:rPr>
          <w:rFonts w:hint="eastAsia" w:ascii="仿宋_GB2312" w:hAnsi="仿宋" w:eastAsia="仿宋_GB2312"/>
          <w:sz w:val="32"/>
          <w:szCs w:val="32"/>
          <w:lang w:eastAsia="zh-CN"/>
        </w:rPr>
      </w:pPr>
      <w:r>
        <w:rPr>
          <w:rFonts w:hint="eastAsia" w:ascii="仿宋_GB2312" w:hAnsi="仿宋" w:eastAsia="仿宋_GB2312"/>
          <w:sz w:val="32"/>
          <w:szCs w:val="32"/>
          <w:lang w:eastAsia="zh-CN"/>
        </w:rPr>
        <w:t>（三）项目组织管理落实情况：</w:t>
      </w:r>
      <w:r>
        <w:rPr>
          <w:rFonts w:ascii="仿宋_GB2312" w:hAnsi="仿宋" w:eastAsia="仿宋_GB2312"/>
          <w:sz w:val="32"/>
          <w:szCs w:val="32"/>
        </w:rPr>
        <w:t>单位明确了专门机构和人员负责项目</w:t>
      </w:r>
      <w:r>
        <w:rPr>
          <w:rFonts w:hint="eastAsia" w:ascii="仿宋_GB2312" w:hAnsi="仿宋" w:eastAsia="仿宋_GB2312"/>
          <w:sz w:val="32"/>
          <w:szCs w:val="32"/>
          <w:lang w:eastAsia="zh-CN"/>
        </w:rPr>
        <w:t>实施</w:t>
      </w:r>
      <w:r>
        <w:rPr>
          <w:rFonts w:ascii="仿宋_GB2312" w:hAnsi="仿宋" w:eastAsia="仿宋_GB2312"/>
          <w:sz w:val="32"/>
          <w:szCs w:val="32"/>
        </w:rPr>
        <w:t>，统筹安排、协调处理相关事宜。</w:t>
      </w:r>
    </w:p>
    <w:p>
      <w:pPr>
        <w:spacing w:line="560" w:lineRule="exact"/>
        <w:ind w:firstLine="640" w:firstLineChars="200"/>
        <w:rPr>
          <w:rFonts w:hint="eastAsia" w:ascii="黑体" w:hAnsi="黑体" w:eastAsia="黑体"/>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项目绩效情况</w:t>
      </w:r>
    </w:p>
    <w:p>
      <w:pPr>
        <w:spacing w:line="560" w:lineRule="exact"/>
        <w:ind w:firstLine="660"/>
        <w:rPr>
          <w:rFonts w:hint="eastAsia" w:ascii="仿宋_GB2312" w:hAnsi="仿宋" w:eastAsia="仿宋_GB2312"/>
          <w:sz w:val="32"/>
          <w:szCs w:val="32"/>
          <w:lang w:eastAsia="zh-CN"/>
        </w:rPr>
      </w:pPr>
      <w:r>
        <w:rPr>
          <w:rFonts w:hint="eastAsia" w:ascii="仿宋_GB2312" w:hAnsi="仿宋" w:eastAsia="仿宋_GB2312"/>
          <w:sz w:val="32"/>
          <w:szCs w:val="32"/>
          <w:lang w:eastAsia="zh-CN"/>
        </w:rPr>
        <w:t>保障</w:t>
      </w:r>
      <w:r>
        <w:rPr>
          <w:rFonts w:hint="eastAsia" w:ascii="仿宋_GB2312" w:hAnsi="仿宋" w:eastAsia="仿宋_GB2312"/>
          <w:sz w:val="32"/>
          <w:szCs w:val="32"/>
        </w:rPr>
        <w:t>各项工作顺利推进，全面完成了省、市级主管部门、区委、区政府交办的各项事项</w:t>
      </w:r>
      <w:r>
        <w:rPr>
          <w:rFonts w:hint="eastAsia" w:ascii="仿宋_GB2312" w:hAnsi="仿宋" w:eastAsia="仿宋_GB2312"/>
          <w:sz w:val="32"/>
          <w:szCs w:val="32"/>
          <w:lang w:eastAsia="zh-CN"/>
        </w:rPr>
        <w:t>。</w:t>
      </w:r>
    </w:p>
    <w:p>
      <w:pPr>
        <w:autoSpaceDE w:val="0"/>
        <w:spacing w:line="576" w:lineRule="exact"/>
        <w:rPr>
          <w:rFonts w:hint="eastAsia" w:ascii="仿宋_GB2312" w:hAnsi="Times New Roman" w:eastAsia="仿宋_GB2312" w:cs="Times New Roman"/>
          <w:sz w:val="32"/>
          <w:szCs w:val="32"/>
          <w:lang w:val="en-US" w:eastAsia="zh-CN"/>
        </w:rPr>
      </w:pPr>
    </w:p>
    <w:p>
      <w:pPr>
        <w:pStyle w:val="15"/>
        <w:rPr>
          <w:rFonts w:hint="eastAsia" w:ascii="仿宋_GB2312" w:hAnsi="Times New Roman" w:eastAsia="仿宋_GB2312" w:cs="Times New Roman"/>
          <w:sz w:val="32"/>
          <w:szCs w:val="32"/>
          <w:lang w:val="en-US" w:eastAsia="zh-CN"/>
        </w:rPr>
      </w:pPr>
    </w:p>
    <w:p>
      <w:pPr>
        <w:rPr>
          <w:rFonts w:hint="eastAsia" w:ascii="仿宋_GB2312" w:hAnsi="Times New Roman" w:eastAsia="仿宋_GB2312" w:cs="Times New Roman"/>
          <w:sz w:val="32"/>
          <w:szCs w:val="32"/>
          <w:lang w:val="en-US" w:eastAsia="zh-CN"/>
        </w:rPr>
      </w:pPr>
    </w:p>
    <w:p>
      <w:pPr>
        <w:pStyle w:val="15"/>
        <w:rPr>
          <w:rFonts w:hint="eastAsia" w:ascii="仿宋_GB2312" w:hAnsi="Times New Roman" w:eastAsia="仿宋_GB2312" w:cs="Times New Roman"/>
          <w:sz w:val="32"/>
          <w:szCs w:val="32"/>
          <w:lang w:val="en-US" w:eastAsia="zh-CN"/>
        </w:rPr>
      </w:pPr>
    </w:p>
    <w:p>
      <w:pPr>
        <w:rPr>
          <w:rFonts w:hint="eastAsia" w:ascii="仿宋_GB2312" w:hAnsi="Times New Roman" w:eastAsia="仿宋_GB2312" w:cs="Times New Roman"/>
          <w:sz w:val="32"/>
          <w:szCs w:val="32"/>
          <w:lang w:val="en-US" w:eastAsia="zh-CN"/>
        </w:rPr>
      </w:pPr>
    </w:p>
    <w:p>
      <w:pPr>
        <w:pStyle w:val="15"/>
        <w:rPr>
          <w:rFonts w:hint="eastAsia" w:ascii="仿宋_GB2312" w:hAnsi="Times New Roman" w:eastAsia="仿宋_GB2312" w:cs="Times New Roman"/>
          <w:sz w:val="32"/>
          <w:szCs w:val="32"/>
          <w:lang w:val="en-US" w:eastAsia="zh-CN"/>
        </w:rPr>
      </w:pPr>
    </w:p>
    <w:p>
      <w:pPr>
        <w:rPr>
          <w:rFonts w:hint="eastAsia" w:ascii="仿宋_GB2312" w:hAnsi="Times New Roman" w:eastAsia="仿宋_GB2312" w:cs="Times New Roman"/>
          <w:sz w:val="32"/>
          <w:szCs w:val="32"/>
          <w:lang w:val="en-US" w:eastAsia="zh-CN"/>
        </w:rPr>
      </w:pPr>
    </w:p>
    <w:p>
      <w:pPr>
        <w:pStyle w:val="15"/>
        <w:rPr>
          <w:rFonts w:hint="eastAsia" w:ascii="仿宋_GB2312" w:hAnsi="Times New Roman" w:eastAsia="仿宋_GB2312" w:cs="Times New Roman"/>
          <w:sz w:val="32"/>
          <w:szCs w:val="32"/>
          <w:lang w:val="en-US" w:eastAsia="zh-CN"/>
        </w:rPr>
      </w:pPr>
    </w:p>
    <w:p>
      <w:pPr>
        <w:rPr>
          <w:rFonts w:hint="eastAsia" w:ascii="仿宋_GB2312" w:hAnsi="Times New Roman" w:eastAsia="仿宋_GB2312" w:cs="Times New Roman"/>
          <w:sz w:val="32"/>
          <w:szCs w:val="32"/>
          <w:lang w:val="en-US" w:eastAsia="zh-CN"/>
        </w:rPr>
      </w:pPr>
    </w:p>
    <w:p>
      <w:pPr>
        <w:pStyle w:val="15"/>
        <w:rPr>
          <w:rFonts w:hint="eastAsia"/>
          <w:lang w:val="en-US" w:eastAsia="zh-CN"/>
        </w:rPr>
      </w:pPr>
    </w:p>
    <w:p>
      <w:pPr>
        <w:pStyle w:val="15"/>
        <w:rPr>
          <w:rFonts w:hint="eastAsia" w:ascii="仿宋_GB2312" w:hAnsi="Times New Roman" w:eastAsia="仿宋_GB2312" w:cs="Times New Roman"/>
          <w:sz w:val="32"/>
          <w:szCs w:val="32"/>
          <w:lang w:val="en-US" w:eastAsia="zh-CN"/>
        </w:rPr>
      </w:pPr>
    </w:p>
    <w:p>
      <w:pPr>
        <w:rPr>
          <w:rFonts w:hint="eastAsia" w:ascii="仿宋_GB2312" w:hAnsi="Times New Roman" w:eastAsia="仿宋_GB2312" w:cs="Times New Roman"/>
          <w:sz w:val="32"/>
          <w:szCs w:val="32"/>
          <w:lang w:val="en-US" w:eastAsia="zh-CN"/>
        </w:rPr>
      </w:pPr>
    </w:p>
    <w:p>
      <w:pPr>
        <w:pStyle w:val="15"/>
        <w:rPr>
          <w:rFonts w:hint="eastAsia"/>
          <w:lang w:val="en-US" w:eastAsia="zh-CN"/>
        </w:rPr>
      </w:pPr>
    </w:p>
    <w:p>
      <w:pPr>
        <w:pStyle w:val="15"/>
        <w:rPr>
          <w:rFonts w:hint="eastAsia"/>
          <w:lang w:val="en-US" w:eastAsia="zh-CN"/>
        </w:rPr>
      </w:pPr>
    </w:p>
    <w:tbl>
      <w:tblPr>
        <w:tblStyle w:val="16"/>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750"/>
        <w:gridCol w:w="1250"/>
        <w:gridCol w:w="782"/>
        <w:gridCol w:w="635"/>
        <w:gridCol w:w="1757"/>
        <w:gridCol w:w="2394"/>
        <w:gridCol w:w="2392"/>
      </w:tblGrid>
      <w:tr>
        <w:tblPrEx>
          <w:tblCellMar>
            <w:top w:w="0" w:type="dxa"/>
            <w:left w:w="0" w:type="dxa"/>
            <w:bottom w:w="0" w:type="dxa"/>
            <w:right w:w="0" w:type="dxa"/>
          </w:tblCellMar>
        </w:tblPrEx>
        <w:trPr>
          <w:trHeight w:val="1034" w:hRule="atLeast"/>
        </w:trPr>
        <w:tc>
          <w:tcPr>
            <w:tcW w:w="9960" w:type="dxa"/>
            <w:gridSpan w:val="7"/>
            <w:tcMar>
              <w:top w:w="15" w:type="dxa"/>
              <w:left w:w="15" w:type="dxa"/>
              <w:bottom w:w="0" w:type="dxa"/>
              <w:right w:w="15" w:type="dxa"/>
            </w:tcMar>
            <w:vAlign w:val="center"/>
          </w:tcPr>
          <w:p>
            <w:pPr>
              <w:pStyle w:val="34"/>
              <w:widowControl/>
              <w:ind w:left="4173" w:leftChars="1310" w:hanging="1422" w:hangingChars="395"/>
              <w:textAlignment w:val="center"/>
              <w:rPr>
                <w:rFonts w:hint="eastAsia" w:ascii="黑体" w:hAnsi="黑体" w:eastAsia="黑体" w:cs="宋体"/>
                <w:bCs/>
                <w:color w:val="000000"/>
                <w:kern w:val="0"/>
                <w:sz w:val="36"/>
                <w:szCs w:val="36"/>
                <w:lang w:eastAsia="zh-CN"/>
              </w:rPr>
            </w:pPr>
            <w:r>
              <w:rPr>
                <w:rFonts w:hint="eastAsia" w:ascii="黑体" w:hAnsi="黑体" w:eastAsia="黑体" w:cs="宋体"/>
                <w:bCs/>
                <w:color w:val="000000"/>
                <w:kern w:val="0"/>
                <w:sz w:val="36"/>
                <w:szCs w:val="36"/>
              </w:rPr>
              <w:t>项目支出绩效目标</w:t>
            </w:r>
            <w:r>
              <w:rPr>
                <w:rFonts w:hint="eastAsia" w:ascii="黑体" w:hAnsi="黑体" w:eastAsia="黑体" w:cs="宋体"/>
                <w:bCs/>
                <w:color w:val="000000"/>
                <w:kern w:val="0"/>
                <w:sz w:val="36"/>
                <w:szCs w:val="36"/>
                <w:lang w:eastAsia="zh-CN"/>
              </w:rPr>
              <w:t>自评</w:t>
            </w:r>
            <w:r>
              <w:rPr>
                <w:rFonts w:hint="eastAsia" w:ascii="黑体" w:hAnsi="黑体" w:eastAsia="黑体" w:cs="宋体"/>
                <w:bCs/>
                <w:color w:val="000000"/>
                <w:kern w:val="0"/>
                <w:sz w:val="36"/>
                <w:szCs w:val="36"/>
              </w:rPr>
              <w:t>表</w:t>
            </w:r>
          </w:p>
          <w:p>
            <w:pPr>
              <w:pStyle w:val="34"/>
              <w:widowControl/>
              <w:ind w:left="4187" w:leftChars="1994" w:firstLine="18" w:firstLineChars="5"/>
              <w:textAlignment w:val="center"/>
              <w:rPr>
                <w:rFonts w:ascii="宋体" w:cs="宋体"/>
                <w:color w:val="000000"/>
                <w:sz w:val="36"/>
                <w:szCs w:val="36"/>
              </w:rPr>
            </w:pPr>
            <w:r>
              <w:rPr>
                <w:rFonts w:ascii="宋体" w:hAnsi="宋体" w:cs="宋体"/>
                <w:color w:val="000000"/>
                <w:kern w:val="0"/>
                <w:sz w:val="36"/>
                <w:szCs w:val="36"/>
              </w:rPr>
              <w:t>(202</w:t>
            </w:r>
            <w:r>
              <w:rPr>
                <w:rFonts w:hint="eastAsia" w:ascii="宋体" w:hAnsi="宋体" w:cs="宋体"/>
                <w:color w:val="000000"/>
                <w:kern w:val="0"/>
                <w:sz w:val="36"/>
                <w:szCs w:val="36"/>
                <w:lang w:val="en-US" w:eastAsia="zh-CN"/>
              </w:rPr>
              <w:t>1</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eastAsia="仿宋_GB2312" w:cs="宋体"/>
                <w:color w:val="000000"/>
                <w:sz w:val="24"/>
                <w:lang w:eastAsia="zh-CN"/>
              </w:rPr>
            </w:pPr>
            <w:r>
              <w:rPr>
                <w:rFonts w:hint="eastAsia" w:ascii="仿宋_GB2312" w:eastAsia="仿宋_GB2312" w:cs="宋体"/>
                <w:color w:val="000000"/>
                <w:sz w:val="24"/>
              </w:rPr>
              <w:t>办公室</w:t>
            </w:r>
            <w:r>
              <w:rPr>
                <w:rFonts w:hint="eastAsia" w:ascii="仿宋_GB2312" w:eastAsia="仿宋_GB2312" w:cs="宋体"/>
                <w:color w:val="000000"/>
                <w:sz w:val="24"/>
                <w:lang w:eastAsia="zh-CN"/>
              </w:rPr>
              <w:t>专项工作经费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广元市朝天区人民政府办公室</w:t>
            </w:r>
          </w:p>
        </w:tc>
      </w:tr>
      <w:tr>
        <w:tblPrEx>
          <w:tblCellMar>
            <w:top w:w="0" w:type="dxa"/>
            <w:left w:w="0" w:type="dxa"/>
            <w:bottom w:w="0" w:type="dxa"/>
            <w:right w:w="0" w:type="dxa"/>
          </w:tblCellMar>
        </w:tblPrEx>
        <w:trPr>
          <w:trHeight w:val="276" w:hRule="atLeast"/>
        </w:trPr>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预算执行情况</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万元</w:t>
            </w:r>
            <w:r>
              <w:rPr>
                <w:rFonts w:ascii="仿宋_GB2312" w:hAnsi="宋体" w:eastAsia="仿宋_GB2312" w:cs="宋体"/>
                <w:color w:val="000000"/>
                <w:kern w:val="0"/>
                <w:sz w:val="24"/>
              </w:rPr>
              <w:t>)</w:t>
            </w:r>
          </w:p>
        </w:tc>
        <w:tc>
          <w:tcPr>
            <w:tcW w:w="20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预算数</w:t>
            </w:r>
            <w:r>
              <w:rPr>
                <w:rFonts w:ascii="仿宋_GB2312" w:hAnsi="宋体" w:eastAsia="仿宋_GB2312"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eastAsia="仿宋_GB2312" w:cs="宋体"/>
                <w:color w:val="000000"/>
                <w:sz w:val="24"/>
                <w:lang w:val="en-US" w:eastAsia="zh-CN"/>
              </w:rPr>
            </w:pPr>
            <w:r>
              <w:rPr>
                <w:rFonts w:hint="eastAsia" w:ascii="仿宋_GB2312" w:eastAsia="仿宋_GB2312" w:cs="宋体"/>
                <w:color w:val="000000"/>
                <w:sz w:val="24"/>
                <w:lang w:val="en-US" w:eastAsia="zh-CN"/>
              </w:rPr>
              <w:t>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执行数</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eastAsia="仿宋_GB2312" w:cs="宋体"/>
                <w:color w:val="000000"/>
                <w:sz w:val="24"/>
                <w:lang w:val="en-US" w:eastAsia="zh-CN"/>
              </w:rPr>
            </w:pPr>
            <w:r>
              <w:rPr>
                <w:rFonts w:hint="eastAsia" w:ascii="仿宋_GB2312" w:eastAsia="仿宋_GB2312" w:cs="宋体"/>
                <w:color w:val="000000"/>
                <w:sz w:val="24"/>
                <w:lang w:val="en-US" w:eastAsia="zh-CN"/>
              </w:rPr>
              <w:t>30</w:t>
            </w:r>
          </w:p>
        </w:tc>
      </w:tr>
      <w:tr>
        <w:tblPrEx>
          <w:tblCellMar>
            <w:top w:w="0" w:type="dxa"/>
            <w:left w:w="0" w:type="dxa"/>
            <w:bottom w:w="0" w:type="dxa"/>
            <w:right w:w="0" w:type="dxa"/>
          </w:tblCellMar>
        </w:tblPrEx>
        <w:trPr>
          <w:trHeight w:val="276"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20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其中</w:t>
            </w:r>
            <w:r>
              <w:rPr>
                <w:rFonts w:ascii="仿宋_GB2312" w:eastAsia="仿宋_GB2312" w:cs="宋体"/>
                <w:color w:val="000000"/>
                <w:kern w:val="0"/>
                <w:sz w:val="24"/>
              </w:rPr>
              <w:t>-</w:t>
            </w:r>
            <w:r>
              <w:rPr>
                <w:rFonts w:hint="eastAsia" w:ascii="仿宋_GB2312" w:hAnsi="宋体" w:eastAsia="仿宋_GB2312" w:cs="宋体"/>
                <w:color w:val="000000"/>
                <w:kern w:val="0"/>
                <w:sz w:val="24"/>
              </w:rPr>
              <w:t>财政拨款</w:t>
            </w:r>
            <w:r>
              <w:rPr>
                <w:rFonts w:ascii="仿宋_GB2312" w:hAnsi="宋体" w:eastAsia="仿宋_GB2312"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eastAsia="仿宋_GB2312" w:cs="宋体"/>
                <w:color w:val="000000"/>
                <w:sz w:val="24"/>
                <w:lang w:val="en-US" w:eastAsia="zh-CN"/>
              </w:rPr>
            </w:pPr>
            <w:r>
              <w:rPr>
                <w:rFonts w:hint="eastAsia" w:ascii="仿宋_GB2312" w:eastAsia="仿宋_GB2312" w:cs="宋体"/>
                <w:color w:val="000000"/>
                <w:sz w:val="24"/>
                <w:lang w:val="en-US" w:eastAsia="zh-CN"/>
              </w:rPr>
              <w:t>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其中</w:t>
            </w:r>
            <w:r>
              <w:rPr>
                <w:rFonts w:ascii="仿宋_GB2312" w:eastAsia="仿宋_GB2312" w:cs="宋体"/>
                <w:color w:val="000000"/>
                <w:kern w:val="0"/>
                <w:sz w:val="24"/>
              </w:rPr>
              <w:t>-</w:t>
            </w:r>
            <w:r>
              <w:rPr>
                <w:rFonts w:hint="eastAsia" w:ascii="仿宋_GB2312" w:hAnsi="宋体" w:eastAsia="仿宋_GB2312" w:cs="宋体"/>
                <w:color w:val="000000"/>
                <w:kern w:val="0"/>
                <w:sz w:val="24"/>
              </w:rPr>
              <w:t>财政拨款</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eastAsia="仿宋_GB2312" w:cs="宋体"/>
                <w:color w:val="000000"/>
                <w:sz w:val="24"/>
                <w:lang w:val="en-US" w:eastAsia="zh-CN"/>
              </w:rPr>
            </w:pPr>
            <w:r>
              <w:rPr>
                <w:rFonts w:hint="eastAsia" w:ascii="仿宋_GB2312" w:eastAsia="仿宋_GB2312" w:cs="宋体"/>
                <w:color w:val="000000"/>
                <w:sz w:val="24"/>
                <w:lang w:val="en-US" w:eastAsia="zh-CN"/>
              </w:rPr>
              <w:t>30</w:t>
            </w:r>
          </w:p>
        </w:tc>
      </w:tr>
      <w:tr>
        <w:tblPrEx>
          <w:tblCellMar>
            <w:top w:w="0" w:type="dxa"/>
            <w:left w:w="0" w:type="dxa"/>
            <w:bottom w:w="0" w:type="dxa"/>
            <w:right w:w="0" w:type="dxa"/>
          </w:tblCellMar>
        </w:tblPrEx>
        <w:trPr>
          <w:trHeight w:val="1102"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20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其它资金</w:t>
            </w:r>
            <w:r>
              <w:rPr>
                <w:rFonts w:ascii="仿宋_GB2312" w:hAnsi="宋体" w:eastAsia="仿宋_GB2312"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其它资金</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_GB2312" w:eastAsia="仿宋_GB2312" w:cs="宋体"/>
                <w:color w:val="000000"/>
                <w:sz w:val="24"/>
              </w:rPr>
            </w:pPr>
            <w:r>
              <w:rPr>
                <w:rFonts w:ascii="仿宋_GB2312" w:eastAsia="仿宋_GB2312" w:cs="宋体"/>
                <w:color w:val="000000"/>
                <w:sz w:val="24"/>
              </w:rPr>
              <w:t>0</w:t>
            </w:r>
          </w:p>
        </w:tc>
      </w:tr>
      <w:tr>
        <w:tblPrEx>
          <w:tblCellMar>
            <w:top w:w="0" w:type="dxa"/>
            <w:left w:w="0" w:type="dxa"/>
            <w:bottom w:w="0" w:type="dxa"/>
            <w:right w:w="0" w:type="dxa"/>
          </w:tblCellMar>
        </w:tblPrEx>
        <w:trPr>
          <w:trHeight w:val="276" w:hRule="atLeast"/>
        </w:trPr>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年度目标完成情况</w:t>
            </w:r>
          </w:p>
        </w:tc>
        <w:tc>
          <w:tcPr>
            <w:tcW w:w="442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442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r>
              <w:rPr>
                <w:rFonts w:hint="eastAsia" w:ascii="仿宋_GB2312" w:eastAsia="仿宋_GB2312" w:cs="宋体"/>
                <w:color w:val="000000"/>
                <w:sz w:val="24"/>
              </w:rPr>
              <w:t>涉及全区重大活动、重要会议，区政府办全力抓好统筹协调等工作。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r>
              <w:rPr>
                <w:rFonts w:hint="eastAsia" w:ascii="仿宋_GB2312" w:eastAsia="仿宋_GB2312" w:cs="宋体"/>
                <w:color w:val="000000"/>
                <w:sz w:val="24"/>
              </w:rPr>
              <w:t>各项工作顺利推进，全面完成了省、市级主管部门、区委、区政府交办的各项事项。</w:t>
            </w:r>
          </w:p>
        </w:tc>
      </w:tr>
      <w:tr>
        <w:tblPrEx>
          <w:tblCellMar>
            <w:top w:w="0" w:type="dxa"/>
            <w:left w:w="0" w:type="dxa"/>
            <w:bottom w:w="0" w:type="dxa"/>
            <w:right w:w="0" w:type="dxa"/>
          </w:tblCellMar>
        </w:tblPrEx>
        <w:trPr>
          <w:trHeight w:val="1042" w:hRule="atLeast"/>
        </w:trPr>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绩效指标完成情况</w:t>
            </w:r>
          </w:p>
          <w:p>
            <w:pPr>
              <w:widowControl/>
              <w:textAlignment w:val="center"/>
              <w:rPr>
                <w:rFonts w:ascii="仿宋_GB2312" w:eastAsia="仿宋_GB2312" w:cs="宋体"/>
                <w:color w:val="000000"/>
                <w:sz w:val="24"/>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一级指标</w:t>
            </w: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二级指标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预期指标值</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包含数字及文字描述</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实际完成指标值</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包含数字及文字描述</w:t>
            </w:r>
            <w:r>
              <w:rPr>
                <w:rFonts w:ascii="仿宋_GB2312" w:hAnsi="宋体" w:eastAsia="仿宋_GB2312" w:cs="宋体"/>
                <w:color w:val="000000"/>
                <w:kern w:val="0"/>
                <w:sz w:val="24"/>
              </w:rPr>
              <w:t>)</w:t>
            </w:r>
          </w:p>
        </w:tc>
      </w:tr>
      <w:tr>
        <w:tblPrEx>
          <w:tblCellMar>
            <w:top w:w="0" w:type="dxa"/>
            <w:left w:w="0" w:type="dxa"/>
            <w:bottom w:w="0" w:type="dxa"/>
            <w:right w:w="0" w:type="dxa"/>
          </w:tblCellMar>
        </w:tblPrEx>
        <w:trPr>
          <w:trHeight w:val="698"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项目完成指标</w:t>
            </w: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质量指标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r>
              <w:rPr>
                <w:rFonts w:hint="eastAsia" w:ascii="仿宋_GB2312" w:eastAsia="仿宋_GB2312" w:cs="宋体"/>
                <w:color w:val="000000"/>
                <w:sz w:val="24"/>
              </w:rPr>
              <w:t>有效及时完成工作职责</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r>
              <w:rPr>
                <w:rFonts w:hint="eastAsia" w:ascii="仿宋_GB2312" w:eastAsia="仿宋_GB2312" w:cs="宋体"/>
                <w:color w:val="000000"/>
                <w:sz w:val="24"/>
              </w:rPr>
              <w:t>完成了各项交办的工作</w:t>
            </w:r>
          </w:p>
        </w:tc>
      </w:tr>
      <w:tr>
        <w:tblPrEx>
          <w:tblCellMar>
            <w:top w:w="0" w:type="dxa"/>
            <w:left w:w="0" w:type="dxa"/>
            <w:bottom w:w="0" w:type="dxa"/>
            <w:right w:w="0" w:type="dxa"/>
          </w:tblCellMar>
        </w:tblPrEx>
        <w:trPr>
          <w:trHeight w:val="823"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项目完成指标</w:t>
            </w: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时效指标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sz w:val="24"/>
              </w:rPr>
              <w:t>20</w:t>
            </w:r>
            <w:r>
              <w:rPr>
                <w:rFonts w:hint="eastAsia" w:ascii="仿宋_GB2312" w:eastAsia="仿宋_GB2312" w:cs="宋体"/>
                <w:color w:val="000000"/>
                <w:sz w:val="24"/>
                <w:lang w:val="en-US" w:eastAsia="zh-CN"/>
              </w:rPr>
              <w:t>22</w:t>
            </w:r>
            <w:r>
              <w:rPr>
                <w:rFonts w:hint="eastAsia" w:ascii="仿宋_GB2312" w:eastAsia="仿宋_GB2312" w:cs="宋体"/>
                <w:color w:val="000000"/>
                <w:sz w:val="24"/>
              </w:rPr>
              <w:t>年</w:t>
            </w:r>
            <w:r>
              <w:rPr>
                <w:rFonts w:ascii="仿宋_GB2312" w:eastAsia="仿宋_GB2312" w:cs="宋体"/>
                <w:color w:val="000000"/>
                <w:sz w:val="24"/>
              </w:rPr>
              <w:t>12</w:t>
            </w:r>
            <w:r>
              <w:rPr>
                <w:rFonts w:hint="eastAsia" w:ascii="仿宋_GB2312" w:eastAsia="仿宋_GB2312" w:cs="宋体"/>
                <w:color w:val="000000"/>
                <w:sz w:val="24"/>
              </w:rPr>
              <w:t>月底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按时完成</w:t>
            </w:r>
          </w:p>
        </w:tc>
      </w:tr>
      <w:tr>
        <w:tblPrEx>
          <w:tblCellMar>
            <w:top w:w="0" w:type="dxa"/>
            <w:left w:w="0" w:type="dxa"/>
            <w:bottom w:w="0" w:type="dxa"/>
            <w:right w:w="0" w:type="dxa"/>
          </w:tblCellMar>
        </w:tblPrEx>
        <w:trPr>
          <w:trHeight w:val="820"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效益指标</w:t>
            </w: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社会效益指标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pPr>
          </w:p>
          <w:p>
            <w:pPr>
              <w:pStyle w:val="15"/>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r>
              <w:rPr>
                <w:rFonts w:hint="eastAsia" w:ascii="仿宋_GB2312" w:eastAsia="仿宋_GB2312" w:cs="宋体"/>
                <w:color w:val="000000"/>
                <w:sz w:val="24"/>
              </w:rPr>
              <w:t>提高了政府服务效益</w:t>
            </w:r>
          </w:p>
        </w:tc>
      </w:tr>
      <w:tr>
        <w:tblPrEx>
          <w:tblCellMar>
            <w:top w:w="0" w:type="dxa"/>
            <w:left w:w="0" w:type="dxa"/>
            <w:bottom w:w="0" w:type="dxa"/>
            <w:right w:w="0" w:type="dxa"/>
          </w:tblCellMar>
        </w:tblPrEx>
        <w:trPr>
          <w:trHeight w:val="691"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满意度指标</w:t>
            </w: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群众建设满意度</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服务对象满意度指标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服务对象满意度达</w:t>
            </w:r>
            <w:r>
              <w:rPr>
                <w:rFonts w:ascii="仿宋_GB2312" w:eastAsia="仿宋_GB2312" w:cs="宋体"/>
                <w:color w:val="000000"/>
                <w:sz w:val="24"/>
              </w:rPr>
              <w:t xml:space="preserve"> 9</w:t>
            </w:r>
            <w:r>
              <w:rPr>
                <w:rFonts w:hint="eastAsia" w:ascii="仿宋_GB2312" w:eastAsia="仿宋_GB2312" w:cs="宋体"/>
                <w:color w:val="000000"/>
                <w:sz w:val="24"/>
                <w:lang w:val="en-US" w:eastAsia="zh-CN"/>
              </w:rPr>
              <w:t>8</w:t>
            </w:r>
            <w:r>
              <w:rPr>
                <w:rFonts w:ascii="仿宋_GB2312" w:eastAsia="仿宋_GB2312" w:cs="宋体"/>
                <w:color w:val="000000"/>
                <w:sz w:val="24"/>
              </w:rPr>
              <w:t>%</w:t>
            </w:r>
            <w:r>
              <w:rPr>
                <w:rFonts w:hint="eastAsia" w:ascii="仿宋_GB2312" w:eastAsia="仿宋_GB2312" w:cs="宋体"/>
                <w:color w:val="000000"/>
                <w:sz w:val="24"/>
              </w:rPr>
              <w:t>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服务对象满意度达</w:t>
            </w:r>
          </w:p>
          <w:p>
            <w:pPr>
              <w:widowControl/>
              <w:jc w:val="center"/>
              <w:textAlignment w:val="center"/>
              <w:rPr>
                <w:rFonts w:ascii="仿宋_GB2312" w:eastAsia="仿宋_GB2312" w:cs="宋体"/>
                <w:color w:val="000000"/>
                <w:sz w:val="24"/>
              </w:rPr>
            </w:pPr>
            <w:r>
              <w:rPr>
                <w:rFonts w:ascii="仿宋_GB2312" w:eastAsia="仿宋_GB2312" w:cs="宋体"/>
                <w:color w:val="000000"/>
                <w:sz w:val="24"/>
              </w:rPr>
              <w:t>100%</w:t>
            </w:r>
          </w:p>
        </w:tc>
      </w:tr>
    </w:tbl>
    <w:p>
      <w:pPr>
        <w:spacing w:line="580" w:lineRule="exact"/>
        <w:ind w:firstLine="640" w:firstLineChars="200"/>
        <w:rPr>
          <w:rFonts w:ascii="仿宋_GB2312" w:hAnsi="仿宋_GB2312" w:eastAsia="仿宋_GB2312" w:cs="仿宋_GB2312"/>
          <w:sz w:val="32"/>
          <w:szCs w:val="32"/>
        </w:rPr>
      </w:pPr>
    </w:p>
    <w:p>
      <w:pPr>
        <w:spacing w:line="580" w:lineRule="exact"/>
        <w:jc w:val="center"/>
        <w:rPr>
          <w:rFonts w:ascii="黑体" w:hAnsi="黑体" w:eastAsia="黑体" w:cs="方正小标宋简体"/>
          <w:w w:val="90"/>
          <w:sz w:val="44"/>
          <w:szCs w:val="44"/>
        </w:rPr>
      </w:pPr>
    </w:p>
    <w:p>
      <w:pPr>
        <w:spacing w:line="580" w:lineRule="exact"/>
        <w:jc w:val="center"/>
        <w:rPr>
          <w:rFonts w:ascii="黑体" w:hAnsi="黑体" w:eastAsia="黑体" w:cs="方正小标宋简体"/>
          <w:w w:val="90"/>
          <w:sz w:val="44"/>
          <w:szCs w:val="44"/>
        </w:rPr>
      </w:pPr>
    </w:p>
    <w:p>
      <w:pPr>
        <w:spacing w:line="580" w:lineRule="exact"/>
        <w:jc w:val="center"/>
        <w:rPr>
          <w:rFonts w:ascii="黑体" w:hAnsi="黑体" w:eastAsia="黑体" w:cs="方正小标宋简体"/>
          <w:w w:val="90"/>
          <w:sz w:val="44"/>
          <w:szCs w:val="44"/>
        </w:rPr>
      </w:pPr>
    </w:p>
    <w:p>
      <w:pPr>
        <w:spacing w:line="580" w:lineRule="exact"/>
        <w:jc w:val="center"/>
        <w:rPr>
          <w:rFonts w:ascii="黑体" w:hAnsi="黑体" w:eastAsia="黑体" w:cs="方正小标宋简体"/>
          <w:w w:val="90"/>
          <w:sz w:val="44"/>
          <w:szCs w:val="44"/>
        </w:rPr>
      </w:pPr>
    </w:p>
    <w:p>
      <w:pPr>
        <w:spacing w:line="580" w:lineRule="exact"/>
        <w:jc w:val="center"/>
        <w:rPr>
          <w:rFonts w:ascii="黑体" w:hAnsi="黑体" w:eastAsia="黑体" w:cs="方正小标宋简体"/>
          <w:w w:val="90"/>
          <w:sz w:val="44"/>
          <w:szCs w:val="44"/>
        </w:rPr>
      </w:pPr>
    </w:p>
    <w:p>
      <w:pPr>
        <w:keepNext w:val="0"/>
        <w:keepLines w:val="0"/>
        <w:widowControl/>
        <w:suppressLineNumbers w:val="0"/>
        <w:jc w:val="center"/>
        <w:textAlignment w:val="top"/>
        <w:rPr>
          <w:rFonts w:hint="default" w:ascii="方正大标宋_GBK" w:hAnsi="方正大标宋_GBK" w:eastAsia="方正大标宋_GBK" w:cs="方正大标宋_GBK"/>
          <w:b/>
          <w:bCs/>
          <w:i w:val="0"/>
          <w:iCs w:val="0"/>
          <w:color w:val="000000"/>
          <w:kern w:val="0"/>
          <w:sz w:val="40"/>
          <w:szCs w:val="40"/>
          <w:u w:val="none"/>
          <w:lang w:val="en-US" w:eastAsia="zh-CN" w:bidi="ar"/>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tbl>
      <w:tblPr>
        <w:tblStyle w:val="16"/>
        <w:tblW w:w="14575" w:type="dxa"/>
        <w:tblInd w:w="-2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1080"/>
        <w:gridCol w:w="1080"/>
        <w:gridCol w:w="4222"/>
        <w:gridCol w:w="533"/>
        <w:gridCol w:w="6384"/>
        <w:gridCol w:w="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4575" w:type="dxa"/>
            <w:gridSpan w:val="7"/>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方正大标宋_GBK" w:hAnsi="方正大标宋_GBK" w:eastAsia="方正大标宋_GBK" w:cs="方正大标宋_GBK"/>
                <w:b/>
                <w:bCs/>
                <w:i w:val="0"/>
                <w:iCs w:val="0"/>
                <w:color w:val="000000"/>
                <w:sz w:val="40"/>
                <w:szCs w:val="40"/>
                <w:u w:val="none"/>
              </w:rPr>
            </w:pPr>
            <w:r>
              <w:rPr>
                <w:rFonts w:hint="default" w:ascii="方正大标宋_GBK" w:hAnsi="方正大标宋_GBK" w:eastAsia="方正大标宋_GBK" w:cs="方正大标宋_GBK"/>
                <w:b/>
                <w:bCs/>
                <w:i w:val="0"/>
                <w:iCs w:val="0"/>
                <w:color w:val="000000"/>
                <w:kern w:val="0"/>
                <w:sz w:val="40"/>
                <w:szCs w:val="40"/>
                <w:u w:val="none"/>
                <w:lang w:val="en-US" w:eastAsia="zh-CN" w:bidi="ar"/>
              </w:rPr>
              <w:t>202</w:t>
            </w:r>
            <w:r>
              <w:rPr>
                <w:rFonts w:hint="eastAsia" w:ascii="方正大标宋_GBK" w:hAnsi="方正大标宋_GBK" w:eastAsia="方正大标宋_GBK" w:cs="方正大标宋_GBK"/>
                <w:b/>
                <w:bCs/>
                <w:i w:val="0"/>
                <w:iCs w:val="0"/>
                <w:color w:val="000000"/>
                <w:kern w:val="0"/>
                <w:sz w:val="40"/>
                <w:szCs w:val="40"/>
                <w:u w:val="none"/>
                <w:lang w:val="en-US" w:eastAsia="zh-CN" w:bidi="ar"/>
              </w:rPr>
              <w:t>1</w:t>
            </w:r>
            <w:r>
              <w:rPr>
                <w:rFonts w:hint="default" w:ascii="方正大标宋_GBK" w:hAnsi="方正大标宋_GBK" w:eastAsia="方正大标宋_GBK" w:cs="方正大标宋_GBK"/>
                <w:b/>
                <w:bCs/>
                <w:i w:val="0"/>
                <w:iCs w:val="0"/>
                <w:color w:val="000000"/>
                <w:kern w:val="0"/>
                <w:sz w:val="40"/>
                <w:szCs w:val="40"/>
                <w:u w:val="none"/>
                <w:lang w:val="en-US" w:eastAsia="zh-CN" w:bidi="ar"/>
              </w:rPr>
              <w:t>年部门预算项目支出绩效自评评分表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4575"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仿宋_GB2312" w:cs="黑体"/>
                <w:i w:val="0"/>
                <w:iCs w:val="0"/>
                <w:color w:val="000000"/>
                <w:sz w:val="20"/>
                <w:szCs w:val="20"/>
                <w:u w:val="none"/>
                <w:lang w:val="en-US" w:eastAsia="zh-CN"/>
              </w:rPr>
            </w:pPr>
            <w:r>
              <w:rPr>
                <w:rFonts w:hint="eastAsia" w:ascii="黑体" w:hAnsi="宋体" w:eastAsia="黑体" w:cs="黑体"/>
                <w:i w:val="0"/>
                <w:iCs w:val="0"/>
                <w:color w:val="000000"/>
                <w:kern w:val="0"/>
                <w:sz w:val="20"/>
                <w:szCs w:val="20"/>
                <w:u w:val="none"/>
                <w:lang w:val="en-US" w:eastAsia="zh-CN" w:bidi="ar"/>
              </w:rPr>
              <w:t xml:space="preserve"> 部门（单位）盖章：                                                                          项目名称：</w:t>
            </w:r>
            <w:r>
              <w:rPr>
                <w:rFonts w:hint="eastAsia" w:ascii="仿宋_GB2312" w:eastAsia="仿宋_GB2312" w:cs="宋体"/>
                <w:color w:val="000000"/>
                <w:sz w:val="24"/>
              </w:rPr>
              <w:t>办公室</w:t>
            </w:r>
            <w:r>
              <w:rPr>
                <w:rFonts w:hint="eastAsia" w:ascii="仿宋_GB2312" w:eastAsia="仿宋_GB2312" w:cs="宋体"/>
                <w:color w:val="000000"/>
                <w:sz w:val="24"/>
                <w:lang w:eastAsia="zh-CN"/>
              </w:rPr>
              <w:t>专项工作经费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 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二级指标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三级指标            </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指标内容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参考分值</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评分标准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项目决策（14分）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项目立项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立项依据</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用以反映项目立项是否有充分的依据：符合国家法律法规、本地的相关规定；符合部门年度工作计划。</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①符合国家相关法律法规、国民经济发展规划和党委政府决策（1分）；                                                                                                           ②符合部门（单位）年度工作计划或项目实施单位职责密切相关（1分）。                                                             </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决策程序</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用以反映和考核项目立项的规范情况：项目的申请、设立过程是否符合相关要求。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①项目是否按照规定的程序申请设立，审批文件、材料是否符合相关要求（1分）； ②事前是否已经过必要的可行性研究、专家论证、风险评估、集体决策等（1分）。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项目目标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目标合理性</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用以反映和考核项目绩效目标与项目实施的相符情况：项目所设定的绩效目标是否依据充分，是否符合客观实际。</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①项目的测算依据充分（1分）；                                                                                                                                                       ②项目是否有绩效目标，与实际工作内容是否具有相关性（1分）；                                                                                                                        ③项目预期产出效益和效果是否符合正常的业绩水平（1分）；                                                                                                                                                                   ④与预算确定的项目投资额或资金量相匹配（1分）。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指标明确性</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用以反映和考核项目绩效目标与项目实施的相符情况：依据绩效目标设定的绩效指标是否清晰、细化、可衡量等。</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①是否将绩效目标的绩效指标细化分解（1分）；                                                                                                                                                        ②分解的绩效指标体现清晰、可衡量的指标值（1分）；                                                                                                                                                   ③与项目年度任务数或计划数相对应（1分）；                                                                                                                                                         ④与预算确定的项目投资额或资金量相匹配（1分）。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资金分配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分配的合理性</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项目预算资金分配是否有测算依据，与项目单位或地方实际是否相适应；根据需要制定的相关资金管理办法；管理办法中有明确资金分配办法；资金分配因素全面、合理。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①预算资金分配依据充分（1分）；                                                                                                                                 ②资金分配额度合理，与项目单位或地方实际相适应 （1分）。                 此项需提供相应的资金分配方案。</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项目管理（16分）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资金管理（9分）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资金到位率=（实际到位资金/计划投入资金）×100%。                                                              实际到位资金：一定时期（本年度或项目期）内落实到具体项目的资金。                                                       预算资金：一定时期（本年度或项目期）内预算安排到具体项目的资金。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根据项目资金的实际到位率计算得分（1分）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用以反映项目预算执行的进度：预算执行率=实际支出数/预算数。                                      实际支出资金：一定时期（本年度或项目期）内项目实际拨付的资金。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根据项目资金的预算执行率计算得分（2分）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用以反映和考核项目资金的规范运行情况：项目资金使用是否符合相关的财务管理制度规定。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①符合国家财经法规和财务管理制度以及有关专项资金管理办法的规定（1分）；                                                                      ②资金的拨付审批程序和手续完整（1分）；                                                                                           ③符合项目预算批复或合同规定的用途（1分）；                                                                                                                                                                    ④无截留、挤占、挪用、无虚列支出（3分）；                                                                                                                                                                                 若评价前已完成项目资金的专项审计，该指标可用审计结论代替。</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FF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组织实施（7分）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制度管理</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用以反映和考核财务和业务管理制度对项目顺利实施的制度保障情况。</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①制定或具有相应的财务和业务管理制度（1分）；                                                                                                                                                         ②财务和业务管理制度合法、合规、完整（1分）。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制度执行</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用以反映和考核业务管理制度的有效执行和质量控制情况：项目实施是否符合相关业务管理规定，是否为达到项目质量要求而采取了必需的措施。</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①按相关法律法规和业务管理规定执行（1分）；                                                                                                                                                      ②项目调整及支出调整手续完备（1分）；                                                                                                                                                                   ③项目合同书、验收报告、技术鉴定等资料规范、齐全（2分）；                                                                                                                                                                      ④项目实施的人员条件、场地设备等是否落实到位（1分）。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项目绩效（特性指标）（70）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项目产出（35分）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实际完成率</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实际完成率=（实际产出数/计划产出数）×100%。                                                            实际产出数：一定时期（本年度或项目期）内项目实际产出的产品或提供的服务数量。                                                                                         计划产出数：项目绩效目标确定的在一定时期（本年度或项目期）内计划产出的产品或提供的服务数量。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完成绩效目标100%得9分，未完成100%的同比例扣减。</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质量达标率</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质量达标率=（质量达标产出数量/计划完成产出数量）× 100%。                                                                                                                                  质量达标产出数：一定时期（本年度或项目期）内实际达到既定质量标准的产品或服务数量。                                                            既定质量标准是指项目实施单位设立绩效目标时依据计划标准、行业标准、历史标准或其他标准而设定的绩效指标值。  </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产出质量达到绩效目标100%得9分，未完成100%的同比例扣减。</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完成及时性</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完成及时率=计划时限内实际完成的项目数量/计划时限内应完成的项目数量×100%。                                                                                                                               实际完成时间：项目实施单位完成该项目实际所耗用的时间。                                                                         计划完成时间：按照项目实施计划或相关规定完成该项目所需的时间。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产出时效达到绩效目标得8分，未完成且无充分理由的扣3分。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完成成本（成本节约率）</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成本节约率=[（计划成本-实际成本）/计划成本]×100%。                                                        实际成本：项目实施单位如期、保质、保量完成既定工作目标实际所耗费的支出。                                                                                        计划成本：项目实施单位为完成工作目标计划安排的支出，一般以项目预算为参考。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产出成本按绩效目标控制得9分，未完成的，按超支比例扣减。</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项目效益（30分）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经济效益（可选项）</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反映相关产出对经济社会发展带来的影响和效果，根据项目实际细化具体指标。重点考核投入产出率、回报率、增长率等指标。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完成绩效目标设定的经济效益得7分，未完成的，按完成情况酌情扣分。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社会效益（可选项）</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反映相关产出对社会发展带来的影响和效果，根据项目实际细化具体指标。重点考核撬动率、贡献率、达标率、就业率等指标。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完成绩效目标设定的社会效益得7分，未完成的，按完成情况酌情扣分。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环境效益（可选项）</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反映相关产出对自然环境带来的影响和效果，根据项目实际细化具体指标。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完成绩效目标设定的积极的环境效益得7分，未完成的，按完成情况酌情扣分。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可持续效益（可选项）</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反映相关产出带来影响的可持续期限，根据项目实际细化具体指标。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完成绩效设定目标的得7分，未完成的，按完成情况酌情扣分。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              （5分）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满意率反映服务对象或项目受益人对相关产出及其影响的认可程度，根据项目实际细化具体指标。重点考核满意率等指标。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满意率达90%（含）以上的得5分；80%（含）-89%得4分；70%（含）-79%得3分；60%（含）-69%得2分；60%以下不得分。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7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自评等级</w:t>
            </w:r>
          </w:p>
        </w:tc>
        <w:tc>
          <w:tcPr>
            <w:tcW w:w="11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Style w:val="35"/>
                <w:sz w:val="20"/>
                <w:szCs w:val="20"/>
                <w:lang w:val="en-US" w:eastAsia="zh-CN" w:bidi="ar"/>
              </w:rPr>
              <w:t>自评结果：</w:t>
            </w:r>
            <w:r>
              <w:rPr>
                <w:rStyle w:val="36"/>
                <w:sz w:val="20"/>
                <w:szCs w:val="20"/>
                <w:lang w:val="en-US" w:eastAsia="zh-CN" w:bidi="ar"/>
              </w:rPr>
              <w:t>R</w:t>
            </w:r>
            <w:r>
              <w:rPr>
                <w:rStyle w:val="37"/>
                <w:sz w:val="20"/>
                <w:szCs w:val="20"/>
                <w:lang w:val="en-US" w:eastAsia="zh-CN" w:bidi="ar"/>
              </w:rPr>
              <w:t>优秀（90≤得分≤100）；   □良好（80≤得分＜89）；   □及格（60≤得分＜79）；  □不及格（低于60分）</w:t>
            </w:r>
          </w:p>
        </w:tc>
      </w:tr>
    </w:tbl>
    <w:p>
      <w:pPr>
        <w:pStyle w:val="15"/>
      </w:pPr>
    </w:p>
    <w:p/>
    <w:p>
      <w:pPr>
        <w:pStyle w:val="15"/>
      </w:pPr>
    </w:p>
    <w:p/>
    <w:p>
      <w:pPr>
        <w:spacing w:line="580" w:lineRule="exact"/>
        <w:jc w:val="center"/>
        <w:rPr>
          <w:rFonts w:ascii="黑体" w:hAnsi="黑体" w:eastAsia="黑体" w:cs="方正小标宋简体"/>
          <w:w w:val="90"/>
          <w:sz w:val="44"/>
          <w:szCs w:val="44"/>
        </w:rPr>
        <w:sectPr>
          <w:pgSz w:w="16838" w:h="11906" w:orient="landscape"/>
          <w:pgMar w:top="1803" w:right="1440" w:bottom="1803" w:left="1440" w:header="851" w:footer="992" w:gutter="0"/>
          <w:pgNumType w:start="1"/>
          <w:cols w:space="0" w:num="1"/>
          <w:titlePg/>
          <w:rtlGutter w:val="0"/>
          <w:docGrid w:type="lines" w:linePitch="319" w:charSpace="0"/>
        </w:sectPr>
      </w:pPr>
    </w:p>
    <w:p>
      <w:pPr>
        <w:spacing w:line="580" w:lineRule="exact"/>
        <w:jc w:val="center"/>
        <w:rPr>
          <w:rFonts w:ascii="黑体" w:hAnsi="黑体" w:eastAsia="黑体" w:cs="方正小标宋简体"/>
          <w:w w:val="90"/>
          <w:sz w:val="44"/>
          <w:szCs w:val="44"/>
        </w:rPr>
      </w:pPr>
      <w:r>
        <w:rPr>
          <w:rFonts w:ascii="黑体" w:hAnsi="黑体" w:eastAsia="黑体" w:cs="方正小标宋简体"/>
          <w:w w:val="90"/>
          <w:sz w:val="44"/>
          <w:szCs w:val="44"/>
        </w:rPr>
        <w:t>202</w:t>
      </w:r>
      <w:r>
        <w:rPr>
          <w:rFonts w:hint="eastAsia" w:ascii="黑体" w:hAnsi="黑体" w:eastAsia="黑体" w:cs="方正小标宋简体"/>
          <w:w w:val="90"/>
          <w:sz w:val="44"/>
          <w:szCs w:val="44"/>
          <w:lang w:val="en-US" w:eastAsia="zh-CN"/>
        </w:rPr>
        <w:t>1</w:t>
      </w:r>
      <w:r>
        <w:rPr>
          <w:rFonts w:hint="eastAsia" w:ascii="黑体" w:hAnsi="黑体" w:eastAsia="黑体" w:cs="方正小标宋简体"/>
          <w:w w:val="90"/>
          <w:sz w:val="44"/>
          <w:szCs w:val="44"/>
        </w:rPr>
        <w:t>年</w:t>
      </w:r>
      <w:r>
        <w:rPr>
          <w:rFonts w:hint="eastAsia" w:ascii="黑体" w:hAnsi="黑体" w:eastAsia="黑体" w:cs="方正小标宋简体"/>
          <w:w w:val="90"/>
          <w:sz w:val="44"/>
          <w:szCs w:val="44"/>
          <w:lang w:eastAsia="zh-CN"/>
        </w:rPr>
        <w:t>乡村振兴</w:t>
      </w:r>
      <w:r>
        <w:rPr>
          <w:rFonts w:hint="eastAsia" w:ascii="黑体" w:hAnsi="黑体" w:eastAsia="黑体" w:cs="方正小标宋简体"/>
          <w:w w:val="90"/>
          <w:sz w:val="44"/>
          <w:szCs w:val="44"/>
        </w:rPr>
        <w:t>工作项目支出绩效评价报告</w:t>
      </w:r>
    </w:p>
    <w:p>
      <w:pPr>
        <w:spacing w:line="580" w:lineRule="exact"/>
        <w:ind w:firstLine="640" w:firstLineChars="200"/>
        <w:rPr>
          <w:rFonts w:ascii="黑体" w:hAnsi="仿宋_GB2312" w:eastAsia="黑体" w:cs="仿宋_GB2312"/>
          <w:sz w:val="32"/>
          <w:szCs w:val="32"/>
        </w:rPr>
      </w:pPr>
    </w:p>
    <w:p>
      <w:pPr>
        <w:pStyle w:val="14"/>
        <w:keepNext w:val="0"/>
        <w:keepLines w:val="0"/>
        <w:pageBreakBefore w:val="0"/>
        <w:numPr>
          <w:ilvl w:val="0"/>
          <w:numId w:val="7"/>
        </w:numPr>
        <w:shd w:val="clear" w:color="auto" w:fill="FFFFFF"/>
        <w:kinsoku/>
        <w:wordWrap/>
        <w:overflowPunct/>
        <w:topLinePunct w:val="0"/>
        <w:bidi w:val="0"/>
        <w:adjustRightInd/>
        <w:spacing w:beforeAutospacing="0" w:afterAutospacing="0" w:line="576" w:lineRule="exact"/>
        <w:ind w:left="640"/>
        <w:jc w:val="both"/>
        <w:textAlignment w:val="auto"/>
        <w:rPr>
          <w:rFonts w:ascii="黑体" w:hAnsi="微软雅黑" w:eastAsia="黑体"/>
          <w:b/>
          <w:color w:val="333333"/>
          <w:sz w:val="32"/>
          <w:szCs w:val="32"/>
        </w:rPr>
      </w:pPr>
      <w:r>
        <w:rPr>
          <w:rFonts w:hint="eastAsia" w:ascii="黑体" w:hAnsi="微软雅黑" w:eastAsia="黑体"/>
          <w:b/>
          <w:color w:val="333333"/>
          <w:sz w:val="32"/>
          <w:szCs w:val="32"/>
        </w:rPr>
        <w:t>评价工作开展及项目情况</w:t>
      </w:r>
    </w:p>
    <w:p>
      <w:pPr>
        <w:keepNext w:val="0"/>
        <w:keepLines w:val="0"/>
        <w:pageBreakBefore w:val="0"/>
        <w:kinsoku/>
        <w:wordWrap/>
        <w:overflowPunct/>
        <w:topLinePunct w:val="0"/>
        <w:autoSpaceDN w:val="0"/>
        <w:bidi w:val="0"/>
        <w:adjustRightInd/>
        <w:snapToGrid w:val="0"/>
        <w:spacing w:line="576" w:lineRule="exact"/>
        <w:ind w:firstLine="640" w:firstLineChars="200"/>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lang w:eastAsia="zh-CN"/>
        </w:rPr>
        <w:t>区政府办作为帮扶单位</w:t>
      </w:r>
      <w:r>
        <w:rPr>
          <w:rFonts w:ascii="仿宋_GB2312" w:eastAsia="仿宋_GB2312" w:cs="仿宋_GB2312"/>
          <w:color w:val="000000"/>
          <w:sz w:val="32"/>
          <w:szCs w:val="32"/>
          <w:lang w:eastAsia="zh-CN"/>
        </w:rPr>
        <w:t>，</w:t>
      </w:r>
      <w:r>
        <w:rPr>
          <w:rFonts w:hint="eastAsia" w:ascii="仿宋_GB2312" w:eastAsia="仿宋_GB2312" w:cs="仿宋_GB2312"/>
          <w:color w:val="000000"/>
          <w:sz w:val="32"/>
          <w:szCs w:val="32"/>
        </w:rPr>
        <w:t>高度重视，始终扛牢政治责任，坚决贯彻落实党中央、省委重大决策部署。</w:t>
      </w:r>
      <w:r>
        <w:rPr>
          <w:rFonts w:hint="eastAsia" w:ascii="仿宋_GB2312" w:eastAsia="仿宋_GB2312" w:cs="仿宋_GB2312"/>
          <w:color w:val="000000"/>
          <w:sz w:val="32"/>
          <w:szCs w:val="32"/>
          <w:lang w:eastAsia="zh-CN"/>
        </w:rPr>
        <w:t>今年以来，</w:t>
      </w:r>
      <w:r>
        <w:rPr>
          <w:rFonts w:ascii="仿宋_GB2312" w:eastAsia="仿宋_GB2312" w:cs="仿宋_GB2312"/>
          <w:color w:val="000000"/>
          <w:sz w:val="32"/>
          <w:szCs w:val="32"/>
          <w:lang w:eastAsia="zh-CN"/>
        </w:rPr>
        <w:t>一是</w:t>
      </w:r>
      <w:r>
        <w:rPr>
          <w:rFonts w:hint="eastAsia" w:ascii="仿宋_GB2312" w:eastAsia="仿宋_GB2312" w:cs="仿宋_GB2312"/>
          <w:color w:val="000000"/>
          <w:sz w:val="32"/>
          <w:szCs w:val="32"/>
        </w:rPr>
        <w:t>先后召开三次</w:t>
      </w:r>
      <w:r>
        <w:rPr>
          <w:rFonts w:hint="eastAsia" w:ascii="仿宋_GB2312" w:eastAsia="仿宋_GB2312" w:cs="仿宋_GB2312"/>
          <w:color w:val="000000"/>
          <w:sz w:val="32"/>
          <w:szCs w:val="32"/>
          <w:lang w:eastAsia="zh-CN"/>
        </w:rPr>
        <w:t>专题</w:t>
      </w:r>
      <w:r>
        <w:rPr>
          <w:rFonts w:hint="eastAsia" w:ascii="仿宋_GB2312" w:eastAsia="仿宋_GB2312" w:cs="仿宋_GB2312"/>
          <w:color w:val="000000"/>
          <w:sz w:val="32"/>
          <w:szCs w:val="32"/>
        </w:rPr>
        <w:t>会议，部署推动巩固脱贫攻坚成果同乡村振兴有效衔接</w:t>
      </w:r>
      <w:r>
        <w:rPr>
          <w:rFonts w:hint="eastAsia" w:ascii="仿宋_GB2312" w:eastAsia="仿宋_GB2312" w:cs="仿宋_GB2312"/>
          <w:color w:val="000000"/>
          <w:sz w:val="32"/>
          <w:szCs w:val="32"/>
          <w:lang w:eastAsia="zh-CN"/>
        </w:rPr>
        <w:t>帮扶</w:t>
      </w:r>
      <w:r>
        <w:rPr>
          <w:rFonts w:hint="eastAsia" w:ascii="仿宋_GB2312" w:eastAsia="仿宋_GB2312" w:cs="仿宋_GB2312"/>
          <w:color w:val="000000"/>
          <w:sz w:val="32"/>
          <w:szCs w:val="32"/>
        </w:rPr>
        <w:t>工作</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坚持把巩固脱贫攻坚成果同乡村振兴有效衔接作为重大政治任务，扛在肩上、抓在手上、落实在行动上</w:t>
      </w:r>
      <w:r>
        <w:rPr>
          <w:rFonts w:hint="eastAsia" w:ascii="仿宋_GB2312" w:eastAsia="仿宋_GB2312" w:cs="仿宋_GB2312"/>
          <w:color w:val="000000"/>
          <w:sz w:val="32"/>
          <w:szCs w:val="32"/>
          <w:lang w:eastAsia="zh-CN"/>
        </w:rPr>
        <w:t>。</w:t>
      </w:r>
      <w:r>
        <w:rPr>
          <w:rFonts w:ascii="仿宋_GB2312" w:eastAsia="仿宋_GB2312" w:cs="仿宋_GB2312"/>
          <w:color w:val="000000"/>
          <w:sz w:val="32"/>
          <w:szCs w:val="32"/>
          <w:lang w:eastAsia="zh-CN"/>
        </w:rPr>
        <w:t>二是</w:t>
      </w:r>
      <w:r>
        <w:rPr>
          <w:rFonts w:hint="eastAsia" w:ascii="仿宋_GB2312" w:eastAsia="仿宋_GB2312" w:cs="仿宋_GB2312"/>
          <w:color w:val="000000"/>
          <w:sz w:val="32"/>
          <w:szCs w:val="32"/>
          <w:lang w:eastAsia="zh-CN"/>
        </w:rPr>
        <w:t>高标准选派驻村工作组，</w:t>
      </w:r>
      <w:r>
        <w:rPr>
          <w:rFonts w:hint="eastAsia" w:ascii="仿宋_GB2312" w:eastAsia="仿宋_GB2312" w:cs="仿宋_GB2312"/>
          <w:color w:val="000000"/>
          <w:sz w:val="32"/>
          <w:szCs w:val="32"/>
          <w:lang w:val="en-US" w:eastAsia="zh-CN"/>
        </w:rPr>
        <w:t>由4名农村工作经验丰富的干部</w:t>
      </w:r>
      <w:r>
        <w:rPr>
          <w:rFonts w:ascii="仿宋_GB2312" w:eastAsia="仿宋_GB2312" w:cs="仿宋_GB2312"/>
          <w:color w:val="000000"/>
          <w:sz w:val="32"/>
          <w:szCs w:val="32"/>
          <w:lang w:val="en-US" w:eastAsia="zh-CN"/>
        </w:rPr>
        <w:t>组成驻村工作队</w:t>
      </w:r>
      <w:r>
        <w:rPr>
          <w:rFonts w:hint="eastAsia" w:ascii="仿宋_GB2312" w:eastAsia="仿宋_GB2312" w:cs="仿宋_GB2312"/>
          <w:color w:val="000000"/>
          <w:sz w:val="32"/>
          <w:szCs w:val="32"/>
          <w:lang w:val="en-US" w:eastAsia="zh-CN"/>
        </w:rPr>
        <w:t>，全脱产驻村开展帮扶工作</w:t>
      </w:r>
      <w:r>
        <w:rPr>
          <w:rFonts w:ascii="仿宋_GB2312" w:eastAsia="仿宋_GB2312" w:cs="仿宋_GB2312"/>
          <w:color w:val="000000"/>
          <w:sz w:val="32"/>
          <w:szCs w:val="32"/>
          <w:lang w:val="en-US" w:eastAsia="zh-CN"/>
        </w:rPr>
        <w:t>。三是办公室全体干部和石板村两委干部采取“1+1”、“1+2”模式与66户脱贫户结对认亲，联动开展乡村振兴工作</w:t>
      </w:r>
      <w:r>
        <w:rPr>
          <w:rFonts w:hint="eastAsia" w:ascii="仿宋_GB2312" w:eastAsia="仿宋_GB2312" w:cs="仿宋"/>
          <w:color w:val="000000"/>
          <w:sz w:val="32"/>
          <w:szCs w:val="32"/>
        </w:rPr>
        <w:t>。</w:t>
      </w:r>
    </w:p>
    <w:p>
      <w:pPr>
        <w:keepNext w:val="0"/>
        <w:keepLines w:val="0"/>
        <w:pageBreakBefore w:val="0"/>
        <w:kinsoku/>
        <w:wordWrap/>
        <w:overflowPunct/>
        <w:topLinePunct w:val="0"/>
        <w:bidi w:val="0"/>
        <w:adjustRightInd/>
        <w:spacing w:line="576" w:lineRule="exact"/>
        <w:ind w:firstLine="640" w:firstLineChars="200"/>
        <w:textAlignment w:val="auto"/>
        <w:rPr>
          <w:rFonts w:ascii="黑体" w:hAnsi="仿宋_GB2312" w:eastAsia="黑体" w:cs="仿宋_GB2312"/>
          <w:sz w:val="32"/>
          <w:szCs w:val="32"/>
        </w:rPr>
      </w:pPr>
      <w:r>
        <w:rPr>
          <w:rFonts w:hint="eastAsia" w:ascii="黑体" w:hAnsi="仿宋_GB2312" w:eastAsia="黑体" w:cs="仿宋_GB2312"/>
          <w:sz w:val="32"/>
          <w:szCs w:val="32"/>
        </w:rPr>
        <w:t>二、评价结论及绩效分析</w:t>
      </w:r>
    </w:p>
    <w:p>
      <w:pPr>
        <w:keepNext w:val="0"/>
        <w:keepLines w:val="0"/>
        <w:pageBreakBefore w:val="0"/>
        <w:kinsoku/>
        <w:wordWrap/>
        <w:overflowPunct/>
        <w:topLinePunct w:val="0"/>
        <w:bidi w:val="0"/>
        <w:adjustRightInd/>
        <w:spacing w:line="576" w:lineRule="exact"/>
        <w:ind w:firstLine="640" w:firstLineChars="200"/>
        <w:textAlignment w:val="auto"/>
        <w:rPr>
          <w:rFonts w:ascii="方正楷体_GBK" w:hAnsi="微软雅黑" w:eastAsia="方正楷体_GBK"/>
          <w:color w:val="333333"/>
          <w:kern w:val="0"/>
          <w:sz w:val="32"/>
          <w:szCs w:val="32"/>
        </w:rPr>
      </w:pPr>
      <w:r>
        <w:rPr>
          <w:rFonts w:hint="eastAsia" w:ascii="方正楷体_GBK" w:hAnsi="微软雅黑" w:eastAsia="方正楷体_GBK"/>
          <w:color w:val="333333"/>
          <w:kern w:val="0"/>
          <w:sz w:val="32"/>
          <w:szCs w:val="32"/>
        </w:rPr>
        <w:t>（一）评价结论：</w:t>
      </w:r>
    </w:p>
    <w:p>
      <w:pPr>
        <w:keepNext w:val="0"/>
        <w:keepLines w:val="0"/>
        <w:pageBreakBefore w:val="0"/>
        <w:widowControl/>
        <w:kinsoku/>
        <w:wordWrap/>
        <w:overflowPunct/>
        <w:topLinePunct w:val="0"/>
        <w:bidi w:val="0"/>
        <w:adjustRightInd/>
        <w:spacing w:line="576" w:lineRule="exact"/>
        <w:ind w:firstLine="640" w:firstLineChars="200"/>
        <w:jc w:val="left"/>
        <w:textAlignment w:val="auto"/>
        <w:rPr>
          <w:rFonts w:hint="eastAsia"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区政府办</w:t>
      </w:r>
      <w:r>
        <w:rPr>
          <w:rFonts w:hint="eastAsia" w:ascii="仿宋_GB2312" w:hAnsi="微软雅黑" w:eastAsia="仿宋_GB2312"/>
          <w:color w:val="333333"/>
          <w:kern w:val="0"/>
          <w:sz w:val="32"/>
          <w:szCs w:val="32"/>
          <w:lang w:eastAsia="zh-CN"/>
        </w:rPr>
        <w:t>乡村振兴</w:t>
      </w:r>
      <w:r>
        <w:rPr>
          <w:rFonts w:hint="eastAsia" w:ascii="仿宋_GB2312" w:hAnsi="微软雅黑" w:eastAsia="仿宋_GB2312"/>
          <w:color w:val="333333"/>
          <w:kern w:val="0"/>
          <w:sz w:val="32"/>
          <w:szCs w:val="32"/>
        </w:rPr>
        <w:t>工作聚集精干帮扶力量，用心用力、真帮实扶，全面完成了各项目标任务。实施了新村风貌打造，农户居住环境焕然一新；积极探索产业园项目集体经济产业发展路径，农户增收产业支撑作用明显增强；反复的宣传教育，改变了帮扶村社会治理中的乱象，群众安全感、幸福感和获得感显著提升。</w:t>
      </w:r>
    </w:p>
    <w:p>
      <w:pPr>
        <w:keepNext w:val="0"/>
        <w:keepLines w:val="0"/>
        <w:pageBreakBefore w:val="0"/>
        <w:widowControl/>
        <w:kinsoku/>
        <w:wordWrap/>
        <w:overflowPunct/>
        <w:topLinePunct w:val="0"/>
        <w:bidi w:val="0"/>
        <w:adjustRightInd/>
        <w:spacing w:line="576" w:lineRule="exact"/>
        <w:ind w:firstLine="640" w:firstLineChars="200"/>
        <w:jc w:val="left"/>
        <w:textAlignment w:val="auto"/>
        <w:rPr>
          <w:rFonts w:hint="eastAsia"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（二）绩效分析</w:t>
      </w:r>
    </w:p>
    <w:p>
      <w:pPr>
        <w:keepNext w:val="0"/>
        <w:keepLines w:val="0"/>
        <w:pageBreakBefore w:val="0"/>
        <w:widowControl/>
        <w:kinsoku/>
        <w:wordWrap/>
        <w:overflowPunct/>
        <w:topLinePunct w:val="0"/>
        <w:bidi w:val="0"/>
        <w:adjustRightInd/>
        <w:spacing w:line="576" w:lineRule="exact"/>
        <w:ind w:firstLine="640" w:firstLineChars="200"/>
        <w:jc w:val="left"/>
        <w:textAlignment w:val="auto"/>
        <w:rPr>
          <w:rFonts w:hint="eastAsia"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1.项目决策</w:t>
      </w:r>
    </w:p>
    <w:p>
      <w:pPr>
        <w:keepNext w:val="0"/>
        <w:keepLines w:val="0"/>
        <w:pageBreakBefore w:val="0"/>
        <w:widowControl/>
        <w:kinsoku/>
        <w:wordWrap/>
        <w:overflowPunct/>
        <w:topLinePunct w:val="0"/>
        <w:bidi w:val="0"/>
        <w:adjustRightInd/>
        <w:spacing w:line="576" w:lineRule="exact"/>
        <w:ind w:firstLine="640" w:firstLineChars="200"/>
        <w:jc w:val="left"/>
        <w:textAlignment w:val="auto"/>
        <w:rPr>
          <w:rFonts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帮扶工作经费全部用于全区干部驻村帮扶日常工作及驻村工作队员培训。区政府办公室始终把帮扶作为重中之重的工作来抓，聚集精干帮扶力量，用心用力、真帮实扶，全面完成了各项目标任务。</w:t>
      </w:r>
    </w:p>
    <w:p>
      <w:pPr>
        <w:keepNext w:val="0"/>
        <w:keepLines w:val="0"/>
        <w:pageBreakBefore w:val="0"/>
        <w:widowControl/>
        <w:kinsoku/>
        <w:wordWrap/>
        <w:overflowPunct/>
        <w:topLinePunct w:val="0"/>
        <w:bidi w:val="0"/>
        <w:adjustRightIn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2.项目管理</w:t>
      </w:r>
    </w:p>
    <w:p>
      <w:pPr>
        <w:keepNext w:val="0"/>
        <w:keepLines w:val="0"/>
        <w:pageBreakBefore w:val="0"/>
        <w:widowControl/>
        <w:kinsoku/>
        <w:wordWrap/>
        <w:overflowPunct/>
        <w:topLinePunct w:val="0"/>
        <w:bidi w:val="0"/>
        <w:adjustRightIn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区财政局批复下达扶贫工作经费全年预算资金</w:t>
      </w:r>
      <w:r>
        <w:rPr>
          <w:rFonts w:hint="eastAsia" w:ascii="仿宋_GB2312" w:hAnsi="仿宋_GB2312" w:eastAsia="仿宋_GB2312" w:cs="仿宋_GB2312"/>
          <w:sz w:val="32"/>
          <w:szCs w:val="32"/>
          <w:lang w:val="en-US" w:eastAsia="zh-CN"/>
        </w:rPr>
        <w:t>8.05</w:t>
      </w:r>
      <w:r>
        <w:rPr>
          <w:rFonts w:hint="eastAsia" w:ascii="仿宋_GB2312" w:hAnsi="仿宋_GB2312" w:eastAsia="仿宋_GB2312" w:cs="仿宋_GB2312"/>
          <w:sz w:val="32"/>
          <w:szCs w:val="32"/>
        </w:rPr>
        <w:t>万元，用于贫困村驻村帮扶工作。目标设置较合理、组织管理有效、财务管理健全，使项目能及时、有效开展。</w:t>
      </w:r>
    </w:p>
    <w:p>
      <w:pPr>
        <w:keepNext w:val="0"/>
        <w:keepLines w:val="0"/>
        <w:pageBreakBefore w:val="0"/>
        <w:widowControl/>
        <w:kinsoku/>
        <w:wordWrap/>
        <w:overflowPunct/>
        <w:topLinePunct w:val="0"/>
        <w:bidi w:val="0"/>
        <w:adjustRightIn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3.项目绩效</w:t>
      </w:r>
    </w:p>
    <w:p>
      <w:pPr>
        <w:keepNext w:val="0"/>
        <w:keepLines w:val="0"/>
        <w:pageBreakBefore w:val="0"/>
        <w:widowControl/>
        <w:kinsoku/>
        <w:wordWrap/>
        <w:overflowPunct/>
        <w:topLinePunct w:val="0"/>
        <w:bidi w:val="0"/>
        <w:adjustRightIn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驻村工作队认真贯彻落实中央、省委、市委及区委区政府的决策部署，在持续对标村一低五有、脱贫户一超六有的基础上，紧扣全村基础设施建设、产业发展、助农增收、人居环境改善等目标任务，严格按照区驻村帮扶机制相关要求，进一步完善石板村相关基础设施建设、推进了产业园区建设、提升了村容村貌、培育了文明新风，有效推动了石板村</w:t>
      </w:r>
      <w:r>
        <w:rPr>
          <w:rFonts w:hint="eastAsia" w:ascii="仿宋_GB2312" w:hAnsi="仿宋_GB2312" w:eastAsia="仿宋_GB2312" w:cs="仿宋_GB2312"/>
          <w:sz w:val="32"/>
          <w:szCs w:val="32"/>
          <w:lang w:eastAsia="zh-CN"/>
        </w:rPr>
        <w:t>、黄小村</w:t>
      </w:r>
      <w:r>
        <w:rPr>
          <w:rFonts w:hint="eastAsia" w:ascii="仿宋_GB2312" w:hAnsi="仿宋_GB2312" w:eastAsia="仿宋_GB2312" w:cs="仿宋_GB2312"/>
          <w:sz w:val="32"/>
          <w:szCs w:val="32"/>
        </w:rPr>
        <w:t>各项工作落地落实，支出经费</w:t>
      </w:r>
      <w:r>
        <w:rPr>
          <w:rFonts w:hint="eastAsia" w:ascii="仿宋_GB2312" w:hAnsi="仿宋_GB2312" w:eastAsia="仿宋_GB2312" w:cs="仿宋_GB2312"/>
          <w:sz w:val="32"/>
          <w:szCs w:val="32"/>
          <w:lang w:val="en-US" w:eastAsia="zh-CN"/>
        </w:rPr>
        <w:t>8.05</w:t>
      </w:r>
      <w:r>
        <w:rPr>
          <w:rFonts w:hint="eastAsia" w:ascii="仿宋_GB2312" w:hAnsi="仿宋_GB2312" w:eastAsia="仿宋_GB2312" w:cs="仿宋_GB2312"/>
          <w:sz w:val="32"/>
          <w:szCs w:val="32"/>
        </w:rPr>
        <w:t>万元。</w:t>
      </w:r>
    </w:p>
    <w:p>
      <w:pPr>
        <w:keepNext w:val="0"/>
        <w:keepLines w:val="0"/>
        <w:pageBreakBefore w:val="0"/>
        <w:kinsoku/>
        <w:wordWrap/>
        <w:overflowPunct/>
        <w:topLinePunct w:val="0"/>
        <w:bidi w:val="0"/>
        <w:adjustRightInd/>
        <w:spacing w:line="576" w:lineRule="exact"/>
        <w:ind w:firstLine="643" w:firstLineChars="200"/>
        <w:textAlignment w:val="auto"/>
        <w:rPr>
          <w:rFonts w:ascii="黑体" w:hAnsi="微软雅黑" w:eastAsia="黑体"/>
          <w:b/>
          <w:color w:val="333333"/>
          <w:kern w:val="0"/>
          <w:sz w:val="32"/>
          <w:szCs w:val="32"/>
        </w:rPr>
      </w:pPr>
      <w:r>
        <w:rPr>
          <w:rFonts w:hint="eastAsia" w:ascii="黑体" w:hAnsi="微软雅黑" w:eastAsia="黑体"/>
          <w:b/>
          <w:color w:val="333333"/>
          <w:kern w:val="0"/>
          <w:sz w:val="32"/>
          <w:szCs w:val="32"/>
        </w:rPr>
        <w:t>三、存在主要问题</w:t>
      </w:r>
    </w:p>
    <w:p>
      <w:pPr>
        <w:keepNext w:val="0"/>
        <w:keepLines w:val="0"/>
        <w:pageBreakBefore w:val="0"/>
        <w:widowControl/>
        <w:kinsoku/>
        <w:wordWrap/>
        <w:overflowPunct/>
        <w:topLinePunct w:val="0"/>
        <w:bidi w:val="0"/>
        <w:adjustRightInd/>
        <w:spacing w:line="576" w:lineRule="exact"/>
        <w:ind w:firstLine="640" w:firstLineChars="200"/>
        <w:jc w:val="left"/>
        <w:textAlignment w:val="auto"/>
        <w:rPr>
          <w:rFonts w:ascii="仿宋_GB2312" w:hAnsi="微软雅黑" w:eastAsia="仿宋_GB2312"/>
          <w:color w:val="333333"/>
          <w:kern w:val="0"/>
          <w:sz w:val="32"/>
          <w:szCs w:val="32"/>
        </w:rPr>
      </w:pPr>
      <w:r>
        <w:rPr>
          <w:rFonts w:hint="eastAsia" w:ascii="仿宋_GB2312" w:hAnsi="仿宋_GB2312" w:eastAsia="仿宋_GB2312" w:cs="仿宋_GB2312"/>
          <w:sz w:val="32"/>
          <w:szCs w:val="32"/>
          <w:lang w:eastAsia="zh-CN"/>
        </w:rPr>
        <w:t>帮扶</w:t>
      </w:r>
      <w:r>
        <w:rPr>
          <w:rFonts w:hint="eastAsia" w:ascii="仿宋_GB2312" w:hAnsi="仿宋_GB2312" w:eastAsia="仿宋_GB2312" w:cs="仿宋_GB2312"/>
          <w:sz w:val="32"/>
          <w:szCs w:val="32"/>
        </w:rPr>
        <w:t>工作任务重，工作经费保障还有差距。</w:t>
      </w:r>
    </w:p>
    <w:p>
      <w:pPr>
        <w:keepNext w:val="0"/>
        <w:keepLines w:val="0"/>
        <w:pageBreakBefore w:val="0"/>
        <w:kinsoku/>
        <w:wordWrap/>
        <w:overflowPunct/>
        <w:topLinePunct w:val="0"/>
        <w:bidi w:val="0"/>
        <w:adjustRightInd/>
        <w:spacing w:line="576" w:lineRule="exact"/>
        <w:ind w:firstLine="643" w:firstLineChars="200"/>
        <w:textAlignment w:val="auto"/>
        <w:rPr>
          <w:rFonts w:ascii="黑体" w:hAnsi="微软雅黑" w:eastAsia="黑体"/>
          <w:b/>
          <w:color w:val="333333"/>
          <w:kern w:val="0"/>
          <w:sz w:val="32"/>
          <w:szCs w:val="32"/>
        </w:rPr>
      </w:pPr>
      <w:r>
        <w:rPr>
          <w:rFonts w:hint="eastAsia" w:ascii="黑体" w:hAnsi="微软雅黑" w:eastAsia="黑体"/>
          <w:b/>
          <w:color w:val="333333"/>
          <w:kern w:val="0"/>
          <w:sz w:val="32"/>
          <w:szCs w:val="32"/>
        </w:rPr>
        <w:t>四、相关措施建议</w:t>
      </w:r>
    </w:p>
    <w:p>
      <w:pPr>
        <w:keepNext w:val="0"/>
        <w:keepLines w:val="0"/>
        <w:pageBreakBefore w:val="0"/>
        <w:widowControl/>
        <w:kinsoku/>
        <w:wordWrap/>
        <w:overflowPunct/>
        <w:topLinePunct w:val="0"/>
        <w:bidi w:val="0"/>
        <w:adjustRightInd/>
        <w:spacing w:line="576" w:lineRule="exact"/>
        <w:jc w:val="left"/>
        <w:textAlignment w:val="auto"/>
        <w:rPr>
          <w:rFonts w:hint="default" w:ascii="仿宋_GB2312" w:hAnsi="微软雅黑" w:eastAsia="仿宋_GB2312"/>
          <w:color w:val="333333"/>
          <w:kern w:val="0"/>
          <w:sz w:val="32"/>
          <w:szCs w:val="32"/>
          <w:lang w:val="en-US" w:eastAsia="zh-CN"/>
        </w:rPr>
      </w:pPr>
      <w:r>
        <w:rPr>
          <w:rFonts w:hint="eastAsia" w:ascii="仿宋_GB2312" w:hAnsi="仿宋_GB2312" w:eastAsia="仿宋_GB2312" w:cs="仿宋_GB2312"/>
          <w:sz w:val="32"/>
          <w:szCs w:val="32"/>
        </w:rPr>
        <w:t>积极向上争取专项建设经费，切实加强资金管理，使有限的资金发挥最大的效益。</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val="0"/>
        <w:bidi w:val="0"/>
        <w:adjustRightInd/>
        <w:spacing w:line="576" w:lineRule="exact"/>
        <w:textAlignment w:val="auto"/>
        <w:rPr>
          <w:rFonts w:hint="eastAsia" w:ascii="黑体" w:hAnsi="黑体" w:eastAsia="黑体" w:cs="Times New Roman"/>
          <w:color w:val="000000"/>
          <w:kern w:val="0"/>
          <w:sz w:val="24"/>
          <w:szCs w:val="24"/>
        </w:rPr>
      </w:pPr>
      <w:r>
        <w:rPr>
          <w:rFonts w:hint="eastAsia" w:ascii="仿宋_GB2312" w:hAnsi="宋体" w:eastAsia="仿宋_GB2312" w:cs="Times New Roman"/>
          <w:color w:val="000000"/>
          <w:spacing w:val="-6"/>
          <w:kern w:val="0"/>
          <w:sz w:val="32"/>
          <w:szCs w:val="32"/>
        </w:rPr>
        <w:t xml:space="preserve">    附表：1.</w:t>
      </w:r>
      <w:r>
        <w:rPr>
          <w:rFonts w:hint="eastAsia" w:ascii="仿宋_GB2312" w:hAnsi="宋体" w:eastAsia="仿宋_GB2312" w:cs="Times New Roman"/>
          <w:color w:val="000000"/>
          <w:spacing w:val="-6"/>
          <w:kern w:val="0"/>
          <w:sz w:val="32"/>
          <w:szCs w:val="32"/>
          <w:lang w:eastAsia="zh-CN"/>
        </w:rPr>
        <w:t>部门预算</w:t>
      </w:r>
      <w:r>
        <w:rPr>
          <w:rFonts w:hint="eastAsia" w:ascii="仿宋_GB2312" w:hAnsi="宋体" w:eastAsia="仿宋_GB2312" w:cs="宋体"/>
          <w:color w:val="000000"/>
          <w:kern w:val="0"/>
          <w:sz w:val="32"/>
          <w:szCs w:val="32"/>
        </w:rPr>
        <w:t>项目支出绩效目标自评表</w:t>
      </w:r>
    </w:p>
    <w:p>
      <w:pPr>
        <w:keepNext w:val="0"/>
        <w:keepLines w:val="0"/>
        <w:pageBreakBefore w:val="0"/>
        <w:widowControl/>
        <w:kinsoku/>
        <w:wordWrap/>
        <w:overflowPunct/>
        <w:topLinePunct w:val="0"/>
        <w:autoSpaceDE w:val="0"/>
        <w:bidi w:val="0"/>
        <w:adjustRightInd/>
        <w:spacing w:line="576" w:lineRule="exact"/>
        <w:ind w:firstLine="1540" w:firstLineChars="500"/>
        <w:jc w:val="left"/>
        <w:textAlignment w:val="auto"/>
        <w:rPr>
          <w:rFonts w:hint="eastAsia" w:ascii="仿宋_GB2312" w:hAnsi="宋体" w:eastAsia="仿宋_GB2312" w:cs="Times New Roman"/>
          <w:color w:val="000000"/>
          <w:spacing w:val="-6"/>
          <w:kern w:val="0"/>
          <w:sz w:val="32"/>
          <w:szCs w:val="32"/>
        </w:rPr>
      </w:pPr>
      <w:r>
        <w:rPr>
          <w:rFonts w:hint="eastAsia" w:ascii="仿宋_GB2312" w:hAnsi="宋体" w:eastAsia="仿宋_GB2312" w:cs="Times New Roman"/>
          <w:color w:val="000000"/>
          <w:spacing w:val="-6"/>
          <w:kern w:val="0"/>
          <w:sz w:val="32"/>
          <w:szCs w:val="32"/>
        </w:rPr>
        <w:t>2.202</w:t>
      </w:r>
      <w:r>
        <w:rPr>
          <w:rFonts w:hint="eastAsia" w:ascii="仿宋_GB2312" w:hAnsi="宋体" w:eastAsia="仿宋_GB2312" w:cs="Times New Roman"/>
          <w:color w:val="000000"/>
          <w:spacing w:val="-6"/>
          <w:kern w:val="0"/>
          <w:sz w:val="32"/>
          <w:szCs w:val="32"/>
          <w:lang w:val="en-US" w:eastAsia="zh-CN"/>
        </w:rPr>
        <w:t>1</w:t>
      </w:r>
      <w:r>
        <w:rPr>
          <w:rFonts w:hint="eastAsia" w:ascii="仿宋_GB2312" w:hAnsi="宋体" w:eastAsia="仿宋_GB2312" w:cs="Times New Roman"/>
          <w:color w:val="000000"/>
          <w:spacing w:val="-6"/>
          <w:kern w:val="0"/>
          <w:sz w:val="32"/>
          <w:szCs w:val="32"/>
        </w:rPr>
        <w:t>年部门预算项目支出绩效自评评分表</w:t>
      </w:r>
    </w:p>
    <w:p>
      <w:pPr>
        <w:spacing w:line="600" w:lineRule="exact"/>
        <w:jc w:val="center"/>
        <w:outlineLvl w:val="0"/>
        <w:rPr>
          <w:rFonts w:ascii="黑体" w:hAnsi="黑体" w:eastAsia="黑体"/>
          <w:color w:val="000000"/>
          <w:sz w:val="44"/>
          <w:szCs w:val="44"/>
        </w:rPr>
      </w:pPr>
    </w:p>
    <w:p>
      <w:pPr>
        <w:pStyle w:val="15"/>
        <w:rPr>
          <w:rFonts w:ascii="黑体" w:hAnsi="黑体" w:eastAsia="黑体"/>
          <w:color w:val="000000"/>
          <w:sz w:val="44"/>
          <w:szCs w:val="44"/>
        </w:rPr>
      </w:pPr>
    </w:p>
    <w:p>
      <w:pPr>
        <w:rPr>
          <w:rFonts w:ascii="黑体" w:hAnsi="黑体" w:eastAsia="黑体"/>
          <w:color w:val="000000"/>
          <w:sz w:val="44"/>
          <w:szCs w:val="44"/>
        </w:rPr>
      </w:pPr>
    </w:p>
    <w:tbl>
      <w:tblPr>
        <w:tblStyle w:val="16"/>
        <w:tblpPr w:leftFromText="180" w:rightFromText="180" w:vertAnchor="text" w:horzAnchor="margin" w:tblpXSpec="center" w:tblpY="573"/>
        <w:tblOverlap w:val="never"/>
        <w:tblW w:w="9960" w:type="dxa"/>
        <w:tblInd w:w="0" w:type="dxa"/>
        <w:tblLayout w:type="fixed"/>
        <w:tblCellMar>
          <w:top w:w="0" w:type="dxa"/>
          <w:left w:w="0" w:type="dxa"/>
          <w:bottom w:w="0" w:type="dxa"/>
          <w:right w:w="0" w:type="dxa"/>
        </w:tblCellMar>
      </w:tblPr>
      <w:tblGrid>
        <w:gridCol w:w="645"/>
        <w:gridCol w:w="1355"/>
        <w:gridCol w:w="782"/>
        <w:gridCol w:w="777"/>
        <w:gridCol w:w="1615"/>
        <w:gridCol w:w="2394"/>
        <w:gridCol w:w="2392"/>
      </w:tblGrid>
      <w:tr>
        <w:tblPrEx>
          <w:tblCellMar>
            <w:top w:w="0" w:type="dxa"/>
            <w:left w:w="0" w:type="dxa"/>
            <w:bottom w:w="0" w:type="dxa"/>
            <w:right w:w="0" w:type="dxa"/>
          </w:tblCellMar>
        </w:tblPrEx>
        <w:trPr>
          <w:trHeight w:val="1034" w:hRule="atLeast"/>
        </w:trPr>
        <w:tc>
          <w:tcPr>
            <w:tcW w:w="9960" w:type="dxa"/>
            <w:gridSpan w:val="7"/>
            <w:tcMar>
              <w:top w:w="15" w:type="dxa"/>
              <w:left w:w="15" w:type="dxa"/>
              <w:bottom w:w="0" w:type="dxa"/>
              <w:right w:w="15" w:type="dxa"/>
            </w:tcMar>
            <w:vAlign w:val="center"/>
          </w:tcPr>
          <w:p>
            <w:pPr>
              <w:pStyle w:val="34"/>
              <w:widowControl/>
              <w:ind w:left="4173" w:leftChars="1310" w:hanging="1422" w:hangingChars="395"/>
              <w:textAlignment w:val="center"/>
              <w:rPr>
                <w:rFonts w:hint="eastAsia" w:ascii="黑体" w:hAnsi="黑体" w:eastAsia="黑体" w:cs="宋体"/>
                <w:bCs/>
                <w:color w:val="000000"/>
                <w:kern w:val="0"/>
                <w:sz w:val="36"/>
                <w:szCs w:val="36"/>
                <w:lang w:eastAsia="zh-CN"/>
              </w:rPr>
            </w:pPr>
            <w:r>
              <w:rPr>
                <w:rFonts w:hint="eastAsia" w:ascii="黑体" w:hAnsi="黑体" w:eastAsia="黑体" w:cs="宋体"/>
                <w:bCs/>
                <w:color w:val="000000"/>
                <w:kern w:val="0"/>
                <w:sz w:val="36"/>
                <w:szCs w:val="36"/>
              </w:rPr>
              <w:t>项目支出绩效目标</w:t>
            </w:r>
            <w:r>
              <w:rPr>
                <w:rFonts w:hint="eastAsia" w:ascii="黑体" w:hAnsi="黑体" w:eastAsia="黑体" w:cs="宋体"/>
                <w:bCs/>
                <w:color w:val="000000"/>
                <w:kern w:val="0"/>
                <w:sz w:val="36"/>
                <w:szCs w:val="36"/>
                <w:lang w:eastAsia="zh-CN"/>
              </w:rPr>
              <w:t>自评</w:t>
            </w:r>
            <w:r>
              <w:rPr>
                <w:rFonts w:hint="eastAsia" w:ascii="黑体" w:hAnsi="黑体" w:eastAsia="黑体" w:cs="宋体"/>
                <w:bCs/>
                <w:color w:val="000000"/>
                <w:kern w:val="0"/>
                <w:sz w:val="36"/>
                <w:szCs w:val="36"/>
              </w:rPr>
              <w:t>表</w:t>
            </w:r>
          </w:p>
          <w:p>
            <w:pPr>
              <w:pStyle w:val="34"/>
              <w:widowControl/>
              <w:ind w:left="4170" w:leftChars="1823" w:hanging="342" w:hangingChars="95"/>
              <w:textAlignment w:val="center"/>
              <w:rPr>
                <w:rFonts w:ascii="宋体" w:cs="宋体"/>
                <w:color w:val="000000"/>
                <w:sz w:val="36"/>
                <w:szCs w:val="36"/>
              </w:rPr>
            </w:pPr>
            <w:r>
              <w:rPr>
                <w:rFonts w:ascii="宋体" w:hAnsi="宋体" w:cs="宋体"/>
                <w:color w:val="000000"/>
                <w:kern w:val="0"/>
                <w:sz w:val="36"/>
                <w:szCs w:val="36"/>
              </w:rPr>
              <w:t>(202</w:t>
            </w:r>
            <w:r>
              <w:rPr>
                <w:rFonts w:hint="eastAsia" w:ascii="宋体" w:hAnsi="宋体" w:cs="宋体"/>
                <w:color w:val="000000"/>
                <w:kern w:val="0"/>
                <w:sz w:val="36"/>
                <w:szCs w:val="36"/>
                <w:lang w:val="en-US" w:eastAsia="zh-CN"/>
              </w:rPr>
              <w:t>1</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lang w:eastAsia="zh-CN"/>
              </w:rPr>
              <w:t>乡村振兴</w:t>
            </w:r>
            <w:r>
              <w:rPr>
                <w:rFonts w:hint="eastAsia" w:ascii="仿宋_GB2312" w:eastAsia="仿宋_GB2312" w:cs="宋体"/>
                <w:color w:val="000000"/>
                <w:sz w:val="24"/>
              </w:rPr>
              <w:t>工作经费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广元市朝天区人民政府办公室</w:t>
            </w:r>
          </w:p>
        </w:tc>
      </w:tr>
      <w:tr>
        <w:tblPrEx>
          <w:tblCellMar>
            <w:top w:w="0" w:type="dxa"/>
            <w:left w:w="0" w:type="dxa"/>
            <w:bottom w:w="0" w:type="dxa"/>
            <w:right w:w="0" w:type="dxa"/>
          </w:tblCellMar>
        </w:tblPrEx>
        <w:trPr>
          <w:trHeight w:val="276" w:hRule="atLeast"/>
        </w:trPr>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预算执行情况</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万元</w:t>
            </w:r>
            <w:r>
              <w:rPr>
                <w:rFonts w:ascii="仿宋_GB2312" w:hAnsi="宋体" w:eastAsia="仿宋_GB2312" w:cs="宋体"/>
                <w:color w:val="000000"/>
                <w:kern w:val="0"/>
                <w:sz w:val="24"/>
              </w:rPr>
              <w:t>)</w:t>
            </w:r>
          </w:p>
        </w:tc>
        <w:tc>
          <w:tcPr>
            <w:tcW w:w="21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预算数</w:t>
            </w:r>
            <w:r>
              <w:rPr>
                <w:rFonts w:ascii="仿宋_GB2312" w:hAnsi="宋体" w:eastAsia="仿宋_GB2312"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eastAsia="仿宋_GB2312" w:cs="宋体"/>
                <w:color w:val="000000"/>
                <w:sz w:val="24"/>
                <w:lang w:val="en-US" w:eastAsia="zh-CN"/>
              </w:rPr>
            </w:pPr>
            <w:r>
              <w:rPr>
                <w:rFonts w:hint="eastAsia" w:ascii="仿宋_GB2312" w:eastAsia="仿宋_GB2312" w:cs="宋体"/>
                <w:color w:val="000000"/>
                <w:sz w:val="24"/>
                <w:lang w:val="en-US" w:eastAsia="zh-CN"/>
              </w:rPr>
              <w:t>8.05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执行数</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eastAsia="仿宋_GB2312" w:cs="宋体"/>
                <w:color w:val="000000"/>
                <w:sz w:val="24"/>
                <w:lang w:val="en-US" w:eastAsia="zh-CN"/>
              </w:rPr>
            </w:pPr>
            <w:r>
              <w:rPr>
                <w:rFonts w:hint="eastAsia" w:ascii="仿宋_GB2312" w:eastAsia="仿宋_GB2312" w:cs="宋体"/>
                <w:color w:val="000000"/>
                <w:sz w:val="24"/>
                <w:lang w:val="en-US" w:eastAsia="zh-CN"/>
              </w:rPr>
              <w:t>8.05</w:t>
            </w:r>
          </w:p>
        </w:tc>
      </w:tr>
      <w:tr>
        <w:tblPrEx>
          <w:tblCellMar>
            <w:top w:w="0" w:type="dxa"/>
            <w:left w:w="0" w:type="dxa"/>
            <w:bottom w:w="0" w:type="dxa"/>
            <w:right w:w="0" w:type="dxa"/>
          </w:tblCellMar>
        </w:tblPrEx>
        <w:trPr>
          <w:trHeight w:val="393"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21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其中</w:t>
            </w:r>
            <w:r>
              <w:rPr>
                <w:rFonts w:ascii="仿宋_GB2312" w:eastAsia="仿宋_GB2312" w:cs="宋体"/>
                <w:color w:val="000000"/>
                <w:kern w:val="0"/>
                <w:sz w:val="24"/>
              </w:rPr>
              <w:t>-</w:t>
            </w:r>
            <w:r>
              <w:rPr>
                <w:rFonts w:hint="eastAsia" w:ascii="仿宋_GB2312" w:hAnsi="宋体" w:eastAsia="仿宋_GB2312" w:cs="宋体"/>
                <w:color w:val="000000"/>
                <w:kern w:val="0"/>
                <w:sz w:val="24"/>
              </w:rPr>
              <w:t>财政拨款</w:t>
            </w:r>
            <w:r>
              <w:rPr>
                <w:rFonts w:ascii="仿宋_GB2312" w:hAnsi="宋体" w:eastAsia="仿宋_GB2312"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eastAsia="仿宋_GB2312" w:cs="宋体"/>
                <w:color w:val="000000"/>
                <w:sz w:val="24"/>
                <w:lang w:val="en-US" w:eastAsia="zh-CN"/>
              </w:rPr>
            </w:pPr>
            <w:r>
              <w:rPr>
                <w:rFonts w:hint="eastAsia" w:ascii="仿宋_GB2312" w:eastAsia="仿宋_GB2312" w:cs="宋体"/>
                <w:color w:val="000000"/>
                <w:sz w:val="24"/>
                <w:lang w:val="en-US" w:eastAsia="zh-CN"/>
              </w:rPr>
              <w:t>8.05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其中</w:t>
            </w:r>
            <w:r>
              <w:rPr>
                <w:rFonts w:ascii="仿宋_GB2312" w:eastAsia="仿宋_GB2312" w:cs="宋体"/>
                <w:color w:val="000000"/>
                <w:kern w:val="0"/>
                <w:sz w:val="24"/>
              </w:rPr>
              <w:t>-</w:t>
            </w:r>
            <w:r>
              <w:rPr>
                <w:rFonts w:hint="eastAsia" w:ascii="仿宋_GB2312" w:hAnsi="宋体" w:eastAsia="仿宋_GB2312" w:cs="宋体"/>
                <w:color w:val="000000"/>
                <w:kern w:val="0"/>
                <w:sz w:val="24"/>
              </w:rPr>
              <w:t>财政拨款</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eastAsia="仿宋_GB2312" w:cs="宋体"/>
                <w:color w:val="000000"/>
                <w:sz w:val="24"/>
                <w:lang w:val="en-US" w:eastAsia="zh-CN"/>
              </w:rPr>
            </w:pPr>
            <w:r>
              <w:rPr>
                <w:rFonts w:hint="eastAsia" w:ascii="仿宋_GB2312" w:eastAsia="仿宋_GB2312" w:cs="宋体"/>
                <w:color w:val="000000"/>
                <w:sz w:val="24"/>
                <w:lang w:val="en-US" w:eastAsia="zh-CN"/>
              </w:rPr>
              <w:t>8.05</w:t>
            </w:r>
          </w:p>
        </w:tc>
      </w:tr>
      <w:tr>
        <w:tblPrEx>
          <w:tblCellMar>
            <w:top w:w="0" w:type="dxa"/>
            <w:left w:w="0" w:type="dxa"/>
            <w:bottom w:w="0" w:type="dxa"/>
            <w:right w:w="0" w:type="dxa"/>
          </w:tblCellMar>
        </w:tblPrEx>
        <w:trPr>
          <w:trHeight w:val="1239"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21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其它资金</w:t>
            </w:r>
            <w:r>
              <w:rPr>
                <w:rFonts w:ascii="仿宋_GB2312" w:hAnsi="宋体" w:eastAsia="仿宋_GB2312"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其它资金</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_GB2312" w:eastAsia="仿宋_GB2312" w:cs="宋体"/>
                <w:color w:val="000000"/>
                <w:sz w:val="24"/>
              </w:rPr>
            </w:pPr>
            <w:r>
              <w:rPr>
                <w:rFonts w:ascii="仿宋_GB2312" w:eastAsia="仿宋_GB2312" w:cs="宋体"/>
                <w:color w:val="000000"/>
                <w:sz w:val="24"/>
              </w:rPr>
              <w:t>0</w:t>
            </w:r>
          </w:p>
        </w:tc>
      </w:tr>
      <w:tr>
        <w:tblPrEx>
          <w:tblCellMar>
            <w:top w:w="0" w:type="dxa"/>
            <w:left w:w="0" w:type="dxa"/>
            <w:bottom w:w="0" w:type="dxa"/>
            <w:right w:w="0" w:type="dxa"/>
          </w:tblCellMar>
        </w:tblPrEx>
        <w:trPr>
          <w:trHeight w:val="276" w:hRule="atLeast"/>
        </w:trPr>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年度目标完成情况</w:t>
            </w:r>
          </w:p>
        </w:tc>
        <w:tc>
          <w:tcPr>
            <w:tcW w:w="4529"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4529"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r>
              <w:rPr>
                <w:rFonts w:hint="eastAsia" w:ascii="仿宋_GB2312" w:eastAsia="仿宋_GB2312" w:cs="宋体"/>
                <w:color w:val="000000"/>
                <w:sz w:val="24"/>
              </w:rPr>
              <w:t>保障我办</w:t>
            </w:r>
            <w:r>
              <w:rPr>
                <w:rFonts w:hint="eastAsia" w:ascii="仿宋_GB2312" w:eastAsia="仿宋_GB2312" w:cs="宋体"/>
                <w:color w:val="000000"/>
                <w:sz w:val="24"/>
                <w:lang w:eastAsia="zh-CN"/>
              </w:rPr>
              <w:t>乡村振兴</w:t>
            </w:r>
            <w:r>
              <w:rPr>
                <w:rFonts w:hint="eastAsia" w:ascii="仿宋_GB2312" w:eastAsia="仿宋_GB2312" w:cs="宋体"/>
                <w:color w:val="000000"/>
                <w:sz w:val="24"/>
              </w:rPr>
              <w:t>工作顺利开展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r>
              <w:rPr>
                <w:rFonts w:hint="eastAsia" w:ascii="仿宋_GB2312" w:eastAsia="仿宋_GB2312" w:cs="宋体"/>
                <w:color w:val="000000"/>
                <w:sz w:val="24"/>
              </w:rPr>
              <w:t>切实保障了我办</w:t>
            </w:r>
            <w:r>
              <w:rPr>
                <w:rFonts w:hint="eastAsia" w:ascii="仿宋_GB2312" w:eastAsia="仿宋_GB2312" w:cs="宋体"/>
                <w:color w:val="000000"/>
                <w:sz w:val="24"/>
                <w:lang w:eastAsia="zh-CN"/>
              </w:rPr>
              <w:t>乡村振兴</w:t>
            </w:r>
            <w:r>
              <w:rPr>
                <w:rFonts w:hint="eastAsia" w:ascii="仿宋_GB2312" w:eastAsia="仿宋_GB2312" w:cs="宋体"/>
                <w:color w:val="000000"/>
                <w:sz w:val="24"/>
              </w:rPr>
              <w:t>工作成效明显，</w:t>
            </w:r>
            <w:r>
              <w:rPr>
                <w:rFonts w:hint="eastAsia" w:ascii="仿宋_GB2312" w:eastAsia="仿宋_GB2312" w:cs="宋体"/>
                <w:color w:val="000000"/>
                <w:sz w:val="24"/>
                <w:lang w:eastAsia="zh-CN"/>
              </w:rPr>
              <w:t>加强对</w:t>
            </w:r>
            <w:r>
              <w:rPr>
                <w:rFonts w:hint="eastAsia" w:ascii="仿宋_GB2312" w:eastAsia="仿宋_GB2312" w:cs="宋体"/>
                <w:color w:val="000000"/>
                <w:sz w:val="24"/>
              </w:rPr>
              <w:t>群众安全感、幸福感和获得感显著提升，群众对帮扶工作成效满意</w:t>
            </w:r>
          </w:p>
        </w:tc>
      </w:tr>
      <w:tr>
        <w:tblPrEx>
          <w:tblCellMar>
            <w:top w:w="0" w:type="dxa"/>
            <w:left w:w="0" w:type="dxa"/>
            <w:bottom w:w="0" w:type="dxa"/>
            <w:right w:w="0" w:type="dxa"/>
          </w:tblCellMar>
        </w:tblPrEx>
        <w:trPr>
          <w:trHeight w:val="1042" w:hRule="atLeast"/>
        </w:trPr>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绩效指标完成情况</w:t>
            </w:r>
          </w:p>
          <w:p>
            <w:pPr>
              <w:widowControl/>
              <w:textAlignment w:val="center"/>
              <w:rPr>
                <w:rFonts w:ascii="仿宋_GB2312" w:eastAsia="仿宋_GB2312"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一级指标</w:t>
            </w: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二级指标</w:t>
            </w:r>
          </w:p>
        </w:tc>
        <w:tc>
          <w:tcPr>
            <w:tcW w:w="16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预期指标值</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包含数字及文字描述</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实际完成指标值</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包含数字及文字描述</w:t>
            </w:r>
            <w:r>
              <w:rPr>
                <w:rFonts w:ascii="仿宋_GB2312" w:hAnsi="宋体" w:eastAsia="仿宋_GB2312" w:cs="宋体"/>
                <w:color w:val="000000"/>
                <w:kern w:val="0"/>
                <w:sz w:val="24"/>
              </w:rPr>
              <w:t>)</w:t>
            </w:r>
          </w:p>
        </w:tc>
      </w:tr>
      <w:tr>
        <w:tblPrEx>
          <w:tblCellMar>
            <w:top w:w="0" w:type="dxa"/>
            <w:left w:w="0" w:type="dxa"/>
            <w:bottom w:w="0" w:type="dxa"/>
            <w:right w:w="0" w:type="dxa"/>
          </w:tblCellMar>
        </w:tblPrEx>
        <w:trPr>
          <w:trHeight w:val="698"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项目完成指标</w:t>
            </w: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数量指标</w:t>
            </w:r>
          </w:p>
        </w:tc>
        <w:tc>
          <w:tcPr>
            <w:tcW w:w="16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保障</w:t>
            </w:r>
            <w:r>
              <w:rPr>
                <w:rFonts w:hint="eastAsia" w:ascii="仿宋_GB2312" w:eastAsia="仿宋_GB2312" w:cs="宋体"/>
                <w:color w:val="000000"/>
                <w:sz w:val="24"/>
                <w:lang w:eastAsia="zh-CN"/>
              </w:rPr>
              <w:t>乡村振兴</w:t>
            </w:r>
            <w:r>
              <w:rPr>
                <w:rFonts w:hint="eastAsia" w:ascii="仿宋_GB2312" w:eastAsia="仿宋_GB2312" w:cs="宋体"/>
                <w:color w:val="000000"/>
                <w:sz w:val="24"/>
              </w:rPr>
              <w:t>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r>
              <w:rPr>
                <w:rFonts w:hint="eastAsia" w:ascii="仿宋_GB2312" w:eastAsia="仿宋_GB2312" w:cs="宋体"/>
                <w:color w:val="000000"/>
                <w:sz w:val="24"/>
              </w:rPr>
              <w:t>保障第一书记、工作队员工作开展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r>
              <w:rPr>
                <w:rFonts w:hint="eastAsia" w:ascii="仿宋_GB2312" w:eastAsia="仿宋_GB2312" w:cs="宋体"/>
                <w:color w:val="000000"/>
                <w:sz w:val="24"/>
              </w:rPr>
              <w:t>保障第一书记、工作队员工作开展</w:t>
            </w:r>
          </w:p>
        </w:tc>
      </w:tr>
      <w:tr>
        <w:tblPrEx>
          <w:tblCellMar>
            <w:top w:w="0" w:type="dxa"/>
            <w:left w:w="0" w:type="dxa"/>
            <w:bottom w:w="0" w:type="dxa"/>
            <w:right w:w="0" w:type="dxa"/>
          </w:tblCellMar>
        </w:tblPrEx>
        <w:trPr>
          <w:trHeight w:val="823"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项目完成指标</w:t>
            </w: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质量指标</w:t>
            </w:r>
          </w:p>
        </w:tc>
        <w:tc>
          <w:tcPr>
            <w:tcW w:w="16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r>
              <w:rPr>
                <w:rFonts w:hint="eastAsia" w:ascii="仿宋_GB2312" w:eastAsia="仿宋_GB2312" w:cs="宋体"/>
                <w:color w:val="000000"/>
                <w:sz w:val="24"/>
              </w:rPr>
              <w:t>完成驻村帮扶工作任务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全面完成驻村帮扶工作任务</w:t>
            </w:r>
          </w:p>
        </w:tc>
      </w:tr>
      <w:tr>
        <w:tblPrEx>
          <w:tblCellMar>
            <w:top w:w="0" w:type="dxa"/>
            <w:left w:w="0" w:type="dxa"/>
            <w:bottom w:w="0" w:type="dxa"/>
            <w:right w:w="0" w:type="dxa"/>
          </w:tblCellMar>
        </w:tblPrEx>
        <w:trPr>
          <w:trHeight w:val="696"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项目完成指标</w:t>
            </w: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时效指标</w:t>
            </w:r>
          </w:p>
        </w:tc>
        <w:tc>
          <w:tcPr>
            <w:tcW w:w="16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sz w:val="24"/>
              </w:rPr>
              <w:t>202</w:t>
            </w:r>
            <w:r>
              <w:rPr>
                <w:rFonts w:hint="eastAsia" w:ascii="仿宋_GB2312" w:eastAsia="仿宋_GB2312" w:cs="宋体"/>
                <w:color w:val="000000"/>
                <w:sz w:val="24"/>
                <w:lang w:val="en-US" w:eastAsia="zh-CN"/>
              </w:rPr>
              <w:t>1</w:t>
            </w:r>
            <w:r>
              <w:rPr>
                <w:rFonts w:hint="eastAsia" w:ascii="仿宋_GB2312" w:eastAsia="仿宋_GB2312" w:cs="宋体"/>
                <w:color w:val="000000"/>
                <w:sz w:val="24"/>
              </w:rPr>
              <w:t>年</w:t>
            </w:r>
            <w:r>
              <w:rPr>
                <w:rFonts w:ascii="仿宋_GB2312" w:eastAsia="仿宋_GB2312" w:cs="宋体"/>
                <w:color w:val="000000"/>
                <w:sz w:val="24"/>
              </w:rPr>
              <w:t>12</w:t>
            </w:r>
            <w:r>
              <w:rPr>
                <w:rFonts w:hint="eastAsia" w:ascii="仿宋_GB2312" w:eastAsia="仿宋_GB2312" w:cs="宋体"/>
                <w:color w:val="000000"/>
                <w:sz w:val="24"/>
              </w:rPr>
              <w:t>月底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按时完成</w:t>
            </w:r>
          </w:p>
        </w:tc>
      </w:tr>
      <w:tr>
        <w:tblPrEx>
          <w:tblCellMar>
            <w:top w:w="0" w:type="dxa"/>
            <w:left w:w="0" w:type="dxa"/>
            <w:bottom w:w="0" w:type="dxa"/>
            <w:right w:w="0" w:type="dxa"/>
          </w:tblCellMar>
        </w:tblPrEx>
        <w:trPr>
          <w:trHeight w:val="672"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效益指标</w:t>
            </w: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社会效益指标</w:t>
            </w:r>
          </w:p>
        </w:tc>
        <w:tc>
          <w:tcPr>
            <w:tcW w:w="16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农户产业发展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壮大集体集体经济，发展种养殖业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r>
              <w:rPr>
                <w:rFonts w:hint="eastAsia" w:ascii="仿宋_GB2312" w:eastAsia="仿宋_GB2312" w:cs="宋体"/>
                <w:color w:val="000000"/>
                <w:sz w:val="24"/>
              </w:rPr>
              <w:t>壮大集体集体经济，发展种养殖业</w:t>
            </w:r>
          </w:p>
        </w:tc>
      </w:tr>
      <w:tr>
        <w:tblPrEx>
          <w:tblCellMar>
            <w:top w:w="0" w:type="dxa"/>
            <w:left w:w="0" w:type="dxa"/>
            <w:bottom w:w="0" w:type="dxa"/>
            <w:right w:w="0" w:type="dxa"/>
          </w:tblCellMar>
        </w:tblPrEx>
        <w:trPr>
          <w:trHeight w:val="696"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效益指标</w:t>
            </w: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可持续影响指标</w:t>
            </w:r>
          </w:p>
        </w:tc>
        <w:tc>
          <w:tcPr>
            <w:tcW w:w="16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农村环境持续改善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实施新村风貌打造，农户居住环境焕然一新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实施新村风貌打造，农户居住环境焕然一新</w:t>
            </w:r>
          </w:p>
        </w:tc>
      </w:tr>
      <w:tr>
        <w:tblPrEx>
          <w:tblCellMar>
            <w:top w:w="0" w:type="dxa"/>
            <w:left w:w="0" w:type="dxa"/>
            <w:bottom w:w="0" w:type="dxa"/>
            <w:right w:w="0" w:type="dxa"/>
          </w:tblCellMar>
        </w:tblPrEx>
        <w:trPr>
          <w:trHeight w:val="1042"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满意度指标</w:t>
            </w: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群众建设满意度</w:t>
            </w:r>
          </w:p>
        </w:tc>
        <w:tc>
          <w:tcPr>
            <w:tcW w:w="16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帮扶工作群众满意度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群众满意度达</w:t>
            </w:r>
            <w:r>
              <w:rPr>
                <w:rFonts w:ascii="仿宋_GB2312" w:eastAsia="仿宋_GB2312" w:cs="宋体"/>
                <w:color w:val="000000"/>
                <w:sz w:val="24"/>
              </w:rPr>
              <w:t>9</w:t>
            </w:r>
            <w:r>
              <w:rPr>
                <w:rFonts w:hint="eastAsia" w:ascii="仿宋_GB2312" w:eastAsia="仿宋_GB2312" w:cs="宋体"/>
                <w:color w:val="000000"/>
                <w:sz w:val="24"/>
                <w:lang w:val="en-US" w:eastAsia="zh-CN"/>
              </w:rPr>
              <w:t>8</w:t>
            </w:r>
            <w:r>
              <w:rPr>
                <w:rFonts w:ascii="仿宋_GB2312" w:eastAsia="仿宋_GB2312" w:cs="宋体"/>
                <w:color w:val="000000"/>
                <w:sz w:val="24"/>
              </w:rPr>
              <w:t>%</w:t>
            </w:r>
            <w:r>
              <w:rPr>
                <w:rFonts w:hint="eastAsia" w:ascii="仿宋_GB2312" w:eastAsia="仿宋_GB2312" w:cs="宋体"/>
                <w:color w:val="000000"/>
                <w:sz w:val="24"/>
              </w:rPr>
              <w:t>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群众满意度达</w:t>
            </w:r>
            <w:r>
              <w:rPr>
                <w:rFonts w:ascii="仿宋_GB2312" w:eastAsia="仿宋_GB2312" w:cs="宋体"/>
                <w:color w:val="000000"/>
                <w:sz w:val="24"/>
              </w:rPr>
              <w:t>9</w:t>
            </w:r>
            <w:r>
              <w:rPr>
                <w:rFonts w:hint="eastAsia" w:ascii="仿宋_GB2312" w:eastAsia="仿宋_GB2312" w:cs="宋体"/>
                <w:color w:val="000000"/>
                <w:sz w:val="24"/>
                <w:lang w:val="en-US" w:eastAsia="zh-CN"/>
              </w:rPr>
              <w:t>8</w:t>
            </w:r>
            <w:r>
              <w:rPr>
                <w:rFonts w:ascii="仿宋_GB2312" w:eastAsia="仿宋_GB2312" w:cs="宋体"/>
                <w:color w:val="000000"/>
                <w:sz w:val="24"/>
              </w:rPr>
              <w:t>%</w:t>
            </w:r>
            <w:r>
              <w:rPr>
                <w:rFonts w:hint="eastAsia" w:ascii="仿宋_GB2312" w:eastAsia="仿宋_GB2312" w:cs="宋体"/>
                <w:color w:val="000000"/>
                <w:sz w:val="24"/>
              </w:rPr>
              <w:t>以上</w:t>
            </w:r>
          </w:p>
        </w:tc>
      </w:tr>
    </w:tbl>
    <w:p>
      <w:pPr>
        <w:keepNext w:val="0"/>
        <w:keepLines w:val="0"/>
        <w:widowControl/>
        <w:suppressLineNumbers w:val="0"/>
        <w:jc w:val="both"/>
        <w:textAlignment w:val="top"/>
        <w:rPr>
          <w:rFonts w:hint="default" w:ascii="方正大标宋_GBK" w:hAnsi="方正大标宋_GBK" w:eastAsia="方正大标宋_GBK" w:cs="方正大标宋_GBK"/>
          <w:b/>
          <w:bCs/>
          <w:i w:val="0"/>
          <w:iCs w:val="0"/>
          <w:color w:val="000000"/>
          <w:kern w:val="0"/>
          <w:sz w:val="40"/>
          <w:szCs w:val="40"/>
          <w:u w:val="none"/>
          <w:lang w:val="en-US" w:eastAsia="zh-CN" w:bidi="ar"/>
        </w:rPr>
        <w:sectPr>
          <w:pgSz w:w="11906" w:h="16838"/>
          <w:pgMar w:top="1440" w:right="1803" w:bottom="1440" w:left="1803" w:header="851" w:footer="992" w:gutter="0"/>
          <w:pgNumType w:start="1"/>
          <w:cols w:space="0" w:num="1"/>
          <w:titlePg/>
          <w:rtlGutter w:val="0"/>
          <w:docGrid w:type="lines" w:linePitch="319" w:charSpace="0"/>
        </w:sectPr>
      </w:pPr>
    </w:p>
    <w:tbl>
      <w:tblPr>
        <w:tblStyle w:val="16"/>
        <w:tblW w:w="14575" w:type="dxa"/>
        <w:tblInd w:w="-2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1080"/>
        <w:gridCol w:w="1080"/>
        <w:gridCol w:w="4222"/>
        <w:gridCol w:w="533"/>
        <w:gridCol w:w="6384"/>
        <w:gridCol w:w="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4575" w:type="dxa"/>
            <w:gridSpan w:val="7"/>
            <w:tcBorders>
              <w:top w:val="nil"/>
              <w:left w:val="nil"/>
              <w:bottom w:val="nil"/>
              <w:right w:val="nil"/>
            </w:tcBorders>
            <w:shd w:val="clear" w:color="auto" w:fill="auto"/>
            <w:noWrap/>
            <w:vAlign w:val="top"/>
          </w:tcPr>
          <w:p>
            <w:pPr>
              <w:keepNext w:val="0"/>
              <w:keepLines w:val="0"/>
              <w:widowControl/>
              <w:suppressLineNumbers w:val="0"/>
              <w:ind w:firstLine="3614" w:firstLineChars="900"/>
              <w:jc w:val="both"/>
              <w:textAlignment w:val="top"/>
              <w:rPr>
                <w:rFonts w:ascii="方正大标宋_GBK" w:hAnsi="方正大标宋_GBK" w:eastAsia="方正大标宋_GBK" w:cs="方正大标宋_GBK"/>
                <w:b/>
                <w:bCs/>
                <w:i w:val="0"/>
                <w:iCs w:val="0"/>
                <w:color w:val="000000"/>
                <w:sz w:val="40"/>
                <w:szCs w:val="40"/>
                <w:u w:val="none"/>
              </w:rPr>
            </w:pPr>
            <w:r>
              <w:rPr>
                <w:rFonts w:hint="default" w:ascii="方正大标宋_GBK" w:hAnsi="方正大标宋_GBK" w:eastAsia="方正大标宋_GBK" w:cs="方正大标宋_GBK"/>
                <w:b/>
                <w:bCs/>
                <w:i w:val="0"/>
                <w:iCs w:val="0"/>
                <w:color w:val="000000"/>
                <w:kern w:val="0"/>
                <w:sz w:val="40"/>
                <w:szCs w:val="40"/>
                <w:u w:val="none"/>
                <w:lang w:val="en-US" w:eastAsia="zh-CN" w:bidi="ar"/>
              </w:rPr>
              <w:t>202</w:t>
            </w:r>
            <w:r>
              <w:rPr>
                <w:rFonts w:hint="eastAsia" w:ascii="方正大标宋_GBK" w:hAnsi="方正大标宋_GBK" w:eastAsia="方正大标宋_GBK" w:cs="方正大标宋_GBK"/>
                <w:b/>
                <w:bCs/>
                <w:i w:val="0"/>
                <w:iCs w:val="0"/>
                <w:color w:val="000000"/>
                <w:kern w:val="0"/>
                <w:sz w:val="40"/>
                <w:szCs w:val="40"/>
                <w:u w:val="none"/>
                <w:lang w:val="en-US" w:eastAsia="zh-CN" w:bidi="ar"/>
              </w:rPr>
              <w:t>1</w:t>
            </w:r>
            <w:r>
              <w:rPr>
                <w:rFonts w:hint="default" w:ascii="方正大标宋_GBK" w:hAnsi="方正大标宋_GBK" w:eastAsia="方正大标宋_GBK" w:cs="方正大标宋_GBK"/>
                <w:b/>
                <w:bCs/>
                <w:i w:val="0"/>
                <w:iCs w:val="0"/>
                <w:color w:val="000000"/>
                <w:kern w:val="0"/>
                <w:sz w:val="40"/>
                <w:szCs w:val="40"/>
                <w:u w:val="none"/>
                <w:lang w:val="en-US" w:eastAsia="zh-CN" w:bidi="ar"/>
              </w:rPr>
              <w:t>年部门预算项目支出绩效自评评分表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4575"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 部门（单位）盖章：                                                                          项目名称：</w:t>
            </w:r>
            <w:r>
              <w:rPr>
                <w:rFonts w:hint="eastAsia" w:ascii="仿宋_GB2312" w:eastAsia="仿宋_GB2312" w:cs="宋体"/>
                <w:color w:val="000000"/>
                <w:sz w:val="24"/>
                <w:lang w:eastAsia="zh-CN"/>
              </w:rPr>
              <w:t>乡村振兴</w:t>
            </w:r>
            <w:r>
              <w:rPr>
                <w:rFonts w:hint="eastAsia" w:ascii="仿宋_GB2312" w:eastAsia="仿宋_GB2312" w:cs="宋体"/>
                <w:color w:val="000000"/>
                <w:sz w:val="24"/>
              </w:rPr>
              <w:t>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 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二级指标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三级指标            </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指标内容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参考分值</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评分标准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项目决策（14分）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项目立项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立项依据</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用以反映项目立项是否有充分的依据：符合国家法律法规、本地的相关规定；符合部门年度工作计划。</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①符合国家相关法律法规、国民经济发展规划和党委政府决策（1分）；                                                                                                           ②符合部门（单位）年度工作计划或项目实施单位职责密切相关（1分）。                                                             </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决策程序</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用以反映和考核项目立项的规范情况：项目的申请、设立过程是否符合相关要求。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①项目是否按照规定的程序申请设立，审批文件、材料是否符合相关要求（1分）； ②事前是否已经过必要的可行性研究、专家论证、风险评估、集体决策等（1分）。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项目目标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目标合理性</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用以反映和考核项目绩效目标与项目实施的相符情况：项目所设定的绩效目标是否依据充分，是否符合客观实际。</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①项目的测算依据充分（1分）；                                                                                                                                                       ②项目是否有绩效目标，与实际工作内容是否具有相关性（1分）；                                                                                                                        ③项目预期产出效益和效果是否符合正常的业绩水平（1分）；                                                                                                                                                                   ④与预算确定的项目投资额或资金量相匹配（1分）。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指标明确性</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用以反映和考核项目绩效目标与项目实施的相符情况：依据绩效目标设定的绩效指标是否清晰、细化、可衡量等。</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①是否将绩效目标的绩效指标细化分解（1分）；                                                                                                                                                        ②分解的绩效指标体现清晰、可衡量的指标值（1分）；                                                                                                                                                   ③与项目年度任务数或计划数相对应（1分）；                                                                                                                                                         ④与预算确定的项目投资额或资金量相匹配（1分）。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资金分配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分配的合理性</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项目预算资金分配是否有测算依据，与项目单位或地方实际是否相适应；根据需要制定的相关资金管理办法；管理办法中有明确资金分配办法；资金分配因素全面、合理。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①预算资金分配依据充分（1分）；                                                                                                                                 ②资金分配额度合理，与项目单位或地方实际相适应 （1分）。                 此项需提供相应的资金分配方案。</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项目管理（16分）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资金管理（9分）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资金到位率=（实际到位资金/计划投入资金）×100%。                                                              实际到位资金：一定时期（本年度或项目期）内落实到具体项目的资金。                                                       预算资金：一定时期（本年度或项目期）内预算安排到具体项目的资金。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根据项目资金的实际到位率计算得分（1分）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用以反映项目预算执行的进度：预算执行率=实际支出数/预算数。                                      实际支出资金：一定时期（本年度或项目期）内项目实际拨付的资金。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根据项目资金的预算执行率计算得分（2分）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用以反映和考核项目资金的规范运行情况：项目资金使用是否符合相关的财务管理制度规定。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①符合国家财经法规和财务管理制度以及有关专项资金管理办法的规定（1分）；                                                                      ②资金的拨付审批程序和手续完整（1分）；                                                                                           ③符合项目预算批复或合同规定的用途（1分）；                                                                                                                                                                    ④无截留、挤占、挪用、无虚列支出（3分）；                                                                                                                                                                                 若评价前已完成项目资金的专项审计，该指标可用审计结论代替。</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组织实施（7分）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制度管理</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用以反映和考核财务和业务管理制度对项目顺利实施的制度保障情况。</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①制定或具有相应的财务和业务管理制度（1分）；                                                                                                                                                         ②财务和业务管理制度合法、合规、完整（1分）。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制度执行</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用以反映和考核业务管理制度的有效执行和质量控制情况：项目实施是否符合相关业务管理规定，是否为达到项目质量要求而采取了必需的措施。</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①按相关法律法规和业务管理规定执行（1分）；                                                                                                                                                      ②项目调整及支出调整手续完备（1分）；                                                                                                                                                                   ③项目合同书、验收报告、技术鉴定等资料规范、齐全（2分）；                                                                                                                                                                      ④项目实施的人员条件、场地设备等是否落实到位（1分）。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项目绩效（特性指标）（70）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项目产出（35分）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实际完成率</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实际完成率=（实际产出数/计划产出数）×100%。                                                            实际产出数：一定时期（本年度或项目期）内项目实际产出的产品或提供的服务数量。                                                                                         计划产出数：项目绩效目标确定的在一定时期（本年度或项目期）内计划产出的产品或提供的服务数量。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完成绩效目标100%得9分，未完成100%的同比例扣减。</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质量达标率</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质量达标率=（质量达标产出数量/计划完成产出数量）× 100%。                                                                                                                                  质量达标产出数：一定时期（本年度或项目期）内实际达到既定质量标准的产品或服务数量。                                                            既定质量标准是指项目实施单位设立绩效目标时依据计划标准、行业标准、历史标准或其他标准而设定的绩效指标值。  </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产出质量达到绩效目标100%得9分，未完成100%的同比例扣减。</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完成及时性</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完成及时率=计划时限内实际完成的项目数量/计划时限内应完成的项目数量×100%。                                                                                                                               实际完成时间：项目实施单位完成该项目实际所耗用的时间。                                                                         计划完成时间：按照项目实施计划或相关规定完成该项目所需的时间。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产出时效达到绩效目标得8分，未完成且无充分理由的扣3分。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完成成本（成本节约率）</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成本节约率=[（计划成本-实际成本）/计划成本]×100%。                                                        实际成本：项目实施单位如期、保质、保量完成既定工作目标实际所耗费的支出。                                                                                        计划成本：项目实施单位为完成工作目标计划安排的支出，一般以项目预算为参考。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产出成本按绩效目标控制得9分，未完成的，按超支比例扣减。</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项目效益（30分）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经济效益（可选项）</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反映相关产出对经济社会发展带来的影响和效果，根据项目实际细化具体指标。重点考核投入产出率、回报率、增长率等指标。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完成绩效目标设定的经济效益得7分，未完成的，按完成情况酌情扣分。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社会效益（可选项）</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反映相关产出对社会发展带来的影响和效果，根据项目实际细化具体指标。重点考核撬动率、贡献率、达标率、就业率等指标。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完成绩效目标设定的社会效益得7分，未完成的，按完成情况酌情扣分。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环境效益（可选项）</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反映相关产出对自然环境带来的影响和效果，根据项目实际细化具体指标。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完成绩效目标设定的积极的环境效益得7分，未完成的，按完成情况酌情扣分。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可持续效益（可选项）</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反映相关产出带来影响的可持续期限，根据项目实际细化具体指标。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完成绩效设定目标的得7分，未完成的，按完成情况酌情扣分。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              （5分）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满意率反映服务对象或项目受益人对相关产出及其影响的认可程度，根据项目实际细化具体指标。重点考核满意率等指标。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满意率达90%（含）以上的得5分；80%（含）-89%得4分；70%（含）-79%得3分；60%（含）-69%得2分；60%以下不得分。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7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自评等级</w:t>
            </w:r>
          </w:p>
        </w:tc>
        <w:tc>
          <w:tcPr>
            <w:tcW w:w="11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Style w:val="35"/>
                <w:sz w:val="20"/>
                <w:szCs w:val="20"/>
                <w:lang w:val="en-US" w:eastAsia="zh-CN" w:bidi="ar"/>
              </w:rPr>
              <w:t>自评结果：</w:t>
            </w:r>
            <w:r>
              <w:rPr>
                <w:rStyle w:val="36"/>
                <w:sz w:val="20"/>
                <w:szCs w:val="20"/>
                <w:lang w:val="en-US" w:eastAsia="zh-CN" w:bidi="ar"/>
              </w:rPr>
              <w:t>R</w:t>
            </w:r>
            <w:r>
              <w:rPr>
                <w:rStyle w:val="37"/>
                <w:sz w:val="20"/>
                <w:szCs w:val="20"/>
                <w:lang w:val="en-US" w:eastAsia="zh-CN" w:bidi="ar"/>
              </w:rPr>
              <w:t>优秀（90≤得分≤100）；   □良好（80≤得分＜89）；   □及格（60≤得分＜79）；  □不及格（低于60分）</w:t>
            </w:r>
          </w:p>
        </w:tc>
      </w:tr>
    </w:tbl>
    <w:p>
      <w:pPr>
        <w:pStyle w:val="15"/>
        <w:ind w:left="0" w:leftChars="0" w:firstLine="0" w:firstLineChars="0"/>
        <w:sectPr>
          <w:pgSz w:w="15840" w:h="12240" w:orient="landscape"/>
          <w:pgMar w:top="1803" w:right="1440" w:bottom="1803" w:left="1440" w:header="720" w:footer="720" w:gutter="0"/>
          <w:cols w:space="0" w:num="1"/>
          <w:rtlGutter w:val="0"/>
          <w:docGrid w:linePitch="0" w:charSpace="0"/>
        </w:sectPr>
      </w:pPr>
    </w:p>
    <w:p>
      <w:pPr>
        <w:pStyle w:val="15"/>
        <w:ind w:left="0" w:leftChars="0" w:firstLine="0" w:firstLineChars="0"/>
      </w:pPr>
    </w:p>
    <w:p>
      <w:pPr>
        <w:autoSpaceDE w:val="0"/>
        <w:spacing w:line="540" w:lineRule="exact"/>
        <w:jc w:val="cente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1</w:t>
      </w:r>
      <w:r>
        <w:rPr>
          <w:rFonts w:hint="eastAsia" w:ascii="方正大标宋简体" w:hAnsi="??" w:eastAsia="方正大标宋简体" w:cs="Times New Roman"/>
          <w:b/>
          <w:color w:val="000000"/>
          <w:spacing w:val="-6"/>
          <w:kern w:val="0"/>
          <w:sz w:val="44"/>
          <w:szCs w:val="44"/>
        </w:rPr>
        <w:t>年</w:t>
      </w:r>
      <w:r>
        <w:rPr>
          <w:rFonts w:hint="eastAsia" w:ascii="方正大标宋简体" w:hAnsi="??" w:eastAsia="方正大标宋简体" w:cs="Times New Roman"/>
          <w:b/>
          <w:color w:val="000000"/>
          <w:spacing w:val="-6"/>
          <w:kern w:val="0"/>
          <w:sz w:val="44"/>
          <w:szCs w:val="44"/>
          <w:lang w:eastAsia="zh-CN"/>
        </w:rPr>
        <w:t>民营经济发展中心工作经费</w:t>
      </w:r>
      <w:r>
        <w:rPr>
          <w:rFonts w:hint="eastAsia" w:ascii="方正大标宋简体" w:hAnsi="??" w:eastAsia="方正大标宋简体" w:cs="Times New Roman"/>
          <w:b/>
          <w:color w:val="000000"/>
          <w:spacing w:val="-6"/>
          <w:kern w:val="0"/>
          <w:sz w:val="44"/>
          <w:szCs w:val="44"/>
        </w:rPr>
        <w:t>支出绩效评价报告</w:t>
      </w:r>
    </w:p>
    <w:p>
      <w:pPr>
        <w:rPr>
          <w:rFonts w:hint="eastAsia" w:ascii="仿宋" w:hAnsi="仿宋" w:eastAsia="仿宋"/>
          <w:b/>
          <w:sz w:val="32"/>
          <w:szCs w:val="32"/>
        </w:rPr>
      </w:pPr>
    </w:p>
    <w:p>
      <w:pPr>
        <w:numPr>
          <w:ilvl w:val="0"/>
          <w:numId w:val="6"/>
        </w:num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项目概况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（一）项目基本情况：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项目立项依据：</w:t>
      </w:r>
      <w:r>
        <w:rPr>
          <w:rFonts w:hint="eastAsia" w:ascii="仿宋_GB2312" w:eastAsia="仿宋_GB2312"/>
          <w:sz w:val="32"/>
          <w:szCs w:val="32"/>
          <w:lang w:eastAsia="zh-CN"/>
        </w:rPr>
        <w:t>根据省、市上级部门要求设立民营经济发展中心</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项目实施主体：朝天区</w:t>
      </w:r>
      <w:r>
        <w:rPr>
          <w:rFonts w:hint="eastAsia" w:ascii="仿宋_GB2312" w:eastAsia="仿宋_GB2312"/>
          <w:sz w:val="32"/>
          <w:szCs w:val="32"/>
          <w:lang w:eastAsia="zh-CN"/>
        </w:rPr>
        <w:t>民营经济发展中心</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项目实施计划及主要内容：民营经济增加值增速达到全市平均水平</w:t>
      </w:r>
      <w:r>
        <w:rPr>
          <w:rFonts w:hint="eastAsia" w:ascii="仿宋_GB2312" w:eastAsia="仿宋_GB2312"/>
          <w:sz w:val="32"/>
          <w:szCs w:val="32"/>
          <w:lang w:eastAsia="zh-CN"/>
        </w:rPr>
        <w:t>，</w:t>
      </w:r>
      <w:r>
        <w:rPr>
          <w:rFonts w:hint="eastAsia" w:ascii="仿宋_GB2312" w:eastAsia="仿宋_GB2312"/>
          <w:sz w:val="32"/>
          <w:szCs w:val="32"/>
        </w:rPr>
        <w:t>民间投资增速达到全市平均水平</w:t>
      </w:r>
      <w:r>
        <w:rPr>
          <w:rFonts w:hint="eastAsia" w:ascii="仿宋_GB2312" w:eastAsia="仿宋_GB2312"/>
          <w:sz w:val="32"/>
          <w:szCs w:val="32"/>
          <w:lang w:val="en-US" w:eastAsia="zh-CN"/>
        </w:rPr>
        <w:t>。</w:t>
      </w:r>
    </w:p>
    <w:p>
      <w:pPr>
        <w:spacing w:line="560" w:lineRule="exact"/>
        <w:ind w:firstLine="640" w:firstLineChars="200"/>
        <w:rPr>
          <w:rFonts w:hint="eastAsia" w:ascii="黑体" w:eastAsia="黑体"/>
          <w:b/>
          <w:sz w:val="32"/>
          <w:szCs w:val="32"/>
        </w:rPr>
      </w:pPr>
      <w:r>
        <w:rPr>
          <w:rFonts w:hint="eastAsia" w:ascii="仿宋_GB2312" w:eastAsia="仿宋_GB2312"/>
          <w:sz w:val="32"/>
          <w:szCs w:val="32"/>
        </w:rPr>
        <w:t>（二）项目预算情况：项目资金预算及测算</w:t>
      </w:r>
      <w:r>
        <w:rPr>
          <w:rFonts w:hint="eastAsia" w:ascii="仿宋_GB2312" w:eastAsia="仿宋_GB2312"/>
          <w:sz w:val="32"/>
          <w:szCs w:val="32"/>
          <w:lang w:val="en-US" w:eastAsia="zh-CN"/>
        </w:rPr>
        <w:t>30</w:t>
      </w:r>
      <w:r>
        <w:rPr>
          <w:rFonts w:hint="eastAsia" w:ascii="仿宋_GB2312" w:eastAsia="仿宋_GB2312"/>
          <w:sz w:val="32"/>
          <w:szCs w:val="32"/>
        </w:rPr>
        <w:t>万元。项目预算无调整。</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二、项目资金管理情况</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（一）资金到位情况：项目资金</w:t>
      </w:r>
      <w:r>
        <w:rPr>
          <w:rFonts w:hint="eastAsia" w:ascii="仿宋_GB2312" w:hAnsi="仿宋" w:eastAsia="仿宋_GB2312"/>
          <w:sz w:val="32"/>
          <w:szCs w:val="32"/>
          <w:lang w:val="en-US" w:eastAsia="zh-CN"/>
        </w:rPr>
        <w:t>1月到位30万元。</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（二）预算资金执行情况：截止12月31日我单位该项目支出30万元。</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（三）项目资金规范运行情况：</w:t>
      </w:r>
      <w:r>
        <w:rPr>
          <w:rFonts w:hint="eastAsia" w:ascii="仿宋_GB2312" w:hAnsi="仿宋" w:eastAsia="仿宋_GB2312"/>
          <w:sz w:val="32"/>
          <w:szCs w:val="32"/>
        </w:rPr>
        <w:t>严格执行资金使用申请程序及资金使用各项标准进行管理使用</w:t>
      </w:r>
      <w:r>
        <w:rPr>
          <w:rFonts w:hint="eastAsia" w:ascii="仿宋_GB2312" w:hAnsi="仿宋" w:eastAsia="仿宋_GB2312"/>
          <w:sz w:val="32"/>
          <w:szCs w:val="32"/>
          <w:lang w:eastAsia="zh-CN"/>
        </w:rPr>
        <w:t>。</w:t>
      </w:r>
    </w:p>
    <w:p>
      <w:pPr>
        <w:spacing w:line="560" w:lineRule="exact"/>
        <w:ind w:firstLine="640" w:firstLineChars="200"/>
        <w:rPr>
          <w:rFonts w:hint="eastAsia" w:ascii="仿宋_GB2312" w:eastAsia="仿宋_GB2312"/>
          <w:sz w:val="32"/>
          <w:szCs w:val="32"/>
        </w:rPr>
      </w:pPr>
      <w:r>
        <w:rPr>
          <w:rFonts w:hint="eastAsia" w:ascii="仿宋_GB2312" w:hAnsi="仿宋" w:eastAsia="仿宋_GB2312"/>
          <w:sz w:val="32"/>
          <w:szCs w:val="32"/>
          <w:lang w:eastAsia="zh-CN"/>
        </w:rPr>
        <w:t>（四）财务管理情况：</w:t>
      </w:r>
      <w:r>
        <w:rPr>
          <w:rFonts w:ascii="仿宋_GB2312" w:hAnsi="仿宋" w:eastAsia="仿宋_GB2312"/>
          <w:sz w:val="32"/>
          <w:szCs w:val="32"/>
        </w:rPr>
        <w:t>我办</w:t>
      </w:r>
      <w:r>
        <w:rPr>
          <w:rFonts w:hint="eastAsia" w:ascii="仿宋_GB2312" w:hAnsi="仿宋" w:eastAsia="仿宋_GB2312"/>
          <w:sz w:val="32"/>
          <w:szCs w:val="32"/>
        </w:rPr>
        <w:t>按照财务管理制度</w:t>
      </w:r>
      <w:r>
        <w:rPr>
          <w:rFonts w:hint="eastAsia" w:ascii="仿宋_GB2312" w:hAnsi="仿宋" w:eastAsia="仿宋_GB2312"/>
          <w:sz w:val="32"/>
          <w:szCs w:val="32"/>
          <w:lang w:eastAsia="zh-CN"/>
        </w:rPr>
        <w:t>健全</w:t>
      </w:r>
      <w:r>
        <w:rPr>
          <w:rFonts w:hint="eastAsia" w:ascii="仿宋_GB2312" w:hAnsi="仿宋" w:eastAsia="仿宋_GB2312"/>
          <w:sz w:val="32"/>
          <w:szCs w:val="32"/>
        </w:rPr>
        <w:t>，</w:t>
      </w:r>
      <w:r>
        <w:rPr>
          <w:rFonts w:hint="eastAsia" w:ascii="仿宋_GB2312" w:hAnsi="仿宋" w:eastAsia="仿宋_GB2312"/>
          <w:sz w:val="32"/>
          <w:szCs w:val="32"/>
          <w:lang w:eastAsia="zh-CN"/>
        </w:rPr>
        <w:t>管理规范，会计规范核算财务处理，</w:t>
      </w:r>
      <w:r>
        <w:rPr>
          <w:rFonts w:hint="eastAsia" w:ascii="仿宋_GB2312" w:hAnsi="仿宋" w:eastAsia="仿宋_GB2312"/>
          <w:sz w:val="32"/>
          <w:szCs w:val="32"/>
        </w:rPr>
        <w:t>最大化发挥了项目资金的综合效益。</w:t>
      </w:r>
    </w:p>
    <w:p>
      <w:pPr>
        <w:spacing w:line="560" w:lineRule="exact"/>
        <w:ind w:firstLine="640" w:firstLineChars="200"/>
        <w:rPr>
          <w:rFonts w:hint="eastAsia" w:ascii="仿宋" w:hAnsi="仿宋" w:eastAsia="仿宋"/>
          <w:sz w:val="32"/>
          <w:szCs w:val="32"/>
        </w:rPr>
      </w:pPr>
      <w:r>
        <w:rPr>
          <w:rFonts w:hint="eastAsia" w:ascii="黑体" w:hAnsi="黑体" w:eastAsia="黑体"/>
          <w:sz w:val="32"/>
          <w:szCs w:val="32"/>
          <w:lang w:eastAsia="zh-CN"/>
        </w:rPr>
        <w:t>三</w:t>
      </w:r>
      <w:r>
        <w:rPr>
          <w:rFonts w:hint="eastAsia" w:ascii="黑体" w:hAnsi="黑体" w:eastAsia="黑体"/>
          <w:sz w:val="32"/>
          <w:szCs w:val="32"/>
        </w:rPr>
        <w:t>、项目组织实施情况</w:t>
      </w:r>
    </w:p>
    <w:p>
      <w:pPr>
        <w:spacing w:line="560" w:lineRule="exact"/>
        <w:ind w:firstLine="660"/>
        <w:rPr>
          <w:rFonts w:hint="eastAsia" w:ascii="仿宋_GB2312" w:hAnsi="仿宋" w:eastAsia="仿宋_GB2312"/>
          <w:sz w:val="32"/>
          <w:szCs w:val="32"/>
          <w:lang w:eastAsia="zh-CN"/>
        </w:rPr>
      </w:pPr>
      <w:r>
        <w:rPr>
          <w:rFonts w:hint="eastAsia" w:ascii="仿宋_GB2312" w:hAnsi="仿宋" w:eastAsia="仿宋_GB2312"/>
          <w:sz w:val="32"/>
          <w:szCs w:val="32"/>
          <w:lang w:eastAsia="zh-CN"/>
        </w:rPr>
        <w:t>（一）项目组织机关与职责落实情况：项目由区民营发展中心组织实施，由专班专人负责落实。</w:t>
      </w:r>
    </w:p>
    <w:p>
      <w:pPr>
        <w:spacing w:line="560" w:lineRule="exact"/>
        <w:ind w:firstLine="660"/>
        <w:rPr>
          <w:rFonts w:ascii="仿宋_GB2312" w:hAnsi="仿宋" w:eastAsia="仿宋_GB2312"/>
          <w:sz w:val="32"/>
          <w:szCs w:val="32"/>
        </w:rPr>
      </w:pPr>
      <w:r>
        <w:rPr>
          <w:rFonts w:hint="eastAsia" w:ascii="仿宋_GB2312" w:hAnsi="仿宋" w:eastAsia="仿宋_GB2312"/>
          <w:sz w:val="32"/>
          <w:szCs w:val="32"/>
          <w:lang w:eastAsia="zh-CN"/>
        </w:rPr>
        <w:t>（二）项目管理制度建设情况：严格按照民营中心相关的</w:t>
      </w:r>
      <w:r>
        <w:rPr>
          <w:rFonts w:ascii="仿宋_GB2312" w:hAnsi="仿宋" w:eastAsia="仿宋_GB2312"/>
          <w:sz w:val="32"/>
          <w:szCs w:val="32"/>
        </w:rPr>
        <w:t>工作职责</w:t>
      </w:r>
      <w:r>
        <w:rPr>
          <w:rFonts w:hint="eastAsia" w:ascii="仿宋_GB2312" w:hAnsi="仿宋" w:eastAsia="仿宋_GB2312"/>
          <w:sz w:val="32"/>
          <w:szCs w:val="32"/>
          <w:lang w:eastAsia="zh-CN"/>
        </w:rPr>
        <w:t>开展工作</w:t>
      </w:r>
      <w:r>
        <w:rPr>
          <w:rFonts w:ascii="仿宋_GB2312" w:hAnsi="仿宋" w:eastAsia="仿宋_GB2312"/>
          <w:sz w:val="32"/>
          <w:szCs w:val="32"/>
        </w:rPr>
        <w:t>。</w:t>
      </w:r>
    </w:p>
    <w:p>
      <w:pPr>
        <w:spacing w:line="560" w:lineRule="exact"/>
        <w:ind w:firstLine="660"/>
        <w:rPr>
          <w:rFonts w:hint="eastAsia" w:ascii="仿宋_GB2312" w:hAnsi="仿宋" w:eastAsia="仿宋_GB2312"/>
          <w:sz w:val="32"/>
          <w:szCs w:val="32"/>
          <w:lang w:eastAsia="zh-CN"/>
        </w:rPr>
      </w:pPr>
      <w:r>
        <w:rPr>
          <w:rFonts w:hint="eastAsia" w:ascii="仿宋_GB2312" w:hAnsi="仿宋" w:eastAsia="仿宋_GB2312"/>
          <w:sz w:val="32"/>
          <w:szCs w:val="32"/>
          <w:lang w:eastAsia="zh-CN"/>
        </w:rPr>
        <w:t>（三）项目组织管理落实情况：</w:t>
      </w:r>
      <w:r>
        <w:rPr>
          <w:rFonts w:ascii="仿宋_GB2312" w:hAnsi="仿宋" w:eastAsia="仿宋_GB2312"/>
          <w:sz w:val="32"/>
          <w:szCs w:val="32"/>
        </w:rPr>
        <w:t>单位明确了专门机构和人员负责项目</w:t>
      </w:r>
      <w:r>
        <w:rPr>
          <w:rFonts w:hint="eastAsia" w:ascii="仿宋_GB2312" w:hAnsi="仿宋" w:eastAsia="仿宋_GB2312"/>
          <w:sz w:val="32"/>
          <w:szCs w:val="32"/>
          <w:lang w:eastAsia="zh-CN"/>
        </w:rPr>
        <w:t>实施</w:t>
      </w:r>
      <w:r>
        <w:rPr>
          <w:rFonts w:ascii="仿宋_GB2312" w:hAnsi="仿宋" w:eastAsia="仿宋_GB2312"/>
          <w:sz w:val="32"/>
          <w:szCs w:val="32"/>
        </w:rPr>
        <w:t>，统筹安排、协调处理相关事宜。</w:t>
      </w:r>
    </w:p>
    <w:p>
      <w:pPr>
        <w:spacing w:line="560" w:lineRule="exact"/>
        <w:ind w:firstLine="640" w:firstLineChars="200"/>
        <w:rPr>
          <w:rFonts w:hint="eastAsia" w:ascii="黑体" w:hAnsi="黑体" w:eastAsia="黑体"/>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项目绩效情况</w:t>
      </w:r>
    </w:p>
    <w:p>
      <w:pPr>
        <w:spacing w:line="560" w:lineRule="exact"/>
        <w:ind w:firstLine="645"/>
        <w:rPr>
          <w:rFonts w:hint="eastAsia" w:ascii="楷体_GB2312" w:hAnsi="仿宋" w:eastAsia="楷体_GB2312"/>
          <w:sz w:val="32"/>
          <w:szCs w:val="32"/>
        </w:rPr>
      </w:pPr>
      <w:r>
        <w:rPr>
          <w:rFonts w:hint="eastAsia" w:ascii="楷体_GB2312" w:hAnsi="仿宋" w:eastAsia="楷体_GB2312"/>
          <w:sz w:val="32"/>
          <w:szCs w:val="32"/>
        </w:rPr>
        <w:t>（一）项目完成情况。</w:t>
      </w:r>
    </w:p>
    <w:p>
      <w:pPr>
        <w:spacing w:line="560" w:lineRule="exact"/>
        <w:ind w:firstLine="645"/>
        <w:rPr>
          <w:rFonts w:hint="eastAsia" w:ascii="仿宋_GB2312" w:hAnsi="仿宋" w:eastAsia="仿宋_GB2312"/>
          <w:sz w:val="32"/>
          <w:szCs w:val="32"/>
          <w:lang w:eastAsia="zh-CN"/>
        </w:rPr>
      </w:pPr>
      <w:r>
        <w:rPr>
          <w:rFonts w:hint="eastAsia" w:ascii="仿宋_GB2312" w:hAnsi="仿宋" w:eastAsia="仿宋_GB2312"/>
          <w:sz w:val="32"/>
          <w:szCs w:val="32"/>
          <w:lang w:eastAsia="zh-CN"/>
        </w:rPr>
        <w:t>一是民营经济增加值增速达</w:t>
      </w:r>
      <w:r>
        <w:rPr>
          <w:rFonts w:hint="eastAsia" w:ascii="仿宋_GB2312" w:hAnsi="仿宋" w:eastAsia="仿宋_GB2312"/>
          <w:sz w:val="32"/>
          <w:szCs w:val="32"/>
          <w:lang w:val="en-US" w:eastAsia="zh-CN"/>
        </w:rPr>
        <w:t>10.2</w:t>
      </w:r>
      <w:r>
        <w:rPr>
          <w:rFonts w:hint="eastAsia" w:ascii="仿宋_GB2312" w:hAnsi="仿宋" w:eastAsia="仿宋_GB2312"/>
          <w:sz w:val="32"/>
          <w:szCs w:val="32"/>
          <w:lang w:eastAsia="zh-CN"/>
        </w:rPr>
        <w:t>%。二是民间投资增速达</w:t>
      </w:r>
      <w:r>
        <w:rPr>
          <w:rFonts w:hint="eastAsia" w:ascii="仿宋_GB2312" w:hAnsi="仿宋" w:eastAsia="仿宋_GB2312"/>
          <w:sz w:val="32"/>
          <w:szCs w:val="32"/>
          <w:lang w:val="en-US" w:eastAsia="zh-CN"/>
        </w:rPr>
        <w:t>7.8</w:t>
      </w:r>
      <w:r>
        <w:rPr>
          <w:rFonts w:hint="eastAsia" w:ascii="仿宋_GB2312" w:hAnsi="仿宋" w:eastAsia="仿宋_GB2312"/>
          <w:sz w:val="32"/>
          <w:szCs w:val="32"/>
          <w:lang w:eastAsia="zh-CN"/>
        </w:rPr>
        <w:t>%。</w:t>
      </w:r>
    </w:p>
    <w:p>
      <w:pPr>
        <w:spacing w:line="560" w:lineRule="exact"/>
        <w:ind w:firstLine="645"/>
        <w:rPr>
          <w:rFonts w:hint="eastAsia" w:ascii="楷体_GB2312" w:hAnsi="仿宋" w:eastAsia="楷体_GB2312"/>
          <w:sz w:val="32"/>
          <w:szCs w:val="32"/>
        </w:rPr>
      </w:pPr>
      <w:r>
        <w:rPr>
          <w:rFonts w:hint="eastAsia" w:ascii="楷体_GB2312" w:hAnsi="仿宋" w:eastAsia="楷体_GB2312"/>
          <w:sz w:val="32"/>
          <w:szCs w:val="32"/>
        </w:rPr>
        <w:t>（二）项目效益情况。</w:t>
      </w:r>
    </w:p>
    <w:p>
      <w:pPr>
        <w:spacing w:line="560" w:lineRule="exact"/>
        <w:ind w:firstLine="645"/>
        <w:rPr>
          <w:rFonts w:hint="default" w:ascii="仿宋_GB2312" w:hAnsi="仿宋" w:eastAsia="仿宋_GB2312"/>
          <w:sz w:val="32"/>
          <w:szCs w:val="32"/>
          <w:lang w:val="en-US" w:eastAsia="zh-CN"/>
        </w:rPr>
      </w:pPr>
      <w:r>
        <w:rPr>
          <w:rFonts w:hint="eastAsia" w:ascii="仿宋_GB2312" w:eastAsia="仿宋_GB2312"/>
          <w:sz w:val="32"/>
          <w:szCs w:val="32"/>
        </w:rPr>
        <w:t>提升企业经济水平</w:t>
      </w:r>
      <w:r>
        <w:rPr>
          <w:rFonts w:hint="eastAsia" w:ascii="仿宋_GB2312" w:eastAsia="仿宋_GB2312"/>
          <w:sz w:val="32"/>
          <w:szCs w:val="32"/>
          <w:lang w:eastAsia="zh-CN"/>
        </w:rPr>
        <w:t>，促进了全区工业经济发展水平，</w:t>
      </w:r>
      <w:r>
        <w:rPr>
          <w:rFonts w:hint="eastAsia" w:ascii="仿宋_GB2312" w:eastAsia="仿宋_GB2312"/>
          <w:sz w:val="32"/>
          <w:szCs w:val="32"/>
        </w:rPr>
        <w:t>展示</w:t>
      </w:r>
      <w:r>
        <w:rPr>
          <w:rFonts w:hint="eastAsia" w:ascii="仿宋_GB2312" w:eastAsia="仿宋_GB2312"/>
          <w:sz w:val="32"/>
          <w:szCs w:val="32"/>
          <w:lang w:eastAsia="zh-CN"/>
        </w:rPr>
        <w:t>朝天区</w:t>
      </w:r>
      <w:r>
        <w:rPr>
          <w:rFonts w:hint="eastAsia" w:ascii="仿宋_GB2312" w:eastAsia="仿宋_GB2312"/>
          <w:sz w:val="32"/>
          <w:szCs w:val="32"/>
        </w:rPr>
        <w:t>经济社会发展新面貌</w:t>
      </w:r>
      <w:r>
        <w:rPr>
          <w:rFonts w:hint="eastAsia" w:ascii="仿宋_GB2312" w:eastAsia="仿宋_GB2312"/>
          <w:sz w:val="32"/>
          <w:szCs w:val="32"/>
          <w:lang w:eastAsia="zh-CN"/>
        </w:rPr>
        <w:t>。</w:t>
      </w:r>
      <w:r>
        <w:rPr>
          <w:rFonts w:hint="eastAsia" w:ascii="仿宋_GB2312" w:hAnsi="仿宋" w:eastAsia="仿宋_GB2312"/>
          <w:sz w:val="32"/>
          <w:szCs w:val="32"/>
          <w:lang w:eastAsia="zh-CN"/>
        </w:rPr>
        <w:t>民营企业评议政府满意度达到</w:t>
      </w:r>
      <w:r>
        <w:rPr>
          <w:rFonts w:hint="eastAsia" w:ascii="仿宋_GB2312" w:hAnsi="仿宋" w:eastAsia="仿宋_GB2312"/>
          <w:sz w:val="32"/>
          <w:szCs w:val="32"/>
          <w:lang w:val="en-US" w:eastAsia="zh-CN"/>
        </w:rPr>
        <w:t>95%以上。</w:t>
      </w:r>
    </w:p>
    <w:p>
      <w:pPr>
        <w:autoSpaceDE w:val="0"/>
        <w:spacing w:line="540" w:lineRule="exact"/>
        <w:rPr>
          <w:rFonts w:hint="eastAsia" w:ascii="黑体" w:hAnsi="黑体" w:eastAsia="黑体" w:cs="Times New Roman"/>
          <w:color w:val="000000"/>
          <w:kern w:val="0"/>
          <w:sz w:val="24"/>
          <w:szCs w:val="24"/>
        </w:rPr>
      </w:pPr>
      <w:r>
        <w:rPr>
          <w:rFonts w:hint="eastAsia" w:ascii="仿宋_GB2312" w:hAnsi="宋体" w:eastAsia="仿宋_GB2312" w:cs="Times New Roman"/>
          <w:color w:val="000000"/>
          <w:spacing w:val="-6"/>
          <w:kern w:val="0"/>
          <w:sz w:val="32"/>
          <w:szCs w:val="32"/>
        </w:rPr>
        <w:t xml:space="preserve">    附表：1.</w:t>
      </w:r>
      <w:r>
        <w:rPr>
          <w:rFonts w:hint="eastAsia" w:ascii="仿宋_GB2312" w:hAnsi="宋体" w:eastAsia="仿宋_GB2312" w:cs="Times New Roman"/>
          <w:color w:val="000000"/>
          <w:spacing w:val="-6"/>
          <w:kern w:val="0"/>
          <w:sz w:val="32"/>
          <w:szCs w:val="32"/>
          <w:lang w:eastAsia="zh-CN"/>
        </w:rPr>
        <w:t>部门预算</w:t>
      </w:r>
      <w:r>
        <w:rPr>
          <w:rFonts w:hint="eastAsia" w:ascii="仿宋_GB2312" w:hAnsi="宋体" w:eastAsia="仿宋_GB2312" w:cs="宋体"/>
          <w:color w:val="000000"/>
          <w:kern w:val="0"/>
          <w:sz w:val="32"/>
          <w:szCs w:val="32"/>
        </w:rPr>
        <w:t>项目支出绩效目标自评表</w:t>
      </w:r>
    </w:p>
    <w:p>
      <w:pPr>
        <w:widowControl/>
        <w:autoSpaceDE w:val="0"/>
        <w:spacing w:line="540" w:lineRule="exact"/>
        <w:ind w:firstLine="1540" w:firstLineChars="500"/>
        <w:jc w:val="left"/>
        <w:rPr>
          <w:rFonts w:hint="eastAsia" w:ascii="仿宋_GB2312" w:hAnsi="宋体" w:eastAsia="仿宋_GB2312" w:cs="Times New Roman"/>
          <w:color w:val="000000"/>
          <w:spacing w:val="-6"/>
          <w:kern w:val="0"/>
          <w:sz w:val="32"/>
          <w:szCs w:val="32"/>
        </w:rPr>
      </w:pPr>
      <w:r>
        <w:rPr>
          <w:rFonts w:hint="eastAsia" w:ascii="仿宋_GB2312" w:hAnsi="宋体" w:eastAsia="仿宋_GB2312" w:cs="Times New Roman"/>
          <w:color w:val="000000"/>
          <w:spacing w:val="-6"/>
          <w:kern w:val="0"/>
          <w:sz w:val="32"/>
          <w:szCs w:val="32"/>
        </w:rPr>
        <w:t>2.202</w:t>
      </w:r>
      <w:r>
        <w:rPr>
          <w:rFonts w:hint="eastAsia" w:ascii="仿宋_GB2312" w:hAnsi="宋体" w:eastAsia="仿宋_GB2312" w:cs="Times New Roman"/>
          <w:color w:val="000000"/>
          <w:spacing w:val="-6"/>
          <w:kern w:val="0"/>
          <w:sz w:val="32"/>
          <w:szCs w:val="32"/>
          <w:lang w:val="en-US" w:eastAsia="zh-CN"/>
        </w:rPr>
        <w:t>1</w:t>
      </w:r>
      <w:r>
        <w:rPr>
          <w:rFonts w:hint="eastAsia" w:ascii="仿宋_GB2312" w:hAnsi="宋体" w:eastAsia="仿宋_GB2312" w:cs="Times New Roman"/>
          <w:color w:val="000000"/>
          <w:spacing w:val="-6"/>
          <w:kern w:val="0"/>
          <w:sz w:val="32"/>
          <w:szCs w:val="32"/>
        </w:rPr>
        <w:t>年部门预算项目支出绩效自评评分表</w:t>
      </w:r>
    </w:p>
    <w:p>
      <w:pPr>
        <w:autoSpaceDE w:val="0"/>
        <w:spacing w:line="576" w:lineRule="exact"/>
        <w:rPr>
          <w:rFonts w:hint="eastAsia" w:ascii="仿宋_GB2312" w:hAnsi="Times New Roman" w:eastAsia="仿宋_GB2312" w:cs="Times New Roman"/>
          <w:sz w:val="32"/>
          <w:szCs w:val="32"/>
          <w:lang w:val="en-US" w:eastAsia="zh-CN"/>
        </w:rPr>
      </w:pPr>
    </w:p>
    <w:p/>
    <w:p>
      <w:pPr>
        <w:pStyle w:val="15"/>
      </w:pPr>
    </w:p>
    <w:p/>
    <w:p>
      <w:pPr>
        <w:pStyle w:val="15"/>
      </w:pPr>
    </w:p>
    <w:p/>
    <w:p>
      <w:pPr>
        <w:pStyle w:val="15"/>
      </w:pPr>
    </w:p>
    <w:p/>
    <w:p>
      <w:pPr>
        <w:pStyle w:val="15"/>
      </w:pPr>
    </w:p>
    <w:p/>
    <w:tbl>
      <w:tblPr>
        <w:tblStyle w:val="16"/>
        <w:tblW w:w="10065" w:type="dxa"/>
        <w:tblInd w:w="-6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3"/>
        <w:gridCol w:w="1125"/>
        <w:gridCol w:w="1005"/>
        <w:gridCol w:w="1947"/>
        <w:gridCol w:w="915"/>
        <w:gridCol w:w="993"/>
        <w:gridCol w:w="135"/>
        <w:gridCol w:w="1347"/>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6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r>
              <w:rPr>
                <w:rFonts w:hint="default" w:ascii="方正大标宋简体" w:hAnsi="方正大标宋简体" w:eastAsia="方正大标宋简体" w:cs="方正大标宋简体"/>
                <w:i w:val="0"/>
                <w:iCs w:val="0"/>
                <w:color w:val="000000"/>
                <w:kern w:val="0"/>
                <w:sz w:val="36"/>
                <w:szCs w:val="36"/>
                <w:u w:val="none"/>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06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065"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部门（单位）盖章：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49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民营经济发展中心工作经费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49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4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59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30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85"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目标1：民营经济增加值增速达到全市平均水平</w:t>
            </w:r>
          </w:p>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目标2：民间投资增速达到全市平均水平</w:t>
            </w:r>
          </w:p>
        </w:tc>
        <w:tc>
          <w:tcPr>
            <w:tcW w:w="308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完成年初制定目标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民营经济增加值</w:t>
            </w:r>
          </w:p>
        </w:tc>
        <w:tc>
          <w:tcPr>
            <w:tcW w:w="204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增速达10.2%</w:t>
            </w:r>
          </w:p>
        </w:tc>
        <w:tc>
          <w:tcPr>
            <w:tcW w:w="295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增速达10.2%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民间投资增速</w:t>
            </w:r>
          </w:p>
        </w:tc>
        <w:tc>
          <w:tcPr>
            <w:tcW w:w="204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增速达7.8%</w:t>
            </w:r>
          </w:p>
        </w:tc>
        <w:tc>
          <w:tcPr>
            <w:tcW w:w="295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增速达7.8%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民营经济增加值增速达到全市平均水平</w:t>
            </w: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民营经济增加值高于全市平均水平0.8百分点</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Style w:val="38"/>
                <w:lang w:val="en-US" w:eastAsia="zh-CN" w:bidi="ar"/>
              </w:rPr>
              <w:t>民营经济增加值高于全市平均水平</w:t>
            </w:r>
            <w:r>
              <w:rPr>
                <w:rFonts w:ascii="Arial" w:hAnsi="Arial" w:eastAsia="宋体" w:cs="Arial"/>
                <w:i w:val="0"/>
                <w:iCs w:val="0"/>
                <w:color w:val="000000"/>
                <w:kern w:val="0"/>
                <w:sz w:val="18"/>
                <w:szCs w:val="18"/>
                <w:u w:val="none"/>
                <w:lang w:val="en-US" w:eastAsia="zh-CN" w:bidi="ar"/>
              </w:rPr>
              <w:t>1.0</w:t>
            </w:r>
            <w:r>
              <w:rPr>
                <w:rStyle w:val="38"/>
                <w:lang w:val="en-US" w:eastAsia="zh-CN" w:bidi="ar"/>
              </w:rPr>
              <w:t>百分点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按照工作进度实施</w:t>
            </w: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举办会议20次、发放宣传资料1万册、制作宣传栏20栏</w:t>
            </w: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会议费3000/次，宣传资料3元/册,宣传栏5000元/板</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提升企业经济水平</w:t>
            </w:r>
          </w:p>
        </w:tc>
        <w:tc>
          <w:tcPr>
            <w:tcW w:w="204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有所提升</w:t>
            </w:r>
          </w:p>
        </w:tc>
        <w:tc>
          <w:tcPr>
            <w:tcW w:w="2952"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按照年初既定目标推进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促进全区工业经济发展水平</w:t>
            </w: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有所提升</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按照年初既定目标推进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优化全区投资环境</w:t>
            </w: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优化全区投资环境</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全区投资环境进一步优化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促进经济发展、城市发展</w:t>
            </w: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长效</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民营企业满意度</w:t>
            </w: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bl>
    <w:p/>
    <w:p>
      <w:pPr>
        <w:pStyle w:val="15"/>
      </w:pPr>
    </w:p>
    <w:p/>
    <w:p>
      <w:pPr>
        <w:pStyle w:val="15"/>
      </w:pPr>
    </w:p>
    <w:p/>
    <w:p>
      <w:pPr>
        <w:pStyle w:val="15"/>
      </w:pPr>
    </w:p>
    <w:p/>
    <w:p>
      <w:pPr>
        <w:pStyle w:val="15"/>
      </w:pPr>
    </w:p>
    <w:p/>
    <w:p>
      <w:pPr>
        <w:pStyle w:val="15"/>
      </w:pPr>
    </w:p>
    <w:p/>
    <w:p>
      <w:pPr>
        <w:pStyle w:val="15"/>
      </w:pPr>
    </w:p>
    <w:p/>
    <w:p>
      <w:pPr>
        <w:pStyle w:val="15"/>
      </w:pPr>
    </w:p>
    <w:p/>
    <w:p>
      <w:pPr>
        <w:pStyle w:val="15"/>
      </w:pPr>
    </w:p>
    <w:p/>
    <w:p>
      <w:pPr>
        <w:pStyle w:val="15"/>
      </w:pPr>
    </w:p>
    <w:p/>
    <w:p>
      <w:pPr>
        <w:pStyle w:val="15"/>
      </w:pPr>
    </w:p>
    <w:p/>
    <w:p>
      <w:pPr>
        <w:pStyle w:val="15"/>
      </w:pPr>
    </w:p>
    <w:p/>
    <w:p>
      <w:pPr>
        <w:pStyle w:val="15"/>
      </w:pPr>
    </w:p>
    <w:p/>
    <w:p>
      <w:pPr>
        <w:pStyle w:val="15"/>
        <w:sectPr>
          <w:pgSz w:w="11906" w:h="16838"/>
          <w:pgMar w:top="1440" w:right="1803" w:bottom="1440" w:left="1803" w:header="851" w:footer="992" w:gutter="0"/>
          <w:pgNumType w:start="1"/>
          <w:cols w:space="0" w:num="1"/>
          <w:titlePg/>
          <w:rtlGutter w:val="0"/>
          <w:docGrid w:type="lines" w:linePitch="319" w:charSpace="0"/>
        </w:sectPr>
      </w:pPr>
    </w:p>
    <w:p/>
    <w:tbl>
      <w:tblPr>
        <w:tblStyle w:val="16"/>
        <w:tblW w:w="144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831"/>
        <w:gridCol w:w="1170"/>
        <w:gridCol w:w="5280"/>
        <w:gridCol w:w="675"/>
        <w:gridCol w:w="5266"/>
        <w:gridCol w:w="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4498" w:type="dxa"/>
            <w:gridSpan w:val="7"/>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方正大标宋_GBK" w:hAnsi="方正大标宋_GBK" w:eastAsia="方正大标宋_GBK" w:cs="方正大标宋_GBK"/>
                <w:b/>
                <w:bCs/>
                <w:i w:val="0"/>
                <w:iCs w:val="0"/>
                <w:color w:val="000000"/>
                <w:sz w:val="40"/>
                <w:szCs w:val="40"/>
                <w:u w:val="none"/>
              </w:rPr>
            </w:pPr>
            <w:r>
              <w:rPr>
                <w:rFonts w:hint="default" w:ascii="方正大标宋_GBK" w:hAnsi="方正大标宋_GBK" w:eastAsia="方正大标宋_GBK" w:cs="方正大标宋_GBK"/>
                <w:b/>
                <w:bCs/>
                <w:i w:val="0"/>
                <w:iCs w:val="0"/>
                <w:color w:val="000000"/>
                <w:kern w:val="0"/>
                <w:sz w:val="40"/>
                <w:szCs w:val="40"/>
                <w:u w:val="none"/>
                <w:lang w:val="en-US" w:eastAsia="zh-CN" w:bidi="ar"/>
              </w:rPr>
              <w:t>2021年部门预算项目支出绩效自评评分表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4498" w:type="dxa"/>
            <w:gridSpan w:val="7"/>
            <w:tcBorders>
              <w:top w:val="nil"/>
              <w:left w:val="nil"/>
              <w:bottom w:val="nil"/>
              <w:right w:val="nil"/>
            </w:tcBorders>
            <w:shd w:val="clear" w:color="auto" w:fill="auto"/>
            <w:vAlign w:val="center"/>
          </w:tcPr>
          <w:p>
            <w:pPr>
              <w:keepNext w:val="0"/>
              <w:keepLines w:val="0"/>
              <w:widowControl/>
              <w:suppressLineNumbers w:val="0"/>
              <w:tabs>
                <w:tab w:val="left" w:pos="9660"/>
              </w:tabs>
              <w:jc w:val="left"/>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 部门（单位）盖章：                                                                          项目名称：民营经济发展中心工作经费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 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二级指标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三级指标            </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指标内容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参考分值</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评分标准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项目决策（14分）</w:t>
            </w: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项目立项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立项依据</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用以反映项目立项是否有充分的依据：符合国家法律法规、本地的相关规定；符合部门年度工作计划。</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①符合国家相关法律法规、国民经济发展规划和党委政府决策（1分）；                                                                                                           ②符合部门（单位）年度工作计划或项目实施单位职责密切相关（1分）。                                                             </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决策程序</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用以反映和考核项目立项的规范情况：项目的申请、设立过程是否符合相关要求。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①项目是否按照规定的程序申请设立，审批文件、材料是否符合相关要求（1分）； ②事前是否已经过必要的可行性研究、专家论证、风险评估、集体决策等（1分）。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项目目标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目标合理性</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用以反映和考核项目绩效目标与项目实施的相符情况：项目所设定的绩效目标是否依据充分，是否符合客观实际。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①项目的测算依据充分（1分）；                                                                                                                                                       ②项目是否有绩效目标，与实际工作内容是否具有相关性（1分）；                                                                                                                        ③项目预期产出效益和效果是否符合正常的业绩水平（1分）；                                                                                                                                                                   ④与预算确定的项目投资额或资金量相匹配（1分）。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指标明确性</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用以反映和考核项目绩效目标与项目实施的相符情况：依据绩效目标设定的绩效指标是否清晰、细化、可衡量等。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①是否将绩效目标的绩效指标细化分解（1分）；                                                                                                                                                        ②分解的绩效指标体现清晰、可衡量的指标值（1分）；                                                                                                                                                   ③与项目年度任务数或计划数相对应（1分）；                                                                                                                                                         ④与预算确定的项目投资额或资金量相匹配（1分）。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资金分配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分配的合理性</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项目预算资金分配是否有测算依据，与项目单位或地方实际是否相适应；根据需要制定的相关资金管理办法；管理办法中有明确资金分配办法；资金分配因素全面、合理。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①预算资金分配依据充分（1分）；                                                                                                                                 ②资金分配额度合理，与项目单位或地方实际相适应 （1分）。                 此项需提供相应的资金分配方案。</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项目管理（16分）</w:t>
            </w: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资金管理（9分）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资金到位率=（实际到位资金/计划投入资金）×100%。                                                              实际到位资金：一定时期（本年度或项目期）内落实到具体项目的资金。                                                       预算资金：一定时期（本年度或项目期）内预算安排到具体项目的资金。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根据项目资金的实际到位率计算得分（1分）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用以反映项目预算执行的进度：预算执行率=实际支出数/预算数。                                      实际支出资金：一定时期（本年度或项目期）内项目实际拨付的资金。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根据项目资金的预算执行率计算得分（2分）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用以反映和考核项目资金的规范运行情况：项目资金使用是否符合相关的财务管理制度规定。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①符合国家财经法规和财务管理制度以及有关专项资金管理办法的规定（1分）；                                                                      ②资金的拨付审批程序和手续完整（1分）；                                                                                           ③符合项目预算批复或合同规定的用途（1分）；                                                                                                                                                                    ④无截留、挤占、挪用、无虚列支出（3分）；                                                                                                                                                                                 若评价前已完成项目资金的专项审计，该指标可用审计结论代替。</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FF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组织实施（7分）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制度管理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用以反映和考核财务和业务管理制度对项目顺利实施的制度保障情况。</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①制定或具有相应的财务和业务管理制度（1分）；                                                                                                                                                         ②财务和业务管理制度合法、合规、完整（1分）。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制度执行</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用以反映和考核业务管理制度的有效执行和质量控制情况：项目实施是否符合相关业务管理规定，是否为达到项目质量要求而采取了必需的措施。</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①按相关法律法规和业务管理规定执行（1分）；                                                                                                                                                      ②项目调整及支出调整手续完备（1分）；                                                                                                                                                                   ③项目合同书、验收报告、技术鉴定等资料规范、齐全（2分）；                                                                                                                                                                      ④项目实施的人员条件、场地设备等是否落实到位（1分）。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项目绩效（特性指标）（70）</w:t>
            </w: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项目产出（35分）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实际完成率</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实际完成率=（实际产出数/计划产出数）×100%。                                                            实际产出数：一定时期（本年度或项目期）内项目实际产出的产品或提供的服务数量。                                                                                         计划产出数：项目绩效目标确定的在一定时期（本年度或项目期）内计划产出的产品或提供的服务数量。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完成绩效目标100%得9分，未完成100%的同比例扣减。</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质量达标率</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质量达标率=（质量达标产出数量/计划完成产出数量）× 100%。                                                                                                                                  质量达标产出数：一定时期（本年度或项目期）内实际达到既定质量标准的产品或服务数量。                                                            既定质量标准是指项目实施单位设立绩效目标时依据计划标准、行业标准、历史标准或其他标准而设定的绩效指标值。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产出质量达到绩效目标100%得9分，未完成100%的同比例扣减。</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完成及时性</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完成及时率=计划时限内实际完成的项目数量/计划时限内应完成的项目数量×100%。                                                                                                                               实际完成时间：项目实施单位完成该项目实际所耗用的时间。                                                                         计划完成时间：按照项目实施计划或相关规定完成该项目所需的时间。</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产出时效达到绩效目标得8分，未完成且无充分理由的扣3分。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完成成本（成本节约率）</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成本节约率=[（计划成本-实际成本）/计划成本]×100%。                                                        实际成本：项目实施单位如期、保质、保量完成既定工作目标实际所耗费的支出。                                                                                        计划成本：项目实施单位为完成工作目标计划安排的支出，一般以项目预算为参考。</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产出成本按绩效目标控制得9分，未完成的，按超支比例扣减。</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项目效益（30分）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经济效益（可选项）</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反映相关产出对经济社会发展带来的影响和效果，根据项目实际细化具体指标。重点考核投入产出率、回报率、增长率等指标。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完成绩效目标设定的经济效益得7分，未完成的，按完成情况酌情扣分。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社会效益（可选项）</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反映相关产出对社会发展带来的影响和效果，根据项目实际细化具体指标。重点考核撬动率、贡献率、达标率、就业率等指标。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完成绩效目标设定的社会效益得7分，未完成的，按完成情况酌情扣分。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环境效益（可选项）</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反映相关产出对自然环境带来的影响和效果，根据项目实际细化具体指标。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完成绩效目标设定的积极的环境效益得7分，未完成的，按完成情况酌情扣分。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可持续效益（可选项）</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反映相关产出带来影响的可持续期限，根据项目实际细化具体指标。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完成绩效设定目标的得7分，未完成的，按完成情况酌情扣分。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              （5分）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满意率反映服务对象或项目受益人对相关产出及其影响的认可程度，根据项目实际细化具体指标。重点考核满意率等指标。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满意率达90%（含）以上的得5分；80%（含）-89%得4分；70%（含）-79%得3分；60%（含）-69%得2分；60%以下不得分。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80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自评等级</w:t>
            </w:r>
          </w:p>
        </w:tc>
        <w:tc>
          <w:tcPr>
            <w:tcW w:w="117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自评结果：</w:t>
            </w:r>
            <w:r>
              <w:rPr>
                <w:rFonts w:ascii="Wingdings 2" w:hAnsi="Wingdings 2" w:eastAsia="Wingdings 2" w:cs="Wingdings 2"/>
                <w:b/>
                <w:bCs/>
                <w:i w:val="0"/>
                <w:iCs w:val="0"/>
                <w:color w:val="000000"/>
                <w:kern w:val="0"/>
                <w:sz w:val="21"/>
                <w:szCs w:val="21"/>
                <w:u w:val="none"/>
                <w:lang w:val="en-US" w:eastAsia="zh-CN" w:bidi="ar"/>
              </w:rPr>
              <w:t>R</w:t>
            </w:r>
            <w:r>
              <w:rPr>
                <w:rStyle w:val="39"/>
                <w:lang w:val="en-US" w:eastAsia="zh-CN" w:bidi="ar"/>
              </w:rPr>
              <w:t>优秀（90≤得分≤100）；   □良好（80≤得分＜89）；   □及格（60≤得分＜79）；   □不及格（低于60分）</w:t>
            </w:r>
          </w:p>
        </w:tc>
      </w:tr>
    </w:tbl>
    <w:p>
      <w:pPr>
        <w:sectPr>
          <w:pgSz w:w="16838" w:h="11906" w:orient="landscape"/>
          <w:pgMar w:top="1803" w:right="2158" w:bottom="1803" w:left="1440" w:header="851" w:footer="992" w:gutter="0"/>
          <w:pgNumType w:start="1"/>
          <w:cols w:space="0" w:num="1"/>
          <w:titlePg/>
          <w:rtlGutter w:val="0"/>
          <w:docGrid w:type="lines" w:linePitch="319" w:charSpace="0"/>
        </w:sectPr>
      </w:pPr>
    </w:p>
    <w:p>
      <w:pPr>
        <w:autoSpaceDE w:val="0"/>
        <w:spacing w:line="540" w:lineRule="exact"/>
        <w:jc w:val="cente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1</w:t>
      </w:r>
      <w:r>
        <w:rPr>
          <w:rFonts w:hint="eastAsia" w:ascii="方正大标宋简体" w:hAnsi="??" w:eastAsia="方正大标宋简体" w:cs="Times New Roman"/>
          <w:b/>
          <w:color w:val="000000"/>
          <w:spacing w:val="-6"/>
          <w:kern w:val="0"/>
          <w:sz w:val="44"/>
          <w:szCs w:val="44"/>
        </w:rPr>
        <w:t>年电子政务外网租赁项目支出绩效</w:t>
      </w:r>
    </w:p>
    <w:p>
      <w:pPr>
        <w:autoSpaceDE w:val="0"/>
        <w:spacing w:line="540" w:lineRule="exact"/>
        <w:jc w:val="cente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评价报告</w:t>
      </w:r>
    </w:p>
    <w:p>
      <w:pPr>
        <w:pStyle w:val="15"/>
        <w:rPr>
          <w:rFonts w:hint="eastAsia"/>
        </w:rPr>
      </w:pP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一、项目概况</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（一）项目基本情况：</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区级政务外网网络中心到12个乡（镇）广域网主用传输线路、四川广元朝天经济开发区管委会及73个区级单位城域网主用传输线路服务；区级政务外网网络中心到12个乡（镇）广域网备用传输线路、四川广元朝天经济开发区管委会及36个区级重点单位城域网备用传输线路服务。</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（二）项目预算情况：项目资金预算</w:t>
      </w:r>
      <w:r>
        <w:rPr>
          <w:rFonts w:hint="eastAsia" w:ascii="仿宋_GB2312" w:hAnsi="仿宋" w:eastAsia="仿宋_GB2312"/>
          <w:sz w:val="32"/>
          <w:szCs w:val="32"/>
          <w:lang w:val="en-US" w:eastAsia="zh-CN"/>
        </w:rPr>
        <w:t>85</w:t>
      </w:r>
      <w:r>
        <w:rPr>
          <w:rFonts w:hint="eastAsia" w:ascii="仿宋_GB2312" w:hAnsi="仿宋" w:eastAsia="仿宋_GB2312"/>
          <w:sz w:val="32"/>
          <w:szCs w:val="32"/>
        </w:rPr>
        <w:t>万元；</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项目绩效目标：电子政务外网运维服务满足区辖各乡（镇）、区级单位接入政务外网的需要，承载国家、省、市电子政务外网应用平台及应用系统，包括一体化政务服务平台、政务信息资源共享平台、协同办公系统、视频会议系统等应用。全网配套设备支持IPv6协议并配置为IPv4与IPv6双栈模式，并且IPv4与IPv6能独立完整保持所需的相关功能性和安全性，具备同时承载IPv4和IPv6业务和提供服务的能力。</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二、项目资金管理情况</w:t>
      </w:r>
    </w:p>
    <w:p>
      <w:pPr>
        <w:spacing w:line="560" w:lineRule="exact"/>
        <w:ind w:firstLine="640" w:firstLineChars="200"/>
        <w:rPr>
          <w:rFonts w:hint="eastAsia" w:ascii="仿宋_GB2312" w:hAnsi="仿宋" w:eastAsia="仿宋_GB2312"/>
          <w:sz w:val="32"/>
          <w:szCs w:val="32"/>
        </w:rPr>
      </w:pPr>
      <w:r>
        <w:rPr>
          <w:rFonts w:ascii="仿宋_GB2312" w:hAnsi="仿宋" w:eastAsia="仿宋_GB2312"/>
          <w:sz w:val="32"/>
          <w:szCs w:val="32"/>
        </w:rPr>
        <w:t>20</w:t>
      </w:r>
      <w:r>
        <w:rPr>
          <w:rFonts w:hint="eastAsia" w:ascii="仿宋_GB2312" w:hAnsi="仿宋" w:eastAsia="仿宋_GB2312"/>
          <w:sz w:val="32"/>
          <w:szCs w:val="32"/>
        </w:rPr>
        <w:t>20</w:t>
      </w:r>
      <w:r>
        <w:rPr>
          <w:rFonts w:ascii="仿宋_GB2312" w:hAnsi="仿宋" w:eastAsia="仿宋_GB2312"/>
          <w:sz w:val="32"/>
          <w:szCs w:val="32"/>
        </w:rPr>
        <w:t>年本级下达电子政务外网租赁项目费用</w:t>
      </w:r>
      <w:r>
        <w:rPr>
          <w:rFonts w:hint="eastAsia" w:ascii="仿宋_GB2312" w:hAnsi="仿宋" w:eastAsia="仿宋_GB2312"/>
          <w:sz w:val="32"/>
          <w:szCs w:val="32"/>
          <w:lang w:val="en-US" w:eastAsia="zh-CN"/>
        </w:rPr>
        <w:t>85</w:t>
      </w:r>
      <w:r>
        <w:rPr>
          <w:rFonts w:ascii="仿宋_GB2312" w:hAnsi="仿宋" w:eastAsia="仿宋_GB2312"/>
          <w:sz w:val="32"/>
          <w:szCs w:val="32"/>
        </w:rPr>
        <w:t>万元，我办均</w:t>
      </w:r>
      <w:r>
        <w:rPr>
          <w:rFonts w:hint="eastAsia" w:ascii="仿宋_GB2312" w:hAnsi="仿宋" w:eastAsia="仿宋_GB2312"/>
          <w:sz w:val="32"/>
          <w:szCs w:val="32"/>
        </w:rPr>
        <w:t>严格按照财务管理制度进行管理使用。</w:t>
      </w:r>
    </w:p>
    <w:p>
      <w:pPr>
        <w:spacing w:line="560" w:lineRule="exact"/>
        <w:ind w:firstLine="640" w:firstLineChars="200"/>
        <w:rPr>
          <w:rFonts w:hint="eastAsia" w:ascii="仿宋" w:hAnsi="仿宋" w:eastAsia="仿宋"/>
          <w:sz w:val="32"/>
          <w:szCs w:val="32"/>
        </w:rPr>
      </w:pPr>
      <w:r>
        <w:rPr>
          <w:rFonts w:hint="eastAsia" w:ascii="黑体" w:hAnsi="黑体" w:eastAsia="黑体"/>
          <w:sz w:val="32"/>
          <w:szCs w:val="32"/>
        </w:rPr>
        <w:t>三、项目组织实施情况</w:t>
      </w:r>
    </w:p>
    <w:p>
      <w:pPr>
        <w:spacing w:line="560" w:lineRule="exact"/>
        <w:ind w:firstLine="645"/>
        <w:rPr>
          <w:rFonts w:hint="eastAsia" w:ascii="仿宋_GB2312" w:hAnsi="仿宋" w:eastAsia="仿宋_GB2312"/>
          <w:sz w:val="32"/>
          <w:szCs w:val="32"/>
        </w:rPr>
      </w:pPr>
      <w:r>
        <w:rPr>
          <w:rFonts w:ascii="仿宋_GB2312" w:hAnsi="仿宋" w:eastAsia="仿宋_GB2312"/>
          <w:sz w:val="32"/>
          <w:szCs w:val="32"/>
        </w:rPr>
        <w:t>项目严格按照以下程序进行实施。一是明确工作职责。项目单位明确了专门机构和人员负责项目建设，统筹安排、协调处理相关事宜。二是开展调研论证。前期，我</w:t>
      </w:r>
      <w:r>
        <w:rPr>
          <w:rFonts w:hint="eastAsia" w:ascii="仿宋_GB2312" w:hAnsi="仿宋" w:eastAsia="仿宋_GB2312"/>
          <w:sz w:val="32"/>
          <w:szCs w:val="32"/>
        </w:rPr>
        <w:t>办</w:t>
      </w:r>
      <w:r>
        <w:rPr>
          <w:rFonts w:ascii="仿宋_GB2312" w:hAnsi="仿宋" w:eastAsia="仿宋_GB2312"/>
          <w:sz w:val="32"/>
          <w:szCs w:val="32"/>
        </w:rPr>
        <w:t>会同</w:t>
      </w:r>
      <w:r>
        <w:rPr>
          <w:rFonts w:hint="eastAsia" w:ascii="仿宋_GB2312" w:hAnsi="仿宋" w:eastAsia="仿宋_GB2312"/>
          <w:sz w:val="32"/>
          <w:szCs w:val="32"/>
        </w:rPr>
        <w:t>市政府采购</w:t>
      </w:r>
      <w:r>
        <w:rPr>
          <w:rFonts w:ascii="仿宋_GB2312" w:hAnsi="仿宋" w:eastAsia="仿宋_GB2312"/>
          <w:sz w:val="32"/>
          <w:szCs w:val="32"/>
        </w:rPr>
        <w:t>专家对项目进行了可行性论证，制定了实施方案，经专家评审后，报</w:t>
      </w:r>
      <w:r>
        <w:rPr>
          <w:rFonts w:hint="eastAsia" w:ascii="仿宋_GB2312" w:hAnsi="仿宋" w:eastAsia="仿宋_GB2312"/>
          <w:sz w:val="32"/>
          <w:szCs w:val="32"/>
        </w:rPr>
        <w:t>区</w:t>
      </w:r>
      <w:r>
        <w:rPr>
          <w:rFonts w:ascii="仿宋_GB2312" w:hAnsi="仿宋" w:eastAsia="仿宋_GB2312"/>
          <w:sz w:val="32"/>
          <w:szCs w:val="32"/>
        </w:rPr>
        <w:t>政府批准，确定实施方案。三是开展公开</w:t>
      </w:r>
      <w:r>
        <w:rPr>
          <w:rFonts w:hint="eastAsia" w:ascii="仿宋_GB2312" w:hAnsi="仿宋" w:eastAsia="仿宋_GB2312"/>
          <w:sz w:val="32"/>
          <w:szCs w:val="32"/>
        </w:rPr>
        <w:t>采购</w:t>
      </w:r>
      <w:r>
        <w:rPr>
          <w:rFonts w:ascii="仿宋_GB2312" w:hAnsi="仿宋" w:eastAsia="仿宋_GB2312"/>
          <w:sz w:val="32"/>
          <w:szCs w:val="32"/>
        </w:rPr>
        <w:t>，签订</w:t>
      </w:r>
      <w:r>
        <w:rPr>
          <w:rFonts w:hint="eastAsia" w:ascii="仿宋_GB2312" w:hAnsi="仿宋" w:eastAsia="仿宋_GB2312"/>
          <w:sz w:val="32"/>
          <w:szCs w:val="32"/>
        </w:rPr>
        <w:t>服务</w:t>
      </w:r>
      <w:r>
        <w:rPr>
          <w:rFonts w:ascii="仿宋_GB2312" w:hAnsi="仿宋" w:eastAsia="仿宋_GB2312"/>
          <w:sz w:val="32"/>
          <w:szCs w:val="32"/>
        </w:rPr>
        <w:t>合同。</w:t>
      </w:r>
      <w:r>
        <w:rPr>
          <w:rFonts w:hint="eastAsia" w:ascii="仿宋_GB2312" w:hAnsi="仿宋" w:eastAsia="仿宋_GB2312"/>
          <w:sz w:val="32"/>
          <w:szCs w:val="32"/>
        </w:rPr>
        <w:t>四是五</w:t>
      </w:r>
      <w:r>
        <w:rPr>
          <w:rFonts w:ascii="仿宋_GB2312" w:hAnsi="仿宋" w:eastAsia="仿宋_GB2312"/>
          <w:sz w:val="32"/>
          <w:szCs w:val="32"/>
        </w:rPr>
        <w:t>是做好组织验收。项目完工后，</w:t>
      </w:r>
      <w:r>
        <w:rPr>
          <w:rFonts w:hint="eastAsia" w:ascii="仿宋_GB2312" w:hAnsi="仿宋" w:eastAsia="仿宋_GB2312"/>
          <w:sz w:val="32"/>
          <w:szCs w:val="32"/>
        </w:rPr>
        <w:t>及时组织人员</w:t>
      </w:r>
      <w:r>
        <w:rPr>
          <w:rFonts w:ascii="仿宋_GB2312" w:hAnsi="仿宋" w:eastAsia="仿宋_GB2312"/>
          <w:sz w:val="32"/>
          <w:szCs w:val="32"/>
        </w:rPr>
        <w:t>对项目进行验收。</w:t>
      </w:r>
      <w:r>
        <w:rPr>
          <w:rFonts w:hint="eastAsia" w:ascii="仿宋_GB2312" w:hAnsi="仿宋" w:eastAsia="仿宋_GB2312"/>
          <w:sz w:val="32"/>
          <w:szCs w:val="32"/>
        </w:rPr>
        <w:t>六</w:t>
      </w:r>
      <w:r>
        <w:rPr>
          <w:rFonts w:ascii="仿宋_GB2312" w:hAnsi="仿宋" w:eastAsia="仿宋_GB2312"/>
          <w:sz w:val="32"/>
          <w:szCs w:val="32"/>
        </w:rPr>
        <w:t>是八是妥善保管资料。对项目设计、申报、验收等相关资料及时整理，并归档保管。</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四、项目绩效情况</w:t>
      </w:r>
    </w:p>
    <w:p>
      <w:pPr>
        <w:spacing w:line="560" w:lineRule="exact"/>
        <w:ind w:firstLine="645"/>
        <w:rPr>
          <w:rFonts w:hint="eastAsia" w:ascii="楷体_GB2312" w:hAnsi="仿宋" w:eastAsia="楷体_GB2312"/>
          <w:sz w:val="32"/>
          <w:szCs w:val="32"/>
        </w:rPr>
      </w:pPr>
      <w:r>
        <w:rPr>
          <w:rFonts w:hint="eastAsia" w:ascii="楷体_GB2312" w:hAnsi="仿宋" w:eastAsia="楷体_GB2312"/>
          <w:sz w:val="32"/>
          <w:szCs w:val="32"/>
        </w:rPr>
        <w:t>（一）项目完成情况。</w:t>
      </w:r>
      <w:r>
        <w:rPr>
          <w:rFonts w:ascii="仿宋_GB2312" w:hAnsi="仿宋" w:eastAsia="仿宋_GB2312"/>
          <w:sz w:val="32"/>
          <w:szCs w:val="32"/>
        </w:rPr>
        <w:t>按照实施方案，</w:t>
      </w:r>
      <w:r>
        <w:rPr>
          <w:rFonts w:hint="eastAsia" w:ascii="仿宋_GB2312" w:hAnsi="仿宋" w:eastAsia="仿宋_GB2312"/>
          <w:sz w:val="32"/>
          <w:szCs w:val="32"/>
        </w:rPr>
        <w:t>实施</w:t>
      </w:r>
      <w:r>
        <w:rPr>
          <w:rFonts w:ascii="仿宋_GB2312" w:hAnsi="仿宋" w:eastAsia="仿宋_GB2312"/>
          <w:sz w:val="32"/>
          <w:szCs w:val="32"/>
        </w:rPr>
        <w:t>单位组织对项目进行施工，</w:t>
      </w:r>
      <w:r>
        <w:rPr>
          <w:rFonts w:hint="eastAsia" w:ascii="仿宋_GB2312" w:hAnsi="仿宋" w:eastAsia="仿宋_GB2312"/>
          <w:sz w:val="32"/>
          <w:szCs w:val="32"/>
        </w:rPr>
        <w:t>区政府办</w:t>
      </w:r>
      <w:r>
        <w:rPr>
          <w:rFonts w:ascii="仿宋_GB2312" w:hAnsi="仿宋" w:eastAsia="仿宋_GB2312"/>
          <w:sz w:val="32"/>
          <w:szCs w:val="32"/>
        </w:rPr>
        <w:t>对项目建设进行跟踪监督和管理，对不符合要求的责令及时整改。项目完成后，及时制定了考评制度，实行服务费与考评结果挂钩办法。同时，签订相关协议，明确了双方的权利和义务。</w:t>
      </w:r>
    </w:p>
    <w:p>
      <w:pPr>
        <w:spacing w:line="560" w:lineRule="exact"/>
        <w:ind w:firstLine="645"/>
        <w:rPr>
          <w:rFonts w:hint="eastAsia" w:ascii="楷体_GB2312" w:hAnsi="仿宋" w:eastAsia="楷体_GB2312"/>
          <w:sz w:val="32"/>
          <w:szCs w:val="32"/>
        </w:rPr>
      </w:pPr>
      <w:r>
        <w:rPr>
          <w:rFonts w:hint="eastAsia" w:ascii="楷体_GB2312" w:hAnsi="仿宋" w:eastAsia="楷体_GB2312"/>
          <w:sz w:val="32"/>
          <w:szCs w:val="32"/>
        </w:rPr>
        <w:t>（二）项目效益情况。</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电子政务外网建设进一步向纵深扩展，实现区、乡、村三级互联互通，推动了纵向业务贯穿、横向分工协作。</w:t>
      </w:r>
    </w:p>
    <w:p>
      <w:pPr>
        <w:spacing w:line="560" w:lineRule="exact"/>
        <w:ind w:firstLine="645"/>
        <w:rPr>
          <w:rFonts w:hint="default" w:ascii="仿宋_GB2312" w:hAnsi="仿宋" w:eastAsia="仿宋_GB2312"/>
          <w:sz w:val="32"/>
          <w:szCs w:val="32"/>
          <w:lang w:val="en-US" w:eastAsia="zh-CN"/>
        </w:rPr>
      </w:pPr>
    </w:p>
    <w:p>
      <w:pPr>
        <w:autoSpaceDE w:val="0"/>
        <w:spacing w:line="540" w:lineRule="exact"/>
        <w:rPr>
          <w:rFonts w:hint="eastAsia" w:ascii="黑体" w:hAnsi="黑体" w:eastAsia="黑体" w:cs="Times New Roman"/>
          <w:color w:val="000000"/>
          <w:kern w:val="0"/>
          <w:sz w:val="24"/>
          <w:szCs w:val="24"/>
        </w:rPr>
      </w:pPr>
      <w:r>
        <w:rPr>
          <w:rFonts w:hint="eastAsia" w:ascii="仿宋_GB2312" w:hAnsi="宋体" w:eastAsia="仿宋_GB2312" w:cs="Times New Roman"/>
          <w:color w:val="000000"/>
          <w:spacing w:val="-6"/>
          <w:kern w:val="0"/>
          <w:sz w:val="32"/>
          <w:szCs w:val="32"/>
        </w:rPr>
        <w:t xml:space="preserve">    附表：1.</w:t>
      </w:r>
      <w:r>
        <w:rPr>
          <w:rFonts w:hint="eastAsia" w:ascii="仿宋_GB2312" w:hAnsi="宋体" w:eastAsia="仿宋_GB2312" w:cs="Times New Roman"/>
          <w:color w:val="000000"/>
          <w:spacing w:val="-6"/>
          <w:kern w:val="0"/>
          <w:sz w:val="32"/>
          <w:szCs w:val="32"/>
          <w:lang w:eastAsia="zh-CN"/>
        </w:rPr>
        <w:t>部门预算</w:t>
      </w:r>
      <w:r>
        <w:rPr>
          <w:rFonts w:hint="eastAsia" w:ascii="仿宋_GB2312" w:hAnsi="宋体" w:eastAsia="仿宋_GB2312" w:cs="宋体"/>
          <w:color w:val="000000"/>
          <w:kern w:val="0"/>
          <w:sz w:val="32"/>
          <w:szCs w:val="32"/>
        </w:rPr>
        <w:t>项目支出绩效目标自评表</w:t>
      </w:r>
    </w:p>
    <w:p>
      <w:pPr>
        <w:widowControl/>
        <w:autoSpaceDE w:val="0"/>
        <w:spacing w:line="540" w:lineRule="exact"/>
        <w:ind w:firstLine="1540" w:firstLineChars="500"/>
        <w:jc w:val="left"/>
        <w:rPr>
          <w:rFonts w:hint="eastAsia" w:ascii="仿宋_GB2312" w:hAnsi="宋体" w:eastAsia="仿宋_GB2312" w:cs="Times New Roman"/>
          <w:color w:val="000000"/>
          <w:spacing w:val="-6"/>
          <w:kern w:val="0"/>
          <w:sz w:val="32"/>
          <w:szCs w:val="32"/>
        </w:rPr>
      </w:pPr>
      <w:r>
        <w:rPr>
          <w:rFonts w:hint="eastAsia" w:ascii="仿宋_GB2312" w:hAnsi="宋体" w:eastAsia="仿宋_GB2312" w:cs="Times New Roman"/>
          <w:color w:val="000000"/>
          <w:spacing w:val="-6"/>
          <w:kern w:val="0"/>
          <w:sz w:val="32"/>
          <w:szCs w:val="32"/>
        </w:rPr>
        <w:t>2.202</w:t>
      </w:r>
      <w:r>
        <w:rPr>
          <w:rFonts w:hint="eastAsia" w:ascii="仿宋_GB2312" w:hAnsi="宋体" w:eastAsia="仿宋_GB2312" w:cs="Times New Roman"/>
          <w:color w:val="000000"/>
          <w:spacing w:val="-6"/>
          <w:kern w:val="0"/>
          <w:sz w:val="32"/>
          <w:szCs w:val="32"/>
          <w:lang w:val="en-US" w:eastAsia="zh-CN"/>
        </w:rPr>
        <w:t>1</w:t>
      </w:r>
      <w:r>
        <w:rPr>
          <w:rFonts w:hint="eastAsia" w:ascii="仿宋_GB2312" w:hAnsi="宋体" w:eastAsia="仿宋_GB2312" w:cs="Times New Roman"/>
          <w:color w:val="000000"/>
          <w:spacing w:val="-6"/>
          <w:kern w:val="0"/>
          <w:sz w:val="32"/>
          <w:szCs w:val="32"/>
        </w:rPr>
        <w:t>年部门预算项目支出绩效自评评分表</w:t>
      </w:r>
    </w:p>
    <w:p>
      <w:pPr>
        <w:autoSpaceDE w:val="0"/>
        <w:spacing w:line="576" w:lineRule="exact"/>
        <w:rPr>
          <w:rFonts w:hint="eastAsia" w:ascii="仿宋_GB2312" w:hAnsi="Times New Roman" w:eastAsia="仿宋_GB2312" w:cs="Times New Roman"/>
          <w:sz w:val="32"/>
          <w:szCs w:val="32"/>
          <w:lang w:val="en-US" w:eastAsia="zh-CN"/>
        </w:rPr>
      </w:pPr>
    </w:p>
    <w:p>
      <w:pPr>
        <w:widowControl w:val="0"/>
        <w:numPr>
          <w:ilvl w:val="0"/>
          <w:numId w:val="0"/>
        </w:numPr>
        <w:spacing w:line="600" w:lineRule="exact"/>
        <w:jc w:val="center"/>
        <w:outlineLvl w:val="0"/>
        <w:rPr>
          <w:rStyle w:val="28"/>
          <w:rFonts w:hint="eastAsia" w:ascii="黑体" w:hAnsi="黑体" w:eastAsia="黑体"/>
          <w:b w:val="0"/>
          <w:color w:val="auto"/>
          <w:highlight w:val="none"/>
        </w:rPr>
      </w:pPr>
    </w:p>
    <w:p>
      <w:pPr>
        <w:pStyle w:val="15"/>
        <w:rPr>
          <w:rStyle w:val="28"/>
          <w:rFonts w:hint="eastAsia" w:ascii="黑体" w:hAnsi="黑体" w:eastAsia="黑体"/>
          <w:b w:val="0"/>
          <w:color w:val="auto"/>
          <w:highlight w:val="none"/>
        </w:rPr>
      </w:pPr>
    </w:p>
    <w:p>
      <w:pPr>
        <w:rPr>
          <w:rStyle w:val="28"/>
          <w:rFonts w:hint="eastAsia" w:ascii="黑体" w:hAnsi="黑体" w:eastAsia="黑体"/>
          <w:b w:val="0"/>
          <w:color w:val="auto"/>
          <w:highlight w:val="none"/>
        </w:rPr>
      </w:pPr>
    </w:p>
    <w:p>
      <w:pPr>
        <w:pStyle w:val="15"/>
        <w:tabs>
          <w:tab w:val="left" w:pos="6930"/>
        </w:tabs>
        <w:rPr>
          <w:rStyle w:val="28"/>
          <w:rFonts w:hint="eastAsia" w:ascii="黑体" w:hAnsi="黑体" w:eastAsia="黑体"/>
          <w:b w:val="0"/>
          <w:color w:val="auto"/>
          <w:highlight w:val="none"/>
        </w:rPr>
      </w:pPr>
    </w:p>
    <w:p>
      <w:pPr>
        <w:pStyle w:val="15"/>
        <w:ind w:left="0" w:leftChars="0" w:firstLine="0" w:firstLineChars="0"/>
        <w:rPr>
          <w:rStyle w:val="28"/>
          <w:rFonts w:hint="eastAsia" w:ascii="黑体" w:hAnsi="黑体" w:eastAsia="黑体"/>
          <w:b w:val="0"/>
          <w:color w:val="auto"/>
          <w:highlight w:val="none"/>
        </w:rPr>
      </w:pPr>
    </w:p>
    <w:p>
      <w:pPr>
        <w:rPr>
          <w:rFonts w:hint="eastAsia"/>
        </w:rPr>
      </w:pPr>
    </w:p>
    <w:p>
      <w:pPr>
        <w:rPr>
          <w:rStyle w:val="28"/>
          <w:rFonts w:hint="eastAsia" w:ascii="黑体" w:hAnsi="黑体" w:eastAsia="黑体"/>
          <w:b w:val="0"/>
          <w:color w:val="auto"/>
          <w:highlight w:val="none"/>
        </w:rPr>
      </w:pPr>
    </w:p>
    <w:tbl>
      <w:tblPr>
        <w:tblStyle w:val="16"/>
        <w:tblW w:w="98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9"/>
        <w:gridCol w:w="1553"/>
        <w:gridCol w:w="1343"/>
        <w:gridCol w:w="675"/>
        <w:gridCol w:w="1741"/>
        <w:gridCol w:w="1183"/>
        <w:gridCol w:w="541"/>
        <w:gridCol w:w="1499"/>
        <w:gridCol w:w="34"/>
        <w:gridCol w:w="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1" w:type="dxa"/>
          <w:trHeight w:val="450" w:hRule="atLeast"/>
        </w:trPr>
        <w:tc>
          <w:tcPr>
            <w:tcW w:w="9814" w:type="dxa"/>
            <w:gridSpan w:val="8"/>
            <w:tcBorders>
              <w:top w:val="nil"/>
              <w:left w:val="nil"/>
              <w:bottom w:val="nil"/>
              <w:right w:val="nil"/>
            </w:tcBorders>
            <w:shd w:val="clear" w:color="auto" w:fill="auto"/>
            <w:vAlign w:val="center"/>
          </w:tcPr>
          <w:p>
            <w:pPr>
              <w:keepNext w:val="0"/>
              <w:keepLines w:val="0"/>
              <w:widowControl/>
              <w:suppressLineNumbers w:val="0"/>
              <w:tabs>
                <w:tab w:val="left" w:pos="8620"/>
              </w:tabs>
              <w:ind w:firstLine="1800" w:firstLineChars="500"/>
              <w:jc w:val="both"/>
              <w:textAlignment w:val="center"/>
              <w:rPr>
                <w:rFonts w:ascii="方正大标宋简体" w:hAnsi="方正大标宋简体" w:eastAsia="方正大标宋简体" w:cs="方正大标宋简体"/>
                <w:i w:val="0"/>
                <w:iCs w:val="0"/>
                <w:color w:val="000000"/>
                <w:sz w:val="36"/>
                <w:szCs w:val="36"/>
                <w:u w:val="none"/>
              </w:rPr>
            </w:pPr>
            <w:r>
              <w:rPr>
                <w:rFonts w:hint="default" w:ascii="方正大标宋简体" w:hAnsi="方正大标宋简体" w:eastAsia="方正大标宋简体" w:cs="方正大标宋简体"/>
                <w:i w:val="0"/>
                <w:iCs w:val="0"/>
                <w:color w:val="000000"/>
                <w:kern w:val="0"/>
                <w:sz w:val="36"/>
                <w:szCs w:val="36"/>
                <w:u w:val="none"/>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1" w:type="dxa"/>
          <w:trHeight w:val="304" w:hRule="atLeast"/>
        </w:trPr>
        <w:tc>
          <w:tcPr>
            <w:tcW w:w="9814" w:type="dxa"/>
            <w:gridSpan w:val="8"/>
            <w:tcBorders>
              <w:top w:val="nil"/>
              <w:left w:val="nil"/>
              <w:bottom w:val="nil"/>
              <w:right w:val="nil"/>
            </w:tcBorders>
            <w:shd w:val="clear" w:color="auto" w:fill="auto"/>
            <w:vAlign w:val="center"/>
          </w:tcPr>
          <w:p>
            <w:pPr>
              <w:keepNext w:val="0"/>
              <w:keepLines w:val="0"/>
              <w:widowControl/>
              <w:suppressLineNumbers w:val="0"/>
              <w:ind w:firstLine="3520" w:firstLineChars="1600"/>
              <w:jc w:val="both"/>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1" w:type="dxa"/>
          <w:trHeight w:val="90" w:hRule="atLeast"/>
        </w:trPr>
        <w:tc>
          <w:tcPr>
            <w:tcW w:w="9814"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859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340" w:firstLineChars="13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电子政务外网租赁费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859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160" w:firstLineChars="1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270" w:hRule="atLeast"/>
        </w:trPr>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2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27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2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27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2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27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2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27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2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27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2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270" w:hRule="atLeast"/>
        </w:trPr>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3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49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1995"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7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提供区级政务外网网络中心到12个乡（镇）50M主（备）用传输线路服务。2、提供区级政务外网网络中心到四川广元朝天经济开发区管委会及36个区级单位50M主（备）用传输线路服务。3、提供区级政务外网网络中心到37个区级单位20M主（备）用传输线路服务。4、提供区级政务外网网络中心到中国电信股份有限公司朝天分公司1条1000M数据传输线路。5、提供区政府机房升级所有设备。6、提供7*24小时相关传输线路及配套网络设备运维服务</w:t>
            </w:r>
          </w:p>
        </w:tc>
        <w:tc>
          <w:tcPr>
            <w:tcW w:w="4998"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提供区级政务外网网络中心到12个乡（镇）50M主（备）用传输线路服务。2、提供区级政务外网网络中心到四川广元朝天经济开发区管委会及36个区级单位50M主（备）用传输线路服务。3、提供区级政务外网网络中心到37个区级单位20M主（备）用传输线路服务。4、提供区级政务外网网络中心到中国电信股份有限公司朝天分公司1条1000M数据传输线路。5、提供区政府机房升级所有设备。6、提供7*24小时相关传输线路及配套网络设备运维服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 w:type="dxa"/>
          <w:trHeight w:val="891" w:hRule="atLeast"/>
        </w:trPr>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15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27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20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12个乡（镇）</w:t>
            </w:r>
          </w:p>
        </w:tc>
        <w:tc>
          <w:tcPr>
            <w:tcW w:w="172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50M主（备）用传输线路服务</w:t>
            </w:r>
          </w:p>
        </w:tc>
        <w:tc>
          <w:tcPr>
            <w:tcW w:w="153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50M主（备）用传输线路服务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27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36个区级单位</w:t>
            </w:r>
          </w:p>
        </w:tc>
        <w:tc>
          <w:tcPr>
            <w:tcW w:w="172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50M主（备）用传输线路服务</w:t>
            </w:r>
          </w:p>
        </w:tc>
        <w:tc>
          <w:tcPr>
            <w:tcW w:w="153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50M主（备）用传输线路服务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27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37个区级单位</w:t>
            </w:r>
          </w:p>
        </w:tc>
        <w:tc>
          <w:tcPr>
            <w:tcW w:w="172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20M主（备）用传输线路服务</w:t>
            </w:r>
          </w:p>
        </w:tc>
        <w:tc>
          <w:tcPr>
            <w:tcW w:w="153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20M主（备）用传输线路服务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27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系统正常运行率</w:t>
            </w:r>
          </w:p>
        </w:tc>
        <w:tc>
          <w:tcPr>
            <w:tcW w:w="172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r>
              <w:rPr>
                <w:rStyle w:val="40"/>
                <w:lang w:val="en-US" w:eastAsia="zh-CN" w:bidi="ar"/>
              </w:rPr>
              <w:t>98%</w:t>
            </w:r>
          </w:p>
        </w:tc>
        <w:tc>
          <w:tcPr>
            <w:tcW w:w="153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r>
              <w:rPr>
                <w:rStyle w:val="40"/>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27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事故发生率</w:t>
            </w:r>
          </w:p>
        </w:tc>
        <w:tc>
          <w:tcPr>
            <w:tcW w:w="172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w:t>
            </w:r>
          </w:p>
        </w:tc>
        <w:tc>
          <w:tcPr>
            <w:tcW w:w="153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27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724"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533"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27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运维服务响应时间</w:t>
            </w:r>
          </w:p>
        </w:tc>
        <w:tc>
          <w:tcPr>
            <w:tcW w:w="172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r>
              <w:rPr>
                <w:rStyle w:val="40"/>
                <w:lang w:val="en-US" w:eastAsia="zh-CN" w:bidi="ar"/>
              </w:rPr>
              <w:t>1小时</w:t>
            </w:r>
          </w:p>
        </w:tc>
        <w:tc>
          <w:tcPr>
            <w:tcW w:w="153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r>
              <w:rPr>
                <w:rStyle w:val="40"/>
                <w:lang w:val="en-US" w:eastAsia="zh-CN" w:bidi="ar"/>
              </w:rPr>
              <w:t>1小时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27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724"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533"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27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724"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533"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27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主网线路服务</w:t>
            </w:r>
          </w:p>
        </w:tc>
        <w:tc>
          <w:tcPr>
            <w:tcW w:w="172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65万/年</w:t>
            </w:r>
          </w:p>
        </w:tc>
        <w:tc>
          <w:tcPr>
            <w:tcW w:w="153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65万/年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27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备网线路服务</w:t>
            </w:r>
          </w:p>
        </w:tc>
        <w:tc>
          <w:tcPr>
            <w:tcW w:w="172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20万/年</w:t>
            </w:r>
          </w:p>
        </w:tc>
        <w:tc>
          <w:tcPr>
            <w:tcW w:w="153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20万/年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27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724"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533"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27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20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724"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533"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27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724"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533"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27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724"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533"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48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实现区、乡、村三级互联互通</w:t>
            </w:r>
          </w:p>
        </w:tc>
        <w:tc>
          <w:tcPr>
            <w:tcW w:w="172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长效</w:t>
            </w:r>
          </w:p>
        </w:tc>
        <w:tc>
          <w:tcPr>
            <w:tcW w:w="153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27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社会影响力</w:t>
            </w:r>
          </w:p>
        </w:tc>
        <w:tc>
          <w:tcPr>
            <w:tcW w:w="172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有所提升</w:t>
            </w:r>
          </w:p>
        </w:tc>
        <w:tc>
          <w:tcPr>
            <w:tcW w:w="153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9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724"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533"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27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260"/>
              </w:tabs>
              <w:ind w:left="219" w:leftChars="0" w:hanging="219" w:hangingChars="122"/>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724"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533"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27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219" w:leftChars="0" w:hanging="219" w:hangingChars="122"/>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724"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533"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27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219" w:leftChars="0" w:hanging="219" w:hangingChars="122"/>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724"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533"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48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219" w:leftChars="0" w:hanging="219" w:hangingChars="122"/>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政务外网建设进一步向纵深扩展</w:t>
            </w:r>
          </w:p>
        </w:tc>
        <w:tc>
          <w:tcPr>
            <w:tcW w:w="172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长效</w:t>
            </w:r>
          </w:p>
        </w:tc>
        <w:tc>
          <w:tcPr>
            <w:tcW w:w="153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27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724"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533"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9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724"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533"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27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20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使用人员满意度</w:t>
            </w:r>
          </w:p>
        </w:tc>
        <w:tc>
          <w:tcPr>
            <w:tcW w:w="172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3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27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724"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533"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9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724"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533"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r>
    </w:tbl>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keepNext w:val="0"/>
        <w:keepLines w:val="0"/>
        <w:widowControl/>
        <w:suppressLineNumbers w:val="0"/>
        <w:jc w:val="both"/>
        <w:textAlignment w:val="top"/>
        <w:rPr>
          <w:rFonts w:hint="default" w:ascii="方正大标宋_GBK" w:hAnsi="方正大标宋_GBK" w:eastAsia="方正大标宋_GBK" w:cs="方正大标宋_GBK"/>
          <w:b/>
          <w:bCs/>
          <w:i w:val="0"/>
          <w:iCs w:val="0"/>
          <w:color w:val="000000"/>
          <w:kern w:val="0"/>
          <w:sz w:val="40"/>
          <w:szCs w:val="40"/>
          <w:u w:val="none"/>
          <w:lang w:val="en-US" w:eastAsia="zh-CN" w:bidi="ar"/>
        </w:rPr>
        <w:sectPr>
          <w:pgSz w:w="11906" w:h="16838"/>
          <w:pgMar w:top="1440" w:right="863" w:bottom="1440" w:left="1803" w:header="851" w:footer="992" w:gutter="0"/>
          <w:pgNumType w:start="1"/>
          <w:cols w:space="0" w:num="1"/>
          <w:titlePg/>
          <w:rtlGutter w:val="0"/>
          <w:docGrid w:type="lines" w:linePitch="319" w:charSpace="0"/>
        </w:sectPr>
      </w:pPr>
    </w:p>
    <w:tbl>
      <w:tblPr>
        <w:tblStyle w:val="16"/>
        <w:tblW w:w="14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802"/>
        <w:gridCol w:w="750"/>
        <w:gridCol w:w="4935"/>
        <w:gridCol w:w="660"/>
        <w:gridCol w:w="6195"/>
        <w:gridCol w:w="819"/>
        <w:gridCol w:w="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dxa"/>
          <w:trHeight w:val="576" w:hRule="atLeast"/>
        </w:trPr>
        <w:tc>
          <w:tcPr>
            <w:tcW w:w="14917" w:type="dxa"/>
            <w:gridSpan w:val="7"/>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方正大标宋_GBK" w:hAnsi="方正大标宋_GBK" w:eastAsia="方正大标宋_GBK" w:cs="方正大标宋_GBK"/>
                <w:b/>
                <w:bCs/>
                <w:i w:val="0"/>
                <w:iCs w:val="0"/>
                <w:color w:val="000000"/>
                <w:sz w:val="40"/>
                <w:szCs w:val="40"/>
                <w:u w:val="none"/>
              </w:rPr>
            </w:pPr>
            <w:r>
              <w:rPr>
                <w:rFonts w:hint="default" w:ascii="方正大标宋_GBK" w:hAnsi="方正大标宋_GBK" w:eastAsia="方正大标宋_GBK" w:cs="方正大标宋_GBK"/>
                <w:b/>
                <w:bCs/>
                <w:i w:val="0"/>
                <w:iCs w:val="0"/>
                <w:color w:val="000000"/>
                <w:kern w:val="0"/>
                <w:sz w:val="40"/>
                <w:szCs w:val="40"/>
                <w:u w:val="none"/>
                <w:lang w:val="en-US" w:eastAsia="zh-CN" w:bidi="ar"/>
              </w:rPr>
              <w:t>2021年部门预算项目支出绩效自评评分表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 w:type="dxa"/>
          <w:trHeight w:val="369" w:hRule="atLeast"/>
        </w:trPr>
        <w:tc>
          <w:tcPr>
            <w:tcW w:w="14917"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 部门（单位）盖章：                                                                          项目名称：电子政务外网租赁项目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 指标</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二级指标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三级指标            </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指标内容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参考分值</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评分标准</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项目决策（14分）</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项目立项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立项依据</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用以反映项目立项是否有充分的依据：符合国家法律法规、本地的相关规定；符合部门年度工作计划。</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①符合国家相关法律法规、国民经济发展规划和党委政府决策（1分）；                                                                                                           ②符合部门（单位）年度工作计划或项目实施单位职责密切相关（1分）。                                                             </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决策程序</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用以反映和考核项目立项的规范情况：项目的申请、设立过程是否符合相关要求。</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①项目是否按照规定的程序申请设立，审批文件、材料是否符合相关要求（1分）； ②事前是否已经过必要的可行性研究、专家论证、风险评估、集体决策等（1分）。</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项目目标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目标合理性</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用以反映和考核项目绩效目标与项目实施的相符情况：项目所设定的绩效目标是否依据充分，是否符合客观实际。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①项目的测算依据充分（1分）；                                                                                                                                                       ②项目是否有绩效目标，与实际工作内容是否具有相关性（1分）；                                                                                                                        ③项目预期产出效益和效果是否符合正常的业绩水平（1分）；                                                                                                                                                                   ④与预算确定的项目投资额或资金量相匹配（1分）。</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指标明确性</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用以反映和考核项目绩效目标与项目实施的相符情况：依据绩效目标设定的绩效指标是否清晰、细化、可衡量等。</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①是否将绩效目标的绩效指标细化分解（1分）；                                                                                                                                                        ②分解的绩效指标体现清晰、可衡量的指标值（1分）；                                                                                                                                                   ③与项目年度任务数或计划数相对应（1分）；                                                                                                                                                         ④与预算确定的项目投资额或资金量相匹配（1分）。</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资金分配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分配的合理性</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项目预算资金分配是否有测算依据，与项目单位或地方实际是否相适应；根据需要制定的相关资金管理办法；管理办法中有明确资金分配办法；资金分配因素全面、合理。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①预算资金分配依据充分（1分）；                                                                                                                                 ②资金分配额度合理，与项目单位或地方实际相适应 （1分）。                 此项需提供相应的资金分配方案。</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项目管理（16分）</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资金管理（9分）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资金到位率=（实际到位资金/计划投入资金）×100%。                                                              实际到位资金：一定时期（本年度或项目期）内落实到具体项目的资金。                                                       预算资金：一定时期（本年度或项目期）内预算安排到具体项目的资金。</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根据项目资金的实际到位率计算得分（1分）</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用以反映项目预算执行的进度：预算执行率=实际支出数/预算数。                                      实际支出资金：一定时期（本年度或项目期）内项目实际拨付的资金。</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根据项目资金的预算执行率计算得分（2分）</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用以反映和考核项目资金的规范运行情况：项目资金使用是否符合相关的财务管理制度规定。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①符合国家财经法规和财务管理制度以及有关专项资金管理办法的规定（1分）；                                                                      ②资金的拨付审批程序和手续完整（1分）；                                                                                           ③符合项目预算批复或合同规定的用途（1分）；                                                                                                                                                                    ④无截留、挤占、挪用、无虚列支出（3分）；                                                                                                                                                                                 若评价前已完成项目资金的专项审计，该指标可用审计结论代替。</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FF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组织实施（7分）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制度管理</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用以反映和考核财务和业务管理制度对项目顺利实施的制度保障情况。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①制定或具有相应的财务和业务管理制度（1分）；                                                                                                                                                         ②财务和业务管理制度合法、合规、完整（1分）。</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制度执行</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用以反映和考核业务管理制度的有效执行和质量控制情况：项目实施是否符合相关业务管理规定，是否为达到项目质量要求而采取了必需的措施。</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①按相关法律法规和业务管理规定执行（1分）；                                                                                                                                                      ②项目调整及支出调整手续完备（1分）；                                                                                                                                                                   ③项目合同书、验收报告、技术鉴定等资料规范、齐全（2分）；                                                                                                                                                                      ④项目实施的人员条件、场地设备等是否落实到位（1分）。</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项目绩效（特性指标）（70）</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项目产出（35分）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实际完成率</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实际完成率=（实际产出数/计划产出数）×100%。                                                            实际产出数：一定时期（本年度或项目期）内项目实际产出的产品或提供的服务数量。                                                                                         计划产出数：项目绩效目标确定的在一定时期（本年度或项目期）内计划产出的产品或提供的服务数量。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完成绩效目标100%得9分，未完成100%的同比例扣减。</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质量达标率</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质量达标率=（质量达标产出数量/计划完成产出数量）× 100%。                                                                                                                                  质量达标产出数：一定时期（本年度或项目期）内实际达到既定质量标准的产品或服务数量。                                                            既定质量标准是指项目实施单位设立绩效目标时依据计划标准、行业标准、历史标准或其他标准而设定的绩效指标值。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产出质量达到绩效目标100%得9分，未完成100%的同比例扣减。</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完成及时性</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完成及时率=计划时限内实际完成的项目数量/计划时限内应完成的项目数量×100%。                                                                                                                               实际完成时间：项目实施单位完成该项目实际所耗用的时间。                                                                         计划完成时间：按照项目实施计划或相关规定完成该项目所需的时间。</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产出时效达到绩效目标得8分，未完成且无充分理由的扣3分。</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完成成本（成本节约率）</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成本节约率=[（计划成本-实际成本）/计划成本]×100%。                                                        实际成本：项目实施单位如期、保质、保量完成既定工作目标实际所耗费的支出。                                                                                        计划成本：项目实施单位为完成工作目标计划安排的支出，一般以项目预算为参考。</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产出成本按绩效目标控制得9分，未完成的，按超支比例扣减。</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项目效益（30分）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经济效益（可选项）</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反映相关产出对经济社会发展带来的影响和效果，根据项目实际细化具体指标。重点考核投入产出率、回报率、增长率等指标。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完成绩效目标设定的经济效益得7分，未完成的，按完成情况酌情扣分。</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社会效益（可选项）</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反映相关产出对社会发展带来的影响和效果，根据项目实际细化具体指标。重点考核撬动率、贡献率、达标率、就业率等指标。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完成绩效目标设定的社会效益得7分，未完成的，按完成情况酌情扣分。</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环境效益（可选项）</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反映相关产出对自然环境带来的影响和效果，根据项目实际细化具体指标。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完成绩效目标设定的积极的环境效益得7分，未完成的，按完成情况酌情扣分。</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可持续效益（可选项）</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反映相关产出带来影响的可持续期限，根据项目实际细化具体指标。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完成绩效设定目标的得7分，未完成的，按完成情况酌情扣分。</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              （5分）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满意率反映服务对象或项目受益人对相关产出及其影响的认可程度，根据项目实际细化具体指标。重点考核满意率等指标。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满意率达90%（含）以上的得5分；80%（含）-89%得4分；70%（含）-79%得3分；60%（含）-69%得2分；60%以下不得分。</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72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140"/>
              </w:tabs>
              <w:ind w:right="3906" w:rightChars="186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87" w:type="dxa"/>
          <w:trHeight w:val="540" w:hRule="atLeast"/>
        </w:trPr>
        <w:tc>
          <w:tcPr>
            <w:tcW w:w="2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自评等级</w:t>
            </w:r>
          </w:p>
        </w:tc>
        <w:tc>
          <w:tcPr>
            <w:tcW w:w="117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自评结果：</w:t>
            </w:r>
            <w:r>
              <w:rPr>
                <w:rFonts w:ascii="Wingdings 2" w:hAnsi="Wingdings 2" w:eastAsia="Wingdings 2" w:cs="Wingdings 2"/>
                <w:b/>
                <w:bCs/>
                <w:i w:val="0"/>
                <w:iCs w:val="0"/>
                <w:color w:val="000000"/>
                <w:kern w:val="0"/>
                <w:sz w:val="21"/>
                <w:szCs w:val="21"/>
                <w:u w:val="none"/>
                <w:lang w:val="en-US" w:eastAsia="zh-CN" w:bidi="ar"/>
              </w:rPr>
              <w:t>R</w:t>
            </w:r>
            <w:r>
              <w:rPr>
                <w:rFonts w:hint="eastAsia" w:ascii="宋体" w:hAnsi="宋体" w:eastAsia="宋体" w:cs="宋体"/>
                <w:b/>
                <w:bCs/>
                <w:i w:val="0"/>
                <w:iCs w:val="0"/>
                <w:color w:val="000000"/>
                <w:kern w:val="0"/>
                <w:sz w:val="21"/>
                <w:szCs w:val="21"/>
                <w:u w:val="none"/>
                <w:lang w:val="en-US" w:eastAsia="zh-CN" w:bidi="ar"/>
              </w:rPr>
              <w:t>优秀（90≤得分≤100）；   □良好（80≤得分＜89）；   □及格（60≤得分＜79）；   □不及格（低于60分）</w:t>
            </w:r>
          </w:p>
        </w:tc>
      </w:tr>
    </w:tbl>
    <w:p>
      <w:pPr>
        <w:rPr>
          <w:rFonts w:hint="eastAsia"/>
        </w:rPr>
        <w:sectPr>
          <w:pgSz w:w="16838" w:h="11906" w:orient="landscape"/>
          <w:pgMar w:top="1803" w:right="1440" w:bottom="862" w:left="1440" w:header="851" w:footer="992" w:gutter="0"/>
          <w:pgNumType w:start="1"/>
          <w:cols w:space="0" w:num="1"/>
          <w:titlePg/>
          <w:rtlGutter w:val="0"/>
          <w:docGrid w:type="lines" w:linePitch="330" w:charSpace="0"/>
        </w:sectPr>
      </w:pPr>
    </w:p>
    <w:p>
      <w:pPr>
        <w:autoSpaceDE w:val="0"/>
        <w:spacing w:line="540" w:lineRule="exact"/>
        <w:ind w:right="-1058" w:rightChars="-504"/>
        <w:jc w:val="cente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1</w:t>
      </w:r>
      <w:r>
        <w:rPr>
          <w:rFonts w:hint="eastAsia" w:ascii="方正大标宋简体" w:hAnsi="??" w:eastAsia="方正大标宋简体" w:cs="Times New Roman"/>
          <w:b/>
          <w:color w:val="000000"/>
          <w:spacing w:val="-6"/>
          <w:kern w:val="0"/>
          <w:sz w:val="44"/>
          <w:szCs w:val="44"/>
        </w:rPr>
        <w:t>年</w:t>
      </w:r>
      <w:r>
        <w:rPr>
          <w:rFonts w:hint="eastAsia" w:ascii="方正大标宋简体" w:hAnsi="??" w:eastAsia="方正大标宋简体" w:cs="Times New Roman"/>
          <w:b/>
          <w:color w:val="000000"/>
          <w:spacing w:val="-6"/>
          <w:kern w:val="0"/>
          <w:sz w:val="44"/>
          <w:szCs w:val="44"/>
          <w:lang w:eastAsia="zh-CN"/>
        </w:rPr>
        <w:t>政务公开工作经费</w:t>
      </w:r>
      <w:r>
        <w:rPr>
          <w:rFonts w:hint="eastAsia" w:ascii="方正大标宋简体" w:hAnsi="??" w:eastAsia="方正大标宋简体" w:cs="Times New Roman"/>
          <w:b/>
          <w:color w:val="000000"/>
          <w:spacing w:val="-6"/>
          <w:kern w:val="0"/>
          <w:sz w:val="44"/>
          <w:szCs w:val="44"/>
        </w:rPr>
        <w:t>支出绩效评价报告</w:t>
      </w:r>
    </w:p>
    <w:p>
      <w:pPr>
        <w:rPr>
          <w:rFonts w:hint="eastAsia" w:ascii="仿宋" w:hAnsi="仿宋" w:eastAsia="仿宋"/>
          <w:b/>
          <w:sz w:val="32"/>
          <w:szCs w:val="32"/>
        </w:rPr>
      </w:pPr>
    </w:p>
    <w:p>
      <w:pPr>
        <w:numPr>
          <w:ilvl w:val="0"/>
          <w:numId w:val="8"/>
        </w:num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项目概况</w:t>
      </w:r>
    </w:p>
    <w:p>
      <w:pPr>
        <w:spacing w:line="560" w:lineRule="exact"/>
        <w:ind w:firstLine="320" w:firstLineChars="100"/>
        <w:rPr>
          <w:rFonts w:hint="eastAsia" w:ascii="仿宋_GB2312" w:eastAsia="仿宋_GB2312"/>
          <w:sz w:val="32"/>
          <w:szCs w:val="32"/>
        </w:rPr>
      </w:pPr>
      <w:r>
        <w:rPr>
          <w:rFonts w:hint="eastAsia" w:ascii="仿宋_GB2312" w:eastAsia="仿宋_GB2312"/>
          <w:sz w:val="32"/>
          <w:szCs w:val="32"/>
        </w:rPr>
        <w:t>（一）项目基本情况：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项目立项依据</w:t>
      </w:r>
      <w:r>
        <w:rPr>
          <w:rFonts w:hint="eastAsia" w:ascii="仿宋_GB2312" w:eastAsia="仿宋_GB2312"/>
          <w:sz w:val="32"/>
          <w:szCs w:val="32"/>
          <w:lang w:val="en-US" w:eastAsia="zh-CN"/>
        </w:rPr>
        <w:t>:根据国家、省、工作目标要求，实施该项目</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项目实施主体：朝天区人民政府办公室；</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项目实施计划及主要内容：</w:t>
      </w:r>
      <w:r>
        <w:rPr>
          <w:rFonts w:hint="eastAsia" w:ascii="仿宋_GB2312" w:hAnsi="仿宋" w:eastAsia="仿宋_GB2312"/>
          <w:sz w:val="32"/>
          <w:szCs w:val="32"/>
        </w:rPr>
        <w:t>主要用于支撑政务信息调研、政务公开、政府信息公开及依申请政府信息公开办理等</w:t>
      </w:r>
      <w:r>
        <w:rPr>
          <w:rFonts w:hint="eastAsia" w:ascii="仿宋_GB2312" w:eastAsia="仿宋_GB2312"/>
          <w:sz w:val="32"/>
          <w:szCs w:val="32"/>
        </w:rPr>
        <w:t>。</w:t>
      </w:r>
      <w:r>
        <w:rPr>
          <w:rFonts w:hint="eastAsia" w:ascii="仿宋_GB2312" w:eastAsia="仿宋_GB2312"/>
          <w:sz w:val="32"/>
          <w:szCs w:val="32"/>
          <w:lang w:val="en-US" w:eastAsia="zh-CN"/>
        </w:rPr>
        <w:t xml:space="preserve"> </w:t>
      </w:r>
    </w:p>
    <w:p>
      <w:pPr>
        <w:spacing w:line="560" w:lineRule="exact"/>
        <w:ind w:firstLine="640" w:firstLineChars="200"/>
        <w:rPr>
          <w:rFonts w:hint="eastAsia" w:ascii="黑体" w:eastAsia="黑体"/>
          <w:b/>
          <w:sz w:val="32"/>
          <w:szCs w:val="32"/>
        </w:rPr>
      </w:pPr>
      <w:r>
        <w:rPr>
          <w:rFonts w:hint="eastAsia" w:ascii="仿宋_GB2312" w:eastAsia="仿宋_GB2312"/>
          <w:sz w:val="32"/>
          <w:szCs w:val="32"/>
        </w:rPr>
        <w:t>（二）项目预算情况：项目资金预算（或计划）及测算</w:t>
      </w:r>
      <w:r>
        <w:rPr>
          <w:rFonts w:hint="eastAsia" w:ascii="仿宋_GB2312" w:eastAsia="仿宋_GB2312"/>
          <w:sz w:val="32"/>
          <w:szCs w:val="32"/>
          <w:lang w:val="en-US" w:eastAsia="zh-CN"/>
        </w:rPr>
        <w:t>20</w:t>
      </w:r>
      <w:r>
        <w:rPr>
          <w:rFonts w:hint="eastAsia" w:ascii="仿宋_GB2312" w:eastAsia="仿宋_GB2312"/>
          <w:sz w:val="32"/>
          <w:szCs w:val="32"/>
        </w:rPr>
        <w:t>万元。项目预算无调整。</w:t>
      </w:r>
    </w:p>
    <w:p>
      <w:pPr>
        <w:spacing w:line="560" w:lineRule="exact"/>
        <w:ind w:firstLine="640" w:firstLineChars="200"/>
        <w:rPr>
          <w:rFonts w:hint="default" w:ascii="黑体" w:hAnsi="黑体" w:eastAsia="黑体"/>
          <w:sz w:val="32"/>
          <w:szCs w:val="32"/>
          <w:lang w:val="en-US" w:eastAsia="zh-CN"/>
        </w:rPr>
      </w:pPr>
      <w:r>
        <w:rPr>
          <w:rFonts w:hint="eastAsia" w:ascii="仿宋_GB2312" w:eastAsia="仿宋_GB2312"/>
          <w:sz w:val="32"/>
          <w:szCs w:val="32"/>
        </w:rPr>
        <w:t>（三）项目绩效目标：</w:t>
      </w:r>
      <w:r>
        <w:rPr>
          <w:rFonts w:hint="eastAsia" w:ascii="仿宋_GB2312" w:hAnsi="仿宋" w:eastAsia="仿宋_GB2312"/>
          <w:sz w:val="32"/>
          <w:szCs w:val="32"/>
        </w:rPr>
        <w:t>实现</w:t>
      </w:r>
      <w:r>
        <w:rPr>
          <w:rFonts w:hint="eastAsia" w:ascii="仿宋_GB2312" w:hAnsi="仿宋" w:eastAsia="仿宋_GB2312"/>
          <w:sz w:val="32"/>
          <w:szCs w:val="32"/>
          <w:lang w:eastAsia="zh-CN"/>
        </w:rPr>
        <w:t>企业、群众“零”成本获取政务信息，</w:t>
      </w:r>
      <w:r>
        <w:rPr>
          <w:rFonts w:hint="eastAsia" w:ascii="仿宋_GB2312" w:hAnsi="仿宋" w:eastAsia="仿宋_GB2312"/>
          <w:sz w:val="32"/>
          <w:szCs w:val="32"/>
        </w:rPr>
        <w:t>为社会公众提供互动交流渠道，向全社会宣传和展示朝天区政府形象；向公众提供全面、系统、权威、详实的法律、法规、部门规章以及规范性政府文件及其准确的解读和分析等</w:t>
      </w:r>
      <w:r>
        <w:rPr>
          <w:rFonts w:hint="eastAsia" w:ascii="仿宋_GB2312" w:eastAsia="仿宋_GB2312"/>
          <w:sz w:val="32"/>
          <w:szCs w:val="32"/>
        </w:rPr>
        <w:t>。</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二、项目资金管理情况</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（一）资金到位情况：项目资金</w:t>
      </w:r>
      <w:r>
        <w:rPr>
          <w:rFonts w:hint="eastAsia" w:ascii="仿宋_GB2312" w:hAnsi="仿宋" w:eastAsia="仿宋_GB2312"/>
          <w:sz w:val="32"/>
          <w:szCs w:val="32"/>
          <w:lang w:val="en-US" w:eastAsia="zh-CN"/>
        </w:rPr>
        <w:t>1月到位20万元。</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（二）预算资金执行情况：截止12月31日我单位该项目支出20万元。</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（三）项目资金规范运行情况：</w:t>
      </w:r>
      <w:r>
        <w:rPr>
          <w:rFonts w:hint="eastAsia" w:ascii="仿宋_GB2312" w:hAnsi="仿宋" w:eastAsia="仿宋_GB2312"/>
          <w:sz w:val="32"/>
          <w:szCs w:val="32"/>
        </w:rPr>
        <w:t>严格执行资金使用申请程序及资金使用各项标准进行管理使用</w:t>
      </w:r>
      <w:r>
        <w:rPr>
          <w:rFonts w:hint="eastAsia" w:ascii="仿宋_GB2312" w:hAnsi="仿宋" w:eastAsia="仿宋_GB2312"/>
          <w:sz w:val="32"/>
          <w:szCs w:val="32"/>
          <w:lang w:eastAsia="zh-CN"/>
        </w:rPr>
        <w:t>。</w:t>
      </w:r>
    </w:p>
    <w:p>
      <w:pPr>
        <w:spacing w:line="560" w:lineRule="exact"/>
        <w:ind w:firstLine="640" w:firstLineChars="200"/>
        <w:rPr>
          <w:rFonts w:hint="eastAsia" w:ascii="黑体" w:hAnsi="黑体" w:eastAsia="黑体"/>
          <w:sz w:val="32"/>
          <w:szCs w:val="32"/>
        </w:rPr>
      </w:pPr>
      <w:r>
        <w:rPr>
          <w:rFonts w:hint="eastAsia" w:ascii="仿宋_GB2312" w:hAnsi="仿宋" w:eastAsia="仿宋_GB2312"/>
          <w:sz w:val="32"/>
          <w:szCs w:val="32"/>
          <w:lang w:eastAsia="zh-CN"/>
        </w:rPr>
        <w:t>（四）财务管理情况：</w:t>
      </w:r>
      <w:r>
        <w:rPr>
          <w:rFonts w:ascii="仿宋_GB2312" w:hAnsi="仿宋" w:eastAsia="仿宋_GB2312"/>
          <w:sz w:val="32"/>
          <w:szCs w:val="32"/>
        </w:rPr>
        <w:t>我办</w:t>
      </w:r>
      <w:r>
        <w:rPr>
          <w:rFonts w:hint="eastAsia" w:ascii="仿宋_GB2312" w:hAnsi="仿宋" w:eastAsia="仿宋_GB2312"/>
          <w:sz w:val="32"/>
          <w:szCs w:val="32"/>
        </w:rPr>
        <w:t>按照财务管理制度</w:t>
      </w:r>
      <w:r>
        <w:rPr>
          <w:rFonts w:hint="eastAsia" w:ascii="仿宋_GB2312" w:hAnsi="仿宋" w:eastAsia="仿宋_GB2312"/>
          <w:sz w:val="32"/>
          <w:szCs w:val="32"/>
          <w:lang w:eastAsia="zh-CN"/>
        </w:rPr>
        <w:t>健全</w:t>
      </w:r>
      <w:r>
        <w:rPr>
          <w:rFonts w:hint="eastAsia" w:ascii="仿宋_GB2312" w:hAnsi="仿宋" w:eastAsia="仿宋_GB2312"/>
          <w:sz w:val="32"/>
          <w:szCs w:val="32"/>
        </w:rPr>
        <w:t>，</w:t>
      </w:r>
      <w:r>
        <w:rPr>
          <w:rFonts w:hint="eastAsia" w:ascii="仿宋_GB2312" w:hAnsi="仿宋" w:eastAsia="仿宋_GB2312"/>
          <w:sz w:val="32"/>
          <w:szCs w:val="32"/>
          <w:lang w:eastAsia="zh-CN"/>
        </w:rPr>
        <w:t>管理规范，会计规范核算财务处理，</w:t>
      </w:r>
      <w:r>
        <w:rPr>
          <w:rFonts w:hint="eastAsia" w:ascii="仿宋_GB2312" w:hAnsi="仿宋" w:eastAsia="仿宋_GB2312"/>
          <w:sz w:val="32"/>
          <w:szCs w:val="32"/>
        </w:rPr>
        <w:t>最大化发挥了项目资金的综合效益。</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三、项目组织实施情况</w:t>
      </w:r>
    </w:p>
    <w:p>
      <w:pPr>
        <w:spacing w:line="560" w:lineRule="exact"/>
        <w:ind w:firstLine="660"/>
        <w:rPr>
          <w:rFonts w:hint="eastAsia" w:ascii="仿宋_GB2312" w:hAnsi="仿宋" w:eastAsia="仿宋_GB2312"/>
          <w:sz w:val="32"/>
          <w:szCs w:val="32"/>
          <w:lang w:eastAsia="zh-CN"/>
        </w:rPr>
      </w:pPr>
      <w:r>
        <w:rPr>
          <w:rFonts w:hint="eastAsia" w:ascii="仿宋_GB2312" w:hAnsi="仿宋" w:eastAsia="仿宋_GB2312"/>
          <w:sz w:val="32"/>
          <w:szCs w:val="32"/>
          <w:lang w:eastAsia="zh-CN"/>
        </w:rPr>
        <w:t>（一）项目组织机关与职责落实情况：项目由区政府办公室组织实施，由专人负责落实。</w:t>
      </w:r>
    </w:p>
    <w:p>
      <w:pPr>
        <w:spacing w:line="560" w:lineRule="exact"/>
        <w:ind w:firstLine="660"/>
        <w:rPr>
          <w:rFonts w:ascii="仿宋_GB2312" w:hAnsi="仿宋" w:eastAsia="仿宋_GB2312"/>
          <w:sz w:val="32"/>
          <w:szCs w:val="32"/>
        </w:rPr>
      </w:pPr>
      <w:r>
        <w:rPr>
          <w:rFonts w:hint="eastAsia" w:ascii="仿宋_GB2312" w:hAnsi="仿宋" w:eastAsia="仿宋_GB2312"/>
          <w:sz w:val="32"/>
          <w:szCs w:val="32"/>
          <w:lang w:eastAsia="zh-CN"/>
        </w:rPr>
        <w:t>（二）项目管理制度建设情况：严格按照政务公开相关的</w:t>
      </w:r>
      <w:r>
        <w:rPr>
          <w:rFonts w:ascii="仿宋_GB2312" w:hAnsi="仿宋" w:eastAsia="仿宋_GB2312"/>
          <w:sz w:val="32"/>
          <w:szCs w:val="32"/>
        </w:rPr>
        <w:t>工作职责</w:t>
      </w:r>
      <w:r>
        <w:rPr>
          <w:rFonts w:hint="eastAsia" w:ascii="仿宋_GB2312" w:hAnsi="仿宋" w:eastAsia="仿宋_GB2312"/>
          <w:sz w:val="32"/>
          <w:szCs w:val="32"/>
          <w:lang w:eastAsia="zh-CN"/>
        </w:rPr>
        <w:t>开展工作</w:t>
      </w:r>
      <w:r>
        <w:rPr>
          <w:rFonts w:ascii="仿宋_GB2312" w:hAnsi="仿宋" w:eastAsia="仿宋_GB2312"/>
          <w:sz w:val="32"/>
          <w:szCs w:val="32"/>
        </w:rPr>
        <w:t>。</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sz w:val="32"/>
          <w:szCs w:val="32"/>
          <w:lang w:eastAsia="zh-CN"/>
        </w:rPr>
        <w:t>（三）项目组织管理落实情况：一是</w:t>
      </w:r>
      <w:r>
        <w:rPr>
          <w:rFonts w:ascii="仿宋_GB2312" w:hAnsi="仿宋" w:eastAsia="仿宋_GB2312"/>
          <w:sz w:val="32"/>
          <w:szCs w:val="32"/>
        </w:rPr>
        <w:t>项目单位明确了专门机构和人员负责项目建设，统筹安排、协调处理相关事宜。二是</w:t>
      </w:r>
      <w:r>
        <w:rPr>
          <w:rFonts w:hint="eastAsia" w:ascii="仿宋_GB2312" w:hAnsi="仿宋" w:eastAsia="仿宋_GB2312" w:cs="仿宋"/>
          <w:sz w:val="32"/>
          <w:szCs w:val="32"/>
        </w:rPr>
        <w:t>形成区、乡（镇）、部门联动的公开网络，有效保障朝天区政府网站、信息公开平台安全稳定运行。</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四、项目绩效情况</w:t>
      </w:r>
    </w:p>
    <w:p>
      <w:pPr>
        <w:spacing w:line="560" w:lineRule="exact"/>
        <w:ind w:firstLine="645"/>
        <w:rPr>
          <w:rFonts w:hint="eastAsia" w:ascii="楷体_GB2312" w:hAnsi="仿宋" w:eastAsia="楷体_GB2312"/>
          <w:sz w:val="32"/>
          <w:szCs w:val="32"/>
        </w:rPr>
      </w:pPr>
      <w:r>
        <w:rPr>
          <w:rFonts w:hint="eastAsia" w:ascii="楷体_GB2312" w:hAnsi="仿宋" w:eastAsia="楷体_GB2312"/>
          <w:sz w:val="32"/>
          <w:szCs w:val="32"/>
        </w:rPr>
        <w:t>（一）项目完成情况。</w:t>
      </w:r>
    </w:p>
    <w:p>
      <w:pPr>
        <w:spacing w:line="560" w:lineRule="exact"/>
        <w:ind w:firstLine="645"/>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1</w:t>
      </w:r>
      <w:r>
        <w:rPr>
          <w:rFonts w:hint="eastAsia" w:ascii="仿宋_GB2312" w:hAnsi="仿宋" w:eastAsia="仿宋_GB2312"/>
          <w:color w:val="000000"/>
          <w:sz w:val="32"/>
          <w:szCs w:val="32"/>
        </w:rPr>
        <w:t>年度</w:t>
      </w:r>
      <w:r>
        <w:rPr>
          <w:rFonts w:ascii="仿宋_GB2312" w:hAnsi="仿宋" w:eastAsia="仿宋_GB2312"/>
          <w:color w:val="000000"/>
          <w:sz w:val="32"/>
          <w:szCs w:val="32"/>
        </w:rPr>
        <w:t>全区通过不同渠道和方式公开政府信息</w:t>
      </w:r>
      <w:r>
        <w:rPr>
          <w:rFonts w:hint="eastAsia" w:ascii="仿宋_GB2312" w:hAnsi="仿宋" w:eastAsia="仿宋_GB2312"/>
          <w:color w:val="000000"/>
          <w:sz w:val="32"/>
          <w:szCs w:val="32"/>
          <w:lang w:val="en-US" w:eastAsia="zh-CN"/>
        </w:rPr>
        <w:t>90000余</w:t>
      </w:r>
      <w:r>
        <w:rPr>
          <w:rFonts w:ascii="仿宋_GB2312" w:hAnsi="仿宋" w:eastAsia="仿宋_GB2312"/>
          <w:color w:val="000000"/>
          <w:sz w:val="32"/>
          <w:szCs w:val="32"/>
        </w:rPr>
        <w:t>条</w:t>
      </w:r>
      <w:r>
        <w:rPr>
          <w:rFonts w:hint="eastAsia" w:ascii="仿宋_GB2312" w:hAnsi="仿宋" w:eastAsia="仿宋_GB2312"/>
          <w:color w:val="000000"/>
          <w:sz w:val="32"/>
          <w:szCs w:val="32"/>
          <w:lang w:eastAsia="zh-CN"/>
        </w:rPr>
        <w:t>，极大方便了社会公众获取政务信息资源，有效提升了政府公信力。</w:t>
      </w:r>
    </w:p>
    <w:p>
      <w:pPr>
        <w:spacing w:line="560" w:lineRule="exact"/>
        <w:ind w:firstLine="645"/>
        <w:rPr>
          <w:rFonts w:hint="eastAsia" w:ascii="楷体_GB2312" w:hAnsi="仿宋" w:eastAsia="楷体_GB2312"/>
          <w:sz w:val="32"/>
          <w:szCs w:val="32"/>
        </w:rPr>
      </w:pPr>
      <w:r>
        <w:rPr>
          <w:rFonts w:hint="eastAsia" w:ascii="楷体_GB2312" w:hAnsi="仿宋" w:eastAsia="楷体_GB2312"/>
          <w:sz w:val="32"/>
          <w:szCs w:val="32"/>
        </w:rPr>
        <w:t>（二）项目效益情况。</w:t>
      </w:r>
    </w:p>
    <w:p>
      <w:pPr>
        <w:spacing w:line="56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1.经济效益指标得分情况分析</w:t>
      </w:r>
    </w:p>
    <w:p>
      <w:pPr>
        <w:spacing w:line="560" w:lineRule="exact"/>
        <w:ind w:firstLine="645"/>
        <w:rPr>
          <w:rFonts w:hint="eastAsia" w:ascii="仿宋_GB2312" w:hAnsi="仿宋" w:eastAsia="仿宋_GB2312"/>
          <w:color w:val="000000"/>
          <w:sz w:val="32"/>
          <w:szCs w:val="32"/>
        </w:rPr>
      </w:pPr>
      <w:r>
        <w:rPr>
          <w:rFonts w:hint="eastAsia" w:ascii="仿宋_GB2312" w:hAnsi="仿宋" w:eastAsia="仿宋_GB2312"/>
          <w:color w:val="000000"/>
          <w:sz w:val="32"/>
          <w:szCs w:val="32"/>
        </w:rPr>
        <w:t>极大提高政务公开水平，提供网上办事咨询功能，实现群众咨询需求，减少群众出行成本。</w:t>
      </w:r>
    </w:p>
    <w:p>
      <w:pPr>
        <w:spacing w:line="560" w:lineRule="exact"/>
        <w:ind w:firstLine="645"/>
        <w:rPr>
          <w:rFonts w:hint="eastAsia" w:ascii="仿宋_GB2312" w:hAnsi="仿宋" w:eastAsia="仿宋_GB2312"/>
          <w:color w:val="000000"/>
          <w:sz w:val="32"/>
          <w:szCs w:val="32"/>
        </w:rPr>
      </w:pPr>
      <w:r>
        <w:rPr>
          <w:rFonts w:hint="eastAsia" w:ascii="仿宋_GB2312" w:hAnsi="仿宋" w:eastAsia="仿宋_GB2312"/>
          <w:color w:val="000000"/>
          <w:sz w:val="32"/>
          <w:szCs w:val="32"/>
        </w:rPr>
        <w:t>2.社会效益指标得分情况分析</w:t>
      </w:r>
    </w:p>
    <w:p>
      <w:pPr>
        <w:spacing w:line="560" w:lineRule="exact"/>
        <w:ind w:firstLine="645"/>
        <w:rPr>
          <w:rFonts w:hint="eastAsia" w:ascii="仿宋_GB2312" w:hAnsi="仿宋" w:eastAsia="仿宋_GB2312"/>
          <w:color w:val="000000"/>
          <w:sz w:val="32"/>
          <w:szCs w:val="32"/>
        </w:rPr>
      </w:pPr>
      <w:r>
        <w:rPr>
          <w:rFonts w:hint="eastAsia" w:ascii="仿宋_GB2312" w:hAnsi="仿宋" w:eastAsia="仿宋_GB2312"/>
          <w:color w:val="000000"/>
          <w:sz w:val="32"/>
          <w:szCs w:val="32"/>
        </w:rPr>
        <w:t>切实保障朝天区政府网站顺利通过全国、全省政府网站抽查，有效提升朝天区政府工作的公信力。</w:t>
      </w:r>
    </w:p>
    <w:p>
      <w:pPr>
        <w:spacing w:line="560" w:lineRule="exact"/>
        <w:ind w:firstLine="645"/>
        <w:rPr>
          <w:rFonts w:hint="eastAsia" w:ascii="仿宋_GB2312" w:hAnsi="仿宋" w:eastAsia="仿宋_GB2312"/>
          <w:color w:val="000000"/>
          <w:sz w:val="32"/>
          <w:szCs w:val="32"/>
        </w:rPr>
      </w:pPr>
      <w:r>
        <w:rPr>
          <w:rFonts w:hint="eastAsia" w:ascii="仿宋_GB2312" w:hAnsi="仿宋" w:eastAsia="仿宋_GB2312"/>
          <w:color w:val="000000"/>
          <w:sz w:val="32"/>
          <w:szCs w:val="32"/>
        </w:rPr>
        <w:t>3.可持续影响指标得分情况分析</w:t>
      </w:r>
    </w:p>
    <w:p>
      <w:pPr>
        <w:autoSpaceDE w:val="0"/>
        <w:spacing w:line="54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网站的持续维护可以升级功能模块，提高系统与业务契合度，可长期稳定为提升政府公信力，节约社会成本。</w:t>
      </w:r>
    </w:p>
    <w:p>
      <w:pPr>
        <w:pStyle w:val="15"/>
        <w:rPr>
          <w:rFonts w:hint="eastAsia"/>
        </w:rPr>
      </w:pPr>
    </w:p>
    <w:p>
      <w:pPr>
        <w:autoSpaceDE w:val="0"/>
        <w:spacing w:line="540" w:lineRule="exact"/>
        <w:rPr>
          <w:rFonts w:hint="eastAsia" w:ascii="黑体" w:hAnsi="黑体" w:eastAsia="黑体" w:cs="Times New Roman"/>
          <w:color w:val="000000"/>
          <w:kern w:val="0"/>
          <w:sz w:val="24"/>
          <w:szCs w:val="24"/>
        </w:rPr>
      </w:pPr>
      <w:r>
        <w:rPr>
          <w:rFonts w:hint="eastAsia" w:ascii="仿宋_GB2312" w:hAnsi="宋体" w:eastAsia="仿宋_GB2312" w:cs="Times New Roman"/>
          <w:color w:val="000000"/>
          <w:spacing w:val="-6"/>
          <w:kern w:val="0"/>
          <w:sz w:val="32"/>
          <w:szCs w:val="32"/>
        </w:rPr>
        <w:t xml:space="preserve">    附表：1.</w:t>
      </w:r>
      <w:r>
        <w:rPr>
          <w:rFonts w:hint="eastAsia" w:ascii="仿宋_GB2312" w:hAnsi="宋体" w:eastAsia="仿宋_GB2312" w:cs="Times New Roman"/>
          <w:color w:val="000000"/>
          <w:spacing w:val="-6"/>
          <w:kern w:val="0"/>
          <w:sz w:val="32"/>
          <w:szCs w:val="32"/>
          <w:lang w:eastAsia="zh-CN"/>
        </w:rPr>
        <w:t>部门预算</w:t>
      </w:r>
      <w:r>
        <w:rPr>
          <w:rFonts w:hint="eastAsia" w:ascii="仿宋_GB2312" w:hAnsi="宋体" w:eastAsia="仿宋_GB2312" w:cs="宋体"/>
          <w:color w:val="000000"/>
          <w:kern w:val="0"/>
          <w:sz w:val="32"/>
          <w:szCs w:val="32"/>
        </w:rPr>
        <w:t>项目支出绩效目标自评表</w:t>
      </w:r>
    </w:p>
    <w:p>
      <w:pPr>
        <w:widowControl/>
        <w:autoSpaceDE w:val="0"/>
        <w:spacing w:line="540" w:lineRule="exact"/>
        <w:ind w:firstLine="1540" w:firstLineChars="500"/>
        <w:jc w:val="left"/>
        <w:rPr>
          <w:rFonts w:hint="eastAsia" w:ascii="仿宋_GB2312" w:hAnsi="宋体" w:eastAsia="仿宋_GB2312" w:cs="Times New Roman"/>
          <w:color w:val="000000"/>
          <w:spacing w:val="-6"/>
          <w:kern w:val="0"/>
          <w:sz w:val="32"/>
          <w:szCs w:val="32"/>
        </w:rPr>
      </w:pPr>
      <w:r>
        <w:rPr>
          <w:rFonts w:hint="eastAsia" w:ascii="仿宋_GB2312" w:hAnsi="宋体" w:eastAsia="仿宋_GB2312" w:cs="Times New Roman"/>
          <w:color w:val="000000"/>
          <w:spacing w:val="-6"/>
          <w:kern w:val="0"/>
          <w:sz w:val="32"/>
          <w:szCs w:val="32"/>
        </w:rPr>
        <w:t>2.202</w:t>
      </w:r>
      <w:r>
        <w:rPr>
          <w:rFonts w:hint="eastAsia" w:ascii="仿宋_GB2312" w:hAnsi="宋体" w:eastAsia="仿宋_GB2312" w:cs="Times New Roman"/>
          <w:color w:val="000000"/>
          <w:spacing w:val="-6"/>
          <w:kern w:val="0"/>
          <w:sz w:val="32"/>
          <w:szCs w:val="32"/>
          <w:lang w:val="en-US" w:eastAsia="zh-CN"/>
        </w:rPr>
        <w:t>1</w:t>
      </w:r>
      <w:r>
        <w:rPr>
          <w:rFonts w:hint="eastAsia" w:ascii="仿宋_GB2312" w:hAnsi="宋体" w:eastAsia="仿宋_GB2312" w:cs="Times New Roman"/>
          <w:color w:val="000000"/>
          <w:spacing w:val="-6"/>
          <w:kern w:val="0"/>
          <w:sz w:val="32"/>
          <w:szCs w:val="32"/>
        </w:rPr>
        <w:t>年部门预算项目支出绩效自评评分表</w:t>
      </w:r>
    </w:p>
    <w:p>
      <w:pPr>
        <w:rPr>
          <w:rFonts w:hint="eastAsia"/>
        </w:rPr>
      </w:pPr>
    </w:p>
    <w:p>
      <w:pPr>
        <w:rPr>
          <w:rFonts w:hint="eastAsia"/>
        </w:rPr>
      </w:pPr>
    </w:p>
    <w:p>
      <w:pPr>
        <w:pStyle w:val="15"/>
        <w:ind w:left="0" w:leftChars="0" w:firstLine="0" w:firstLineChars="0"/>
        <w:jc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r>
        <w:rPr>
          <w:rFonts w:hint="eastAsia" w:ascii="方正大标宋简体" w:hAnsi="方正大标宋简体" w:eastAsia="方正大标宋简体" w:cs="方正大标宋简体"/>
          <w:i w:val="0"/>
          <w:iCs w:val="0"/>
          <w:color w:val="000000"/>
          <w:kern w:val="0"/>
          <w:sz w:val="36"/>
          <w:szCs w:val="36"/>
          <w:u w:val="none"/>
          <w:lang w:val="en-US" w:eastAsia="zh-CN" w:bidi="ar"/>
        </w:rPr>
        <w:t xml:space="preserve">        </w:t>
      </w:r>
      <w:r>
        <w:rPr>
          <w:rFonts w:hint="default" w:ascii="方正大标宋简体" w:hAnsi="方正大标宋简体" w:eastAsia="方正大标宋简体" w:cs="方正大标宋简体"/>
          <w:i w:val="0"/>
          <w:iCs w:val="0"/>
          <w:color w:val="000000"/>
          <w:kern w:val="0"/>
          <w:sz w:val="36"/>
          <w:szCs w:val="36"/>
          <w:u w:val="none"/>
          <w:lang w:val="en-US" w:eastAsia="zh-CN" w:bidi="ar"/>
        </w:rPr>
        <w:t>部门预算项目支出绩效目标自评表</w:t>
      </w:r>
    </w:p>
    <w:p>
      <w:pPr>
        <w:pStyle w:val="15"/>
        <w:ind w:left="0" w:leftChars="0" w:firstLine="0" w:firstLineChars="0"/>
        <w:jc w:val="center"/>
        <w:rPr>
          <w:rFonts w:hint="eastAsia"/>
        </w:rPr>
      </w:pPr>
      <w:r>
        <w:rPr>
          <w:rFonts w:hint="eastAsia" w:ascii="黑体" w:hAnsi="宋体" w:eastAsia="黑体" w:cs="黑体"/>
          <w:i w:val="0"/>
          <w:iCs w:val="0"/>
          <w:color w:val="000000"/>
          <w:kern w:val="0"/>
          <w:sz w:val="22"/>
          <w:szCs w:val="22"/>
          <w:u w:val="none"/>
          <w:lang w:val="en-US" w:eastAsia="zh-CN" w:bidi="ar"/>
        </w:rPr>
        <w:t xml:space="preserve">             ( 2021年度）</w:t>
      </w:r>
    </w:p>
    <w:tbl>
      <w:tblPr>
        <w:tblStyle w:val="16"/>
        <w:tblW w:w="106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9"/>
        <w:gridCol w:w="1365"/>
        <w:gridCol w:w="1350"/>
        <w:gridCol w:w="1950"/>
        <w:gridCol w:w="2505"/>
        <w:gridCol w:w="2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03" w:type="dxa"/>
          <w:trHeight w:val="274" w:hRule="atLeast"/>
        </w:trPr>
        <w:tc>
          <w:tcPr>
            <w:tcW w:w="7909"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454"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7158"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政务信息、公开工作经费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3454"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7158"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739" w:type="dxa"/>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预算执行情况</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right="672" w:rightChars="320"/>
              <w:jc w:val="both"/>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20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其中：一般公共预算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71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7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1、及时主动公开政府信息，及时回应群众关切。2、政府网站绩效评估排位靠前。3、全年无任何网络舆情处置不当问题4.创新政务公开方式，纵深推进“五公开”，打造诚信透明政府。</w:t>
            </w: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完成年初制定目标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739" w:type="dxa"/>
            <w:vMerge w:val="restart"/>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3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3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5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70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739"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5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政府网站公开信息</w:t>
            </w:r>
          </w:p>
        </w:tc>
        <w:tc>
          <w:tcPr>
            <w:tcW w:w="2505"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40000余条</w:t>
            </w:r>
          </w:p>
        </w:tc>
        <w:tc>
          <w:tcPr>
            <w:tcW w:w="2703"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累计公开47323条，开展政府网站、政务新媒体监测12次，全年无任何网络舆情发生。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9"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政务微博信息</w:t>
            </w:r>
          </w:p>
        </w:tc>
        <w:tc>
          <w:tcPr>
            <w:tcW w:w="2505"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3575条</w:t>
            </w:r>
          </w:p>
        </w:tc>
        <w:tc>
          <w:tcPr>
            <w:tcW w:w="2703"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累计公开政务信息4521条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9"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微信公开信息</w:t>
            </w:r>
          </w:p>
        </w:tc>
        <w:tc>
          <w:tcPr>
            <w:tcW w:w="2505"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60000余条</w:t>
            </w:r>
          </w:p>
        </w:tc>
        <w:tc>
          <w:tcPr>
            <w:tcW w:w="270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累计公开政务信息61129条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信息方案制定率</w:t>
            </w:r>
          </w:p>
        </w:tc>
        <w:tc>
          <w:tcPr>
            <w:tcW w:w="25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50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50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实时推送信息率</w:t>
            </w:r>
          </w:p>
        </w:tc>
        <w:tc>
          <w:tcPr>
            <w:tcW w:w="25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50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50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年度运行运维成本</w:t>
            </w:r>
          </w:p>
        </w:tc>
        <w:tc>
          <w:tcPr>
            <w:tcW w:w="25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50000元/年</w:t>
            </w: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成本控制有力有效，无超标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监测服务费</w:t>
            </w:r>
          </w:p>
        </w:tc>
        <w:tc>
          <w:tcPr>
            <w:tcW w:w="25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150000元/年</w:t>
            </w: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成本控制有力有效，无超标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50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3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减少群众获取政府信息成本</w:t>
            </w:r>
          </w:p>
        </w:tc>
        <w:tc>
          <w:tcPr>
            <w:tcW w:w="25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提供网上办事咨询功能，实现群众咨询需求，减少群众出行成本</w:t>
            </w:r>
          </w:p>
        </w:tc>
        <w:tc>
          <w:tcPr>
            <w:tcW w:w="2703"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群众获取政府信息实现“零”成本，群众满意度稳步提升。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50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50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提升阳光政府形象</w:t>
            </w:r>
          </w:p>
        </w:tc>
        <w:tc>
          <w:tcPr>
            <w:tcW w:w="2505"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有所提升</w:t>
            </w: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505" w:type="dxa"/>
            <w:tcBorders>
              <w:top w:val="single" w:color="auto" w:sz="4" w:space="0"/>
              <w:left w:val="single" w:color="auto" w:sz="4" w:space="0"/>
              <w:bottom w:val="single" w:color="000000" w:sz="8"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03"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50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03"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505" w:type="dxa"/>
            <w:tcBorders>
              <w:top w:val="single" w:color="auto" w:sz="4"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50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50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政府公信力</w:t>
            </w:r>
          </w:p>
        </w:tc>
        <w:tc>
          <w:tcPr>
            <w:tcW w:w="25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50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50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社会各界人士</w:t>
            </w:r>
          </w:p>
        </w:tc>
        <w:tc>
          <w:tcPr>
            <w:tcW w:w="25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50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505" w:type="dxa"/>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bl>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keepNext w:val="0"/>
        <w:keepLines w:val="0"/>
        <w:widowControl/>
        <w:suppressLineNumbers w:val="0"/>
        <w:jc w:val="both"/>
        <w:textAlignment w:val="top"/>
        <w:rPr>
          <w:rFonts w:hint="default" w:ascii="方正大标宋_GBK" w:hAnsi="方正大标宋_GBK" w:eastAsia="方正大标宋_GBK" w:cs="方正大标宋_GBK"/>
          <w:b/>
          <w:bCs/>
          <w:i w:val="0"/>
          <w:iCs w:val="0"/>
          <w:color w:val="000000"/>
          <w:kern w:val="0"/>
          <w:sz w:val="40"/>
          <w:szCs w:val="40"/>
          <w:u w:val="none"/>
          <w:lang w:val="en-US" w:eastAsia="zh-CN" w:bidi="ar"/>
        </w:rPr>
        <w:sectPr>
          <w:pgSz w:w="11906" w:h="16838"/>
          <w:pgMar w:top="1440" w:right="1063" w:bottom="1440" w:left="963" w:header="851" w:footer="992" w:gutter="0"/>
          <w:pgNumType w:start="1"/>
          <w:cols w:space="0" w:num="1"/>
          <w:titlePg/>
          <w:rtlGutter w:val="0"/>
          <w:docGrid w:type="lines" w:linePitch="319" w:charSpace="0"/>
        </w:sectPr>
      </w:pPr>
    </w:p>
    <w:tbl>
      <w:tblPr>
        <w:tblStyle w:val="16"/>
        <w:tblW w:w="199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3"/>
        <w:gridCol w:w="930"/>
        <w:gridCol w:w="1095"/>
        <w:gridCol w:w="4860"/>
        <w:gridCol w:w="1035"/>
        <w:gridCol w:w="5985"/>
        <w:gridCol w:w="520"/>
        <w:gridCol w:w="4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9947" w:type="dxa"/>
            <w:gridSpan w:val="8"/>
            <w:tcBorders>
              <w:top w:val="nil"/>
              <w:left w:val="nil"/>
              <w:bottom w:val="nil"/>
              <w:right w:val="nil"/>
            </w:tcBorders>
            <w:shd w:val="clear" w:color="auto" w:fill="auto"/>
            <w:noWrap/>
            <w:vAlign w:val="top"/>
          </w:tcPr>
          <w:p>
            <w:pPr>
              <w:keepNext w:val="0"/>
              <w:keepLines w:val="0"/>
              <w:widowControl/>
              <w:suppressLineNumbers w:val="0"/>
              <w:ind w:firstLine="4016" w:firstLineChars="1000"/>
              <w:jc w:val="both"/>
              <w:textAlignment w:val="top"/>
              <w:rPr>
                <w:rFonts w:ascii="方正大标宋_GBK" w:hAnsi="方正大标宋_GBK" w:eastAsia="方正大标宋_GBK" w:cs="方正大标宋_GBK"/>
                <w:b/>
                <w:bCs/>
                <w:i w:val="0"/>
                <w:iCs w:val="0"/>
                <w:color w:val="000000"/>
                <w:sz w:val="40"/>
                <w:szCs w:val="40"/>
                <w:u w:val="none"/>
              </w:rPr>
            </w:pPr>
            <w:r>
              <w:rPr>
                <w:rFonts w:hint="default" w:ascii="方正大标宋_GBK" w:hAnsi="方正大标宋_GBK" w:eastAsia="方正大标宋_GBK" w:cs="方正大标宋_GBK"/>
                <w:b/>
                <w:bCs/>
                <w:i w:val="0"/>
                <w:iCs w:val="0"/>
                <w:color w:val="000000"/>
                <w:kern w:val="0"/>
                <w:sz w:val="40"/>
                <w:szCs w:val="40"/>
                <w:u w:val="none"/>
                <w:lang w:val="en-US" w:eastAsia="zh-CN" w:bidi="ar"/>
              </w:rPr>
              <w:t>2021年部门预算项目支出绩效自评评分表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9947"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 部门（单位）盖章：                                                                          项目名称：政务信息、公开工作经费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79" w:type="dxa"/>
          <w:trHeight w:val="552"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 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二级指标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三级指标            </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指标内容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参考分值</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评分标准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79" w:type="dxa"/>
          <w:trHeight w:val="660"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项目决策（14分）</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项目立项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立项依据</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用以反映项目立项是否有充分的依据：符合国家法律法规、本地的相关规定；符合部门年度工作计划。</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①符合国家相关法律法规、国民经济发展规划和党委政府决策（1分）；                                                                                                           ②符合部门（单位）年度工作计划或项目实施单位职责密切相关（1分）。                                                             </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79" w:type="dxa"/>
          <w:trHeight w:val="708"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决策程序</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用以反映和考核项目立项的规范情况：项目的申请、设立过程是否符合相关要求。</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199" w:leftChars="-95" w:firstLine="199" w:firstLineChars="111"/>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①项目是否按照规定的程序申请设立，审批文件、材料是否符合相关要求（1分）； ②事前是否已经过必要的可行性研究、专家论证、风险评估、集体决策等（1分）。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79" w:type="dxa"/>
          <w:trHeight w:val="1224"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项目目标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目标合理性</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用以反映和考核项目绩效目标与项目实施的相符情况：项目所设定的绩效目标是否依据充分，是否符合客观实际。</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①项目的测算依据充分（1分）；                                                                                                                                                       ②项目是否有绩效目标，与实际工作内容是否具有相关性（1分）；                                                                                                                        ③项目预期产出效益和效果是否符合正常的业绩水平（1分）；                                                                                                                                                                   ④与预算确定的项目投资额或资金量相匹配（1分）。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79" w:type="dxa"/>
          <w:trHeight w:val="1092"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指标明确性</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用以反映和考核项目绩效目标与项目实施的相符情况：依据绩效目标设定的绩效指标是否清晰、细化、可衡量等。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①是否将绩效目标的绩效指标细化分解（1分）；                                                                                                                                                        ②分解的绩效指标体现清晰、可衡量的指标值（1分）；                                                                                                                                                   ③与项目年度任务数或计划数相对应（1分）；                                                                                                                                                         ④与预算确定的项目投资额或资金量相匹配（1分）。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79" w:type="dxa"/>
          <w:trHeight w:val="936"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资金分配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分配的合理性</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项目预算资金分配是否有测算依据，与项目单位或地方实际是否相适应；根据需要制定的相关资金管理办法；管理办法中有明确资金分配办法；资金分配因素全面、合理。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①预算资金分配依据充分（1分）；                                                                                                                                 ②资金分配额度合理，与项目单位或地方实际相适应 （1分）。                 此项需提供相应的资金分配方案。</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79" w:type="dxa"/>
          <w:trHeight w:val="828"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项目管理（16分）</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资金管理（9分）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资金到位率=（实际到位资金/计划投入资金）×100%。                                                              实际到位资金：一定时期（本年度或项目期）内落实到具体项目的资金。                                                       预算资金：一定时期（本年度或项目期）内预算安排到具体项目的资金。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根据项目资金的实际到位率计算得分（1分）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79" w:type="dxa"/>
          <w:trHeight w:val="612"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用以反映项目预算执行的进度：预算执行率=实际支出数/预算数。                                      实际支出资金：一定时期（本年度或项目期）内项目实际拨付的资金。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根据项目资金的预算执行率计算得分（2分）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79" w:type="dxa"/>
          <w:trHeight w:val="1380"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用以反映和考核项目资金的规范运行情况：项目资金使用是否符合相关的财务管理制度规定。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①符合国家财经法规和财务管理制度以及有关专项资金管理办法的规定（1分）；                                                                      ②资金的拨付审批程序和手续完整（1分）；                                                                                           ③符合项目预算批复或合同规定的用途（1分）；                                                                                                                                                                    ④无截留、挤占、挪用、无虚列支出（3分）；                                                                                                                                                                                 若评价前已完成项目资金的专项审计，该指标可用审计结论代替。</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79" w:type="dxa"/>
          <w:trHeight w:val="744"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组织实施（7分）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制度管理</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用以反映和考核财务和业务管理制度对项目顺利实施的制度保障情况。</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①制定或具有相应的财务和业务管理制度（1分）；                                                                                                                                                         ②财务和业务管理制度合法、合规、完整（1分）。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79" w:type="dxa"/>
          <w:trHeight w:val="1212"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制度执行</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用以反映和考核业务管理制度的有效执行和质量控制情况：项目实施是否符合相关业务管理规定，是否为达到项目质量要求而采取了必需的措施。</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①按相关法律法规和业务管理规定执行（1分）；                                                                                                                                                      ②项目调整及支出调整手续完备（1分）；                                                                                                                                                                   ③项目合同书、验收报告、技术鉴定等资料规范、齐全（2分）；                                                                                                                                                                      ④项目实施的人员条件、场地设备等是否落实到位（1分）。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79" w:type="dxa"/>
          <w:trHeight w:val="1128"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项目绩效（特性指标）（70）</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项目产出（35分）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实际完成率</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实际完成率=（实际产出数/计划产出数）×100%。                                                            实际产出数：一定时期（本年度或项目期）内项目实际产出的产品或提供的服务数量。                                                                                         计划产出数：项目绩效目标确定的在一定时期（本年度或项目期）内计划产出的产品或提供的服务数量。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完成绩效目标100%得9分，未完成100%的同比例扣减。</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79" w:type="dxa"/>
          <w:trHeight w:val="1164"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质量达标率</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质量达标率=（质量达标产出数量/计划完成产出数量）× 100%。                                                                                                                                  质量达标产出数：一定时期（本年度或项目期）内实际达到既定质量标准的产品或服务数量。                                                            既定质量标准是指项目实施单位设立绩效目标时依据计划标准、行业标准、历史标准或其他标准而设定的绩效指标值。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产出质量达到绩效目标100%得9分，未完成100%的同比例扣减。</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79" w:type="dxa"/>
          <w:trHeight w:val="936"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完成及时性</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完成及时率=计划时限内实际完成的项目数量/计划时限内应完成的项目数量×100%。                                                                                                                               实际完成时间：项目实施单位完成该项目实际所耗用的时间。                                                                         计划完成时间：按照项目实施计划或相关规定完成该项目所需的时间。</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产出时效达到绩效目标得8分，未完成且无充分理由的扣3分。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79" w:type="dxa"/>
          <w:trHeight w:val="960"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完成成本（成本节约率）</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成本节约率=[（计划成本-实际成本）/计划成本]×100%。                                                        实际成本：项目实施单位如期、保质、保量完成既定工作目标实际所耗费的支出。                                                                                        计划成本：项目实施单位为完成工作目标计划安排的支出，一般以项目预算为参考。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产出成本按绩效目标控制得9分，未完成的，按超支比例扣减。</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79" w:type="dxa"/>
          <w:trHeight w:val="816"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项目效益（30分）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经济效益（可选项）</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反映相关产出对经济社会发展带来的影响和效果，根据项目实际细化具体指标。重点考核投入产出率、回报率、增长率等指标。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完成绩效目标设定的经济效益得7分，未完成的，按完成情况酌情扣分。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79" w:type="dxa"/>
          <w:trHeight w:val="792"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社会效益（可选项）</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反映相关产出对社会发展带来的影响和效果，根据项目实际细化具体指标。重点考核撬动率、贡献率、达标率、就业率等指标。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完成绩效目标设定的社会效益得7分，未完成的，按完成情况酌情扣分。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79" w:type="dxa"/>
          <w:trHeight w:val="792"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环境效益（可选项）</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反映相关产出对自然环境带来的影响和效果，根据项目实际细化具体指标。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完成绩效目标设定的积极的环境效益得7分，未完成的，按完成情况酌情扣分。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79" w:type="dxa"/>
          <w:trHeight w:val="756"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可持续效益（可选项）</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反映相关产出带来影响的可持续期限，根据项目实际细化具体指标。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完成绩效设定目标的得7分，未完成的，按完成情况酌情扣分。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79" w:type="dxa"/>
          <w:trHeight w:val="744"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              （5分）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满意率反映服务对象或项目受益人对相关产出及其影响的认可程度，根据项目实际细化具体指标。重点考核满意率等指标。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满意率达90%（含）以上的得5分；80%（含）-89%得4分；70%（含）-79%得3分；60%（含）-69%得2分；60%以下不得分。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79" w:type="dxa"/>
          <w:trHeight w:val="444" w:hRule="atLeast"/>
        </w:trPr>
        <w:tc>
          <w:tcPr>
            <w:tcW w:w="75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自评等级</w:t>
            </w:r>
          </w:p>
        </w:tc>
        <w:tc>
          <w:tcPr>
            <w:tcW w:w="172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2390"/>
              </w:tabs>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自评结果：</w:t>
            </w:r>
            <w:r>
              <w:rPr>
                <w:rStyle w:val="41"/>
                <w:lang w:val="en-US" w:eastAsia="zh-CN" w:bidi="ar"/>
              </w:rPr>
              <w:t>R</w:t>
            </w:r>
            <w:r>
              <w:rPr>
                <w:rStyle w:val="42"/>
                <w:rFonts w:ascii="宋体" w:hAnsi="宋体" w:eastAsia="宋体" w:cs="宋体"/>
                <w:sz w:val="24"/>
                <w:szCs w:val="24"/>
                <w:lang w:val="en-US" w:eastAsia="zh-CN" w:bidi="ar"/>
              </w:rPr>
              <w:t>优秀（90≤得分≤100）；   □良好（80≤得分＜89）；   □及格（60≤得分＜79）；   □不及格（低于60分）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947" w:type="dxa"/>
            <w:gridSpan w:val="8"/>
            <w:tcBorders>
              <w:top w:val="nil"/>
              <w:left w:val="nil"/>
              <w:bottom w:val="nil"/>
              <w:right w:val="nil"/>
            </w:tcBorders>
            <w:shd w:val="clear" w:color="auto" w:fill="auto"/>
            <w:vAlign w:val="top"/>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说明：项目特性指标</w:t>
            </w:r>
            <w:r>
              <w:rPr>
                <w:rFonts w:hint="eastAsia" w:ascii="宋体" w:hAnsi="宋体" w:eastAsia="宋体" w:cs="宋体"/>
                <w:i w:val="0"/>
                <w:iCs w:val="0"/>
                <w:color w:val="000000"/>
                <w:kern w:val="0"/>
                <w:sz w:val="18"/>
                <w:szCs w:val="18"/>
                <w:u w:val="none"/>
                <w:lang w:val="en-US" w:eastAsia="zh-CN" w:bidi="ar"/>
              </w:rPr>
              <w:t>是根据项目绩效目标申报表填报的项目产出指标和效益指标对比实际完成情况进行自评；项目效益指标分值在总分值不变的情况下将可选项指标没选中的分值，适当、合理调整到选中效益指标当中去。</w:t>
            </w:r>
          </w:p>
        </w:tc>
      </w:tr>
    </w:tbl>
    <w:p>
      <w:pPr>
        <w:rPr>
          <w:rFonts w:hint="eastAsia"/>
        </w:rPr>
        <w:sectPr>
          <w:pgSz w:w="16838" w:h="11906" w:orient="landscape"/>
          <w:pgMar w:top="964" w:right="1440" w:bottom="1066" w:left="1440" w:header="851" w:footer="992" w:gutter="0"/>
          <w:pgNumType w:start="1"/>
          <w:cols w:space="0" w:num="1"/>
          <w:titlePg/>
          <w:rtlGutter w:val="0"/>
          <w:docGrid w:type="lines" w:linePitch="329" w:charSpace="0"/>
        </w:sectPr>
      </w:pPr>
    </w:p>
    <w:p>
      <w:pPr>
        <w:numPr>
          <w:ilvl w:val="0"/>
          <w:numId w:val="5"/>
        </w:numPr>
        <w:spacing w:line="600" w:lineRule="exact"/>
        <w:ind w:left="0" w:leftChars="0" w:firstLine="660" w:firstLineChars="150"/>
        <w:jc w:val="center"/>
        <w:outlineLvl w:val="0"/>
        <w:rPr>
          <w:rStyle w:val="28"/>
          <w:rFonts w:hint="eastAsia" w:ascii="黑体" w:hAnsi="黑体" w:eastAsia="黑体"/>
          <w:b w:val="0"/>
          <w:color w:val="auto"/>
          <w:highlight w:val="none"/>
        </w:rPr>
      </w:pPr>
      <w:r>
        <w:rPr>
          <w:rStyle w:val="28"/>
          <w:rFonts w:hint="eastAsia" w:ascii="黑体" w:hAnsi="黑体" w:eastAsia="黑体"/>
          <w:b w:val="0"/>
          <w:color w:val="auto"/>
          <w:highlight w:val="none"/>
        </w:rPr>
        <w:t>附表</w:t>
      </w:r>
      <w:bookmarkEnd w:id="47"/>
      <w:bookmarkEnd w:id="49"/>
    </w:p>
    <w:p>
      <w:pPr>
        <w:pStyle w:val="3"/>
        <w:rPr>
          <w:rFonts w:ascii="仿宋" w:hAnsi="仿宋" w:eastAsia="仿宋"/>
          <w:color w:val="auto"/>
          <w:highlight w:val="none"/>
        </w:rPr>
      </w:pPr>
      <w:r>
        <w:rPr>
          <w:rFonts w:hint="eastAsia" w:ascii="仿宋" w:hAnsi="仿宋" w:eastAsia="仿宋"/>
          <w:b w:val="0"/>
          <w:color w:val="auto"/>
          <w:highlight w:val="none"/>
        </w:rPr>
        <w:t>一、收</w:t>
      </w:r>
      <w:r>
        <w:rPr>
          <w:rStyle w:val="29"/>
          <w:rFonts w:hint="eastAsia" w:ascii="仿宋" w:hAnsi="仿宋" w:eastAsia="仿宋"/>
          <w:b w:val="0"/>
          <w:bCs w:val="0"/>
          <w:color w:val="auto"/>
          <w:highlight w:val="none"/>
        </w:rPr>
        <w:t>入支出决算总表</w:t>
      </w:r>
    </w:p>
    <w:p>
      <w:pPr>
        <w:pStyle w:val="3"/>
        <w:rPr>
          <w:rFonts w:ascii="仿宋" w:hAnsi="仿宋" w:eastAsia="仿宋"/>
          <w:color w:val="auto"/>
          <w:highlight w:val="none"/>
        </w:rPr>
      </w:pPr>
      <w:bookmarkStart w:id="50" w:name="_Toc15396620"/>
      <w:r>
        <w:rPr>
          <w:rFonts w:hint="eastAsia" w:ascii="仿宋" w:hAnsi="仿宋" w:eastAsia="仿宋"/>
          <w:b w:val="0"/>
          <w:color w:val="auto"/>
          <w:highlight w:val="none"/>
        </w:rPr>
        <w:t>二、收</w:t>
      </w:r>
      <w:r>
        <w:rPr>
          <w:rStyle w:val="29"/>
          <w:rFonts w:hint="eastAsia" w:ascii="仿宋" w:hAnsi="仿宋" w:eastAsia="仿宋"/>
          <w:b w:val="0"/>
          <w:bCs w:val="0"/>
          <w:color w:val="auto"/>
          <w:highlight w:val="none"/>
        </w:rPr>
        <w:t>入决算表</w:t>
      </w:r>
      <w:bookmarkEnd w:id="50"/>
    </w:p>
    <w:p>
      <w:pPr>
        <w:pStyle w:val="3"/>
        <w:rPr>
          <w:rFonts w:ascii="仿宋" w:hAnsi="仿宋" w:eastAsia="仿宋"/>
          <w:color w:val="auto"/>
          <w:highlight w:val="none"/>
        </w:rPr>
      </w:pPr>
      <w:bookmarkStart w:id="51" w:name="_Toc15396621"/>
      <w:r>
        <w:rPr>
          <w:rStyle w:val="29"/>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9"/>
          <w:rFonts w:hint="eastAsia" w:ascii="仿宋" w:hAnsi="仿宋" w:eastAsia="仿宋"/>
          <w:b w:val="0"/>
          <w:bCs w:val="0"/>
          <w:color w:val="auto"/>
          <w:highlight w:val="none"/>
        </w:rPr>
        <w:t>出决算表</w:t>
      </w:r>
      <w:bookmarkEnd w:id="51"/>
    </w:p>
    <w:p>
      <w:pPr>
        <w:pStyle w:val="3"/>
        <w:rPr>
          <w:rFonts w:ascii="仿宋" w:hAnsi="仿宋" w:eastAsia="仿宋"/>
          <w:b w:val="0"/>
          <w:color w:val="auto"/>
          <w:highlight w:val="none"/>
        </w:rPr>
      </w:pPr>
      <w:bookmarkStart w:id="52" w:name="_Toc15396622"/>
      <w:r>
        <w:rPr>
          <w:rStyle w:val="29"/>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政拨款收入支出决算总表</w:t>
      </w:r>
      <w:bookmarkEnd w:id="52"/>
    </w:p>
    <w:p>
      <w:pPr>
        <w:pStyle w:val="3"/>
        <w:rPr>
          <w:rStyle w:val="29"/>
          <w:rFonts w:ascii="仿宋" w:hAnsi="仿宋" w:eastAsia="仿宋"/>
          <w:b w:val="0"/>
          <w:bCs w:val="0"/>
          <w:color w:val="auto"/>
          <w:highlight w:val="none"/>
        </w:rPr>
      </w:pPr>
      <w:bookmarkStart w:id="53" w:name="_Toc15396623"/>
      <w:r>
        <w:rPr>
          <w:rStyle w:val="29"/>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政拨款支出决算明细表</w:t>
      </w:r>
      <w:bookmarkEnd w:id="53"/>
      <w:bookmarkStart w:id="54" w:name="_Toc15396624"/>
    </w:p>
    <w:p>
      <w:pPr>
        <w:pStyle w:val="3"/>
        <w:rPr>
          <w:rFonts w:ascii="仿宋" w:hAnsi="仿宋" w:eastAsia="仿宋"/>
          <w:color w:val="auto"/>
          <w:highlight w:val="none"/>
        </w:rPr>
      </w:pPr>
      <w:r>
        <w:rPr>
          <w:rStyle w:val="29"/>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般公共预算财政拨款支出决算表</w:t>
      </w:r>
      <w:bookmarkEnd w:id="54"/>
    </w:p>
    <w:p>
      <w:pPr>
        <w:pStyle w:val="3"/>
        <w:rPr>
          <w:rFonts w:ascii="仿宋" w:hAnsi="仿宋" w:eastAsia="仿宋"/>
          <w:color w:val="auto"/>
          <w:highlight w:val="none"/>
        </w:rPr>
      </w:pPr>
      <w:bookmarkStart w:id="55" w:name="_Toc15396625"/>
      <w:r>
        <w:rPr>
          <w:rStyle w:val="29"/>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般公共预算财政拨款支出决算明细表</w:t>
      </w:r>
      <w:bookmarkEnd w:id="55"/>
    </w:p>
    <w:p>
      <w:pPr>
        <w:pStyle w:val="3"/>
        <w:rPr>
          <w:rFonts w:ascii="仿宋" w:hAnsi="仿宋" w:eastAsia="仿宋"/>
          <w:color w:val="auto"/>
          <w:highlight w:val="none"/>
        </w:rPr>
      </w:pPr>
      <w:bookmarkStart w:id="56" w:name="_Toc15396626"/>
      <w:r>
        <w:rPr>
          <w:rStyle w:val="29"/>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般公共预算财政拨款基本支出决算表</w:t>
      </w:r>
      <w:bookmarkEnd w:id="56"/>
    </w:p>
    <w:p>
      <w:pPr>
        <w:pStyle w:val="3"/>
        <w:rPr>
          <w:rFonts w:ascii="仿宋" w:hAnsi="仿宋" w:eastAsia="仿宋"/>
          <w:color w:val="auto"/>
          <w:highlight w:val="none"/>
        </w:rPr>
      </w:pPr>
      <w:bookmarkStart w:id="57" w:name="_Toc15396627"/>
      <w:r>
        <w:rPr>
          <w:rStyle w:val="29"/>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般公共预算财政拨款项目支出决算表</w:t>
      </w:r>
      <w:bookmarkEnd w:id="57"/>
    </w:p>
    <w:p>
      <w:pPr>
        <w:pStyle w:val="3"/>
        <w:rPr>
          <w:rFonts w:ascii="仿宋" w:hAnsi="仿宋" w:eastAsia="仿宋"/>
          <w:color w:val="auto"/>
          <w:highlight w:val="none"/>
        </w:rPr>
      </w:pPr>
      <w:bookmarkStart w:id="58" w:name="_Toc15396628"/>
      <w:r>
        <w:rPr>
          <w:rStyle w:val="29"/>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般公共预算财政拨款“三公”经费支出决算表</w:t>
      </w:r>
      <w:bookmarkEnd w:id="58"/>
    </w:p>
    <w:p>
      <w:pPr>
        <w:pStyle w:val="3"/>
        <w:rPr>
          <w:rFonts w:ascii="仿宋" w:hAnsi="仿宋" w:eastAsia="仿宋"/>
          <w:color w:val="auto"/>
          <w:highlight w:val="none"/>
        </w:rPr>
      </w:pPr>
      <w:bookmarkStart w:id="59" w:name="_Toc15396629"/>
      <w:r>
        <w:rPr>
          <w:rStyle w:val="29"/>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府性基金预算财政拨款收入支出决算表</w:t>
      </w:r>
      <w:bookmarkEnd w:id="59"/>
    </w:p>
    <w:p>
      <w:pPr>
        <w:pStyle w:val="3"/>
        <w:rPr>
          <w:rFonts w:ascii="仿宋" w:hAnsi="仿宋" w:eastAsia="仿宋"/>
          <w:color w:val="auto"/>
          <w:highlight w:val="none"/>
        </w:rPr>
      </w:pPr>
      <w:bookmarkStart w:id="60" w:name="_Toc15396630"/>
      <w:r>
        <w:rPr>
          <w:rStyle w:val="29"/>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府性基金预算财政拨款“三公”经费支出决算表</w:t>
      </w:r>
      <w:bookmarkEnd w:id="60"/>
    </w:p>
    <w:p>
      <w:pPr>
        <w:pStyle w:val="3"/>
        <w:rPr>
          <w:rStyle w:val="29"/>
          <w:rFonts w:hint="eastAsia" w:ascii="仿宋" w:hAnsi="仿宋" w:eastAsia="仿宋"/>
          <w:b w:val="0"/>
          <w:bCs w:val="0"/>
          <w:color w:val="auto"/>
          <w:highlight w:val="none"/>
        </w:rPr>
      </w:pPr>
      <w:bookmarkStart w:id="61" w:name="_Toc15396631"/>
      <w:r>
        <w:rPr>
          <w:rStyle w:val="29"/>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9"/>
          <w:rFonts w:hint="eastAsia" w:ascii="仿宋" w:hAnsi="仿宋" w:eastAsia="仿宋"/>
          <w:b w:val="0"/>
          <w:bCs w:val="0"/>
          <w:color w:val="auto"/>
          <w:highlight w:val="none"/>
        </w:rPr>
        <w:t>有资本经营预算</w:t>
      </w:r>
      <w:r>
        <w:rPr>
          <w:rStyle w:val="29"/>
          <w:rFonts w:hint="eastAsia" w:ascii="仿宋" w:hAnsi="仿宋" w:eastAsia="仿宋"/>
          <w:b w:val="0"/>
          <w:bCs w:val="0"/>
          <w:color w:val="auto"/>
          <w:highlight w:val="none"/>
          <w:lang w:eastAsia="zh-CN"/>
        </w:rPr>
        <w:t>财政拨款收入</w:t>
      </w:r>
      <w:r>
        <w:rPr>
          <w:rStyle w:val="29"/>
          <w:rFonts w:hint="eastAsia" w:ascii="仿宋" w:hAnsi="仿宋" w:eastAsia="仿宋"/>
          <w:b w:val="0"/>
          <w:bCs w:val="0"/>
          <w:color w:val="auto"/>
          <w:highlight w:val="none"/>
        </w:rPr>
        <w:t>支出决算表</w:t>
      </w:r>
      <w:bookmarkEnd w:id="61"/>
    </w:p>
    <w:p>
      <w:pPr>
        <w:rPr>
          <w:rFonts w:hint="eastAsia" w:eastAsia="仿宋"/>
          <w:color w:val="auto"/>
          <w:highlight w:val="none"/>
          <w:lang w:eastAsia="zh-CN"/>
        </w:rPr>
      </w:pPr>
      <w:r>
        <w:rPr>
          <w:rStyle w:val="29"/>
          <w:rFonts w:hint="eastAsia" w:ascii="仿宋" w:hAnsi="仿宋" w:eastAsia="仿宋"/>
          <w:b w:val="0"/>
          <w:bCs w:val="0"/>
          <w:color w:val="auto"/>
          <w:highlight w:val="none"/>
          <w:lang w:eastAsia="zh-CN"/>
        </w:rPr>
        <w:t>十四、国有资本经营预算财政拨款支出决算表</w:t>
      </w:r>
    </w:p>
    <w:p>
      <w:pPr>
        <w:pStyle w:val="15"/>
        <w:numPr>
          <w:ilvl w:val="0"/>
          <w:numId w:val="0"/>
        </w:numPr>
        <w:ind w:leftChars="150"/>
        <w:rPr>
          <w:rFonts w:hint="eastAsia"/>
          <w:lang w:eastAsia="zh-CN"/>
        </w:rPr>
      </w:pPr>
    </w:p>
    <w:sectPr>
      <w:pgSz w:w="11906" w:h="16838"/>
      <w:pgMar w:top="1440" w:right="1803" w:bottom="1440" w:left="1803" w:header="851" w:footer="992" w:gutter="0"/>
      <w:pgNumType w:start="1"/>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方正大标宋简体">
    <w:altName w:val="Arial Unicode MS"/>
    <w:panose1 w:val="02010601030101010101"/>
    <w:charset w:val="86"/>
    <w:family w:val="script"/>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方正大标宋_GBK">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156525"/>
    <w:multiLevelType w:val="singleLevel"/>
    <w:tmpl w:val="A2156525"/>
    <w:lvl w:ilvl="0" w:tentative="0">
      <w:start w:val="1"/>
      <w:numFmt w:val="chineseCounting"/>
      <w:suff w:val="nothing"/>
      <w:lvlText w:val="%1、"/>
      <w:lvlJc w:val="left"/>
      <w:rPr>
        <w:rFonts w:hint="eastAsia" w:ascii="黑体" w:hAnsi="黑体" w:eastAsia="黑体" w:cs="黑体"/>
      </w:rPr>
    </w:lvl>
  </w:abstractNum>
  <w:abstractNum w:abstractNumId="1">
    <w:nsid w:val="C22501E6"/>
    <w:multiLevelType w:val="singleLevel"/>
    <w:tmpl w:val="C22501E6"/>
    <w:lvl w:ilvl="0" w:tentative="0">
      <w:start w:val="1"/>
      <w:numFmt w:val="chineseCounting"/>
      <w:lvlText w:val="(%1)"/>
      <w:lvlJc w:val="left"/>
      <w:pPr>
        <w:tabs>
          <w:tab w:val="left" w:pos="312"/>
        </w:tabs>
      </w:pPr>
      <w:rPr>
        <w:rFonts w:hint="eastAsia"/>
      </w:rPr>
    </w:lvl>
  </w:abstractNum>
  <w:abstractNum w:abstractNumId="2">
    <w:nsid w:val="C406FA2E"/>
    <w:multiLevelType w:val="singleLevel"/>
    <w:tmpl w:val="C406FA2E"/>
    <w:lvl w:ilvl="0" w:tentative="0">
      <w:start w:val="1"/>
      <w:numFmt w:val="chineseCounting"/>
      <w:suff w:val="nothing"/>
      <w:lvlText w:val="%1、"/>
      <w:lvlJc w:val="left"/>
      <w:rPr>
        <w:rFonts w:hint="eastAsia"/>
      </w:rPr>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D591CAE7"/>
    <w:multiLevelType w:val="singleLevel"/>
    <w:tmpl w:val="D591CAE7"/>
    <w:lvl w:ilvl="0" w:tentative="0">
      <w:start w:val="1"/>
      <w:numFmt w:val="decimal"/>
      <w:lvlText w:val="%1."/>
      <w:lvlJc w:val="left"/>
      <w:pPr>
        <w:tabs>
          <w:tab w:val="left" w:pos="312"/>
        </w:tabs>
      </w:pPr>
    </w:lvl>
  </w:abstractNum>
  <w:abstractNum w:abstractNumId="5">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6">
    <w:nsid w:val="F6D9ED97"/>
    <w:multiLevelType w:val="singleLevel"/>
    <w:tmpl w:val="F6D9ED97"/>
    <w:lvl w:ilvl="0" w:tentative="0">
      <w:start w:val="1"/>
      <w:numFmt w:val="chineseCounting"/>
      <w:suff w:val="nothing"/>
      <w:lvlText w:val="%1、"/>
      <w:lvlJc w:val="left"/>
      <w:rPr>
        <w:rFonts w:hint="eastAsia"/>
      </w:rPr>
    </w:lvl>
  </w:abstractNum>
  <w:abstractNum w:abstractNumId="7">
    <w:nsid w:val="451789AF"/>
    <w:multiLevelType w:val="singleLevel"/>
    <w:tmpl w:val="451789AF"/>
    <w:lvl w:ilvl="0" w:tentative="0">
      <w:start w:val="1"/>
      <w:numFmt w:val="chineseCounting"/>
      <w:suff w:val="nothing"/>
      <w:lvlText w:val="%1、"/>
      <w:lvlJc w:val="left"/>
      <w:rPr>
        <w:rFonts w:hint="eastAsia" w:cs="Times New Roman"/>
      </w:rPr>
    </w:lvl>
  </w:abstractNum>
  <w:num w:numId="1">
    <w:abstractNumId w:val="0"/>
  </w:num>
  <w:num w:numId="2">
    <w:abstractNumId w:val="1"/>
  </w:num>
  <w:num w:numId="3">
    <w:abstractNumId w:val="4"/>
  </w:num>
  <w:num w:numId="4">
    <w:abstractNumId w:val="3"/>
  </w:num>
  <w:num w:numId="5">
    <w:abstractNumId w:val="5"/>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6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TE2NWU1ZGZhYzk4YTI2OTE3ZGE3ZTZkNjMxMW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921B2"/>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AE28CF"/>
    <w:rsid w:val="0561783B"/>
    <w:rsid w:val="05A52CD4"/>
    <w:rsid w:val="05F3010D"/>
    <w:rsid w:val="080B690E"/>
    <w:rsid w:val="0A2032A3"/>
    <w:rsid w:val="0B8A37D8"/>
    <w:rsid w:val="0DC01DD9"/>
    <w:rsid w:val="107E484D"/>
    <w:rsid w:val="10C055FF"/>
    <w:rsid w:val="118107EC"/>
    <w:rsid w:val="11C61128"/>
    <w:rsid w:val="11DD6519"/>
    <w:rsid w:val="16BB723D"/>
    <w:rsid w:val="18015F3F"/>
    <w:rsid w:val="18FB35F1"/>
    <w:rsid w:val="1A396F50"/>
    <w:rsid w:val="1BE8440E"/>
    <w:rsid w:val="1D155CEE"/>
    <w:rsid w:val="1E5C5F4C"/>
    <w:rsid w:val="1F1F544D"/>
    <w:rsid w:val="20F57F95"/>
    <w:rsid w:val="231C4A67"/>
    <w:rsid w:val="240371BF"/>
    <w:rsid w:val="24A30154"/>
    <w:rsid w:val="24F91991"/>
    <w:rsid w:val="25C741E6"/>
    <w:rsid w:val="27842671"/>
    <w:rsid w:val="29613FF2"/>
    <w:rsid w:val="29FD04D3"/>
    <w:rsid w:val="2ABE7A3E"/>
    <w:rsid w:val="2C6217D0"/>
    <w:rsid w:val="2D4C7CEB"/>
    <w:rsid w:val="2EFA178C"/>
    <w:rsid w:val="30B46D73"/>
    <w:rsid w:val="30BD3626"/>
    <w:rsid w:val="319F7F4E"/>
    <w:rsid w:val="33E97065"/>
    <w:rsid w:val="34C93A39"/>
    <w:rsid w:val="353D56DC"/>
    <w:rsid w:val="3634484A"/>
    <w:rsid w:val="370276D6"/>
    <w:rsid w:val="37A226D5"/>
    <w:rsid w:val="386121DB"/>
    <w:rsid w:val="39AE70AB"/>
    <w:rsid w:val="3B141786"/>
    <w:rsid w:val="3C0C0783"/>
    <w:rsid w:val="3F9070C1"/>
    <w:rsid w:val="3F9F3A96"/>
    <w:rsid w:val="3FE1257F"/>
    <w:rsid w:val="41090AF1"/>
    <w:rsid w:val="4558460D"/>
    <w:rsid w:val="493C27E9"/>
    <w:rsid w:val="496F39ED"/>
    <w:rsid w:val="49FF41D3"/>
    <w:rsid w:val="4AA414CB"/>
    <w:rsid w:val="4B2D6D65"/>
    <w:rsid w:val="4BE068DB"/>
    <w:rsid w:val="4BF6002B"/>
    <w:rsid w:val="4BFA0524"/>
    <w:rsid w:val="4ECE2238"/>
    <w:rsid w:val="50F11EF6"/>
    <w:rsid w:val="51B75C3D"/>
    <w:rsid w:val="51DB4B86"/>
    <w:rsid w:val="52481FEA"/>
    <w:rsid w:val="52E15F9A"/>
    <w:rsid w:val="55333C3E"/>
    <w:rsid w:val="58277CB9"/>
    <w:rsid w:val="5D720862"/>
    <w:rsid w:val="5D955065"/>
    <w:rsid w:val="600B5CB2"/>
    <w:rsid w:val="605D091F"/>
    <w:rsid w:val="607D5554"/>
    <w:rsid w:val="62D11B64"/>
    <w:rsid w:val="63B62F41"/>
    <w:rsid w:val="64CA39A1"/>
    <w:rsid w:val="674A3F4F"/>
    <w:rsid w:val="67EE0F29"/>
    <w:rsid w:val="6AA66415"/>
    <w:rsid w:val="6C4A05C8"/>
    <w:rsid w:val="72734D90"/>
    <w:rsid w:val="73C82B32"/>
    <w:rsid w:val="784806E0"/>
    <w:rsid w:val="79E7B28D"/>
    <w:rsid w:val="7F9F20EE"/>
    <w:rsid w:val="7FD309D8"/>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99"/>
    <w:pPr>
      <w:spacing w:after="120"/>
      <w:ind w:left="420" w:leftChars="200"/>
    </w:p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qFormat/>
    <w:uiPriority w:val="0"/>
    <w:rPr>
      <w:rFonts w:ascii="宋体" w:hAnsi="Courier New" w:eastAsia="宋体" w:cs="Courier New"/>
      <w:sz w:val="21"/>
      <w:szCs w:val="21"/>
    </w:r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99"/>
    <w:pPr>
      <w:widowControl/>
      <w:spacing w:beforeAutospacing="1" w:afterAutospacing="1"/>
      <w:jc w:val="left"/>
    </w:pPr>
    <w:rPr>
      <w:rFonts w:ascii="宋体" w:hAnsi="宋体"/>
      <w:kern w:val="0"/>
      <w:sz w:val="24"/>
    </w:rPr>
  </w:style>
  <w:style w:type="paragraph" w:styleId="15">
    <w:name w:val="Body Text First Indent 2"/>
    <w:basedOn w:val="6"/>
    <w:next w:val="1"/>
    <w:qFormat/>
    <w:uiPriority w:val="99"/>
    <w:pPr>
      <w:kinsoku w:val="0"/>
      <w:overflowPunct w:val="0"/>
      <w:autoSpaceDE w:val="0"/>
      <w:autoSpaceDN w:val="0"/>
      <w:spacing w:after="0" w:line="576" w:lineRule="exact"/>
      <w:ind w:left="0" w:leftChars="0" w:firstLine="883" w:firstLineChars="200"/>
    </w:pPr>
    <w:rPr>
      <w:rFonts w:eastAsia="仿宋_GB2312"/>
      <w:sz w:val="32"/>
      <w:szCs w:val="30"/>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2"/>
    <w:qFormat/>
    <w:uiPriority w:val="9"/>
    <w:rPr>
      <w:rFonts w:ascii="Times New Roman" w:hAnsi="Times New Roman"/>
      <w:b/>
      <w:bCs/>
      <w:kern w:val="44"/>
      <w:sz w:val="44"/>
      <w:szCs w:val="44"/>
    </w:rPr>
  </w:style>
  <w:style w:type="character" w:customStyle="1" w:styleId="29">
    <w:name w:val="标题 2 Char"/>
    <w:basedOn w:val="17"/>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9"/>
    <w:semiHidden/>
    <w:qFormat/>
    <w:uiPriority w:val="99"/>
    <w:rPr>
      <w:rFonts w:ascii="Times New Roman" w:hAnsi="Times New Roman"/>
      <w:kern w:val="2"/>
      <w:sz w:val="18"/>
      <w:szCs w:val="18"/>
    </w:rPr>
  </w:style>
  <w:style w:type="character" w:customStyle="1" w:styleId="32">
    <w:name w:val="标题 3 Char"/>
    <w:basedOn w:val="17"/>
    <w:link w:val="4"/>
    <w:qFormat/>
    <w:uiPriority w:val="9"/>
    <w:rPr>
      <w:rFonts w:ascii="Times New Roman" w:hAnsi="Times New Roman"/>
      <w:b/>
      <w:bCs/>
      <w:kern w:val="2"/>
      <w:sz w:val="32"/>
      <w:szCs w:val="32"/>
    </w:rPr>
  </w:style>
  <w:style w:type="paragraph" w:customStyle="1" w:styleId="3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列出段落1"/>
    <w:basedOn w:val="1"/>
    <w:qFormat/>
    <w:uiPriority w:val="99"/>
    <w:pPr>
      <w:ind w:firstLine="420" w:firstLineChars="200"/>
    </w:pPr>
  </w:style>
  <w:style w:type="character" w:customStyle="1" w:styleId="35">
    <w:name w:val="font91"/>
    <w:basedOn w:val="17"/>
    <w:qFormat/>
    <w:uiPriority w:val="0"/>
    <w:rPr>
      <w:rFonts w:hint="eastAsia" w:ascii="宋体" w:hAnsi="宋体" w:eastAsia="宋体" w:cs="宋体"/>
      <w:b/>
      <w:bCs/>
      <w:color w:val="000000"/>
      <w:sz w:val="20"/>
      <w:szCs w:val="20"/>
      <w:u w:val="none"/>
    </w:rPr>
  </w:style>
  <w:style w:type="character" w:customStyle="1" w:styleId="36">
    <w:name w:val="font71"/>
    <w:basedOn w:val="17"/>
    <w:qFormat/>
    <w:uiPriority w:val="0"/>
    <w:rPr>
      <w:rFonts w:ascii="Wingdings 2" w:hAnsi="Wingdings 2" w:eastAsia="Wingdings 2" w:cs="Wingdings 2"/>
      <w:b/>
      <w:bCs/>
      <w:color w:val="000000"/>
      <w:sz w:val="21"/>
      <w:szCs w:val="21"/>
      <w:u w:val="none"/>
    </w:rPr>
  </w:style>
  <w:style w:type="character" w:customStyle="1" w:styleId="37">
    <w:name w:val="font81"/>
    <w:basedOn w:val="17"/>
    <w:qFormat/>
    <w:uiPriority w:val="0"/>
    <w:rPr>
      <w:rFonts w:hint="eastAsia" w:ascii="宋体" w:hAnsi="宋体" w:eastAsia="宋体" w:cs="宋体"/>
      <w:b/>
      <w:bCs/>
      <w:color w:val="000000"/>
      <w:sz w:val="21"/>
      <w:szCs w:val="21"/>
      <w:u w:val="none"/>
    </w:rPr>
  </w:style>
  <w:style w:type="character" w:customStyle="1" w:styleId="38">
    <w:name w:val="font51"/>
    <w:basedOn w:val="17"/>
    <w:uiPriority w:val="0"/>
    <w:rPr>
      <w:rFonts w:hint="eastAsia" w:ascii="宋体" w:hAnsi="宋体" w:eastAsia="宋体" w:cs="宋体"/>
      <w:color w:val="000000"/>
      <w:sz w:val="18"/>
      <w:szCs w:val="18"/>
      <w:u w:val="none"/>
    </w:rPr>
  </w:style>
  <w:style w:type="character" w:customStyle="1" w:styleId="39">
    <w:name w:val="font61"/>
    <w:basedOn w:val="17"/>
    <w:uiPriority w:val="0"/>
    <w:rPr>
      <w:rFonts w:hint="eastAsia" w:ascii="宋体" w:hAnsi="宋体" w:eastAsia="宋体" w:cs="宋体"/>
      <w:b/>
      <w:bCs/>
      <w:color w:val="000000"/>
      <w:sz w:val="21"/>
      <w:szCs w:val="21"/>
      <w:u w:val="none"/>
    </w:rPr>
  </w:style>
  <w:style w:type="character" w:customStyle="1" w:styleId="40">
    <w:name w:val="font01"/>
    <w:basedOn w:val="17"/>
    <w:uiPriority w:val="0"/>
    <w:rPr>
      <w:rFonts w:hint="eastAsia" w:ascii="宋体" w:hAnsi="宋体" w:eastAsia="宋体" w:cs="宋体"/>
      <w:color w:val="000000"/>
      <w:sz w:val="20"/>
      <w:szCs w:val="20"/>
      <w:u w:val="none"/>
    </w:rPr>
  </w:style>
  <w:style w:type="character" w:customStyle="1" w:styleId="41">
    <w:name w:val="font131"/>
    <w:basedOn w:val="17"/>
    <w:uiPriority w:val="0"/>
    <w:rPr>
      <w:rFonts w:ascii="Wingdings 2" w:hAnsi="Wingdings 2" w:eastAsia="Wingdings 2" w:cs="Wingdings 2"/>
      <w:b/>
      <w:bCs/>
      <w:color w:val="000000"/>
      <w:sz w:val="21"/>
      <w:szCs w:val="21"/>
      <w:u w:val="none"/>
    </w:rPr>
  </w:style>
  <w:style w:type="character" w:customStyle="1" w:styleId="42">
    <w:name w:val="font112"/>
    <w:basedOn w:val="17"/>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63</Pages>
  <Words>28701</Words>
  <Characters>30000</Characters>
  <Lines>61</Lines>
  <Paragraphs>17</Paragraphs>
  <TotalTime>21</TotalTime>
  <ScaleCrop>false</ScaleCrop>
  <LinksUpToDate>false</LinksUpToDate>
  <CharactersWithSpaces>47210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2022-08-06T02:23:00Z</cp:lastPrinted>
  <dcterms:modified xsi:type="dcterms:W3CDTF">2023-09-14T03:55:42Z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8A37533F4AA743C7905A61EC977D3266</vt:lpwstr>
  </property>
</Properties>
</file>