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auto"/>
          <w:sz w:val="21"/>
          <w:szCs w:val="21"/>
          <w:highlight w:val="none"/>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4268"/>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2" w:name="_Toc15377426"/>
      <w:bookmarkStart w:id="3" w:name="_Toc15396476"/>
      <w:bookmarkStart w:id="4" w:name="_Toc15377194"/>
      <w:bookmarkStart w:id="5" w:name="_Toc15378442"/>
      <w:bookmarkStart w:id="6" w:name="_Toc15396598"/>
      <w:bookmarkStart w:id="7" w:name="_Toc21227"/>
      <w:r>
        <w:rPr>
          <w:rFonts w:hint="eastAsia" w:ascii="方正小标宋简体" w:hAnsi="方正小标宋简体" w:eastAsia="方正小标宋简体" w:cs="方正小标宋简体"/>
          <w:color w:val="auto"/>
          <w:sz w:val="72"/>
          <w:szCs w:val="72"/>
          <w:highlight w:val="none"/>
        </w:rPr>
        <w:t>四川省</w:t>
      </w:r>
      <w:bookmarkStart w:id="8" w:name="_Toc15306268"/>
      <w:r>
        <w:rPr>
          <w:rFonts w:hint="eastAsia" w:ascii="方正小标宋简体" w:hAnsi="方正小标宋简体" w:eastAsia="方正小标宋简体" w:cs="方正小标宋简体"/>
          <w:color w:val="auto"/>
          <w:sz w:val="72"/>
          <w:szCs w:val="72"/>
          <w:highlight w:val="none"/>
          <w:lang w:val="en-US" w:eastAsia="zh-CN"/>
        </w:rPr>
        <w:t>广元市朝天区麻柳乡人民政府</w:t>
      </w:r>
      <w:r>
        <w:rPr>
          <w:rFonts w:hint="eastAsia" w:ascii="方正小标宋简体" w:hAnsi="方正小标宋简体" w:eastAsia="方正小标宋简体" w:cs="方正小标宋简体"/>
          <w:color w:val="auto"/>
          <w:sz w:val="72"/>
          <w:szCs w:val="72"/>
          <w:highlight w:val="none"/>
        </w:rPr>
        <w:t>部门决算</w:t>
      </w:r>
      <w:bookmarkEnd w:id="2"/>
      <w:bookmarkEnd w:id="3"/>
      <w:bookmarkEnd w:id="4"/>
      <w:bookmarkEnd w:id="5"/>
      <w:bookmarkEnd w:id="6"/>
      <w:bookmarkEnd w:id="7"/>
      <w:bookmarkEnd w:id="8"/>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pStyle w:val="12"/>
        <w:rPr>
          <w:rFonts w:hint="eastAsia" w:ascii="黑体" w:hAnsi="黑体" w:eastAsia="黑体"/>
          <w:color w:val="auto"/>
          <w:sz w:val="48"/>
          <w:szCs w:val="48"/>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sdt>
      <w:sdtPr>
        <w:rPr>
          <w:rFonts w:ascii="宋体" w:hAnsi="宋体" w:eastAsia="宋体" w:cs="Times New Roman"/>
          <w:kern w:val="2"/>
          <w:sz w:val="21"/>
          <w:szCs w:val="24"/>
          <w:lang w:val="en-US" w:eastAsia="zh-CN" w:bidi="ar-SA"/>
        </w:rPr>
        <w:id w:val="147460342"/>
        <w15:color w:val="DBDBDB"/>
        <w:docPartObj>
          <w:docPartGallery w:val="Table of Contents"/>
          <w:docPartUnique/>
        </w:docPartObj>
      </w:sdtPr>
      <w:sdtEndPr>
        <w:rPr>
          <w:rFonts w:hint="eastAsia" w:ascii="黑体" w:hAnsi="黑体" w:eastAsia="黑体" w:cs="Times New Roman"/>
          <w:b/>
          <w:bCs/>
          <w:color w:val="auto"/>
          <w:kern w:val="44"/>
          <w:sz w:val="44"/>
          <w:szCs w:val="44"/>
          <w:highlight w:val="none"/>
          <w:lang w:val="en-US" w:eastAsia="zh-CN" w:bidi="ar-SA"/>
        </w:rPr>
      </w:sdtEndPr>
      <w:sdtContent>
        <w:p>
          <w:pPr>
            <w:spacing w:before="0" w:beforeLines="0" w:after="0" w:afterLines="0" w:line="240" w:lineRule="auto"/>
            <w:ind w:left="0" w:leftChars="0" w:right="0" w:rightChars="0" w:firstLine="0" w:firstLineChars="0"/>
            <w:jc w:val="center"/>
          </w:pPr>
          <w:bookmarkStart w:id="9" w:name="_Toc15377196"/>
          <w:bookmarkStart w:id="10" w:name="_Toc28977"/>
          <w:bookmarkStart w:id="11" w:name="_Toc15396599"/>
          <w:r>
            <w:rPr>
              <w:rFonts w:ascii="宋体" w:hAnsi="宋体" w:eastAsia="宋体"/>
              <w:sz w:val="21"/>
            </w:rPr>
            <w:t>目录</w:t>
          </w:r>
        </w:p>
        <w:p>
          <w:pPr>
            <w:pStyle w:val="32"/>
            <w:tabs>
              <w:tab w:val="right" w:leader="dot" w:pos="8306"/>
            </w:tabs>
          </w:pPr>
          <w:r>
            <w:rPr>
              <w:rFonts w:hint="eastAsia" w:ascii="黑体" w:hAnsi="黑体" w:eastAsia="黑体"/>
              <w:b w:val="0"/>
              <w:color w:val="auto"/>
              <w:highlight w:val="none"/>
              <w:lang w:eastAsia="zh-CN"/>
            </w:rPr>
            <w:fldChar w:fldCharType="begin"/>
          </w:r>
          <w:r>
            <w:rPr>
              <w:rFonts w:hint="eastAsia" w:ascii="黑体" w:hAnsi="黑体" w:eastAsia="黑体"/>
              <w:b w:val="0"/>
              <w:color w:val="auto"/>
              <w:highlight w:val="none"/>
              <w:lang w:eastAsia="zh-CN"/>
            </w:rPr>
            <w:instrText xml:space="preserve">TOC \o "1-3" \h \u </w:instrText>
          </w:r>
          <w:r>
            <w:rPr>
              <w:rFonts w:hint="eastAsia" w:ascii="黑体" w:hAnsi="黑体" w:eastAsia="黑体"/>
              <w:b w:val="0"/>
              <w:color w:val="auto"/>
              <w:highlight w:val="none"/>
              <w:lang w:eastAsia="zh-CN"/>
            </w:rPr>
            <w:fldChar w:fldCharType="separate"/>
          </w: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_Toc25610 </w:instrText>
          </w:r>
          <w:r>
            <w:rPr>
              <w:rFonts w:hint="eastAsia" w:ascii="黑体" w:hAnsi="黑体" w:eastAsia="黑体"/>
              <w:highlight w:val="none"/>
              <w:lang w:eastAsia="zh-CN"/>
            </w:rP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_Toc25610 \h </w:instrText>
          </w:r>
          <w:r>
            <w:fldChar w:fldCharType="separate"/>
          </w:r>
          <w:r>
            <w:t>3</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_Toc8454 </w:instrText>
          </w:r>
          <w:r>
            <w:rPr>
              <w:rFonts w:hint="eastAsia" w:ascii="黑体" w:hAnsi="黑体" w:eastAsia="黑体"/>
              <w:highlight w:val="none"/>
              <w:lang w:eastAsia="zh-CN"/>
            </w:rPr>
            <w:fldChar w:fldCharType="separate"/>
          </w:r>
          <w:r>
            <w:rPr>
              <w:rFonts w:hint="eastAsia" w:ascii="黑体" w:hAnsi="黑体" w:eastAsia="黑体"/>
              <w:bCs w:val="0"/>
              <w:lang w:eastAsia="zh-CN"/>
            </w:rPr>
            <w:t xml:space="preserve">一、 </w:t>
          </w:r>
          <w:r>
            <w:rPr>
              <w:rFonts w:hint="eastAsia" w:ascii="黑体" w:hAnsi="黑体" w:eastAsia="黑体"/>
              <w:bCs w:val="0"/>
              <w:highlight w:val="none"/>
              <w:lang w:val="en-US" w:eastAsia="zh-CN"/>
            </w:rPr>
            <w:t>部门</w:t>
          </w:r>
          <w:r>
            <w:rPr>
              <w:rFonts w:hint="eastAsia" w:ascii="黑体" w:hAnsi="黑体" w:eastAsia="黑体"/>
              <w:bCs w:val="0"/>
              <w:highlight w:val="none"/>
              <w:lang w:eastAsia="zh-CN"/>
            </w:rPr>
            <w:t>职责</w:t>
          </w:r>
          <w:r>
            <w:tab/>
          </w:r>
          <w:r>
            <w:fldChar w:fldCharType="begin"/>
          </w:r>
          <w:r>
            <w:instrText xml:space="preserve"> PAGEREF _Toc8454 \h </w:instrText>
          </w:r>
          <w:r>
            <w:fldChar w:fldCharType="separate"/>
          </w:r>
          <w:r>
            <w:t>3</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_Toc28985 </w:instrText>
          </w:r>
          <w:r>
            <w:rPr>
              <w:rFonts w:hint="eastAsia" w:ascii="黑体" w:hAnsi="黑体" w:eastAsia="黑体"/>
              <w:highlight w:val="none"/>
              <w:lang w:eastAsia="zh-CN"/>
            </w:rPr>
            <w:fldChar w:fldCharType="separate"/>
          </w:r>
          <w:r>
            <w:rPr>
              <w:rFonts w:hint="eastAsia" w:ascii="黑体" w:hAnsi="黑体" w:eastAsia="黑体"/>
              <w:highlight w:val="none"/>
              <w:lang w:val="en-US" w:eastAsia="zh-CN"/>
            </w:rPr>
            <w:t>二、机构设置</w:t>
          </w:r>
          <w:r>
            <w:tab/>
          </w:r>
          <w:r>
            <w:fldChar w:fldCharType="begin"/>
          </w:r>
          <w:r>
            <w:instrText xml:space="preserve"> PAGEREF _Toc28985 \h </w:instrText>
          </w:r>
          <w:r>
            <w:fldChar w:fldCharType="separate"/>
          </w:r>
          <w:r>
            <w:t>4</w:t>
          </w:r>
          <w:r>
            <w:fldChar w:fldCharType="end"/>
          </w:r>
          <w:r>
            <w:rPr>
              <w:rFonts w:hint="eastAsia" w:ascii="黑体" w:hAnsi="黑体" w:eastAsia="黑体"/>
              <w:color w:val="auto"/>
              <w:highlight w:val="none"/>
              <w:lang w:eastAsia="zh-CN"/>
            </w:rPr>
            <w:fldChar w:fldCharType="end"/>
          </w:r>
        </w:p>
        <w:p>
          <w:pPr>
            <w:pStyle w:val="32"/>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_Toc8859 </w:instrText>
          </w:r>
          <w:r>
            <w:rPr>
              <w:rFonts w:hint="eastAsia" w:ascii="黑体" w:hAnsi="黑体" w:eastAsia="黑体"/>
              <w:highlight w:val="none"/>
              <w:lang w:eastAsia="zh-CN"/>
            </w:rP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2022年度部门</w:t>
          </w:r>
          <w:r>
            <w:rPr>
              <w:rFonts w:hint="eastAsia" w:ascii="黑体" w:hAnsi="黑体" w:eastAsia="黑体"/>
              <w:bCs/>
              <w:highlight w:val="none"/>
            </w:rPr>
            <w:t>决算情况说明</w:t>
          </w:r>
          <w:r>
            <w:tab/>
          </w:r>
          <w:r>
            <w:fldChar w:fldCharType="begin"/>
          </w:r>
          <w:r>
            <w:instrText xml:space="preserve"> PAGEREF _Toc8859 \h </w:instrText>
          </w:r>
          <w:r>
            <w:fldChar w:fldCharType="separate"/>
          </w:r>
          <w:r>
            <w:t>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_Toc16950 </w:instrText>
          </w:r>
          <w:r>
            <w:rPr>
              <w:rFonts w:hint="eastAsia" w:ascii="黑体" w:hAnsi="黑体" w:eastAsia="黑体"/>
              <w:highlight w:val="none"/>
              <w:lang w:eastAsia="zh-CN"/>
            </w:rP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_Toc16950 \h </w:instrText>
          </w:r>
          <w:r>
            <w:fldChar w:fldCharType="separate"/>
          </w:r>
          <w:r>
            <w:t>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_Toc15124 </w:instrText>
          </w:r>
          <w:r>
            <w:rPr>
              <w:rFonts w:hint="eastAsia" w:ascii="黑体" w:hAnsi="黑体" w:eastAsia="黑体"/>
              <w:highlight w:val="none"/>
              <w:lang w:eastAsia="zh-CN"/>
            </w:rP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_Toc15124 \h </w:instrText>
          </w:r>
          <w:r>
            <w:fldChar w:fldCharType="separate"/>
          </w:r>
          <w:r>
            <w:t>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_Toc14876 </w:instrText>
          </w:r>
          <w:r>
            <w:rPr>
              <w:rFonts w:hint="eastAsia" w:ascii="黑体" w:hAnsi="黑体" w:eastAsia="黑体"/>
              <w:highlight w:val="none"/>
              <w:lang w:eastAsia="zh-CN"/>
            </w:rP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_Toc14876 \h </w:instrText>
          </w:r>
          <w:r>
            <w:fldChar w:fldCharType="separate"/>
          </w:r>
          <w:r>
            <w:t>6</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_Toc25762 </w:instrText>
          </w:r>
          <w:r>
            <w:rPr>
              <w:rFonts w:hint="eastAsia" w:ascii="黑体" w:hAnsi="黑体" w:eastAsia="黑体"/>
              <w:highlight w:val="none"/>
              <w:lang w:eastAsia="zh-CN"/>
            </w:rP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_Toc25762 \h </w:instrText>
          </w:r>
          <w:r>
            <w:fldChar w:fldCharType="separate"/>
          </w:r>
          <w:r>
            <w:t>6</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_Toc14791 </w:instrText>
          </w:r>
          <w:r>
            <w:rPr>
              <w:rFonts w:hint="eastAsia" w:ascii="黑体" w:hAnsi="黑体" w:eastAsia="黑体"/>
              <w:highlight w:val="none"/>
              <w:lang w:eastAsia="zh-CN"/>
            </w:rP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_Toc14791 \h </w:instrText>
          </w:r>
          <w:r>
            <w:fldChar w:fldCharType="separate"/>
          </w:r>
          <w:r>
            <w:t>7</w:t>
          </w:r>
          <w:r>
            <w:fldChar w:fldCharType="end"/>
          </w:r>
          <w:r>
            <w:rPr>
              <w:rFonts w:hint="eastAsia" w:ascii="黑体" w:hAnsi="黑体" w:eastAsia="黑体"/>
              <w:color w:val="auto"/>
              <w:highlight w:val="none"/>
              <w:lang w:eastAsia="zh-CN"/>
            </w:rPr>
            <w:fldChar w:fldCharType="end"/>
          </w:r>
        </w:p>
        <w:p>
          <w:pPr>
            <w:pStyle w:val="34"/>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_Toc32588 </w:instrText>
          </w:r>
          <w:r>
            <w:rPr>
              <w:rFonts w:hint="eastAsia" w:ascii="黑体" w:hAnsi="黑体" w:eastAsia="黑体"/>
              <w:highlight w:val="none"/>
              <w:lang w:eastAsia="zh-CN"/>
            </w:rP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_Toc32588 \h </w:instrText>
          </w:r>
          <w:r>
            <w:fldChar w:fldCharType="separate"/>
          </w:r>
          <w:r>
            <w:t>7</w:t>
          </w:r>
          <w:r>
            <w:fldChar w:fldCharType="end"/>
          </w:r>
          <w:r>
            <w:rPr>
              <w:rFonts w:hint="eastAsia" w:ascii="黑体" w:hAnsi="黑体" w:eastAsia="黑体"/>
              <w:color w:val="auto"/>
              <w:highlight w:val="none"/>
              <w:lang w:eastAsia="zh-CN"/>
            </w:rPr>
            <w:fldChar w:fldCharType="end"/>
          </w:r>
        </w:p>
        <w:p>
          <w:pPr>
            <w:pStyle w:val="34"/>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_Toc14230 </w:instrText>
          </w:r>
          <w:r>
            <w:rPr>
              <w:rFonts w:hint="eastAsia" w:ascii="黑体" w:hAnsi="黑体" w:eastAsia="黑体"/>
              <w:highlight w:val="none"/>
              <w:lang w:eastAsia="zh-CN"/>
            </w:rP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_Toc14230 \h </w:instrText>
          </w:r>
          <w:r>
            <w:fldChar w:fldCharType="separate"/>
          </w:r>
          <w:r>
            <w:t>7</w:t>
          </w:r>
          <w:r>
            <w:fldChar w:fldCharType="end"/>
          </w:r>
          <w:r>
            <w:rPr>
              <w:rFonts w:hint="eastAsia" w:ascii="黑体" w:hAnsi="黑体" w:eastAsia="黑体"/>
              <w:color w:val="auto"/>
              <w:highlight w:val="none"/>
              <w:lang w:eastAsia="zh-CN"/>
            </w:rPr>
            <w:fldChar w:fldCharType="end"/>
          </w:r>
        </w:p>
        <w:p>
          <w:pPr>
            <w:pStyle w:val="34"/>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_Toc11547 </w:instrText>
          </w:r>
          <w:r>
            <w:rPr>
              <w:rFonts w:hint="eastAsia" w:ascii="黑体" w:hAnsi="黑体" w:eastAsia="黑体"/>
              <w:highlight w:val="none"/>
              <w:lang w:eastAsia="zh-CN"/>
            </w:rP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_Toc11547 \h </w:instrText>
          </w:r>
          <w:r>
            <w:fldChar w:fldCharType="separate"/>
          </w:r>
          <w:r>
            <w:t>8</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_Toc19596 </w:instrText>
          </w:r>
          <w:r>
            <w:rPr>
              <w:rFonts w:hint="eastAsia" w:ascii="黑体" w:hAnsi="黑体" w:eastAsia="黑体"/>
              <w:highlight w:val="none"/>
              <w:lang w:eastAsia="zh-CN"/>
            </w:rP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_Toc19596 \h </w:instrText>
          </w:r>
          <w:r>
            <w:fldChar w:fldCharType="separate"/>
          </w:r>
          <w:r>
            <w:t>9</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_Toc16943 </w:instrText>
          </w:r>
          <w:r>
            <w:rPr>
              <w:rFonts w:hint="eastAsia" w:ascii="黑体" w:hAnsi="黑体" w:eastAsia="黑体"/>
              <w:highlight w:val="none"/>
              <w:lang w:eastAsia="zh-CN"/>
            </w:rP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_Toc16943 \h </w:instrText>
          </w:r>
          <w:r>
            <w:fldChar w:fldCharType="separate"/>
          </w:r>
          <w:r>
            <w:t>10</w:t>
          </w:r>
          <w:r>
            <w:fldChar w:fldCharType="end"/>
          </w:r>
          <w:r>
            <w:rPr>
              <w:rFonts w:hint="eastAsia" w:ascii="黑体" w:hAnsi="黑体" w:eastAsia="黑体"/>
              <w:color w:val="auto"/>
              <w:highlight w:val="none"/>
              <w:lang w:eastAsia="zh-CN"/>
            </w:rPr>
            <w:fldChar w:fldCharType="end"/>
          </w:r>
        </w:p>
        <w:p>
          <w:pPr>
            <w:pStyle w:val="34"/>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_Toc3717 </w:instrText>
          </w:r>
          <w:r>
            <w:rPr>
              <w:rFonts w:hint="eastAsia" w:ascii="黑体" w:hAnsi="黑体" w:eastAsia="黑体"/>
              <w:highlight w:val="none"/>
              <w:lang w:eastAsia="zh-CN"/>
            </w:rP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_Toc3717 \h </w:instrText>
          </w:r>
          <w:r>
            <w:fldChar w:fldCharType="separate"/>
          </w:r>
          <w:r>
            <w:t>10</w:t>
          </w:r>
          <w:r>
            <w:fldChar w:fldCharType="end"/>
          </w:r>
          <w:r>
            <w:rPr>
              <w:rFonts w:hint="eastAsia" w:ascii="黑体" w:hAnsi="黑体" w:eastAsia="黑体"/>
              <w:color w:val="auto"/>
              <w:highlight w:val="none"/>
              <w:lang w:eastAsia="zh-CN"/>
            </w:rPr>
            <w:fldChar w:fldCharType="end"/>
          </w:r>
        </w:p>
        <w:p>
          <w:pPr>
            <w:pStyle w:val="34"/>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_Toc22003 </w:instrText>
          </w:r>
          <w:r>
            <w:rPr>
              <w:rFonts w:hint="eastAsia" w:ascii="黑体" w:hAnsi="黑体" w:eastAsia="黑体"/>
              <w:highlight w:val="none"/>
              <w:lang w:eastAsia="zh-CN"/>
            </w:rP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_Toc22003 \h </w:instrText>
          </w:r>
          <w:r>
            <w:fldChar w:fldCharType="separate"/>
          </w:r>
          <w:r>
            <w:t>10</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_Toc7620 </w:instrText>
          </w:r>
          <w:r>
            <w:rPr>
              <w:rFonts w:hint="eastAsia" w:ascii="黑体" w:hAnsi="黑体" w:eastAsia="黑体"/>
              <w:highlight w:val="none"/>
              <w:lang w:eastAsia="zh-CN"/>
            </w:rPr>
            <w:fldChar w:fldCharType="separate"/>
          </w:r>
          <w:r>
            <w:rPr>
              <w:rFonts w:hint="eastAsia" w:ascii="仿宋" w:hAnsi="仿宋" w:eastAsia="仿宋"/>
              <w:szCs w:val="32"/>
              <w:highlight w:val="none"/>
            </w:rPr>
            <w:t>外事接待支出0万元，外事接待0批次，0人，共计支出0万元。</w:t>
          </w:r>
          <w:r>
            <w:tab/>
          </w:r>
          <w:r>
            <w:fldChar w:fldCharType="begin"/>
          </w:r>
          <w:r>
            <w:instrText xml:space="preserve"> PAGEREF _Toc7620 \h </w:instrText>
          </w:r>
          <w:r>
            <w:fldChar w:fldCharType="separate"/>
          </w:r>
          <w:r>
            <w:t>11</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_Toc16820 </w:instrText>
          </w:r>
          <w:r>
            <w:rPr>
              <w:rFonts w:hint="eastAsia" w:ascii="黑体" w:hAnsi="黑体" w:eastAsia="黑体"/>
              <w:highlight w:val="none"/>
              <w:lang w:eastAsia="zh-CN"/>
            </w:rP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_Toc16820 \h </w:instrText>
          </w:r>
          <w:r>
            <w:fldChar w:fldCharType="separate"/>
          </w:r>
          <w:r>
            <w:t>11</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_Toc8876 </w:instrText>
          </w:r>
          <w:r>
            <w:rPr>
              <w:rFonts w:hint="eastAsia" w:ascii="黑体" w:hAnsi="黑体" w:eastAsia="黑体"/>
              <w:highlight w:val="none"/>
              <w:lang w:eastAsia="zh-CN"/>
            </w:rP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_Toc8876 \h </w:instrText>
          </w:r>
          <w:r>
            <w:fldChar w:fldCharType="separate"/>
          </w:r>
          <w:r>
            <w:t>11</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_Toc7326 </w:instrText>
          </w:r>
          <w:r>
            <w:rPr>
              <w:rFonts w:hint="eastAsia" w:ascii="黑体" w:hAnsi="黑体" w:eastAsia="黑体"/>
              <w:highlight w:val="none"/>
              <w:lang w:eastAsia="zh-CN"/>
            </w:rP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_Toc7326 \h </w:instrText>
          </w:r>
          <w:r>
            <w:fldChar w:fldCharType="separate"/>
          </w:r>
          <w:r>
            <w:t>12</w:t>
          </w:r>
          <w:r>
            <w:fldChar w:fldCharType="end"/>
          </w:r>
          <w:r>
            <w:rPr>
              <w:rFonts w:hint="eastAsia" w:ascii="黑体" w:hAnsi="黑体" w:eastAsia="黑体"/>
              <w:color w:val="auto"/>
              <w:highlight w:val="none"/>
              <w:lang w:eastAsia="zh-CN"/>
            </w:rPr>
            <w:fldChar w:fldCharType="end"/>
          </w:r>
        </w:p>
        <w:p>
          <w:pPr>
            <w:pStyle w:val="34"/>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_Toc3752 </w:instrText>
          </w:r>
          <w:r>
            <w:rPr>
              <w:rFonts w:hint="eastAsia" w:ascii="黑体" w:hAnsi="黑体" w:eastAsia="黑体"/>
              <w:highlight w:val="none"/>
              <w:lang w:eastAsia="zh-CN"/>
            </w:rPr>
            <w:fldChar w:fldCharType="separate"/>
          </w:r>
          <w:r>
            <w:rPr>
              <w:rFonts w:hint="eastAsia" w:ascii="仿宋" w:hAnsi="仿宋" w:eastAsia="仿宋"/>
              <w:szCs w:val="32"/>
              <w:highlight w:val="none"/>
            </w:rPr>
            <w:t>（一）机关运行经费支出情况</w:t>
          </w:r>
          <w:r>
            <w:tab/>
          </w:r>
          <w:r>
            <w:fldChar w:fldCharType="begin"/>
          </w:r>
          <w:r>
            <w:instrText xml:space="preserve"> PAGEREF _Toc3752 \h </w:instrText>
          </w:r>
          <w:r>
            <w:fldChar w:fldCharType="separate"/>
          </w:r>
          <w:r>
            <w:t>12</w:t>
          </w:r>
          <w:r>
            <w:fldChar w:fldCharType="end"/>
          </w:r>
          <w:r>
            <w:rPr>
              <w:rFonts w:hint="eastAsia" w:ascii="黑体" w:hAnsi="黑体" w:eastAsia="黑体"/>
              <w:color w:val="auto"/>
              <w:highlight w:val="none"/>
              <w:lang w:eastAsia="zh-CN"/>
            </w:rPr>
            <w:fldChar w:fldCharType="end"/>
          </w:r>
        </w:p>
        <w:p>
          <w:pPr>
            <w:pStyle w:val="34"/>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_Toc13723 </w:instrText>
          </w:r>
          <w:r>
            <w:rPr>
              <w:rFonts w:hint="eastAsia" w:ascii="黑体" w:hAnsi="黑体" w:eastAsia="黑体"/>
              <w:highlight w:val="none"/>
              <w:lang w:eastAsia="zh-CN"/>
            </w:rPr>
            <w:fldChar w:fldCharType="separate"/>
          </w:r>
          <w:r>
            <w:rPr>
              <w:rFonts w:hint="eastAsia" w:ascii="仿宋" w:hAnsi="仿宋" w:eastAsia="仿宋"/>
              <w:szCs w:val="32"/>
              <w:highlight w:val="none"/>
            </w:rPr>
            <w:t>（二）政府采购支出情况</w:t>
          </w:r>
          <w:r>
            <w:tab/>
          </w:r>
          <w:r>
            <w:fldChar w:fldCharType="begin"/>
          </w:r>
          <w:r>
            <w:instrText xml:space="preserve"> PAGEREF _Toc13723 \h </w:instrText>
          </w:r>
          <w:r>
            <w:fldChar w:fldCharType="separate"/>
          </w:r>
          <w:r>
            <w:t>12</w:t>
          </w:r>
          <w:r>
            <w:fldChar w:fldCharType="end"/>
          </w:r>
          <w:r>
            <w:rPr>
              <w:rFonts w:hint="eastAsia" w:ascii="黑体" w:hAnsi="黑体" w:eastAsia="黑体"/>
              <w:color w:val="auto"/>
              <w:highlight w:val="none"/>
              <w:lang w:eastAsia="zh-CN"/>
            </w:rPr>
            <w:fldChar w:fldCharType="end"/>
          </w:r>
        </w:p>
        <w:p>
          <w:pPr>
            <w:pStyle w:val="34"/>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_Toc13181 </w:instrText>
          </w:r>
          <w:r>
            <w:rPr>
              <w:rFonts w:hint="eastAsia" w:ascii="黑体" w:hAnsi="黑体" w:eastAsia="黑体"/>
              <w:highlight w:val="none"/>
              <w:lang w:eastAsia="zh-CN"/>
            </w:rPr>
            <w:fldChar w:fldCharType="separate"/>
          </w:r>
          <w:r>
            <w:rPr>
              <w:rFonts w:hint="eastAsia" w:ascii="仿宋" w:hAnsi="仿宋" w:eastAsia="仿宋"/>
              <w:szCs w:val="32"/>
              <w:highlight w:val="none"/>
            </w:rPr>
            <w:t>（三）国有资产占有使用情况</w:t>
          </w:r>
          <w:r>
            <w:tab/>
          </w:r>
          <w:r>
            <w:fldChar w:fldCharType="begin"/>
          </w:r>
          <w:r>
            <w:instrText xml:space="preserve"> PAGEREF _Toc13181 \h </w:instrText>
          </w:r>
          <w:r>
            <w:fldChar w:fldCharType="separate"/>
          </w:r>
          <w:r>
            <w:t>12</w:t>
          </w:r>
          <w:r>
            <w:fldChar w:fldCharType="end"/>
          </w:r>
          <w:r>
            <w:rPr>
              <w:rFonts w:hint="eastAsia" w:ascii="黑体" w:hAnsi="黑体" w:eastAsia="黑体"/>
              <w:color w:val="auto"/>
              <w:highlight w:val="none"/>
              <w:lang w:eastAsia="zh-CN"/>
            </w:rPr>
            <w:fldChar w:fldCharType="end"/>
          </w:r>
        </w:p>
        <w:p>
          <w:pPr>
            <w:pStyle w:val="34"/>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_Toc25559 </w:instrText>
          </w:r>
          <w:r>
            <w:rPr>
              <w:rFonts w:hint="eastAsia" w:ascii="黑体" w:hAnsi="黑体" w:eastAsia="黑体"/>
              <w:highlight w:val="none"/>
              <w:lang w:eastAsia="zh-CN"/>
            </w:rPr>
            <w:fldChar w:fldCharType="separate"/>
          </w:r>
          <w:r>
            <w:rPr>
              <w:rFonts w:hint="eastAsia" w:ascii="仿宋" w:hAnsi="仿宋" w:eastAsia="仿宋"/>
              <w:szCs w:val="32"/>
            </w:rPr>
            <w:t xml:space="preserve">（四） </w:t>
          </w:r>
          <w:r>
            <w:rPr>
              <w:rFonts w:hint="eastAsia" w:ascii="仿宋" w:hAnsi="仿宋" w:eastAsia="仿宋"/>
              <w:szCs w:val="32"/>
              <w:highlight w:val="none"/>
            </w:rPr>
            <w:t>预算绩效管理情况</w:t>
          </w:r>
          <w:r>
            <w:tab/>
          </w:r>
          <w:r>
            <w:fldChar w:fldCharType="begin"/>
          </w:r>
          <w:r>
            <w:instrText xml:space="preserve"> PAGEREF _Toc25559 \h </w:instrText>
          </w:r>
          <w:r>
            <w:fldChar w:fldCharType="separate"/>
          </w:r>
          <w:r>
            <w:t>12</w:t>
          </w:r>
          <w:r>
            <w:fldChar w:fldCharType="end"/>
          </w:r>
          <w:r>
            <w:rPr>
              <w:rFonts w:hint="eastAsia" w:ascii="黑体" w:hAnsi="黑体" w:eastAsia="黑体"/>
              <w:color w:val="auto"/>
              <w:highlight w:val="none"/>
              <w:lang w:eastAsia="zh-CN"/>
            </w:rPr>
            <w:fldChar w:fldCharType="end"/>
          </w:r>
        </w:p>
        <w:p>
          <w:pPr>
            <w:pStyle w:val="32"/>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_Toc3642 </w:instrText>
          </w:r>
          <w:r>
            <w:rPr>
              <w:rFonts w:hint="eastAsia" w:ascii="黑体" w:hAnsi="黑体" w:eastAsia="黑体"/>
              <w:highlight w:val="none"/>
              <w:lang w:eastAsia="zh-CN"/>
            </w:rPr>
            <w:fldChar w:fldCharType="separate"/>
          </w:r>
          <w:r>
            <w:rPr>
              <w:rFonts w:hint="eastAsia" w:ascii="黑体" w:hAnsi="黑体" w:eastAsia="黑体" w:cs="黑体"/>
              <w:szCs w:val="44"/>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_Toc3642 \h </w:instrText>
          </w:r>
          <w:r>
            <w:fldChar w:fldCharType="separate"/>
          </w:r>
          <w:r>
            <w:t>13</w:t>
          </w:r>
          <w:r>
            <w:fldChar w:fldCharType="end"/>
          </w:r>
          <w:r>
            <w:rPr>
              <w:rFonts w:hint="eastAsia" w:ascii="黑体" w:hAnsi="黑体" w:eastAsia="黑体"/>
              <w:color w:val="auto"/>
              <w:highlight w:val="none"/>
              <w:lang w:eastAsia="zh-CN"/>
            </w:rPr>
            <w:fldChar w:fldCharType="end"/>
          </w:r>
        </w:p>
        <w:p>
          <w:pPr>
            <w:pStyle w:val="32"/>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_Toc28781 </w:instrText>
          </w:r>
          <w:r>
            <w:rPr>
              <w:rFonts w:hint="eastAsia" w:ascii="黑体" w:hAnsi="黑体" w:eastAsia="黑体"/>
              <w:highlight w:val="none"/>
              <w:lang w:eastAsia="zh-CN"/>
            </w:rP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_Toc28781 \h </w:instrText>
          </w:r>
          <w:r>
            <w:fldChar w:fldCharType="separate"/>
          </w:r>
          <w:r>
            <w:t>16</w:t>
          </w:r>
          <w:r>
            <w:fldChar w:fldCharType="end"/>
          </w:r>
          <w:r>
            <w:rPr>
              <w:rFonts w:hint="eastAsia" w:ascii="黑体" w:hAnsi="黑体" w:eastAsia="黑体"/>
              <w:color w:val="auto"/>
              <w:highlight w:val="none"/>
              <w:lang w:eastAsia="zh-CN"/>
            </w:rPr>
            <w:fldChar w:fldCharType="end"/>
          </w:r>
        </w:p>
        <w:p>
          <w:pPr>
            <w:pStyle w:val="32"/>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_Toc28430 </w:instrText>
          </w:r>
          <w:r>
            <w:rPr>
              <w:rFonts w:hint="eastAsia" w:ascii="黑体" w:hAnsi="黑体" w:eastAsia="黑体"/>
              <w:highlight w:val="none"/>
              <w:lang w:eastAsia="zh-CN"/>
            </w:rP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_Toc28430 \h </w:instrText>
          </w:r>
          <w:r>
            <w:fldChar w:fldCharType="separate"/>
          </w:r>
          <w:r>
            <w:t>75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_Toc6383 </w:instrText>
          </w:r>
          <w:r>
            <w:rPr>
              <w:rFonts w:hint="eastAsia" w:ascii="黑体" w:hAnsi="黑体" w:eastAsia="黑体"/>
              <w:highlight w:val="none"/>
              <w:lang w:eastAsia="zh-CN"/>
            </w:rP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_Toc6383 \h </w:instrText>
          </w:r>
          <w:r>
            <w:fldChar w:fldCharType="separate"/>
          </w:r>
          <w:r>
            <w:t>75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_Toc3786 </w:instrText>
          </w:r>
          <w:r>
            <w:rPr>
              <w:rFonts w:hint="eastAsia" w:ascii="黑体" w:hAnsi="黑体" w:eastAsia="黑体"/>
              <w:highlight w:val="none"/>
              <w:lang w:eastAsia="zh-CN"/>
            </w:rP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_Toc3786 \h </w:instrText>
          </w:r>
          <w:r>
            <w:fldChar w:fldCharType="separate"/>
          </w:r>
          <w:r>
            <w:t>75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_Toc2416 </w:instrText>
          </w:r>
          <w:r>
            <w:rPr>
              <w:rFonts w:hint="eastAsia" w:ascii="黑体" w:hAnsi="黑体" w:eastAsia="黑体"/>
              <w:highlight w:val="none"/>
              <w:lang w:eastAsia="zh-CN"/>
            </w:rP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_Toc2416 \h </w:instrText>
          </w:r>
          <w:r>
            <w:fldChar w:fldCharType="separate"/>
          </w:r>
          <w:r>
            <w:t>75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_Toc8395 </w:instrText>
          </w:r>
          <w:r>
            <w:rPr>
              <w:rFonts w:hint="eastAsia" w:ascii="黑体" w:hAnsi="黑体" w:eastAsia="黑体"/>
              <w:highlight w:val="none"/>
              <w:lang w:eastAsia="zh-CN"/>
            </w:rP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_Toc8395 \h </w:instrText>
          </w:r>
          <w:r>
            <w:fldChar w:fldCharType="separate"/>
          </w:r>
          <w:r>
            <w:t>75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_Toc12546 </w:instrText>
          </w:r>
          <w:r>
            <w:rPr>
              <w:rFonts w:hint="eastAsia" w:ascii="黑体" w:hAnsi="黑体" w:eastAsia="黑体"/>
              <w:highlight w:val="none"/>
              <w:lang w:eastAsia="zh-CN"/>
            </w:rP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_Toc12546 \h </w:instrText>
          </w:r>
          <w:r>
            <w:fldChar w:fldCharType="separate"/>
          </w:r>
          <w:r>
            <w:t>75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_Toc30967 </w:instrText>
          </w:r>
          <w:r>
            <w:rPr>
              <w:rFonts w:hint="eastAsia" w:ascii="黑体" w:hAnsi="黑体" w:eastAsia="黑体"/>
              <w:highlight w:val="none"/>
              <w:lang w:eastAsia="zh-CN"/>
            </w:rP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_Toc30967 \h </w:instrText>
          </w:r>
          <w:r>
            <w:fldChar w:fldCharType="separate"/>
          </w:r>
          <w:r>
            <w:t>75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_Toc1279 </w:instrText>
          </w:r>
          <w:r>
            <w:rPr>
              <w:rFonts w:hint="eastAsia" w:ascii="黑体" w:hAnsi="黑体" w:eastAsia="黑体"/>
              <w:highlight w:val="none"/>
              <w:lang w:eastAsia="zh-CN"/>
            </w:rP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_Toc1279 \h </w:instrText>
          </w:r>
          <w:r>
            <w:fldChar w:fldCharType="separate"/>
          </w:r>
          <w:r>
            <w:t>75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_Toc3099 </w:instrText>
          </w:r>
          <w:r>
            <w:rPr>
              <w:rFonts w:hint="eastAsia" w:ascii="黑体" w:hAnsi="黑体" w:eastAsia="黑体"/>
              <w:highlight w:val="none"/>
              <w:lang w:eastAsia="zh-CN"/>
            </w:rP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_Toc3099 \h </w:instrText>
          </w:r>
          <w:r>
            <w:fldChar w:fldCharType="separate"/>
          </w:r>
          <w:r>
            <w:t>75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_Toc12376 </w:instrText>
          </w:r>
          <w:r>
            <w:rPr>
              <w:rFonts w:hint="eastAsia" w:ascii="黑体" w:hAnsi="黑体" w:eastAsia="黑体"/>
              <w:highlight w:val="none"/>
              <w:lang w:eastAsia="zh-CN"/>
            </w:rP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_Toc12376 \h </w:instrText>
          </w:r>
          <w:r>
            <w:fldChar w:fldCharType="separate"/>
          </w:r>
          <w:r>
            <w:t>75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_Toc9568 </w:instrText>
          </w:r>
          <w:r>
            <w:rPr>
              <w:rFonts w:hint="eastAsia" w:ascii="黑体" w:hAnsi="黑体" w:eastAsia="黑体"/>
              <w:highlight w:val="none"/>
              <w:lang w:eastAsia="zh-CN"/>
            </w:rP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_Toc9568 \h </w:instrText>
          </w:r>
          <w:r>
            <w:fldChar w:fldCharType="separate"/>
          </w:r>
          <w:r>
            <w:t>75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_Toc13761 </w:instrText>
          </w:r>
          <w:r>
            <w:rPr>
              <w:rFonts w:hint="eastAsia" w:ascii="黑体" w:hAnsi="黑体" w:eastAsia="黑体"/>
              <w:highlight w:val="none"/>
              <w:lang w:eastAsia="zh-CN"/>
            </w:rP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_Toc13761 \h </w:instrText>
          </w:r>
          <w:r>
            <w:fldChar w:fldCharType="separate"/>
          </w:r>
          <w:r>
            <w:t>75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_Toc14375 </w:instrText>
          </w:r>
          <w:r>
            <w:rPr>
              <w:rFonts w:hint="eastAsia" w:ascii="黑体" w:hAnsi="黑体" w:eastAsia="黑体"/>
              <w:highlight w:val="none"/>
              <w:lang w:eastAsia="zh-CN"/>
            </w:rP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_Toc14375 \h </w:instrText>
          </w:r>
          <w:r>
            <w:fldChar w:fldCharType="separate"/>
          </w:r>
          <w:r>
            <w:t>75</w:t>
          </w:r>
          <w:r>
            <w:fldChar w:fldCharType="end"/>
          </w:r>
          <w:r>
            <w:rPr>
              <w:rFonts w:hint="eastAsia" w:ascii="黑体" w:hAnsi="黑体" w:eastAsia="黑体"/>
              <w:color w:val="auto"/>
              <w:highlight w:val="none"/>
              <w:lang w:eastAsia="zh-CN"/>
            </w:rPr>
            <w:fldChar w:fldCharType="end"/>
          </w:r>
        </w:p>
        <w:p>
          <w:pPr>
            <w:pStyle w:val="33"/>
            <w:tabs>
              <w:tab w:val="right" w:leader="dot" w:pos="8306"/>
            </w:tabs>
          </w:pPr>
          <w:r>
            <w:rPr>
              <w:rFonts w:hint="eastAsia" w:ascii="黑体" w:hAnsi="黑体" w:eastAsia="黑体"/>
              <w:color w:val="auto"/>
              <w:highlight w:val="none"/>
              <w:lang w:eastAsia="zh-CN"/>
            </w:rPr>
            <w:fldChar w:fldCharType="begin"/>
          </w:r>
          <w:r>
            <w:rPr>
              <w:rFonts w:hint="eastAsia" w:ascii="黑体" w:hAnsi="黑体" w:eastAsia="黑体"/>
              <w:highlight w:val="none"/>
              <w:lang w:eastAsia="zh-CN"/>
            </w:rPr>
            <w:instrText xml:space="preserve"> HYPERLINK \l _Toc20618 </w:instrText>
          </w:r>
          <w:r>
            <w:rPr>
              <w:rFonts w:hint="eastAsia" w:ascii="黑体" w:hAnsi="黑体" w:eastAsia="黑体"/>
              <w:highlight w:val="none"/>
              <w:lang w:eastAsia="zh-CN"/>
            </w:rP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_Toc20618 \h </w:instrText>
          </w:r>
          <w:r>
            <w:fldChar w:fldCharType="separate"/>
          </w:r>
          <w:r>
            <w:t>75</w:t>
          </w:r>
          <w:r>
            <w:fldChar w:fldCharType="end"/>
          </w:r>
          <w:r>
            <w:rPr>
              <w:rFonts w:hint="eastAsia" w:ascii="黑体" w:hAnsi="黑体" w:eastAsia="黑体"/>
              <w:color w:val="auto"/>
              <w:highlight w:val="none"/>
              <w:lang w:eastAsia="zh-CN"/>
            </w:rPr>
            <w:fldChar w:fldCharType="end"/>
          </w:r>
        </w:p>
        <w:p>
          <w:pPr>
            <w:pStyle w:val="4"/>
            <w:jc w:val="both"/>
            <w:outlineLvl w:val="9"/>
            <w:rPr>
              <w:rFonts w:hint="eastAsia" w:ascii="黑体" w:hAnsi="黑体" w:eastAsia="黑体"/>
              <w:b w:val="0"/>
              <w:color w:val="auto"/>
              <w:highlight w:val="none"/>
              <w:lang w:eastAsia="zh-CN"/>
            </w:rPr>
          </w:pPr>
          <w:r>
            <w:rPr>
              <w:rFonts w:hint="eastAsia" w:ascii="黑体" w:hAnsi="黑体" w:eastAsia="黑体"/>
              <w:color w:val="auto"/>
              <w:highlight w:val="none"/>
              <w:lang w:eastAsia="zh-CN"/>
            </w:rPr>
            <w:fldChar w:fldCharType="end"/>
          </w:r>
        </w:p>
      </w:sdtContent>
    </w:sdt>
    <w:p>
      <w:pPr>
        <w:pStyle w:val="4"/>
        <w:jc w:val="center"/>
        <w:outlineLvl w:val="9"/>
        <w:rPr>
          <w:rFonts w:hint="eastAsia" w:ascii="黑体" w:hAnsi="黑体" w:eastAsia="黑体"/>
          <w:b w:val="0"/>
          <w:color w:val="auto"/>
          <w:highlight w:val="none"/>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bookmarkEnd w:id="9"/>
    <w:bookmarkEnd w:id="10"/>
    <w:bookmarkEnd w:id="11"/>
    <w:p>
      <w:pPr>
        <w:pStyle w:val="4"/>
        <w:jc w:val="center"/>
        <w:rPr>
          <w:rStyle w:val="26"/>
          <w:rFonts w:ascii="黑体" w:hAnsi="黑体" w:eastAsia="黑体"/>
          <w:b/>
          <w:bCs w:val="0"/>
          <w:color w:val="auto"/>
          <w:highlight w:val="none"/>
        </w:rPr>
      </w:pPr>
      <w:bookmarkStart w:id="12" w:name="_Toc25610"/>
      <w:bookmarkStart w:id="13" w:name="_Toc27865"/>
      <w:bookmarkStart w:id="14" w:name="_Toc15396600"/>
      <w:bookmarkStart w:id="15" w:name="_Toc15377197"/>
      <w:r>
        <w:rPr>
          <w:rFonts w:hint="eastAsia" w:ascii="黑体" w:hAnsi="黑体" w:eastAsia="黑体"/>
          <w:b w:val="0"/>
          <w:color w:val="auto"/>
          <w:highlight w:val="none"/>
        </w:rPr>
        <w:t xml:space="preserve">第一部分 </w:t>
      </w:r>
      <w:r>
        <w:rPr>
          <w:rStyle w:val="26"/>
          <w:rFonts w:hint="eastAsia" w:ascii="黑体" w:hAnsi="黑体" w:eastAsia="黑体"/>
          <w:b w:val="0"/>
          <w:bCs w:val="0"/>
          <w:color w:val="auto"/>
          <w:highlight w:val="none"/>
        </w:rPr>
        <w:t>部门概况</w:t>
      </w:r>
      <w:bookmarkEnd w:id="12"/>
    </w:p>
    <w:p>
      <w:pPr>
        <w:widowControl/>
        <w:jc w:val="left"/>
        <w:rPr>
          <w:rFonts w:ascii="黑体" w:eastAsia="黑体"/>
          <w:color w:val="auto"/>
          <w:sz w:val="32"/>
          <w:szCs w:val="32"/>
          <w:highlight w:val="none"/>
        </w:rPr>
      </w:pPr>
    </w:p>
    <w:p>
      <w:pPr>
        <w:pStyle w:val="5"/>
        <w:numPr>
          <w:ilvl w:val="0"/>
          <w:numId w:val="1"/>
        </w:numPr>
        <w:rPr>
          <w:rStyle w:val="27"/>
          <w:rFonts w:hint="eastAsia" w:ascii="黑体" w:hAnsi="黑体" w:eastAsia="黑体"/>
          <w:b w:val="0"/>
          <w:bCs w:val="0"/>
          <w:color w:val="auto"/>
          <w:highlight w:val="none"/>
          <w:lang w:eastAsia="zh-CN"/>
        </w:rPr>
      </w:pPr>
      <w:bookmarkStart w:id="16" w:name="_Toc8454"/>
      <w:r>
        <w:rPr>
          <w:rStyle w:val="27"/>
          <w:rFonts w:hint="eastAsia" w:ascii="黑体" w:hAnsi="黑体" w:eastAsia="黑体"/>
          <w:b w:val="0"/>
          <w:bCs w:val="0"/>
          <w:color w:val="auto"/>
          <w:highlight w:val="none"/>
          <w:lang w:val="en-US" w:eastAsia="zh-CN"/>
        </w:rPr>
        <w:t>部门</w:t>
      </w:r>
      <w:r>
        <w:rPr>
          <w:rStyle w:val="27"/>
          <w:rFonts w:hint="eastAsia" w:ascii="黑体" w:hAnsi="黑体" w:eastAsia="黑体"/>
          <w:b w:val="0"/>
          <w:bCs w:val="0"/>
          <w:color w:val="auto"/>
          <w:highlight w:val="none"/>
          <w:lang w:eastAsia="zh-CN"/>
        </w:rPr>
        <w:t>职责</w:t>
      </w:r>
      <w:bookmarkEnd w:id="13"/>
      <w:bookmarkEnd w:id="16"/>
    </w:p>
    <w:p>
      <w:pPr>
        <w:pageBreakBefore w:val="0"/>
        <w:kinsoku/>
        <w:wordWrap/>
        <w:overflowPunct/>
        <w:topLinePunct w:val="0"/>
        <w:autoSpaceDE/>
        <w:autoSpaceDN/>
        <w:bidi w:val="0"/>
        <w:spacing w:line="560" w:lineRule="exact"/>
        <w:ind w:firstLine="646"/>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1、执行上级国家行政机关的决定、命令和国家制定的法令、法规，接受同级党委的领导，执行本级人民代表大会的各项决议，并报告执行决议、决定和命令的情况。 </w:t>
      </w:r>
    </w:p>
    <w:p>
      <w:pPr>
        <w:pageBreakBefore w:val="0"/>
        <w:kinsoku/>
        <w:wordWrap/>
        <w:overflowPunct/>
        <w:topLinePunct w:val="0"/>
        <w:autoSpaceDE/>
        <w:autoSpaceDN/>
        <w:bidi w:val="0"/>
        <w:spacing w:line="560" w:lineRule="exact"/>
        <w:ind w:firstLine="646"/>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2、制定并落实本行政区域的经济计划和措施，促进产业结构调整及其他经济保持平衡协调发展，全面提高人民群众的生活水平和生活质量。 </w:t>
      </w:r>
    </w:p>
    <w:p>
      <w:pPr>
        <w:pageBreakBefore w:val="0"/>
        <w:kinsoku/>
        <w:wordWrap/>
        <w:overflowPunct/>
        <w:topLinePunct w:val="0"/>
        <w:autoSpaceDE/>
        <w:autoSpaceDN/>
        <w:bidi w:val="0"/>
        <w:spacing w:line="560" w:lineRule="exact"/>
        <w:ind w:firstLine="646"/>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 3、承担国有资产、集体资产管理、监督及增值保值责任;保护公民私人所有合法财产，保障集体经济组织应有的自主权;监督企业和各种经济联合体、个体户认真执行国家的法律、法令和政策，履行经济合同。 </w:t>
      </w:r>
    </w:p>
    <w:p>
      <w:pPr>
        <w:pageBreakBefore w:val="0"/>
        <w:kinsoku/>
        <w:wordWrap/>
        <w:overflowPunct/>
        <w:topLinePunct w:val="0"/>
        <w:autoSpaceDE/>
        <w:autoSpaceDN/>
        <w:bidi w:val="0"/>
        <w:spacing w:line="560" w:lineRule="exact"/>
        <w:ind w:firstLine="646"/>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 4、开展社会主义民主和法制的宣传教育，保障公民的权利;制定社会治安综合治理工作规划并组织实施;加强社区管理工作，依法管理外来流动人口，处理人民来信来访，调解民间纠纷，打击违法犯罪，维护社会稳定。</w:t>
      </w:r>
    </w:p>
    <w:p>
      <w:pPr>
        <w:pageBreakBefore w:val="0"/>
        <w:kinsoku/>
        <w:wordWrap/>
        <w:overflowPunct/>
        <w:topLinePunct w:val="0"/>
        <w:autoSpaceDE/>
        <w:autoSpaceDN/>
        <w:bidi w:val="0"/>
        <w:spacing w:line="560" w:lineRule="exact"/>
        <w:ind w:firstLine="646"/>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 5、制定社会各项事业发展计划，发展教育、卫生、科技、民政、广播电视、文化、体育事业;组织实施义务教育和其他各类教育;加强计划生育工作;推进社会保障、社会福利事业和养老保险工作;做好劳动管理、科普、老龄及宗教、侨务等工作。 </w:t>
      </w:r>
    </w:p>
    <w:p>
      <w:pPr>
        <w:pageBreakBefore w:val="0"/>
        <w:kinsoku/>
        <w:wordWrap/>
        <w:overflowPunct/>
        <w:topLinePunct w:val="0"/>
        <w:autoSpaceDE/>
        <w:autoSpaceDN/>
        <w:bidi w:val="0"/>
        <w:spacing w:line="560" w:lineRule="exact"/>
        <w:ind w:firstLine="646"/>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6、加强乡级财政的监督和管理，按计划组织、管理乡财政收入和支出，执行国家有关财经纪律和政策，保证国家财政收入的完成;做好统计工作。 </w:t>
      </w:r>
    </w:p>
    <w:p>
      <w:pPr>
        <w:pageBreakBefore w:val="0"/>
        <w:kinsoku/>
        <w:wordWrap/>
        <w:overflowPunct/>
        <w:topLinePunct w:val="0"/>
        <w:autoSpaceDE/>
        <w:autoSpaceDN/>
        <w:bidi w:val="0"/>
        <w:spacing w:line="560" w:lineRule="exact"/>
        <w:ind w:firstLine="646"/>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7、指导、支持、帮助村(居)民委员会的组织制度建设和业务建设，促进村(居)民委员会民主自治。 </w:t>
      </w:r>
    </w:p>
    <w:p>
      <w:pPr>
        <w:pageBreakBefore w:val="0"/>
        <w:kinsoku/>
        <w:wordWrap/>
        <w:overflowPunct/>
        <w:topLinePunct w:val="0"/>
        <w:autoSpaceDE/>
        <w:autoSpaceDN/>
        <w:bidi w:val="0"/>
        <w:spacing w:line="560" w:lineRule="exact"/>
        <w:ind w:firstLine="646"/>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8、制定和组织实施乡村建设规划;加强公用、市政设施、水利建设和管理以及房屋土地管理和环境综合整治工作，保护和改善生活环境和生态环境。 </w:t>
      </w:r>
    </w:p>
    <w:p>
      <w:pPr>
        <w:pageBreakBefore w:val="0"/>
        <w:kinsoku/>
        <w:wordWrap/>
        <w:overflowPunct/>
        <w:topLinePunct w:val="0"/>
        <w:autoSpaceDE/>
        <w:autoSpaceDN/>
        <w:bidi w:val="0"/>
        <w:spacing w:line="560" w:lineRule="exact"/>
        <w:ind w:firstLine="646"/>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9、协助和支持设置在本行政区域内不隶属于乡的国家机关和企事业单位工作，监督其遵守和执行国家的法律、法规和政策。  </w:t>
      </w:r>
    </w:p>
    <w:p>
      <w:pPr>
        <w:pStyle w:val="7"/>
        <w:pageBreakBefore w:val="0"/>
        <w:kinsoku/>
        <w:wordWrap/>
        <w:overflowPunct/>
        <w:topLinePunct w:val="0"/>
        <w:autoSpaceDE/>
        <w:autoSpaceDN/>
        <w:bidi w:val="0"/>
        <w:adjustRightInd w:val="0"/>
        <w:snapToGrid w:val="0"/>
        <w:spacing w:before="93" w:line="560" w:lineRule="exact"/>
        <w:ind w:firstLine="672" w:firstLineChars="210"/>
        <w:textAlignment w:val="auto"/>
        <w:rPr>
          <w:rFonts w:hint="eastAsia"/>
          <w:lang w:eastAsia="zh-CN"/>
        </w:rPr>
      </w:pPr>
      <w:r>
        <w:rPr>
          <w:rFonts w:hint="eastAsia" w:ascii="仿宋_GB2312" w:hAnsi="Times New Roman" w:eastAsia="仿宋_GB2312" w:cs="Times New Roman"/>
          <w:color w:val="000000"/>
          <w:kern w:val="2"/>
          <w:sz w:val="32"/>
          <w:szCs w:val="32"/>
          <w:lang w:val="en-US" w:eastAsia="zh-CN" w:bidi="ar-SA"/>
        </w:rPr>
        <w:t>承办区人民政府交办的其它事项。</w:t>
      </w:r>
    </w:p>
    <w:p>
      <w:pPr>
        <w:pStyle w:val="5"/>
        <w:pageBreakBefore w:val="0"/>
        <w:numPr>
          <w:ilvl w:val="0"/>
          <w:numId w:val="0"/>
        </w:numPr>
        <w:kinsoku/>
        <w:wordWrap/>
        <w:overflowPunct/>
        <w:topLinePunct w:val="0"/>
        <w:autoSpaceDE/>
        <w:autoSpaceDN/>
        <w:bidi w:val="0"/>
        <w:spacing w:line="560" w:lineRule="exact"/>
        <w:textAlignment w:val="auto"/>
        <w:rPr>
          <w:rFonts w:hint="eastAsia" w:ascii="黑体" w:hAnsi="黑体" w:eastAsia="黑体"/>
          <w:b w:val="0"/>
          <w:color w:val="auto"/>
          <w:highlight w:val="none"/>
          <w:lang w:val="en-US" w:eastAsia="zh-CN"/>
        </w:rPr>
      </w:pPr>
      <w:bookmarkStart w:id="17" w:name="_Toc4090"/>
      <w:bookmarkStart w:id="18" w:name="_Toc28985"/>
      <w:r>
        <w:rPr>
          <w:rFonts w:hint="eastAsia" w:ascii="黑体" w:hAnsi="黑体" w:eastAsia="黑体"/>
          <w:b w:val="0"/>
          <w:color w:val="auto"/>
          <w:highlight w:val="none"/>
          <w:lang w:val="en-US" w:eastAsia="zh-CN"/>
        </w:rPr>
        <w:t>二、机构设置</w:t>
      </w:r>
      <w:bookmarkEnd w:id="17"/>
      <w:bookmarkEnd w:id="18"/>
    </w:p>
    <w:bookmarkEnd w:id="14"/>
    <w:bookmarkEnd w:id="15"/>
    <w:p>
      <w:pPr>
        <w:pStyle w:val="7"/>
        <w:pageBreakBefore w:val="0"/>
        <w:kinsoku/>
        <w:wordWrap/>
        <w:overflowPunct/>
        <w:topLinePunct w:val="0"/>
        <w:autoSpaceDE/>
        <w:autoSpaceDN/>
        <w:bidi w:val="0"/>
        <w:adjustRightInd w:val="0"/>
        <w:snapToGrid w:val="0"/>
        <w:spacing w:before="93"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sz w:val="32"/>
          <w:szCs w:val="32"/>
        </w:rPr>
        <w:t>广元市朝天区</w:t>
      </w:r>
      <w:r>
        <w:rPr>
          <w:rFonts w:hint="eastAsia" w:ascii="仿宋" w:hAnsi="仿宋" w:eastAsia="仿宋"/>
          <w:sz w:val="32"/>
          <w:szCs w:val="32"/>
          <w:lang w:eastAsia="zh-CN"/>
        </w:rPr>
        <w:t>麻柳</w:t>
      </w:r>
      <w:r>
        <w:rPr>
          <w:rFonts w:hint="eastAsia" w:ascii="仿宋" w:hAnsi="仿宋" w:eastAsia="仿宋"/>
          <w:sz w:val="32"/>
          <w:szCs w:val="32"/>
        </w:rPr>
        <w:t>乡人民政府辖</w:t>
      </w:r>
      <w:r>
        <w:rPr>
          <w:rFonts w:hint="eastAsia" w:ascii="仿宋" w:hAnsi="仿宋" w:eastAsia="仿宋"/>
          <w:sz w:val="32"/>
          <w:szCs w:val="32"/>
          <w:lang w:val="en-US" w:eastAsia="zh-CN"/>
        </w:rPr>
        <w:t>4</w:t>
      </w:r>
      <w:r>
        <w:rPr>
          <w:rFonts w:hint="eastAsia" w:ascii="仿宋" w:hAnsi="仿宋" w:eastAsia="仿宋"/>
          <w:sz w:val="32"/>
          <w:szCs w:val="32"/>
        </w:rPr>
        <w:t>个村</w:t>
      </w:r>
      <w:r>
        <w:rPr>
          <w:rFonts w:hint="eastAsia" w:ascii="仿宋" w:hAnsi="仿宋" w:eastAsia="仿宋"/>
          <w:sz w:val="32"/>
          <w:szCs w:val="32"/>
          <w:lang w:val="en-US" w:eastAsia="zh-CN"/>
        </w:rPr>
        <w:t>1社区45</w:t>
      </w:r>
      <w:r>
        <w:rPr>
          <w:rFonts w:hint="eastAsia" w:ascii="仿宋" w:hAnsi="仿宋" w:eastAsia="仿宋"/>
          <w:sz w:val="32"/>
          <w:szCs w:val="32"/>
        </w:rPr>
        <w:t>个村民小组，全乡</w:t>
      </w:r>
      <w:r>
        <w:rPr>
          <w:rFonts w:hint="eastAsia" w:ascii="仿宋" w:hAnsi="仿宋" w:eastAsia="仿宋"/>
          <w:sz w:val="32"/>
          <w:szCs w:val="32"/>
          <w:lang w:val="en-US" w:eastAsia="zh-CN"/>
        </w:rPr>
        <w:t>2211</w:t>
      </w:r>
      <w:r>
        <w:rPr>
          <w:rFonts w:hint="eastAsia" w:ascii="仿宋" w:hAnsi="仿宋" w:eastAsia="仿宋"/>
          <w:sz w:val="32"/>
          <w:szCs w:val="32"/>
        </w:rPr>
        <w:t>户</w:t>
      </w:r>
      <w:r>
        <w:rPr>
          <w:rFonts w:hint="eastAsia" w:ascii="仿宋" w:hAnsi="仿宋" w:eastAsia="仿宋"/>
          <w:sz w:val="32"/>
          <w:szCs w:val="32"/>
          <w:lang w:val="en-US" w:eastAsia="zh-CN"/>
        </w:rPr>
        <w:t>7909</w:t>
      </w:r>
      <w:r>
        <w:rPr>
          <w:rFonts w:hint="eastAsia" w:ascii="仿宋" w:hAnsi="仿宋" w:eastAsia="仿宋"/>
          <w:sz w:val="32"/>
          <w:szCs w:val="32"/>
        </w:rPr>
        <w:t>人。财政供养人口</w:t>
      </w:r>
      <w:r>
        <w:rPr>
          <w:rFonts w:hint="eastAsia" w:ascii="仿宋" w:hAnsi="仿宋" w:eastAsia="仿宋"/>
          <w:sz w:val="32"/>
          <w:szCs w:val="32"/>
          <w:lang w:val="en-US" w:eastAsia="zh-CN"/>
        </w:rPr>
        <w:t>35</w:t>
      </w:r>
      <w:r>
        <w:rPr>
          <w:rFonts w:hint="eastAsia" w:ascii="仿宋" w:hAnsi="仿宋" w:eastAsia="仿宋"/>
          <w:sz w:val="32"/>
          <w:szCs w:val="32"/>
        </w:rPr>
        <w:t>人，其中行政人员</w:t>
      </w:r>
      <w:r>
        <w:rPr>
          <w:rFonts w:hint="eastAsia" w:ascii="仿宋" w:hAnsi="仿宋" w:eastAsia="仿宋"/>
          <w:sz w:val="32"/>
          <w:szCs w:val="32"/>
          <w:lang w:val="en-US" w:eastAsia="zh-CN"/>
        </w:rPr>
        <w:t>18</w:t>
      </w:r>
      <w:r>
        <w:rPr>
          <w:rFonts w:hint="eastAsia" w:ascii="仿宋" w:hAnsi="仿宋" w:eastAsia="仿宋"/>
          <w:sz w:val="32"/>
          <w:szCs w:val="32"/>
        </w:rPr>
        <w:t>人，事业人员</w:t>
      </w:r>
      <w:r>
        <w:rPr>
          <w:rFonts w:hint="eastAsia" w:ascii="仿宋" w:hAnsi="仿宋" w:eastAsia="仿宋"/>
          <w:sz w:val="32"/>
          <w:szCs w:val="32"/>
          <w:lang w:val="en-US" w:eastAsia="zh-CN"/>
        </w:rPr>
        <w:t>14</w:t>
      </w:r>
      <w:r>
        <w:rPr>
          <w:rFonts w:hint="eastAsia" w:ascii="仿宋" w:hAnsi="仿宋" w:eastAsia="仿宋"/>
          <w:sz w:val="32"/>
          <w:szCs w:val="32"/>
        </w:rPr>
        <w:t>人，机关工勤1人</w:t>
      </w:r>
      <w:r>
        <w:rPr>
          <w:rFonts w:hint="eastAsia" w:ascii="仿宋" w:hAnsi="仿宋" w:eastAsia="仿宋"/>
          <w:sz w:val="32"/>
          <w:szCs w:val="32"/>
          <w:lang w:val="en-US" w:eastAsia="zh-CN"/>
        </w:rPr>
        <w:t>,事业工勤2人</w:t>
      </w:r>
      <w:r>
        <w:rPr>
          <w:rFonts w:hint="eastAsia" w:ascii="仿宋" w:hAnsi="仿宋" w:eastAsia="仿宋"/>
          <w:sz w:val="32"/>
          <w:szCs w:val="32"/>
        </w:rPr>
        <w:t>。</w:t>
      </w:r>
      <w:r>
        <w:rPr>
          <w:rFonts w:hint="eastAsia" w:ascii="仿宋" w:hAnsi="仿宋" w:eastAsia="仿宋" w:cs="仿宋"/>
          <w:b w:val="0"/>
          <w:bCs w:val="0"/>
          <w:color w:val="000000"/>
          <w:sz w:val="32"/>
          <w:szCs w:val="32"/>
          <w:highlight w:val="none"/>
          <w:lang w:eastAsia="zh-CN"/>
        </w:rPr>
        <w:t>相比上年增加</w:t>
      </w:r>
      <w:r>
        <w:rPr>
          <w:rFonts w:hint="eastAsia" w:ascii="仿宋" w:hAnsi="仿宋" w:eastAsia="仿宋" w:cs="仿宋"/>
          <w:b w:val="0"/>
          <w:bCs w:val="0"/>
          <w:color w:val="000000"/>
          <w:sz w:val="32"/>
          <w:szCs w:val="32"/>
          <w:highlight w:val="none"/>
          <w:lang w:val="en-US" w:eastAsia="zh-CN"/>
        </w:rPr>
        <w:t>2</w:t>
      </w:r>
      <w:r>
        <w:rPr>
          <w:rFonts w:hint="eastAsia" w:ascii="仿宋" w:hAnsi="仿宋" w:eastAsia="仿宋" w:cs="仿宋"/>
          <w:b w:val="0"/>
          <w:bCs w:val="0"/>
          <w:color w:val="000000"/>
          <w:sz w:val="32"/>
          <w:szCs w:val="32"/>
          <w:highlight w:val="none"/>
          <w:lang w:eastAsia="zh-CN"/>
        </w:rPr>
        <w:t>人，增加的原因：招考录用。</w:t>
      </w:r>
      <w:r>
        <w:rPr>
          <w:rFonts w:hint="eastAsia" w:ascii="仿宋" w:hAnsi="仿宋" w:eastAsia="仿宋"/>
          <w:sz w:val="32"/>
          <w:szCs w:val="32"/>
        </w:rPr>
        <w:t>有机构</w:t>
      </w:r>
      <w:r>
        <w:rPr>
          <w:rFonts w:hint="eastAsia" w:ascii="仿宋" w:hAnsi="仿宋" w:eastAsia="仿宋"/>
          <w:sz w:val="32"/>
          <w:szCs w:val="32"/>
          <w:lang w:val="en-US" w:eastAsia="zh-CN"/>
        </w:rPr>
        <w:t>10</w:t>
      </w:r>
      <w:r>
        <w:rPr>
          <w:rFonts w:hint="eastAsia" w:ascii="仿宋" w:hAnsi="仿宋" w:eastAsia="仿宋"/>
          <w:sz w:val="32"/>
          <w:szCs w:val="32"/>
        </w:rPr>
        <w:t>个，有党委、政府、人大、财政、计生、农业、水利</w:t>
      </w:r>
      <w:r>
        <w:rPr>
          <w:rFonts w:hint="eastAsia" w:ascii="仿宋" w:hAnsi="仿宋" w:eastAsia="仿宋"/>
          <w:sz w:val="32"/>
          <w:szCs w:val="32"/>
          <w:lang w:eastAsia="zh-CN"/>
        </w:rPr>
        <w:t>、人社、林业、</w:t>
      </w:r>
      <w:r>
        <w:rPr>
          <w:rFonts w:hint="eastAsia" w:ascii="仿宋" w:hAnsi="仿宋" w:eastAsia="仿宋"/>
          <w:sz w:val="32"/>
          <w:szCs w:val="32"/>
          <w:lang w:val="en-US" w:eastAsia="zh-CN"/>
        </w:rPr>
        <w:t>便民服务中心</w:t>
      </w:r>
      <w:r>
        <w:rPr>
          <w:rFonts w:hint="eastAsia" w:ascii="仿宋" w:hAnsi="仿宋" w:eastAsia="仿宋"/>
          <w:sz w:val="32"/>
          <w:szCs w:val="32"/>
        </w:rPr>
        <w:t>。</w:t>
      </w:r>
    </w:p>
    <w:p>
      <w:pPr>
        <w:pageBreakBefore w:val="0"/>
        <w:widowControl/>
        <w:kinsoku/>
        <w:wordWrap/>
        <w:overflowPunct/>
        <w:topLinePunct w:val="0"/>
        <w:autoSpaceDE/>
        <w:autoSpaceDN/>
        <w:bidi w:val="0"/>
        <w:spacing w:line="560" w:lineRule="exact"/>
        <w:jc w:val="left"/>
        <w:textAlignment w:val="auto"/>
        <w:rPr>
          <w:rFonts w:ascii="仿宋" w:hAnsi="仿宋" w:eastAsia="仿宋"/>
          <w:color w:val="auto"/>
          <w:kern w:val="0"/>
          <w:sz w:val="32"/>
          <w:szCs w:val="32"/>
          <w:highlight w:val="none"/>
        </w:rPr>
      </w:pPr>
    </w:p>
    <w:p>
      <w:pPr>
        <w:pStyle w:val="2"/>
        <w:pageBreakBefore w:val="0"/>
        <w:kinsoku/>
        <w:wordWrap/>
        <w:overflowPunct/>
        <w:topLinePunct w:val="0"/>
        <w:autoSpaceDE/>
        <w:autoSpaceDN/>
        <w:bidi w:val="0"/>
        <w:spacing w:line="560" w:lineRule="exact"/>
        <w:textAlignment w:val="auto"/>
      </w:pPr>
    </w:p>
    <w:p>
      <w:pPr>
        <w:pStyle w:val="4"/>
        <w:ind w:right="440"/>
        <w:jc w:val="center"/>
        <w:rPr>
          <w:rStyle w:val="26"/>
          <w:rFonts w:ascii="黑体" w:hAnsi="黑体" w:eastAsia="黑体"/>
          <w:b w:val="0"/>
          <w:bCs/>
          <w:color w:val="auto"/>
          <w:highlight w:val="none"/>
        </w:rPr>
      </w:pPr>
      <w:bookmarkStart w:id="19" w:name="_Toc15396602"/>
      <w:bookmarkStart w:id="20" w:name="_Toc15377204"/>
      <w:bookmarkStart w:id="21" w:name="_Toc27519"/>
      <w:bookmarkStart w:id="22" w:name="_Toc8859"/>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6"/>
          <w:rFonts w:hint="eastAsia" w:ascii="黑体" w:hAnsi="黑体" w:eastAsia="黑体"/>
          <w:b w:val="0"/>
          <w:bCs/>
          <w:color w:val="auto"/>
          <w:highlight w:val="none"/>
          <w:lang w:val="en-US" w:eastAsia="zh-CN"/>
        </w:rPr>
        <w:t>部门</w:t>
      </w:r>
      <w:r>
        <w:rPr>
          <w:rStyle w:val="26"/>
          <w:rFonts w:hint="eastAsia" w:ascii="黑体" w:hAnsi="黑体" w:eastAsia="黑体"/>
          <w:b w:val="0"/>
          <w:bCs/>
          <w:color w:val="auto"/>
          <w:highlight w:val="none"/>
        </w:rPr>
        <w:t>决算情况说明</w:t>
      </w:r>
      <w:bookmarkEnd w:id="19"/>
      <w:bookmarkEnd w:id="20"/>
      <w:bookmarkEnd w:id="21"/>
      <w:bookmarkEnd w:id="22"/>
    </w:p>
    <w:p>
      <w:pPr>
        <w:rPr>
          <w:color w:val="auto"/>
          <w:highlight w:val="none"/>
        </w:rPr>
      </w:pPr>
    </w:p>
    <w:p>
      <w:pPr>
        <w:pStyle w:val="25"/>
        <w:keepNext w:val="0"/>
        <w:keepLines w:val="0"/>
        <w:pageBreakBefore w:val="0"/>
        <w:numPr>
          <w:ilvl w:val="0"/>
          <w:numId w:val="2"/>
        </w:numPr>
        <w:kinsoku/>
        <w:wordWrap/>
        <w:overflowPunct/>
        <w:topLinePunct w:val="0"/>
        <w:bidi w:val="0"/>
        <w:snapToGrid/>
        <w:spacing w:line="560" w:lineRule="exact"/>
        <w:ind w:firstLineChars="0"/>
        <w:textAlignment w:val="auto"/>
        <w:outlineLvl w:val="1"/>
        <w:rPr>
          <w:rStyle w:val="27"/>
          <w:rFonts w:ascii="黑体" w:hAnsi="黑体" w:eastAsia="黑体"/>
          <w:b w:val="0"/>
          <w:color w:val="auto"/>
          <w:highlight w:val="none"/>
        </w:rPr>
      </w:pPr>
      <w:bookmarkStart w:id="23" w:name="_Toc16950"/>
      <w:bookmarkStart w:id="24" w:name="_Toc13480"/>
      <w:bookmarkStart w:id="25" w:name="_Toc15377205"/>
      <w:bookmarkStart w:id="26"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val="en-US" w:eastAsia="zh-CN"/>
        </w:rPr>
        <w:t>本部门收入总计819.12万元</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819.12</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101.98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14.22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人员增加，收入支出增加</w:t>
      </w:r>
      <w:r>
        <w:rPr>
          <w:rFonts w:hint="eastAsia" w:ascii="仿宋" w:hAnsi="仿宋" w:eastAsia="仿宋"/>
          <w:color w:val="auto"/>
          <w:sz w:val="32"/>
          <w:szCs w:val="32"/>
          <w:highlight w:val="none"/>
          <w:lang w:eastAsia="zh-CN"/>
        </w:rPr>
        <w:t>。</w:t>
      </w:r>
    </w:p>
    <w:p>
      <w:pPr>
        <w:pStyle w:val="7"/>
        <w:rPr>
          <w:rFonts w:hint="eastAsia" w:ascii="仿宋" w:hAnsi="仿宋" w:eastAsia="仿宋"/>
          <w:color w:val="auto"/>
          <w:sz w:val="32"/>
          <w:szCs w:val="32"/>
          <w:highlight w:val="none"/>
          <w:lang w:eastAsia="zh-CN"/>
        </w:rPr>
      </w:pPr>
      <w:r>
        <w:drawing>
          <wp:anchor distT="0" distB="0" distL="114935" distR="114935" simplePos="0" relativeHeight="251659264" behindDoc="1" locked="0" layoutInCell="1" allowOverlap="1">
            <wp:simplePos x="0" y="0"/>
            <wp:positionH relativeFrom="column">
              <wp:posOffset>-5080</wp:posOffset>
            </wp:positionH>
            <wp:positionV relativeFrom="paragraph">
              <wp:posOffset>94615</wp:posOffset>
            </wp:positionV>
            <wp:extent cx="5280025" cy="2129790"/>
            <wp:effectExtent l="4445" t="4445" r="11430" b="18415"/>
            <wp:wrapNone/>
            <wp:docPr id="103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7"/>
        <w:rPr>
          <w:rFonts w:hint="eastAsia" w:ascii="仿宋" w:hAnsi="仿宋" w:eastAsia="仿宋"/>
          <w:color w:val="auto"/>
          <w:sz w:val="32"/>
          <w:szCs w:val="32"/>
          <w:highlight w:val="none"/>
          <w:lang w:eastAsia="zh-CN"/>
        </w:rPr>
      </w:pPr>
    </w:p>
    <w:p>
      <w:pPr>
        <w:pStyle w:val="7"/>
        <w:rPr>
          <w:rFonts w:hint="eastAsia" w:ascii="仿宋" w:hAnsi="仿宋" w:eastAsia="仿宋"/>
          <w:color w:val="auto"/>
          <w:sz w:val="32"/>
          <w:szCs w:val="32"/>
          <w:highlight w:val="none"/>
          <w:lang w:eastAsia="zh-CN"/>
        </w:rPr>
      </w:pPr>
    </w:p>
    <w:p>
      <w:pPr>
        <w:pStyle w:val="7"/>
        <w:rPr>
          <w:rFonts w:hint="eastAsia" w:ascii="仿宋" w:hAnsi="仿宋" w:eastAsia="仿宋"/>
          <w:color w:val="auto"/>
          <w:sz w:val="32"/>
          <w:szCs w:val="32"/>
          <w:highlight w:val="none"/>
          <w:lang w:eastAsia="zh-CN"/>
        </w:rPr>
      </w:pPr>
    </w:p>
    <w:p>
      <w:pPr>
        <w:pStyle w:val="2"/>
        <w:keepNext w:val="0"/>
        <w:keepLines w:val="0"/>
        <w:pageBreakBefore w:val="0"/>
        <w:kinsoku/>
        <w:wordWrap/>
        <w:overflowPunct/>
        <w:topLinePunct w:val="0"/>
        <w:bidi w:val="0"/>
        <w:snapToGrid/>
        <w:spacing w:line="600" w:lineRule="exact"/>
        <w:ind w:left="0" w:leftChars="0" w:firstLine="0" w:firstLineChars="0"/>
        <w:textAlignment w:val="auto"/>
      </w:pPr>
    </w:p>
    <w:p>
      <w:pPr>
        <w:keepNext w:val="0"/>
        <w:keepLines w:val="0"/>
        <w:pageBreakBefore w:val="0"/>
        <w:kinsoku/>
        <w:wordWrap/>
        <w:overflowPunct/>
        <w:topLinePunct w:val="0"/>
        <w:bidi w:val="0"/>
        <w:snapToGrid/>
        <w:spacing w:line="600" w:lineRule="exact"/>
        <w:ind w:firstLine="640" w:firstLineChars="200"/>
        <w:textAlignment w:val="auto"/>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5"/>
        <w:keepNext w:val="0"/>
        <w:keepLines w:val="0"/>
        <w:pageBreakBefore w:val="0"/>
        <w:numPr>
          <w:ilvl w:val="0"/>
          <w:numId w:val="2"/>
        </w:numPr>
        <w:kinsoku/>
        <w:wordWrap/>
        <w:overflowPunct/>
        <w:topLinePunct w:val="0"/>
        <w:bidi w:val="0"/>
        <w:snapToGrid/>
        <w:spacing w:line="600" w:lineRule="exact"/>
        <w:ind w:firstLineChars="0"/>
        <w:textAlignment w:val="auto"/>
        <w:outlineLvl w:val="1"/>
        <w:rPr>
          <w:rStyle w:val="27"/>
          <w:rFonts w:ascii="黑体" w:hAnsi="黑体" w:eastAsia="黑体"/>
          <w:b w:val="0"/>
          <w:color w:val="auto"/>
          <w:highlight w:val="none"/>
        </w:rPr>
      </w:pPr>
      <w:bookmarkStart w:id="27" w:name="_Toc1714"/>
      <w:bookmarkStart w:id="28" w:name="_Toc15396604"/>
      <w:bookmarkStart w:id="29" w:name="_Toc15377206"/>
      <w:bookmarkStart w:id="30" w:name="_Toc15124"/>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olor w:val="auto"/>
          <w:sz w:val="32"/>
          <w:szCs w:val="32"/>
          <w:highlight w:val="none"/>
        </w:rPr>
      </w:pPr>
      <w:bookmarkStart w:id="31" w:name="_Toc1522"/>
      <w:bookmarkStart w:id="32" w:name="_Toc12441"/>
      <w:bookmarkStart w:id="33" w:name="_Toc7574"/>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819.12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818.55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99.93</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1"/>
      <w:bookmarkEnd w:id="32"/>
      <w:bookmarkEnd w:id="33"/>
    </w:p>
    <w:p>
      <w:pPr>
        <w:pStyle w:val="2"/>
        <w:keepNext w:val="0"/>
        <w:keepLines w:val="0"/>
        <w:pageBreakBefore w:val="0"/>
        <w:kinsoku/>
        <w:wordWrap/>
        <w:overflowPunct/>
        <w:topLinePunct w:val="0"/>
        <w:bidi w:val="0"/>
        <w:snapToGrid/>
        <w:spacing w:line="600" w:lineRule="exact"/>
        <w:textAlignment w:val="auto"/>
      </w:pPr>
    </w:p>
    <w:p>
      <w:pPr>
        <w:pStyle w:val="2"/>
        <w:keepNext w:val="0"/>
        <w:keepLines w:val="0"/>
        <w:pageBreakBefore w:val="0"/>
        <w:kinsoku/>
        <w:wordWrap/>
        <w:overflowPunct/>
        <w:topLinePunct w:val="0"/>
        <w:bidi w:val="0"/>
        <w:snapToGrid/>
        <w:spacing w:line="600" w:lineRule="exact"/>
        <w:textAlignment w:val="auto"/>
      </w:pPr>
    </w:p>
    <w:p>
      <w:pPr>
        <w:pStyle w:val="2"/>
        <w:keepNext w:val="0"/>
        <w:keepLines w:val="0"/>
        <w:pageBreakBefore w:val="0"/>
        <w:kinsoku/>
        <w:wordWrap/>
        <w:overflowPunct/>
        <w:topLinePunct w:val="0"/>
        <w:bidi w:val="0"/>
        <w:snapToGrid/>
        <w:spacing w:line="600" w:lineRule="exact"/>
        <w:textAlignment w:val="auto"/>
        <w:rPr>
          <w:rFonts w:ascii="仿宋" w:hAnsi="仿宋" w:eastAsia="仿宋"/>
          <w:color w:val="auto"/>
          <w:sz w:val="32"/>
          <w:szCs w:val="32"/>
          <w:highlight w:val="none"/>
        </w:rPr>
      </w:pPr>
    </w:p>
    <w:p>
      <w:pPr>
        <w:pStyle w:val="2"/>
        <w:keepNext w:val="0"/>
        <w:keepLines w:val="0"/>
        <w:pageBreakBefore w:val="0"/>
        <w:kinsoku/>
        <w:wordWrap/>
        <w:overflowPunct/>
        <w:topLinePunct w:val="0"/>
        <w:bidi w:val="0"/>
        <w:snapToGrid/>
        <w:spacing w:line="600" w:lineRule="exact"/>
        <w:ind w:left="0" w:leftChars="0" w:firstLine="0" w:firstLineChars="0"/>
        <w:textAlignment w:val="auto"/>
        <w:rPr>
          <w:rFonts w:ascii="仿宋" w:hAnsi="仿宋" w:eastAsia="仿宋"/>
          <w:color w:val="auto"/>
          <w:sz w:val="32"/>
          <w:szCs w:val="32"/>
          <w:highlight w:val="none"/>
        </w:rPr>
      </w:pPr>
      <w:r>
        <w:drawing>
          <wp:anchor distT="0" distB="0" distL="114935" distR="114935" simplePos="0" relativeHeight="251660288" behindDoc="1" locked="0" layoutInCell="1" allowOverlap="1">
            <wp:simplePos x="0" y="0"/>
            <wp:positionH relativeFrom="column">
              <wp:posOffset>795020</wp:posOffset>
            </wp:positionH>
            <wp:positionV relativeFrom="paragraph">
              <wp:posOffset>-243205</wp:posOffset>
            </wp:positionV>
            <wp:extent cx="3762375" cy="2171700"/>
            <wp:effectExtent l="4445" t="4445" r="5080" b="52705"/>
            <wp:wrapNone/>
            <wp:docPr id="1037"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keepNext w:val="0"/>
        <w:keepLines w:val="0"/>
        <w:pageBreakBefore w:val="0"/>
        <w:kinsoku/>
        <w:wordWrap/>
        <w:overflowPunct/>
        <w:topLinePunct w:val="0"/>
        <w:bidi w:val="0"/>
        <w:snapToGrid/>
        <w:spacing w:line="600" w:lineRule="exact"/>
        <w:textAlignment w:val="auto"/>
        <w:rPr>
          <w:rFonts w:ascii="仿宋" w:hAnsi="仿宋" w:eastAsia="仿宋"/>
          <w:color w:val="auto"/>
          <w:sz w:val="32"/>
          <w:szCs w:val="32"/>
          <w:highlight w:val="none"/>
        </w:rPr>
      </w:pPr>
    </w:p>
    <w:p>
      <w:pPr>
        <w:pStyle w:val="2"/>
        <w:keepNext w:val="0"/>
        <w:keepLines w:val="0"/>
        <w:pageBreakBefore w:val="0"/>
        <w:kinsoku/>
        <w:wordWrap/>
        <w:overflowPunct/>
        <w:topLinePunct w:val="0"/>
        <w:bidi w:val="0"/>
        <w:snapToGrid/>
        <w:spacing w:line="600" w:lineRule="exact"/>
        <w:textAlignment w:val="auto"/>
        <w:rPr>
          <w:rFonts w:ascii="仿宋" w:hAnsi="仿宋" w:eastAsia="仿宋"/>
          <w:color w:val="auto"/>
          <w:sz w:val="32"/>
          <w:szCs w:val="32"/>
          <w:highlight w:val="none"/>
        </w:rPr>
      </w:pPr>
    </w:p>
    <w:p>
      <w:pPr>
        <w:pStyle w:val="2"/>
        <w:keepNext w:val="0"/>
        <w:keepLines w:val="0"/>
        <w:pageBreakBefore w:val="0"/>
        <w:kinsoku/>
        <w:wordWrap/>
        <w:overflowPunct/>
        <w:topLinePunct w:val="0"/>
        <w:bidi w:val="0"/>
        <w:snapToGrid/>
        <w:spacing w:line="600" w:lineRule="exact"/>
        <w:textAlignment w:val="auto"/>
        <w:rPr>
          <w:rFonts w:ascii="仿宋" w:hAnsi="仿宋" w:eastAsia="仿宋"/>
          <w:color w:val="auto"/>
          <w:sz w:val="32"/>
          <w:szCs w:val="32"/>
          <w:highlight w:val="none"/>
        </w:rPr>
      </w:pPr>
    </w:p>
    <w:p>
      <w:pPr>
        <w:pStyle w:val="2"/>
        <w:keepNext w:val="0"/>
        <w:keepLines w:val="0"/>
        <w:pageBreakBefore w:val="0"/>
        <w:kinsoku/>
        <w:wordWrap/>
        <w:overflowPunct/>
        <w:topLinePunct w:val="0"/>
        <w:bidi w:val="0"/>
        <w:snapToGrid/>
        <w:spacing w:line="600" w:lineRule="exact"/>
        <w:textAlignment w:val="auto"/>
        <w:rPr>
          <w:rFonts w:ascii="仿宋" w:hAnsi="仿宋" w:eastAsia="仿宋"/>
          <w:color w:val="auto"/>
          <w:sz w:val="32"/>
          <w:szCs w:val="32"/>
          <w:highlight w:val="none"/>
        </w:rPr>
      </w:pPr>
    </w:p>
    <w:p>
      <w:pPr>
        <w:keepNext w:val="0"/>
        <w:keepLines w:val="0"/>
        <w:pageBreakBefore w:val="0"/>
        <w:kinsoku/>
        <w:wordWrap/>
        <w:overflowPunct/>
        <w:topLinePunct w:val="0"/>
        <w:bidi w:val="0"/>
        <w:snapToGrid/>
        <w:spacing w:line="600" w:lineRule="exact"/>
        <w:ind w:firstLine="1280" w:firstLineChars="400"/>
        <w:textAlignment w:val="auto"/>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25"/>
        <w:keepNext w:val="0"/>
        <w:keepLines w:val="0"/>
        <w:pageBreakBefore w:val="0"/>
        <w:numPr>
          <w:ilvl w:val="0"/>
          <w:numId w:val="2"/>
        </w:numPr>
        <w:kinsoku/>
        <w:wordWrap/>
        <w:overflowPunct/>
        <w:topLinePunct w:val="0"/>
        <w:bidi w:val="0"/>
        <w:snapToGrid/>
        <w:spacing w:line="600" w:lineRule="exact"/>
        <w:ind w:firstLineChars="0"/>
        <w:textAlignment w:val="auto"/>
        <w:outlineLvl w:val="1"/>
        <w:rPr>
          <w:rStyle w:val="27"/>
          <w:rFonts w:ascii="黑体" w:hAnsi="黑体" w:eastAsia="黑体"/>
          <w:b w:val="0"/>
          <w:color w:val="auto"/>
          <w:highlight w:val="none"/>
        </w:rPr>
      </w:pPr>
      <w:bookmarkStart w:id="34" w:name="_Toc15396605"/>
      <w:bookmarkStart w:id="35" w:name="_Toc15377207"/>
      <w:bookmarkStart w:id="36" w:name="_Toc28756"/>
      <w:bookmarkStart w:id="37" w:name="_Toc14876"/>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lang w:val="en-US" w:eastAsia="zh-CN"/>
        </w:rPr>
      </w:pPr>
      <w:bookmarkStart w:id="38" w:name="_Toc12449"/>
      <w:bookmarkStart w:id="39" w:name="_Toc13342"/>
      <w:bookmarkStart w:id="40" w:name="_Toc18"/>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819.12</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565.49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69.04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253.63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30.96</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8"/>
      <w:bookmarkEnd w:id="39"/>
      <w:bookmarkEnd w:id="40"/>
    </w:p>
    <w:p>
      <w:pPr>
        <w:pStyle w:val="2"/>
        <w:keepNext w:val="0"/>
        <w:keepLines w:val="0"/>
        <w:pageBreakBefore w:val="0"/>
        <w:kinsoku/>
        <w:wordWrap/>
        <w:overflowPunct/>
        <w:topLinePunct w:val="0"/>
        <w:bidi w:val="0"/>
        <w:snapToGrid/>
        <w:spacing w:line="600" w:lineRule="exact"/>
        <w:textAlignment w:val="auto"/>
        <w:rPr>
          <w:rFonts w:hint="eastAsia"/>
          <w:lang w:val="en-US" w:eastAsia="zh-CN"/>
        </w:rPr>
      </w:pPr>
      <w:r>
        <w:drawing>
          <wp:anchor distT="0" distB="0" distL="114935" distR="114935" simplePos="0" relativeHeight="251661312" behindDoc="1" locked="0" layoutInCell="1" allowOverlap="1">
            <wp:simplePos x="0" y="0"/>
            <wp:positionH relativeFrom="column">
              <wp:posOffset>690245</wp:posOffset>
            </wp:positionH>
            <wp:positionV relativeFrom="paragraph">
              <wp:posOffset>128270</wp:posOffset>
            </wp:positionV>
            <wp:extent cx="4142740" cy="2210435"/>
            <wp:effectExtent l="4445" t="4445" r="5715" b="52070"/>
            <wp:wrapNone/>
            <wp:docPr id="9"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keepNext w:val="0"/>
        <w:keepLines w:val="0"/>
        <w:pageBreakBefore w:val="0"/>
        <w:kinsoku/>
        <w:wordWrap/>
        <w:overflowPunct/>
        <w:topLinePunct w:val="0"/>
        <w:bidi w:val="0"/>
        <w:snapToGrid/>
        <w:spacing w:line="600" w:lineRule="exact"/>
        <w:textAlignment w:val="auto"/>
        <w:rPr>
          <w:rFonts w:hint="eastAsia"/>
          <w:lang w:val="en-US" w:eastAsia="zh-CN"/>
        </w:rPr>
      </w:pPr>
    </w:p>
    <w:p>
      <w:pPr>
        <w:pStyle w:val="2"/>
        <w:keepNext w:val="0"/>
        <w:keepLines w:val="0"/>
        <w:pageBreakBefore w:val="0"/>
        <w:kinsoku/>
        <w:wordWrap/>
        <w:overflowPunct/>
        <w:topLinePunct w:val="0"/>
        <w:bidi w:val="0"/>
        <w:snapToGrid/>
        <w:spacing w:line="600" w:lineRule="exact"/>
        <w:textAlignment w:val="auto"/>
        <w:rPr>
          <w:rFonts w:hint="eastAsia"/>
          <w:lang w:val="en-US" w:eastAsia="zh-CN"/>
        </w:rPr>
      </w:pPr>
    </w:p>
    <w:p>
      <w:pPr>
        <w:pStyle w:val="2"/>
        <w:keepNext w:val="0"/>
        <w:keepLines w:val="0"/>
        <w:pageBreakBefore w:val="0"/>
        <w:kinsoku/>
        <w:wordWrap/>
        <w:overflowPunct/>
        <w:topLinePunct w:val="0"/>
        <w:bidi w:val="0"/>
        <w:snapToGrid/>
        <w:spacing w:line="600" w:lineRule="exact"/>
        <w:textAlignment w:val="auto"/>
        <w:rPr>
          <w:rFonts w:hint="eastAsia"/>
          <w:lang w:val="en-US" w:eastAsia="zh-CN"/>
        </w:rPr>
      </w:pPr>
    </w:p>
    <w:p>
      <w:pPr>
        <w:pStyle w:val="2"/>
        <w:keepNext w:val="0"/>
        <w:keepLines w:val="0"/>
        <w:pageBreakBefore w:val="0"/>
        <w:kinsoku/>
        <w:wordWrap/>
        <w:overflowPunct/>
        <w:topLinePunct w:val="0"/>
        <w:bidi w:val="0"/>
        <w:snapToGrid/>
        <w:spacing w:line="600" w:lineRule="exact"/>
        <w:textAlignment w:val="auto"/>
        <w:rPr>
          <w:rFonts w:hint="eastAsia"/>
          <w:lang w:val="en-US" w:eastAsia="zh-CN"/>
        </w:rPr>
      </w:pPr>
    </w:p>
    <w:p>
      <w:pPr>
        <w:pStyle w:val="2"/>
        <w:keepNext w:val="0"/>
        <w:keepLines w:val="0"/>
        <w:pageBreakBefore w:val="0"/>
        <w:kinsoku/>
        <w:wordWrap/>
        <w:overflowPunct/>
        <w:topLinePunct w:val="0"/>
        <w:bidi w:val="0"/>
        <w:snapToGrid/>
        <w:spacing w:line="600" w:lineRule="exact"/>
        <w:textAlignment w:val="auto"/>
        <w:rPr>
          <w:rFonts w:hint="default" w:ascii="仿宋" w:hAnsi="仿宋" w:eastAsia="宋体"/>
          <w:color w:val="auto"/>
          <w:sz w:val="32"/>
          <w:szCs w:val="32"/>
          <w:highlight w:val="none"/>
          <w:shd w:val="pct10" w:color="auto" w:fill="FFFFFF"/>
          <w:lang w:val="en-US" w:eastAsia="zh-CN"/>
        </w:rPr>
      </w:pPr>
      <w:r>
        <w:rPr>
          <w:rFonts w:hint="eastAsia"/>
          <w:lang w:val="en-US" w:eastAsia="zh-CN"/>
        </w:rPr>
        <w:t xml:space="preserve">                                                                                                                                                                                                          </w:t>
      </w:r>
    </w:p>
    <w:p>
      <w:pPr>
        <w:keepNext w:val="0"/>
        <w:keepLines w:val="0"/>
        <w:pageBreakBefore w:val="0"/>
        <w:kinsoku/>
        <w:wordWrap/>
        <w:overflowPunct/>
        <w:topLinePunct w:val="0"/>
        <w:bidi w:val="0"/>
        <w:snapToGrid/>
        <w:spacing w:line="600" w:lineRule="exact"/>
        <w:jc w:val="center"/>
        <w:textAlignment w:val="auto"/>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pPr>
        <w:keepNext w:val="0"/>
        <w:keepLines w:val="0"/>
        <w:pageBreakBefore w:val="0"/>
        <w:kinsoku/>
        <w:wordWrap/>
        <w:overflowPunct/>
        <w:topLinePunct w:val="0"/>
        <w:bidi w:val="0"/>
        <w:snapToGrid/>
        <w:spacing w:line="600" w:lineRule="exact"/>
        <w:ind w:firstLine="640" w:firstLineChars="200"/>
        <w:textAlignment w:val="auto"/>
        <w:outlineLvl w:val="1"/>
        <w:rPr>
          <w:rStyle w:val="27"/>
          <w:rFonts w:ascii="黑体" w:hAnsi="黑体" w:eastAsia="黑体"/>
          <w:b w:val="0"/>
          <w:color w:val="auto"/>
          <w:highlight w:val="none"/>
        </w:rPr>
      </w:pPr>
      <w:bookmarkStart w:id="41" w:name="_Toc25762"/>
      <w:bookmarkStart w:id="42" w:name="_Toc19110"/>
      <w:bookmarkStart w:id="43" w:name="_Toc15396606"/>
      <w:bookmarkStart w:id="44" w:name="_Toc15377208"/>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入总计818.55万元</w:t>
      </w:r>
      <w:r>
        <w:rPr>
          <w:rFonts w:hint="eastAsia" w:ascii="仿宋" w:hAnsi="仿宋" w:eastAsia="仿宋"/>
          <w:color w:val="auto"/>
          <w:sz w:val="32"/>
          <w:szCs w:val="32"/>
          <w:highlight w:val="none"/>
        </w:rPr>
        <w:t>、支总计</w:t>
      </w:r>
      <w:r>
        <w:rPr>
          <w:rFonts w:hint="eastAsia" w:ascii="仿宋" w:hAnsi="仿宋" w:eastAsia="仿宋"/>
          <w:color w:val="auto"/>
          <w:sz w:val="32"/>
          <w:szCs w:val="32"/>
          <w:highlight w:val="none"/>
          <w:lang w:val="en-US" w:eastAsia="zh-CN"/>
        </w:rPr>
        <w:t>818.55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102.15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14.26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人员增加，收入支出增加。</w:t>
      </w:r>
    </w:p>
    <w:p>
      <w:pPr>
        <w:pStyle w:val="7"/>
        <w:rPr>
          <w:rFonts w:hint="eastAsia" w:ascii="仿宋" w:hAnsi="仿宋" w:eastAsia="仿宋"/>
          <w:color w:val="auto"/>
          <w:sz w:val="32"/>
          <w:szCs w:val="32"/>
          <w:highlight w:val="none"/>
          <w:lang w:val="en-US" w:eastAsia="zh-CN"/>
        </w:rPr>
      </w:pPr>
    </w:p>
    <w:p>
      <w:pPr>
        <w:pStyle w:val="7"/>
        <w:rPr>
          <w:rFonts w:hint="eastAsia" w:ascii="仿宋" w:hAnsi="仿宋" w:eastAsia="仿宋"/>
          <w:color w:val="auto"/>
          <w:sz w:val="32"/>
          <w:szCs w:val="32"/>
          <w:highlight w:val="none"/>
          <w:lang w:val="en-US" w:eastAsia="zh-CN"/>
        </w:rPr>
      </w:pPr>
    </w:p>
    <w:p>
      <w:pPr>
        <w:pStyle w:val="7"/>
        <w:rPr>
          <w:rFonts w:hint="eastAsia" w:ascii="仿宋" w:hAnsi="仿宋" w:eastAsia="仿宋"/>
          <w:color w:val="auto"/>
          <w:sz w:val="32"/>
          <w:szCs w:val="32"/>
          <w:highlight w:val="none"/>
          <w:lang w:val="en-US" w:eastAsia="zh-CN"/>
        </w:rPr>
      </w:pPr>
    </w:p>
    <w:p>
      <w:pPr>
        <w:pStyle w:val="7"/>
        <w:rPr>
          <w:rFonts w:hint="eastAsia" w:ascii="仿宋" w:hAnsi="仿宋" w:eastAsia="仿宋"/>
          <w:color w:val="auto"/>
          <w:sz w:val="32"/>
          <w:szCs w:val="32"/>
          <w:highlight w:val="none"/>
          <w:lang w:val="en-US" w:eastAsia="zh-CN"/>
        </w:rPr>
      </w:pPr>
    </w:p>
    <w:p>
      <w:pPr>
        <w:pStyle w:val="7"/>
        <w:rPr>
          <w:rFonts w:hint="default" w:ascii="仿宋" w:hAnsi="仿宋" w:eastAsia="仿宋"/>
          <w:color w:val="auto"/>
          <w:sz w:val="32"/>
          <w:szCs w:val="32"/>
          <w:highlight w:val="none"/>
          <w:lang w:val="en-US" w:eastAsia="zh-CN"/>
        </w:rPr>
      </w:pPr>
    </w:p>
    <w:p>
      <w:pPr>
        <w:pStyle w:val="2"/>
        <w:keepNext w:val="0"/>
        <w:keepLines w:val="0"/>
        <w:pageBreakBefore w:val="0"/>
        <w:kinsoku/>
        <w:wordWrap/>
        <w:overflowPunct/>
        <w:topLinePunct w:val="0"/>
        <w:bidi w:val="0"/>
        <w:snapToGrid/>
        <w:spacing w:line="600" w:lineRule="exact"/>
        <w:ind w:left="0" w:leftChars="0" w:firstLine="0" w:firstLineChars="0"/>
        <w:textAlignment w:val="auto"/>
        <w:rPr>
          <w:rFonts w:ascii="仿宋" w:hAnsi="仿宋" w:eastAsia="仿宋"/>
          <w:color w:val="auto"/>
          <w:sz w:val="32"/>
          <w:szCs w:val="32"/>
          <w:highlight w:val="none"/>
        </w:rPr>
      </w:pPr>
      <w:r>
        <w:drawing>
          <wp:anchor distT="0" distB="0" distL="114935" distR="114935" simplePos="0" relativeHeight="251662336" behindDoc="1" locked="0" layoutInCell="1" allowOverlap="1">
            <wp:simplePos x="0" y="0"/>
            <wp:positionH relativeFrom="column">
              <wp:posOffset>4445</wp:posOffset>
            </wp:positionH>
            <wp:positionV relativeFrom="paragraph">
              <wp:posOffset>-2014855</wp:posOffset>
            </wp:positionV>
            <wp:extent cx="5271135" cy="2299970"/>
            <wp:effectExtent l="4445" t="4445" r="20320" b="19685"/>
            <wp:wrapNone/>
            <wp:docPr id="10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keepNext w:val="0"/>
        <w:keepLines w:val="0"/>
        <w:pageBreakBefore w:val="0"/>
        <w:kinsoku/>
        <w:wordWrap/>
        <w:overflowPunct/>
        <w:topLinePunct w:val="0"/>
        <w:bidi w:val="0"/>
        <w:snapToGrid/>
        <w:spacing w:line="600" w:lineRule="exact"/>
        <w:ind w:firstLine="640" w:firstLineChars="200"/>
        <w:textAlignment w:val="auto"/>
        <w:outlineLvl w:val="1"/>
        <w:rPr>
          <w:rStyle w:val="27"/>
          <w:rFonts w:ascii="黑体" w:hAnsi="黑体" w:eastAsia="黑体"/>
          <w:b w:val="0"/>
          <w:color w:val="auto"/>
          <w:highlight w:val="none"/>
        </w:rPr>
      </w:pPr>
      <w:bookmarkStart w:id="45" w:name="_Toc14791"/>
      <w:bookmarkStart w:id="46" w:name="_Toc15377209"/>
      <w:bookmarkStart w:id="47" w:name="_Toc78"/>
      <w:bookmarkStart w:id="48"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45"/>
      <w:bookmarkEnd w:id="46"/>
      <w:bookmarkEnd w:id="47"/>
      <w:bookmarkEnd w:id="48"/>
    </w:p>
    <w:p>
      <w:pPr>
        <w:keepNext w:val="0"/>
        <w:keepLines w:val="0"/>
        <w:pageBreakBefore w:val="0"/>
        <w:kinsoku/>
        <w:wordWrap/>
        <w:overflowPunct/>
        <w:topLinePunct w:val="0"/>
        <w:bidi w:val="0"/>
        <w:snapToGrid/>
        <w:spacing w:line="600" w:lineRule="exact"/>
        <w:ind w:firstLine="642" w:firstLineChars="200"/>
        <w:textAlignment w:val="auto"/>
        <w:outlineLvl w:val="2"/>
        <w:rPr>
          <w:rFonts w:ascii="仿宋" w:hAnsi="仿宋" w:eastAsia="仿宋"/>
          <w:b/>
          <w:color w:val="auto"/>
          <w:sz w:val="32"/>
          <w:szCs w:val="32"/>
          <w:highlight w:val="none"/>
        </w:rPr>
      </w:pPr>
      <w:bookmarkStart w:id="49" w:name="_Toc15377210"/>
      <w:bookmarkStart w:id="50" w:name="_Toc32588"/>
      <w:r>
        <w:rPr>
          <w:rFonts w:hint="eastAsia" w:ascii="仿宋" w:hAnsi="仿宋" w:eastAsia="仿宋"/>
          <w:b/>
          <w:color w:val="auto"/>
          <w:sz w:val="32"/>
          <w:szCs w:val="32"/>
          <w:highlight w:val="none"/>
        </w:rPr>
        <w:t>（一）一般公共预算财政拨款支出决算总体情况</w:t>
      </w:r>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818.55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99.93</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102.15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14.26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人员增加，收入支出增加。</w:t>
      </w:r>
    </w:p>
    <w:p>
      <w:pPr>
        <w:pStyle w:val="2"/>
        <w:keepNext w:val="0"/>
        <w:keepLines w:val="0"/>
        <w:pageBreakBefore w:val="0"/>
        <w:kinsoku/>
        <w:wordWrap/>
        <w:overflowPunct/>
        <w:topLinePunct w:val="0"/>
        <w:bidi w:val="0"/>
        <w:snapToGrid/>
        <w:spacing w:line="600" w:lineRule="exact"/>
        <w:ind w:left="0" w:leftChars="0" w:firstLine="0" w:firstLineChars="0"/>
        <w:textAlignment w:val="auto"/>
        <w:rPr>
          <w:rFonts w:hint="eastAsia"/>
          <w:lang w:val="en-US" w:eastAsia="zh-CN"/>
        </w:rPr>
      </w:pPr>
      <w:r>
        <w:drawing>
          <wp:anchor distT="0" distB="0" distL="114935" distR="114935" simplePos="0" relativeHeight="251663360" behindDoc="1" locked="0" layoutInCell="1" allowOverlap="1">
            <wp:simplePos x="0" y="0"/>
            <wp:positionH relativeFrom="column">
              <wp:posOffset>671195</wp:posOffset>
            </wp:positionH>
            <wp:positionV relativeFrom="paragraph">
              <wp:posOffset>118745</wp:posOffset>
            </wp:positionV>
            <wp:extent cx="3876040" cy="1791335"/>
            <wp:effectExtent l="4445" t="4445" r="5715" b="13970"/>
            <wp:wrapNone/>
            <wp:docPr id="103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lang w:val="en-US" w:eastAsia="zh-CN"/>
        </w:rPr>
        <w:t xml:space="preserve">         </w:t>
      </w:r>
    </w:p>
    <w:p>
      <w:pPr>
        <w:pStyle w:val="2"/>
        <w:keepNext w:val="0"/>
        <w:keepLines w:val="0"/>
        <w:pageBreakBefore w:val="0"/>
        <w:kinsoku/>
        <w:wordWrap/>
        <w:overflowPunct/>
        <w:topLinePunct w:val="0"/>
        <w:bidi w:val="0"/>
        <w:snapToGrid/>
        <w:spacing w:line="600" w:lineRule="exact"/>
        <w:ind w:left="0" w:leftChars="0" w:firstLine="0" w:firstLineChars="0"/>
        <w:textAlignment w:val="auto"/>
        <w:rPr>
          <w:rFonts w:hint="eastAsia"/>
          <w:lang w:val="en-US" w:eastAsia="zh-CN"/>
        </w:rPr>
      </w:pPr>
    </w:p>
    <w:p>
      <w:pPr>
        <w:pStyle w:val="2"/>
        <w:keepNext w:val="0"/>
        <w:keepLines w:val="0"/>
        <w:pageBreakBefore w:val="0"/>
        <w:kinsoku/>
        <w:wordWrap/>
        <w:overflowPunct/>
        <w:topLinePunct w:val="0"/>
        <w:bidi w:val="0"/>
        <w:snapToGrid/>
        <w:spacing w:line="600" w:lineRule="exact"/>
        <w:ind w:left="0" w:leftChars="0" w:firstLine="0" w:firstLineChars="0"/>
        <w:textAlignment w:val="auto"/>
        <w:rPr>
          <w:rFonts w:hint="eastAsia"/>
          <w:lang w:val="en-US" w:eastAsia="zh-CN"/>
        </w:rPr>
      </w:pPr>
    </w:p>
    <w:p>
      <w:pPr>
        <w:pStyle w:val="2"/>
        <w:keepNext w:val="0"/>
        <w:keepLines w:val="0"/>
        <w:pageBreakBefore w:val="0"/>
        <w:kinsoku/>
        <w:wordWrap/>
        <w:overflowPunct/>
        <w:topLinePunct w:val="0"/>
        <w:bidi w:val="0"/>
        <w:snapToGrid/>
        <w:spacing w:line="600" w:lineRule="exact"/>
        <w:ind w:left="0" w:leftChars="0" w:firstLine="0" w:firstLineChars="0"/>
        <w:textAlignment w:val="auto"/>
        <w:rPr>
          <w:rFonts w:hint="eastAsia"/>
          <w:lang w:val="en-US" w:eastAsia="zh-CN"/>
        </w:rPr>
      </w:pPr>
    </w:p>
    <w:p>
      <w:pPr>
        <w:pStyle w:val="2"/>
        <w:keepNext w:val="0"/>
        <w:keepLines w:val="0"/>
        <w:pageBreakBefore w:val="0"/>
        <w:kinsoku/>
        <w:wordWrap/>
        <w:overflowPunct/>
        <w:topLinePunct w:val="0"/>
        <w:bidi w:val="0"/>
        <w:snapToGrid/>
        <w:spacing w:line="600" w:lineRule="exact"/>
        <w:ind w:left="0" w:leftChars="0" w:firstLine="0" w:firstLineChars="0"/>
        <w:textAlignment w:val="auto"/>
        <w:rPr>
          <w:rFonts w:ascii="仿宋" w:hAnsi="仿宋" w:eastAsia="仿宋"/>
          <w:color w:val="auto"/>
          <w:sz w:val="32"/>
          <w:szCs w:val="32"/>
          <w:highlight w:val="none"/>
        </w:rPr>
      </w:pPr>
      <w:r>
        <w:rPr>
          <w:rFonts w:hint="eastAsia"/>
          <w:lang w:val="en-US" w:eastAsia="zh-CN"/>
        </w:rPr>
        <w:t xml:space="preserve"> </w:t>
      </w:r>
    </w:p>
    <w:p>
      <w:pPr>
        <w:keepNext w:val="0"/>
        <w:keepLines w:val="0"/>
        <w:pageBreakBefore w:val="0"/>
        <w:kinsoku/>
        <w:wordWrap/>
        <w:overflowPunct/>
        <w:topLinePunct w:val="0"/>
        <w:bidi w:val="0"/>
        <w:snapToGrid/>
        <w:spacing w:line="600" w:lineRule="exact"/>
        <w:ind w:firstLine="320" w:firstLineChars="1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keepNext w:val="0"/>
        <w:keepLines w:val="0"/>
        <w:pageBreakBefore w:val="0"/>
        <w:kinsoku/>
        <w:wordWrap/>
        <w:overflowPunct/>
        <w:topLinePunct w:val="0"/>
        <w:bidi w:val="0"/>
        <w:snapToGrid/>
        <w:spacing w:line="600" w:lineRule="exact"/>
        <w:ind w:firstLine="642" w:firstLineChars="200"/>
        <w:textAlignment w:val="auto"/>
        <w:outlineLvl w:val="2"/>
        <w:rPr>
          <w:rFonts w:ascii="仿宋" w:hAnsi="仿宋" w:eastAsia="仿宋"/>
          <w:b/>
          <w:color w:val="auto"/>
          <w:sz w:val="32"/>
          <w:szCs w:val="32"/>
          <w:highlight w:val="none"/>
        </w:rPr>
      </w:pPr>
      <w:bookmarkStart w:id="51" w:name="_Toc15377211"/>
      <w:bookmarkStart w:id="52" w:name="_Toc14230"/>
      <w:r>
        <w:rPr>
          <w:rFonts w:hint="eastAsia" w:ascii="仿宋" w:hAnsi="仿宋" w:eastAsia="仿宋"/>
          <w:b/>
          <w:color w:val="auto"/>
          <w:sz w:val="32"/>
          <w:szCs w:val="32"/>
          <w:highlight w:val="none"/>
        </w:rPr>
        <w:t>（二）一般公共预算财政拨款支出决算结构情况</w:t>
      </w:r>
      <w:bookmarkEnd w:id="51"/>
      <w:bookmarkEnd w:id="52"/>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b/>
          <w:color w:val="FF0000"/>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818.55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327.95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40.06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53.89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6.58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34.03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4.16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val="en-US" w:eastAsia="zh-CN"/>
        </w:rPr>
        <w:t>城乡社区支出</w:t>
      </w:r>
      <w:r>
        <w:rPr>
          <w:rFonts w:hint="eastAsia" w:ascii="仿宋" w:hAnsi="仿宋" w:eastAsia="仿宋"/>
          <w:color w:val="auto"/>
          <w:sz w:val="32"/>
          <w:szCs w:val="32"/>
          <w:highlight w:val="none"/>
          <w:lang w:val="en-US" w:eastAsia="zh-CN"/>
        </w:rPr>
        <w:t>10.00万元，占1.22%；</w:t>
      </w:r>
      <w:r>
        <w:rPr>
          <w:rFonts w:hint="eastAsia" w:ascii="仿宋" w:hAnsi="仿宋" w:eastAsia="仿宋" w:cs="Times New Roman"/>
          <w:b/>
          <w:color w:val="auto"/>
          <w:sz w:val="32"/>
          <w:szCs w:val="32"/>
          <w:highlight w:val="none"/>
          <w:lang w:val="en-US" w:eastAsia="zh-CN"/>
        </w:rPr>
        <w:t>农林水支出</w:t>
      </w:r>
      <w:r>
        <w:rPr>
          <w:rFonts w:hint="eastAsia" w:ascii="仿宋" w:hAnsi="仿宋" w:eastAsia="仿宋"/>
          <w:color w:val="auto"/>
          <w:sz w:val="32"/>
          <w:szCs w:val="32"/>
          <w:highlight w:val="none"/>
          <w:lang w:val="en-US" w:eastAsia="zh-CN"/>
        </w:rPr>
        <w:t>351.57万元，占42.95%；</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41.11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keepNext w:val="0"/>
        <w:keepLines w:val="0"/>
        <w:pageBreakBefore w:val="0"/>
        <w:kinsoku/>
        <w:wordWrap/>
        <w:overflowPunct/>
        <w:topLinePunct w:val="0"/>
        <w:bidi w:val="0"/>
        <w:snapToGrid/>
        <w:spacing w:line="600" w:lineRule="exact"/>
        <w:textAlignment w:val="auto"/>
        <w:rPr>
          <w:rFonts w:ascii="仿宋" w:hAnsi="仿宋" w:eastAsia="仿宋"/>
          <w:color w:val="auto"/>
          <w:sz w:val="32"/>
          <w:szCs w:val="32"/>
          <w:highlight w:val="none"/>
        </w:rPr>
      </w:pPr>
      <w:r>
        <w:drawing>
          <wp:anchor distT="0" distB="0" distL="114935" distR="114935" simplePos="0" relativeHeight="251664384" behindDoc="1" locked="0" layoutInCell="1" allowOverlap="1">
            <wp:simplePos x="0" y="0"/>
            <wp:positionH relativeFrom="column">
              <wp:posOffset>575945</wp:posOffset>
            </wp:positionH>
            <wp:positionV relativeFrom="paragraph">
              <wp:posOffset>109220</wp:posOffset>
            </wp:positionV>
            <wp:extent cx="3818890" cy="2190750"/>
            <wp:effectExtent l="4445" t="4445" r="5715" b="52705"/>
            <wp:wrapNone/>
            <wp:docPr id="1043"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keepNext w:val="0"/>
        <w:keepLines w:val="0"/>
        <w:pageBreakBefore w:val="0"/>
        <w:kinsoku/>
        <w:wordWrap/>
        <w:overflowPunct/>
        <w:topLinePunct w:val="0"/>
        <w:bidi w:val="0"/>
        <w:snapToGrid/>
        <w:spacing w:line="600" w:lineRule="exact"/>
        <w:textAlignment w:val="auto"/>
        <w:rPr>
          <w:rFonts w:ascii="仿宋" w:hAnsi="仿宋" w:eastAsia="仿宋"/>
          <w:color w:val="auto"/>
          <w:sz w:val="32"/>
          <w:szCs w:val="32"/>
          <w:highlight w:val="none"/>
        </w:rPr>
      </w:pPr>
    </w:p>
    <w:p>
      <w:pPr>
        <w:pStyle w:val="2"/>
        <w:keepNext w:val="0"/>
        <w:keepLines w:val="0"/>
        <w:pageBreakBefore w:val="0"/>
        <w:kinsoku/>
        <w:wordWrap/>
        <w:overflowPunct/>
        <w:topLinePunct w:val="0"/>
        <w:bidi w:val="0"/>
        <w:snapToGrid/>
        <w:spacing w:line="600" w:lineRule="exact"/>
        <w:textAlignment w:val="auto"/>
        <w:rPr>
          <w:rFonts w:ascii="仿宋" w:hAnsi="仿宋" w:eastAsia="仿宋"/>
          <w:color w:val="auto"/>
          <w:sz w:val="32"/>
          <w:szCs w:val="32"/>
          <w:highlight w:val="none"/>
        </w:rPr>
      </w:pPr>
    </w:p>
    <w:p>
      <w:pPr>
        <w:pStyle w:val="2"/>
        <w:keepNext w:val="0"/>
        <w:keepLines w:val="0"/>
        <w:pageBreakBefore w:val="0"/>
        <w:kinsoku/>
        <w:wordWrap/>
        <w:overflowPunct/>
        <w:topLinePunct w:val="0"/>
        <w:bidi w:val="0"/>
        <w:snapToGrid/>
        <w:spacing w:line="600" w:lineRule="exact"/>
        <w:textAlignment w:val="auto"/>
        <w:rPr>
          <w:rFonts w:ascii="仿宋" w:hAnsi="仿宋" w:eastAsia="仿宋"/>
          <w:color w:val="auto"/>
          <w:sz w:val="32"/>
          <w:szCs w:val="32"/>
          <w:highlight w:val="none"/>
        </w:rPr>
      </w:pPr>
    </w:p>
    <w:p>
      <w:pPr>
        <w:pStyle w:val="2"/>
        <w:keepNext w:val="0"/>
        <w:keepLines w:val="0"/>
        <w:pageBreakBefore w:val="0"/>
        <w:kinsoku/>
        <w:wordWrap/>
        <w:overflowPunct/>
        <w:topLinePunct w:val="0"/>
        <w:bidi w:val="0"/>
        <w:snapToGrid/>
        <w:spacing w:line="600" w:lineRule="exact"/>
        <w:textAlignment w:val="auto"/>
        <w:rPr>
          <w:rFonts w:ascii="仿宋" w:hAnsi="仿宋" w:eastAsia="仿宋"/>
          <w:color w:val="auto"/>
          <w:sz w:val="32"/>
          <w:szCs w:val="32"/>
          <w:highlight w:val="none"/>
        </w:rPr>
      </w:pPr>
    </w:p>
    <w:p>
      <w:pPr>
        <w:pStyle w:val="2"/>
        <w:keepNext w:val="0"/>
        <w:keepLines w:val="0"/>
        <w:pageBreakBefore w:val="0"/>
        <w:kinsoku/>
        <w:wordWrap/>
        <w:overflowPunct/>
        <w:topLinePunct w:val="0"/>
        <w:bidi w:val="0"/>
        <w:snapToGrid/>
        <w:spacing w:line="600" w:lineRule="exact"/>
        <w:textAlignment w:val="auto"/>
        <w:rPr>
          <w:rFonts w:ascii="仿宋" w:hAnsi="仿宋" w:eastAsia="仿宋"/>
          <w:color w:val="auto"/>
          <w:sz w:val="32"/>
          <w:szCs w:val="32"/>
          <w:highlight w:val="none"/>
        </w:rPr>
      </w:pPr>
    </w:p>
    <w:p>
      <w:pPr>
        <w:keepNext w:val="0"/>
        <w:keepLines w:val="0"/>
        <w:pageBreakBefore w:val="0"/>
        <w:kinsoku/>
        <w:wordWrap/>
        <w:overflowPunct/>
        <w:topLinePunct w:val="0"/>
        <w:bidi w:val="0"/>
        <w:snapToGrid/>
        <w:spacing w:line="600" w:lineRule="exact"/>
        <w:ind w:firstLine="320" w:firstLineChars="1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keepNext w:val="0"/>
        <w:keepLines w:val="0"/>
        <w:pageBreakBefore w:val="0"/>
        <w:kinsoku/>
        <w:wordWrap/>
        <w:overflowPunct/>
        <w:topLinePunct w:val="0"/>
        <w:bidi w:val="0"/>
        <w:snapToGrid/>
        <w:spacing w:line="600" w:lineRule="exact"/>
        <w:ind w:firstLine="642" w:firstLineChars="200"/>
        <w:textAlignment w:val="auto"/>
        <w:outlineLvl w:val="2"/>
        <w:rPr>
          <w:rFonts w:ascii="仿宋" w:hAnsi="仿宋" w:eastAsia="仿宋"/>
          <w:b/>
          <w:color w:val="auto"/>
          <w:sz w:val="32"/>
          <w:szCs w:val="32"/>
          <w:highlight w:val="none"/>
        </w:rPr>
      </w:pPr>
      <w:bookmarkStart w:id="53" w:name="_Toc15377212"/>
      <w:bookmarkStart w:id="54" w:name="_Toc11547"/>
      <w:r>
        <w:rPr>
          <w:rFonts w:hint="eastAsia" w:ascii="仿宋" w:hAnsi="仿宋" w:eastAsia="仿宋"/>
          <w:b/>
          <w:color w:val="auto"/>
          <w:sz w:val="32"/>
          <w:szCs w:val="32"/>
          <w:highlight w:val="none"/>
        </w:rPr>
        <w:t>（三）一般公共预算财政拨款支出决算具体情况</w:t>
      </w:r>
      <w:bookmarkEnd w:id="53"/>
      <w:bookmarkEnd w:id="54"/>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ascii="仿宋" w:hAnsi="仿宋" w:eastAsia="仿宋"/>
          <w:color w:val="auto"/>
          <w:sz w:val="32"/>
          <w:szCs w:val="32"/>
          <w:highlight w:val="none"/>
        </w:rPr>
      </w:pPr>
      <w:bookmarkStart w:id="55" w:name="_Toc1682"/>
      <w:bookmarkStart w:id="56" w:name="_Toc15377213"/>
      <w:bookmarkStart w:id="57" w:name="_Toc15377444"/>
      <w:bookmarkStart w:id="58"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818.55万元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 w:hAnsi="仿宋" w:eastAsia="仿宋"/>
          <w:b/>
          <w:color w:val="auto"/>
          <w:sz w:val="32"/>
          <w:szCs w:val="32"/>
          <w:highlight w:val="none"/>
        </w:rPr>
      </w:pPr>
      <w:r>
        <w:rPr>
          <w:rStyle w:val="16"/>
          <w:rFonts w:ascii="仿宋" w:hAnsi="仿宋" w:eastAsia="仿宋"/>
          <w:bCs/>
          <w:color w:val="auto"/>
          <w:sz w:val="32"/>
          <w:szCs w:val="32"/>
          <w:highlight w:val="none"/>
        </w:rPr>
        <w:t>1.</w:t>
      </w:r>
      <w:r>
        <w:rPr>
          <w:rStyle w:val="16"/>
          <w:rFonts w:hint="eastAsia" w:ascii="仿宋" w:hAnsi="仿宋" w:eastAsia="仿宋"/>
          <w:bCs/>
          <w:color w:val="auto"/>
          <w:sz w:val="32"/>
          <w:szCs w:val="32"/>
          <w:highlight w:val="none"/>
        </w:rPr>
        <w:t>一般公共服务（类）</w:t>
      </w:r>
      <w:r>
        <w:rPr>
          <w:rStyle w:val="16"/>
          <w:rFonts w:hint="eastAsia" w:ascii="仿宋" w:hAnsi="仿宋" w:eastAsia="仿宋"/>
          <w:bCs/>
          <w:color w:val="auto"/>
          <w:sz w:val="32"/>
          <w:szCs w:val="32"/>
          <w:highlight w:val="none"/>
          <w:lang w:val="en-US" w:eastAsia="zh-CN"/>
        </w:rPr>
        <w:t>党委、政府、人大事务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行政运行、事业运行</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327.95</w:t>
      </w:r>
      <w:r>
        <w:rPr>
          <w:rStyle w:val="16"/>
          <w:rFonts w:hint="eastAsia" w:ascii="仿宋" w:hAnsi="仿宋" w:eastAsia="仿宋"/>
          <w:b w:val="0"/>
          <w:bCs/>
          <w:color w:val="auto"/>
          <w:sz w:val="32"/>
          <w:szCs w:val="32"/>
          <w:highlight w:val="none"/>
        </w:rPr>
        <w:t>万元，</w:t>
      </w:r>
      <w:r>
        <w:rPr>
          <w:rStyle w:val="16"/>
          <w:rFonts w:hint="eastAsia" w:ascii="仿宋" w:hAnsi="仿宋" w:eastAsia="仿宋"/>
          <w:b w:val="0"/>
          <w:bCs/>
          <w:color w:val="auto"/>
          <w:sz w:val="32"/>
          <w:szCs w:val="32"/>
          <w:highlight w:val="none"/>
          <w:lang w:val="en-US" w:eastAsia="zh-CN"/>
        </w:rPr>
        <w:t>较年初预算增加3.66</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val="en-US" w:eastAsia="zh-CN"/>
        </w:rPr>
        <w:t>增加的</w:t>
      </w:r>
      <w:r>
        <w:rPr>
          <w:rStyle w:val="16"/>
          <w:rFonts w:hint="eastAsia" w:ascii="仿宋" w:hAnsi="仿宋" w:eastAsia="仿宋"/>
          <w:b w:val="0"/>
          <w:bCs/>
          <w:color w:val="auto"/>
          <w:sz w:val="32"/>
          <w:szCs w:val="32"/>
          <w:highlight w:val="none"/>
        </w:rPr>
        <w:t>主要原因是</w:t>
      </w:r>
      <w:r>
        <w:rPr>
          <w:rStyle w:val="16"/>
          <w:rFonts w:hint="eastAsia" w:ascii="仿宋" w:hAnsi="仿宋" w:eastAsia="仿宋"/>
          <w:b w:val="0"/>
          <w:bCs/>
          <w:color w:val="auto"/>
          <w:sz w:val="32"/>
          <w:szCs w:val="32"/>
          <w:highlight w:val="none"/>
          <w:lang w:val="en-US" w:eastAsia="zh-CN"/>
        </w:rPr>
        <w:t>人员增加和人事调动较多，故工资福利、公用支出增加</w:t>
      </w:r>
      <w:r>
        <w:rPr>
          <w:rStyle w:val="16"/>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2</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社会保障和就业（类）人力资源和社会保障管理事务</w:t>
      </w:r>
      <w:r>
        <w:rPr>
          <w:rStyle w:val="16"/>
          <w:rFonts w:hint="eastAsia" w:ascii="仿宋" w:hAnsi="仿宋" w:eastAsia="仿宋"/>
          <w:bCs/>
          <w:color w:val="auto"/>
          <w:sz w:val="32"/>
          <w:szCs w:val="32"/>
          <w:highlight w:val="none"/>
          <w:lang w:eastAsia="zh-CN"/>
        </w:rPr>
        <w:t>、行政事业单位养老支出、其他社会保障和就业支出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事业运行、机关事业单位基本养老保险缴费支出、机关事业单位职业年金缴费支出和其他社会保障和就业支出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53.89</w:t>
      </w:r>
      <w:r>
        <w:rPr>
          <w:rStyle w:val="16"/>
          <w:rFonts w:hint="eastAsia" w:ascii="仿宋" w:hAnsi="仿宋" w:eastAsia="仿宋"/>
          <w:b w:val="0"/>
          <w:bCs/>
          <w:color w:val="auto"/>
          <w:sz w:val="32"/>
          <w:szCs w:val="32"/>
          <w:highlight w:val="none"/>
        </w:rPr>
        <w:t>万元，</w:t>
      </w:r>
      <w:r>
        <w:rPr>
          <w:rStyle w:val="16"/>
          <w:rFonts w:hint="eastAsia" w:ascii="仿宋" w:hAnsi="仿宋" w:eastAsia="仿宋"/>
          <w:b w:val="0"/>
          <w:bCs/>
          <w:color w:val="auto"/>
          <w:sz w:val="32"/>
          <w:szCs w:val="32"/>
          <w:highlight w:val="none"/>
          <w:lang w:val="en-US" w:eastAsia="zh-CN"/>
        </w:rPr>
        <w:t>较年初预算增加41.78</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val="en-US" w:eastAsia="zh-CN"/>
        </w:rPr>
        <w:t>增加的主要原因是人员人数增加，人员保费增加</w:t>
      </w:r>
      <w:r>
        <w:rPr>
          <w:rStyle w:val="16"/>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3</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（类）卫生健康管理事务</w:t>
      </w:r>
      <w:r>
        <w:rPr>
          <w:rStyle w:val="16"/>
          <w:rFonts w:hint="eastAsia" w:ascii="仿宋" w:hAnsi="仿宋" w:eastAsia="仿宋"/>
          <w:bCs/>
          <w:color w:val="auto"/>
          <w:sz w:val="32"/>
          <w:szCs w:val="32"/>
          <w:highlight w:val="none"/>
          <w:lang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机关服务、行政单位医疗、事业单位医疗</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34.03</w:t>
      </w:r>
      <w:r>
        <w:rPr>
          <w:rStyle w:val="16"/>
          <w:rFonts w:hint="eastAsia" w:ascii="仿宋" w:hAnsi="仿宋" w:eastAsia="仿宋"/>
          <w:b w:val="0"/>
          <w:bCs/>
          <w:color w:val="auto"/>
          <w:sz w:val="32"/>
          <w:szCs w:val="32"/>
          <w:highlight w:val="none"/>
        </w:rPr>
        <w:t>万元，</w:t>
      </w:r>
      <w:r>
        <w:rPr>
          <w:rStyle w:val="16"/>
          <w:rFonts w:hint="eastAsia" w:ascii="仿宋" w:hAnsi="仿宋" w:eastAsia="仿宋"/>
          <w:b w:val="0"/>
          <w:bCs/>
          <w:color w:val="auto"/>
          <w:sz w:val="32"/>
          <w:szCs w:val="32"/>
          <w:highlight w:val="none"/>
          <w:lang w:val="en-US" w:eastAsia="zh-CN"/>
        </w:rPr>
        <w:t>较年初预算增加80.24</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val="en-US" w:eastAsia="zh-CN"/>
        </w:rPr>
        <w:t>增加的主要原因是人员人数增加，人员保费增加</w:t>
      </w:r>
      <w:r>
        <w:rPr>
          <w:rStyle w:val="16"/>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Cs/>
          <w:color w:val="auto"/>
          <w:sz w:val="32"/>
          <w:szCs w:val="32"/>
          <w:highlight w:val="none"/>
          <w:lang w:val="en-US" w:eastAsia="zh-CN"/>
        </w:rPr>
        <w:t>4</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lang w:val="en-US" w:eastAsia="zh-CN"/>
        </w:rPr>
        <w:t>城乡社区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城乡社区环境卫生事务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城乡社区环境卫生</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10.00</w:t>
      </w:r>
      <w:r>
        <w:rPr>
          <w:rStyle w:val="16"/>
          <w:rFonts w:hint="eastAsia" w:ascii="仿宋" w:hAnsi="仿宋" w:eastAsia="仿宋"/>
          <w:b w:val="0"/>
          <w:bCs/>
          <w:color w:val="auto"/>
          <w:sz w:val="32"/>
          <w:szCs w:val="32"/>
          <w:highlight w:val="none"/>
        </w:rPr>
        <w:t>万元，</w:t>
      </w:r>
      <w:r>
        <w:rPr>
          <w:rStyle w:val="16"/>
          <w:rFonts w:hint="eastAsia" w:ascii="仿宋" w:hAnsi="仿宋" w:eastAsia="仿宋"/>
          <w:b w:val="0"/>
          <w:bCs/>
          <w:color w:val="auto"/>
          <w:sz w:val="32"/>
          <w:szCs w:val="32"/>
          <w:highlight w:val="none"/>
          <w:lang w:val="en-US" w:eastAsia="zh-CN"/>
        </w:rPr>
        <w:t>较年初预算增加25</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val="en-US" w:eastAsia="zh-CN"/>
        </w:rPr>
        <w:t>主要用于公共场所的环境卫生。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5</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lang w:val="en-US" w:eastAsia="zh-CN"/>
        </w:rPr>
        <w:t>农林水</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农业农村、林业和草原、水利、巩固脱贫衔接乡村振兴、农村综合改革事务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事业运行、事业机构、机关服务、 农村基础设施建设、农村综合改革示范试点补助</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351.57</w:t>
      </w:r>
      <w:r>
        <w:rPr>
          <w:rStyle w:val="16"/>
          <w:rFonts w:hint="eastAsia" w:ascii="仿宋" w:hAnsi="仿宋" w:eastAsia="仿宋"/>
          <w:b w:val="0"/>
          <w:bCs/>
          <w:color w:val="auto"/>
          <w:sz w:val="32"/>
          <w:szCs w:val="32"/>
          <w:highlight w:val="none"/>
        </w:rPr>
        <w:t>万元，</w:t>
      </w:r>
      <w:r>
        <w:rPr>
          <w:rStyle w:val="16"/>
          <w:rFonts w:hint="eastAsia" w:ascii="仿宋" w:hAnsi="仿宋" w:eastAsia="仿宋"/>
          <w:b w:val="0"/>
          <w:bCs/>
          <w:color w:val="auto"/>
          <w:sz w:val="32"/>
          <w:szCs w:val="32"/>
          <w:highlight w:val="none"/>
          <w:lang w:val="en-US" w:eastAsia="zh-CN"/>
        </w:rPr>
        <w:t>较年初预算增加29.41</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val="en-US" w:eastAsia="zh-CN"/>
        </w:rPr>
        <w:t>增加的</w:t>
      </w:r>
      <w:r>
        <w:rPr>
          <w:rStyle w:val="16"/>
          <w:rFonts w:hint="eastAsia" w:ascii="仿宋" w:hAnsi="仿宋" w:eastAsia="仿宋"/>
          <w:b w:val="0"/>
          <w:bCs/>
          <w:color w:val="auto"/>
          <w:sz w:val="32"/>
          <w:szCs w:val="32"/>
          <w:highlight w:val="none"/>
        </w:rPr>
        <w:t>主要原因是</w:t>
      </w:r>
      <w:r>
        <w:rPr>
          <w:rStyle w:val="16"/>
          <w:rFonts w:hint="eastAsia" w:ascii="仿宋" w:hAnsi="仿宋" w:eastAsia="仿宋"/>
          <w:b w:val="0"/>
          <w:bCs/>
          <w:color w:val="auto"/>
          <w:sz w:val="32"/>
          <w:szCs w:val="32"/>
          <w:highlight w:val="none"/>
          <w:lang w:val="en-US" w:eastAsia="zh-CN"/>
        </w:rPr>
        <w:t>项目增加，支出增加</w:t>
      </w:r>
      <w:r>
        <w:rPr>
          <w:rStyle w:val="16"/>
          <w:rFonts w:hint="eastAsia" w:ascii="仿宋" w:hAnsi="仿宋" w:eastAsia="仿宋"/>
          <w:b w:val="0"/>
          <w:bCs/>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lang w:val="en-US" w:eastAsia="zh-CN"/>
        </w:rPr>
        <w:t>住房保障</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住房改革</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住房公积金</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41.11</w:t>
      </w:r>
      <w:r>
        <w:rPr>
          <w:rStyle w:val="16"/>
          <w:rFonts w:hint="eastAsia" w:ascii="仿宋" w:hAnsi="仿宋" w:eastAsia="仿宋"/>
          <w:b w:val="0"/>
          <w:bCs/>
          <w:color w:val="auto"/>
          <w:sz w:val="32"/>
          <w:szCs w:val="32"/>
          <w:highlight w:val="none"/>
        </w:rPr>
        <w:t>万元，</w:t>
      </w:r>
      <w:r>
        <w:rPr>
          <w:rStyle w:val="16"/>
          <w:rFonts w:hint="eastAsia" w:ascii="仿宋" w:hAnsi="仿宋" w:eastAsia="仿宋"/>
          <w:b w:val="0"/>
          <w:bCs/>
          <w:color w:val="auto"/>
          <w:sz w:val="32"/>
          <w:szCs w:val="32"/>
          <w:highlight w:val="none"/>
          <w:lang w:val="en-US" w:eastAsia="zh-CN"/>
        </w:rPr>
        <w:t>较年初预算增加58.44</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val="en-US" w:eastAsia="zh-CN"/>
        </w:rPr>
        <w:t>增加的</w:t>
      </w:r>
      <w:r>
        <w:rPr>
          <w:rStyle w:val="16"/>
          <w:rFonts w:hint="eastAsia" w:ascii="仿宋" w:hAnsi="仿宋" w:eastAsia="仿宋"/>
          <w:b w:val="0"/>
          <w:bCs/>
          <w:color w:val="auto"/>
          <w:sz w:val="32"/>
          <w:szCs w:val="32"/>
          <w:highlight w:val="none"/>
        </w:rPr>
        <w:t>主要原因</w:t>
      </w:r>
      <w:r>
        <w:rPr>
          <w:rStyle w:val="16"/>
          <w:rFonts w:hint="eastAsia" w:ascii="仿宋" w:hAnsi="仿宋" w:eastAsia="仿宋"/>
          <w:b w:val="0"/>
          <w:bCs/>
          <w:color w:val="auto"/>
          <w:sz w:val="32"/>
          <w:szCs w:val="32"/>
          <w:highlight w:val="none"/>
          <w:lang w:val="en-US" w:eastAsia="zh-CN"/>
        </w:rPr>
        <w:t>人员数量增加，故公积金支出增大。</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textAlignment w:val="auto"/>
        <w:outlineLvl w:val="1"/>
        <w:rPr>
          <w:rStyle w:val="27"/>
          <w:color w:val="auto"/>
          <w:highlight w:val="none"/>
        </w:rPr>
      </w:pPr>
      <w:bookmarkStart w:id="59" w:name="_Toc7918"/>
      <w:bookmarkStart w:id="60" w:name="_Toc15377214"/>
      <w:bookmarkStart w:id="61" w:name="_Toc15396608"/>
      <w:bookmarkStart w:id="62" w:name="_Toc19596"/>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59"/>
      <w:bookmarkEnd w:id="60"/>
      <w:bookmarkEnd w:id="61"/>
      <w:bookmarkEnd w:id="62"/>
      <w:r>
        <w:rPr>
          <w:rStyle w:val="27"/>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564.92</w:t>
      </w:r>
      <w:r>
        <w:rPr>
          <w:rFonts w:hint="eastAsia" w:ascii="仿宋" w:hAnsi="仿宋" w:eastAsia="仿宋"/>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工资福利支出479.23</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w:t>
      </w:r>
      <w:r>
        <w:rPr>
          <w:rFonts w:hint="eastAsia" w:ascii="仿宋" w:hAnsi="仿宋" w:eastAsia="仿宋"/>
          <w:color w:val="auto"/>
          <w:sz w:val="32"/>
          <w:szCs w:val="32"/>
          <w:highlight w:val="none"/>
          <w:lang w:val="en-US" w:eastAsia="zh-CN"/>
        </w:rPr>
        <w:t>职工基本医疗保险缴费、</w:t>
      </w:r>
      <w:r>
        <w:rPr>
          <w:rFonts w:hint="eastAsia" w:ascii="仿宋" w:hAnsi="仿宋" w:eastAsia="仿宋"/>
          <w:color w:val="auto"/>
          <w:sz w:val="32"/>
          <w:szCs w:val="32"/>
          <w:highlight w:val="none"/>
        </w:rPr>
        <w:t>其他社会保障缴费、生活补助、奖励金、住房公积金。</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支出70.16</w:t>
      </w:r>
      <w:r>
        <w:rPr>
          <w:rFonts w:hint="eastAsia" w:ascii="仿宋" w:hAnsi="仿宋" w:eastAsia="仿宋"/>
          <w:color w:val="auto"/>
          <w:sz w:val="32"/>
          <w:szCs w:val="32"/>
          <w:highlight w:val="none"/>
        </w:rPr>
        <w:t>万元，主要包括：办公费、印刷费、咨询费、手续费、水费、电费、邮电费、取暖费、差旅费、维修（护）费、公务接待费、公务用车运行维护费、其他交通费。</w:t>
      </w:r>
    </w:p>
    <w:p>
      <w:pPr>
        <w:pStyle w:val="2"/>
        <w:ind w:left="0" w:leftChars="0" w:firstLine="640" w:firstLineChars="200"/>
        <w:rPr>
          <w:rFonts w:hint="default" w:eastAsia="仿宋"/>
          <w:lang w:val="en-US" w:eastAsia="zh-CN"/>
        </w:rPr>
      </w:pPr>
      <w:r>
        <w:rPr>
          <w:rFonts w:hint="eastAsia" w:ascii="仿宋" w:hAnsi="仿宋" w:eastAsia="仿宋"/>
          <w:color w:val="auto"/>
          <w:sz w:val="32"/>
          <w:szCs w:val="32"/>
          <w:highlight w:val="none"/>
          <w:lang w:val="en-US" w:eastAsia="zh-CN"/>
        </w:rPr>
        <w:t>对个人和家庭的补助支出15.52万元，主要包括：离休费、退休费、退职（役）费、抚恤金、生活补助、救济费、医疗费补助、助学金、奖励金、个人农业生产补贴、代缴社会保险费、其他个人和家庭的补助支出。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7"/>
          <w:rFonts w:ascii="黑体" w:hAnsi="黑体" w:eastAsia="黑体"/>
          <w:b w:val="0"/>
          <w:color w:val="auto"/>
          <w:highlight w:val="none"/>
        </w:rPr>
      </w:pPr>
      <w:bookmarkStart w:id="63" w:name="_Toc15396609"/>
      <w:bookmarkStart w:id="64" w:name="_Toc15377215"/>
      <w:bookmarkStart w:id="65" w:name="_Toc16943"/>
      <w:bookmarkStart w:id="66" w:name="_Toc10294"/>
      <w:r>
        <w:rPr>
          <w:rFonts w:hint="eastAsia" w:ascii="黑体" w:eastAsia="黑体"/>
          <w:color w:val="auto"/>
          <w:sz w:val="32"/>
          <w:szCs w:val="32"/>
          <w:highlight w:val="none"/>
        </w:rPr>
        <w:t>七、</w:t>
      </w:r>
      <w:r>
        <w:rPr>
          <w:rStyle w:val="27"/>
          <w:rFonts w:hint="eastAsia" w:ascii="黑体" w:hAnsi="黑体" w:eastAsia="黑体"/>
          <w:b w:val="0"/>
          <w:color w:val="auto"/>
          <w:highlight w:val="none"/>
        </w:rPr>
        <w:t>财政拨款</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color w:val="auto"/>
          <w:sz w:val="32"/>
          <w:szCs w:val="32"/>
          <w:highlight w:val="none"/>
        </w:rPr>
      </w:pPr>
      <w:bookmarkStart w:id="67" w:name="_Toc3717"/>
      <w:bookmarkStart w:id="68" w:name="_Toc15377216"/>
      <w:r>
        <w:rPr>
          <w:rFonts w:hint="eastAsia" w:ascii="仿宋" w:hAnsi="仿宋" w:eastAsia="仿宋"/>
          <w:b/>
          <w:color w:val="auto"/>
          <w:sz w:val="32"/>
          <w:szCs w:val="32"/>
          <w:highlight w:val="none"/>
        </w:rPr>
        <w:t>（一）“三公”经费财政拨款支出决算总体情况说明</w:t>
      </w:r>
      <w:bookmarkEnd w:id="67"/>
      <w:bookmarkEnd w:id="6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2.97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减少0.84万元，下降22.04%。主要是公务接待费在单位食堂，年初预算和实际支出均下降</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color w:val="auto"/>
          <w:sz w:val="32"/>
          <w:szCs w:val="32"/>
          <w:highlight w:val="none"/>
        </w:rPr>
      </w:pPr>
      <w:bookmarkStart w:id="69" w:name="_Toc22003"/>
      <w:bookmarkStart w:id="70" w:name="_Toc15377217"/>
      <w:r>
        <w:rPr>
          <w:rFonts w:hint="eastAsia" w:ascii="仿宋" w:hAnsi="仿宋" w:eastAsia="仿宋"/>
          <w:b/>
          <w:color w:val="auto"/>
          <w:sz w:val="32"/>
          <w:szCs w:val="32"/>
          <w:highlight w:val="none"/>
        </w:rPr>
        <w:t>（二）“三公”经费财政拨款支出决算具体情况说明</w:t>
      </w:r>
      <w:bookmarkEnd w:id="69"/>
      <w:bookmarkEnd w:id="7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1.89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63.60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36.4</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keepNext w:val="0"/>
        <w:keepLines w:val="0"/>
        <w:pageBreakBefore w:val="0"/>
        <w:kinsoku/>
        <w:wordWrap/>
        <w:overflowPunct/>
        <w:topLinePunct w:val="0"/>
        <w:bidi w:val="0"/>
        <w:snapToGrid/>
        <w:spacing w:line="600" w:lineRule="exact"/>
        <w:ind w:left="0" w:leftChars="0" w:firstLine="0" w:firstLineChars="0"/>
        <w:textAlignment w:val="auto"/>
        <w:rPr>
          <w:rFonts w:hint="eastAsia" w:eastAsia="仿宋_GB2312"/>
          <w:lang w:val="en-US" w:eastAsia="zh-CN"/>
        </w:rPr>
      </w:pPr>
      <w:r>
        <w:rPr>
          <w:rFonts w:hint="eastAsia" w:eastAsia="仿宋_GB2312"/>
          <w:lang w:eastAsia="zh-CN"/>
        </w:rPr>
        <w:drawing>
          <wp:anchor distT="0" distB="0" distL="114935" distR="114935" simplePos="0" relativeHeight="251665408" behindDoc="1" locked="0" layoutInCell="1" allowOverlap="1">
            <wp:simplePos x="0" y="0"/>
            <wp:positionH relativeFrom="column">
              <wp:posOffset>365760</wp:posOffset>
            </wp:positionH>
            <wp:positionV relativeFrom="paragraph">
              <wp:posOffset>204470</wp:posOffset>
            </wp:positionV>
            <wp:extent cx="4824095" cy="2258060"/>
            <wp:effectExtent l="4445" t="5080" r="10160" b="2286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
        <w:keepNext w:val="0"/>
        <w:keepLines w:val="0"/>
        <w:pageBreakBefore w:val="0"/>
        <w:kinsoku/>
        <w:wordWrap/>
        <w:overflowPunct/>
        <w:topLinePunct w:val="0"/>
        <w:bidi w:val="0"/>
        <w:snapToGrid/>
        <w:spacing w:line="600" w:lineRule="exact"/>
        <w:ind w:left="0" w:leftChars="0" w:firstLine="0" w:firstLineChars="0"/>
        <w:textAlignment w:val="auto"/>
        <w:rPr>
          <w:rFonts w:hint="eastAsia" w:eastAsia="仿宋_GB2312"/>
          <w:lang w:val="en-US" w:eastAsia="zh-CN"/>
        </w:rPr>
      </w:pPr>
    </w:p>
    <w:p>
      <w:pPr>
        <w:pStyle w:val="2"/>
        <w:keepNext w:val="0"/>
        <w:keepLines w:val="0"/>
        <w:pageBreakBefore w:val="0"/>
        <w:kinsoku/>
        <w:wordWrap/>
        <w:overflowPunct/>
        <w:topLinePunct w:val="0"/>
        <w:bidi w:val="0"/>
        <w:snapToGrid/>
        <w:spacing w:line="600" w:lineRule="exact"/>
        <w:ind w:left="0" w:leftChars="0" w:firstLine="0" w:firstLineChars="0"/>
        <w:textAlignment w:val="auto"/>
        <w:rPr>
          <w:rFonts w:hint="eastAsia" w:eastAsia="仿宋_GB2312"/>
          <w:lang w:val="en-US" w:eastAsia="zh-CN"/>
        </w:rPr>
      </w:pPr>
    </w:p>
    <w:p>
      <w:pPr>
        <w:pStyle w:val="2"/>
        <w:keepNext w:val="0"/>
        <w:keepLines w:val="0"/>
        <w:pageBreakBefore w:val="0"/>
        <w:kinsoku/>
        <w:wordWrap/>
        <w:overflowPunct/>
        <w:topLinePunct w:val="0"/>
        <w:bidi w:val="0"/>
        <w:snapToGrid/>
        <w:spacing w:line="600" w:lineRule="exact"/>
        <w:ind w:left="0" w:leftChars="0" w:firstLine="0" w:firstLineChars="0"/>
        <w:textAlignment w:val="auto"/>
        <w:rPr>
          <w:rFonts w:hint="eastAsia" w:eastAsia="仿宋_GB2312"/>
          <w:lang w:val="en-US" w:eastAsia="zh-CN"/>
        </w:rPr>
      </w:pPr>
    </w:p>
    <w:p>
      <w:pPr>
        <w:pStyle w:val="2"/>
        <w:keepNext w:val="0"/>
        <w:keepLines w:val="0"/>
        <w:pageBreakBefore w:val="0"/>
        <w:kinsoku/>
        <w:wordWrap/>
        <w:overflowPunct/>
        <w:topLinePunct w:val="0"/>
        <w:bidi w:val="0"/>
        <w:snapToGrid/>
        <w:spacing w:line="600" w:lineRule="exact"/>
        <w:ind w:left="0" w:leftChars="0" w:firstLine="0" w:firstLineChars="0"/>
        <w:textAlignment w:val="auto"/>
        <w:rPr>
          <w:rFonts w:hint="eastAsia" w:eastAsia="仿宋_GB2312"/>
          <w:lang w:val="en-US" w:eastAsia="zh-CN"/>
        </w:rPr>
      </w:pPr>
    </w:p>
    <w:p>
      <w:pPr>
        <w:pStyle w:val="2"/>
        <w:keepNext w:val="0"/>
        <w:keepLines w:val="0"/>
        <w:pageBreakBefore w:val="0"/>
        <w:kinsoku/>
        <w:wordWrap/>
        <w:overflowPunct/>
        <w:topLinePunct w:val="0"/>
        <w:bidi w:val="0"/>
        <w:snapToGrid/>
        <w:spacing w:line="600" w:lineRule="exact"/>
        <w:ind w:left="0" w:leftChars="0" w:firstLine="0" w:firstLineChars="0"/>
        <w:textAlignment w:val="auto"/>
        <w:rPr>
          <w:rFonts w:hint="eastAsia" w:eastAsia="仿宋_GB2312"/>
          <w:lang w:val="en-US" w:eastAsia="zh-CN"/>
        </w:rPr>
      </w:pPr>
    </w:p>
    <w:p>
      <w:pPr>
        <w:pStyle w:val="2"/>
        <w:keepNext w:val="0"/>
        <w:keepLines w:val="0"/>
        <w:pageBreakBefore w:val="0"/>
        <w:kinsoku/>
        <w:wordWrap/>
        <w:overflowPunct/>
        <w:topLinePunct w:val="0"/>
        <w:bidi w:val="0"/>
        <w:snapToGrid/>
        <w:spacing w:line="600" w:lineRule="exact"/>
        <w:ind w:left="0" w:leftChars="0" w:firstLine="0" w:firstLineChars="0"/>
        <w:textAlignment w:val="auto"/>
        <w:rPr>
          <w:rFonts w:hint="eastAsia" w:ascii="仿宋" w:hAnsi="仿宋" w:eastAsia="仿宋"/>
          <w:color w:val="auto"/>
          <w:sz w:val="32"/>
          <w:szCs w:val="32"/>
          <w:highlight w:val="none"/>
        </w:rPr>
      </w:pPr>
      <w:r>
        <w:rPr>
          <w:rFonts w:hint="eastAsia" w:eastAsia="仿宋_GB2312"/>
          <w:lang w:val="en-US" w:eastAsia="zh-CN"/>
        </w:rPr>
        <w:t xml:space="preserve">  </w:t>
      </w:r>
    </w:p>
    <w:p>
      <w:pPr>
        <w:keepNext w:val="0"/>
        <w:keepLines w:val="0"/>
        <w:pageBreakBefore w:val="0"/>
        <w:kinsoku/>
        <w:wordWrap/>
        <w:overflowPunct/>
        <w:topLinePunct w:val="0"/>
        <w:bidi w:val="0"/>
        <w:snapToGrid/>
        <w:spacing w:line="560" w:lineRule="exact"/>
        <w:ind w:firstLine="64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keepNext w:val="0"/>
        <w:keepLines w:val="0"/>
        <w:pageBreakBefore w:val="0"/>
        <w:kinsoku/>
        <w:wordWrap/>
        <w:overflowPunct/>
        <w:topLinePunct w:val="0"/>
        <w:bidi w:val="0"/>
        <w:snapToGrid/>
        <w:spacing w:line="560" w:lineRule="exact"/>
        <w:ind w:firstLine="640"/>
        <w:textAlignment w:val="auto"/>
        <w:rPr>
          <w:rStyle w:val="16"/>
          <w:rFonts w:hint="eastAsia" w:ascii="仿宋" w:hAnsi="仿宋" w:eastAsia="仿宋"/>
          <w:b w:val="0"/>
          <w:bCs/>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年初未安排预算，因公出国（境）支出决算较2021年无变化。</w:t>
      </w:r>
    </w:p>
    <w:p>
      <w:pPr>
        <w:keepNext w:val="0"/>
        <w:keepLines w:val="0"/>
        <w:pageBreakBefore w:val="0"/>
        <w:kinsoku/>
        <w:wordWrap/>
        <w:overflowPunct/>
        <w:topLinePunct w:val="0"/>
        <w:bidi w:val="0"/>
        <w:snapToGrid/>
        <w:spacing w:line="560" w:lineRule="exact"/>
        <w:ind w:firstLine="64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1.89</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增加0.078</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4.3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车辆公里数增加，维修增加</w:t>
      </w:r>
      <w:r>
        <w:rPr>
          <w:rFonts w:hint="eastAsia" w:ascii="仿宋_GB2312" w:eastAsia="仿宋_GB2312"/>
          <w:color w:val="auto"/>
          <w:sz w:val="32"/>
          <w:szCs w:val="32"/>
          <w:highlight w:val="none"/>
        </w:rPr>
        <w:t>。</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p>
    <w:p>
      <w:pPr>
        <w:keepNext w:val="0"/>
        <w:keepLines w:val="0"/>
        <w:pageBreakBefore w:val="0"/>
        <w:kinsoku/>
        <w:wordWrap/>
        <w:overflowPunct/>
        <w:topLinePunct w:val="0"/>
        <w:bidi w:val="0"/>
        <w:snapToGrid/>
        <w:spacing w:line="560" w:lineRule="exact"/>
        <w:ind w:firstLine="640"/>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1.89</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疫情防控、防灾减灾</w:t>
      </w:r>
      <w:r>
        <w:rPr>
          <w:rFonts w:hint="eastAsia" w:ascii="仿宋_GB2312" w:eastAsia="仿宋_GB2312"/>
          <w:color w:val="auto"/>
          <w:sz w:val="32"/>
          <w:szCs w:val="32"/>
          <w:highlight w:val="none"/>
        </w:rPr>
        <w:t>等所需的公务用车燃料费、维修费、过路过桥费、保险费等支出。</w:t>
      </w:r>
    </w:p>
    <w:p>
      <w:pPr>
        <w:keepNext w:val="0"/>
        <w:keepLines w:val="0"/>
        <w:pageBreakBefore w:val="0"/>
        <w:kinsoku/>
        <w:wordWrap/>
        <w:overflowPunct/>
        <w:topLinePunct w:val="0"/>
        <w:bidi w:val="0"/>
        <w:snapToGrid/>
        <w:spacing w:line="560" w:lineRule="exact"/>
        <w:ind w:firstLine="640"/>
        <w:textAlignment w:val="auto"/>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1.08</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0.918</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45.9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因疫情来访人员次数和接待次数减少</w:t>
      </w:r>
      <w:r>
        <w:rPr>
          <w:rFonts w:hint="eastAsia" w:ascii="仿宋_GB2312" w:eastAsia="仿宋_GB2312"/>
          <w:color w:val="auto"/>
          <w:sz w:val="32"/>
          <w:szCs w:val="32"/>
          <w:highlight w:val="none"/>
        </w:rPr>
        <w:t>。</w:t>
      </w:r>
    </w:p>
    <w:p>
      <w:pPr>
        <w:keepNext w:val="0"/>
        <w:keepLines w:val="0"/>
        <w:pageBreakBefore w:val="0"/>
        <w:kinsoku/>
        <w:wordWrap/>
        <w:overflowPunct/>
        <w:topLinePunct w:val="0"/>
        <w:bidi w:val="0"/>
        <w:snapToGrid/>
        <w:spacing w:line="560" w:lineRule="exact"/>
        <w:ind w:firstLine="64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1.08</w:t>
      </w:r>
      <w:r>
        <w:rPr>
          <w:rFonts w:hint="eastAsia" w:ascii="仿宋_GB2312" w:eastAsia="仿宋_GB2312"/>
          <w:color w:val="auto"/>
          <w:sz w:val="32"/>
          <w:szCs w:val="32"/>
          <w:highlight w:val="none"/>
        </w:rPr>
        <w:t>万元，</w:t>
      </w:r>
      <w:r>
        <w:rPr>
          <w:rFonts w:hint="eastAsia" w:ascii="仿宋_GB2312" w:eastAsia="仿宋_GB2312"/>
          <w:color w:val="000000" w:themeColor="text1"/>
          <w:sz w:val="32"/>
          <w:szCs w:val="32"/>
          <w:highlight w:val="none"/>
          <w14:textFill>
            <w14:solidFill>
              <w14:schemeClr w14:val="tx1"/>
            </w14:solidFill>
          </w14:textFill>
        </w:rPr>
        <w:t>主要用于</w:t>
      </w:r>
      <w:r>
        <w:rPr>
          <w:rFonts w:hint="eastAsia" w:ascii="仿宋_GB2312" w:eastAsia="仿宋_GB2312"/>
          <w:color w:val="000000" w:themeColor="text1"/>
          <w:sz w:val="32"/>
          <w:szCs w:val="32"/>
          <w:highlight w:val="none"/>
          <w:lang w:val="en-US" w:eastAsia="zh-CN"/>
          <w14:textFill>
            <w14:solidFill>
              <w14:schemeClr w14:val="tx1"/>
            </w14:solidFill>
          </w14:textFill>
        </w:rPr>
        <w:t>辖区内各级部门督查、检查和招商引资、</w:t>
      </w:r>
      <w:r>
        <w:rPr>
          <w:rFonts w:hint="eastAsia" w:ascii="仿宋_GB2312" w:eastAsia="仿宋_GB2312"/>
          <w:color w:val="000000" w:themeColor="text1"/>
          <w:sz w:val="32"/>
          <w:szCs w:val="32"/>
          <w:highlight w:val="none"/>
          <w14:textFill>
            <w14:solidFill>
              <w14:schemeClr w14:val="tx1"/>
            </w14:solidFill>
          </w14:textFill>
        </w:rPr>
        <w:t>执行公务、开展业务活动用餐费等。国内公务接待</w:t>
      </w:r>
      <w:r>
        <w:rPr>
          <w:rFonts w:hint="eastAsia" w:ascii="仿宋_GB2312" w:eastAsia="仿宋_GB2312"/>
          <w:color w:val="000000" w:themeColor="text1"/>
          <w:sz w:val="32"/>
          <w:szCs w:val="32"/>
          <w:highlight w:val="none"/>
          <w:lang w:val="en-US" w:eastAsia="zh-CN"/>
          <w14:textFill>
            <w14:solidFill>
              <w14:schemeClr w14:val="tx1"/>
            </w14:solidFill>
          </w14:textFill>
        </w:rPr>
        <w:t>15</w:t>
      </w:r>
      <w:r>
        <w:rPr>
          <w:rFonts w:hint="eastAsia" w:ascii="仿宋_GB2312" w:eastAsia="仿宋_GB2312"/>
          <w:color w:val="000000" w:themeColor="text1"/>
          <w:sz w:val="32"/>
          <w:szCs w:val="32"/>
          <w:highlight w:val="none"/>
          <w14:textFill>
            <w14:solidFill>
              <w14:schemeClr w14:val="tx1"/>
            </w14:solidFill>
          </w14:textFill>
        </w:rPr>
        <w:t>批次，</w:t>
      </w:r>
      <w:r>
        <w:rPr>
          <w:rFonts w:hint="eastAsia" w:ascii="仿宋_GB2312" w:eastAsia="仿宋_GB2312"/>
          <w:color w:val="000000" w:themeColor="text1"/>
          <w:sz w:val="32"/>
          <w:szCs w:val="32"/>
          <w:highlight w:val="none"/>
          <w:lang w:val="en-US" w:eastAsia="zh-CN"/>
          <w14:textFill>
            <w14:solidFill>
              <w14:schemeClr w14:val="tx1"/>
            </w14:solidFill>
          </w14:textFill>
        </w:rPr>
        <w:t>135</w:t>
      </w:r>
      <w:r>
        <w:rPr>
          <w:rFonts w:hint="eastAsia" w:ascii="仿宋_GB2312" w:eastAsia="仿宋_GB2312"/>
          <w:color w:val="000000" w:themeColor="text1"/>
          <w:sz w:val="32"/>
          <w:szCs w:val="32"/>
          <w:highlight w:val="none"/>
          <w14:textFill>
            <w14:solidFill>
              <w14:schemeClr w14:val="tx1"/>
            </w14:solidFill>
          </w14:textFill>
        </w:rPr>
        <w:t>人次，共计支出</w:t>
      </w:r>
      <w:r>
        <w:rPr>
          <w:rFonts w:hint="eastAsia" w:ascii="仿宋_GB2312" w:eastAsia="仿宋_GB2312"/>
          <w:color w:val="000000" w:themeColor="text1"/>
          <w:sz w:val="32"/>
          <w:szCs w:val="32"/>
          <w:highlight w:val="none"/>
          <w:lang w:val="en-US" w:eastAsia="zh-CN"/>
          <w14:textFill>
            <w14:solidFill>
              <w14:schemeClr w14:val="tx1"/>
            </w14:solidFill>
          </w14:textFill>
        </w:rPr>
        <w:t>1.082</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bidi w:val="0"/>
        <w:snapToGrid/>
        <w:spacing w:line="560" w:lineRule="exact"/>
        <w:ind w:firstLine="640"/>
        <w:textAlignment w:val="auto"/>
        <w:outlineLvl w:val="1"/>
        <w:rPr>
          <w:rFonts w:ascii="黑体" w:eastAsia="黑体"/>
          <w:color w:val="auto"/>
          <w:sz w:val="32"/>
          <w:szCs w:val="32"/>
          <w:highlight w:val="none"/>
        </w:rPr>
      </w:pPr>
      <w:bookmarkStart w:id="71" w:name="_Toc12567"/>
      <w:bookmarkStart w:id="72" w:name="_Toc20449"/>
      <w:bookmarkStart w:id="73" w:name="_Toc7620"/>
      <w:bookmarkStart w:id="74" w:name="_Toc15377218"/>
      <w:bookmarkStart w:id="75" w:name="_Toc15396610"/>
      <w:r>
        <w:rPr>
          <w:rFonts w:hint="eastAsia" w:ascii="仿宋" w:hAnsi="仿宋" w:eastAsia="仿宋"/>
          <w:b/>
          <w:color w:val="auto"/>
          <w:sz w:val="32"/>
          <w:szCs w:val="32"/>
          <w:highlight w:val="none"/>
        </w:rPr>
        <w:t>外事接待支出0万元，外事接待0批次，0人，共计支出0万元。</w:t>
      </w:r>
      <w:bookmarkEnd w:id="71"/>
      <w:bookmarkEnd w:id="72"/>
      <w:bookmarkEnd w:id="73"/>
    </w:p>
    <w:p>
      <w:pPr>
        <w:keepNext w:val="0"/>
        <w:keepLines w:val="0"/>
        <w:pageBreakBefore w:val="0"/>
        <w:kinsoku/>
        <w:wordWrap/>
        <w:overflowPunct/>
        <w:topLinePunct w:val="0"/>
        <w:bidi w:val="0"/>
        <w:snapToGrid/>
        <w:spacing w:line="560" w:lineRule="exact"/>
        <w:ind w:firstLine="640"/>
        <w:textAlignment w:val="auto"/>
        <w:outlineLvl w:val="1"/>
        <w:rPr>
          <w:rStyle w:val="27"/>
          <w:rFonts w:ascii="黑体" w:hAnsi="黑体" w:eastAsia="黑体"/>
          <w:color w:val="auto"/>
          <w:highlight w:val="none"/>
        </w:rPr>
      </w:pPr>
      <w:bookmarkStart w:id="76" w:name="_Toc27573"/>
      <w:bookmarkStart w:id="77" w:name="_Toc16820"/>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74"/>
      <w:bookmarkEnd w:id="75"/>
      <w:bookmarkEnd w:id="76"/>
      <w:bookmarkEnd w:id="77"/>
    </w:p>
    <w:p>
      <w:pPr>
        <w:keepNext w:val="0"/>
        <w:keepLines w:val="0"/>
        <w:pageBreakBefore w:val="0"/>
        <w:kinsoku/>
        <w:wordWrap/>
        <w:overflowPunct/>
        <w:topLinePunct w:val="0"/>
        <w:bidi w:val="0"/>
        <w:snapToGrid/>
        <w:spacing w:line="560" w:lineRule="exact"/>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numPr>
          <w:ilvl w:val="0"/>
          <w:numId w:val="3"/>
        </w:numPr>
        <w:kinsoku/>
        <w:wordWrap/>
        <w:overflowPunct/>
        <w:topLinePunct w:val="0"/>
        <w:bidi w:val="0"/>
        <w:snapToGrid/>
        <w:spacing w:line="560" w:lineRule="exact"/>
        <w:ind w:firstLine="640"/>
        <w:textAlignment w:val="auto"/>
        <w:outlineLvl w:val="1"/>
        <w:rPr>
          <w:rStyle w:val="27"/>
          <w:rFonts w:ascii="黑体" w:hAnsi="黑体" w:eastAsia="黑体"/>
          <w:b w:val="0"/>
          <w:color w:val="auto"/>
          <w:highlight w:val="none"/>
        </w:rPr>
      </w:pPr>
      <w:bookmarkStart w:id="78" w:name="_Toc15377219"/>
      <w:bookmarkStart w:id="79" w:name="_Toc15396611"/>
      <w:bookmarkStart w:id="80" w:name="_Toc12742"/>
      <w:bookmarkStart w:id="81" w:name="_Toc8876"/>
      <w:r>
        <w:rPr>
          <w:rStyle w:val="27"/>
          <w:rFonts w:hint="eastAsia" w:ascii="黑体" w:hAnsi="黑体" w:eastAsia="黑体"/>
          <w:b w:val="0"/>
          <w:color w:val="auto"/>
          <w:highlight w:val="none"/>
        </w:rPr>
        <w:t>国有资本经营预算支出决算情况说明</w:t>
      </w:r>
      <w:bookmarkEnd w:id="78"/>
      <w:bookmarkEnd w:id="79"/>
      <w:bookmarkEnd w:id="80"/>
      <w:bookmarkEnd w:id="81"/>
    </w:p>
    <w:p>
      <w:pPr>
        <w:keepNext w:val="0"/>
        <w:keepLines w:val="0"/>
        <w:pageBreakBefore w:val="0"/>
        <w:kinsoku/>
        <w:wordWrap/>
        <w:overflowPunct/>
        <w:topLinePunct w:val="0"/>
        <w:bidi w:val="0"/>
        <w:snapToGrid/>
        <w:spacing w:line="560" w:lineRule="exact"/>
        <w:ind w:firstLine="640"/>
        <w:textAlignment w:val="auto"/>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numPr>
          <w:ilvl w:val="0"/>
          <w:numId w:val="3"/>
        </w:numPr>
        <w:kinsoku/>
        <w:wordWrap/>
        <w:overflowPunct/>
        <w:topLinePunct w:val="0"/>
        <w:bidi w:val="0"/>
        <w:snapToGrid/>
        <w:spacing w:line="560" w:lineRule="exact"/>
        <w:ind w:firstLine="640"/>
        <w:textAlignment w:val="auto"/>
        <w:outlineLvl w:val="1"/>
        <w:rPr>
          <w:rStyle w:val="27"/>
          <w:rFonts w:hint="eastAsia" w:ascii="黑体" w:hAnsi="黑体" w:eastAsia="黑体"/>
          <w:b w:val="0"/>
          <w:color w:val="auto"/>
          <w:highlight w:val="none"/>
        </w:rPr>
      </w:pPr>
      <w:bookmarkStart w:id="82" w:name="_Toc15377221"/>
      <w:bookmarkStart w:id="83" w:name="_Toc23747"/>
      <w:bookmarkStart w:id="84" w:name="_Toc15396612"/>
      <w:bookmarkStart w:id="85" w:name="_Toc7326"/>
      <w:r>
        <w:rPr>
          <w:rStyle w:val="27"/>
          <w:rFonts w:hint="eastAsia" w:ascii="黑体" w:hAnsi="黑体" w:eastAsia="黑体"/>
          <w:b w:val="0"/>
          <w:color w:val="auto"/>
          <w:highlight w:val="none"/>
        </w:rPr>
        <w:t>其他重要事项的情况说明</w:t>
      </w:r>
      <w:bookmarkEnd w:id="82"/>
      <w:bookmarkEnd w:id="83"/>
      <w:bookmarkEnd w:id="84"/>
      <w:bookmarkEnd w:id="85"/>
    </w:p>
    <w:p>
      <w:pPr>
        <w:keepNext w:val="0"/>
        <w:keepLines w:val="0"/>
        <w:pageBreakBefore w:val="0"/>
        <w:kinsoku/>
        <w:wordWrap/>
        <w:overflowPunct/>
        <w:topLinePunct w:val="0"/>
        <w:bidi w:val="0"/>
        <w:snapToGrid/>
        <w:spacing w:line="560" w:lineRule="exact"/>
        <w:ind w:firstLine="642" w:firstLineChars="200"/>
        <w:textAlignment w:val="auto"/>
        <w:outlineLvl w:val="2"/>
        <w:rPr>
          <w:rFonts w:ascii="仿宋" w:hAnsi="仿宋" w:eastAsia="仿宋"/>
          <w:color w:val="auto"/>
          <w:sz w:val="32"/>
          <w:szCs w:val="32"/>
          <w:highlight w:val="none"/>
        </w:rPr>
      </w:pPr>
      <w:bookmarkStart w:id="86" w:name="_Toc15377222"/>
      <w:bookmarkStart w:id="87" w:name="_Toc3752"/>
      <w:r>
        <w:rPr>
          <w:rFonts w:hint="eastAsia" w:ascii="仿宋" w:hAnsi="仿宋" w:eastAsia="仿宋"/>
          <w:b/>
          <w:color w:val="auto"/>
          <w:sz w:val="32"/>
          <w:szCs w:val="32"/>
          <w:highlight w:val="none"/>
        </w:rPr>
        <w:t>（一）机关运行经费支出情况</w:t>
      </w:r>
      <w:bookmarkEnd w:id="86"/>
      <w:bookmarkEnd w:id="87"/>
    </w:p>
    <w:p>
      <w:pPr>
        <w:keepNext w:val="0"/>
        <w:keepLines w:val="0"/>
        <w:pageBreakBefore w:val="0"/>
        <w:kinsoku/>
        <w:wordWrap/>
        <w:overflowPunct/>
        <w:topLinePunct w:val="0"/>
        <w:bidi w:val="0"/>
        <w:snapToGrid/>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麻柳乡</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70.16</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11.51</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19.62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人员增加故公用经费增减。</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left"/>
        <w:textAlignment w:val="auto"/>
        <w:outlineLvl w:val="2"/>
        <w:rPr>
          <w:rFonts w:ascii="仿宋" w:hAnsi="仿宋" w:eastAsia="仿宋"/>
          <w:b/>
          <w:color w:val="auto"/>
          <w:sz w:val="32"/>
          <w:szCs w:val="32"/>
          <w:highlight w:val="none"/>
        </w:rPr>
      </w:pPr>
      <w:bookmarkStart w:id="88" w:name="_Toc13723"/>
      <w:bookmarkStart w:id="89" w:name="_Toc15377223"/>
      <w:r>
        <w:rPr>
          <w:rFonts w:hint="eastAsia" w:ascii="仿宋" w:hAnsi="仿宋" w:eastAsia="仿宋"/>
          <w:b/>
          <w:color w:val="auto"/>
          <w:sz w:val="32"/>
          <w:szCs w:val="32"/>
          <w:highlight w:val="none"/>
        </w:rPr>
        <w:t>（二）政府采购支出情况</w:t>
      </w:r>
      <w:bookmarkEnd w:id="88"/>
      <w:bookmarkEnd w:id="89"/>
    </w:p>
    <w:p>
      <w:pPr>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2022年，</w:t>
      </w:r>
      <w:r>
        <w:rPr>
          <w:rFonts w:hint="eastAsia" w:ascii="仿宋_GB2312" w:eastAsia="仿宋_GB2312"/>
          <w:color w:val="auto"/>
          <w:sz w:val="32"/>
          <w:szCs w:val="32"/>
          <w:highlight w:val="none"/>
          <w:lang w:val="en-US" w:eastAsia="zh-CN"/>
        </w:rPr>
        <w:t>麻柳乡</w:t>
      </w:r>
      <w:r>
        <w:rPr>
          <w:rFonts w:hint="eastAsia" w:ascii="仿宋_GB2312" w:eastAsia="仿宋_GB2312"/>
          <w:color w:val="auto"/>
          <w:sz w:val="32"/>
          <w:szCs w:val="32"/>
          <w:highlight w:val="none"/>
        </w:rPr>
        <w:t>政府采购支出总额0万元，其中：政府采购货物支出0万元、政府采购工程支出0万元、政府采购服务支出0万元。</w:t>
      </w:r>
    </w:p>
    <w:p>
      <w:pPr>
        <w:keepNext w:val="0"/>
        <w:keepLines w:val="0"/>
        <w:pageBreakBefore w:val="0"/>
        <w:kinsoku/>
        <w:wordWrap/>
        <w:overflowPunct/>
        <w:topLinePunct w:val="0"/>
        <w:autoSpaceDE w:val="0"/>
        <w:autoSpaceDN w:val="0"/>
        <w:bidi w:val="0"/>
        <w:adjustRightInd w:val="0"/>
        <w:snapToGrid/>
        <w:spacing w:line="560" w:lineRule="exact"/>
        <w:ind w:firstLine="642" w:firstLineChars="200"/>
        <w:jc w:val="left"/>
        <w:textAlignment w:val="auto"/>
        <w:outlineLvl w:val="2"/>
        <w:rPr>
          <w:rFonts w:ascii="仿宋" w:hAnsi="仿宋" w:eastAsia="仿宋"/>
          <w:b/>
          <w:color w:val="auto"/>
          <w:sz w:val="32"/>
          <w:szCs w:val="32"/>
          <w:highlight w:val="none"/>
        </w:rPr>
      </w:pPr>
      <w:bookmarkStart w:id="90" w:name="_Toc15377224"/>
      <w:bookmarkStart w:id="91" w:name="_Toc13181"/>
      <w:r>
        <w:rPr>
          <w:rFonts w:hint="eastAsia" w:ascii="仿宋" w:hAnsi="仿宋" w:eastAsia="仿宋"/>
          <w:b/>
          <w:color w:val="auto"/>
          <w:sz w:val="32"/>
          <w:szCs w:val="32"/>
          <w:highlight w:val="none"/>
        </w:rPr>
        <w:t>（三）国有资产占有使用情况</w:t>
      </w:r>
      <w:bookmarkEnd w:id="90"/>
      <w:bookmarkEnd w:id="91"/>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广元市朝天区麻柳乡人民政府</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val="en-US" w:eastAsia="zh-CN"/>
        </w:rPr>
        <w:t>疫情防控、防灾减灾等突发性事件处突工作</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keepNext w:val="0"/>
        <w:keepLines w:val="0"/>
        <w:pageBreakBefore w:val="0"/>
        <w:numPr>
          <w:ilvl w:val="0"/>
          <w:numId w:val="4"/>
        </w:numPr>
        <w:kinsoku/>
        <w:wordWrap/>
        <w:overflowPunct/>
        <w:topLinePunct w:val="0"/>
        <w:autoSpaceDE w:val="0"/>
        <w:autoSpaceDN w:val="0"/>
        <w:bidi w:val="0"/>
        <w:adjustRightInd w:val="0"/>
        <w:snapToGrid/>
        <w:spacing w:line="560" w:lineRule="exact"/>
        <w:ind w:firstLine="642" w:firstLineChars="200"/>
        <w:jc w:val="left"/>
        <w:textAlignment w:val="auto"/>
        <w:outlineLvl w:val="2"/>
        <w:rPr>
          <w:rFonts w:hint="eastAsia" w:ascii="仿宋" w:hAnsi="仿宋" w:eastAsia="仿宋"/>
          <w:b/>
          <w:color w:val="auto"/>
          <w:sz w:val="32"/>
          <w:szCs w:val="32"/>
          <w:highlight w:val="none"/>
        </w:rPr>
      </w:pPr>
      <w:bookmarkStart w:id="92" w:name="_Toc25559"/>
      <w:r>
        <w:rPr>
          <w:rFonts w:hint="eastAsia" w:ascii="仿宋" w:hAnsi="仿宋" w:eastAsia="仿宋"/>
          <w:b/>
          <w:color w:val="auto"/>
          <w:sz w:val="32"/>
          <w:szCs w:val="32"/>
          <w:highlight w:val="none"/>
        </w:rPr>
        <w:t>预算绩效管理情况</w:t>
      </w:r>
      <w:bookmarkEnd w:id="92"/>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年度预算编制阶段，组织对2022年基层人民武装工作经费项目等</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个项目开展绩效监控。</w:t>
      </w:r>
    </w:p>
    <w:p>
      <w:pPr>
        <w:pStyle w:val="7"/>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lang w:eastAsia="zh-CN"/>
        </w:rPr>
      </w:pPr>
      <w:r>
        <w:rPr>
          <w:rFonts w:hint="eastAsia" w:ascii="仿宋_GB2312" w:hAnsi="仿宋_GB2312" w:eastAsia="仿宋_GB2312" w:cs="仿宋_GB2312"/>
          <w:color w:val="auto"/>
          <w:sz w:val="32"/>
          <w:szCs w:val="32"/>
          <w:highlight w:val="none"/>
        </w:rPr>
        <w:t>组织对2022年度一般公共预算、资本资产等全面开展绩效自评，形成</w:t>
      </w:r>
      <w:r>
        <w:rPr>
          <w:rFonts w:hint="eastAsia" w:hAnsi="仿宋_GB2312" w:cs="仿宋_GB2312"/>
          <w:color w:val="auto"/>
          <w:sz w:val="32"/>
          <w:szCs w:val="32"/>
          <w:highlight w:val="none"/>
          <w:lang w:val="en-US" w:eastAsia="zh-CN"/>
        </w:rPr>
        <w:t>广元市朝天区麻柳乡人民政府</w:t>
      </w:r>
      <w:r>
        <w:rPr>
          <w:rFonts w:hint="eastAsia" w:ascii="仿宋_GB2312" w:hAnsi="仿宋_GB2312" w:eastAsia="仿宋_GB2312" w:cs="仿宋_GB2312"/>
          <w:color w:val="auto"/>
          <w:sz w:val="32"/>
          <w:szCs w:val="32"/>
          <w:highlight w:val="none"/>
        </w:rPr>
        <w:t>部门整体（含部门预算项目）绩效自评报告。绩效自评报告详见附件</w:t>
      </w:r>
      <w:r>
        <w:rPr>
          <w:rFonts w:hint="eastAsia" w:hAnsi="仿宋_GB2312" w:cs="仿宋_GB2312"/>
          <w:color w:val="auto"/>
          <w:sz w:val="32"/>
          <w:szCs w:val="32"/>
          <w:highlight w:val="none"/>
          <w:lang w:eastAsia="zh-CN"/>
        </w:rPr>
        <w:t>（</w:t>
      </w:r>
      <w:r>
        <w:rPr>
          <w:rFonts w:hint="eastAsia" w:hAnsi="仿宋_GB2312" w:cs="仿宋_GB2312"/>
          <w:color w:val="auto"/>
          <w:sz w:val="32"/>
          <w:szCs w:val="32"/>
          <w:highlight w:val="none"/>
          <w:lang w:val="en-US" w:eastAsia="zh-CN"/>
        </w:rPr>
        <w:t>第四部分</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0"/>
        </w:numPr>
        <w:kinsoku/>
        <w:wordWrap/>
        <w:overflowPunct/>
        <w:topLinePunct w:val="0"/>
        <w:bidi w:val="0"/>
        <w:snapToGrid/>
        <w:spacing w:line="560" w:lineRule="exact"/>
        <w:ind w:firstLine="642" w:firstLineChars="200"/>
        <w:textAlignment w:val="auto"/>
        <w:outlineLvl w:val="9"/>
        <w:rPr>
          <w:rFonts w:ascii="仿宋_GB2312" w:eastAsia="仿宋_GB2312"/>
          <w:b/>
          <w:color w:val="auto"/>
          <w:sz w:val="32"/>
          <w:szCs w:val="32"/>
          <w:highlight w:val="none"/>
        </w:rPr>
      </w:pPr>
    </w:p>
    <w:p>
      <w:pPr>
        <w:pStyle w:val="7"/>
        <w:keepNext w:val="0"/>
        <w:keepLines w:val="0"/>
        <w:pageBreakBefore w:val="0"/>
        <w:kinsoku/>
        <w:wordWrap/>
        <w:overflowPunct/>
        <w:topLinePunct w:val="0"/>
        <w:bidi w:val="0"/>
        <w:snapToGrid/>
        <w:spacing w:line="560" w:lineRule="exact"/>
        <w:textAlignment w:val="auto"/>
        <w:rPr>
          <w:rFonts w:ascii="仿宋_GB2312" w:eastAsia="仿宋_GB2312"/>
          <w:b/>
          <w:color w:val="auto"/>
          <w:sz w:val="32"/>
          <w:szCs w:val="32"/>
          <w:highlight w:val="none"/>
        </w:rPr>
      </w:pPr>
    </w:p>
    <w:p>
      <w:pPr>
        <w:pStyle w:val="7"/>
        <w:keepNext w:val="0"/>
        <w:keepLines w:val="0"/>
        <w:pageBreakBefore w:val="0"/>
        <w:kinsoku/>
        <w:wordWrap/>
        <w:overflowPunct/>
        <w:topLinePunct w:val="0"/>
        <w:bidi w:val="0"/>
        <w:snapToGrid/>
        <w:spacing w:line="560" w:lineRule="exact"/>
        <w:textAlignment w:val="auto"/>
        <w:rPr>
          <w:rFonts w:ascii="仿宋_GB2312" w:eastAsia="仿宋_GB2312"/>
          <w:b/>
          <w:color w:val="auto"/>
          <w:sz w:val="32"/>
          <w:szCs w:val="32"/>
          <w:highlight w:val="none"/>
        </w:rPr>
      </w:pPr>
    </w:p>
    <w:p>
      <w:pPr>
        <w:pStyle w:val="7"/>
        <w:rPr>
          <w:rFonts w:ascii="仿宋_GB2312" w:eastAsia="仿宋_GB2312"/>
          <w:b/>
          <w:color w:val="auto"/>
          <w:sz w:val="32"/>
          <w:szCs w:val="32"/>
          <w:highlight w:val="none"/>
        </w:rPr>
      </w:pPr>
    </w:p>
    <w:p>
      <w:pPr>
        <w:numPr>
          <w:ilvl w:val="0"/>
          <w:numId w:val="5"/>
        </w:numPr>
        <w:spacing w:line="600" w:lineRule="exact"/>
        <w:ind w:firstLine="660" w:firstLineChars="150"/>
        <w:jc w:val="center"/>
        <w:outlineLvl w:val="0"/>
        <w:rPr>
          <w:rStyle w:val="26"/>
          <w:rFonts w:ascii="黑体" w:hAnsi="黑体" w:eastAsia="黑体"/>
          <w:b w:val="0"/>
          <w:color w:val="auto"/>
          <w:highlight w:val="none"/>
        </w:rPr>
      </w:pPr>
      <w:bookmarkStart w:id="93" w:name="_Toc3642"/>
      <w:bookmarkStart w:id="94" w:name="_Toc15396613"/>
      <w:bookmarkStart w:id="95" w:name="_Toc15377225"/>
      <w:bookmarkStart w:id="96" w:name="_Toc23286"/>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93"/>
      <w:bookmarkEnd w:id="94"/>
      <w:bookmarkEnd w:id="95"/>
      <w:bookmarkEnd w:id="96"/>
    </w:p>
    <w:p>
      <w:pPr>
        <w:spacing w:line="600" w:lineRule="exact"/>
        <w:jc w:val="left"/>
        <w:rPr>
          <w:rFonts w:ascii="宋体"/>
          <w:b/>
          <w:color w:val="auto"/>
          <w:sz w:val="44"/>
          <w:szCs w:val="44"/>
          <w:highlight w:val="none"/>
        </w:rPr>
      </w:pP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1.财政拨款收入：指单位从同级财政部门取得的财政预算资金。</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2.其他收入：指单位取得的除上述收入以外的各项收入。主要是利息收入。</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3.一般公共服务（201）：反映政府提供一般公共服务的支出，其中：</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行政运行（2010301）：指反映行政单位（包括实行公务员管理的事业单位）的基本支出。</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一般行政管理事务（2010302）：指反映行政单位（包括实行公务员管理的事业单位）未单独设置项级科目的其他项目支出。</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4.社会保障和就业（208）：指反映政府在社会保障与就业方面的支出，其中：</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机关事业单位基本养老保险费支出（2080505）：指反映机关事业单位实施养老保险制度由单位缴纳的基本养老保险费支出。</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5.卫生健康支出（210）：指反映政府卫生健康方面的支出，其中：</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行政单位医疗（2101101）：指反映财政部门安排的行政单位（包括实行公务员管理的事业单位）基本医疗保险缴费经费，未参加医疗保险的行政单位的公费医疗经费，按国家规定享受离休人员、红军老战士待遇人员的医疗经费。</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6.农林水支出（213）：指反映政府农林水事务支出。</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7.住房保障（221）：指集中反映政府用于住房方面的支出。</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住房公积金（2210201）：指反映行政事业单位按人力资源和社会保障部、财政部规定的基本工资和津贴补贴以及规定比例为职工缴纳的住房公积金。</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8.基本支出：指为保障机构正常运转、完成日常工作任务而发生的人员支出和公用支出。</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9.项目支出：指在基本支出之外为完成特定行政任务和事业发展目标所发生的支出。 </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highlight w:val="none"/>
        </w:rPr>
        <w:t>11.机关运行经费：为保障行政单位（含参照公务员法管理的事业单位）运行用于购买货物和服务的各项资金，包括办公费、印刷费、咨询费、手续费、水费、电费、邮电费、取暖费、差旅费、维修（护）费、公务接待费、公务用车运行维护费、其他交通费。</w:t>
      </w:r>
    </w:p>
    <w:p>
      <w:pPr>
        <w:spacing w:line="600" w:lineRule="exact"/>
        <w:jc w:val="center"/>
        <w:outlineLvl w:val="0"/>
        <w:rPr>
          <w:rStyle w:val="26"/>
          <w:rFonts w:hint="eastAsia" w:ascii="黑体" w:hAnsi="黑体" w:eastAsia="黑体"/>
          <w:b w:val="0"/>
          <w:color w:val="auto"/>
          <w:highlight w:val="none"/>
          <w:lang w:eastAsia="zh-CN"/>
        </w:rPr>
      </w:pPr>
      <w:bookmarkStart w:id="97" w:name="_Toc15377226"/>
      <w:r>
        <w:rPr>
          <w:rFonts w:ascii="宋体"/>
          <w:b/>
          <w:color w:val="auto"/>
          <w:sz w:val="44"/>
          <w:szCs w:val="44"/>
          <w:highlight w:val="none"/>
        </w:rPr>
        <w:br w:type="page"/>
      </w:r>
      <w:bookmarkStart w:id="98" w:name="_Toc28781"/>
      <w:bookmarkStart w:id="99" w:name="_Toc15396614"/>
      <w:bookmarkStart w:id="100" w:name="_Toc15396618"/>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98"/>
      <w:bookmarkEnd w:id="99"/>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bookmarkStart w:id="101" w:name="_Toc10928"/>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101"/>
    </w:p>
    <w:p>
      <w:pPr>
        <w:widowControl/>
        <w:spacing w:line="580" w:lineRule="exact"/>
        <w:contextualSpacing/>
        <w:jc w:val="center"/>
        <w:rPr>
          <w:rFonts w:hint="eastAsia" w:ascii="宋体" w:hAnsi="宋体" w:eastAsia="宋体" w:cs="Times New Roman"/>
          <w:b/>
          <w:sz w:val="44"/>
          <w:szCs w:val="44"/>
          <w:shd w:val="clear" w:color="auto" w:fill="FFFFFF"/>
        </w:rPr>
      </w:pPr>
      <w:r>
        <w:rPr>
          <w:rFonts w:hint="eastAsia" w:ascii="宋体" w:hAnsi="宋体" w:eastAsia="宋体" w:cs="Times New Roman"/>
          <w:b/>
          <w:sz w:val="44"/>
          <w:szCs w:val="44"/>
          <w:shd w:val="clear" w:color="auto" w:fill="FFFFFF"/>
          <w:lang w:val="en-US" w:eastAsia="zh-CN"/>
        </w:rPr>
        <w:t>2022年度</w:t>
      </w:r>
      <w:r>
        <w:rPr>
          <w:rFonts w:hint="eastAsia" w:ascii="宋体" w:hAnsi="宋体" w:eastAsia="宋体" w:cs="Times New Roman"/>
          <w:b/>
          <w:sz w:val="44"/>
          <w:szCs w:val="44"/>
          <w:shd w:val="clear" w:color="auto" w:fill="FFFFFF"/>
        </w:rPr>
        <w:t>部门整体支出绩效</w:t>
      </w:r>
      <w:r>
        <w:rPr>
          <w:rFonts w:hint="eastAsia" w:ascii="宋体" w:hAnsi="宋体" w:eastAsia="宋体" w:cs="Times New Roman"/>
          <w:b/>
          <w:sz w:val="44"/>
          <w:szCs w:val="44"/>
          <w:shd w:val="clear" w:color="auto" w:fill="FFFFFF"/>
          <w:lang w:val="en-US" w:eastAsia="zh-CN"/>
        </w:rPr>
        <w:t>自评</w:t>
      </w:r>
      <w:r>
        <w:rPr>
          <w:rFonts w:hint="eastAsia" w:ascii="宋体" w:hAnsi="宋体" w:eastAsia="宋体" w:cs="Times New Roman"/>
          <w:b/>
          <w:sz w:val="44"/>
          <w:szCs w:val="44"/>
          <w:shd w:val="clear" w:color="auto" w:fill="FFFFFF"/>
        </w:rPr>
        <w:t>报告</w:t>
      </w:r>
    </w:p>
    <w:p>
      <w:pPr>
        <w:keepNext w:val="0"/>
        <w:keepLines w:val="0"/>
        <w:pageBreakBefore w:val="0"/>
        <w:widowControl/>
        <w:numPr>
          <w:ilvl w:val="0"/>
          <w:numId w:val="0"/>
        </w:numPr>
        <w:kinsoku/>
        <w:wordWrap/>
        <w:overflowPunct/>
        <w:topLinePunct w:val="0"/>
        <w:autoSpaceDN/>
        <w:bidi w:val="0"/>
        <w:spacing w:line="50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lang w:eastAsia="zh-CN"/>
        </w:rPr>
      </w:pPr>
    </w:p>
    <w:p>
      <w:pPr>
        <w:keepNext w:val="0"/>
        <w:keepLines w:val="0"/>
        <w:pageBreakBefore w:val="0"/>
        <w:widowControl/>
        <w:numPr>
          <w:ilvl w:val="0"/>
          <w:numId w:val="0"/>
        </w:numPr>
        <w:kinsoku/>
        <w:wordWrap/>
        <w:overflowPunct/>
        <w:topLinePunct w:val="0"/>
        <w:autoSpaceDN/>
        <w:bidi w:val="0"/>
        <w:spacing w:line="50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lang w:eastAsia="zh-CN"/>
        </w:rPr>
        <w:t>一、</w:t>
      </w:r>
      <w:r>
        <w:rPr>
          <w:rFonts w:hint="eastAsia" w:ascii="黑体" w:hAnsi="黑体" w:eastAsia="黑体" w:cs="Times New Roman"/>
          <w:color w:val="000000"/>
          <w:spacing w:val="-6"/>
          <w:w w:val="99"/>
          <w:kern w:val="0"/>
          <w:sz w:val="32"/>
          <w:szCs w:val="32"/>
          <w:shd w:val="clear" w:color="auto" w:fill="FFFFFF"/>
        </w:rPr>
        <w:t>部门（单位）概况</w:t>
      </w:r>
    </w:p>
    <w:p>
      <w:pPr>
        <w:keepNext w:val="0"/>
        <w:keepLines w:val="0"/>
        <w:pageBreakBefore w:val="0"/>
        <w:widowControl/>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（一）机构组成。</w:t>
      </w:r>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02" w:name="_Toc2695"/>
      <w:r>
        <w:rPr>
          <w:rFonts w:hint="eastAsia" w:ascii="仿宋_GB2312" w:hAnsi="仿宋_GB2312" w:eastAsia="仿宋_GB2312" w:cs="仿宋_GB2312"/>
          <w:color w:val="auto"/>
          <w:sz w:val="32"/>
          <w:szCs w:val="32"/>
          <w:highlight w:val="none"/>
          <w:lang w:val="en-US" w:eastAsia="zh-CN"/>
        </w:rPr>
        <w:t>广元市朝天区麻柳乡人民政府内设党政综合办公室、乡村振兴办公室、党建工作办公室、经济发展办公室、综合行政执法办公室、社会事务办公室、社会治理工作办公室。以乡为主管理的事业单位有便民服务中心 、农业综合服务中心 、乡村建设和文化旅游服务中心、社会治安综合治理中心。</w:t>
      </w:r>
      <w:bookmarkEnd w:id="102"/>
    </w:p>
    <w:p>
      <w:pPr>
        <w:keepNext w:val="0"/>
        <w:keepLines w:val="0"/>
        <w:pageBreakBefore w:val="0"/>
        <w:widowControl/>
        <w:numPr>
          <w:ilvl w:val="0"/>
          <w:numId w:val="6"/>
        </w:numPr>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机构职能。</w:t>
      </w:r>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03" w:name="_Toc27536"/>
      <w:r>
        <w:rPr>
          <w:rFonts w:hint="eastAsia" w:ascii="仿宋_GB2312" w:hAnsi="仿宋_GB2312" w:eastAsia="仿宋_GB2312" w:cs="仿宋_GB2312"/>
          <w:color w:val="auto"/>
          <w:sz w:val="32"/>
          <w:szCs w:val="32"/>
          <w:highlight w:val="none"/>
          <w:lang w:val="en-US" w:eastAsia="zh-CN"/>
        </w:rPr>
        <w:t>1、负责执行本级人民代表大会的决议和区人民政府的决定和命令，发布决定和命令；对本级人民代表大会和区人民政府负责并报告工作。</w:t>
      </w:r>
      <w:bookmarkEnd w:id="103"/>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04" w:name="_Toc375"/>
      <w:r>
        <w:rPr>
          <w:rFonts w:hint="eastAsia" w:ascii="仿宋_GB2312" w:hAnsi="仿宋_GB2312" w:eastAsia="仿宋_GB2312" w:cs="仿宋_GB2312"/>
          <w:color w:val="auto"/>
          <w:sz w:val="32"/>
          <w:szCs w:val="32"/>
          <w:highlight w:val="none"/>
          <w:lang w:val="en-US" w:eastAsia="zh-CN"/>
        </w:rPr>
        <w:t>2、贯彻执行党和国家的各项方针、政策及法律、法规，依法制定行政措施和实施方案。</w:t>
      </w:r>
      <w:bookmarkEnd w:id="104"/>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05" w:name="_Toc9386"/>
      <w:r>
        <w:rPr>
          <w:rFonts w:hint="eastAsia" w:ascii="仿宋_GB2312" w:hAnsi="仿宋_GB2312" w:eastAsia="仿宋_GB2312" w:cs="仿宋_GB2312"/>
          <w:color w:val="auto"/>
          <w:sz w:val="32"/>
          <w:szCs w:val="32"/>
          <w:highlight w:val="none"/>
          <w:lang w:val="en-US" w:eastAsia="zh-CN"/>
        </w:rPr>
        <w:t>3、研究制定、执行本乡经济建设和社会发展规划、政策，执行本行政区域内的经济和社会发展计划、预算。</w:t>
      </w:r>
      <w:bookmarkEnd w:id="105"/>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06" w:name="_Toc7311"/>
      <w:r>
        <w:rPr>
          <w:rFonts w:hint="eastAsia" w:ascii="仿宋_GB2312" w:hAnsi="仿宋_GB2312" w:eastAsia="仿宋_GB2312" w:cs="仿宋_GB2312"/>
          <w:color w:val="auto"/>
          <w:sz w:val="32"/>
          <w:szCs w:val="32"/>
          <w:highlight w:val="none"/>
          <w:lang w:val="en-US" w:eastAsia="zh-CN"/>
        </w:rPr>
        <w:t>4、负责本行政区域内的经济管理工作，负责农村基础设施建设、经济建设、农业生产和综合开发等工作，负责对辖区内村级财务的指导、监督和管理工作，负责农村土地承包合同管理和农业经济统计工作，保障农村集体经济组织和农民应有的生产经营自主权，深化农村改革，负责谋划发展思路，营造发展环境，引导农民进行科学化、现代化农业生产，引导农村劳动力转移和就业，加强农村劳动力技能培训，增加农民收入，减轻农民负担，提高农民生活水平。进一步发展和完善农业社会化服务体系，发展公益事业，增加公共产品，提供信息服务和社会救济、求助，及时向上级党委、政府反映社情民意，进一步密切党群关系，负责执法服务。</w:t>
      </w:r>
      <w:bookmarkEnd w:id="106"/>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07" w:name="_Toc8152"/>
      <w:r>
        <w:rPr>
          <w:rFonts w:hint="eastAsia" w:ascii="仿宋_GB2312" w:hAnsi="仿宋_GB2312" w:eastAsia="仿宋_GB2312" w:cs="仿宋_GB2312"/>
          <w:color w:val="auto"/>
          <w:sz w:val="32"/>
          <w:szCs w:val="32"/>
          <w:highlight w:val="none"/>
          <w:lang w:val="en-US" w:eastAsia="zh-CN"/>
        </w:rPr>
        <w:t>5、负责本行政区域内的科技、教育、文化、体育事业发展工作，搞好农村的医疗卫生保健服务工作；负责本行政区域内的计划生育工作及流动人口的管理，严格控制人口增长，提高人口素质；加强对本级财政、税收和工商管理工作的监督指导，负责工商、税收法规、政策的宣传贯彻和财经纪律执行情况的监督检查工作，积极培育市场、发展市场经济，保护经营者之间平等竞争；负责本行政区域内的民族宗教、民政工作，做好救灾救济和社会保障等工作。</w:t>
      </w:r>
      <w:bookmarkEnd w:id="107"/>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08" w:name="_Toc26307"/>
      <w:r>
        <w:rPr>
          <w:rFonts w:hint="eastAsia" w:ascii="仿宋_GB2312" w:hAnsi="仿宋_GB2312" w:eastAsia="仿宋_GB2312" w:cs="仿宋_GB2312"/>
          <w:color w:val="auto"/>
          <w:sz w:val="32"/>
          <w:szCs w:val="32"/>
          <w:highlight w:val="none"/>
          <w:lang w:val="en-US" w:eastAsia="zh-CN"/>
        </w:rPr>
        <w:t>6、负责本行政区域内的公安、司法行政管理工作，搞好社会治安综合治理，维护社会秩序，保障公民的人身权利、民主权利和其他权利；保护国有财产、劳动群众集体所有财产和公民私人所有的合法财产，保护各种经济组织的合法权益；协助相关部门做好村道路、河道运输、消防、危险化学物品、矿山和非煤矿山、农机、电网等安全监督管理工作，抓好本行政区域内的事故抢救、善后和调查工作，做好安全生产统计工作，定期分析上报安全生产形式，及时公布安全生产情况，负责维护稳定。</w:t>
      </w:r>
      <w:bookmarkEnd w:id="108"/>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09" w:name="_Toc10913"/>
      <w:r>
        <w:rPr>
          <w:rFonts w:hint="eastAsia" w:ascii="仿宋_GB2312" w:hAnsi="仿宋_GB2312" w:eastAsia="仿宋_GB2312" w:cs="仿宋_GB2312"/>
          <w:color w:val="auto"/>
          <w:sz w:val="32"/>
          <w:szCs w:val="32"/>
          <w:highlight w:val="none"/>
          <w:lang w:val="en-US" w:eastAsia="zh-CN"/>
        </w:rPr>
        <w:t>7、协助党委抓好公务员和下属事业单位工作人员的教育、监督和管理工作，负责监督管理下属事业单位的国有资产、监督下属事业单位贯彻执行政策情况。</w:t>
      </w:r>
      <w:bookmarkEnd w:id="109"/>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10" w:name="_Toc13404"/>
      <w:r>
        <w:rPr>
          <w:rFonts w:hint="eastAsia" w:ascii="仿宋_GB2312" w:hAnsi="仿宋_GB2312" w:eastAsia="仿宋_GB2312" w:cs="仿宋_GB2312"/>
          <w:color w:val="auto"/>
          <w:sz w:val="32"/>
          <w:szCs w:val="32"/>
          <w:highlight w:val="none"/>
          <w:lang w:val="en-US" w:eastAsia="zh-CN"/>
        </w:rPr>
        <w:t>8、保障群众的权利和尊重的风俗习惯。</w:t>
      </w:r>
      <w:bookmarkEnd w:id="110"/>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11" w:name="_Toc31129"/>
      <w:r>
        <w:rPr>
          <w:rFonts w:hint="eastAsia" w:ascii="仿宋_GB2312" w:hAnsi="仿宋_GB2312" w:eastAsia="仿宋_GB2312" w:cs="仿宋_GB2312"/>
          <w:color w:val="auto"/>
          <w:sz w:val="32"/>
          <w:szCs w:val="32"/>
          <w:highlight w:val="none"/>
          <w:lang w:val="en-US" w:eastAsia="zh-CN"/>
        </w:rPr>
        <w:t>9、保障宪法和法律赋予妇女的男女平等、同工同筹和婚姻自由等各项权利。</w:t>
      </w:r>
      <w:bookmarkEnd w:id="111"/>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12" w:name="_Toc6982"/>
      <w:r>
        <w:rPr>
          <w:rFonts w:hint="eastAsia" w:ascii="仿宋_GB2312" w:hAnsi="仿宋_GB2312" w:eastAsia="仿宋_GB2312" w:cs="仿宋_GB2312"/>
          <w:color w:val="auto"/>
          <w:sz w:val="32"/>
          <w:szCs w:val="32"/>
          <w:highlight w:val="none"/>
          <w:lang w:val="en-US" w:eastAsia="zh-CN"/>
        </w:rPr>
        <w:t>10、根据《四川省行政机构设置与编制管理办法》的规定，向区人民政府呈报乡政府各工作部门的设置方案。领导和协助管理中央、省、市、区驻本乡机关和企事业单位。</w:t>
      </w:r>
      <w:bookmarkEnd w:id="112"/>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13" w:name="_Toc22529"/>
      <w:r>
        <w:rPr>
          <w:rFonts w:hint="eastAsia" w:ascii="仿宋_GB2312" w:hAnsi="仿宋_GB2312" w:eastAsia="仿宋_GB2312" w:cs="仿宋_GB2312"/>
          <w:color w:val="auto"/>
          <w:sz w:val="32"/>
          <w:szCs w:val="32"/>
          <w:highlight w:val="none"/>
          <w:lang w:val="en-US" w:eastAsia="zh-CN"/>
        </w:rPr>
        <w:t>11、负责办理人大代表、政协委员提出的与本乡有关的提案、意见、建议、批评等事项。</w:t>
      </w:r>
      <w:bookmarkEnd w:id="113"/>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outlineLvl w:val="1"/>
        <w:rPr>
          <w:rFonts w:hint="eastAsia" w:ascii="仿宋_GB2312" w:hAnsi="Times New Roman" w:eastAsia="仿宋_GB2312" w:cs="Times New Roman"/>
          <w:color w:val="000000"/>
          <w:kern w:val="0"/>
          <w:sz w:val="32"/>
          <w:szCs w:val="32"/>
          <w:shd w:val="clear" w:color="auto" w:fill="FFFFFF"/>
          <w:lang w:val="en-US" w:eastAsia="zh-CN"/>
        </w:rPr>
      </w:pPr>
      <w:bookmarkStart w:id="114" w:name="_Toc6843"/>
      <w:r>
        <w:rPr>
          <w:rFonts w:hint="eastAsia" w:ascii="仿宋_GB2312" w:hAnsi="仿宋_GB2312" w:eastAsia="仿宋_GB2312" w:cs="仿宋_GB2312"/>
          <w:color w:val="auto"/>
          <w:sz w:val="32"/>
          <w:szCs w:val="32"/>
          <w:highlight w:val="none"/>
          <w:lang w:val="en-US" w:eastAsia="zh-CN"/>
        </w:rPr>
        <w:t>12、负责办理区人民政府交办的其他事务。</w:t>
      </w:r>
      <w:bookmarkEnd w:id="114"/>
    </w:p>
    <w:p>
      <w:pPr>
        <w:keepNext w:val="0"/>
        <w:keepLines w:val="0"/>
        <w:pageBreakBefore w:val="0"/>
        <w:widowControl/>
        <w:numPr>
          <w:ilvl w:val="0"/>
          <w:numId w:val="6"/>
        </w:numPr>
        <w:kinsoku/>
        <w:wordWrap/>
        <w:overflowPunct/>
        <w:topLinePunct w:val="0"/>
        <w:autoSpaceDE w:val="0"/>
        <w:autoSpaceDN/>
        <w:bidi w:val="0"/>
        <w:adjustRightInd w:val="0"/>
        <w:snapToGrid w:val="0"/>
        <w:spacing w:line="560" w:lineRule="exact"/>
        <w:ind w:left="0" w:leftChars="0"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人员概况。</w:t>
      </w:r>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outlineLvl w:val="1"/>
        <w:rPr>
          <w:rFonts w:hint="default" w:ascii="仿宋_GB2312" w:hAnsi="仿宋_GB2312" w:eastAsia="仿宋_GB2312" w:cs="仿宋_GB2312"/>
          <w:color w:val="auto"/>
          <w:sz w:val="32"/>
          <w:szCs w:val="32"/>
          <w:highlight w:val="none"/>
          <w:lang w:val="en-US" w:eastAsia="zh-CN"/>
        </w:rPr>
      </w:pPr>
      <w:bookmarkStart w:id="115" w:name="_Toc3388"/>
      <w:r>
        <w:rPr>
          <w:rFonts w:hint="eastAsia" w:ascii="仿宋_GB2312" w:hAnsi="仿宋_GB2312" w:eastAsia="仿宋_GB2312" w:cs="仿宋_GB2312"/>
          <w:color w:val="auto"/>
          <w:sz w:val="32"/>
          <w:szCs w:val="32"/>
          <w:highlight w:val="none"/>
          <w:lang w:val="en-US" w:eastAsia="zh-CN"/>
        </w:rPr>
        <w:t>2022年末单位实有人数35人，其中：行政18人，机关工勤1人，事业14人，事业工勤2人。</w:t>
      </w:r>
      <w:bookmarkEnd w:id="115"/>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二、部门财政资金收支情况</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（一）部门财政资金收入情况。</w:t>
      </w:r>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outlineLvl w:val="1"/>
        <w:rPr>
          <w:rFonts w:hint="default" w:ascii="仿宋_GB2312" w:hAnsi="仿宋_GB2312" w:eastAsia="仿宋_GB2312" w:cs="仿宋_GB2312"/>
          <w:color w:val="auto"/>
          <w:sz w:val="32"/>
          <w:szCs w:val="32"/>
          <w:highlight w:val="none"/>
          <w:lang w:val="en-US" w:eastAsia="zh-CN"/>
        </w:rPr>
      </w:pPr>
      <w:bookmarkStart w:id="116" w:name="_Toc21851"/>
      <w:r>
        <w:rPr>
          <w:rFonts w:hint="eastAsia" w:ascii="仿宋_GB2312" w:hAnsi="仿宋_GB2312" w:eastAsia="仿宋_GB2312" w:cs="仿宋_GB2312"/>
          <w:color w:val="auto"/>
          <w:sz w:val="32"/>
          <w:szCs w:val="32"/>
          <w:highlight w:val="none"/>
          <w:lang w:val="en-US" w:eastAsia="zh-CN"/>
        </w:rPr>
        <w:t>2022年部门决算财政拨款收入819.12万元，其中一般公共预算财政拨款收入818.55万元，其他收入0.57万元。</w:t>
      </w:r>
      <w:bookmarkEnd w:id="116"/>
    </w:p>
    <w:p>
      <w:pPr>
        <w:keepNext w:val="0"/>
        <w:keepLines w:val="0"/>
        <w:pageBreakBefore w:val="0"/>
        <w:widowControl/>
        <w:numPr>
          <w:ilvl w:val="0"/>
          <w:numId w:val="7"/>
        </w:numPr>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部门财政资金支出情况。</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default"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2022年部门决算支出819.12万元。其中基本支出565.49万元，项目支出253.63万元。按支出经济分类：工资福利支出479.23万元，商品和服务支出100.62万元，对个人和家庭的补助支出140.27万元，资本性支出99万元；按支出功能分类：一般公共服务支出328.52万元，社会保障和就业支出53.89万元，卫生健康支出34.03万元，城乡社区支出10万元，农林水支出351.57万元，住房保障支出41.1</w:t>
      </w:r>
      <w:r>
        <w:rPr>
          <w:rFonts w:hint="eastAsia" w:ascii="仿宋_GB2312" w:eastAsia="仿宋_GB2312" w:cs="Times New Roman"/>
          <w:color w:val="000000"/>
          <w:kern w:val="0"/>
          <w:sz w:val="32"/>
          <w:szCs w:val="32"/>
          <w:shd w:val="clear" w:color="auto" w:fill="FFFFFF"/>
          <w:lang w:val="en-US" w:eastAsia="zh-CN"/>
        </w:rPr>
        <w:t>1</w:t>
      </w:r>
      <w:r>
        <w:rPr>
          <w:rFonts w:hint="eastAsia" w:ascii="仿宋_GB2312" w:hAnsi="Times New Roman" w:eastAsia="仿宋_GB2312" w:cs="Times New Roman"/>
          <w:color w:val="000000"/>
          <w:kern w:val="0"/>
          <w:sz w:val="32"/>
          <w:szCs w:val="32"/>
          <w:shd w:val="clear" w:color="auto" w:fill="FFFFFF"/>
          <w:lang w:val="en-US" w:eastAsia="zh-CN"/>
        </w:rPr>
        <w:t>万元。</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三、部门整体预算绩效管理情况</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仿宋_GB2312" w:hAnsi="仿宋_GB2312" w:eastAsia="仿宋_GB2312" w:cs="仿宋_GB2312"/>
          <w:color w:val="000000"/>
          <w:spacing w:val="-6"/>
          <w:w w:val="99"/>
          <w:kern w:val="0"/>
          <w:sz w:val="32"/>
          <w:szCs w:val="32"/>
          <w:shd w:val="clear" w:color="auto" w:fill="FFFFFF"/>
        </w:rPr>
      </w:pPr>
      <w:r>
        <w:rPr>
          <w:rFonts w:hint="eastAsia" w:ascii="楷体_GB2312" w:hAnsi="楷体_GB2312" w:eastAsia="楷体_GB2312" w:cs="楷体_GB2312"/>
          <w:b w:val="0"/>
          <w:bCs/>
          <w:spacing w:val="-6"/>
          <w:w w:val="99"/>
          <w:sz w:val="32"/>
          <w:szCs w:val="32"/>
          <w:lang w:val="en-US" w:eastAsia="zh-CN"/>
        </w:rPr>
        <w:t>（一）部门预算项目绩效管理。</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1、预算执行情况：我乡严格执行部门正常运转经费保障机制的相关规定，编足、编实基本支出年度预算，人员经费按编制内实有人数规定的政策标准进行编制，足额编制人员经费预算，不留缺口；公用经费本着“勤俭节约、保障运转”的原则，根据公用经费定额标准及单位实际开支水平足额编制。在年度预算执行中，全年无超范围、超标准发放津补贴、奖金的现象，未以任何名义违规发放个人补助，全年支出基本保障了乡机关的政策运转；项目支出坚持专款专用原则，严格财务管理，严格使用程序，确保经费管理各个环节的畅通、有序、高效、合理预算、决算制度。有计划地使用资金，确保项目资金能达到预期效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spacing w:val="-6"/>
          <w:w w:val="99"/>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lang w:val="en-US" w:eastAsia="zh-CN"/>
        </w:rPr>
        <w:t>2、预算项目绩效目标管理情况：</w:t>
      </w:r>
      <w:r>
        <w:rPr>
          <w:rFonts w:hint="eastAsia" w:ascii="仿宋_GB2312" w:hAnsi="Times New Roman" w:eastAsia="仿宋_GB2312" w:cs="Times New Roman"/>
          <w:color w:val="000000"/>
          <w:kern w:val="0"/>
          <w:sz w:val="32"/>
          <w:szCs w:val="32"/>
          <w:shd w:val="clear" w:color="auto" w:fill="FFFFFF"/>
          <w:lang w:eastAsia="zh-CN"/>
        </w:rPr>
        <w:t>一是对单位</w:t>
      </w:r>
      <w:r>
        <w:rPr>
          <w:rFonts w:hint="eastAsia" w:ascii="仿宋_GB2312" w:hAnsi="Times New Roman" w:eastAsia="仿宋_GB2312" w:cs="Times New Roman"/>
          <w:color w:val="000000"/>
          <w:kern w:val="0"/>
          <w:sz w:val="32"/>
          <w:szCs w:val="32"/>
          <w:shd w:val="clear" w:color="auto" w:fill="FFFFFF"/>
          <w:lang w:val="en-US" w:eastAsia="zh-CN"/>
        </w:rPr>
        <w:t>申报</w:t>
      </w:r>
      <w:r>
        <w:rPr>
          <w:rFonts w:hint="eastAsia" w:ascii="仿宋_GB2312" w:hAnsi="Times New Roman" w:eastAsia="仿宋_GB2312" w:cs="Times New Roman"/>
          <w:color w:val="000000"/>
          <w:kern w:val="0"/>
          <w:sz w:val="32"/>
          <w:szCs w:val="32"/>
          <w:shd w:val="clear" w:color="auto" w:fill="FFFFFF"/>
          <w:lang w:eastAsia="zh-CN"/>
        </w:rPr>
        <w:t>的预算项目进行全面梳理、加强审核、合理保障，所有项目必须有明细的资金测算，对无具体内容、无明细支出测算的，测算不够细化的项目，一律不予安排；二是对未能如期实现绩效目标或绩效评价结果较差的，在每年底通过清理结转结余资金收回部分项目资金，在编制下年度预算时适当调减项目资金额度；三是在加强预算编制换届的基础上，加强预算执行监管和执行结果评价，将财政监督渗透到预算管理的事前、事中、事后各个环节。一方面对预算执行结果开展监督审查，另一方面加强财政支出绩效评价。</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仿宋_GB2312" w:hAnsi="Times New Roman" w:eastAsia="仿宋_GB2312" w:cs="Times New Roman"/>
          <w:color w:val="000000"/>
          <w:spacing w:val="-6"/>
          <w:w w:val="99"/>
          <w:kern w:val="0"/>
          <w:sz w:val="32"/>
          <w:szCs w:val="32"/>
          <w:shd w:val="clear" w:color="auto" w:fill="FFFFFF"/>
        </w:rPr>
      </w:pPr>
      <w:r>
        <w:rPr>
          <w:rFonts w:hint="eastAsia" w:ascii="楷体_GB2312" w:hAnsi="楷体_GB2312" w:eastAsia="楷体_GB2312" w:cs="楷体_GB2312"/>
          <w:b w:val="0"/>
          <w:bCs/>
          <w:spacing w:val="-6"/>
          <w:w w:val="99"/>
          <w:sz w:val="32"/>
          <w:szCs w:val="32"/>
          <w:lang w:val="en-US" w:eastAsia="zh-CN"/>
        </w:rPr>
        <w:t>（二）结果应用情况。</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color w:val="000000"/>
          <w:spacing w:val="-6"/>
          <w:w w:val="99"/>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lang w:eastAsia="zh-CN"/>
        </w:rPr>
        <w:t>一是将绩效评价结果与预算编制结合。对绩效评价结果较好的，预算安排时予以支持和激励；对绩效评价发现问题、达不到绩效目标或评价结果较差的，根据情况调整项目或向云调减项目预算，甚至取消该项财政支出。二是将绩效评价结果与日常预算管理结合。不断探索建立绩效评价结果反馈整改机制，对绩效评价过程中发现的问题和漏洞，及时反馈给被评价部门和单位，作为改进预算管理的重要依据。三是将绩效评价结果与行政监督结合，建立绩效评价结果向同级人大、政府报告机制，部门绩效自评价和财政再评价结果在朝天门户网站公开，加强社会监督，提高评价质量。同时，将预算绩效评价结果纳入部门工作目标考核范畴，并建立绩效问责机制，逐步建立“谁干事谁花钱、谁花钱谁担责”的绩效问责机制。</w:t>
      </w:r>
    </w:p>
    <w:p>
      <w:pPr>
        <w:keepNext w:val="0"/>
        <w:keepLines w:val="0"/>
        <w:pageBreakBefore w:val="0"/>
        <w:widowControl/>
        <w:numPr>
          <w:ilvl w:val="0"/>
          <w:numId w:val="7"/>
        </w:numPr>
        <w:kinsoku/>
        <w:wordWrap/>
        <w:overflowPunct/>
        <w:topLinePunct w:val="0"/>
        <w:autoSpaceDE w:val="0"/>
        <w:autoSpaceDN/>
        <w:bidi w:val="0"/>
        <w:adjustRightInd w:val="0"/>
        <w:snapToGrid w:val="0"/>
        <w:spacing w:line="560" w:lineRule="exact"/>
        <w:ind w:left="0" w:leftChars="0" w:firstLine="608" w:firstLineChars="200"/>
        <w:contextualSpacing/>
        <w:jc w:val="left"/>
        <w:textAlignment w:val="auto"/>
        <w:rPr>
          <w:rFonts w:hint="eastAsia" w:ascii="仿宋_GB2312" w:hAnsi="Times New Roman" w:eastAsia="仿宋_GB2312" w:cs="Times New Roman"/>
          <w:color w:val="000000"/>
          <w:spacing w:val="-6"/>
          <w:w w:val="99"/>
          <w:kern w:val="0"/>
          <w:sz w:val="32"/>
          <w:szCs w:val="32"/>
          <w:shd w:val="clear" w:color="auto" w:fill="FFFFFF"/>
        </w:rPr>
      </w:pPr>
      <w:r>
        <w:rPr>
          <w:rFonts w:hint="eastAsia" w:ascii="楷体_GB2312" w:hAnsi="楷体_GB2312" w:eastAsia="楷体_GB2312" w:cs="楷体_GB2312"/>
          <w:b w:val="0"/>
          <w:bCs/>
          <w:spacing w:val="-6"/>
          <w:w w:val="99"/>
          <w:sz w:val="32"/>
          <w:szCs w:val="32"/>
          <w:lang w:val="en-US" w:eastAsia="zh-CN"/>
        </w:rPr>
        <w:t>自评质量。</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lang w:eastAsia="zh-CN"/>
        </w:rPr>
      </w:pPr>
      <w:r>
        <w:rPr>
          <w:rFonts w:hint="eastAsia" w:ascii="仿宋_GB2312" w:hAnsi="Times New Roman" w:eastAsia="仿宋_GB2312" w:cs="Times New Roman"/>
          <w:color w:val="000000"/>
          <w:kern w:val="0"/>
          <w:sz w:val="32"/>
          <w:szCs w:val="32"/>
          <w:shd w:val="clear" w:color="auto" w:fill="FFFFFF"/>
          <w:lang w:eastAsia="zh-CN"/>
        </w:rPr>
        <w:t>202</w:t>
      </w:r>
      <w:r>
        <w:rPr>
          <w:rFonts w:hint="eastAsia" w:ascii="仿宋_GB2312" w:hAnsi="Times New Roman" w:eastAsia="仿宋_GB2312" w:cs="Times New Roman"/>
          <w:color w:val="000000"/>
          <w:kern w:val="0"/>
          <w:sz w:val="32"/>
          <w:szCs w:val="32"/>
          <w:shd w:val="clear" w:color="auto" w:fill="FFFFFF"/>
          <w:lang w:val="en-US" w:eastAsia="zh-CN"/>
        </w:rPr>
        <w:t>2</w:t>
      </w:r>
      <w:r>
        <w:rPr>
          <w:rFonts w:hint="eastAsia" w:ascii="仿宋_GB2312" w:hAnsi="Times New Roman" w:eastAsia="仿宋_GB2312" w:cs="Times New Roman"/>
          <w:color w:val="000000"/>
          <w:kern w:val="0"/>
          <w:sz w:val="32"/>
          <w:szCs w:val="32"/>
          <w:shd w:val="clear" w:color="auto" w:fill="FFFFFF"/>
          <w:lang w:eastAsia="zh-CN"/>
        </w:rPr>
        <w:t>年，我乡努力做好财政预算收入、支出以及各项目的管理工作，将预算及时公开到相关的信息网络平台，对预算的资金进行全方位的监督和管理，使每一笔资金都能起到最大的使用效益。部门预算绩效管理，是财政部门的重点关注部分，一个完整有效的绩效管理方案，需要以预算为导向，结合我</w:t>
      </w:r>
      <w:r>
        <w:rPr>
          <w:rFonts w:hint="eastAsia" w:ascii="仿宋_GB2312" w:hAnsi="Times New Roman" w:eastAsia="仿宋_GB2312" w:cs="Times New Roman"/>
          <w:color w:val="000000"/>
          <w:kern w:val="0"/>
          <w:sz w:val="32"/>
          <w:szCs w:val="32"/>
          <w:shd w:val="clear" w:color="auto" w:fill="FFFFFF"/>
          <w:lang w:val="en-US" w:eastAsia="zh-CN"/>
        </w:rPr>
        <w:t>乡</w:t>
      </w:r>
      <w:r>
        <w:rPr>
          <w:rFonts w:hint="eastAsia" w:ascii="仿宋_GB2312" w:hAnsi="Times New Roman" w:eastAsia="仿宋_GB2312" w:cs="Times New Roman"/>
          <w:color w:val="000000"/>
          <w:kern w:val="0"/>
          <w:sz w:val="32"/>
          <w:szCs w:val="32"/>
          <w:shd w:val="clear" w:color="auto" w:fill="FFFFFF"/>
          <w:lang w:eastAsia="zh-CN"/>
        </w:rPr>
        <w:t>实际过程中支出进行合理化分配，以达到合理高效地运用资金、提升资金的产出结果、节约成本与资源、提高部门的办事效率的目的。</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四、评价结论及建议</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（一）评价结论。</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default"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根据部门整体支出绩效评价指标体系和绩效检查情况，综合得分96分（总分为100分），总体考核等次确定为“优”。</w:t>
      </w:r>
    </w:p>
    <w:p>
      <w:pPr>
        <w:keepNext w:val="0"/>
        <w:keepLines w:val="0"/>
        <w:pageBreakBefore w:val="0"/>
        <w:widowControl/>
        <w:numPr>
          <w:ilvl w:val="0"/>
          <w:numId w:val="0"/>
        </w:numPr>
        <w:kinsoku/>
        <w:wordWrap/>
        <w:overflowPunct/>
        <w:topLinePunct w:val="0"/>
        <w:autoSpaceDE w:val="0"/>
        <w:autoSpaceDN/>
        <w:bidi w:val="0"/>
        <w:adjustRightInd w:val="0"/>
        <w:snapToGrid w:val="0"/>
        <w:spacing w:line="560" w:lineRule="exact"/>
        <w:ind w:left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（二）存在问题。</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1.管理制度不完善，无绩效管理相关制度。</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default"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2.绩效评价工作未能全面开展宣传培训。自评覆盖率低，绩效评价质量不高。</w:t>
      </w:r>
    </w:p>
    <w:p>
      <w:pPr>
        <w:keepNext w:val="0"/>
        <w:keepLines w:val="0"/>
        <w:pageBreakBefore w:val="0"/>
        <w:widowControl/>
        <w:kinsoku/>
        <w:wordWrap/>
        <w:overflowPunct/>
        <w:topLinePunct w:val="0"/>
        <w:autoSpaceDE w:val="0"/>
        <w:autoSpaceDN/>
        <w:bidi w:val="0"/>
        <w:adjustRightInd w:val="0"/>
        <w:snapToGrid w:val="0"/>
        <w:spacing w:line="56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（三）改进建议。</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1.完善绩效管理制度，全面公开绩效信息，接受社会工作监督。</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lang w:val="en-US" w:eastAsia="zh-CN"/>
        </w:rPr>
        <w:t>2.加强评价结果应用。对绩效好的政策和项目原则上优先保障，对绩效一般的政策和项目要督促改进。</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部门预算整体支出绩效自评表（2022年度）</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802"/>
        <w:gridCol w:w="864"/>
        <w:gridCol w:w="1261"/>
        <w:gridCol w:w="396"/>
        <w:gridCol w:w="784"/>
        <w:gridCol w:w="756"/>
        <w:gridCol w:w="846"/>
        <w:gridCol w:w="576"/>
        <w:gridCol w:w="576"/>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该项目为职工发放独子费。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独子费按时、足额进行了发放。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按月发放遗孀生活补助。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遗孀生活补助足额进行了发放，包含调整资金。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按要求发放公务员及机关工勤人员目标绩效奖。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62.47</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62.47</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62.47</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62.47</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目标绩效资金按考核差异化发放进行了足额发放。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按要求发放公务员车补。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16.31</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16.31</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公务员车补按时足额进行发放。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51081221R000000051919-村（社区）、组干部报酬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发放社区、村组干部生活补助。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105.84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105.84</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105.84</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105.84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105.84</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105.84</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村组干部工资足额进行发放。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51081221R000000051921-村（社区）离职干部生活补助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按要求发放离退休村常职干部生活补助。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8.94</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8.94</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8.94</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8.94</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离退休村常职干部生活补助足额发放。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51081221R000000051956-乡镇干部工作补贴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按要求发放职工边缘乡镇工作补贴。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12.26</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12.26</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12.26</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12.26</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乡镇干部工作补贴按要求足额发放。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用于经财网网络费用。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保障了经财网的畅通和应用。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按月发放职工工资。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109.58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122.63</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122.63</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109.58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122.63</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122.63</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足额进行工资发放。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按月发放职工工资。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112.92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120.40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120.40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112.92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120.40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120.40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支付职工养老保险和职业年金。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30.01</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30.01</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支付职工养老保险和职业年金。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支付职工养老保险和职业年金。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11.67</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11.67</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11.67</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11.67</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支付职工医疗保险。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支付职工住房公积金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21.12</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21.12</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21.12</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21.12</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支付职工住房公积金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19.97</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19.97</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19.97</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19.97</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按要求支付事业人员目标绩效奖金。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严格执行相关政策，保障工资及时发放、足额发放，预算编制科学合理。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支付工人目标绩效奖。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22.5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严格执行相关政策，保障工资及时发放、足额发放，预算编制科学合理。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51081222T000000345073-服务群众专项经费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用于社区基础设施维护。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通村道路维护</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处</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路面保洁</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公里</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垃圾清运</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批次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资金精准使用执行率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路面修补混凝土厚度</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米</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工程质量验收</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完工及时率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清运及时率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垃圾清运</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元/村年</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路面保洁</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元/村年</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通村道路维护</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元/村年</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受益人数比例</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已完成年度工作目标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51081222T000000345097-农村公共运行维护经费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用于村级公益设施维护。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垃圾清运</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批次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通村道路维护</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处</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路面保洁</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公里</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路面修补混</w:t>
            </w:r>
            <w:r>
              <w:rPr>
                <w:rFonts w:hint="eastAsia" w:ascii="宋体" w:hAnsi="宋体" w:cs="宋体"/>
                <w:i w:val="0"/>
                <w:iCs w:val="0"/>
                <w:color w:val="000000"/>
                <w:kern w:val="0"/>
                <w:sz w:val="18"/>
                <w:szCs w:val="18"/>
                <w:u w:val="none"/>
                <w:lang w:val="en-US" w:eastAsia="zh-CN" w:bidi="ar"/>
              </w:rPr>
              <w:t>凝</w:t>
            </w:r>
            <w:r>
              <w:rPr>
                <w:rFonts w:ascii="宋体" w:hAnsi="宋体" w:eastAsia="宋体" w:cs="宋体"/>
                <w:i w:val="0"/>
                <w:iCs w:val="0"/>
                <w:color w:val="000000"/>
                <w:kern w:val="0"/>
                <w:sz w:val="18"/>
                <w:szCs w:val="18"/>
                <w:u w:val="none"/>
                <w:lang w:val="en-US" w:eastAsia="zh-CN" w:bidi="ar"/>
              </w:rPr>
              <w:t>土厚度</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米</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w:t>
            </w:r>
            <w:bookmarkStart w:id="158" w:name="_GoBack"/>
            <w:bookmarkEnd w:id="158"/>
            <w:r>
              <w:rPr>
                <w:rFonts w:ascii="宋体" w:hAnsi="宋体" w:eastAsia="宋体" w:cs="宋体"/>
                <w:i w:val="0"/>
                <w:iCs w:val="0"/>
                <w:color w:val="000000"/>
                <w:kern w:val="0"/>
                <w:sz w:val="18"/>
                <w:szCs w:val="18"/>
                <w:u w:val="none"/>
                <w:lang w:val="en-US" w:eastAsia="zh-CN" w:bidi="ar"/>
              </w:rPr>
              <w:t>量验收</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资金精准使用执行率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完工及时率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清运及时率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路面保洁</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元/村年</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垃圾清运</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元/村年</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通村道路维护</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元/村年</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受益人数比例</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群众满意度达95%以上</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已完成年度工作目标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51081222T000005444789-2021年农村公共服务运行维护（麻柳）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完成上年度结转资金支付</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支付21年村级公益设施维护费用。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完成上年度结转项目资金支付。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51081222T000005444828-2021年村公用经费（麻柳）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完成上年度结转资金支付。</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支付21年村级办公经费。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完成上年度结转资金支付。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51081222T000005451817-2021年离职干部生活补助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完成上年度结转资金支付。</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支付21年村离退休三职干部生活补助。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完成上年度结转资金支付。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51081222T000005670457-2021年贫困村第一书记工作经费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完成上年度结转资金支付。</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支付驻村工作队办公经费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完成21年驻村工作队资金支付。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51081222T000005670701-2021年乡村振兴重点村驻村工作队省市（含第一书记）工作经费及第一书记工作补贴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支付驻村工作队办公经费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2021年乡村振兴重点村驻村工作队省市（含第一书记）工作经费及第一书记工作补贴足额支付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51081222T000005934124-综合执法专项工作经费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用于执法宣传和办公费用。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行政检查</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阵地建设</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个（套）</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7</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资金精准使用执行率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安全责任事故发生率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阵地建设达标率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检查上报及时率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小时</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形成检查成本</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元/年</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7</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阵地建设成本</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元/年</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基层治理能力</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达到预期工作目标。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51081222T000005934259-2021年度城乡环境综合治理工作经费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1、通过项目的实施，解决各村（社区）环境卫生脏乱差的现象，使辖区内的环境治理的优美、干净、舒适；</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2、切实保障各类环卫设施正常高效运转；</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3、完成2个垃圾中转站和个村民笑称垃圾点垃圾转运任务。</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用于城乡环境综合治理费用（人工工资、垃圾车运转）。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环卫车辆运行</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辆</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聘请环卫车辆驾驶员</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人</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资金精准使用执行率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环境卫生整洁度</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4</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投诉率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清运及时率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驾驶员工资</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元/年</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环卫车辆运行成本</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元/年</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降低路面扬尘，有效改善空气质量。</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社会满意度和党员群众满意度</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环境卫生得到明显改善。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51081222T000007063702-石牌村大沟里便民桥建设项目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已完成。</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用于石牌村便民桥建设。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建设便民桥一座</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座</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便民桥建设改善了群众出行问题。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51081222T000007063720-麻柳乡场镇公共服务设施完善项目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改善场镇基础设施，杜绝“蜘蛛网”。</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用于场镇地埋线等基础设施建设。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完成地埋线建设</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米</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环境卫生得到明显改善，基础设施得到完善。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日常办公、差旅费、水电等支出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广元市朝天区麻柳乡人民政府部门</w:t>
            </w:r>
          </w:p>
        </w:tc>
        <w:tc>
          <w:tcPr>
            <w:tcW w:w="6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广元市朝天区麻柳乡人民政府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日常办公、差旅费、水电等支出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27.85</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27.85</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27.85</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27.85</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项目负责人：郭晶</w:t>
            </w:r>
          </w:p>
        </w:tc>
        <w:tc>
          <w:tcPr>
            <w:tcW w:w="4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财务负责人：蒲镜全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tc>
        <w:tc>
          <w:tcPr>
            <w:tcW w:w="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7"/>
        <w:keepNext w:val="0"/>
        <w:keepLines w:val="0"/>
        <w:pageBreakBefore w:val="0"/>
        <w:kinsoku/>
        <w:wordWrap/>
        <w:overflowPunct/>
        <w:topLinePunct w:val="0"/>
        <w:autoSpaceDN/>
        <w:bidi w:val="0"/>
        <w:spacing w:line="560" w:lineRule="exact"/>
        <w:textAlignment w:val="auto"/>
        <w:rPr>
          <w:rFonts w:hint="default"/>
          <w:lang w:val="en-US" w:eastAsia="zh-CN"/>
        </w:rPr>
      </w:pPr>
    </w:p>
    <w:p>
      <w:pPr>
        <w:pStyle w:val="7"/>
        <w:keepNext w:val="0"/>
        <w:keepLines w:val="0"/>
        <w:pageBreakBefore w:val="0"/>
        <w:kinsoku/>
        <w:wordWrap/>
        <w:overflowPunct/>
        <w:topLinePunct w:val="0"/>
        <w:autoSpaceDN/>
        <w:bidi w:val="0"/>
        <w:spacing w:line="560" w:lineRule="exact"/>
        <w:textAlignment w:val="auto"/>
        <w:rPr>
          <w:rFonts w:hint="default"/>
          <w:lang w:val="en-US" w:eastAsia="zh-CN"/>
        </w:rPr>
      </w:pPr>
    </w:p>
    <w:p>
      <w:pPr>
        <w:pStyle w:val="7"/>
        <w:keepNext w:val="0"/>
        <w:keepLines w:val="0"/>
        <w:pageBreakBefore w:val="0"/>
        <w:kinsoku/>
        <w:wordWrap/>
        <w:overflowPunct/>
        <w:topLinePunct w:val="0"/>
        <w:autoSpaceDN/>
        <w:bidi w:val="0"/>
        <w:spacing w:line="560" w:lineRule="exact"/>
        <w:textAlignment w:val="auto"/>
        <w:rPr>
          <w:rFonts w:hint="default"/>
          <w:lang w:val="en-US" w:eastAsia="zh-CN"/>
        </w:rPr>
      </w:pPr>
    </w:p>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ascii="方正大标宋简体" w:hAnsi="??" w:eastAsia="方正大标宋简体" w:cs="Times New Roman"/>
          <w:b/>
          <w:color w:val="000000"/>
          <w:spacing w:val="-6"/>
          <w:kern w:val="0"/>
          <w:sz w:val="44"/>
          <w:szCs w:val="44"/>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keepNext w:val="0"/>
        <w:keepLines w:val="0"/>
        <w:pageBreakBefore w:val="0"/>
        <w:kinsoku/>
        <w:wordWrap/>
        <w:overflowPunct/>
        <w:topLinePunct w:val="0"/>
        <w:autoSpaceDE w:val="0"/>
        <w:autoSpaceDN/>
        <w:bidi w:val="0"/>
        <w:spacing w:line="56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2022年</w:t>
      </w:r>
      <w:r>
        <w:rPr>
          <w:rFonts w:hint="eastAsia" w:ascii="方正大标宋简体" w:hAnsi="??" w:eastAsia="方正大标宋简体" w:cs="Times New Roman"/>
          <w:b/>
          <w:color w:val="000000"/>
          <w:spacing w:val="-6"/>
          <w:kern w:val="0"/>
          <w:sz w:val="44"/>
          <w:szCs w:val="44"/>
          <w:lang w:val="en-US" w:eastAsia="zh-CN"/>
        </w:rPr>
        <w:t>基层人民武装工作经费</w:t>
      </w:r>
      <w:r>
        <w:rPr>
          <w:rFonts w:hint="eastAsia" w:ascii="方正大标宋简体" w:hAnsi="??" w:eastAsia="方正大标宋简体" w:cs="Times New Roman"/>
          <w:b/>
          <w:color w:val="000000"/>
          <w:spacing w:val="-6"/>
          <w:kern w:val="0"/>
          <w:sz w:val="44"/>
          <w:szCs w:val="44"/>
        </w:rPr>
        <w:t>项目支出绩效自评报告</w:t>
      </w:r>
    </w:p>
    <w:p>
      <w:pPr>
        <w:pStyle w:val="10"/>
        <w:keepNext w:val="0"/>
        <w:keepLines w:val="0"/>
        <w:pageBreakBefore w:val="0"/>
        <w:kinsoku/>
        <w:wordWrap/>
        <w:overflowPunct/>
        <w:topLinePunct w:val="0"/>
        <w:autoSpaceDN/>
        <w:bidi w:val="0"/>
        <w:spacing w:line="560" w:lineRule="exact"/>
        <w:textAlignment w:val="auto"/>
        <w:rPr>
          <w:rFonts w:hint="eastAsia"/>
          <w:lang w:val="en-US" w:eastAsia="zh-CN"/>
        </w:rPr>
      </w:pPr>
    </w:p>
    <w:p>
      <w:pPr>
        <w:keepNext w:val="0"/>
        <w:keepLines w:val="0"/>
        <w:pageBreakBefore w:val="0"/>
        <w:widowControl w:val="0"/>
        <w:numPr>
          <w:ilvl w:val="0"/>
          <w:numId w:val="8"/>
        </w:numPr>
        <w:kinsoku/>
        <w:wordWrap/>
        <w:overflowPunct/>
        <w:topLinePunct w:val="0"/>
        <w:autoSpaceDE w:val="0"/>
        <w:autoSpaceDN/>
        <w:bidi w:val="0"/>
        <w:adjustRightInd w:val="0"/>
        <w:snapToGrid w:val="0"/>
        <w:spacing w:line="560" w:lineRule="exact"/>
        <w:ind w:firstLine="720"/>
        <w:textAlignment w:val="auto"/>
        <w:rPr>
          <w:rFonts w:hint="eastAsia" w:ascii="黑体" w:hAnsi="黑体" w:eastAsia="黑体" w:cs="Times New Roman"/>
          <w:w w:val="99"/>
          <w:sz w:val="32"/>
          <w:szCs w:val="32"/>
        </w:rPr>
      </w:pPr>
      <w:r>
        <w:rPr>
          <w:rFonts w:hint="eastAsia" w:ascii="黑体" w:hAnsi="黑体" w:eastAsia="黑体" w:cs="Times New Roman"/>
          <w:w w:val="99"/>
          <w:sz w:val="32"/>
          <w:szCs w:val="32"/>
        </w:rPr>
        <w:t>项目概况</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
          <w:bCs w:val="0"/>
          <w:spacing w:val="-6"/>
          <w:sz w:val="32"/>
          <w:szCs w:val="32"/>
          <w:lang w:eastAsia="zh-CN"/>
        </w:rPr>
        <w:t>（</w:t>
      </w:r>
      <w:r>
        <w:rPr>
          <w:rFonts w:hint="eastAsia" w:ascii="楷体_GB2312" w:hAnsi="Times New Roman" w:eastAsia="楷体_GB2312" w:cs="Times New Roman"/>
          <w:b/>
          <w:bCs w:val="0"/>
          <w:spacing w:val="-6"/>
          <w:sz w:val="32"/>
          <w:szCs w:val="32"/>
          <w:lang w:val="en-US" w:eastAsia="zh-CN"/>
        </w:rPr>
        <w:t>一</w:t>
      </w:r>
      <w:r>
        <w:rPr>
          <w:rFonts w:hint="eastAsia" w:ascii="楷体_GB2312" w:hAnsi="Times New Roman" w:eastAsia="楷体_GB2312" w:cs="Times New Roman"/>
          <w:b/>
          <w:bCs w:val="0"/>
          <w:spacing w:val="-6"/>
          <w:sz w:val="32"/>
          <w:szCs w:val="32"/>
          <w:lang w:eastAsia="zh-CN"/>
        </w:rPr>
        <w:t>）</w:t>
      </w:r>
      <w:r>
        <w:rPr>
          <w:rFonts w:hint="eastAsia" w:ascii="楷体_GB2312" w:hAnsi="Times New Roman" w:eastAsia="楷体_GB2312" w:cs="Times New Roman"/>
          <w:b/>
          <w:bCs w:val="0"/>
          <w:spacing w:val="-6"/>
          <w:sz w:val="32"/>
          <w:szCs w:val="32"/>
        </w:rPr>
        <w:t>项目资金申报及批复情况。</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为做好国防宣传教育工作，为国家征召士兵提供优质兵源，</w:t>
      </w:r>
      <w:r>
        <w:rPr>
          <w:rFonts w:hint="eastAsia" w:ascii="仿宋_GB2312" w:hAnsi="Times New Roman" w:eastAsia="仿宋_GB2312" w:cs="Times New Roman"/>
          <w:spacing w:val="-6"/>
          <w:sz w:val="32"/>
          <w:szCs w:val="32"/>
          <w:lang w:val="zh-CN" w:eastAsia="zh-CN"/>
        </w:rPr>
        <w:t>年初我乡对</w:t>
      </w:r>
      <w:r>
        <w:rPr>
          <w:rFonts w:hint="eastAsia" w:ascii="仿宋_GB2312" w:hAnsi="Times New Roman" w:eastAsia="仿宋_GB2312" w:cs="Times New Roman"/>
          <w:spacing w:val="-6"/>
          <w:sz w:val="32"/>
          <w:szCs w:val="32"/>
          <w:lang w:val="en-US" w:eastAsia="zh-CN"/>
        </w:rPr>
        <w:t>基层人民武装工作经费</w:t>
      </w:r>
      <w:r>
        <w:rPr>
          <w:rFonts w:hint="eastAsia" w:ascii="仿宋_GB2312" w:hAnsi="Times New Roman" w:eastAsia="仿宋_GB2312" w:cs="Times New Roman"/>
          <w:spacing w:val="-6"/>
          <w:sz w:val="32"/>
          <w:szCs w:val="32"/>
          <w:lang w:val="zh-CN" w:eastAsia="zh-CN"/>
        </w:rPr>
        <w:t>项目进行了预算申报，经</w:t>
      </w:r>
      <w:r>
        <w:rPr>
          <w:rFonts w:hint="eastAsia" w:ascii="仿宋_GB2312" w:hAnsi="Times New Roman" w:eastAsia="仿宋_GB2312" w:cs="Times New Roman"/>
          <w:spacing w:val="-6"/>
          <w:sz w:val="32"/>
          <w:szCs w:val="32"/>
          <w:lang w:val="en-US" w:eastAsia="zh-CN"/>
        </w:rPr>
        <w:t>区</w:t>
      </w:r>
      <w:r>
        <w:rPr>
          <w:rFonts w:hint="eastAsia" w:ascii="仿宋_GB2312" w:hAnsi="Times New Roman" w:eastAsia="仿宋_GB2312" w:cs="Times New Roman"/>
          <w:spacing w:val="-6"/>
          <w:sz w:val="32"/>
          <w:szCs w:val="32"/>
          <w:lang w:val="zh-CN" w:eastAsia="zh-CN"/>
        </w:rPr>
        <w:t>财政局审批后，预算股下达了本单位</w:t>
      </w:r>
      <w:r>
        <w:rPr>
          <w:rFonts w:hint="eastAsia" w:ascii="仿宋_GB2312" w:hAnsi="Times New Roman" w:eastAsia="仿宋_GB2312" w:cs="Times New Roman"/>
          <w:spacing w:val="-6"/>
          <w:sz w:val="32"/>
          <w:szCs w:val="32"/>
          <w:lang w:val="en-US" w:eastAsia="zh-CN"/>
        </w:rPr>
        <w:t>2022</w:t>
      </w:r>
      <w:r>
        <w:rPr>
          <w:rFonts w:hint="eastAsia" w:ascii="仿宋_GB2312" w:hAnsi="Times New Roman" w:eastAsia="仿宋_GB2312" w:cs="Times New Roman"/>
          <w:spacing w:val="-6"/>
          <w:sz w:val="32"/>
          <w:szCs w:val="32"/>
          <w:lang w:val="zh-CN" w:eastAsia="zh-CN"/>
        </w:rPr>
        <w:t>年</w:t>
      </w:r>
      <w:r>
        <w:rPr>
          <w:rFonts w:hint="eastAsia" w:ascii="仿宋_GB2312" w:hAnsi="Times New Roman" w:eastAsia="仿宋_GB2312" w:cs="Times New Roman"/>
          <w:spacing w:val="-6"/>
          <w:sz w:val="32"/>
          <w:szCs w:val="32"/>
          <w:lang w:val="en-US" w:eastAsia="zh-CN"/>
        </w:rPr>
        <w:t>基层人民武装工作经费</w:t>
      </w:r>
      <w:r>
        <w:rPr>
          <w:rFonts w:hint="eastAsia" w:ascii="仿宋_GB2312" w:hAnsi="Times New Roman" w:eastAsia="仿宋_GB2312" w:cs="Times New Roman"/>
          <w:spacing w:val="-6"/>
          <w:sz w:val="32"/>
          <w:szCs w:val="32"/>
          <w:lang w:val="zh-CN" w:eastAsia="zh-CN"/>
        </w:rPr>
        <w:t>项目资金</w:t>
      </w: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lang w:val="zh-CN" w:eastAsia="zh-CN"/>
        </w:rPr>
        <w:t>万元</w:t>
      </w:r>
      <w:r>
        <w:rPr>
          <w:rFonts w:hint="eastAsia" w:ascii="仿宋_GB2312" w:hAnsi="Times New Roman" w:eastAsia="仿宋_GB2312" w:cs="Times New Roman"/>
          <w:spacing w:val="-6"/>
          <w:sz w:val="32"/>
          <w:szCs w:val="32"/>
          <w:lang w:val="en-US" w:eastAsia="zh-CN"/>
        </w:rPr>
        <w:t>，用于我乡开展兵役征集工作。</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1.基层人民武装工作经费主要用于兵役征集方面的支出，一是完成国防动员宣传、征兵、应急抢险等工作任务，二是完成区人武部交办的各项工作，响应上级命令参加训练集结工作。</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2.基层人民武装工作经费绩效目标是组织适龄青年应征入伍每年不少于2次，国防教育宣传场次不少于3次，征兵上站体检任务完成率100%，国防理念、当兵光荣认知度得到广泛认可。</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3．申报内容是否与实际相符，申报目标合理可行。</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仿宋_GB2312" w:hAnsi="Times New Roman" w:eastAsia="仿宋_GB2312" w:cs="Times New Roman"/>
          <w:spacing w:val="-6"/>
          <w:sz w:val="32"/>
          <w:szCs w:val="32"/>
          <w:lang w:val="en-US" w:eastAsia="zh-CN"/>
        </w:rPr>
        <w:t>项目采取自评与他评相结合方式，成立项目自评小组，结合评价内容，做到有计划、有安排，有奖惩，扎实开展本次自评工作。按照上级下达的项目支出绩效评价指标体系，自评小组针对申报内容、实施情况、资金兑现、财务管理、社会效益等做出自我评价，并撰写自评报告。</w:t>
      </w:r>
      <w:r>
        <w:rPr>
          <w:rFonts w:hint="eastAsia" w:ascii="仿宋_GB2312" w:hAnsi="宋体" w:eastAsia="仿宋_GB2312" w:cs="Times New Roman"/>
          <w:w w:val="99"/>
          <w:sz w:val="32"/>
          <w:szCs w:val="32"/>
          <w:lang w:val="en-US" w:eastAsia="zh-CN"/>
        </w:rPr>
        <w:t xml:space="preserve">    </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val="zh-CN" w:eastAsia="zh-CN"/>
        </w:rPr>
        <w:t>我乡</w:t>
      </w:r>
      <w:r>
        <w:rPr>
          <w:rFonts w:hint="eastAsia" w:ascii="仿宋_GB2312" w:hAnsi="Times New Roman" w:eastAsia="仿宋_GB2312" w:cs="Times New Roman"/>
          <w:spacing w:val="-6"/>
          <w:sz w:val="32"/>
          <w:szCs w:val="32"/>
          <w:lang w:val="en-US" w:eastAsia="zh-CN"/>
        </w:rPr>
        <w:t>基层人民武装工作</w:t>
      </w:r>
      <w:r>
        <w:rPr>
          <w:rFonts w:hint="eastAsia" w:ascii="仿宋_GB2312" w:hAnsi="Times New Roman" w:eastAsia="仿宋_GB2312" w:cs="Times New Roman"/>
          <w:spacing w:val="-6"/>
          <w:sz w:val="32"/>
          <w:szCs w:val="32"/>
          <w:lang w:val="zh-CN" w:eastAsia="zh-CN"/>
        </w:rPr>
        <w:t>经费年初预算数为</w:t>
      </w: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lang w:val="zh-CN" w:eastAsia="zh-CN"/>
        </w:rPr>
        <w:t>万元，在实施过程中，根据项目实施进度和实际验收情况申请和拨付项目资金，截止20</w:t>
      </w:r>
      <w:r>
        <w:rPr>
          <w:rFonts w:hint="eastAsia" w:ascii="仿宋_GB2312" w:hAnsi="Times New Roman" w:eastAsia="仿宋_GB2312" w:cs="Times New Roman"/>
          <w:spacing w:val="-6"/>
          <w:sz w:val="32"/>
          <w:szCs w:val="32"/>
          <w:lang w:val="en-US" w:eastAsia="zh-CN"/>
        </w:rPr>
        <w:t>22</w:t>
      </w:r>
      <w:r>
        <w:rPr>
          <w:rFonts w:hint="eastAsia" w:ascii="仿宋_GB2312" w:hAnsi="Times New Roman" w:eastAsia="仿宋_GB2312" w:cs="Times New Roman"/>
          <w:spacing w:val="-6"/>
          <w:sz w:val="32"/>
          <w:szCs w:val="32"/>
          <w:lang w:val="zh-CN" w:eastAsia="zh-CN"/>
        </w:rPr>
        <w:t>年12月底所有计划资金全部到位。</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val="zh-CN" w:eastAsia="zh-CN"/>
        </w:rPr>
      </w:pP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资金使用。</w:t>
      </w:r>
      <w:r>
        <w:rPr>
          <w:rFonts w:hint="eastAsia" w:ascii="仿宋_GB2312" w:hAnsi="Times New Roman" w:eastAsia="仿宋_GB2312" w:cs="Times New Roman"/>
          <w:spacing w:val="-6"/>
          <w:sz w:val="32"/>
          <w:szCs w:val="32"/>
          <w:lang w:val="zh-CN" w:eastAsia="zh-CN"/>
        </w:rPr>
        <w:t>截止20</w:t>
      </w:r>
      <w:r>
        <w:rPr>
          <w:rFonts w:hint="eastAsia" w:ascii="仿宋_GB2312" w:hAnsi="Times New Roman" w:eastAsia="仿宋_GB2312" w:cs="Times New Roman"/>
          <w:spacing w:val="-6"/>
          <w:sz w:val="32"/>
          <w:szCs w:val="32"/>
          <w:lang w:val="en-US" w:eastAsia="zh-CN"/>
        </w:rPr>
        <w:t>22</w:t>
      </w:r>
      <w:r>
        <w:rPr>
          <w:rFonts w:hint="eastAsia" w:ascii="仿宋_GB2312" w:hAnsi="Times New Roman" w:eastAsia="仿宋_GB2312" w:cs="Times New Roman"/>
          <w:spacing w:val="-6"/>
          <w:sz w:val="32"/>
          <w:szCs w:val="32"/>
          <w:lang w:val="zh-CN" w:eastAsia="zh-CN"/>
        </w:rPr>
        <w:t>年12月底，我乡</w:t>
      </w:r>
      <w:r>
        <w:rPr>
          <w:rFonts w:hint="eastAsia" w:ascii="仿宋_GB2312" w:hAnsi="Times New Roman" w:eastAsia="仿宋_GB2312" w:cs="Times New Roman"/>
          <w:spacing w:val="-6"/>
          <w:sz w:val="32"/>
          <w:szCs w:val="32"/>
          <w:lang w:val="en-US" w:eastAsia="zh-CN"/>
        </w:rPr>
        <w:t>基层人民武装</w:t>
      </w:r>
      <w:r>
        <w:rPr>
          <w:rFonts w:hint="eastAsia" w:ascii="仿宋_GB2312" w:hAnsi="Times New Roman" w:eastAsia="仿宋_GB2312" w:cs="Times New Roman"/>
          <w:spacing w:val="-6"/>
          <w:sz w:val="32"/>
          <w:szCs w:val="32"/>
          <w:lang w:val="zh-CN" w:eastAsia="zh-CN"/>
        </w:rPr>
        <w:t>工作经费已按项目实施和实际验收情况全部支出</w:t>
      </w: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lang w:val="zh-CN" w:eastAsia="zh-CN"/>
        </w:rPr>
        <w:t>万元，主要用于做好国防宣传教育工作</w:t>
      </w:r>
      <w:r>
        <w:rPr>
          <w:rFonts w:hint="eastAsia" w:ascii="仿宋_GB2312" w:hAnsi="Times New Roman" w:eastAsia="仿宋_GB2312" w:cs="Times New Roman"/>
          <w:spacing w:val="-6"/>
          <w:sz w:val="32"/>
          <w:szCs w:val="32"/>
          <w:lang w:val="en-US" w:eastAsia="zh-CN"/>
        </w:rPr>
        <w:t>以及征兵期间的车辆租赁、住宿、生活费等</w:t>
      </w:r>
      <w:r>
        <w:rPr>
          <w:rFonts w:hint="eastAsia" w:ascii="仿宋_GB2312" w:hAnsi="Times New Roman" w:eastAsia="仿宋_GB2312" w:cs="Times New Roman"/>
          <w:spacing w:val="-6"/>
          <w:sz w:val="32"/>
          <w:szCs w:val="32"/>
          <w:lang w:val="zh-CN" w:eastAsia="zh-CN"/>
        </w:rPr>
        <w:t>，为国家征召士兵提供优质兵源，其实际资金支付与预算相符。</w:t>
      </w:r>
    </w:p>
    <w:p>
      <w:pPr>
        <w:keepNext w:val="0"/>
        <w:keepLines w:val="0"/>
        <w:pageBreakBefore w:val="0"/>
        <w:widowControl w:val="0"/>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val="zh-CN" w:eastAsia="zh-CN"/>
        </w:rPr>
      </w:pPr>
      <w:r>
        <w:rPr>
          <w:rFonts w:hint="eastAsia" w:ascii="仿宋_GB2312" w:hAnsi="Times New Roman" w:eastAsia="仿宋_GB2312" w:cs="Times New Roman"/>
          <w:spacing w:val="-6"/>
          <w:sz w:val="32"/>
          <w:szCs w:val="32"/>
          <w:lang w:val="zh-CN" w:eastAsia="zh-CN"/>
        </w:rPr>
        <w:t>我乡</w:t>
      </w:r>
      <w:r>
        <w:rPr>
          <w:rFonts w:hint="eastAsia" w:ascii="仿宋_GB2312" w:hAnsi="Times New Roman" w:eastAsia="仿宋_GB2312" w:cs="Times New Roman"/>
          <w:spacing w:val="-6"/>
          <w:sz w:val="32"/>
          <w:szCs w:val="32"/>
          <w:lang w:val="en-US" w:eastAsia="zh-CN"/>
        </w:rPr>
        <w:t>基层人民武装工作</w:t>
      </w:r>
      <w:r>
        <w:rPr>
          <w:rFonts w:hint="eastAsia" w:ascii="仿宋_GB2312" w:hAnsi="Times New Roman" w:eastAsia="仿宋_GB2312" w:cs="Times New Roman"/>
          <w:spacing w:val="-6"/>
          <w:sz w:val="32"/>
          <w:szCs w:val="32"/>
          <w:lang w:val="zh-CN" w:eastAsia="zh-CN"/>
        </w:rPr>
        <w:t>经费采取零余额账户授权支付形式，资金支出严格按照</w:t>
      </w:r>
      <w:r>
        <w:rPr>
          <w:rFonts w:hint="eastAsia" w:ascii="仿宋_GB2312" w:hAnsi="Times New Roman" w:eastAsia="仿宋_GB2312" w:cs="Times New Roman"/>
          <w:spacing w:val="-6"/>
          <w:sz w:val="32"/>
          <w:szCs w:val="32"/>
          <w:lang w:val="en-US" w:eastAsia="zh-CN"/>
        </w:rPr>
        <w:t>项目资金管理办法对资金进行计划申请、划拨、使用，及时、规范对收支</w:t>
      </w:r>
      <w:r>
        <w:rPr>
          <w:rFonts w:hint="eastAsia" w:ascii="仿宋_GB2312" w:hAnsi="Times New Roman" w:eastAsia="仿宋_GB2312" w:cs="Times New Roman"/>
          <w:spacing w:val="-6"/>
          <w:sz w:val="32"/>
          <w:szCs w:val="32"/>
          <w:lang w:val="zh-CN" w:eastAsia="zh-CN"/>
        </w:rPr>
        <w:t>进行会计核算及账务处理。</w:t>
      </w:r>
    </w:p>
    <w:p>
      <w:pPr>
        <w:keepNext w:val="0"/>
        <w:keepLines w:val="0"/>
        <w:pageBreakBefore w:val="0"/>
        <w:widowControl w:val="0"/>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en-US" w:eastAsia="zh-CN"/>
        </w:rPr>
      </w:pPr>
      <w:r>
        <w:rPr>
          <w:rFonts w:hint="eastAsia" w:ascii="楷体_GB2312" w:hAnsi="Times New Roman" w:eastAsia="楷体_GB2312" w:cs="Times New Roman"/>
          <w:b/>
          <w:bCs w:val="0"/>
          <w:spacing w:val="-6"/>
          <w:sz w:val="32"/>
          <w:szCs w:val="32"/>
          <w:lang w:eastAsia="zh-CN"/>
        </w:rPr>
        <w:t>（</w:t>
      </w:r>
      <w:r>
        <w:rPr>
          <w:rFonts w:hint="eastAsia" w:ascii="楷体_GB2312" w:hAnsi="Times New Roman" w:eastAsia="楷体_GB2312" w:cs="Times New Roman"/>
          <w:b/>
          <w:bCs w:val="0"/>
          <w:spacing w:val="-6"/>
          <w:sz w:val="32"/>
          <w:szCs w:val="32"/>
          <w:lang w:val="en-US" w:eastAsia="zh-CN"/>
        </w:rPr>
        <w:t>三</w:t>
      </w:r>
      <w:r>
        <w:rPr>
          <w:rFonts w:hint="eastAsia" w:ascii="楷体_GB2312" w:hAnsi="Times New Roman" w:eastAsia="楷体_GB2312" w:cs="Times New Roman"/>
          <w:b/>
          <w:bCs w:val="0"/>
          <w:spacing w:val="-6"/>
          <w:sz w:val="32"/>
          <w:szCs w:val="32"/>
          <w:lang w:eastAsia="zh-CN"/>
        </w:rPr>
        <w:t>）</w:t>
      </w:r>
      <w:r>
        <w:rPr>
          <w:rFonts w:hint="eastAsia" w:ascii="楷体_GB2312" w:hAnsi="Times New Roman" w:eastAsia="楷体_GB2312" w:cs="Times New Roman"/>
          <w:b/>
          <w:bCs w:val="0"/>
          <w:spacing w:val="-6"/>
          <w:sz w:val="32"/>
          <w:szCs w:val="32"/>
        </w:rPr>
        <w:t>项目组织实施情况</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default" w:ascii="楷体_GB2312" w:hAnsi="Times New Roman" w:eastAsia="楷体_GB2312" w:cs="Times New Roman"/>
          <w:b/>
          <w:bCs w:val="0"/>
          <w:spacing w:val="-6"/>
          <w:sz w:val="32"/>
          <w:szCs w:val="32"/>
          <w:lang w:val="en-US" w:eastAsia="zh-CN"/>
        </w:rPr>
      </w:pPr>
      <w:r>
        <w:rPr>
          <w:rFonts w:hint="eastAsia" w:ascii="楷体_GB2312" w:hAnsi="Times New Roman" w:eastAsia="楷体_GB2312" w:cs="Times New Roman"/>
          <w:b/>
          <w:bCs w:val="0"/>
          <w:spacing w:val="-6"/>
          <w:sz w:val="32"/>
          <w:szCs w:val="32"/>
          <w:lang w:val="en-US" w:eastAsia="zh-CN"/>
        </w:rPr>
        <w:t>1.项目组织架构及实施流程。</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乡党委、政府高度重视基层人民武装工作经费项目，并成立了工作领导小组。</w:t>
      </w:r>
    </w:p>
    <w:p>
      <w:pPr>
        <w:pStyle w:val="10"/>
        <w:keepNext w:val="0"/>
        <w:keepLines w:val="0"/>
        <w:pageBreakBefore w:val="0"/>
        <w:numPr>
          <w:ilvl w:val="0"/>
          <w:numId w:val="0"/>
        </w:numPr>
        <w:kinsoku/>
        <w:wordWrap/>
        <w:overflowPunct/>
        <w:topLinePunct w:val="0"/>
        <w:autoSpaceDN/>
        <w:bidi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组  长：郭  晶   乡人民政府乡长、党委副书记</w:t>
      </w:r>
    </w:p>
    <w:p>
      <w:pPr>
        <w:pStyle w:val="10"/>
        <w:keepNext w:val="0"/>
        <w:keepLines w:val="0"/>
        <w:pageBreakBefore w:val="0"/>
        <w:numPr>
          <w:ilvl w:val="0"/>
          <w:numId w:val="0"/>
        </w:numPr>
        <w:kinsoku/>
        <w:wordWrap/>
        <w:overflowPunct/>
        <w:topLinePunct w:val="0"/>
        <w:autoSpaceDN/>
        <w:bidi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副组长：赵  伟   乡武装部部长</w:t>
      </w:r>
    </w:p>
    <w:p>
      <w:pPr>
        <w:pStyle w:val="10"/>
        <w:keepNext w:val="0"/>
        <w:keepLines w:val="0"/>
        <w:pageBreakBefore w:val="0"/>
        <w:numPr>
          <w:ilvl w:val="0"/>
          <w:numId w:val="0"/>
        </w:numPr>
        <w:kinsoku/>
        <w:wordWrap/>
        <w:overflowPunct/>
        <w:topLinePunct w:val="0"/>
        <w:autoSpaceDN/>
        <w:bidi w:val="0"/>
        <w:spacing w:line="560" w:lineRule="exact"/>
        <w:ind w:firstLine="616" w:firstLineChars="200"/>
        <w:textAlignment w:val="auto"/>
        <w:rPr>
          <w:rFonts w:hint="default"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 xml:space="preserve">成  员：乡武装部工作人员、各村（社区）  </w:t>
      </w:r>
    </w:p>
    <w:p>
      <w:pPr>
        <w:pStyle w:val="10"/>
        <w:keepNext w:val="0"/>
        <w:keepLines w:val="0"/>
        <w:pageBreakBefore w:val="0"/>
        <w:numPr>
          <w:ilvl w:val="0"/>
          <w:numId w:val="0"/>
        </w:numPr>
        <w:kinsoku/>
        <w:wordWrap/>
        <w:overflowPunct/>
        <w:topLinePunct w:val="0"/>
        <w:autoSpaceDN/>
        <w:bidi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办公室设在武装部办公室。</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en-US" w:eastAsia="zh-CN"/>
        </w:rPr>
      </w:pPr>
      <w:r>
        <w:rPr>
          <w:rFonts w:hint="eastAsia" w:ascii="楷体_GB2312" w:hAnsi="Times New Roman" w:eastAsia="楷体_GB2312" w:cs="Times New Roman"/>
          <w:b/>
          <w:bCs w:val="0"/>
          <w:spacing w:val="-6"/>
          <w:sz w:val="32"/>
          <w:szCs w:val="32"/>
          <w:lang w:val="en-US" w:eastAsia="zh-CN"/>
        </w:rPr>
        <w:t>2.项目管理情况</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 xml:space="preserve">     本项目采取工作领导小组负责制，全体成员积极配合、通力合作。项目工作领导小组负责协调相关工作，项目实施及资金管理。</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en-US" w:eastAsia="zh-CN"/>
        </w:rPr>
      </w:pPr>
      <w:r>
        <w:rPr>
          <w:rFonts w:hint="eastAsia" w:ascii="楷体_GB2312" w:hAnsi="Times New Roman" w:eastAsia="楷体_GB2312" w:cs="Times New Roman"/>
          <w:b/>
          <w:bCs w:val="0"/>
          <w:spacing w:val="-6"/>
          <w:sz w:val="32"/>
          <w:szCs w:val="32"/>
          <w:lang w:val="en-US" w:eastAsia="zh-CN"/>
        </w:rPr>
        <w:t>3.项目监管情况</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16" w:firstLineChars="200"/>
        <w:textAlignment w:val="auto"/>
        <w:rPr>
          <w:rFonts w:hint="default"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项目资金由乡财政所具体管理，按照乡财务管理制度，对项目资金按项目单独核算实行“专款专用、专人管理”，不得挤占挪用项目资金。强化监督，项目的正常实施监督检查是保障。对项目的实施定期或不定期的进行现场检查和监督，及时协调解决困难和问题，保证项目顺利实施。</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我乡在2022年积极开展基层人民武装工作，多次召开征兵宣传活动，动员辖区范围内青年应征报名，完成每年2次的适龄青年征兵工、国防动员集中宣传教育3次、应急抢险工作1次，民兵集中训练1次、最终输送9名双合格人员到部队大熔炉锻造，在规定时限内较好地完成了基层人民武装相关工作。</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firstLine="634"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eastAsia="zh-CN"/>
        </w:rPr>
        <w:t>（</w:t>
      </w:r>
      <w:r>
        <w:rPr>
          <w:rFonts w:hint="eastAsia" w:ascii="楷体_GB2312" w:hAnsi="宋体" w:eastAsia="楷体_GB2312" w:cs="Times New Roman"/>
          <w:b/>
          <w:w w:val="99"/>
          <w:sz w:val="32"/>
          <w:szCs w:val="32"/>
          <w:lang w:val="en-US" w:eastAsia="zh-CN"/>
        </w:rPr>
        <w:t>二</w:t>
      </w:r>
      <w:r>
        <w:rPr>
          <w:rFonts w:hint="eastAsia" w:ascii="楷体_GB2312" w:hAnsi="宋体" w:eastAsia="楷体_GB2312" w:cs="Times New Roman"/>
          <w:b/>
          <w:w w:val="99"/>
          <w:sz w:val="32"/>
          <w:szCs w:val="32"/>
          <w:lang w:eastAsia="zh-CN"/>
        </w:rPr>
        <w:t>）</w:t>
      </w:r>
      <w:r>
        <w:rPr>
          <w:rFonts w:hint="eastAsia" w:ascii="楷体_GB2312" w:hAnsi="宋体" w:eastAsia="楷体_GB2312" w:cs="Times New Roman"/>
          <w:b/>
          <w:w w:val="99"/>
          <w:sz w:val="32"/>
          <w:szCs w:val="32"/>
        </w:rPr>
        <w:t>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从社会效益来看，提高了广大群众的参军率，为国家选送了一批优秀的年轻士兵。从可持续影响力来看，国防理念、当兵光荣认知度进一步深入人心，群众能够更好地了解我国的国防军队，提高了军队的正面影响，提高了群众的满意度。</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黑体" w:hAnsi="黑体" w:eastAsia="黑体" w:cs="Times New Roman"/>
          <w:w w:val="99"/>
          <w:sz w:val="32"/>
          <w:szCs w:val="32"/>
          <w:lang w:val="en-US" w:eastAsia="zh-CN"/>
        </w:rPr>
      </w:pPr>
      <w:r>
        <w:rPr>
          <w:rFonts w:hint="eastAsia" w:ascii="黑体" w:hAnsi="黑体" w:eastAsia="黑体" w:cs="Times New Roman"/>
          <w:w w:val="99"/>
          <w:sz w:val="32"/>
          <w:szCs w:val="32"/>
          <w:lang w:val="en-US" w:eastAsia="zh-CN"/>
        </w:rPr>
        <w:t>四、问题及建议</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我乡2022年积极开展基层人民武装工作，春秋两季在乡上和村上多次召开征兵宣传活动，树立了国防军队的良好形象，为国家选送优秀士兵提供了优质兵源，较好地完成了征兵项目的绩效目标。根据部门整体支出绩效评价指标体系和绩效检查情况，综合得分95分（总分为100分），总体考核等次确定为“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lang w:val="en-US" w:eastAsia="zh-CN"/>
        </w:rPr>
        <w:t>（二）</w:t>
      </w:r>
      <w:r>
        <w:rPr>
          <w:rFonts w:hint="eastAsia" w:ascii="楷体_GB2312" w:hAnsi="宋体" w:eastAsia="楷体_GB2312" w:cs="Times New Roman"/>
          <w:b/>
          <w:w w:val="99"/>
          <w:sz w:val="32"/>
          <w:szCs w:val="32"/>
        </w:rPr>
        <w:t>存在的问题。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Times New Roman" w:eastAsia="仿宋_GB2312" w:cs="Times New Roman"/>
          <w:spacing w:val="-6"/>
          <w:sz w:val="32"/>
          <w:szCs w:val="32"/>
          <w:lang w:val="zh-CN" w:eastAsia="zh-CN"/>
        </w:rPr>
      </w:pPr>
      <w:r>
        <w:rPr>
          <w:rFonts w:hint="eastAsia" w:ascii="仿宋_GB2312" w:hAnsi="Times New Roman" w:eastAsia="仿宋_GB2312" w:cs="Times New Roman"/>
          <w:spacing w:val="-6"/>
          <w:sz w:val="32"/>
          <w:szCs w:val="32"/>
          <w:lang w:val="en-US" w:eastAsia="zh-CN"/>
        </w:rPr>
        <w:t>一是征集对象条件高与“合格”人员少矛盾突出；二是</w:t>
      </w:r>
      <w:r>
        <w:rPr>
          <w:rFonts w:hint="eastAsia" w:ascii="仿宋_GB2312" w:hAnsi="Times New Roman" w:eastAsia="仿宋_GB2312" w:cs="Times New Roman"/>
          <w:spacing w:val="-6"/>
          <w:sz w:val="32"/>
          <w:szCs w:val="32"/>
          <w:lang w:val="zh-CN" w:eastAsia="zh-CN"/>
        </w:rPr>
        <w:t>受市场经济的影响，</w:t>
      </w:r>
      <w:r>
        <w:rPr>
          <w:rFonts w:hint="eastAsia" w:ascii="仿宋_GB2312" w:hAnsi="Times New Roman" w:eastAsia="仿宋_GB2312" w:cs="Times New Roman"/>
          <w:spacing w:val="-6"/>
          <w:sz w:val="32"/>
          <w:szCs w:val="32"/>
          <w:lang w:val="en-US" w:eastAsia="zh-CN"/>
        </w:rPr>
        <w:t>当兵发展空间小，退伍后面临的现实问题多，</w:t>
      </w:r>
      <w:r>
        <w:rPr>
          <w:rFonts w:hint="eastAsia" w:ascii="仿宋_GB2312" w:hAnsi="Times New Roman" w:eastAsia="仿宋_GB2312" w:cs="Times New Roman"/>
          <w:spacing w:val="-6"/>
          <w:sz w:val="32"/>
          <w:szCs w:val="32"/>
          <w:lang w:val="zh-CN" w:eastAsia="zh-CN"/>
        </w:rPr>
        <w:t>适龄青年参军热情明显下降。</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firstLine="634"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lang w:eastAsia="zh-CN"/>
        </w:rPr>
        <w:t>（</w:t>
      </w:r>
      <w:r>
        <w:rPr>
          <w:rFonts w:hint="eastAsia" w:ascii="楷体_GB2312" w:hAnsi="宋体" w:eastAsia="楷体_GB2312" w:cs="Times New Roman"/>
          <w:b/>
          <w:w w:val="99"/>
          <w:sz w:val="32"/>
          <w:szCs w:val="32"/>
          <w:lang w:val="en-US" w:eastAsia="zh-CN"/>
        </w:rPr>
        <w:t>三</w:t>
      </w:r>
      <w:r>
        <w:rPr>
          <w:rFonts w:hint="eastAsia" w:ascii="楷体_GB2312" w:hAnsi="宋体" w:eastAsia="楷体_GB2312" w:cs="Times New Roman"/>
          <w:b/>
          <w:w w:val="99"/>
          <w:sz w:val="32"/>
          <w:szCs w:val="32"/>
          <w:lang w:eastAsia="zh-CN"/>
        </w:rPr>
        <w:t>）</w:t>
      </w:r>
      <w:r>
        <w:rPr>
          <w:rFonts w:hint="eastAsia" w:ascii="楷体_GB2312" w:hAnsi="宋体" w:eastAsia="楷体_GB2312" w:cs="Times New Roman"/>
          <w:b/>
          <w:w w:val="99"/>
          <w:sz w:val="32"/>
          <w:szCs w:val="32"/>
        </w:rPr>
        <w:t>相关建议。</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加强国防教育力度，重点宣传《国防法》、《国防教育法》、《兵役法》等法律法规知识，使征兵工作各项法规、政策和规定深入人心，同时进一步完善相关政策机制，建立健全退伍安置硬性政策。</w:t>
      </w:r>
    </w:p>
    <w:p>
      <w:pPr>
        <w:pStyle w:val="7"/>
        <w:rPr>
          <w:rFonts w:hint="eastAsia"/>
          <w:lang w:val="en-US" w:eastAsia="zh-CN"/>
        </w:rPr>
      </w:pPr>
    </w:p>
    <w:p>
      <w:pPr>
        <w:keepNext w:val="0"/>
        <w:keepLines w:val="0"/>
        <w:pageBreakBefore w:val="0"/>
        <w:kinsoku/>
        <w:wordWrap/>
        <w:overflowPunct/>
        <w:topLinePunct w:val="0"/>
        <w:autoSpaceDE w:val="0"/>
        <w:autoSpaceDN/>
        <w:bidi w:val="0"/>
        <w:spacing w:line="560" w:lineRule="exact"/>
        <w:jc w:val="center"/>
        <w:textAlignment w:val="auto"/>
        <w:rPr>
          <w:rFonts w:hint="eastAsia" w:ascii="方正大标宋简体" w:hAnsi="??" w:eastAsia="方正大标宋简体" w:cs="Times New Roman"/>
          <w:b/>
          <w:color w:val="000000"/>
          <w:spacing w:val="-6"/>
          <w:kern w:val="0"/>
          <w:sz w:val="44"/>
          <w:szCs w:val="44"/>
          <w:lang w:val="en-US" w:eastAsia="zh-CN"/>
        </w:rPr>
      </w:pPr>
    </w:p>
    <w:p>
      <w:pPr>
        <w:keepNext w:val="0"/>
        <w:keepLines w:val="0"/>
        <w:pageBreakBefore w:val="0"/>
        <w:kinsoku/>
        <w:wordWrap/>
        <w:overflowPunct/>
        <w:topLinePunct w:val="0"/>
        <w:autoSpaceDE w:val="0"/>
        <w:autoSpaceDN/>
        <w:bidi w:val="0"/>
        <w:spacing w:line="560" w:lineRule="exact"/>
        <w:jc w:val="center"/>
        <w:textAlignment w:val="auto"/>
        <w:rPr>
          <w:rFonts w:hint="eastAsia" w:ascii="方正大标宋简体" w:hAnsi="??" w:eastAsia="方正大标宋简体" w:cs="Times New Roman"/>
          <w:b/>
          <w:color w:val="000000"/>
          <w:spacing w:val="-6"/>
          <w:kern w:val="0"/>
          <w:sz w:val="44"/>
          <w:szCs w:val="44"/>
          <w:lang w:val="en-US" w:eastAsia="zh-CN"/>
        </w:rPr>
      </w:pPr>
    </w:p>
    <w:p>
      <w:pPr>
        <w:pStyle w:val="2"/>
        <w:rPr>
          <w:rFonts w:hint="eastAsia" w:ascii="方正大标宋简体" w:hAnsi="??" w:eastAsia="方正大标宋简体" w:cs="Times New Roman"/>
          <w:b/>
          <w:color w:val="000000"/>
          <w:spacing w:val="-6"/>
          <w:kern w:val="0"/>
          <w:sz w:val="44"/>
          <w:szCs w:val="44"/>
          <w:lang w:val="en-US" w:eastAsia="zh-CN"/>
        </w:rPr>
      </w:pPr>
    </w:p>
    <w:p>
      <w:pPr>
        <w:pStyle w:val="2"/>
        <w:rPr>
          <w:rFonts w:hint="eastAsia" w:ascii="方正大标宋简体" w:hAnsi="??" w:eastAsia="方正大标宋简体" w:cs="Times New Roman"/>
          <w:b/>
          <w:color w:val="000000"/>
          <w:spacing w:val="-6"/>
          <w:kern w:val="0"/>
          <w:sz w:val="44"/>
          <w:szCs w:val="44"/>
          <w:lang w:val="en-US" w:eastAsia="zh-CN"/>
        </w:rPr>
      </w:pPr>
    </w:p>
    <w:p>
      <w:pPr>
        <w:pStyle w:val="10"/>
        <w:keepNext w:val="0"/>
        <w:keepLines w:val="0"/>
        <w:pageBreakBefore w:val="0"/>
        <w:kinsoku/>
        <w:wordWrap/>
        <w:overflowPunct/>
        <w:topLinePunct w:val="0"/>
        <w:autoSpaceDN/>
        <w:bidi w:val="0"/>
        <w:spacing w:line="560" w:lineRule="exact"/>
        <w:textAlignment w:val="auto"/>
        <w:rPr>
          <w:rFonts w:hint="eastAsia" w:ascii="方正大标宋简体" w:hAnsi="??" w:eastAsia="方正大标宋简体" w:cs="Times New Roman"/>
          <w:b/>
          <w:color w:val="000000"/>
          <w:spacing w:val="-6"/>
          <w:kern w:val="0"/>
          <w:sz w:val="44"/>
          <w:szCs w:val="44"/>
          <w:lang w:val="en-US" w:eastAsia="zh-CN"/>
        </w:rPr>
      </w:pPr>
    </w:p>
    <w:p>
      <w:pPr>
        <w:pStyle w:val="7"/>
        <w:rPr>
          <w:rFonts w:hint="eastAsia" w:ascii="仿宋_GB2312" w:hAnsi="Calibri" w:eastAsia="仿宋_GB2312" w:cs="仿宋"/>
          <w:color w:val="auto"/>
          <w:kern w:val="0"/>
          <w:sz w:val="32"/>
          <w:szCs w:val="32"/>
          <w:highlight w:val="none"/>
          <w:lang w:val="en-US" w:eastAsia="zh-CN" w:bidi="ar-SA"/>
        </w:rPr>
      </w:pPr>
    </w:p>
    <w:p>
      <w:pPr>
        <w:tabs>
          <w:tab w:val="left" w:pos="6523"/>
        </w:tabs>
        <w:bidi w:val="0"/>
        <w:jc w:val="left"/>
        <w:rPr>
          <w:rFonts w:hint="eastAsia" w:ascii="仿宋_GB2312" w:hAnsi="Calibri" w:eastAsia="仿宋_GB2312" w:cs="仿宋"/>
          <w:color w:val="auto"/>
          <w:kern w:val="0"/>
          <w:sz w:val="32"/>
          <w:szCs w:val="32"/>
          <w:highlight w:val="none"/>
          <w:lang w:val="en-US" w:eastAsia="zh-CN" w:bidi="ar-SA"/>
        </w:rPr>
      </w:pPr>
    </w:p>
    <w:p>
      <w:pPr>
        <w:keepNext w:val="0"/>
        <w:keepLines w:val="0"/>
        <w:pageBreakBefore w:val="0"/>
        <w:kinsoku/>
        <w:wordWrap/>
        <w:overflowPunct/>
        <w:topLinePunct w:val="0"/>
        <w:autoSpaceDE w:val="0"/>
        <w:autoSpaceDN/>
        <w:bidi w:val="0"/>
        <w:spacing w:line="56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2022年</w:t>
      </w:r>
      <w:r>
        <w:rPr>
          <w:rFonts w:hint="eastAsia" w:ascii="方正大标宋简体" w:hAnsi="??" w:eastAsia="方正大标宋简体" w:cs="Times New Roman"/>
          <w:b/>
          <w:color w:val="000000"/>
          <w:spacing w:val="-6"/>
          <w:kern w:val="0"/>
          <w:sz w:val="44"/>
          <w:szCs w:val="44"/>
          <w:lang w:eastAsia="zh-CN"/>
        </w:rPr>
        <w:t>城乡环境综合治理</w:t>
      </w:r>
      <w:r>
        <w:rPr>
          <w:rFonts w:hint="eastAsia" w:ascii="方正大标宋简体" w:hAnsi="??" w:eastAsia="方正大标宋简体" w:cs="Times New Roman"/>
          <w:b/>
          <w:color w:val="000000"/>
          <w:spacing w:val="-6"/>
          <w:kern w:val="0"/>
          <w:sz w:val="44"/>
          <w:szCs w:val="44"/>
        </w:rPr>
        <w:t>项目支出绩效</w:t>
      </w:r>
    </w:p>
    <w:p>
      <w:pPr>
        <w:keepNext w:val="0"/>
        <w:keepLines w:val="0"/>
        <w:pageBreakBefore w:val="0"/>
        <w:kinsoku/>
        <w:wordWrap/>
        <w:overflowPunct/>
        <w:topLinePunct w:val="0"/>
        <w:autoSpaceDE w:val="0"/>
        <w:autoSpaceDN/>
        <w:bidi w:val="0"/>
        <w:spacing w:line="56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自评报告</w:t>
      </w:r>
    </w:p>
    <w:p>
      <w:pPr>
        <w:pStyle w:val="10"/>
        <w:keepNext w:val="0"/>
        <w:keepLines w:val="0"/>
        <w:pageBreakBefore w:val="0"/>
        <w:kinsoku/>
        <w:wordWrap/>
        <w:overflowPunct/>
        <w:topLinePunct w:val="0"/>
        <w:autoSpaceDN/>
        <w:bidi w:val="0"/>
        <w:spacing w:line="560" w:lineRule="exact"/>
        <w:textAlignment w:val="auto"/>
        <w:rPr>
          <w:rFonts w:hint="eastAsia"/>
        </w:rPr>
      </w:pP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numPr>
          <w:ilvl w:val="0"/>
          <w:numId w:val="9"/>
        </w:numPr>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项目资金申报及批复情况。</w:t>
      </w:r>
    </w:p>
    <w:p>
      <w:pPr>
        <w:keepNext w:val="0"/>
        <w:keepLines w:val="0"/>
        <w:pageBreakBefore w:val="0"/>
        <w:numPr>
          <w:ilvl w:val="0"/>
          <w:numId w:val="0"/>
        </w:numPr>
        <w:kinsoku/>
        <w:wordWrap/>
        <w:overflowPunct/>
        <w:topLinePunct w:val="0"/>
        <w:autoSpaceDE w:val="0"/>
        <w:autoSpaceDN/>
        <w:bidi w:val="0"/>
        <w:spacing w:line="560" w:lineRule="exact"/>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 xml:space="preserve">    城乡环境综合治理项目由乡人民政府报区人民政府同意后，经财政局批复下达后，全部用于环境综合治理。项目资金的申报、批复符合资金管理办法等相关规定。</w:t>
      </w:r>
    </w:p>
    <w:p>
      <w:pPr>
        <w:keepNext w:val="0"/>
        <w:keepLines w:val="0"/>
        <w:pageBreakBefore w:val="0"/>
        <w:numPr>
          <w:ilvl w:val="0"/>
          <w:numId w:val="9"/>
        </w:numPr>
        <w:kinsoku/>
        <w:wordWrap/>
        <w:overflowPunct/>
        <w:topLinePunct w:val="0"/>
        <w:autoSpaceDE w:val="0"/>
        <w:autoSpaceDN/>
        <w:bidi w:val="0"/>
        <w:spacing w:line="560" w:lineRule="exact"/>
        <w:ind w:left="0" w:leftChars="0" w:firstLine="616" w:firstLineChars="200"/>
        <w:textAlignment w:val="auto"/>
        <w:rPr>
          <w:rFonts w:hint="default" w:ascii="仿宋_GB2312" w:hAnsi="Times New Roman" w:eastAsia="仿宋_GB2312" w:cs="Times New Roman"/>
          <w:spacing w:val="-6"/>
          <w:kern w:val="2"/>
          <w:sz w:val="32"/>
          <w:szCs w:val="32"/>
          <w:lang w:val="en-US" w:eastAsia="zh-CN" w:bidi="ar-SA"/>
        </w:rPr>
      </w:pPr>
      <w:r>
        <w:rPr>
          <w:rFonts w:hint="eastAsia" w:ascii="楷体_GB2312" w:hAnsi="Times New Roman" w:eastAsia="楷体_GB2312" w:cs="Times New Roman"/>
          <w:bCs/>
          <w:spacing w:val="-6"/>
          <w:sz w:val="32"/>
          <w:szCs w:val="32"/>
        </w:rPr>
        <w:t>项目绩效目标。</w:t>
      </w:r>
    </w:p>
    <w:p>
      <w:pPr>
        <w:keepNext w:val="0"/>
        <w:keepLines w:val="0"/>
        <w:pageBreakBefore w:val="0"/>
        <w:widowControl w:val="0"/>
        <w:numPr>
          <w:ilvl w:val="0"/>
          <w:numId w:val="0"/>
        </w:numPr>
        <w:kinsoku/>
        <w:wordWrap/>
        <w:overflowPunct/>
        <w:topLinePunct w:val="0"/>
        <w:autoSpaceDE w:val="0"/>
        <w:autoSpaceDN/>
        <w:bidi w:val="0"/>
        <w:adjustRightInd/>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1.项目主要内容：一是通过项目的实施，解决各村（社区）环境卫生脏乱差的现象，使辖区内的环境治理的优美、干净、舒适；二是切实保障各类环卫设施正常高效运转；三是完成2个垃圾中转站和各村小组110个垃圾收集点垃圾运转任务。</w:t>
      </w: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kern w:val="2"/>
          <w:sz w:val="32"/>
          <w:szCs w:val="32"/>
          <w:lang w:val="en-US" w:eastAsia="zh-CN" w:bidi="ar-SA"/>
        </w:rPr>
        <w:t>2.城乡环境综合治理项目绩效目标：保障1名环卫车驾驶员的生活补助</w:t>
      </w:r>
      <w:r>
        <w:rPr>
          <w:rFonts w:hint="eastAsia" w:ascii="仿宋_GB2312" w:hAnsi="Times New Roman" w:eastAsia="仿宋_GB2312" w:cs="Times New Roman"/>
          <w:spacing w:val="-6"/>
          <w:sz w:val="32"/>
          <w:szCs w:val="32"/>
          <w:lang w:eastAsia="zh-CN"/>
        </w:rPr>
        <w:t>；保障各类环卫设施正常高效运转。通过城乡环境综合治理实施以改善农民生产生活条件，提高农民生活质量为目标，不断完善农村基础设施建设，加快推进城镇基础设施向农村延伸，城镇公共服务向农村覆盖，建成覆盖城乡的基础设施网络，实现基础设施城乡共建、城乡联网、城乡共享。</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3.</w:t>
      </w:r>
      <w:r>
        <w:rPr>
          <w:rFonts w:hint="eastAsia" w:ascii="仿宋_GB2312" w:hAnsi="Times New Roman" w:eastAsia="仿宋_GB2312" w:cs="Times New Roman"/>
          <w:spacing w:val="-6"/>
          <w:sz w:val="32"/>
          <w:szCs w:val="32"/>
        </w:rPr>
        <w:t>资金根据已签订的协议及已完成的工程量进行申报，申报内容与具体实施内容相符，且绩效目标围绕具体实施内容设置，申报目标合理可行。</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项目采取自评与他评相结合方式，成立项目自评小组，结合评价内容，做到有计划、有安排，有奖惩，扎实开展本次自评工作。按照上级下达的项目支出绩效评价指标体系，自评小组针对申报内容、实施情况、资金兑现、财务管理、社会效益等做出自我评价，并撰写自评报告。</w:t>
      </w: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default" w:ascii="仿宋_GB2312" w:hAnsi="Times New Roman" w:eastAsia="仿宋_GB2312" w:cs="Times New Roman"/>
          <w:spacing w:val="-6"/>
          <w:sz w:val="32"/>
          <w:szCs w:val="32"/>
          <w:lang w:val="en-US"/>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eastAsia="zh-CN"/>
        </w:rPr>
        <w:t>我</w:t>
      </w:r>
      <w:r>
        <w:rPr>
          <w:rFonts w:hint="eastAsia" w:ascii="仿宋_GB2312" w:hAnsi="Times New Roman" w:eastAsia="仿宋_GB2312" w:cs="Times New Roman"/>
          <w:spacing w:val="-6"/>
          <w:sz w:val="32"/>
          <w:szCs w:val="32"/>
          <w:lang w:val="en-US" w:eastAsia="zh-CN"/>
        </w:rPr>
        <w:t>乡城乡环境综合治理项目</w:t>
      </w:r>
      <w:r>
        <w:rPr>
          <w:rFonts w:hint="eastAsia" w:ascii="仿宋_GB2312" w:hAnsi="仿宋_GB2312" w:eastAsia="仿宋_GB2312" w:cs="仿宋_GB2312"/>
          <w:b w:val="0"/>
          <w:bCs w:val="0"/>
          <w:color w:val="000000"/>
          <w:sz w:val="32"/>
          <w:szCs w:val="32"/>
          <w:lang w:eastAsia="zh-CN"/>
        </w:rPr>
        <w:t>计划到位资金</w:t>
      </w:r>
      <w:r>
        <w:rPr>
          <w:rFonts w:hint="eastAsia" w:ascii="仿宋_GB2312" w:hAnsi="仿宋_GB2312" w:eastAsia="仿宋_GB2312" w:cs="仿宋_GB2312"/>
          <w:b w:val="0"/>
          <w:bCs w:val="0"/>
          <w:color w:val="000000"/>
          <w:sz w:val="32"/>
          <w:szCs w:val="32"/>
          <w:lang w:val="en-US" w:eastAsia="zh-CN"/>
        </w:rPr>
        <w:t>10万元，其中区级财政资金10万元。目前，</w:t>
      </w:r>
      <w:r>
        <w:rPr>
          <w:rFonts w:hint="eastAsia" w:ascii="仿宋_GB2312" w:hAnsi="仿宋_GB2312" w:eastAsia="仿宋_GB2312" w:cs="仿宋_GB2312"/>
          <w:b w:val="0"/>
          <w:bCs w:val="0"/>
          <w:color w:val="auto"/>
          <w:sz w:val="32"/>
          <w:szCs w:val="32"/>
          <w:lang w:val="en-US" w:eastAsia="zh-CN"/>
        </w:rPr>
        <w:t>实际到位资金10万元，资金到位率100%。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资金使用。</w:t>
      </w:r>
      <w:r>
        <w:rPr>
          <w:rFonts w:hint="eastAsia" w:ascii="仿宋_GB2312" w:hAnsi="Times New Roman" w:eastAsia="仿宋_GB2312" w:cs="Times New Roman"/>
          <w:spacing w:val="-6"/>
          <w:sz w:val="32"/>
          <w:szCs w:val="32"/>
          <w:lang w:val="zh-CN" w:eastAsia="zh-CN"/>
        </w:rPr>
        <w:t>截止20</w:t>
      </w:r>
      <w:r>
        <w:rPr>
          <w:rFonts w:hint="eastAsia" w:ascii="仿宋_GB2312" w:hAnsi="Times New Roman" w:eastAsia="仿宋_GB2312" w:cs="Times New Roman"/>
          <w:spacing w:val="-6"/>
          <w:sz w:val="32"/>
          <w:szCs w:val="32"/>
          <w:lang w:val="en-US" w:eastAsia="zh-CN"/>
        </w:rPr>
        <w:t>22</w:t>
      </w:r>
      <w:r>
        <w:rPr>
          <w:rFonts w:hint="eastAsia" w:ascii="仿宋_GB2312" w:hAnsi="Times New Roman" w:eastAsia="仿宋_GB2312" w:cs="Times New Roman"/>
          <w:spacing w:val="-6"/>
          <w:sz w:val="32"/>
          <w:szCs w:val="32"/>
          <w:lang w:val="zh-CN" w:eastAsia="zh-CN"/>
        </w:rPr>
        <w:t>年12月底，</w:t>
      </w:r>
      <w:r>
        <w:rPr>
          <w:rFonts w:hint="eastAsia" w:ascii="仿宋_GB2312" w:hAnsi="仿宋_GB2312" w:eastAsia="仿宋_GB2312" w:cs="仿宋_GB2312"/>
          <w:color w:val="000000"/>
          <w:sz w:val="32"/>
          <w:szCs w:val="32"/>
          <w:lang w:eastAsia="zh-CN"/>
        </w:rPr>
        <w:t>该项目已到位资金全部完成支付，</w:t>
      </w:r>
      <w:r>
        <w:rPr>
          <w:rFonts w:hint="eastAsia" w:ascii="仿宋_GB2312" w:hAnsi="仿宋_GB2312" w:eastAsia="仿宋_GB2312" w:cs="仿宋_GB2312"/>
          <w:color w:val="000000"/>
          <w:sz w:val="32"/>
          <w:szCs w:val="32"/>
          <w:lang w:val="en-US" w:eastAsia="zh-CN"/>
        </w:rPr>
        <w:t>主要用于环卫车驾驶人员的生活补助以及车辆保险和燃油</w:t>
      </w:r>
      <w:r>
        <w:rPr>
          <w:rFonts w:hint="eastAsia" w:ascii="仿宋_GB2312" w:hAnsi="仿宋_GB2312" w:eastAsia="仿宋_GB2312" w:cs="仿宋_GB2312"/>
          <w:color w:val="000000"/>
          <w:sz w:val="32"/>
          <w:szCs w:val="32"/>
          <w:lang w:eastAsia="zh-CN"/>
        </w:rPr>
        <w:t>，并根据申报进度及时支付，</w:t>
      </w:r>
      <w:r>
        <w:rPr>
          <w:rFonts w:hint="eastAsia" w:ascii="仿宋_GB2312" w:hAnsi="Times New Roman" w:eastAsia="仿宋_GB2312" w:cs="Times New Roman"/>
          <w:spacing w:val="-6"/>
          <w:sz w:val="32"/>
          <w:szCs w:val="32"/>
          <w:lang w:val="zh-CN" w:eastAsia="zh-CN"/>
        </w:rPr>
        <w:t>其实际资金支付与预算相符。</w:t>
      </w: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项目经费严格按照财务管理制度进行管理，保证专款专用，不存在截留、滞留等问题。资金发放复查由财务人员按照财务制度进行资金的审核，手续完备，资料齐全。财务处理及时，核算规范。</w:t>
      </w: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default" w:ascii="楷体_GB2312" w:hAnsi="Times New Roman" w:eastAsia="楷体_GB2312" w:cs="Times New Roman"/>
          <w:b/>
          <w:bCs w:val="0"/>
          <w:spacing w:val="-6"/>
          <w:sz w:val="32"/>
          <w:szCs w:val="32"/>
          <w:lang w:val="en-US" w:eastAsia="zh-CN"/>
        </w:rPr>
      </w:pPr>
      <w:r>
        <w:rPr>
          <w:rFonts w:hint="eastAsia" w:ascii="楷体_GB2312" w:hAnsi="Times New Roman" w:eastAsia="楷体_GB2312" w:cs="Times New Roman"/>
          <w:b/>
          <w:bCs w:val="0"/>
          <w:spacing w:val="-6"/>
          <w:sz w:val="32"/>
          <w:szCs w:val="32"/>
          <w:lang w:val="en-US" w:eastAsia="zh-CN"/>
        </w:rPr>
        <w:t>1.项目组织架构及实施流程。</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乡党委、政府高度重视城乡环境综合治理项目，并成立了工作领导小组。</w:t>
      </w:r>
    </w:p>
    <w:p>
      <w:pPr>
        <w:pStyle w:val="10"/>
        <w:keepNext w:val="0"/>
        <w:keepLines w:val="0"/>
        <w:pageBreakBefore w:val="0"/>
        <w:numPr>
          <w:ilvl w:val="0"/>
          <w:numId w:val="0"/>
        </w:numPr>
        <w:kinsoku/>
        <w:wordWrap/>
        <w:overflowPunct/>
        <w:topLinePunct w:val="0"/>
        <w:autoSpaceDN/>
        <w:bidi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组  长：郭  晶   乡人民政府乡长、党委副书记</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16" w:firstLineChars="200"/>
        <w:textAlignment w:val="auto"/>
        <w:rPr>
          <w:rFonts w:hint="default"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副组长：刘泽云   乡人民政府副乡长</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16" w:firstLineChars="200"/>
        <w:textAlignment w:val="auto"/>
        <w:rPr>
          <w:rFonts w:hint="default"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 xml:space="preserve">成  员：乡城乡环境综合治理工作人员、各村（社区）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办公室设在城乡环境综合治理办公室。</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en-US" w:eastAsia="zh-CN"/>
        </w:rPr>
      </w:pPr>
      <w:r>
        <w:rPr>
          <w:rFonts w:hint="eastAsia" w:ascii="楷体_GB2312" w:hAnsi="Times New Roman" w:eastAsia="楷体_GB2312" w:cs="Times New Roman"/>
          <w:b/>
          <w:bCs w:val="0"/>
          <w:spacing w:val="-6"/>
          <w:sz w:val="32"/>
          <w:szCs w:val="32"/>
          <w:lang w:val="en-US" w:eastAsia="zh-CN"/>
        </w:rPr>
        <w:t>2.项目管理情况</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 xml:space="preserve">     本项目采取工作领导小组负责制，全体成员积极配合、通力合作。项目工作领导小组负责协调相关工作，项目实施及资金管理。</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en-US" w:eastAsia="zh-CN"/>
        </w:rPr>
      </w:pPr>
      <w:r>
        <w:rPr>
          <w:rFonts w:hint="eastAsia" w:ascii="楷体_GB2312" w:hAnsi="Times New Roman" w:eastAsia="楷体_GB2312" w:cs="Times New Roman"/>
          <w:b/>
          <w:bCs w:val="0"/>
          <w:spacing w:val="-6"/>
          <w:sz w:val="32"/>
          <w:szCs w:val="32"/>
          <w:lang w:val="en-US" w:eastAsia="zh-CN"/>
        </w:rPr>
        <w:t>3.项目监管情况</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16" w:firstLineChars="200"/>
        <w:textAlignment w:val="auto"/>
        <w:rPr>
          <w:rFonts w:hint="default"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项目资金由乡财政所具体管理，按照乡财务管理制度，对项目资金按项目单独核算实行“专款专用、专人管理”，不得挤占挪用项目资金。强化监督，项目的正常实施监督检查是保障。对项目的实施定期或不定期的进行现场检查和监督，及时协调解决困难和问题，保证项目顺利实施。</w:t>
      </w: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项目严格按照既定计划执行，</w:t>
      </w:r>
      <w:r>
        <w:rPr>
          <w:rFonts w:hint="eastAsia" w:ascii="仿宋_GB2312" w:hAnsi="Times New Roman" w:eastAsia="仿宋_GB2312" w:cs="Times New Roman"/>
          <w:spacing w:val="-6"/>
          <w:sz w:val="32"/>
          <w:szCs w:val="32"/>
          <w:lang w:val="en-US" w:eastAsia="zh-CN"/>
        </w:rPr>
        <w:t>按时发放驾驶员生活补助；保障环卫车辆正常运转；群众聚集点环境卫生得到明显改善，无明显的白色垃圾；垃圾桶满及清运，全年无桶满未清运的事情发生；辖区内全年无因环境卫生问题的投诉。</w:t>
      </w:r>
      <w:r>
        <w:rPr>
          <w:rFonts w:hint="eastAsia" w:ascii="仿宋_GB2312" w:hAnsi="Times New Roman" w:eastAsia="仿宋_GB2312" w:cs="Times New Roman"/>
          <w:spacing w:val="-6"/>
          <w:sz w:val="32"/>
          <w:szCs w:val="32"/>
        </w:rPr>
        <w:t>项目建设内容已完成100%。</w:t>
      </w:r>
    </w:p>
    <w:p>
      <w:pPr>
        <w:keepNext w:val="0"/>
        <w:keepLines w:val="0"/>
        <w:pageBreakBefore w:val="0"/>
        <w:numPr>
          <w:ilvl w:val="0"/>
          <w:numId w:val="10"/>
        </w:numPr>
        <w:kinsoku/>
        <w:wordWrap/>
        <w:overflowPunct/>
        <w:topLinePunct w:val="0"/>
        <w:autoSpaceDE w:val="0"/>
        <w:autoSpaceDN/>
        <w:bidi w:val="0"/>
        <w:spacing w:line="560" w:lineRule="exact"/>
        <w:ind w:firstLine="616"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项目效益情况</w:t>
      </w: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eastAsia="zh-CN"/>
        </w:rPr>
        <w:t>城乡环境综合治理项目改善了农民生产生活条件，提高了农民生活质量，完善了农村基础设施功能，</w:t>
      </w:r>
      <w:r>
        <w:rPr>
          <w:rFonts w:hint="eastAsia" w:ascii="仿宋_GB2312" w:hAnsi="Times New Roman" w:eastAsia="仿宋_GB2312" w:cs="Times New Roman"/>
          <w:spacing w:val="-6"/>
          <w:sz w:val="32"/>
          <w:szCs w:val="32"/>
          <w:lang w:val="en-US" w:eastAsia="zh-CN"/>
        </w:rPr>
        <w:t>全面未出现因路面扬尘出现的空气污染现象发生</w:t>
      </w:r>
      <w:r>
        <w:rPr>
          <w:rFonts w:hint="eastAsia" w:ascii="仿宋_GB2312" w:hAnsi="Times New Roman" w:eastAsia="仿宋_GB2312" w:cs="Times New Roman"/>
          <w:spacing w:val="-6"/>
          <w:sz w:val="32"/>
          <w:szCs w:val="32"/>
          <w:lang w:eastAsia="zh-CN"/>
        </w:rPr>
        <w:t>。并经村、社区居民评价，满意度为</w:t>
      </w:r>
      <w:r>
        <w:rPr>
          <w:rFonts w:hint="eastAsia" w:ascii="仿宋_GB2312" w:hAnsi="Times New Roman" w:eastAsia="仿宋_GB2312" w:cs="Times New Roman"/>
          <w:spacing w:val="-6"/>
          <w:sz w:val="32"/>
          <w:szCs w:val="32"/>
          <w:lang w:val="en-US" w:eastAsia="zh-CN"/>
        </w:rPr>
        <w:t>100%。</w:t>
      </w: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4"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（一）评价结论。</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通过项目的实施，各村（社区）环境卫生好，得到广大群众和外来游客的好评；保障了日常生产生活垃圾收集点的日常维护，环卫人员的生活补助有保障，垃圾车的运行有保障；完成了2个垃圾中转站和各村民小组110个垃圾收集点垃圾运转任务。根据部门整体支出绩效评价指标体系和绩效检查情况，综合得分96分（总分为100分），总体考核等次确定为“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4"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val="en-US" w:eastAsia="zh-CN"/>
        </w:rPr>
        <w:t>二</w:t>
      </w:r>
      <w:r>
        <w:rPr>
          <w:rFonts w:hint="eastAsia" w:ascii="楷体_GB2312" w:hAnsi="宋体" w:eastAsia="楷体_GB2312" w:cs="Times New Roman"/>
          <w:b/>
          <w:w w:val="99"/>
          <w:sz w:val="32"/>
          <w:szCs w:val="32"/>
        </w:rPr>
        <w:t>）存在的问题</w:t>
      </w: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麻柳乡地处朝天区与利州区交界处，是到曾家山旅游景区必经地，环境综合治理战线长，接受检查多，加之垃圾中转站还在建设中，垃圾统一运到隔壁乡镇进行无害化处理，还需要增加人力、物力和财力，由于部分人口素质低，还需要加强宣传力度，城乡环境综合治理常态化进行明细资金不足。</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4"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lang w:eastAsia="zh-CN"/>
        </w:rPr>
        <w:t>（</w:t>
      </w:r>
      <w:r>
        <w:rPr>
          <w:rFonts w:hint="eastAsia" w:ascii="楷体_GB2312" w:hAnsi="宋体" w:eastAsia="楷体_GB2312" w:cs="Times New Roman"/>
          <w:b/>
          <w:w w:val="99"/>
          <w:sz w:val="32"/>
          <w:szCs w:val="32"/>
          <w:lang w:val="en-US" w:eastAsia="zh-CN"/>
        </w:rPr>
        <w:t>三</w:t>
      </w:r>
      <w:r>
        <w:rPr>
          <w:rFonts w:hint="eastAsia" w:ascii="楷体_GB2312" w:hAnsi="宋体" w:eastAsia="楷体_GB2312" w:cs="Times New Roman"/>
          <w:b/>
          <w:w w:val="99"/>
          <w:sz w:val="32"/>
          <w:szCs w:val="32"/>
          <w:lang w:eastAsia="zh-CN"/>
        </w:rPr>
        <w:t>）</w:t>
      </w:r>
      <w:r>
        <w:rPr>
          <w:rFonts w:hint="eastAsia" w:ascii="楷体_GB2312" w:hAnsi="宋体" w:eastAsia="楷体_GB2312" w:cs="Times New Roman"/>
          <w:b/>
          <w:w w:val="99"/>
          <w:sz w:val="32"/>
          <w:szCs w:val="32"/>
        </w:rPr>
        <w:t>相关建议。</w:t>
      </w:r>
    </w:p>
    <w:p>
      <w:pPr>
        <w:keepNext w:val="0"/>
        <w:keepLines w:val="0"/>
        <w:pageBreakBefore w:val="0"/>
        <w:numPr>
          <w:ilvl w:val="0"/>
          <w:numId w:val="0"/>
        </w:numPr>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恳请区财政局在来年预算时适当增加我乡经费，确保环境治理工作真正实行长效管理。</w:t>
      </w:r>
    </w:p>
    <w:p>
      <w:pPr>
        <w:pStyle w:val="7"/>
        <w:rPr>
          <w:rFonts w:hint="eastAsia"/>
          <w:lang w:eastAsia="zh-CN"/>
        </w:rPr>
      </w:pPr>
    </w:p>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keepNext w:val="0"/>
        <w:keepLines w:val="0"/>
        <w:pageBreakBefore w:val="0"/>
        <w:widowControl w:val="0"/>
        <w:kinsoku/>
        <w:wordWrap/>
        <w:overflowPunct/>
        <w:topLinePunct w:val="0"/>
        <w:autoSpaceDE w:val="0"/>
        <w:autoSpaceDN/>
        <w:bidi w:val="0"/>
        <w:spacing w:line="56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2022年</w:t>
      </w:r>
      <w:r>
        <w:rPr>
          <w:rFonts w:hint="eastAsia" w:ascii="方正大标宋简体" w:hAnsi="??" w:eastAsia="方正大标宋简体" w:cs="Times New Roman"/>
          <w:b/>
          <w:color w:val="000000"/>
          <w:spacing w:val="-6"/>
          <w:kern w:val="0"/>
          <w:sz w:val="44"/>
          <w:szCs w:val="44"/>
          <w:lang w:val="en-US" w:eastAsia="zh-CN"/>
        </w:rPr>
        <w:t>综合执法专项工作经费</w:t>
      </w:r>
      <w:r>
        <w:rPr>
          <w:rFonts w:hint="eastAsia" w:ascii="方正大标宋简体" w:hAnsi="??" w:eastAsia="方正大标宋简体" w:cs="Times New Roman"/>
          <w:b/>
          <w:color w:val="000000"/>
          <w:spacing w:val="-6"/>
          <w:kern w:val="0"/>
          <w:sz w:val="44"/>
          <w:szCs w:val="44"/>
        </w:rPr>
        <w:t>项目支出绩效自评报告</w:t>
      </w:r>
    </w:p>
    <w:p>
      <w:pPr>
        <w:pStyle w:val="10"/>
        <w:keepNext w:val="0"/>
        <w:keepLines w:val="0"/>
        <w:pageBreakBefore w:val="0"/>
        <w:widowControl w:val="0"/>
        <w:kinsoku/>
        <w:wordWrap/>
        <w:overflowPunct/>
        <w:topLinePunct w:val="0"/>
        <w:autoSpaceDN/>
        <w:bidi w:val="0"/>
        <w:spacing w:line="560" w:lineRule="exact"/>
        <w:textAlignment w:val="auto"/>
        <w:rPr>
          <w:rFonts w:hint="eastAsia"/>
        </w:rPr>
      </w:pP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介绍项目基本情况，重点说明以下内容：</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仿宋_GB2312" w:hAnsi="Times New Roman" w:eastAsia="仿宋_GB2312" w:cs="Times New Roman"/>
          <w:b/>
          <w:bCs w:val="0"/>
          <w:spacing w:val="-6"/>
          <w:sz w:val="32"/>
          <w:szCs w:val="32"/>
        </w:rPr>
      </w:pPr>
      <w:r>
        <w:rPr>
          <w:rFonts w:hint="eastAsia" w:ascii="楷体_GB2312" w:hAnsi="Times New Roman" w:eastAsia="楷体_GB2312" w:cs="Times New Roman"/>
          <w:b/>
          <w:bCs w:val="0"/>
          <w:spacing w:val="-6"/>
          <w:sz w:val="32"/>
          <w:szCs w:val="32"/>
          <w:lang w:eastAsia="zh-CN"/>
        </w:rPr>
        <w:t>（</w:t>
      </w:r>
      <w:r>
        <w:rPr>
          <w:rFonts w:hint="eastAsia" w:ascii="楷体_GB2312" w:hAnsi="Times New Roman" w:eastAsia="楷体_GB2312" w:cs="Times New Roman"/>
          <w:b/>
          <w:bCs w:val="0"/>
          <w:spacing w:val="-6"/>
          <w:sz w:val="32"/>
          <w:szCs w:val="32"/>
          <w:lang w:val="en-US" w:eastAsia="zh-CN"/>
        </w:rPr>
        <w:t>一</w:t>
      </w:r>
      <w:r>
        <w:rPr>
          <w:rFonts w:hint="eastAsia" w:ascii="楷体_GB2312" w:hAnsi="Times New Roman" w:eastAsia="楷体_GB2312" w:cs="Times New Roman"/>
          <w:b/>
          <w:bCs w:val="0"/>
          <w:spacing w:val="-6"/>
          <w:sz w:val="32"/>
          <w:szCs w:val="32"/>
          <w:lang w:eastAsia="zh-CN"/>
        </w:rPr>
        <w:t>）</w:t>
      </w:r>
      <w:r>
        <w:rPr>
          <w:rFonts w:hint="eastAsia" w:ascii="楷体_GB2312" w:hAnsi="Times New Roman" w:eastAsia="楷体_GB2312" w:cs="Times New Roman"/>
          <w:b/>
          <w:bCs w:val="0"/>
          <w:spacing w:val="-6"/>
          <w:sz w:val="32"/>
          <w:szCs w:val="32"/>
        </w:rPr>
        <w:t>项目资金申报及批复情况。</w:t>
      </w:r>
    </w:p>
    <w:p>
      <w:pPr>
        <w:keepNext w:val="0"/>
        <w:keepLines w:val="0"/>
        <w:pageBreakBefore w:val="0"/>
        <w:widowControl w:val="0"/>
        <w:numPr>
          <w:ilvl w:val="0"/>
          <w:numId w:val="0"/>
        </w:numPr>
        <w:kinsoku/>
        <w:wordWrap/>
        <w:overflowPunct/>
        <w:topLinePunct w:val="0"/>
        <w:autoSpaceDE w:val="0"/>
        <w:autoSpaceDN/>
        <w:bidi w:val="0"/>
        <w:spacing w:line="560" w:lineRule="exact"/>
        <w:ind w:firstLine="592"/>
        <w:textAlignment w:val="auto"/>
        <w:rPr>
          <w:rFonts w:hint="default"/>
          <w:lang w:val="en-US" w:eastAsia="zh-CN"/>
        </w:rPr>
      </w:pPr>
      <w:r>
        <w:rPr>
          <w:rFonts w:hint="eastAsia" w:ascii="仿宋_GB2312" w:hAnsi="Times New Roman" w:eastAsia="仿宋_GB2312" w:cs="Times New Roman"/>
          <w:spacing w:val="-6"/>
          <w:sz w:val="32"/>
          <w:szCs w:val="32"/>
          <w:lang w:val="en-US" w:eastAsia="zh-CN"/>
        </w:rPr>
        <w:t>综合执法专项工作经费项目由乡人民政府报区人民政府同意后，经财政局批复下达后，全部用于综合执法专项工作经费项目。项目资金的申报、批复符合资金管理办法等相关规定。</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zh-CN" w:eastAsia="zh-CN"/>
        </w:rPr>
      </w:pPr>
      <w:r>
        <w:rPr>
          <w:rFonts w:hint="eastAsia" w:ascii="楷体_GB2312" w:hAnsi="Times New Roman" w:eastAsia="楷体_GB2312" w:cs="Times New Roman"/>
          <w:b/>
          <w:bCs w:val="0"/>
          <w:spacing w:val="-6"/>
          <w:sz w:val="32"/>
          <w:szCs w:val="32"/>
          <w:lang w:val="zh-CN" w:eastAsia="zh-CN"/>
        </w:rPr>
        <w:t>（二）项目绩效目标</w:t>
      </w:r>
    </w:p>
    <w:p>
      <w:pPr>
        <w:keepNext w:val="0"/>
        <w:keepLines w:val="0"/>
        <w:pageBreakBefore w:val="0"/>
        <w:widowControl w:val="0"/>
        <w:numPr>
          <w:ilvl w:val="0"/>
          <w:numId w:val="0"/>
        </w:numPr>
        <w:kinsoku/>
        <w:wordWrap/>
        <w:overflowPunct/>
        <w:topLinePunct w:val="0"/>
        <w:autoSpaceDE w:val="0"/>
        <w:autoSpaceDN/>
        <w:bidi w:val="0"/>
        <w:spacing w:line="560" w:lineRule="exact"/>
        <w:ind w:firstLine="592"/>
        <w:textAlignment w:val="auto"/>
        <w:rPr>
          <w:rFonts w:hint="eastAsia" w:ascii="仿宋_GB2312" w:hAnsi="Times New Roman" w:eastAsia="仿宋_GB2312" w:cs="Times New Roman"/>
          <w:spacing w:val="-6"/>
          <w:sz w:val="32"/>
          <w:szCs w:val="32"/>
          <w:lang w:val="zh-CN" w:eastAsia="zh-CN"/>
        </w:rPr>
      </w:pPr>
      <w:r>
        <w:rPr>
          <w:rFonts w:hint="eastAsia" w:ascii="仿宋_GB2312" w:hAnsi="Times New Roman" w:eastAsia="仿宋_GB2312" w:cs="Times New Roman"/>
          <w:spacing w:val="-6"/>
          <w:sz w:val="32"/>
          <w:szCs w:val="32"/>
          <w:lang w:val="en-US" w:eastAsia="zh-CN"/>
        </w:rPr>
        <w:t>1.</w:t>
      </w:r>
      <w:r>
        <w:rPr>
          <w:rFonts w:hint="eastAsia" w:ascii="仿宋_GB2312" w:hAnsi="Times New Roman" w:eastAsia="仿宋_GB2312" w:cs="Times New Roman"/>
          <w:spacing w:val="-6"/>
          <w:sz w:val="32"/>
          <w:szCs w:val="32"/>
          <w:lang w:val="zh-CN" w:eastAsia="zh-CN"/>
        </w:rPr>
        <w:t>我</w:t>
      </w:r>
      <w:r>
        <w:rPr>
          <w:rFonts w:hint="eastAsia" w:ascii="仿宋_GB2312" w:hAnsi="Times New Roman" w:eastAsia="仿宋_GB2312" w:cs="Times New Roman"/>
          <w:spacing w:val="-6"/>
          <w:sz w:val="32"/>
          <w:szCs w:val="32"/>
          <w:lang w:val="en-US" w:eastAsia="zh-CN"/>
        </w:rPr>
        <w:t>乡综合执法专项工作经费</w:t>
      </w:r>
      <w:r>
        <w:rPr>
          <w:rFonts w:hint="eastAsia" w:ascii="仿宋_GB2312" w:hAnsi="Times New Roman" w:eastAsia="仿宋_GB2312" w:cs="Times New Roman"/>
          <w:spacing w:val="-6"/>
          <w:sz w:val="32"/>
          <w:szCs w:val="32"/>
          <w:lang w:val="zh-CN" w:eastAsia="zh-CN"/>
        </w:rPr>
        <w:t>主要</w:t>
      </w:r>
      <w:r>
        <w:rPr>
          <w:rFonts w:hint="eastAsia" w:ascii="仿宋_GB2312" w:hAnsi="Times New Roman" w:eastAsia="仿宋_GB2312" w:cs="Times New Roman"/>
          <w:spacing w:val="-6"/>
          <w:sz w:val="32"/>
          <w:szCs w:val="32"/>
          <w:lang w:val="en-US" w:eastAsia="zh-CN"/>
        </w:rPr>
        <w:t>内容</w:t>
      </w:r>
      <w:r>
        <w:rPr>
          <w:rFonts w:hint="eastAsia" w:ascii="仿宋_GB2312" w:hAnsi="Times New Roman" w:eastAsia="仿宋_GB2312" w:cs="Times New Roman"/>
          <w:spacing w:val="-6"/>
          <w:sz w:val="32"/>
          <w:szCs w:val="32"/>
          <w:lang w:val="zh-CN" w:eastAsia="zh-CN"/>
        </w:rPr>
        <w:t>：改善辖区内城乡环境，提升城市管理水平；开展行政检查事项，保障农产品质量安全、森林防火安全、农村饮水安全等，清理各类违法乱搭乱建，农村建房乱象，乱占耕地等对生态环境造成影响的行为；开展法治宣传活动；取得执法资格证人数3人以上。</w:t>
      </w:r>
    </w:p>
    <w:p>
      <w:pPr>
        <w:keepNext w:val="0"/>
        <w:keepLines w:val="0"/>
        <w:pageBreakBefore w:val="0"/>
        <w:widowControl w:val="0"/>
        <w:numPr>
          <w:ilvl w:val="0"/>
          <w:numId w:val="0"/>
        </w:numPr>
        <w:kinsoku/>
        <w:wordWrap/>
        <w:overflowPunct/>
        <w:topLinePunct w:val="0"/>
        <w:autoSpaceDE w:val="0"/>
        <w:autoSpaceDN/>
        <w:bidi w:val="0"/>
        <w:spacing w:line="560" w:lineRule="exact"/>
        <w:ind w:firstLine="592"/>
        <w:textAlignment w:val="auto"/>
        <w:rPr>
          <w:rFonts w:hint="eastAsia" w:ascii="仿宋_GB2312" w:hAnsi="Times New Roman" w:eastAsia="仿宋_GB2312" w:cs="Times New Roman"/>
          <w:spacing w:val="-6"/>
          <w:sz w:val="32"/>
          <w:szCs w:val="32"/>
          <w:lang w:val="zh-CN" w:eastAsia="zh-CN"/>
        </w:rPr>
      </w:pPr>
      <w:r>
        <w:rPr>
          <w:rFonts w:hint="eastAsia" w:ascii="仿宋_GB2312" w:hAnsi="Times New Roman" w:eastAsia="仿宋_GB2312" w:cs="Times New Roman"/>
          <w:spacing w:val="-6"/>
          <w:sz w:val="32"/>
          <w:szCs w:val="32"/>
          <w:lang w:val="en-US" w:eastAsia="zh-CN"/>
        </w:rPr>
        <w:t>2.我乡综合执法专项工作经费具体绩效目标：开展综合执法检查不少于42次；完成阵地建设1个；阵地建设达标率100%。</w:t>
      </w:r>
      <w:r>
        <w:rPr>
          <w:rFonts w:hint="eastAsia" w:ascii="仿宋_GB2312" w:hAnsi="Times New Roman" w:eastAsia="仿宋_GB2312" w:cs="Times New Roman"/>
          <w:spacing w:val="-6"/>
          <w:sz w:val="32"/>
          <w:szCs w:val="32"/>
          <w:lang w:val="zh-CN" w:eastAsia="zh-CN"/>
        </w:rPr>
        <w:t>加强安全生产培训、宣传，为安全生产重点项目提供资金保证，消除重大公共安全隐患，督查、检查安全管理水平，提升我</w:t>
      </w:r>
      <w:r>
        <w:rPr>
          <w:rFonts w:hint="eastAsia" w:ascii="仿宋_GB2312" w:hAnsi="Times New Roman" w:eastAsia="仿宋_GB2312" w:cs="Times New Roman"/>
          <w:spacing w:val="-6"/>
          <w:sz w:val="32"/>
          <w:szCs w:val="32"/>
          <w:lang w:val="en-US" w:eastAsia="zh-CN"/>
        </w:rPr>
        <w:t>乡</w:t>
      </w:r>
      <w:r>
        <w:rPr>
          <w:rFonts w:hint="eastAsia" w:ascii="仿宋_GB2312" w:hAnsi="Times New Roman" w:eastAsia="仿宋_GB2312" w:cs="Times New Roman"/>
          <w:spacing w:val="-6"/>
          <w:sz w:val="32"/>
          <w:szCs w:val="32"/>
          <w:lang w:val="zh-CN" w:eastAsia="zh-CN"/>
        </w:rPr>
        <w:t>安全生产监管水平。</w:t>
      </w:r>
    </w:p>
    <w:p>
      <w:pPr>
        <w:keepNext w:val="0"/>
        <w:keepLines w:val="0"/>
        <w:pageBreakBefore w:val="0"/>
        <w:widowControl w:val="0"/>
        <w:numPr>
          <w:ilvl w:val="0"/>
          <w:numId w:val="0"/>
        </w:numPr>
        <w:kinsoku/>
        <w:wordWrap/>
        <w:overflowPunct/>
        <w:topLinePunct w:val="0"/>
        <w:autoSpaceDE w:val="0"/>
        <w:autoSpaceDN/>
        <w:bidi w:val="0"/>
        <w:spacing w:line="560" w:lineRule="exact"/>
        <w:ind w:firstLine="592"/>
        <w:textAlignment w:val="auto"/>
        <w:rPr>
          <w:rFonts w:hint="eastAsia" w:ascii="仿宋_GB2312" w:hAnsi="Times New Roman" w:eastAsia="仿宋_GB2312" w:cs="Times New Roman"/>
          <w:spacing w:val="-6"/>
          <w:sz w:val="32"/>
          <w:szCs w:val="32"/>
          <w:lang w:val="zh-CN" w:eastAsia="zh-CN"/>
        </w:rPr>
      </w:pPr>
      <w:r>
        <w:rPr>
          <w:rFonts w:hint="eastAsia" w:ascii="仿宋_GB2312" w:hAnsi="Times New Roman" w:eastAsia="仿宋_GB2312" w:cs="Times New Roman"/>
          <w:spacing w:val="-6"/>
          <w:sz w:val="32"/>
          <w:szCs w:val="32"/>
          <w:lang w:val="en-US" w:eastAsia="zh-CN"/>
        </w:rPr>
        <w:t>3.综合执法工作经费项目</w:t>
      </w:r>
      <w:r>
        <w:rPr>
          <w:rFonts w:hint="eastAsia" w:ascii="仿宋_GB2312" w:hAnsi="Times New Roman" w:eastAsia="仿宋_GB2312" w:cs="Times New Roman"/>
          <w:spacing w:val="-6"/>
          <w:sz w:val="32"/>
          <w:szCs w:val="32"/>
          <w:lang w:val="zh-CN" w:eastAsia="zh-CN"/>
        </w:rPr>
        <w:t>的申报符合</w:t>
      </w:r>
      <w:r>
        <w:rPr>
          <w:rFonts w:hint="eastAsia" w:ascii="仿宋_GB2312" w:hAnsi="Times New Roman" w:eastAsia="仿宋_GB2312" w:cs="Times New Roman"/>
          <w:spacing w:val="-6"/>
          <w:sz w:val="32"/>
          <w:szCs w:val="32"/>
          <w:lang w:val="en-US" w:eastAsia="zh-CN"/>
        </w:rPr>
        <w:t>区</w:t>
      </w:r>
      <w:r>
        <w:rPr>
          <w:rFonts w:hint="eastAsia" w:ascii="仿宋_GB2312" w:hAnsi="Times New Roman" w:eastAsia="仿宋_GB2312" w:cs="Times New Roman"/>
          <w:spacing w:val="-6"/>
          <w:sz w:val="32"/>
          <w:szCs w:val="32"/>
          <w:lang w:val="zh-CN" w:eastAsia="zh-CN"/>
        </w:rPr>
        <w:t>委、</w:t>
      </w:r>
      <w:r>
        <w:rPr>
          <w:rFonts w:hint="eastAsia" w:ascii="仿宋_GB2312" w:hAnsi="Times New Roman" w:eastAsia="仿宋_GB2312" w:cs="Times New Roman"/>
          <w:spacing w:val="-6"/>
          <w:sz w:val="32"/>
          <w:szCs w:val="32"/>
          <w:lang w:val="en-US" w:eastAsia="zh-CN"/>
        </w:rPr>
        <w:t>区</w:t>
      </w:r>
      <w:r>
        <w:rPr>
          <w:rFonts w:hint="eastAsia" w:ascii="仿宋_GB2312" w:hAnsi="Times New Roman" w:eastAsia="仿宋_GB2312" w:cs="Times New Roman"/>
          <w:spacing w:val="-6"/>
          <w:sz w:val="32"/>
          <w:szCs w:val="32"/>
          <w:lang w:val="zh-CN" w:eastAsia="zh-CN"/>
        </w:rPr>
        <w:t>政府的决策部署，符合保障全乡安全生产的实际需要。</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zh-CN" w:eastAsia="zh-CN"/>
        </w:rPr>
      </w:pPr>
      <w:r>
        <w:rPr>
          <w:rFonts w:hint="eastAsia" w:ascii="楷体_GB2312" w:hAnsi="Times New Roman" w:eastAsia="楷体_GB2312" w:cs="Times New Roman"/>
          <w:b/>
          <w:bCs w:val="0"/>
          <w:spacing w:val="-6"/>
          <w:sz w:val="32"/>
          <w:szCs w:val="32"/>
          <w:lang w:val="zh-CN" w:eastAsia="zh-CN"/>
        </w:rPr>
        <w:t>（三）项目自评步骤及方法</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项目采取自评与他评相结合方式，成立项目自评小组，结合评价内容，做到有计划、有安排，有奖惩，扎实开展本次自评工作。按照上级下达的项目支出绩效评价指标体系，自评小组针对申报内容、实施情况、资金兑现、财务管理、社会效益等做出自我评价，并撰写自评报告。</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二、项目资金申报及使用情况</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zh-CN" w:eastAsia="zh-CN"/>
        </w:rPr>
      </w:pPr>
      <w:r>
        <w:rPr>
          <w:rFonts w:hint="eastAsia" w:ascii="楷体_GB2312" w:hAnsi="Times New Roman" w:eastAsia="楷体_GB2312" w:cs="Times New Roman"/>
          <w:b/>
          <w:bCs w:val="0"/>
          <w:spacing w:val="-6"/>
          <w:sz w:val="32"/>
          <w:szCs w:val="32"/>
          <w:lang w:val="zh-CN" w:eastAsia="zh-CN"/>
        </w:rPr>
        <w:t>（</w:t>
      </w:r>
      <w:r>
        <w:rPr>
          <w:rFonts w:hint="eastAsia" w:ascii="楷体_GB2312" w:hAnsi="Times New Roman" w:eastAsia="楷体_GB2312" w:cs="Times New Roman"/>
          <w:b/>
          <w:bCs w:val="0"/>
          <w:spacing w:val="-6"/>
          <w:sz w:val="32"/>
          <w:szCs w:val="32"/>
          <w:lang w:val="en-US" w:eastAsia="zh-CN"/>
        </w:rPr>
        <w:t>一</w:t>
      </w:r>
      <w:r>
        <w:rPr>
          <w:rFonts w:hint="eastAsia" w:ascii="楷体_GB2312" w:hAnsi="Times New Roman" w:eastAsia="楷体_GB2312" w:cs="Times New Roman"/>
          <w:b/>
          <w:bCs w:val="0"/>
          <w:spacing w:val="-6"/>
          <w:sz w:val="32"/>
          <w:szCs w:val="32"/>
          <w:lang w:val="zh-CN" w:eastAsia="zh-CN"/>
        </w:rPr>
        <w:t>）资金计划、到位及使用情况</w:t>
      </w:r>
    </w:p>
    <w:p>
      <w:pPr>
        <w:keepNext w:val="0"/>
        <w:keepLines w:val="0"/>
        <w:pageBreakBefore w:val="0"/>
        <w:widowControl w:val="0"/>
        <w:kinsoku/>
        <w:wordWrap/>
        <w:overflowPunct/>
        <w:topLinePunct w:val="0"/>
        <w:autoSpaceDN/>
        <w:bidi w:val="0"/>
        <w:adjustRightInd w:val="0"/>
        <w:snapToGrid w:val="0"/>
        <w:spacing w:line="560" w:lineRule="exact"/>
        <w:ind w:firstLine="616" w:firstLineChars="200"/>
        <w:textAlignment w:val="auto"/>
        <w:rPr>
          <w:rFonts w:hint="eastAsia" w:ascii="仿宋_GB2312" w:hAnsi="Times New Roman" w:eastAsia="仿宋_GB2312" w:cs="Times New Roman"/>
          <w:spacing w:val="-6"/>
          <w:sz w:val="32"/>
          <w:szCs w:val="32"/>
          <w:lang w:val="zh-CN" w:eastAsia="zh-CN"/>
        </w:rPr>
      </w:pPr>
      <w:r>
        <w:rPr>
          <w:rFonts w:hint="eastAsia" w:ascii="仿宋_GB2312" w:hAnsi="Times New Roman" w:eastAsia="仿宋_GB2312" w:cs="Times New Roman"/>
          <w:spacing w:val="-6"/>
          <w:sz w:val="32"/>
          <w:szCs w:val="32"/>
          <w:lang w:val="zh-CN" w:eastAsia="zh-CN"/>
        </w:rPr>
        <w:t>1．资金计划及到位。我</w:t>
      </w:r>
      <w:r>
        <w:rPr>
          <w:rFonts w:hint="eastAsia" w:ascii="仿宋_GB2312" w:hAnsi="Times New Roman" w:eastAsia="仿宋_GB2312" w:cs="Times New Roman"/>
          <w:spacing w:val="-6"/>
          <w:sz w:val="32"/>
          <w:szCs w:val="32"/>
          <w:lang w:val="en-US" w:eastAsia="zh-CN"/>
        </w:rPr>
        <w:t>乡综合执法工作经费</w:t>
      </w:r>
      <w:r>
        <w:rPr>
          <w:rFonts w:hint="eastAsia" w:ascii="仿宋_GB2312" w:hAnsi="Times New Roman" w:eastAsia="仿宋_GB2312" w:cs="Times New Roman"/>
          <w:spacing w:val="-6"/>
          <w:sz w:val="32"/>
          <w:szCs w:val="32"/>
          <w:lang w:val="zh-CN" w:eastAsia="zh-CN"/>
        </w:rPr>
        <w:t>年初预算数为</w:t>
      </w:r>
      <w:r>
        <w:rPr>
          <w:rFonts w:hint="eastAsia" w:ascii="仿宋_GB2312" w:hAnsi="Times New Roman" w:eastAsia="仿宋_GB2312" w:cs="Times New Roman"/>
          <w:spacing w:val="-6"/>
          <w:sz w:val="32"/>
          <w:szCs w:val="32"/>
          <w:lang w:val="en-US" w:eastAsia="zh-CN"/>
        </w:rPr>
        <w:t>6</w:t>
      </w:r>
      <w:r>
        <w:rPr>
          <w:rFonts w:hint="eastAsia" w:ascii="仿宋_GB2312" w:hAnsi="Times New Roman" w:eastAsia="仿宋_GB2312" w:cs="Times New Roman"/>
          <w:spacing w:val="-6"/>
          <w:sz w:val="32"/>
          <w:szCs w:val="32"/>
          <w:lang w:val="zh-CN" w:eastAsia="zh-CN"/>
        </w:rPr>
        <w:t>万元，在实施过程中，根据项目实施进度和实际验收情况申请和拨付项目资金，截止20</w:t>
      </w:r>
      <w:r>
        <w:rPr>
          <w:rFonts w:hint="eastAsia" w:ascii="仿宋_GB2312" w:hAnsi="Times New Roman" w:eastAsia="仿宋_GB2312" w:cs="Times New Roman"/>
          <w:spacing w:val="-6"/>
          <w:sz w:val="32"/>
          <w:szCs w:val="32"/>
          <w:lang w:val="en-US" w:eastAsia="zh-CN"/>
        </w:rPr>
        <w:t>22</w:t>
      </w:r>
      <w:r>
        <w:rPr>
          <w:rFonts w:hint="eastAsia" w:ascii="仿宋_GB2312" w:hAnsi="Times New Roman" w:eastAsia="仿宋_GB2312" w:cs="Times New Roman"/>
          <w:spacing w:val="-6"/>
          <w:sz w:val="32"/>
          <w:szCs w:val="32"/>
          <w:lang w:val="zh-CN" w:eastAsia="zh-CN"/>
        </w:rPr>
        <w:t>年12月底所有计划资金全部到位。</w:t>
      </w:r>
    </w:p>
    <w:p>
      <w:pPr>
        <w:keepNext w:val="0"/>
        <w:keepLines w:val="0"/>
        <w:pageBreakBefore w:val="0"/>
        <w:widowControl w:val="0"/>
        <w:kinsoku/>
        <w:wordWrap/>
        <w:overflowPunct/>
        <w:topLinePunct w:val="0"/>
        <w:autoSpaceDN/>
        <w:bidi w:val="0"/>
        <w:adjustRightInd w:val="0"/>
        <w:snapToGrid w:val="0"/>
        <w:spacing w:line="560" w:lineRule="exact"/>
        <w:ind w:firstLine="616" w:firstLineChars="200"/>
        <w:textAlignment w:val="auto"/>
        <w:rPr>
          <w:rFonts w:hint="eastAsia" w:ascii="仿宋_GB2312" w:hAnsi="Times New Roman" w:eastAsia="仿宋_GB2312" w:cs="Times New Roman"/>
          <w:spacing w:val="-6"/>
          <w:sz w:val="32"/>
          <w:szCs w:val="32"/>
          <w:lang w:val="zh-CN" w:eastAsia="zh-CN"/>
        </w:rPr>
      </w:pP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lang w:val="zh-CN" w:eastAsia="zh-CN"/>
        </w:rPr>
        <w:t>．资金使用。截止20</w:t>
      </w:r>
      <w:r>
        <w:rPr>
          <w:rFonts w:hint="eastAsia" w:ascii="仿宋_GB2312" w:hAnsi="Times New Roman" w:eastAsia="仿宋_GB2312" w:cs="Times New Roman"/>
          <w:spacing w:val="-6"/>
          <w:sz w:val="32"/>
          <w:szCs w:val="32"/>
          <w:lang w:val="en-US" w:eastAsia="zh-CN"/>
        </w:rPr>
        <w:t>22</w:t>
      </w:r>
      <w:r>
        <w:rPr>
          <w:rFonts w:hint="eastAsia" w:ascii="仿宋_GB2312" w:hAnsi="Times New Roman" w:eastAsia="仿宋_GB2312" w:cs="Times New Roman"/>
          <w:spacing w:val="-6"/>
          <w:sz w:val="32"/>
          <w:szCs w:val="32"/>
          <w:lang w:val="zh-CN" w:eastAsia="zh-CN"/>
        </w:rPr>
        <w:t>年12月底，我乡</w:t>
      </w:r>
      <w:r>
        <w:rPr>
          <w:rFonts w:hint="eastAsia" w:ascii="仿宋_GB2312" w:hAnsi="Times New Roman" w:eastAsia="仿宋_GB2312" w:cs="Times New Roman"/>
          <w:spacing w:val="-6"/>
          <w:sz w:val="32"/>
          <w:szCs w:val="32"/>
          <w:lang w:val="en-US" w:eastAsia="zh-CN"/>
        </w:rPr>
        <w:t>综合执法工作</w:t>
      </w:r>
      <w:r>
        <w:rPr>
          <w:rFonts w:hint="eastAsia" w:ascii="仿宋_GB2312" w:hAnsi="Times New Roman" w:eastAsia="仿宋_GB2312" w:cs="Times New Roman"/>
          <w:spacing w:val="-6"/>
          <w:sz w:val="32"/>
          <w:szCs w:val="32"/>
          <w:lang w:val="zh-CN" w:eastAsia="zh-CN"/>
        </w:rPr>
        <w:t>经费已按项目实施和实际验收情况全部支出</w:t>
      </w:r>
      <w:r>
        <w:rPr>
          <w:rFonts w:hint="eastAsia" w:ascii="仿宋_GB2312" w:hAnsi="Times New Roman" w:eastAsia="仿宋_GB2312" w:cs="Times New Roman"/>
          <w:spacing w:val="-6"/>
          <w:sz w:val="32"/>
          <w:szCs w:val="32"/>
          <w:lang w:val="en-US" w:eastAsia="zh-CN"/>
        </w:rPr>
        <w:t>6</w:t>
      </w:r>
      <w:r>
        <w:rPr>
          <w:rFonts w:hint="eastAsia" w:ascii="仿宋_GB2312" w:hAnsi="Times New Roman" w:eastAsia="仿宋_GB2312" w:cs="Times New Roman"/>
          <w:spacing w:val="-6"/>
          <w:sz w:val="32"/>
          <w:szCs w:val="32"/>
          <w:lang w:val="zh-CN" w:eastAsia="zh-CN"/>
        </w:rPr>
        <w:t>万元，主要用于</w:t>
      </w:r>
      <w:r>
        <w:rPr>
          <w:rFonts w:hint="eastAsia" w:ascii="仿宋_GB2312" w:hAnsi="Times New Roman" w:eastAsia="仿宋_GB2312" w:cs="Times New Roman"/>
          <w:spacing w:val="-6"/>
          <w:sz w:val="32"/>
          <w:szCs w:val="32"/>
          <w:lang w:val="en-US" w:eastAsia="zh-CN"/>
        </w:rPr>
        <w:t>综合执法</w:t>
      </w:r>
      <w:r>
        <w:rPr>
          <w:rFonts w:hint="eastAsia" w:ascii="仿宋_GB2312" w:hAnsi="Times New Roman" w:eastAsia="仿宋_GB2312" w:cs="Times New Roman"/>
          <w:spacing w:val="-6"/>
          <w:sz w:val="32"/>
          <w:szCs w:val="32"/>
          <w:lang w:val="zh-CN" w:eastAsia="zh-CN"/>
        </w:rPr>
        <w:t>培训、安全宣传单的印刷、安全隐患的排查</w:t>
      </w:r>
      <w:r>
        <w:rPr>
          <w:rFonts w:hint="eastAsia" w:ascii="仿宋_GB2312" w:hAnsi="Times New Roman" w:eastAsia="仿宋_GB2312" w:cs="Times New Roman"/>
          <w:spacing w:val="-6"/>
          <w:sz w:val="32"/>
          <w:szCs w:val="32"/>
          <w:lang w:val="en-US" w:eastAsia="zh-CN"/>
        </w:rPr>
        <w:t>等</w:t>
      </w:r>
      <w:r>
        <w:rPr>
          <w:rFonts w:hint="eastAsia" w:ascii="仿宋_GB2312" w:hAnsi="Times New Roman" w:eastAsia="仿宋_GB2312" w:cs="Times New Roman"/>
          <w:spacing w:val="-6"/>
          <w:sz w:val="32"/>
          <w:szCs w:val="32"/>
          <w:lang w:val="zh-CN" w:eastAsia="zh-CN"/>
        </w:rPr>
        <w:t>有关安全工作</w:t>
      </w:r>
      <w:r>
        <w:rPr>
          <w:rFonts w:hint="eastAsia" w:ascii="仿宋_GB2312" w:hAnsi="Times New Roman" w:eastAsia="仿宋_GB2312" w:cs="Times New Roman"/>
          <w:spacing w:val="-6"/>
          <w:sz w:val="32"/>
          <w:szCs w:val="32"/>
          <w:lang w:val="en-US" w:eastAsia="zh-CN"/>
        </w:rPr>
        <w:t>综合执法</w:t>
      </w:r>
      <w:r>
        <w:rPr>
          <w:rFonts w:hint="eastAsia" w:ascii="仿宋_GB2312" w:hAnsi="Times New Roman" w:eastAsia="仿宋_GB2312" w:cs="Times New Roman"/>
          <w:spacing w:val="-6"/>
          <w:sz w:val="32"/>
          <w:szCs w:val="32"/>
          <w:lang w:val="zh-CN" w:eastAsia="zh-CN"/>
        </w:rPr>
        <w:t>的</w:t>
      </w:r>
      <w:r>
        <w:rPr>
          <w:rFonts w:hint="eastAsia" w:ascii="仿宋_GB2312" w:hAnsi="Times New Roman" w:eastAsia="仿宋_GB2312" w:cs="Times New Roman"/>
          <w:spacing w:val="-6"/>
          <w:sz w:val="32"/>
          <w:szCs w:val="32"/>
          <w:lang w:val="en-US" w:eastAsia="zh-CN"/>
        </w:rPr>
        <w:t>检查及综合执法办公室的标准化建设</w:t>
      </w:r>
      <w:r>
        <w:rPr>
          <w:rFonts w:hint="eastAsia" w:ascii="仿宋_GB2312" w:hAnsi="Times New Roman" w:eastAsia="仿宋_GB2312" w:cs="Times New Roman"/>
          <w:spacing w:val="-6"/>
          <w:sz w:val="32"/>
          <w:szCs w:val="32"/>
          <w:lang w:val="zh-CN" w:eastAsia="zh-CN"/>
        </w:rPr>
        <w:t>，其实际资金支付与预算相符。</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zh-CN" w:eastAsia="zh-CN"/>
        </w:rPr>
      </w:pPr>
      <w:r>
        <w:rPr>
          <w:rFonts w:hint="eastAsia" w:ascii="楷体_GB2312" w:hAnsi="Times New Roman" w:eastAsia="楷体_GB2312" w:cs="Times New Roman"/>
          <w:b/>
          <w:bCs w:val="0"/>
          <w:spacing w:val="-6"/>
          <w:sz w:val="32"/>
          <w:szCs w:val="32"/>
          <w:lang w:val="zh-CN" w:eastAsia="zh-CN"/>
        </w:rPr>
        <w:t>（</w:t>
      </w:r>
      <w:r>
        <w:rPr>
          <w:rFonts w:hint="eastAsia" w:ascii="楷体_GB2312" w:hAnsi="Times New Roman" w:eastAsia="楷体_GB2312" w:cs="Times New Roman"/>
          <w:b/>
          <w:bCs w:val="0"/>
          <w:spacing w:val="-6"/>
          <w:sz w:val="32"/>
          <w:szCs w:val="32"/>
          <w:lang w:val="en-US" w:eastAsia="zh-CN"/>
        </w:rPr>
        <w:t>二</w:t>
      </w:r>
      <w:r>
        <w:rPr>
          <w:rFonts w:hint="eastAsia" w:ascii="楷体_GB2312" w:hAnsi="Times New Roman" w:eastAsia="楷体_GB2312" w:cs="Times New Roman"/>
          <w:b/>
          <w:bCs w:val="0"/>
          <w:spacing w:val="-6"/>
          <w:sz w:val="32"/>
          <w:szCs w:val="32"/>
          <w:lang w:val="zh-CN" w:eastAsia="zh-CN"/>
        </w:rPr>
        <w:t>）项目财务管理情况</w:t>
      </w:r>
    </w:p>
    <w:p>
      <w:pPr>
        <w:keepNext w:val="0"/>
        <w:keepLines w:val="0"/>
        <w:pageBreakBefore w:val="0"/>
        <w:widowControl w:val="0"/>
        <w:kinsoku/>
        <w:wordWrap/>
        <w:overflowPunct/>
        <w:topLinePunct w:val="0"/>
        <w:autoSpaceDN/>
        <w:bidi w:val="0"/>
        <w:adjustRightInd w:val="0"/>
        <w:snapToGrid w:val="0"/>
        <w:spacing w:line="560" w:lineRule="exact"/>
        <w:ind w:firstLine="616" w:firstLineChars="200"/>
        <w:textAlignment w:val="auto"/>
        <w:rPr>
          <w:rFonts w:hint="eastAsia" w:ascii="仿宋_GB2312" w:hAnsi="Times New Roman" w:eastAsia="仿宋_GB2312" w:cs="Times New Roman"/>
          <w:spacing w:val="-6"/>
          <w:sz w:val="32"/>
          <w:szCs w:val="32"/>
          <w:lang w:val="zh-CN" w:eastAsia="zh-CN"/>
        </w:rPr>
      </w:pPr>
      <w:r>
        <w:rPr>
          <w:rFonts w:hint="eastAsia" w:ascii="仿宋_GB2312" w:hAnsi="Times New Roman" w:eastAsia="仿宋_GB2312" w:cs="Times New Roman"/>
          <w:spacing w:val="-6"/>
          <w:sz w:val="32"/>
          <w:szCs w:val="32"/>
          <w:lang w:val="zh-CN" w:eastAsia="zh-CN"/>
        </w:rPr>
        <w:t>我乡</w:t>
      </w:r>
      <w:r>
        <w:rPr>
          <w:rFonts w:hint="eastAsia" w:ascii="仿宋_GB2312" w:hAnsi="Times New Roman" w:eastAsia="仿宋_GB2312" w:cs="Times New Roman"/>
          <w:spacing w:val="-6"/>
          <w:sz w:val="32"/>
          <w:szCs w:val="32"/>
          <w:lang w:val="en-US" w:eastAsia="zh-CN"/>
        </w:rPr>
        <w:t>综合执法工作</w:t>
      </w:r>
      <w:r>
        <w:rPr>
          <w:rFonts w:hint="eastAsia" w:ascii="仿宋_GB2312" w:hAnsi="Times New Roman" w:eastAsia="仿宋_GB2312" w:cs="Times New Roman"/>
          <w:spacing w:val="-6"/>
          <w:sz w:val="32"/>
          <w:szCs w:val="32"/>
          <w:lang w:val="zh-CN" w:eastAsia="zh-CN"/>
        </w:rPr>
        <w:t>经费采取零余额账户授权支付形式，资金支出严格按照相关政策进行，在会计核算中严格按相关科目进行会计核算及账务处理，在项目资金的执行上严格遵循相关的财务管理制度，账务处理能及时、准确、规范反映资金情况。</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zh-CN" w:eastAsia="zh-CN"/>
        </w:rPr>
      </w:pPr>
      <w:r>
        <w:rPr>
          <w:rFonts w:hint="eastAsia" w:ascii="楷体_GB2312" w:hAnsi="Times New Roman" w:eastAsia="楷体_GB2312" w:cs="Times New Roman"/>
          <w:b/>
          <w:bCs w:val="0"/>
          <w:spacing w:val="-6"/>
          <w:sz w:val="32"/>
          <w:szCs w:val="32"/>
          <w:lang w:val="zh-CN" w:eastAsia="zh-CN"/>
        </w:rPr>
        <w:t>（</w:t>
      </w:r>
      <w:r>
        <w:rPr>
          <w:rFonts w:hint="eastAsia" w:ascii="楷体_GB2312" w:hAnsi="Times New Roman" w:eastAsia="楷体_GB2312" w:cs="Times New Roman"/>
          <w:b/>
          <w:bCs w:val="0"/>
          <w:spacing w:val="-6"/>
          <w:sz w:val="32"/>
          <w:szCs w:val="32"/>
          <w:lang w:val="en-US" w:eastAsia="zh-CN"/>
        </w:rPr>
        <w:t>三</w:t>
      </w:r>
      <w:r>
        <w:rPr>
          <w:rFonts w:hint="eastAsia" w:ascii="楷体_GB2312" w:hAnsi="Times New Roman" w:eastAsia="楷体_GB2312" w:cs="Times New Roman"/>
          <w:b/>
          <w:bCs w:val="0"/>
          <w:spacing w:val="-6"/>
          <w:sz w:val="32"/>
          <w:szCs w:val="32"/>
          <w:lang w:val="zh-CN" w:eastAsia="zh-CN"/>
        </w:rPr>
        <w:t>）项目实施及管理情况</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default" w:ascii="楷体_GB2312" w:hAnsi="Times New Roman" w:eastAsia="楷体_GB2312" w:cs="Times New Roman"/>
          <w:b/>
          <w:bCs w:val="0"/>
          <w:spacing w:val="-6"/>
          <w:sz w:val="32"/>
          <w:szCs w:val="32"/>
          <w:lang w:val="en-US" w:eastAsia="zh-CN"/>
        </w:rPr>
      </w:pPr>
      <w:r>
        <w:rPr>
          <w:rFonts w:hint="eastAsia" w:ascii="楷体_GB2312" w:hAnsi="Times New Roman" w:eastAsia="楷体_GB2312" w:cs="Times New Roman"/>
          <w:b/>
          <w:bCs w:val="0"/>
          <w:spacing w:val="-6"/>
          <w:sz w:val="32"/>
          <w:szCs w:val="32"/>
          <w:lang w:val="en-US" w:eastAsia="zh-CN"/>
        </w:rPr>
        <w:t>1.项目组织架构及实施流程。</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乡党委、政府高度重视综合执法专项工作经费项目，并成立了工作领导小组。</w:t>
      </w:r>
    </w:p>
    <w:p>
      <w:pPr>
        <w:pStyle w:val="10"/>
        <w:keepNext w:val="0"/>
        <w:keepLines w:val="0"/>
        <w:pageBreakBefore w:val="0"/>
        <w:widowControl w:val="0"/>
        <w:numPr>
          <w:ilvl w:val="0"/>
          <w:numId w:val="0"/>
        </w:numPr>
        <w:kinsoku/>
        <w:wordWrap/>
        <w:overflowPunct/>
        <w:topLinePunct w:val="0"/>
        <w:autoSpaceDN/>
        <w:bidi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组  长：郭  晶   乡人民政府乡长、党委副书记</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16" w:firstLineChars="200"/>
        <w:textAlignment w:val="auto"/>
        <w:rPr>
          <w:rFonts w:hint="default"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副组长：赵仕倩   乡人民政府副乡长</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16" w:firstLineChars="200"/>
        <w:textAlignment w:val="auto"/>
        <w:rPr>
          <w:rFonts w:hint="default"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 xml:space="preserve">成  员：乡财政所工作人员、各村（社区）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办公室设在乡财政所。</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en-US" w:eastAsia="zh-CN"/>
        </w:rPr>
      </w:pPr>
      <w:r>
        <w:rPr>
          <w:rFonts w:hint="eastAsia" w:ascii="楷体_GB2312" w:hAnsi="Times New Roman" w:eastAsia="楷体_GB2312" w:cs="Times New Roman"/>
          <w:b/>
          <w:bCs w:val="0"/>
          <w:spacing w:val="-6"/>
          <w:sz w:val="32"/>
          <w:szCs w:val="32"/>
          <w:lang w:val="en-US" w:eastAsia="zh-CN"/>
        </w:rPr>
        <w:t>2.项目管理情况</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 xml:space="preserve">    本项目采取工作领导小组负责制，全体成员积极配合、通力合作。项目工作领导小组负责协调相关工作，项目实施及资金管理。</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en-US" w:eastAsia="zh-CN"/>
        </w:rPr>
      </w:pPr>
      <w:r>
        <w:rPr>
          <w:rFonts w:hint="eastAsia" w:ascii="楷体_GB2312" w:hAnsi="Times New Roman" w:eastAsia="楷体_GB2312" w:cs="Times New Roman"/>
          <w:b/>
          <w:bCs w:val="0"/>
          <w:spacing w:val="-6"/>
          <w:sz w:val="32"/>
          <w:szCs w:val="32"/>
          <w:lang w:val="en-US" w:eastAsia="zh-CN"/>
        </w:rPr>
        <w:t>3.项目监管情况</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项目资金由乡财政所具体管理，按照乡财务管理制度，对项目资金按项目单独核算实行“专款专用、专人管理”，不得挤占挪用项目资金。强化监督，项目的正常实施监督检查是保障。对项目的实施定期或不定期的进行现场检查和监督，及时协调解决困难和问题，保证项目顺利实施。</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黑体" w:hAnsi="黑体" w:eastAsia="黑体" w:cs="Times New Roman"/>
          <w:spacing w:val="-6"/>
          <w:sz w:val="32"/>
          <w:szCs w:val="32"/>
          <w:lang w:val="zh-CN"/>
        </w:rPr>
      </w:pPr>
      <w:r>
        <w:rPr>
          <w:rFonts w:hint="eastAsia" w:ascii="黑体" w:hAnsi="黑体" w:eastAsia="黑体" w:cs="Times New Roman"/>
          <w:spacing w:val="-6"/>
          <w:sz w:val="32"/>
          <w:szCs w:val="32"/>
          <w:lang w:val="en-US" w:eastAsia="zh-CN"/>
        </w:rPr>
        <w:t>三</w:t>
      </w:r>
      <w:r>
        <w:rPr>
          <w:rFonts w:hint="eastAsia" w:ascii="黑体" w:hAnsi="黑体" w:eastAsia="黑体" w:cs="Times New Roman"/>
          <w:spacing w:val="-6"/>
          <w:sz w:val="32"/>
          <w:szCs w:val="32"/>
          <w:lang w:val="zh-CN"/>
        </w:rPr>
        <w:t>、项目绩效情况</w:t>
      </w:r>
      <w:r>
        <w:rPr>
          <w:rFonts w:hint="eastAsia" w:ascii="黑体" w:hAnsi="黑体" w:eastAsia="黑体" w:cs="Times New Roman"/>
          <w:spacing w:val="-6"/>
          <w:sz w:val="32"/>
          <w:szCs w:val="32"/>
          <w:lang w:val="zh-CN"/>
        </w:rPr>
        <w:tab/>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zh-CN" w:eastAsia="zh-CN"/>
        </w:rPr>
      </w:pPr>
      <w:r>
        <w:rPr>
          <w:rFonts w:hint="eastAsia" w:ascii="楷体_GB2312" w:hAnsi="Times New Roman" w:eastAsia="楷体_GB2312" w:cs="Times New Roman"/>
          <w:b/>
          <w:bCs w:val="0"/>
          <w:spacing w:val="-6"/>
          <w:sz w:val="32"/>
          <w:szCs w:val="32"/>
          <w:lang w:val="zh-CN" w:eastAsia="zh-CN"/>
        </w:rPr>
        <w:t>（一）项目完成情况</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zh-CN" w:eastAsia="zh-CN" w:bidi="ar-SA"/>
        </w:rPr>
      </w:pPr>
      <w:r>
        <w:rPr>
          <w:rFonts w:hint="eastAsia" w:ascii="仿宋_GB2312" w:hAnsi="Times New Roman" w:eastAsia="仿宋_GB2312" w:cs="Times New Roman"/>
          <w:spacing w:val="-6"/>
          <w:kern w:val="2"/>
          <w:sz w:val="32"/>
          <w:szCs w:val="32"/>
          <w:lang w:val="zh-CN" w:eastAsia="zh-CN" w:bidi="ar-SA"/>
        </w:rPr>
        <w:t>20</w:t>
      </w:r>
      <w:r>
        <w:rPr>
          <w:rFonts w:hint="eastAsia" w:ascii="仿宋_GB2312" w:hAnsi="Times New Roman" w:eastAsia="仿宋_GB2312" w:cs="Times New Roman"/>
          <w:spacing w:val="-6"/>
          <w:kern w:val="2"/>
          <w:sz w:val="32"/>
          <w:szCs w:val="32"/>
          <w:lang w:val="en-US" w:eastAsia="zh-CN" w:bidi="ar-SA"/>
        </w:rPr>
        <w:t>22</w:t>
      </w:r>
      <w:r>
        <w:rPr>
          <w:rFonts w:hint="eastAsia" w:ascii="仿宋_GB2312" w:hAnsi="Times New Roman" w:eastAsia="仿宋_GB2312" w:cs="Times New Roman"/>
          <w:spacing w:val="-6"/>
          <w:kern w:val="2"/>
          <w:sz w:val="32"/>
          <w:szCs w:val="32"/>
          <w:lang w:val="zh-CN" w:eastAsia="zh-CN" w:bidi="ar-SA"/>
        </w:rPr>
        <w:t>年底，辖区内的</w:t>
      </w:r>
      <w:r>
        <w:rPr>
          <w:rFonts w:hint="eastAsia" w:ascii="仿宋_GB2312" w:hAnsi="Times New Roman" w:eastAsia="仿宋_GB2312" w:cs="Times New Roman"/>
          <w:spacing w:val="-6"/>
          <w:kern w:val="2"/>
          <w:sz w:val="32"/>
          <w:szCs w:val="32"/>
          <w:lang w:val="en-US" w:eastAsia="zh-CN" w:bidi="ar-SA"/>
        </w:rPr>
        <w:t>综合执法</w:t>
      </w:r>
      <w:r>
        <w:rPr>
          <w:rFonts w:hint="eastAsia" w:ascii="仿宋_GB2312" w:hAnsi="Times New Roman" w:eastAsia="仿宋_GB2312" w:cs="Times New Roman"/>
          <w:spacing w:val="-6"/>
          <w:kern w:val="2"/>
          <w:sz w:val="32"/>
          <w:szCs w:val="32"/>
          <w:lang w:val="zh-CN" w:eastAsia="zh-CN" w:bidi="ar-SA"/>
        </w:rPr>
        <w:t>工作基本完成，</w:t>
      </w:r>
      <w:r>
        <w:rPr>
          <w:rFonts w:hint="eastAsia" w:ascii="仿宋_GB2312" w:hAnsi="Times New Roman" w:eastAsia="仿宋_GB2312" w:cs="Times New Roman"/>
          <w:spacing w:val="-6"/>
          <w:kern w:val="2"/>
          <w:sz w:val="32"/>
          <w:szCs w:val="32"/>
          <w:lang w:val="en-US" w:eastAsia="zh-CN" w:bidi="ar-SA"/>
        </w:rPr>
        <w:t>全年开展行政综合检查事项（47次），包含农产品质量安全、森林防火安全、农村饮水安全等，清理各类违法乱搭乱建，农村建房乱象，乱占耕地等对生态环境造成影响的行为4次；开展集中法治宣传活动12次，取得执法资格证人数2人。项目完成情况良好</w:t>
      </w:r>
      <w:r>
        <w:rPr>
          <w:rFonts w:hint="eastAsia" w:ascii="仿宋_GB2312" w:hAnsi="Times New Roman" w:eastAsia="仿宋_GB2312" w:cs="Times New Roman"/>
          <w:spacing w:val="-6"/>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zh-CN" w:eastAsia="zh-CN"/>
        </w:rPr>
      </w:pPr>
      <w:r>
        <w:rPr>
          <w:rFonts w:hint="eastAsia" w:ascii="楷体_GB2312" w:hAnsi="Times New Roman" w:eastAsia="楷体_GB2312" w:cs="Times New Roman"/>
          <w:b/>
          <w:bCs w:val="0"/>
          <w:spacing w:val="-6"/>
          <w:sz w:val="32"/>
          <w:szCs w:val="32"/>
          <w:lang w:val="zh-CN" w:eastAsia="zh-CN"/>
        </w:rPr>
        <w:t>（二）项目效益情况。</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zh-CN" w:eastAsia="zh-CN" w:bidi="ar-SA"/>
        </w:rPr>
      </w:pPr>
      <w:r>
        <w:rPr>
          <w:rFonts w:hint="eastAsia" w:ascii="仿宋_GB2312" w:hAnsi="Times New Roman" w:eastAsia="仿宋_GB2312" w:cs="Times New Roman"/>
          <w:spacing w:val="-6"/>
          <w:kern w:val="2"/>
          <w:sz w:val="32"/>
          <w:szCs w:val="32"/>
          <w:lang w:val="en-US" w:eastAsia="zh-CN" w:bidi="ar-SA"/>
        </w:rPr>
        <w:t>综合执法工作</w:t>
      </w:r>
      <w:r>
        <w:rPr>
          <w:rFonts w:hint="eastAsia" w:ascii="仿宋_GB2312" w:hAnsi="Times New Roman" w:eastAsia="仿宋_GB2312" w:cs="Times New Roman"/>
          <w:spacing w:val="-6"/>
          <w:kern w:val="2"/>
          <w:sz w:val="32"/>
          <w:szCs w:val="32"/>
          <w:lang w:val="zh-CN" w:eastAsia="zh-CN" w:bidi="ar-SA"/>
        </w:rPr>
        <w:t>经费对全乡安全生产工作的正常开展具有资金保障作用，通过加强全乡安全知识培训、播放安全警示教育片及下村走访群众宣传安全知识等方式，有效提高了全乡人民的安全意识，对减少安全生产事故，尤其是避免重特大安全事故发生，起到了激励导向作用，赢得了群众的肯定和满意，收获了良好社会效益和可持续影响效益。</w:t>
      </w:r>
    </w:p>
    <w:p>
      <w:pPr>
        <w:keepNext w:val="0"/>
        <w:keepLines w:val="0"/>
        <w:pageBreakBefore w:val="0"/>
        <w:widowControl w:val="0"/>
        <w:kinsoku/>
        <w:wordWrap/>
        <w:overflowPunct/>
        <w:topLinePunct w:val="0"/>
        <w:autoSpaceDE w:val="0"/>
        <w:autoSpaceDN/>
        <w:bidi w:val="0"/>
        <w:spacing w:line="560" w:lineRule="exact"/>
        <w:ind w:firstLine="616" w:firstLineChars="200"/>
        <w:textAlignment w:val="auto"/>
        <w:rPr>
          <w:rFonts w:hint="eastAsia" w:ascii="黑体" w:hAnsi="黑体" w:eastAsia="黑体" w:cs="Times New Roman"/>
          <w:spacing w:val="-6"/>
          <w:sz w:val="32"/>
          <w:szCs w:val="32"/>
          <w:lang w:val="zh-CN" w:eastAsia="zh-CN"/>
        </w:rPr>
      </w:pPr>
      <w:r>
        <w:rPr>
          <w:rFonts w:hint="eastAsia" w:ascii="黑体" w:hAnsi="黑体" w:eastAsia="黑体" w:cs="Times New Roman"/>
          <w:spacing w:val="-6"/>
          <w:sz w:val="32"/>
          <w:szCs w:val="32"/>
          <w:lang w:val="en-US" w:eastAsia="zh-CN"/>
        </w:rPr>
        <w:t>四</w:t>
      </w:r>
      <w:r>
        <w:rPr>
          <w:rFonts w:hint="eastAsia" w:ascii="黑体" w:hAnsi="黑体" w:eastAsia="黑体" w:cs="Times New Roman"/>
          <w:spacing w:val="-6"/>
          <w:sz w:val="32"/>
          <w:szCs w:val="32"/>
          <w:lang w:val="zh-CN" w:eastAsia="zh-CN"/>
        </w:rPr>
        <w:t>、评价结论及建议</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zh-CN" w:eastAsia="zh-CN"/>
        </w:rPr>
      </w:pPr>
      <w:r>
        <w:rPr>
          <w:rFonts w:hint="eastAsia" w:ascii="楷体_GB2312" w:hAnsi="Times New Roman" w:eastAsia="楷体_GB2312" w:cs="Times New Roman"/>
          <w:b/>
          <w:bCs w:val="0"/>
          <w:spacing w:val="-6"/>
          <w:sz w:val="32"/>
          <w:szCs w:val="32"/>
          <w:lang w:val="zh-CN" w:eastAsia="zh-CN"/>
        </w:rPr>
        <w:t>（一）评价结论</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zh-CN" w:eastAsia="zh-CN" w:bidi="ar-SA"/>
        </w:rPr>
        <w:t>通过加强辖区内的</w:t>
      </w:r>
      <w:r>
        <w:rPr>
          <w:rFonts w:hint="eastAsia" w:ascii="仿宋_GB2312" w:hAnsi="Times New Roman" w:eastAsia="仿宋_GB2312" w:cs="Times New Roman"/>
          <w:spacing w:val="-6"/>
          <w:kern w:val="2"/>
          <w:sz w:val="32"/>
          <w:szCs w:val="32"/>
          <w:lang w:val="en-US" w:eastAsia="zh-CN" w:bidi="ar-SA"/>
        </w:rPr>
        <w:t>综合执法</w:t>
      </w:r>
      <w:r>
        <w:rPr>
          <w:rFonts w:hint="eastAsia" w:ascii="仿宋_GB2312" w:hAnsi="Times New Roman" w:eastAsia="仿宋_GB2312" w:cs="Times New Roman"/>
          <w:spacing w:val="-6"/>
          <w:kern w:val="2"/>
          <w:sz w:val="32"/>
          <w:szCs w:val="32"/>
          <w:lang w:val="zh-CN" w:eastAsia="zh-CN" w:bidi="ar-SA"/>
        </w:rPr>
        <w:t>工作，及时排查安全隐患，一方面在一定程度上化解了存在的安全风险，另一方面通过从源头上排除安全隐患，保障了人民的生命、财产安全，体现了政府的公共服务职能。</w:t>
      </w:r>
      <w:r>
        <w:rPr>
          <w:rFonts w:hint="eastAsia" w:ascii="仿宋_GB2312" w:hAnsi="Times New Roman" w:eastAsia="仿宋_GB2312" w:cs="Times New Roman"/>
          <w:spacing w:val="-6"/>
          <w:kern w:val="2"/>
          <w:sz w:val="32"/>
          <w:szCs w:val="32"/>
          <w:lang w:val="en-US" w:eastAsia="zh-CN" w:bidi="ar-SA"/>
        </w:rPr>
        <w:t>根据部门整体支出绩效评价指标体系和绩效检查情况，综合得分97分（总分为100分），总体考核等次确定为“优”。</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zh-CN" w:eastAsia="zh-CN"/>
        </w:rPr>
      </w:pPr>
      <w:r>
        <w:rPr>
          <w:rFonts w:hint="eastAsia" w:ascii="楷体_GB2312" w:hAnsi="Times New Roman" w:eastAsia="楷体_GB2312" w:cs="Times New Roman"/>
          <w:b/>
          <w:bCs w:val="0"/>
          <w:spacing w:val="-6"/>
          <w:sz w:val="32"/>
          <w:szCs w:val="32"/>
          <w:lang w:val="zh-CN" w:eastAsia="zh-CN"/>
        </w:rPr>
        <w:t>（二）存在的问题</w:t>
      </w:r>
    </w:p>
    <w:p>
      <w:pPr>
        <w:keepNext w:val="0"/>
        <w:keepLines w:val="0"/>
        <w:pageBreakBefore w:val="0"/>
        <w:widowControl w:val="0"/>
        <w:kinsoku/>
        <w:wordWrap/>
        <w:overflowPunct/>
        <w:topLinePunct w:val="0"/>
        <w:autoSpaceDN/>
        <w:bidi w:val="0"/>
        <w:adjustRightInd w:val="0"/>
        <w:snapToGrid w:val="0"/>
        <w:spacing w:line="560" w:lineRule="exact"/>
        <w:ind w:firstLine="616" w:firstLineChars="200"/>
        <w:textAlignment w:val="auto"/>
        <w:rPr>
          <w:rFonts w:hint="eastAsia" w:ascii="仿宋_GB2312" w:hAnsi="Times New Roman" w:eastAsia="仿宋_GB2312" w:cs="Times New Roman"/>
          <w:spacing w:val="-6"/>
          <w:sz w:val="32"/>
          <w:szCs w:val="32"/>
          <w:lang w:val="zh-CN" w:eastAsia="zh-CN"/>
        </w:rPr>
      </w:pPr>
      <w:r>
        <w:rPr>
          <w:rFonts w:hint="eastAsia" w:ascii="仿宋_GB2312" w:hAnsi="Times New Roman" w:eastAsia="仿宋_GB2312" w:cs="Times New Roman"/>
          <w:spacing w:val="-6"/>
          <w:sz w:val="32"/>
          <w:szCs w:val="32"/>
          <w:lang w:val="zh-CN" w:eastAsia="zh-CN"/>
        </w:rPr>
        <w:t>在注重安全隐患排查和宣传教育的同时，安全事故的应急管理水平和救援能力还有待进一步加强，安全监管的执法效率和科学化水平也有待进一步提高。</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zh-CN" w:eastAsia="zh-CN"/>
        </w:rPr>
      </w:pPr>
      <w:r>
        <w:rPr>
          <w:rFonts w:hint="eastAsia" w:ascii="楷体_GB2312" w:hAnsi="Times New Roman" w:eastAsia="楷体_GB2312" w:cs="Times New Roman"/>
          <w:b/>
          <w:bCs w:val="0"/>
          <w:spacing w:val="-6"/>
          <w:sz w:val="32"/>
          <w:szCs w:val="32"/>
          <w:lang w:val="zh-CN" w:eastAsia="zh-CN"/>
        </w:rPr>
        <w:t>（三）相关建议</w:t>
      </w:r>
    </w:p>
    <w:p>
      <w:pPr>
        <w:keepNext w:val="0"/>
        <w:keepLines w:val="0"/>
        <w:pageBreakBefore w:val="0"/>
        <w:widowControl w:val="0"/>
        <w:kinsoku/>
        <w:wordWrap/>
        <w:overflowPunct/>
        <w:topLinePunct w:val="0"/>
        <w:autoSpaceDN/>
        <w:bidi w:val="0"/>
        <w:adjustRightInd w:val="0"/>
        <w:snapToGrid w:val="0"/>
        <w:spacing w:line="560" w:lineRule="exact"/>
        <w:ind w:firstLine="616" w:firstLineChars="200"/>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Times New Roman" w:eastAsia="仿宋_GB2312" w:cs="Times New Roman"/>
          <w:spacing w:val="-6"/>
          <w:sz w:val="32"/>
          <w:szCs w:val="32"/>
          <w:lang w:val="zh-CN" w:eastAsia="zh-CN"/>
        </w:rPr>
        <w:t>一是加强</w:t>
      </w:r>
      <w:r>
        <w:rPr>
          <w:rFonts w:hint="eastAsia" w:ascii="仿宋_GB2312" w:hAnsi="Times New Roman" w:eastAsia="仿宋_GB2312" w:cs="Times New Roman"/>
          <w:spacing w:val="-6"/>
          <w:sz w:val="32"/>
          <w:szCs w:val="32"/>
          <w:lang w:val="en-US" w:eastAsia="zh-CN"/>
        </w:rPr>
        <w:t>综合</w:t>
      </w:r>
      <w:r>
        <w:rPr>
          <w:rFonts w:hint="eastAsia" w:ascii="仿宋_GB2312" w:hAnsi="Times New Roman" w:eastAsia="仿宋_GB2312" w:cs="Times New Roman"/>
          <w:spacing w:val="-6"/>
          <w:sz w:val="32"/>
          <w:szCs w:val="32"/>
          <w:lang w:val="zh-CN" w:eastAsia="zh-CN"/>
        </w:rPr>
        <w:t>执法人员业务培训，提高执法人员的法纪法规意识，对辖区内存在的安全隐患立即整改、斗硬整改，提高安全监管的执法效率和水平；二是通过建立日常问题整改台账，逐步形成常态化的应急救援管理机制，从制度上加强对人民的生命、财产安全的保障。</w:t>
      </w:r>
    </w:p>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keepNext w:val="0"/>
        <w:keepLines w:val="0"/>
        <w:pageBreakBefore w:val="0"/>
        <w:kinsoku/>
        <w:wordWrap/>
        <w:overflowPunct/>
        <w:topLinePunct w:val="0"/>
        <w:autoSpaceDE w:val="0"/>
        <w:autoSpaceDN/>
        <w:bidi w:val="0"/>
        <w:spacing w:line="56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2022年</w:t>
      </w:r>
      <w:r>
        <w:rPr>
          <w:rFonts w:hint="eastAsia" w:ascii="方正大标宋简体" w:hAnsi="??" w:eastAsia="方正大标宋简体" w:cs="Times New Roman"/>
          <w:b/>
          <w:color w:val="000000"/>
          <w:spacing w:val="-6"/>
          <w:kern w:val="0"/>
          <w:sz w:val="44"/>
          <w:szCs w:val="44"/>
          <w:lang w:eastAsia="zh-CN"/>
        </w:rPr>
        <w:t>农村公共运行维护</w:t>
      </w:r>
      <w:r>
        <w:rPr>
          <w:rFonts w:hint="eastAsia" w:ascii="方正大标宋简体" w:hAnsi="??" w:eastAsia="方正大标宋简体" w:cs="Times New Roman"/>
          <w:b/>
          <w:color w:val="000000"/>
          <w:spacing w:val="-6"/>
          <w:kern w:val="0"/>
          <w:sz w:val="44"/>
          <w:szCs w:val="44"/>
          <w:lang w:val="en-US" w:eastAsia="zh-CN"/>
        </w:rPr>
        <w:t>及服务群众专项</w:t>
      </w:r>
      <w:r>
        <w:rPr>
          <w:rFonts w:hint="eastAsia" w:ascii="方正大标宋简体" w:hAnsi="??" w:eastAsia="方正大标宋简体" w:cs="Times New Roman"/>
          <w:b/>
          <w:color w:val="000000"/>
          <w:spacing w:val="-6"/>
          <w:kern w:val="0"/>
          <w:sz w:val="44"/>
          <w:szCs w:val="44"/>
        </w:rPr>
        <w:t>项目支出绩效自评报告</w:t>
      </w:r>
    </w:p>
    <w:p>
      <w:pPr>
        <w:pStyle w:val="10"/>
        <w:keepNext w:val="0"/>
        <w:keepLines w:val="0"/>
        <w:pageBreakBefore w:val="0"/>
        <w:kinsoku/>
        <w:wordWrap/>
        <w:overflowPunct/>
        <w:topLinePunct w:val="0"/>
        <w:autoSpaceDN/>
        <w:bidi w:val="0"/>
        <w:spacing w:line="560" w:lineRule="exact"/>
        <w:textAlignment w:val="auto"/>
        <w:rPr>
          <w:rFonts w:hint="eastAsia"/>
        </w:rPr>
      </w:pP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keepNext w:val="0"/>
        <w:keepLines w:val="0"/>
        <w:pageBreakBefore w:val="0"/>
        <w:numPr>
          <w:ilvl w:val="0"/>
          <w:numId w:val="11"/>
        </w:numPr>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项目资金申报及批复情况。</w:t>
      </w:r>
    </w:p>
    <w:p>
      <w:pPr>
        <w:keepNext w:val="0"/>
        <w:keepLines w:val="0"/>
        <w:pageBreakBefore w:val="0"/>
        <w:numPr>
          <w:ilvl w:val="0"/>
          <w:numId w:val="0"/>
        </w:numPr>
        <w:kinsoku/>
        <w:wordWrap/>
        <w:overflowPunct/>
        <w:topLinePunct w:val="0"/>
        <w:autoSpaceDE w:val="0"/>
        <w:autoSpaceDN/>
        <w:bidi w:val="0"/>
        <w:spacing w:line="560" w:lineRule="exact"/>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 xml:space="preserve">    农村公共运行维护项目由乡人民政府报区人民政府同意后，经财政局批复下达后，全部用于农村公共运行维护项目。项目资金的申报、批复符合资金管理办法等相关规定。</w:t>
      </w:r>
    </w:p>
    <w:p>
      <w:pPr>
        <w:keepNext w:val="0"/>
        <w:keepLines w:val="0"/>
        <w:pageBreakBefore w:val="0"/>
        <w:numPr>
          <w:ilvl w:val="0"/>
          <w:numId w:val="11"/>
        </w:numPr>
        <w:kinsoku/>
        <w:wordWrap/>
        <w:overflowPunct/>
        <w:topLinePunct w:val="0"/>
        <w:autoSpaceDE w:val="0"/>
        <w:autoSpaceDN/>
        <w:bidi w:val="0"/>
        <w:spacing w:line="560" w:lineRule="exact"/>
        <w:ind w:left="0" w:leftChars="0" w:firstLine="616" w:firstLineChars="200"/>
        <w:textAlignment w:val="auto"/>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项目绩效目标。</w:t>
      </w:r>
    </w:p>
    <w:p>
      <w:pPr>
        <w:keepNext w:val="0"/>
        <w:keepLines w:val="0"/>
        <w:pageBreakBefore w:val="0"/>
        <w:numPr>
          <w:ilvl w:val="0"/>
          <w:numId w:val="0"/>
        </w:numPr>
        <w:kinsoku/>
        <w:wordWrap/>
        <w:overflowPunct/>
        <w:topLinePunct w:val="0"/>
        <w:autoSpaceDN/>
        <w:bidi w:val="0"/>
        <w:spacing w:beforeLines="0" w:afterLines="0" w:line="560" w:lineRule="exact"/>
        <w:ind w:firstLine="616" w:firstLineChars="200"/>
        <w:textAlignment w:val="auto"/>
        <w:rPr>
          <w:rFonts w:hint="eastAsia" w:ascii="仿宋_GB2312" w:hAnsi="Times New Roman" w:eastAsia="仿宋_GB2312" w:cs="Times New Roman"/>
          <w:spacing w:val="-6"/>
          <w:sz w:val="32"/>
          <w:szCs w:val="32"/>
          <w:lang w:val="zh-CN" w:eastAsia="zh-CN"/>
        </w:rPr>
      </w:pPr>
      <w:r>
        <w:rPr>
          <w:rFonts w:hint="eastAsia" w:ascii="仿宋_GB2312" w:hAnsi="Times New Roman" w:eastAsia="仿宋_GB2312" w:cs="Times New Roman"/>
          <w:spacing w:val="-6"/>
          <w:sz w:val="32"/>
          <w:szCs w:val="32"/>
          <w:lang w:val="en-US" w:eastAsia="zh-CN"/>
        </w:rPr>
        <w:t>1.</w:t>
      </w:r>
      <w:r>
        <w:rPr>
          <w:rFonts w:hint="eastAsia" w:ascii="仿宋_GB2312" w:hAnsi="Times New Roman" w:eastAsia="仿宋_GB2312" w:cs="Times New Roman"/>
          <w:spacing w:val="-6"/>
          <w:sz w:val="32"/>
          <w:szCs w:val="32"/>
          <w:lang w:val="zh-CN" w:eastAsia="zh-CN"/>
        </w:rPr>
        <w:t>我</w:t>
      </w:r>
      <w:r>
        <w:rPr>
          <w:rFonts w:hint="eastAsia" w:ascii="仿宋_GB2312" w:hAnsi="Times New Roman" w:eastAsia="仿宋_GB2312" w:cs="Times New Roman"/>
          <w:spacing w:val="-6"/>
          <w:sz w:val="32"/>
          <w:szCs w:val="32"/>
          <w:lang w:val="en-US" w:eastAsia="zh-CN"/>
        </w:rPr>
        <w:t>乡</w:t>
      </w:r>
      <w:r>
        <w:rPr>
          <w:rFonts w:hint="eastAsia" w:ascii="仿宋_GB2312" w:hAnsi="Times New Roman" w:eastAsia="仿宋_GB2312" w:cs="Times New Roman"/>
          <w:spacing w:val="-6"/>
          <w:sz w:val="32"/>
          <w:szCs w:val="32"/>
          <w:lang w:val="zh-CN" w:eastAsia="zh-CN"/>
        </w:rPr>
        <w:t>农村公共服务运行维护</w:t>
      </w:r>
      <w:r>
        <w:rPr>
          <w:rFonts w:hint="eastAsia" w:ascii="仿宋_GB2312" w:hAnsi="Times New Roman" w:eastAsia="仿宋_GB2312" w:cs="Times New Roman"/>
          <w:spacing w:val="-6"/>
          <w:sz w:val="32"/>
          <w:szCs w:val="32"/>
          <w:lang w:val="en-US" w:eastAsia="zh-CN"/>
        </w:rPr>
        <w:t>及服务群众专项项目涉及7个行政村，</w:t>
      </w:r>
      <w:r>
        <w:rPr>
          <w:rFonts w:hint="eastAsia" w:ascii="仿宋_GB2312" w:hAnsi="Times New Roman" w:eastAsia="仿宋_GB2312" w:cs="Times New Roman"/>
          <w:spacing w:val="-6"/>
          <w:sz w:val="32"/>
          <w:szCs w:val="32"/>
          <w:lang w:val="zh-CN" w:eastAsia="zh-CN"/>
        </w:rPr>
        <w:t>经费以围绕农民迫切要求解决的环境脏乱差、水利设施和道路维修用等问题，加快公共服务基层设施建设，改善生产生活条件，保证基础设施持续有效发挥服务功能。</w:t>
      </w:r>
    </w:p>
    <w:p>
      <w:pPr>
        <w:keepNext w:val="0"/>
        <w:keepLines w:val="0"/>
        <w:pageBreakBefore w:val="0"/>
        <w:numPr>
          <w:ilvl w:val="0"/>
          <w:numId w:val="0"/>
        </w:numPr>
        <w:kinsoku/>
        <w:wordWrap/>
        <w:overflowPunct/>
        <w:topLinePunct w:val="0"/>
        <w:autoSpaceDN/>
        <w:bidi w:val="0"/>
        <w:spacing w:beforeLines="0" w:afterLines="0" w:line="560" w:lineRule="exact"/>
        <w:ind w:firstLine="616" w:firstLineChars="200"/>
        <w:textAlignment w:val="auto"/>
        <w:rPr>
          <w:rFonts w:hint="eastAsia" w:ascii="方正仿宋_GBK" w:hAnsi="方正仿宋_GBK" w:eastAsia="方正仿宋_GBK" w:cs="方正仿宋_GBK"/>
          <w:sz w:val="32"/>
          <w:szCs w:val="32"/>
          <w:lang w:val="zh-CN"/>
        </w:rPr>
      </w:pPr>
      <w:r>
        <w:rPr>
          <w:rFonts w:hint="eastAsia" w:ascii="仿宋_GB2312" w:hAnsi="Times New Roman" w:eastAsia="仿宋_GB2312" w:cs="Times New Roman"/>
          <w:spacing w:val="-6"/>
          <w:sz w:val="32"/>
          <w:szCs w:val="32"/>
          <w:lang w:val="en-US" w:eastAsia="zh-CN"/>
        </w:rPr>
        <w:t>2.农村公共服务运行维护及服务群众专项项目绩效目标切实保障各村内道路、路灯、水利等公益性基础设施正常运转；有效改变农村面貌，通过项目实施，形成村民愿意做事，有钱做事的格局，促进基础设施建设，改善农村生活环境。</w:t>
      </w:r>
    </w:p>
    <w:p>
      <w:pPr>
        <w:keepNext w:val="0"/>
        <w:keepLines w:val="0"/>
        <w:pageBreakBefore w:val="0"/>
        <w:numPr>
          <w:ilvl w:val="0"/>
          <w:numId w:val="0"/>
        </w:numPr>
        <w:kinsoku/>
        <w:wordWrap/>
        <w:overflowPunct/>
        <w:topLinePunct w:val="0"/>
        <w:autoSpaceDN/>
        <w:bidi w:val="0"/>
        <w:spacing w:beforeLines="0" w:afterLines="0" w:line="56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zh-CN" w:eastAsia="zh-CN"/>
        </w:rPr>
        <w:t>3.我</w:t>
      </w:r>
      <w:r>
        <w:rPr>
          <w:rFonts w:hint="eastAsia" w:ascii="仿宋_GB2312" w:hAnsi="Times New Roman" w:eastAsia="仿宋_GB2312" w:cs="Times New Roman"/>
          <w:spacing w:val="-6"/>
          <w:sz w:val="32"/>
          <w:szCs w:val="32"/>
          <w:lang w:val="en-US" w:eastAsia="zh-CN"/>
        </w:rPr>
        <w:t>乡农村公共服务运行维护及服务群众专项项目</w:t>
      </w:r>
      <w:r>
        <w:rPr>
          <w:rFonts w:hint="eastAsia" w:ascii="仿宋_GB2312" w:hAnsi="Times New Roman" w:eastAsia="仿宋_GB2312" w:cs="Times New Roman"/>
          <w:spacing w:val="-6"/>
          <w:sz w:val="32"/>
          <w:szCs w:val="32"/>
          <w:lang w:val="zh-CN" w:eastAsia="zh-CN"/>
        </w:rPr>
        <w:t>的申报是按照规定程序申请，事前已经过必要的可行性研究、风险评估、集体决策，符合国家相关法律法规、社会稳定发展，项目为场镇保洁、农村基础设施改善等所必需。</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val="0"/>
          <w:bCs/>
          <w:w w:val="99"/>
          <w:sz w:val="32"/>
          <w:szCs w:val="32"/>
        </w:rPr>
      </w:pPr>
      <w:r>
        <w:rPr>
          <w:rFonts w:hint="eastAsia" w:ascii="楷体_GB2312" w:hAnsi="宋体" w:eastAsia="楷体_GB2312" w:cs="Times New Roman"/>
          <w:b w:val="0"/>
          <w:bCs/>
          <w:w w:val="99"/>
          <w:sz w:val="32"/>
          <w:szCs w:val="32"/>
        </w:rPr>
        <w:t>（三）项目自评步骤及方法。</w:t>
      </w:r>
    </w:p>
    <w:p>
      <w:pPr>
        <w:keepNext w:val="0"/>
        <w:keepLines w:val="0"/>
        <w:pageBreakBefore w:val="0"/>
        <w:numPr>
          <w:ilvl w:val="0"/>
          <w:numId w:val="0"/>
        </w:numPr>
        <w:kinsoku/>
        <w:wordWrap/>
        <w:overflowPunct/>
        <w:topLinePunct w:val="0"/>
        <w:autoSpaceDN/>
        <w:bidi w:val="0"/>
        <w:spacing w:beforeLines="0" w:afterLines="0" w:line="560" w:lineRule="exact"/>
        <w:ind w:firstLine="616" w:firstLineChars="200"/>
        <w:textAlignment w:val="auto"/>
        <w:rPr>
          <w:rFonts w:hint="eastAsia" w:ascii="仿宋_GB2312" w:hAnsi="Times New Roman" w:eastAsia="仿宋_GB2312" w:cs="Times New Roman"/>
          <w:spacing w:val="-6"/>
          <w:sz w:val="32"/>
          <w:szCs w:val="32"/>
          <w:lang w:val="zh-CN" w:eastAsia="zh-CN"/>
        </w:rPr>
      </w:pPr>
      <w:r>
        <w:rPr>
          <w:rFonts w:hint="eastAsia" w:ascii="仿宋_GB2312" w:hAnsi="Times New Roman" w:eastAsia="仿宋_GB2312" w:cs="Times New Roman"/>
          <w:spacing w:val="-6"/>
          <w:sz w:val="32"/>
          <w:szCs w:val="32"/>
          <w:lang w:val="en-US" w:eastAsia="zh-CN"/>
        </w:rPr>
        <w:t>项目采取自评与他评相结合方式，成立项目自评小组，结合评价内容，做到有计划、有安排，有奖惩，扎实开展本次自评工作。按照上级下达的项目支出绩效评价指标体系，自评小组针对申报内容、实施情况、资金兑现、财务管理、社会效益等做出自我评价</w:t>
      </w:r>
      <w:r>
        <w:rPr>
          <w:rFonts w:hint="eastAsia" w:ascii="仿宋_GB2312" w:hAnsi="Times New Roman" w:eastAsia="仿宋_GB2312" w:cs="Times New Roman"/>
          <w:spacing w:val="-6"/>
          <w:sz w:val="32"/>
          <w:szCs w:val="32"/>
          <w:lang w:val="zh-CN" w:eastAsia="zh-CN"/>
        </w:rPr>
        <w:t>，并撰写自评报告。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（一）资金计划、到位及使用情况</w:t>
      </w:r>
      <w:r>
        <w:rPr>
          <w:rFonts w:hint="eastAsia" w:ascii="楷体_GB2312" w:hAnsi="宋体" w:eastAsia="楷体_GB2312" w:cs="Times New Roman"/>
          <w:b/>
          <w:w w:val="99"/>
          <w:sz w:val="32"/>
          <w:szCs w:val="32"/>
        </w:rPr>
        <w:t>。</w:t>
      </w: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eastAsia"/>
        </w:rPr>
      </w:pPr>
      <w:r>
        <w:rPr>
          <w:rFonts w:hint="eastAsia" w:ascii="仿宋_GB2312" w:hAnsi="Times New Roman" w:eastAsia="仿宋_GB2312" w:cs="Times New Roman"/>
          <w:spacing w:val="-6"/>
          <w:sz w:val="32"/>
          <w:szCs w:val="32"/>
        </w:rPr>
        <w:t>1.资金计划及到位。</w:t>
      </w:r>
      <w:r>
        <w:rPr>
          <w:rFonts w:hint="eastAsia" w:ascii="仿宋_GB2312" w:hAnsi="Times New Roman" w:eastAsia="仿宋_GB2312" w:cs="Times New Roman"/>
          <w:spacing w:val="-6"/>
          <w:sz w:val="32"/>
          <w:szCs w:val="32"/>
          <w:lang w:val="zh-CN" w:eastAsia="zh-CN"/>
        </w:rPr>
        <w:t>我乡</w:t>
      </w:r>
      <w:r>
        <w:rPr>
          <w:rFonts w:hint="eastAsia" w:ascii="仿宋_GB2312" w:hAnsi="Times New Roman" w:eastAsia="仿宋_GB2312" w:cs="Times New Roman"/>
          <w:spacing w:val="-6"/>
          <w:sz w:val="32"/>
          <w:szCs w:val="32"/>
          <w:lang w:val="en-US" w:eastAsia="zh-CN"/>
        </w:rPr>
        <w:t>农村公共服务运行维护及服务群众专项项目</w:t>
      </w:r>
      <w:r>
        <w:rPr>
          <w:rFonts w:hint="eastAsia" w:ascii="仿宋_GB2312" w:hAnsi="Times New Roman" w:eastAsia="仿宋_GB2312" w:cs="Times New Roman"/>
          <w:spacing w:val="-6"/>
          <w:sz w:val="32"/>
          <w:szCs w:val="32"/>
          <w:lang w:val="zh-CN" w:eastAsia="zh-CN"/>
        </w:rPr>
        <w:t>年初预算数为</w:t>
      </w:r>
      <w:r>
        <w:rPr>
          <w:rFonts w:hint="eastAsia" w:ascii="仿宋_GB2312" w:hAnsi="Times New Roman" w:eastAsia="仿宋_GB2312" w:cs="Times New Roman"/>
          <w:spacing w:val="-6"/>
          <w:sz w:val="32"/>
          <w:szCs w:val="32"/>
          <w:lang w:val="en-US" w:eastAsia="zh-CN"/>
        </w:rPr>
        <w:t>35</w:t>
      </w:r>
      <w:r>
        <w:rPr>
          <w:rFonts w:hint="eastAsia" w:ascii="仿宋_GB2312" w:hAnsi="Times New Roman" w:eastAsia="仿宋_GB2312" w:cs="Times New Roman"/>
          <w:spacing w:val="-6"/>
          <w:sz w:val="32"/>
          <w:szCs w:val="32"/>
          <w:lang w:val="zh-CN" w:eastAsia="zh-CN"/>
        </w:rPr>
        <w:t>万元，在实施过程中，根据项目实施进度和实际验收情况申请和拨付项目资金，截止20</w:t>
      </w:r>
      <w:r>
        <w:rPr>
          <w:rFonts w:hint="eastAsia" w:ascii="仿宋_GB2312" w:hAnsi="Times New Roman" w:eastAsia="仿宋_GB2312" w:cs="Times New Roman"/>
          <w:spacing w:val="-6"/>
          <w:sz w:val="32"/>
          <w:szCs w:val="32"/>
          <w:lang w:val="en-US" w:eastAsia="zh-CN"/>
        </w:rPr>
        <w:t>22</w:t>
      </w:r>
      <w:r>
        <w:rPr>
          <w:rFonts w:hint="eastAsia" w:ascii="仿宋_GB2312" w:hAnsi="Times New Roman" w:eastAsia="仿宋_GB2312" w:cs="Times New Roman"/>
          <w:spacing w:val="-6"/>
          <w:sz w:val="32"/>
          <w:szCs w:val="32"/>
          <w:lang w:val="zh-CN" w:eastAsia="zh-CN"/>
        </w:rPr>
        <w:t>年12月底所有计划资金</w:t>
      </w:r>
      <w:r>
        <w:rPr>
          <w:rFonts w:hint="eastAsia" w:ascii="仿宋_GB2312" w:hAnsi="Times New Roman" w:eastAsia="仿宋_GB2312" w:cs="Times New Roman"/>
          <w:spacing w:val="-6"/>
          <w:sz w:val="32"/>
          <w:szCs w:val="32"/>
          <w:lang w:val="en-US" w:eastAsia="zh-CN"/>
        </w:rPr>
        <w:t>到位24.5万元</w:t>
      </w:r>
      <w:r>
        <w:rPr>
          <w:rFonts w:hint="eastAsia" w:ascii="仿宋_GB2312" w:hAnsi="Times New Roman" w:eastAsia="仿宋_GB2312" w:cs="Times New Roman"/>
          <w:spacing w:val="-6"/>
          <w:sz w:val="32"/>
          <w:szCs w:val="32"/>
          <w:lang w:val="zh-CN" w:eastAsia="zh-CN"/>
        </w:rPr>
        <w:t>。</w:t>
      </w: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val="zh-CN" w:eastAsia="zh-CN"/>
        </w:rPr>
      </w:pPr>
      <w:r>
        <w:rPr>
          <w:rFonts w:hint="eastAsia" w:ascii="仿宋_GB2312" w:hAnsi="Times New Roman" w:eastAsia="仿宋_GB2312" w:cs="Times New Roman"/>
          <w:spacing w:val="-6"/>
          <w:sz w:val="32"/>
          <w:szCs w:val="32"/>
          <w:lang w:val="en-US" w:eastAsia="zh-CN"/>
        </w:rPr>
        <w:t>2.</w:t>
      </w:r>
      <w:r>
        <w:rPr>
          <w:rFonts w:hint="eastAsia" w:ascii="仿宋_GB2312" w:hAnsi="Times New Roman" w:eastAsia="仿宋_GB2312" w:cs="Times New Roman"/>
          <w:spacing w:val="-6"/>
          <w:sz w:val="32"/>
          <w:szCs w:val="32"/>
        </w:rPr>
        <w:t>资金使用。</w:t>
      </w:r>
      <w:r>
        <w:rPr>
          <w:rFonts w:hint="eastAsia" w:ascii="仿宋_GB2312" w:hAnsi="Times New Roman" w:eastAsia="仿宋_GB2312" w:cs="Times New Roman"/>
          <w:spacing w:val="-6"/>
          <w:sz w:val="32"/>
          <w:szCs w:val="32"/>
          <w:lang w:val="zh-CN" w:eastAsia="zh-CN"/>
        </w:rPr>
        <w:t>截止20</w:t>
      </w:r>
      <w:r>
        <w:rPr>
          <w:rFonts w:hint="eastAsia" w:ascii="仿宋_GB2312" w:hAnsi="Times New Roman" w:eastAsia="仿宋_GB2312" w:cs="Times New Roman"/>
          <w:spacing w:val="-6"/>
          <w:sz w:val="32"/>
          <w:szCs w:val="32"/>
          <w:lang w:val="en-US" w:eastAsia="zh-CN"/>
        </w:rPr>
        <w:t>22</w:t>
      </w:r>
      <w:r>
        <w:rPr>
          <w:rFonts w:hint="eastAsia" w:ascii="仿宋_GB2312" w:hAnsi="Times New Roman" w:eastAsia="仿宋_GB2312" w:cs="Times New Roman"/>
          <w:spacing w:val="-6"/>
          <w:sz w:val="32"/>
          <w:szCs w:val="32"/>
          <w:lang w:val="zh-CN" w:eastAsia="zh-CN"/>
        </w:rPr>
        <w:t>年12月底，我</w:t>
      </w:r>
      <w:r>
        <w:rPr>
          <w:rFonts w:hint="eastAsia" w:ascii="仿宋_GB2312" w:hAnsi="Times New Roman" w:eastAsia="仿宋_GB2312" w:cs="Times New Roman"/>
          <w:spacing w:val="-6"/>
          <w:sz w:val="32"/>
          <w:szCs w:val="32"/>
          <w:lang w:val="en-US" w:eastAsia="zh-CN"/>
        </w:rPr>
        <w:t>农村公共运行维护及服务群众专项项目</w:t>
      </w:r>
      <w:r>
        <w:rPr>
          <w:rFonts w:hint="eastAsia" w:ascii="仿宋_GB2312" w:hAnsi="Times New Roman" w:eastAsia="仿宋_GB2312" w:cs="Times New Roman"/>
          <w:spacing w:val="-6"/>
          <w:sz w:val="32"/>
          <w:szCs w:val="32"/>
          <w:lang w:val="zh-CN" w:eastAsia="zh-CN"/>
        </w:rPr>
        <w:t>已按</w:t>
      </w:r>
      <w:r>
        <w:rPr>
          <w:rFonts w:hint="eastAsia" w:ascii="仿宋_GB2312" w:hAnsi="Times New Roman" w:eastAsia="仿宋_GB2312" w:cs="Times New Roman"/>
          <w:spacing w:val="-6"/>
          <w:sz w:val="32"/>
          <w:szCs w:val="32"/>
          <w:lang w:val="en-US" w:eastAsia="zh-CN"/>
        </w:rPr>
        <w:t>申报内容</w:t>
      </w:r>
      <w:r>
        <w:rPr>
          <w:rFonts w:hint="eastAsia" w:ascii="仿宋_GB2312" w:hAnsi="Times New Roman" w:eastAsia="仿宋_GB2312" w:cs="Times New Roman"/>
          <w:spacing w:val="-6"/>
          <w:sz w:val="32"/>
          <w:szCs w:val="32"/>
          <w:lang w:val="zh-CN" w:eastAsia="zh-CN"/>
        </w:rPr>
        <w:t>实施和实际验收情况全部支出</w:t>
      </w:r>
      <w:r>
        <w:rPr>
          <w:rFonts w:hint="eastAsia" w:ascii="仿宋_GB2312" w:hAnsi="Times New Roman" w:eastAsia="仿宋_GB2312" w:cs="Times New Roman"/>
          <w:spacing w:val="-6"/>
          <w:sz w:val="32"/>
          <w:szCs w:val="32"/>
          <w:lang w:val="en-US" w:eastAsia="zh-CN"/>
        </w:rPr>
        <w:t>24.5</w:t>
      </w:r>
      <w:r>
        <w:rPr>
          <w:rFonts w:hint="eastAsia" w:ascii="仿宋_GB2312" w:hAnsi="Times New Roman" w:eastAsia="仿宋_GB2312" w:cs="Times New Roman"/>
          <w:spacing w:val="-6"/>
          <w:sz w:val="32"/>
          <w:szCs w:val="32"/>
          <w:lang w:val="zh-CN" w:eastAsia="zh-CN"/>
        </w:rPr>
        <w:t>万元，主要用于</w:t>
      </w:r>
      <w:r>
        <w:rPr>
          <w:rFonts w:hint="eastAsia" w:ascii="仿宋_GB2312" w:hAnsi="Times New Roman" w:eastAsia="仿宋_GB2312" w:cs="Times New Roman"/>
          <w:spacing w:val="-6"/>
          <w:sz w:val="32"/>
          <w:szCs w:val="32"/>
          <w:lang w:val="en-US" w:eastAsia="zh-CN"/>
        </w:rPr>
        <w:t>同村道路维护、垃圾清运、路面保洁等</w:t>
      </w:r>
      <w:r>
        <w:rPr>
          <w:rFonts w:hint="eastAsia" w:ascii="仿宋_GB2312" w:hAnsi="Times New Roman" w:eastAsia="仿宋_GB2312" w:cs="Times New Roman"/>
          <w:spacing w:val="-6"/>
          <w:sz w:val="32"/>
          <w:szCs w:val="32"/>
          <w:lang w:val="zh-CN" w:eastAsia="zh-CN"/>
        </w:rPr>
        <w:t>。</w:t>
      </w:r>
    </w:p>
    <w:p>
      <w:pPr>
        <w:keepNext w:val="0"/>
        <w:keepLines w:val="0"/>
        <w:pageBreakBefore w:val="0"/>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
          <w:bCs w:val="0"/>
          <w:spacing w:val="-6"/>
          <w:sz w:val="32"/>
          <w:szCs w:val="32"/>
        </w:rPr>
        <w:t>（二）项目财务管理情况</w:t>
      </w:r>
    </w:p>
    <w:p>
      <w:pPr>
        <w:keepNext w:val="0"/>
        <w:keepLines w:val="0"/>
        <w:pageBreakBefore w:val="0"/>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sz w:val="32"/>
          <w:szCs w:val="32"/>
          <w:lang w:val="zh-CN" w:eastAsia="zh-CN"/>
        </w:rPr>
      </w:pPr>
      <w:r>
        <w:rPr>
          <w:rFonts w:hint="eastAsia" w:ascii="仿宋_GB2312" w:hAnsi="Times New Roman" w:eastAsia="仿宋_GB2312" w:cs="Times New Roman"/>
          <w:spacing w:val="-6"/>
          <w:sz w:val="32"/>
          <w:szCs w:val="32"/>
          <w:lang w:val="zh-CN" w:eastAsia="zh-CN"/>
        </w:rPr>
        <w:t>我乡</w:t>
      </w:r>
      <w:r>
        <w:rPr>
          <w:rFonts w:hint="eastAsia" w:ascii="仿宋_GB2312" w:hAnsi="Times New Roman" w:eastAsia="仿宋_GB2312" w:cs="Times New Roman"/>
          <w:spacing w:val="-6"/>
          <w:sz w:val="32"/>
          <w:szCs w:val="32"/>
          <w:lang w:val="en-US" w:eastAsia="zh-CN"/>
        </w:rPr>
        <w:t>农村公共服务运行维护及服务群众专项项目</w:t>
      </w:r>
      <w:r>
        <w:rPr>
          <w:rFonts w:hint="eastAsia" w:ascii="仿宋_GB2312" w:hAnsi="Times New Roman" w:eastAsia="仿宋_GB2312" w:cs="Times New Roman"/>
          <w:spacing w:val="-6"/>
          <w:sz w:val="32"/>
          <w:szCs w:val="32"/>
          <w:lang w:val="zh-CN" w:eastAsia="zh-CN"/>
        </w:rPr>
        <w:t>采取零余额账户授权支付形式，资金支出严格按照相关政策进行，在会计核算中严格按相关科目进行会计核算及账务处理，在项目资金的执行上严格遵循相关的财务管理制度，账务处理能及时、准确、规范反映资金情况。</w:t>
      </w:r>
    </w:p>
    <w:p>
      <w:pPr>
        <w:keepNext w:val="0"/>
        <w:keepLines w:val="0"/>
        <w:pageBreakBefore w:val="0"/>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rPr>
      </w:pPr>
      <w:r>
        <w:rPr>
          <w:rFonts w:hint="eastAsia" w:ascii="楷体_GB2312" w:hAnsi="Times New Roman" w:eastAsia="楷体_GB2312" w:cs="Times New Roman"/>
          <w:b/>
          <w:bCs w:val="0"/>
          <w:spacing w:val="-6"/>
          <w:sz w:val="32"/>
          <w:szCs w:val="32"/>
        </w:rPr>
        <w:t>（三）项目组织实施情况</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default" w:ascii="楷体_GB2312" w:hAnsi="Times New Roman" w:eastAsia="楷体_GB2312" w:cs="Times New Roman"/>
          <w:b/>
          <w:bCs w:val="0"/>
          <w:spacing w:val="-6"/>
          <w:sz w:val="32"/>
          <w:szCs w:val="32"/>
          <w:lang w:val="en-US" w:eastAsia="zh-CN"/>
        </w:rPr>
      </w:pPr>
      <w:r>
        <w:rPr>
          <w:rFonts w:hint="eastAsia" w:ascii="楷体_GB2312" w:hAnsi="Times New Roman" w:eastAsia="楷体_GB2312" w:cs="Times New Roman"/>
          <w:b/>
          <w:bCs w:val="0"/>
          <w:spacing w:val="-6"/>
          <w:sz w:val="32"/>
          <w:szCs w:val="32"/>
          <w:lang w:val="en-US" w:eastAsia="zh-CN"/>
        </w:rPr>
        <w:t>1.项目组织架构及实施流程。</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乡党委、政府高度重视农村公共运行维护及服务群众专项项目，并成立了工作领导小组。</w:t>
      </w:r>
    </w:p>
    <w:p>
      <w:pPr>
        <w:pStyle w:val="10"/>
        <w:keepNext w:val="0"/>
        <w:keepLines w:val="0"/>
        <w:pageBreakBefore w:val="0"/>
        <w:numPr>
          <w:ilvl w:val="0"/>
          <w:numId w:val="0"/>
        </w:numPr>
        <w:kinsoku/>
        <w:wordWrap/>
        <w:overflowPunct/>
        <w:topLinePunct w:val="0"/>
        <w:autoSpaceDN/>
        <w:bidi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组  长：郭  晶   乡人民政府乡长、党委副书记</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16" w:firstLineChars="200"/>
        <w:textAlignment w:val="auto"/>
        <w:rPr>
          <w:rFonts w:hint="default"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副组长：张莉蓉   乡人民政府副乡长</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16" w:firstLineChars="200"/>
        <w:textAlignment w:val="auto"/>
        <w:rPr>
          <w:rFonts w:hint="default"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 xml:space="preserve">成  员：乡财政所工作人员、各村（社区）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办公室设在乡财政所。</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en-US" w:eastAsia="zh-CN"/>
        </w:rPr>
      </w:pPr>
      <w:r>
        <w:rPr>
          <w:rFonts w:hint="eastAsia" w:ascii="楷体_GB2312" w:hAnsi="Times New Roman" w:eastAsia="楷体_GB2312" w:cs="Times New Roman"/>
          <w:b/>
          <w:bCs w:val="0"/>
          <w:spacing w:val="-6"/>
          <w:sz w:val="32"/>
          <w:szCs w:val="32"/>
          <w:lang w:val="en-US" w:eastAsia="zh-CN"/>
        </w:rPr>
        <w:t>2.项目管理情况</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 xml:space="preserve">    本项目采取工作领导小组负责制，全体成员积极配合、通力合作。项目工作领导小组负责协调相关工作，项目实施及资金管理。</w:t>
      </w:r>
    </w:p>
    <w:p>
      <w:pPr>
        <w:keepNext w:val="0"/>
        <w:keepLines w:val="0"/>
        <w:pageBreakBefore w:val="0"/>
        <w:widowControl w:val="0"/>
        <w:numPr>
          <w:ilvl w:val="0"/>
          <w:numId w:val="0"/>
        </w:numPr>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en-US" w:eastAsia="zh-CN"/>
        </w:rPr>
      </w:pPr>
      <w:r>
        <w:rPr>
          <w:rFonts w:hint="eastAsia" w:ascii="楷体_GB2312" w:hAnsi="Times New Roman" w:eastAsia="楷体_GB2312" w:cs="Times New Roman"/>
          <w:b/>
          <w:bCs w:val="0"/>
          <w:spacing w:val="-6"/>
          <w:sz w:val="32"/>
          <w:szCs w:val="32"/>
          <w:lang w:val="en-US" w:eastAsia="zh-CN"/>
        </w:rPr>
        <w:t>3.项目监管情况</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kern w:val="2"/>
          <w:sz w:val="32"/>
          <w:szCs w:val="32"/>
          <w:lang w:val="en-US" w:eastAsia="zh-CN" w:bidi="ar-SA"/>
        </w:rPr>
        <w:t>项目资金由乡财政所具体管理，按照乡财务管理制度，对项目资金按项目单独核算实行“专款专用、专人管理”，不得挤占挪用项目资金。强化监督，项目的正常实施监督检查是保障。对项目的实施定期或不定期的进行现场检查和监督，及时协调解决困难和问题，保证项目顺利实施。</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Times New Roman" w:eastAsia="仿宋_GB2312" w:cs="Times New Roman"/>
          <w:spacing w:val="-6"/>
          <w:kern w:val="2"/>
          <w:sz w:val="32"/>
          <w:szCs w:val="32"/>
          <w:lang w:val="zh-CN" w:eastAsia="zh-CN" w:bidi="ar-SA"/>
        </w:rPr>
      </w:pPr>
      <w:r>
        <w:rPr>
          <w:rFonts w:hint="eastAsia" w:ascii="黑体" w:hAnsi="黑体" w:eastAsia="黑体" w:cs="Times New Roman"/>
          <w:w w:val="99"/>
          <w:kern w:val="2"/>
          <w:sz w:val="32"/>
          <w:szCs w:val="32"/>
          <w:lang w:val="en-US" w:eastAsia="zh-CN" w:bidi="ar-SA"/>
        </w:rPr>
        <w:t>三</w:t>
      </w:r>
      <w:r>
        <w:rPr>
          <w:rFonts w:hint="eastAsia" w:ascii="黑体" w:hAnsi="黑体" w:eastAsia="黑体" w:cs="Times New Roman"/>
          <w:w w:val="99"/>
          <w:kern w:val="2"/>
          <w:sz w:val="32"/>
          <w:szCs w:val="32"/>
          <w:lang w:val="zh-CN" w:eastAsia="zh-CN" w:bidi="ar-SA"/>
        </w:rPr>
        <w:t>、项目绩效情况</w:t>
      </w:r>
      <w:r>
        <w:rPr>
          <w:rFonts w:hint="eastAsia" w:ascii="仿宋_GB2312" w:hAnsi="Times New Roman" w:eastAsia="仿宋_GB2312" w:cs="Times New Roman"/>
          <w:spacing w:val="-6"/>
          <w:kern w:val="2"/>
          <w:sz w:val="32"/>
          <w:szCs w:val="32"/>
          <w:lang w:val="zh-CN" w:eastAsia="zh-CN" w:bidi="ar-SA"/>
        </w:rPr>
        <w:tab/>
      </w:r>
    </w:p>
    <w:p>
      <w:pPr>
        <w:keepNext w:val="0"/>
        <w:keepLines w:val="0"/>
        <w:pageBreakBefore w:val="0"/>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zh-CN" w:eastAsia="zh-CN"/>
        </w:rPr>
      </w:pPr>
      <w:r>
        <w:rPr>
          <w:rFonts w:hint="eastAsia" w:ascii="楷体_GB2312" w:hAnsi="Times New Roman" w:eastAsia="楷体_GB2312" w:cs="Times New Roman"/>
          <w:b/>
          <w:bCs w:val="0"/>
          <w:spacing w:val="-6"/>
          <w:sz w:val="32"/>
          <w:szCs w:val="32"/>
          <w:lang w:val="zh-CN" w:eastAsia="zh-CN"/>
        </w:rPr>
        <w:t>（一）项目完成情况</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zh-CN" w:eastAsia="zh-CN" w:bidi="ar-SA"/>
        </w:rPr>
      </w:pPr>
      <w:r>
        <w:rPr>
          <w:rFonts w:hint="eastAsia" w:ascii="仿宋_GB2312" w:hAnsi="Times New Roman" w:eastAsia="仿宋_GB2312" w:cs="Times New Roman"/>
          <w:spacing w:val="-6"/>
          <w:kern w:val="2"/>
          <w:sz w:val="32"/>
          <w:szCs w:val="32"/>
          <w:lang w:val="zh-CN" w:eastAsia="zh-CN" w:bidi="ar-SA"/>
        </w:rPr>
        <w:t>202</w:t>
      </w:r>
      <w:r>
        <w:rPr>
          <w:rFonts w:hint="eastAsia" w:ascii="仿宋_GB2312" w:hAnsi="Times New Roman" w:eastAsia="仿宋_GB2312" w:cs="Times New Roman"/>
          <w:spacing w:val="-6"/>
          <w:kern w:val="2"/>
          <w:sz w:val="32"/>
          <w:szCs w:val="32"/>
          <w:lang w:val="en-US" w:eastAsia="zh-CN" w:bidi="ar-SA"/>
        </w:rPr>
        <w:t>2</w:t>
      </w:r>
      <w:r>
        <w:rPr>
          <w:rFonts w:hint="eastAsia" w:ascii="仿宋_GB2312" w:hAnsi="Times New Roman" w:eastAsia="仿宋_GB2312" w:cs="Times New Roman"/>
          <w:spacing w:val="-6"/>
          <w:kern w:val="2"/>
          <w:sz w:val="32"/>
          <w:szCs w:val="32"/>
          <w:lang w:val="zh-CN" w:eastAsia="zh-CN" w:bidi="ar-SA"/>
        </w:rPr>
        <w:t>年底，</w:t>
      </w:r>
      <w:r>
        <w:rPr>
          <w:rFonts w:hint="eastAsia" w:ascii="仿宋_GB2312" w:hAnsi="Times New Roman" w:eastAsia="仿宋_GB2312" w:cs="Times New Roman"/>
          <w:spacing w:val="-6"/>
          <w:kern w:val="2"/>
          <w:sz w:val="32"/>
          <w:szCs w:val="32"/>
          <w:lang w:val="en-US" w:eastAsia="zh-CN" w:bidi="ar-SA"/>
        </w:rPr>
        <w:t>全年共完成辖区内行政村同村道路维护12处，共完成垃圾清运362趟，切实保障了辖区的垃圾得到及时清运；共完成路面保洁60余公里</w:t>
      </w:r>
      <w:r>
        <w:rPr>
          <w:rFonts w:hint="eastAsia" w:ascii="仿宋_GB2312" w:hAnsi="Times New Roman" w:eastAsia="仿宋_GB2312" w:cs="Times New Roman"/>
          <w:spacing w:val="-6"/>
          <w:kern w:val="2"/>
          <w:sz w:val="32"/>
          <w:szCs w:val="32"/>
          <w:lang w:val="zh-CN" w:eastAsia="zh-CN" w:bidi="ar-SA"/>
        </w:rPr>
        <w:t>，各村基础设施和环境卫生等得到了极大的改善，目标完成情况良好。群众满意度达90%以上。</w:t>
      </w:r>
    </w:p>
    <w:p>
      <w:pPr>
        <w:keepNext w:val="0"/>
        <w:keepLines w:val="0"/>
        <w:pageBreakBefore w:val="0"/>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zh-CN" w:eastAsia="zh-CN"/>
        </w:rPr>
      </w:pPr>
      <w:r>
        <w:rPr>
          <w:rFonts w:hint="eastAsia" w:ascii="楷体_GB2312" w:hAnsi="Times New Roman" w:eastAsia="楷体_GB2312" w:cs="Times New Roman"/>
          <w:b/>
          <w:bCs w:val="0"/>
          <w:spacing w:val="-6"/>
          <w:sz w:val="32"/>
          <w:szCs w:val="32"/>
          <w:lang w:val="zh-CN" w:eastAsia="zh-CN"/>
        </w:rPr>
        <w:t>（二）项目效益情况。</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zh-CN" w:eastAsia="zh-CN" w:bidi="ar-SA"/>
        </w:rPr>
      </w:pPr>
      <w:r>
        <w:rPr>
          <w:rFonts w:hint="eastAsia" w:ascii="仿宋_GB2312" w:hAnsi="Times New Roman" w:eastAsia="仿宋_GB2312" w:cs="Times New Roman"/>
          <w:spacing w:val="-6"/>
          <w:kern w:val="2"/>
          <w:sz w:val="32"/>
          <w:szCs w:val="32"/>
          <w:lang w:val="zh-CN" w:eastAsia="zh-CN" w:bidi="ar-SA"/>
        </w:rPr>
        <w:t>农村公共服务运行维护项目资金的按时拨付和项目的实时推进，保障了村民的基本生活，促进了群众生产生活条件的改善，提高了群众的生活质量，完善了农村公共基础设施，通过改革创新，实现“小改革、大机制、小资金、大舞台”的工作目标，为创新农村社会管理体制探索了新路径，该项目取得了较好的社会效益和生态效益，赢得了大多数群众的认可和支持。</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黑体" w:hAnsi="黑体" w:eastAsia="黑体" w:cs="Times New Roman"/>
          <w:w w:val="99"/>
          <w:kern w:val="2"/>
          <w:sz w:val="32"/>
          <w:szCs w:val="32"/>
          <w:lang w:val="zh-CN" w:eastAsia="zh-CN" w:bidi="ar-SA"/>
        </w:rPr>
      </w:pPr>
      <w:r>
        <w:rPr>
          <w:rFonts w:hint="eastAsia" w:ascii="黑体" w:hAnsi="黑体" w:eastAsia="黑体" w:cs="Times New Roman"/>
          <w:w w:val="99"/>
          <w:kern w:val="2"/>
          <w:sz w:val="32"/>
          <w:szCs w:val="32"/>
          <w:lang w:val="en-US" w:eastAsia="zh-CN" w:bidi="ar-SA"/>
        </w:rPr>
        <w:t>四</w:t>
      </w:r>
      <w:r>
        <w:rPr>
          <w:rFonts w:hint="eastAsia" w:ascii="黑体" w:hAnsi="黑体" w:eastAsia="黑体" w:cs="Times New Roman"/>
          <w:w w:val="99"/>
          <w:kern w:val="2"/>
          <w:sz w:val="32"/>
          <w:szCs w:val="32"/>
          <w:lang w:val="zh-CN" w:eastAsia="zh-CN" w:bidi="ar-SA"/>
        </w:rPr>
        <w:t>、评价结论及建议</w:t>
      </w:r>
    </w:p>
    <w:p>
      <w:pPr>
        <w:keepNext w:val="0"/>
        <w:keepLines w:val="0"/>
        <w:pageBreakBefore w:val="0"/>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zh-CN" w:eastAsia="zh-CN"/>
        </w:rPr>
      </w:pPr>
      <w:r>
        <w:rPr>
          <w:rFonts w:hint="eastAsia" w:ascii="楷体_GB2312" w:hAnsi="Times New Roman" w:eastAsia="楷体_GB2312" w:cs="Times New Roman"/>
          <w:b/>
          <w:bCs w:val="0"/>
          <w:spacing w:val="-6"/>
          <w:sz w:val="32"/>
          <w:szCs w:val="32"/>
          <w:lang w:val="zh-CN" w:eastAsia="zh-CN"/>
        </w:rPr>
        <w:t>（一）评价结论</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zh-CN" w:eastAsia="zh-CN" w:bidi="ar-SA"/>
        </w:rPr>
      </w:pPr>
      <w:r>
        <w:rPr>
          <w:rFonts w:hint="eastAsia" w:ascii="仿宋_GB2312" w:hAnsi="Times New Roman" w:eastAsia="仿宋_GB2312" w:cs="Times New Roman"/>
          <w:spacing w:val="-6"/>
          <w:kern w:val="2"/>
          <w:sz w:val="32"/>
          <w:szCs w:val="32"/>
          <w:lang w:val="zh-CN" w:eastAsia="zh-CN" w:bidi="ar-SA"/>
        </w:rPr>
        <w:t>农村公共服务</w:t>
      </w:r>
      <w:r>
        <w:rPr>
          <w:rFonts w:hint="eastAsia" w:ascii="仿宋_GB2312" w:hAnsi="Times New Roman" w:eastAsia="仿宋_GB2312" w:cs="Times New Roman"/>
          <w:spacing w:val="-6"/>
          <w:kern w:val="2"/>
          <w:sz w:val="32"/>
          <w:szCs w:val="32"/>
          <w:lang w:val="en-US" w:eastAsia="zh-CN" w:bidi="ar-SA"/>
        </w:rPr>
        <w:t>运行维护及服务群众专项</w:t>
      </w:r>
      <w:r>
        <w:rPr>
          <w:rFonts w:hint="eastAsia" w:ascii="仿宋_GB2312" w:hAnsi="Times New Roman" w:eastAsia="仿宋_GB2312" w:cs="Times New Roman"/>
          <w:spacing w:val="-6"/>
          <w:kern w:val="2"/>
          <w:sz w:val="32"/>
          <w:szCs w:val="32"/>
          <w:lang w:val="zh-CN" w:eastAsia="zh-CN" w:bidi="ar-SA"/>
        </w:rPr>
        <w:t>项目的实施符合国家相关政策要求，</w:t>
      </w:r>
      <w:r>
        <w:rPr>
          <w:rFonts w:hint="eastAsia" w:ascii="仿宋_GB2312" w:hAnsi="Times New Roman" w:eastAsia="仿宋_GB2312" w:cs="Times New Roman"/>
          <w:spacing w:val="-6"/>
          <w:kern w:val="2"/>
          <w:sz w:val="32"/>
          <w:szCs w:val="32"/>
          <w:lang w:val="en-US" w:eastAsia="zh-CN" w:bidi="ar-SA"/>
        </w:rPr>
        <w:t>保障各村内道路等公益性基础设施正常运转，有效改变农村面貌，通过项目实施，形成村民愿意做事、有钱做事的格局。根据部门整体支出绩效评价指标体系和绩效检查情况，综合得分96分（总分为100分），总体考核等次确定为“优”。</w:t>
      </w:r>
    </w:p>
    <w:p>
      <w:pPr>
        <w:keepNext w:val="0"/>
        <w:keepLines w:val="0"/>
        <w:pageBreakBefore w:val="0"/>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zh-CN" w:eastAsia="zh-CN"/>
        </w:rPr>
      </w:pPr>
      <w:r>
        <w:rPr>
          <w:rFonts w:hint="eastAsia" w:ascii="楷体_GB2312" w:hAnsi="Times New Roman" w:eastAsia="楷体_GB2312" w:cs="Times New Roman"/>
          <w:b/>
          <w:bCs w:val="0"/>
          <w:spacing w:val="-6"/>
          <w:sz w:val="32"/>
          <w:szCs w:val="32"/>
          <w:lang w:val="zh-CN" w:eastAsia="zh-CN"/>
        </w:rPr>
        <w:t>（二）存在的问题</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zh-CN" w:eastAsia="zh-CN" w:bidi="ar-SA"/>
        </w:rPr>
      </w:pPr>
      <w:r>
        <w:rPr>
          <w:rFonts w:hint="eastAsia" w:ascii="仿宋_GB2312" w:hAnsi="Times New Roman" w:eastAsia="仿宋_GB2312" w:cs="Times New Roman"/>
          <w:spacing w:val="-6"/>
          <w:kern w:val="2"/>
          <w:sz w:val="32"/>
          <w:szCs w:val="32"/>
          <w:lang w:val="zh-CN" w:eastAsia="zh-CN" w:bidi="ar-SA"/>
        </w:rPr>
        <w:t>对各村提出的项目目标计划还不够具体，例如，运维资金用于改善环境卫生上，在农村人口大量流出的情况下，对场镇保洁质量的评价没有形成相应的激励约束机制。</w:t>
      </w:r>
    </w:p>
    <w:p>
      <w:pPr>
        <w:keepNext w:val="0"/>
        <w:keepLines w:val="0"/>
        <w:pageBreakBefore w:val="0"/>
        <w:kinsoku/>
        <w:wordWrap/>
        <w:overflowPunct/>
        <w:topLinePunct w:val="0"/>
        <w:autoSpaceDE w:val="0"/>
        <w:autoSpaceDN/>
        <w:bidi w:val="0"/>
        <w:spacing w:line="560" w:lineRule="exact"/>
        <w:ind w:firstLine="618" w:firstLineChars="200"/>
        <w:textAlignment w:val="auto"/>
        <w:rPr>
          <w:rFonts w:hint="eastAsia" w:ascii="楷体_GB2312" w:hAnsi="Times New Roman" w:eastAsia="楷体_GB2312" w:cs="Times New Roman"/>
          <w:b/>
          <w:bCs w:val="0"/>
          <w:spacing w:val="-6"/>
          <w:sz w:val="32"/>
          <w:szCs w:val="32"/>
          <w:lang w:val="zh-CN" w:eastAsia="zh-CN"/>
        </w:rPr>
      </w:pPr>
      <w:r>
        <w:rPr>
          <w:rFonts w:hint="eastAsia" w:ascii="楷体_GB2312" w:hAnsi="Times New Roman" w:eastAsia="楷体_GB2312" w:cs="Times New Roman"/>
          <w:b/>
          <w:bCs w:val="0"/>
          <w:spacing w:val="-6"/>
          <w:sz w:val="32"/>
          <w:szCs w:val="32"/>
          <w:lang w:val="zh-CN" w:eastAsia="zh-CN"/>
        </w:rPr>
        <w:t>（三）相关建议</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zh-CN" w:eastAsia="zh-CN" w:bidi="ar-SA"/>
        </w:rPr>
      </w:pPr>
      <w:r>
        <w:rPr>
          <w:rFonts w:hint="eastAsia" w:ascii="仿宋_GB2312" w:hAnsi="Times New Roman" w:eastAsia="仿宋_GB2312" w:cs="Times New Roman"/>
          <w:spacing w:val="-6"/>
          <w:kern w:val="2"/>
          <w:sz w:val="32"/>
          <w:szCs w:val="32"/>
          <w:lang w:val="zh-CN" w:eastAsia="zh-CN" w:bidi="ar-SA"/>
        </w:rPr>
        <w:t>针对项目数量、质量、功能、受益群众满意度等提出更明确、合理的目标，制定项目目标时，充分考虑本村的实际情况，对项目目标进行量化，使项目实施做到科学合理。</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Times New Roman" w:eastAsia="仿宋_GB2312" w:cs="Times New Roman"/>
          <w:spacing w:val="-6"/>
          <w:kern w:val="2"/>
          <w:sz w:val="32"/>
          <w:szCs w:val="32"/>
          <w:lang w:val="zh-CN"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pStyle w:val="7"/>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bookmarkStart w:id="117" w:name="_Toc3988"/>
      <w:bookmarkStart w:id="118" w:name="_Toc28430"/>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97"/>
      <w:bookmarkEnd w:id="100"/>
      <w:bookmarkEnd w:id="117"/>
      <w:bookmarkEnd w:id="118"/>
      <w:bookmarkStart w:id="119" w:name="_Toc15396619"/>
    </w:p>
    <w:p>
      <w:pPr>
        <w:pStyle w:val="5"/>
        <w:rPr>
          <w:rFonts w:ascii="仿宋" w:hAnsi="仿宋" w:eastAsia="仿宋"/>
          <w:color w:val="auto"/>
          <w:highlight w:val="none"/>
        </w:rPr>
      </w:pPr>
      <w:bookmarkStart w:id="120" w:name="_Toc8070"/>
      <w:bookmarkStart w:id="121" w:name="_Toc6383"/>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119"/>
      <w:bookmarkEnd w:id="120"/>
      <w:bookmarkEnd w:id="121"/>
    </w:p>
    <w:p>
      <w:pPr>
        <w:pStyle w:val="5"/>
        <w:rPr>
          <w:rFonts w:ascii="仿宋" w:hAnsi="仿宋" w:eastAsia="仿宋"/>
          <w:color w:val="auto"/>
          <w:highlight w:val="none"/>
        </w:rPr>
      </w:pPr>
      <w:bookmarkStart w:id="122" w:name="_Toc3786"/>
      <w:bookmarkStart w:id="123" w:name="_Toc17226"/>
      <w:bookmarkStart w:id="124"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122"/>
      <w:bookmarkEnd w:id="123"/>
      <w:bookmarkEnd w:id="124"/>
    </w:p>
    <w:p>
      <w:pPr>
        <w:pStyle w:val="5"/>
        <w:rPr>
          <w:rFonts w:ascii="仿宋" w:hAnsi="仿宋" w:eastAsia="仿宋"/>
          <w:color w:val="auto"/>
          <w:highlight w:val="none"/>
        </w:rPr>
      </w:pPr>
      <w:bookmarkStart w:id="125" w:name="_Toc15396621"/>
      <w:bookmarkStart w:id="126" w:name="_Toc2416"/>
      <w:bookmarkStart w:id="127" w:name="_Toc4324"/>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125"/>
      <w:bookmarkEnd w:id="126"/>
      <w:bookmarkEnd w:id="127"/>
    </w:p>
    <w:p>
      <w:pPr>
        <w:pStyle w:val="5"/>
        <w:rPr>
          <w:rFonts w:ascii="仿宋" w:hAnsi="仿宋" w:eastAsia="仿宋"/>
          <w:b w:val="0"/>
          <w:color w:val="auto"/>
          <w:highlight w:val="none"/>
        </w:rPr>
      </w:pPr>
      <w:bookmarkStart w:id="128" w:name="_Toc8793"/>
      <w:bookmarkStart w:id="129" w:name="_Toc8395"/>
      <w:bookmarkStart w:id="130"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128"/>
      <w:bookmarkEnd w:id="129"/>
      <w:bookmarkEnd w:id="130"/>
    </w:p>
    <w:p>
      <w:pPr>
        <w:pStyle w:val="5"/>
        <w:rPr>
          <w:rStyle w:val="27"/>
          <w:rFonts w:ascii="仿宋" w:hAnsi="仿宋" w:eastAsia="仿宋"/>
          <w:b w:val="0"/>
          <w:bCs w:val="0"/>
          <w:color w:val="auto"/>
          <w:highlight w:val="none"/>
        </w:rPr>
      </w:pPr>
      <w:bookmarkStart w:id="131" w:name="_Toc20577"/>
      <w:bookmarkStart w:id="132" w:name="_Toc12546"/>
      <w:bookmarkStart w:id="133"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131"/>
      <w:bookmarkEnd w:id="132"/>
      <w:bookmarkEnd w:id="133"/>
      <w:bookmarkStart w:id="134" w:name="_Toc15396624"/>
    </w:p>
    <w:p>
      <w:pPr>
        <w:pStyle w:val="5"/>
        <w:rPr>
          <w:rFonts w:ascii="仿宋" w:hAnsi="仿宋" w:eastAsia="仿宋"/>
          <w:color w:val="auto"/>
          <w:highlight w:val="none"/>
        </w:rPr>
      </w:pPr>
      <w:bookmarkStart w:id="135" w:name="_Toc27520"/>
      <w:bookmarkStart w:id="136" w:name="_Toc30967"/>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134"/>
      <w:bookmarkEnd w:id="135"/>
      <w:bookmarkEnd w:id="136"/>
    </w:p>
    <w:p>
      <w:pPr>
        <w:pStyle w:val="5"/>
        <w:rPr>
          <w:rFonts w:ascii="仿宋" w:hAnsi="仿宋" w:eastAsia="仿宋"/>
          <w:color w:val="auto"/>
          <w:highlight w:val="none"/>
        </w:rPr>
      </w:pPr>
      <w:bookmarkStart w:id="137" w:name="_Toc1327"/>
      <w:bookmarkStart w:id="138" w:name="_Toc1279"/>
      <w:bookmarkStart w:id="139"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137"/>
      <w:bookmarkEnd w:id="138"/>
      <w:bookmarkEnd w:id="139"/>
    </w:p>
    <w:p>
      <w:pPr>
        <w:pStyle w:val="5"/>
        <w:rPr>
          <w:rFonts w:ascii="仿宋" w:hAnsi="仿宋" w:eastAsia="仿宋"/>
          <w:color w:val="auto"/>
          <w:highlight w:val="none"/>
        </w:rPr>
      </w:pPr>
      <w:bookmarkStart w:id="140" w:name="_Toc3099"/>
      <w:bookmarkStart w:id="141" w:name="_Toc9966"/>
      <w:bookmarkStart w:id="142"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140"/>
      <w:bookmarkEnd w:id="141"/>
      <w:bookmarkEnd w:id="142"/>
    </w:p>
    <w:p>
      <w:pPr>
        <w:pStyle w:val="5"/>
        <w:rPr>
          <w:rFonts w:ascii="仿宋" w:hAnsi="仿宋" w:eastAsia="仿宋"/>
          <w:color w:val="auto"/>
          <w:highlight w:val="none"/>
        </w:rPr>
      </w:pPr>
      <w:bookmarkStart w:id="143" w:name="_Toc12376"/>
      <w:bookmarkStart w:id="144" w:name="_Toc15396627"/>
      <w:bookmarkStart w:id="145" w:name="_Toc9591"/>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143"/>
      <w:bookmarkEnd w:id="144"/>
      <w:bookmarkEnd w:id="145"/>
    </w:p>
    <w:p>
      <w:pPr>
        <w:pStyle w:val="5"/>
        <w:rPr>
          <w:rFonts w:ascii="仿宋" w:hAnsi="仿宋" w:eastAsia="仿宋"/>
          <w:color w:val="auto"/>
          <w:highlight w:val="none"/>
        </w:rPr>
      </w:pPr>
      <w:bookmarkStart w:id="146" w:name="_Toc15396628"/>
      <w:bookmarkStart w:id="147" w:name="_Toc9568"/>
      <w:bookmarkStart w:id="148" w:name="_Toc11772"/>
      <w:r>
        <w:rPr>
          <w:rStyle w:val="27"/>
          <w:rFonts w:hint="eastAsia" w:ascii="仿宋" w:hAnsi="仿宋" w:eastAsia="仿宋"/>
          <w:b w:val="0"/>
          <w:bCs w:val="0"/>
          <w:color w:val="auto"/>
          <w:highlight w:val="none"/>
        </w:rPr>
        <w:t>十、</w:t>
      </w:r>
      <w:bookmarkEnd w:id="146"/>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147"/>
      <w:bookmarkEnd w:id="148"/>
    </w:p>
    <w:p>
      <w:pPr>
        <w:pStyle w:val="5"/>
        <w:rPr>
          <w:rFonts w:ascii="仿宋" w:hAnsi="仿宋" w:eastAsia="仿宋"/>
          <w:color w:val="auto"/>
          <w:highlight w:val="none"/>
        </w:rPr>
      </w:pPr>
      <w:bookmarkStart w:id="149" w:name="_Toc15396629"/>
      <w:bookmarkStart w:id="150" w:name="_Toc13761"/>
      <w:bookmarkStart w:id="151" w:name="_Toc14780"/>
      <w:r>
        <w:rPr>
          <w:rStyle w:val="27"/>
          <w:rFonts w:hint="eastAsia" w:ascii="仿宋" w:hAnsi="仿宋" w:eastAsia="仿宋"/>
          <w:b w:val="0"/>
          <w:bCs w:val="0"/>
          <w:color w:val="auto"/>
          <w:highlight w:val="none"/>
        </w:rPr>
        <w:t>十一、</w:t>
      </w:r>
      <w:bookmarkEnd w:id="149"/>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150"/>
      <w:bookmarkEnd w:id="151"/>
    </w:p>
    <w:p>
      <w:pPr>
        <w:pStyle w:val="5"/>
        <w:rPr>
          <w:rFonts w:ascii="仿宋" w:hAnsi="仿宋" w:eastAsia="仿宋"/>
          <w:color w:val="auto"/>
          <w:highlight w:val="none"/>
        </w:rPr>
      </w:pPr>
      <w:bookmarkStart w:id="152" w:name="_Toc15396630"/>
      <w:bookmarkStart w:id="153" w:name="_Toc20866"/>
      <w:bookmarkStart w:id="154" w:name="_Toc14375"/>
      <w:r>
        <w:rPr>
          <w:rStyle w:val="27"/>
          <w:rFonts w:hint="eastAsia" w:ascii="仿宋" w:hAnsi="仿宋" w:eastAsia="仿宋"/>
          <w:b w:val="0"/>
          <w:bCs w:val="0"/>
          <w:color w:val="auto"/>
          <w:highlight w:val="none"/>
        </w:rPr>
        <w:t>十二、</w:t>
      </w:r>
      <w:bookmarkEnd w:id="152"/>
      <w:r>
        <w:rPr>
          <w:rStyle w:val="27"/>
          <w:rFonts w:hint="eastAsia" w:ascii="仿宋" w:hAnsi="仿宋" w:eastAsia="仿宋"/>
          <w:b w:val="0"/>
          <w:bCs w:val="0"/>
          <w:color w:val="auto"/>
          <w:highlight w:val="none"/>
          <w:lang w:eastAsia="zh-CN"/>
        </w:rPr>
        <w:t>国有资本经营预算财政拨款支出决算表</w:t>
      </w:r>
      <w:bookmarkEnd w:id="153"/>
      <w:bookmarkEnd w:id="154"/>
    </w:p>
    <w:p>
      <w:pPr>
        <w:pStyle w:val="5"/>
        <w:rPr>
          <w:rFonts w:hint="eastAsia" w:eastAsia="仿宋"/>
          <w:color w:val="auto"/>
          <w:highlight w:val="none"/>
          <w:lang w:eastAsia="zh-CN"/>
        </w:rPr>
      </w:pPr>
      <w:bookmarkStart w:id="155" w:name="_Toc15396631"/>
      <w:bookmarkStart w:id="156" w:name="_Toc6222"/>
      <w:bookmarkStart w:id="157" w:name="_Toc20618"/>
      <w:r>
        <w:rPr>
          <w:rStyle w:val="27"/>
          <w:rFonts w:hint="eastAsia" w:ascii="仿宋" w:hAnsi="仿宋" w:eastAsia="仿宋"/>
          <w:b w:val="0"/>
          <w:bCs w:val="0"/>
          <w:color w:val="auto"/>
          <w:highlight w:val="none"/>
        </w:rPr>
        <w:t>十三、</w:t>
      </w:r>
      <w:bookmarkEnd w:id="155"/>
      <w:r>
        <w:rPr>
          <w:rStyle w:val="27"/>
          <w:rFonts w:hint="eastAsia" w:ascii="仿宋" w:hAnsi="仿宋" w:eastAsia="仿宋"/>
          <w:b w:val="0"/>
          <w:bCs w:val="0"/>
          <w:color w:val="auto"/>
          <w:highlight w:val="none"/>
          <w:lang w:eastAsia="zh-CN"/>
        </w:rPr>
        <w:t>财政拨款“三公”经费支出决算表</w:t>
      </w:r>
      <w:bookmarkEnd w:id="156"/>
      <w:bookmarkEnd w:id="157"/>
    </w:p>
    <w:sectPr>
      <w:footerReference r:id="rId6" w:type="first"/>
      <w:footerReference r:id="rId5" w:type="default"/>
      <w:pgSz w:w="11906" w:h="16838"/>
      <w:pgMar w:top="1440" w:right="1800" w:bottom="1440" w:left="1800" w:header="851" w:footer="992" w:gutter="0"/>
      <w:pgNumType w:fmt="decimal" w:start="3"/>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2010601030101010101"/>
    <w:charset w:val="86"/>
    <w:family w:val="script"/>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78A5B"/>
    <w:multiLevelType w:val="singleLevel"/>
    <w:tmpl w:val="81678A5B"/>
    <w:lvl w:ilvl="0" w:tentative="0">
      <w:start w:val="2"/>
      <w:numFmt w:val="chineseCounting"/>
      <w:suff w:val="nothing"/>
      <w:lvlText w:val="（%1）"/>
      <w:lvlJc w:val="left"/>
      <w:rPr>
        <w:rFonts w:hint="eastAsia"/>
      </w:rPr>
    </w:lvl>
  </w:abstractNum>
  <w:abstractNum w:abstractNumId="1">
    <w:nsid w:val="8E41A0AA"/>
    <w:multiLevelType w:val="singleLevel"/>
    <w:tmpl w:val="8E41A0AA"/>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F39FF772"/>
    <w:multiLevelType w:val="singleLevel"/>
    <w:tmpl w:val="F39FF772"/>
    <w:lvl w:ilvl="0" w:tentative="0">
      <w:start w:val="2"/>
      <w:numFmt w:val="chineseCounting"/>
      <w:suff w:val="nothing"/>
      <w:lvlText w:val="（%1）"/>
      <w:lvlJc w:val="left"/>
      <w:rPr>
        <w:rFonts w:hint="eastAsia"/>
      </w:rPr>
    </w:lvl>
  </w:abstractNum>
  <w:abstractNum w:abstractNumId="5">
    <w:nsid w:val="09083213"/>
    <w:multiLevelType w:val="singleLevel"/>
    <w:tmpl w:val="09083213"/>
    <w:lvl w:ilvl="0" w:tentative="0">
      <w:start w:val="1"/>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3818A09A"/>
    <w:multiLevelType w:val="singleLevel"/>
    <w:tmpl w:val="3818A09A"/>
    <w:lvl w:ilvl="0" w:tentative="0">
      <w:start w:val="1"/>
      <w:numFmt w:val="chineseCounting"/>
      <w:suff w:val="nothing"/>
      <w:lvlText w:val="%1、"/>
      <w:lvlJc w:val="left"/>
      <w:rPr>
        <w:rFonts w:hint="eastAsia"/>
      </w:rPr>
    </w:lvl>
  </w:abstractNum>
  <w:abstractNum w:abstractNumId="8">
    <w:nsid w:val="50FF4BB5"/>
    <w:multiLevelType w:val="singleLevel"/>
    <w:tmpl w:val="50FF4BB5"/>
    <w:lvl w:ilvl="0" w:tentative="0">
      <w:start w:val="4"/>
      <w:numFmt w:val="chineseCounting"/>
      <w:suff w:val="nothing"/>
      <w:lvlText w:val="（%1）"/>
      <w:lvlJc w:val="left"/>
      <w:rPr>
        <w:rFonts w:hint="eastAsia"/>
      </w:rPr>
    </w:lvl>
  </w:abstractNum>
  <w:abstractNum w:abstractNumId="9">
    <w:nsid w:val="70DD60EA"/>
    <w:multiLevelType w:val="singleLevel"/>
    <w:tmpl w:val="70DD60EA"/>
    <w:lvl w:ilvl="0" w:tentative="0">
      <w:start w:val="1"/>
      <w:numFmt w:val="chineseCounting"/>
      <w:suff w:val="nothing"/>
      <w:lvlText w:val="%1、"/>
      <w:lvlJc w:val="left"/>
      <w:rPr>
        <w:rFonts w:hint="eastAsia"/>
      </w:rPr>
    </w:lvl>
  </w:abstractNum>
  <w:abstractNum w:abstractNumId="10">
    <w:nsid w:val="7AAFA6F0"/>
    <w:multiLevelType w:val="singleLevel"/>
    <w:tmpl w:val="7AAFA6F0"/>
    <w:lvl w:ilvl="0" w:tentative="0">
      <w:start w:val="2"/>
      <w:numFmt w:val="chineseCounting"/>
      <w:suff w:val="nothing"/>
      <w:lvlText w:val="（%1）"/>
      <w:lvlJc w:val="left"/>
      <w:rPr>
        <w:rFonts w:hint="eastAsia"/>
      </w:rPr>
    </w:lvl>
  </w:abstractNum>
  <w:num w:numId="1">
    <w:abstractNumId w:val="7"/>
  </w:num>
  <w:num w:numId="2">
    <w:abstractNumId w:val="6"/>
  </w:num>
  <w:num w:numId="3">
    <w:abstractNumId w:val="2"/>
  </w:num>
  <w:num w:numId="4">
    <w:abstractNumId w:val="8"/>
  </w:num>
  <w:num w:numId="5">
    <w:abstractNumId w:val="3"/>
  </w:num>
  <w:num w:numId="6">
    <w:abstractNumId w:val="0"/>
  </w:num>
  <w:num w:numId="7">
    <w:abstractNumId w:val="4"/>
  </w:num>
  <w:num w:numId="8">
    <w:abstractNumId w:val="9"/>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FC3"/>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5AF117D"/>
    <w:rsid w:val="09883AB3"/>
    <w:rsid w:val="0A2032A3"/>
    <w:rsid w:val="0B8A37D8"/>
    <w:rsid w:val="0D13523D"/>
    <w:rsid w:val="10C055FF"/>
    <w:rsid w:val="11465FEC"/>
    <w:rsid w:val="118107EC"/>
    <w:rsid w:val="11DD6519"/>
    <w:rsid w:val="1391438D"/>
    <w:rsid w:val="143D329B"/>
    <w:rsid w:val="16BB723D"/>
    <w:rsid w:val="18015F3F"/>
    <w:rsid w:val="1BE8440E"/>
    <w:rsid w:val="1D155CEE"/>
    <w:rsid w:val="1DBC7A46"/>
    <w:rsid w:val="1EF27252"/>
    <w:rsid w:val="1F6164BF"/>
    <w:rsid w:val="20F57F95"/>
    <w:rsid w:val="22576C8F"/>
    <w:rsid w:val="240371BF"/>
    <w:rsid w:val="247B2AA1"/>
    <w:rsid w:val="251A3E1D"/>
    <w:rsid w:val="25711CC6"/>
    <w:rsid w:val="25C741E6"/>
    <w:rsid w:val="264535C2"/>
    <w:rsid w:val="2710535A"/>
    <w:rsid w:val="27842671"/>
    <w:rsid w:val="28AC2FB2"/>
    <w:rsid w:val="29FD04D3"/>
    <w:rsid w:val="2ABE7A3E"/>
    <w:rsid w:val="2BAC1A0B"/>
    <w:rsid w:val="2C892158"/>
    <w:rsid w:val="2CA234A8"/>
    <w:rsid w:val="2EFA178C"/>
    <w:rsid w:val="30B46D73"/>
    <w:rsid w:val="3111405E"/>
    <w:rsid w:val="31476416"/>
    <w:rsid w:val="315C4A0D"/>
    <w:rsid w:val="319F7F4E"/>
    <w:rsid w:val="331A61FF"/>
    <w:rsid w:val="340A166E"/>
    <w:rsid w:val="366E215D"/>
    <w:rsid w:val="37586ADD"/>
    <w:rsid w:val="383D272C"/>
    <w:rsid w:val="385D264A"/>
    <w:rsid w:val="396B5955"/>
    <w:rsid w:val="39AE70AB"/>
    <w:rsid w:val="39C80763"/>
    <w:rsid w:val="3C0C0783"/>
    <w:rsid w:val="3D90447A"/>
    <w:rsid w:val="3F9F3A96"/>
    <w:rsid w:val="461145B6"/>
    <w:rsid w:val="47F36BED"/>
    <w:rsid w:val="48BF60AB"/>
    <w:rsid w:val="493C27E9"/>
    <w:rsid w:val="496F39ED"/>
    <w:rsid w:val="49FF41D3"/>
    <w:rsid w:val="4BE068DB"/>
    <w:rsid w:val="4BF6002B"/>
    <w:rsid w:val="4DCD307E"/>
    <w:rsid w:val="4ECE2238"/>
    <w:rsid w:val="4F924DEE"/>
    <w:rsid w:val="4FF534DD"/>
    <w:rsid w:val="504C71CB"/>
    <w:rsid w:val="51DB4B86"/>
    <w:rsid w:val="55333C3E"/>
    <w:rsid w:val="5A272E2C"/>
    <w:rsid w:val="5EFC058A"/>
    <w:rsid w:val="62AA39D4"/>
    <w:rsid w:val="64CA39A1"/>
    <w:rsid w:val="693B70EE"/>
    <w:rsid w:val="69630ADE"/>
    <w:rsid w:val="69F24D87"/>
    <w:rsid w:val="6C4A05C8"/>
    <w:rsid w:val="6D3B1A89"/>
    <w:rsid w:val="6DD26BF8"/>
    <w:rsid w:val="6E6F4BC0"/>
    <w:rsid w:val="71981370"/>
    <w:rsid w:val="71BF4EC2"/>
    <w:rsid w:val="72734D90"/>
    <w:rsid w:val="73FE0302"/>
    <w:rsid w:val="7412278C"/>
    <w:rsid w:val="756B7C19"/>
    <w:rsid w:val="7668312F"/>
    <w:rsid w:val="796E1A86"/>
    <w:rsid w:val="79E7B28D"/>
    <w:rsid w:val="7BAA4B8C"/>
    <w:rsid w:val="7F1E25AF"/>
    <w:rsid w:val="7F9F20EE"/>
    <w:rsid w:val="9E3A10E2"/>
    <w:rsid w:val="F2E1F9D4"/>
    <w:rsid w:val="F7880819"/>
    <w:rsid w:val="FF7FC5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4"/>
    <w:qFormat/>
    <w:uiPriority w:val="9"/>
    <w:rPr>
      <w:rFonts w:ascii="Times New Roman" w:hAnsi="Times New Roman"/>
      <w:b/>
      <w:bCs/>
      <w:kern w:val="44"/>
      <w:sz w:val="44"/>
      <w:szCs w:val="44"/>
    </w:rPr>
  </w:style>
  <w:style w:type="character" w:customStyle="1" w:styleId="27">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8">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6"/>
    <w:qFormat/>
    <w:uiPriority w:val="9"/>
    <w:rPr>
      <w:rFonts w:ascii="Times New Roman" w:hAnsi="Times New Roman"/>
      <w:b/>
      <w:bCs/>
      <w:kern w:val="2"/>
      <w:sz w:val="32"/>
      <w:szCs w:val="32"/>
    </w:rPr>
  </w:style>
  <w:style w:type="paragraph" w:customStyle="1" w:styleId="31">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 w:type="paragraph" w:customStyle="1" w:styleId="33">
    <w:name w:val="WPSOffice手动目录 2"/>
    <w:qFormat/>
    <w:uiPriority w:val="0"/>
    <w:pPr>
      <w:ind w:leftChars="200"/>
    </w:pPr>
    <w:rPr>
      <w:rFonts w:asciiTheme="minorHAnsi" w:hAnsiTheme="minorHAnsi" w:eastAsiaTheme="minorEastAsia" w:cstheme="minorBidi"/>
      <w:sz w:val="20"/>
      <w:szCs w:val="20"/>
    </w:rPr>
  </w:style>
  <w:style w:type="paragraph" w:customStyle="1" w:styleId="3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2270;&#34920;%20&#22312;%202021&#24180;&#37096;&#38376;&#20915;&#31639;&#20844;&#24320;&#32534;&#21046;&#35828;&#26126;&#33539;&#26412;(&#40635;&#26611;&#20065;).doc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22270;&#34920;%20&#22312;%202021&#24180;&#37096;&#38376;&#20915;&#31639;&#20844;&#24320;&#32534;&#21046;&#35828;&#26126;&#33539;&#26412;(&#40635;&#26611;&#20065;).docx"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22270;&#34920;%20&#22312;%202021&#24180;&#37096;&#38376;&#20915;&#31639;&#20844;&#24320;&#32534;&#21046;&#35828;&#26126;&#33539;&#26412;(&#40635;&#26611;&#20065;).doc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2270;&#34920;%20&#22312;%202021&#24180;&#37096;&#38376;&#20915;&#31639;&#20844;&#24320;&#32534;&#21046;&#35828;&#26126;&#33539;&#26412;(&#40635;&#26611;&#20065;).doc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2270;&#34920;%20&#22312;%202021&#24180;&#37096;&#38376;&#20915;&#31639;&#20844;&#24320;&#32534;&#21046;&#35828;&#26126;&#33539;&#26412;(&#40635;&#26611;&#20065;).docx"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22270;&#34920;%20&#22312;%202021&#24180;&#37096;&#38376;&#20915;&#31639;&#20844;&#24320;&#32534;&#21046;&#35828;&#26126;&#33539;&#26412;(&#40635;&#26611;&#20065;).docx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975"/>
          <c:y val="0.081"/>
          <c:w val="0.754"/>
          <c:h val="0.69875"/>
        </c:manualLayout>
      </c:layout>
      <c:barChart>
        <c:barDir val="col"/>
        <c:grouping val="clustered"/>
        <c:varyColors val="false"/>
        <c:ser>
          <c:idx val="0"/>
          <c:order val="0"/>
          <c:spPr>
            <a:solidFill>
              <a:srgbClr val="9999FF">
                <a:alpha val="100000"/>
              </a:srgbClr>
            </a:solidFill>
            <a:ln w="12700">
              <a:solidFill>
                <a:srgbClr val="000000">
                  <a:alpha val="100000"/>
                </a:srgbClr>
              </a:solidFill>
              <a:prstDash val="solid"/>
            </a:ln>
          </c:spPr>
          <c:invertIfNegative val="false"/>
          <c:dLbls>
            <c:delete val="true"/>
          </c:dLbls>
          <c:cat>
            <c:strRef>
              <c:f>'[图表 在 2021年部门决算公开编制说明范本(麻柳乡).docx]Sheet1'!$B$2:$E$2</c:f>
              <c:strCache>
                <c:ptCount val="4"/>
                <c:pt idx="1">
                  <c:v>2021年</c:v>
                </c:pt>
                <c:pt idx="2">
                  <c:v>2022年</c:v>
                </c:pt>
                <c:pt idx="3">
                  <c:v>2022年比2021年增加</c:v>
                </c:pt>
              </c:strCache>
            </c:strRef>
          </c:cat>
          <c:val>
            <c:numRef>
              <c:f>'[图表 在 2021年部门决算公开编制说明范本(麻柳乡).docx]Sheet1'!$B$3:$E$3</c:f>
              <c:numCache>
                <c:formatCode>General</c:formatCode>
                <c:ptCount val="4"/>
                <c:pt idx="0">
                  <c:v>0</c:v>
                </c:pt>
                <c:pt idx="1">
                  <c:v>717.14</c:v>
                </c:pt>
                <c:pt idx="2">
                  <c:v>819.12</c:v>
                </c:pt>
                <c:pt idx="3" c:formatCode="0.00%">
                  <c:v>0.142203753799816</c:v>
                </c:pt>
              </c:numCache>
            </c:numRef>
          </c:val>
        </c:ser>
        <c:ser>
          <c:idx val="1"/>
          <c:order val="1"/>
          <c:invertIfNegative val="false"/>
          <c:dLbls>
            <c:delete val="true"/>
          </c:dLbls>
          <c:cat>
            <c:strRef>
              <c:f>'[图表 在 2021年部门决算公开编制说明范本(麻柳乡).docx]Sheet1'!$B$2:$E$2</c:f>
              <c:strCache>
                <c:ptCount val="4"/>
                <c:pt idx="1">
                  <c:v>2021年</c:v>
                </c:pt>
                <c:pt idx="2">
                  <c:v>2022年</c:v>
                </c:pt>
                <c:pt idx="3">
                  <c:v>2022年比2021年增加</c:v>
                </c:pt>
              </c:strCache>
            </c:strRef>
          </c:cat>
          <c:val>
            <c:numRef>
              <c:f>'[图表 在 2021年部门决算公开编制说明范本(麻柳乡).docx]Sheet1'!$B$4:$E$4</c:f>
              <c:numCache>
                <c:formatCode>General</c:formatCode>
                <c:ptCount val="4"/>
                <c:pt idx="0">
                  <c:v>0</c:v>
                </c:pt>
                <c:pt idx="1">
                  <c:v>717.14</c:v>
                </c:pt>
                <c:pt idx="2">
                  <c:v>819.12</c:v>
                </c:pt>
                <c:pt idx="3" c:formatCode="0.00%">
                  <c:v>0.142203753799816</c:v>
                </c:pt>
              </c:numCache>
            </c:numRef>
          </c:val>
        </c:ser>
        <c:dLbls>
          <c:showLegendKey val="false"/>
          <c:showVal val="false"/>
          <c:showCatName val="false"/>
          <c:showSerName val="false"/>
          <c:showPercent val="false"/>
          <c:showBubbleSize val="false"/>
        </c:dLbls>
        <c:gapWidth val="150"/>
        <c:overlap val="0"/>
        <c:axId val="900702587"/>
        <c:axId val="491128191"/>
      </c:barChart>
      <c:catAx>
        <c:axId val="900702587"/>
        <c:scaling>
          <c:orientation val="minMax"/>
        </c:scaling>
        <c:delete val="false"/>
        <c:axPos val="b"/>
        <c:majorTickMark val="in"/>
        <c:minorTickMark val="none"/>
        <c:tickLblPos val="nextTo"/>
        <c:spPr>
          <a:ln w="12700" cap="flat" cmpd="sng" algn="ctr">
            <a:solidFill>
              <a:srgbClr val="800000">
                <a:alpha val="100000"/>
              </a:srgbClr>
            </a:solidFill>
            <a:prstDash val="solid"/>
            <a:round/>
          </a:ln>
        </c:spPr>
        <c:txPr>
          <a:bodyPr rot="-60000000" spcFirstLastPara="0" vertOverflow="ellipsis" vert="horz" wrap="square" anchor="ctr" anchorCtr="true"/>
          <a:lstStyle/>
          <a:p>
            <a:pPr>
              <a:defRPr lang="zh-CN" sz="1200" b="0" i="0" u="none" strike="noStrike" kern="1200" baseline="0">
                <a:solidFill>
                  <a:srgbClr val="993300">
                    <a:alpha val="100000"/>
                  </a:srgbClr>
                </a:solidFill>
                <a:latin typeface="宋体" panose="02010600030101010101" charset="-122"/>
                <a:ea typeface="宋体" panose="02010600030101010101" charset="-122"/>
                <a:cs typeface="宋体" panose="02010600030101010101" charset="-122"/>
              </a:defRPr>
            </a:pPr>
          </a:p>
        </c:txPr>
        <c:crossAx val="491128191"/>
        <c:crosses val="autoZero"/>
        <c:auto val="true"/>
        <c:lblAlgn val="ctr"/>
        <c:lblOffset val="100"/>
        <c:noMultiLvlLbl val="false"/>
      </c:catAx>
      <c:valAx>
        <c:axId val="491128191"/>
        <c:scaling>
          <c:orientation val="minMax"/>
        </c:scaling>
        <c:delete val="false"/>
        <c:axPos val="l"/>
        <c:majorGridlines>
          <c:spPr>
            <a:ln w="3175" cap="flat" cmpd="sng" algn="ctr">
              <a:solidFill>
                <a:srgbClr val="993300">
                  <a:alpha val="100000"/>
                </a:srgbClr>
              </a:solidFill>
              <a:prstDash val="sysDash"/>
              <a:round/>
            </a:ln>
          </c:spPr>
        </c:majorGridlines>
        <c:numFmt formatCode="General" sourceLinked="true"/>
        <c:majorTickMark val="in"/>
        <c:minorTickMark val="none"/>
        <c:tickLblPos val="nextTo"/>
        <c:spPr>
          <a:ln w="12700" cap="flat" cmpd="sng" algn="ctr">
            <a:solidFill>
              <a:srgbClr val="800000">
                <a:alpha val="100000"/>
              </a:srgbClr>
            </a:solidFill>
            <a:prstDash val="solid"/>
            <a:round/>
          </a:ln>
        </c:spPr>
        <c:txPr>
          <a:bodyPr rot="0" spcFirstLastPara="0" vertOverflow="ellipsis" vert="horz" wrap="square" anchor="ctr" anchorCtr="true"/>
          <a:lstStyle/>
          <a:p>
            <a:pPr>
              <a:defRPr lang="zh-CN" sz="1200" b="0" i="0" u="none" strike="noStrike" kern="1200" baseline="0">
                <a:solidFill>
                  <a:srgbClr val="993300">
                    <a:alpha val="100000"/>
                  </a:srgbClr>
                </a:solidFill>
                <a:latin typeface="宋体" panose="02010600030101010101" charset="-122"/>
                <a:ea typeface="宋体" panose="02010600030101010101" charset="-122"/>
                <a:cs typeface="宋体" panose="02010600030101010101" charset="-122"/>
              </a:defRPr>
            </a:pPr>
          </a:p>
        </c:txPr>
        <c:crossAx val="900702587"/>
        <c:crosses val="autoZero"/>
        <c:crossBetween val="between"/>
      </c:valAx>
      <c:dTable>
        <c:showHorzBorder val="true"/>
        <c:showVertBorder val="true"/>
        <c:showOutline val="true"/>
        <c:showKeys val="true"/>
        <c:spPr>
          <a:ln w="3175" cap="flat" cmpd="sng" algn="ctr">
            <a:solidFill>
              <a:srgbClr val="000000">
                <a:alpha val="100000"/>
              </a:srgbClr>
            </a:solidFill>
            <a:prstDash val="solid"/>
            <a:round/>
          </a:ln>
        </c:spPr>
        <c:txPr>
          <a:bodyPr rot="0" spcFirstLastPara="0" vertOverflow="ellipsis" vert="horz" wrap="square" anchor="ctr" anchorCtr="true"/>
          <a:lstStyle/>
          <a:p>
            <a:pPr>
              <a:defRPr lang="zh-CN" sz="1200" b="0" i="0" u="none" strike="noStrike" kern="1200" baseline="0">
                <a:solidFill>
                  <a:srgbClr val="993300">
                    <a:alpha val="100000"/>
                  </a:srgbClr>
                </a:solidFill>
                <a:latin typeface="宋体" panose="02010600030101010101" charset="-122"/>
                <a:ea typeface="宋体" panose="02010600030101010101" charset="-122"/>
                <a:cs typeface="宋体" panose="02010600030101010101" charset="-122"/>
              </a:defRPr>
            </a:pPr>
          </a:p>
        </c:txPr>
      </c:dTable>
      <c:spPr>
        <a:noFill/>
        <a:ln w="3175">
          <a:noFill/>
        </a:ln>
      </c:spPr>
    </c:plotArea>
    <c:plotVisOnly val="true"/>
    <c:dispBlanksAs val="gap"/>
    <c:showDLblsOverMax val="false"/>
  </c:chart>
  <c:spPr>
    <a:solidFill>
      <a:srgbClr val="FFFFFF">
        <a:alpha val="100000"/>
      </a:srgbClr>
    </a:solidFill>
    <a:ln w="3175" cap="flat" cmpd="sng" algn="ctr">
      <a:solidFill>
        <a:srgbClr val="993300">
          <a:alpha val="100000"/>
        </a:srgbClr>
      </a:solidFill>
      <a:prstDash val="solid"/>
      <a:round/>
    </a:ln>
  </c:spPr>
  <c:txPr>
    <a:bodyPr rot="0" wrap="square" anchor="ctr" anchorCtr="true"/>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1400" b="0" i="0" u="none" strike="noStrike" baseline="0">
                <a:solidFill>
                  <a:srgbClr val="595959">
                    <a:alpha val="100000"/>
                  </a:srgbClr>
                </a:solidFill>
                <a:latin typeface="微软雅黑" panose="020B0503020204020204" charset="-122"/>
                <a:ea typeface="微软雅黑" panose="020B0503020204020204" charset="-122"/>
                <a:cs typeface="微软雅黑" panose="020B0503020204020204" charset="-122"/>
              </a:rPr>
              <a:t>收入决算结构图</a:t>
            </a:r>
            <a:endParaRPr sz="1400" b="0" i="0" u="none" strike="noStrike" baseline="0">
              <a:solidFill>
                <a:srgbClr val="595959">
                  <a:alpha val="100000"/>
                </a:srgbClr>
              </a:solidFill>
              <a:latin typeface="微软雅黑" panose="020B0503020204020204" charset="-122"/>
              <a:ea typeface="微软雅黑" panose="020B0503020204020204" charset="-122"/>
              <a:cs typeface="微软雅黑" panose="020B0503020204020204" charset="-122"/>
            </a:endParaRPr>
          </a:p>
        </c:rich>
      </c:tx>
      <c:layout/>
      <c:overlay val="false"/>
      <c:spPr>
        <a:noFill/>
        <a:ln>
          <a:noFill/>
        </a:ln>
        <a:effectLst/>
      </c:spPr>
    </c:title>
    <c:autoTitleDeleted val="false"/>
    <c:plotArea>
      <c:layout>
        <c:manualLayout>
          <c:layoutTarget val="inner"/>
          <c:xMode val="edge"/>
          <c:yMode val="edge"/>
          <c:x val="0.300459674049311"/>
          <c:y val="0.25974025974026"/>
          <c:w val="0.408552723220504"/>
          <c:h val="0.692561983471074"/>
        </c:manualLayout>
      </c:layout>
      <c:pieChart>
        <c:varyColors val="true"/>
        <c:ser>
          <c:idx val="0"/>
          <c:order val="0"/>
          <c:tx>
            <c:strRef>
              <c:f>'[图表 在 2021年部门决算公开编制说明范本(麻柳乡).docx]Sheet1'!#REF!</c:f>
              <c:strCache>
                <c:ptCount val="1"/>
                <c:pt idx="0">
                  <c:v/>
                </c:pt>
              </c:strCache>
            </c:strRef>
          </c:tx>
          <c:spPr>
            <a:solidFill>
              <a:srgbClr val="859949"/>
            </a:solidFill>
            <a:ln w="31750">
              <a:solidFill>
                <a:schemeClr val="bg1">
                  <a:alpha val="42000"/>
                </a:schemeClr>
              </a:solidFill>
            </a:ln>
          </c:spPr>
          <c:explosion val="0"/>
          <c:dPt>
            <c:idx val="0"/>
            <c:bubble3D val="false"/>
            <c:explosion val="0"/>
            <c:spPr>
              <a:solidFill>
                <a:srgbClr val="365B7C"/>
              </a:solidFill>
              <a:ln w="31750">
                <a:solidFill>
                  <a:schemeClr val="bg1">
                    <a:alpha val="42000"/>
                  </a:schemeClr>
                </a:solidFill>
              </a:ln>
              <a:effectLst/>
            </c:spPr>
          </c:dPt>
          <c:dPt>
            <c:idx val="1"/>
            <c:bubble3D val="false"/>
            <c:explosion val="0"/>
            <c:spPr>
              <a:solidFill>
                <a:srgbClr val="966480"/>
              </a:solidFill>
              <a:ln w="31750">
                <a:solidFill>
                  <a:schemeClr val="bg1">
                    <a:alpha val="42000"/>
                  </a:schemeClr>
                </a:solidFill>
              </a:ln>
              <a:effectLst/>
            </c:spPr>
          </c:dPt>
          <c:dPt>
            <c:idx val="2"/>
            <c:bubble3D val="false"/>
            <c:explosion val="0"/>
            <c:spPr>
              <a:solidFill>
                <a:srgbClr val="D06F83"/>
              </a:solidFill>
              <a:ln w="31750">
                <a:solidFill>
                  <a:schemeClr val="bg1">
                    <a:alpha val="42000"/>
                  </a:schemeClr>
                </a:solidFill>
              </a:ln>
              <a:effectLst/>
            </c:spPr>
          </c:dPt>
          <c:dPt>
            <c:idx val="3"/>
            <c:bubble3D val="false"/>
            <c:explosion val="0"/>
            <c:spPr>
              <a:solidFill>
                <a:srgbClr val="DD5F71"/>
              </a:solidFill>
              <a:ln w="31750">
                <a:solidFill>
                  <a:schemeClr val="bg1">
                    <a:alpha val="42000"/>
                  </a:schemeClr>
                </a:solidFill>
              </a:ln>
              <a:effectLst/>
            </c:spPr>
          </c:dPt>
          <c:dPt>
            <c:idx val="4"/>
            <c:bubble3D val="false"/>
            <c:explosion val="0"/>
            <c:spPr>
              <a:solidFill>
                <a:srgbClr val="F68B6B"/>
              </a:solidFill>
              <a:ln w="31750">
                <a:solidFill>
                  <a:schemeClr val="bg1">
                    <a:alpha val="42000"/>
                  </a:schemeClr>
                </a:solidFill>
              </a:ln>
              <a:effectLst/>
            </c:spPr>
          </c:dPt>
          <c:dPt>
            <c:idx val="5"/>
            <c:bubble3D val="false"/>
            <c:explosion val="0"/>
            <c:spPr>
              <a:solidFill>
                <a:srgbClr val="859949"/>
              </a:solidFill>
              <a:ln w="31750">
                <a:solidFill>
                  <a:schemeClr val="bg1">
                    <a:alpha val="42000"/>
                  </a:schemeClr>
                </a:solidFill>
              </a:ln>
              <a:effectLst/>
            </c:spPr>
          </c:dPt>
          <c:dPt>
            <c:idx val="6"/>
            <c:bubble3D val="false"/>
            <c:explosion val="0"/>
            <c:spPr>
              <a:solidFill>
                <a:srgbClr val="859949"/>
              </a:solidFill>
              <a:ln w="31750">
                <a:solidFill>
                  <a:schemeClr val="bg1">
                    <a:alpha val="42000"/>
                  </a:schemeClr>
                </a:solidFill>
              </a:ln>
              <a:effectLst/>
            </c:spPr>
          </c:dPt>
          <c:dPt>
            <c:idx val="7"/>
            <c:bubble3D val="false"/>
            <c:explosion val="0"/>
            <c:spPr>
              <a:solidFill>
                <a:srgbClr val="859949"/>
              </a:solidFill>
              <a:ln w="31750">
                <a:solidFill>
                  <a:schemeClr val="bg1">
                    <a:alpha val="42000"/>
                  </a:schemeClr>
                </a:solidFill>
              </a:ln>
              <a:effectLst/>
            </c:spPr>
          </c:dPt>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'[图表 在 2021年部门决算公开编制说明范本(麻柳乡).docx]Sheet1'!$B$2:$I$2</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7">
                  <c:v>其他收入</c:v>
                </c:pt>
              </c:strCache>
            </c:strRef>
          </c:cat>
          <c:val>
            <c:numRef>
              <c:f>'[图表 在 2021年部门决算公开编制说明范本(麻柳乡).docx]Sheet1'!$B$3:$I$3</c:f>
              <c:numCache>
                <c:formatCode>General</c:formatCode>
                <c:ptCount val="8"/>
                <c:pt idx="0">
                  <c:v>818.55</c:v>
                </c:pt>
                <c:pt idx="1">
                  <c:v>0</c:v>
                </c:pt>
                <c:pt idx="2">
                  <c:v>0</c:v>
                </c:pt>
                <c:pt idx="3">
                  <c:v>0</c:v>
                </c:pt>
                <c:pt idx="4">
                  <c:v>0</c:v>
                </c:pt>
                <c:pt idx="5">
                  <c:v>0</c:v>
                </c:pt>
                <c:pt idx="6">
                  <c:v>0</c:v>
                </c:pt>
                <c:pt idx="7">
                  <c:v>0.57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wrap="square"/>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1400" b="0" i="0" u="none" strike="noStrike" baseline="0">
                <a:solidFill>
                  <a:srgbClr val="595959">
                    <a:alpha val="100000"/>
                  </a:srgbClr>
                </a:solidFill>
                <a:latin typeface="微软雅黑" panose="020B0503020204020204" charset="-122"/>
                <a:ea typeface="微软雅黑" panose="020B0503020204020204" charset="-122"/>
                <a:cs typeface="微软雅黑" panose="020B0503020204020204" charset="-122"/>
              </a:rPr>
              <a:t>支出决算结构图</a:t>
            </a:r>
            <a:endParaRPr sz="1400" b="0" i="0" u="none" strike="noStrike" baseline="0">
              <a:solidFill>
                <a:srgbClr val="595959">
                  <a:alpha val="100000"/>
                </a:srgbClr>
              </a:solidFill>
              <a:latin typeface="微软雅黑" panose="020B0503020204020204" charset="-122"/>
              <a:ea typeface="微软雅黑" panose="020B0503020204020204" charset="-122"/>
              <a:cs typeface="微软雅黑" panose="020B0503020204020204" charset="-122"/>
            </a:endParaRPr>
          </a:p>
        </c:rich>
      </c:tx>
      <c:layout/>
      <c:overlay val="false"/>
      <c:spPr>
        <a:noFill/>
        <a:ln>
          <a:noFill/>
        </a:ln>
        <a:effectLst/>
      </c:spPr>
    </c:title>
    <c:autoTitleDeleted val="false"/>
    <c:plotArea>
      <c:layout>
        <c:manualLayout>
          <c:layoutTarget val="inner"/>
          <c:xMode val="edge"/>
          <c:yMode val="edge"/>
          <c:x val="0.300459674049311"/>
          <c:y val="0.25974025974026"/>
          <c:w val="0.408552723220504"/>
          <c:h val="0.692561983471074"/>
        </c:manualLayout>
      </c:layout>
      <c:pieChart>
        <c:varyColors val="true"/>
        <c:ser>
          <c:idx val="0"/>
          <c:order val="0"/>
          <c:spPr>
            <a:solidFill>
              <a:srgbClr val="859949"/>
            </a:solidFill>
            <a:ln w="31750">
              <a:solidFill>
                <a:schemeClr val="bg1">
                  <a:alpha val="42000"/>
                </a:schemeClr>
              </a:solidFill>
            </a:ln>
          </c:spPr>
          <c:explosion val="0"/>
          <c:dPt>
            <c:idx val="0"/>
            <c:bubble3D val="false"/>
            <c:explosion val="0"/>
            <c:spPr>
              <a:solidFill>
                <a:srgbClr val="365B7C"/>
              </a:solidFill>
              <a:ln w="31750">
                <a:solidFill>
                  <a:schemeClr val="bg1">
                    <a:alpha val="42000"/>
                  </a:schemeClr>
                </a:solidFill>
              </a:ln>
              <a:effectLst/>
            </c:spPr>
          </c:dPt>
          <c:dPt>
            <c:idx val="1"/>
            <c:bubble3D val="false"/>
            <c:explosion val="0"/>
            <c:spPr>
              <a:solidFill>
                <a:srgbClr val="966480"/>
              </a:solidFill>
              <a:ln w="31750">
                <a:solidFill>
                  <a:schemeClr val="bg1">
                    <a:alpha val="42000"/>
                  </a:schemeClr>
                </a:solidFill>
              </a:ln>
              <a:effectLst/>
            </c:spPr>
          </c:dPt>
          <c:dPt>
            <c:idx val="2"/>
            <c:bubble3D val="false"/>
            <c:explosion val="0"/>
            <c:spPr>
              <a:solidFill>
                <a:srgbClr val="D06F83"/>
              </a:solidFill>
              <a:ln w="31750">
                <a:solidFill>
                  <a:schemeClr val="bg1">
                    <a:alpha val="42000"/>
                  </a:schemeClr>
                </a:solidFill>
              </a:ln>
              <a:effectLst/>
            </c:spPr>
          </c:dPt>
          <c:dPt>
            <c:idx val="3"/>
            <c:bubble3D val="false"/>
            <c:explosion val="0"/>
            <c:spPr>
              <a:solidFill>
                <a:srgbClr val="DD5F71"/>
              </a:solidFill>
              <a:ln w="31750">
                <a:solidFill>
                  <a:schemeClr val="bg1">
                    <a:alpha val="42000"/>
                  </a:schemeClr>
                </a:solidFill>
              </a:ln>
              <a:effectLst/>
            </c:spPr>
          </c:dPt>
          <c:dPt>
            <c:idx val="4"/>
            <c:bubble3D val="false"/>
            <c:explosion val="0"/>
            <c:spPr>
              <a:solidFill>
                <a:srgbClr val="F68B6B"/>
              </a:solidFill>
              <a:ln w="31750">
                <a:solidFill>
                  <a:schemeClr val="bg1">
                    <a:alpha val="42000"/>
                  </a:schemeClr>
                </a:solidFill>
              </a:ln>
              <a:effectLst/>
            </c:spPr>
          </c:dPt>
          <c:dPt>
            <c:idx val="5"/>
            <c:bubble3D val="false"/>
            <c:explosion val="0"/>
            <c:spPr>
              <a:solidFill>
                <a:srgbClr val="859949"/>
              </a:solidFill>
              <a:ln w="31750">
                <a:solidFill>
                  <a:schemeClr val="bg1">
                    <a:alpha val="42000"/>
                  </a:schemeClr>
                </a:solidFill>
              </a:ln>
              <a:effectLst/>
            </c:spPr>
          </c:dPt>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'[图表 在 2021年部门决算公开编制说明范本(麻柳乡).docx]Sheet1'!$B$2:$G$2</c:f>
              <c:strCache>
                <c:ptCount val="6"/>
                <c:pt idx="0">
                  <c:v>基本支出</c:v>
                </c:pt>
                <c:pt idx="1">
                  <c:v>项目支出</c:v>
                </c:pt>
                <c:pt idx="2">
                  <c:v>上缴上级支出</c:v>
                </c:pt>
                <c:pt idx="3">
                  <c:v>经营支出</c:v>
                </c:pt>
                <c:pt idx="4">
                  <c:v>对附属单位补助支出</c:v>
                </c:pt>
              </c:strCache>
            </c:strRef>
          </c:cat>
          <c:val>
            <c:numRef>
              <c:f>'[图表 在 2021年部门决算公开编制说明范本(麻柳乡).docx]Sheet1'!$B$3:$G$3</c:f>
              <c:numCache>
                <c:formatCode>General</c:formatCode>
                <c:ptCount val="6"/>
                <c:pt idx="0">
                  <c:v>565.49</c:v>
                </c:pt>
                <c:pt idx="1">
                  <c:v>253.63</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wrap="square"/>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975"/>
          <c:y val="0.081"/>
          <c:w val="0.754"/>
          <c:h val="0.69875"/>
        </c:manualLayout>
      </c:layout>
      <c:barChart>
        <c:barDir val="col"/>
        <c:grouping val="clustered"/>
        <c:varyColors val="false"/>
        <c:ser>
          <c:idx val="0"/>
          <c:order val="0"/>
          <c:spPr>
            <a:solidFill>
              <a:srgbClr val="9999FF">
                <a:alpha val="100000"/>
              </a:srgbClr>
            </a:solidFill>
            <a:ln w="12700">
              <a:solidFill>
                <a:srgbClr val="000000">
                  <a:alpha val="100000"/>
                </a:srgbClr>
              </a:solidFill>
              <a:prstDash val="solid"/>
            </a:ln>
          </c:spPr>
          <c:invertIfNegative val="false"/>
          <c:dLbls>
            <c:delete val="true"/>
          </c:dLbls>
          <c:cat>
            <c:strRef>
              <c:f>'[图表 在 2021年部门决算公开编制说明范本(麻柳乡).docx]Sheet1'!$B$2:$E$2</c:f>
              <c:strCache>
                <c:ptCount val="4"/>
                <c:pt idx="1">
                  <c:v>2021年</c:v>
                </c:pt>
                <c:pt idx="2">
                  <c:v>2022年</c:v>
                </c:pt>
                <c:pt idx="3">
                  <c:v>2022年比2021年增加</c:v>
                </c:pt>
              </c:strCache>
            </c:strRef>
          </c:cat>
          <c:val>
            <c:numRef>
              <c:f>'[图表 在 2021年部门决算公开编制说明范本(麻柳乡).docx]Sheet1'!$B$3:$E$3</c:f>
              <c:numCache>
                <c:formatCode>General</c:formatCode>
                <c:ptCount val="4"/>
                <c:pt idx="0">
                  <c:v>0</c:v>
                </c:pt>
                <c:pt idx="1">
                  <c:v>716.4</c:v>
                </c:pt>
                <c:pt idx="2">
                  <c:v>818.55</c:v>
                </c:pt>
                <c:pt idx="3" c:formatCode="0.00%">
                  <c:v>0.142587939698492</c:v>
                </c:pt>
              </c:numCache>
            </c:numRef>
          </c:val>
        </c:ser>
        <c:ser>
          <c:idx val="1"/>
          <c:order val="1"/>
          <c:invertIfNegative val="false"/>
          <c:dLbls>
            <c:delete val="true"/>
          </c:dLbls>
          <c:cat>
            <c:strRef>
              <c:f>'[图表 在 2021年部门决算公开编制说明范本(麻柳乡).docx]Sheet1'!$B$2:$E$2</c:f>
              <c:strCache>
                <c:ptCount val="4"/>
                <c:pt idx="1">
                  <c:v>2021年</c:v>
                </c:pt>
                <c:pt idx="2">
                  <c:v>2022年</c:v>
                </c:pt>
                <c:pt idx="3">
                  <c:v>2022年比2021年增加</c:v>
                </c:pt>
              </c:strCache>
            </c:strRef>
          </c:cat>
          <c:val>
            <c:numRef>
              <c:f>'[图表 在 2021年部门决算公开编制说明范本(麻柳乡).docx]Sheet1'!$B$4:$E$4</c:f>
              <c:numCache>
                <c:formatCode>General</c:formatCode>
                <c:ptCount val="4"/>
                <c:pt idx="0">
                  <c:v>0</c:v>
                </c:pt>
                <c:pt idx="1">
                  <c:v>716.4</c:v>
                </c:pt>
                <c:pt idx="2">
                  <c:v>818.55</c:v>
                </c:pt>
                <c:pt idx="3" c:formatCode="0.00%">
                  <c:v>0.142587939698492</c:v>
                </c:pt>
              </c:numCache>
            </c:numRef>
          </c:val>
        </c:ser>
        <c:dLbls>
          <c:showLegendKey val="false"/>
          <c:showVal val="false"/>
          <c:showCatName val="false"/>
          <c:showSerName val="false"/>
          <c:showPercent val="false"/>
          <c:showBubbleSize val="false"/>
        </c:dLbls>
        <c:gapWidth val="150"/>
        <c:overlap val="0"/>
        <c:axId val="157451706"/>
        <c:axId val="995931286"/>
      </c:barChart>
      <c:catAx>
        <c:axId val="157451706"/>
        <c:scaling>
          <c:orientation val="minMax"/>
        </c:scaling>
        <c:delete val="false"/>
        <c:axPos val="b"/>
        <c:majorTickMark val="in"/>
        <c:minorTickMark val="none"/>
        <c:tickLblPos val="nextTo"/>
        <c:spPr>
          <a:ln w="12700" cap="flat" cmpd="sng" algn="ctr">
            <a:solidFill>
              <a:srgbClr val="800000">
                <a:alpha val="100000"/>
              </a:srgbClr>
            </a:solidFill>
            <a:prstDash val="solid"/>
            <a:round/>
          </a:ln>
        </c:spPr>
        <c:txPr>
          <a:bodyPr rot="-60000000" spcFirstLastPara="0" vertOverflow="ellipsis" vert="horz" wrap="square" anchor="ctr" anchorCtr="true"/>
          <a:lstStyle/>
          <a:p>
            <a:pPr>
              <a:defRPr lang="zh-CN" sz="1200" b="0" i="0" u="none" strike="noStrike" kern="1200" baseline="0">
                <a:solidFill>
                  <a:srgbClr val="993300">
                    <a:alpha val="100000"/>
                  </a:srgbClr>
                </a:solidFill>
                <a:latin typeface="宋体" panose="02010600030101010101" charset="-122"/>
                <a:ea typeface="宋体" panose="02010600030101010101" charset="-122"/>
                <a:cs typeface="宋体" panose="02010600030101010101" charset="-122"/>
              </a:defRPr>
            </a:pPr>
          </a:p>
        </c:txPr>
        <c:crossAx val="995931286"/>
        <c:crosses val="autoZero"/>
        <c:auto val="true"/>
        <c:lblAlgn val="ctr"/>
        <c:lblOffset val="100"/>
        <c:noMultiLvlLbl val="false"/>
      </c:catAx>
      <c:valAx>
        <c:axId val="995931286"/>
        <c:scaling>
          <c:orientation val="minMax"/>
        </c:scaling>
        <c:delete val="false"/>
        <c:axPos val="l"/>
        <c:majorGridlines>
          <c:spPr>
            <a:ln w="3175" cap="flat" cmpd="sng" algn="ctr">
              <a:solidFill>
                <a:srgbClr val="993300">
                  <a:alpha val="100000"/>
                </a:srgbClr>
              </a:solidFill>
              <a:prstDash val="sysDash"/>
              <a:round/>
            </a:ln>
          </c:spPr>
        </c:majorGridlines>
        <c:numFmt formatCode="General" sourceLinked="true"/>
        <c:majorTickMark val="in"/>
        <c:minorTickMark val="none"/>
        <c:tickLblPos val="nextTo"/>
        <c:spPr>
          <a:ln w="12700" cap="flat" cmpd="sng" algn="ctr">
            <a:solidFill>
              <a:srgbClr val="800000">
                <a:alpha val="100000"/>
              </a:srgbClr>
            </a:solidFill>
            <a:prstDash val="solid"/>
            <a:round/>
          </a:ln>
        </c:spPr>
        <c:txPr>
          <a:bodyPr rot="0" spcFirstLastPara="0" vertOverflow="ellipsis" vert="horz" wrap="square" anchor="ctr" anchorCtr="true"/>
          <a:lstStyle/>
          <a:p>
            <a:pPr>
              <a:defRPr lang="zh-CN" sz="1200" b="0" i="0" u="none" strike="noStrike" kern="1200" baseline="0">
                <a:solidFill>
                  <a:srgbClr val="993300">
                    <a:alpha val="100000"/>
                  </a:srgbClr>
                </a:solidFill>
                <a:latin typeface="宋体" panose="02010600030101010101" charset="-122"/>
                <a:ea typeface="宋体" panose="02010600030101010101" charset="-122"/>
                <a:cs typeface="宋体" panose="02010600030101010101" charset="-122"/>
              </a:defRPr>
            </a:pPr>
          </a:p>
        </c:txPr>
        <c:crossAx val="157451706"/>
        <c:crosses val="autoZero"/>
        <c:crossBetween val="between"/>
      </c:valAx>
      <c:dTable>
        <c:showHorzBorder val="true"/>
        <c:showVertBorder val="true"/>
        <c:showOutline val="true"/>
        <c:showKeys val="true"/>
        <c:spPr>
          <a:ln w="3175" cap="flat" cmpd="sng" algn="ctr">
            <a:solidFill>
              <a:srgbClr val="000000">
                <a:alpha val="100000"/>
              </a:srgbClr>
            </a:solidFill>
            <a:prstDash val="solid"/>
            <a:round/>
          </a:ln>
        </c:spPr>
        <c:txPr>
          <a:bodyPr rot="0" spcFirstLastPara="0" vertOverflow="ellipsis" vert="horz" wrap="square" anchor="ctr" anchorCtr="true"/>
          <a:lstStyle/>
          <a:p>
            <a:pPr>
              <a:defRPr lang="zh-CN" sz="1200" b="0" i="0" u="none" strike="noStrike" kern="1200" baseline="0">
                <a:solidFill>
                  <a:srgbClr val="993300">
                    <a:alpha val="100000"/>
                  </a:srgbClr>
                </a:solidFill>
                <a:latin typeface="宋体" panose="02010600030101010101" charset="-122"/>
                <a:ea typeface="宋体" panose="02010600030101010101" charset="-122"/>
                <a:cs typeface="宋体" panose="02010600030101010101" charset="-122"/>
              </a:defRPr>
            </a:pPr>
          </a:p>
        </c:txPr>
      </c:dTable>
      <c:spPr>
        <a:noFill/>
        <a:ln w="3175">
          <a:noFill/>
        </a:ln>
      </c:spPr>
    </c:plotArea>
    <c:plotVisOnly val="true"/>
    <c:dispBlanksAs val="gap"/>
    <c:showDLblsOverMax val="false"/>
  </c:chart>
  <c:spPr>
    <a:solidFill>
      <a:srgbClr val="FFFFFF">
        <a:alpha val="100000"/>
      </a:srgbClr>
    </a:solidFill>
    <a:ln w="3175" cap="flat" cmpd="sng" algn="ctr">
      <a:solidFill>
        <a:srgbClr val="993300">
          <a:alpha val="100000"/>
        </a:srgbClr>
      </a:solidFill>
      <a:prstDash val="solid"/>
      <a:round/>
    </a:ln>
  </c:spPr>
  <c:txPr>
    <a:bodyPr rot="0" wrap="square" anchor="ctr" anchorCtr="true"/>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spc="0" baseline="0">
                <a:solidFill>
                  <a:schemeClr val="tx1">
                    <a:lumMod val="65000"/>
                    <a:lumOff val="35000"/>
                  </a:schemeClr>
                </a:solidFill>
                <a:latin typeface="+mn-lt"/>
                <a:ea typeface="+mn-ea"/>
                <a:cs typeface="+mn-cs"/>
              </a:rPr>
              <a:t>一般公共预算财政拨款支出决算变动情况</a:t>
            </a:r>
            <a:endParaRPr sz="1400" b="0" i="0" u="none" strike="noStrike" kern="1200" spc="0" baseline="0">
              <a:solidFill>
                <a:schemeClr val="tx1">
                  <a:lumMod val="65000"/>
                  <a:lumOff val="35000"/>
                </a:schemeClr>
              </a:solidFill>
              <a:latin typeface="+mn-lt"/>
              <a:ea typeface="+mn-ea"/>
              <a:cs typeface="+mn-cs"/>
            </a:endParaRPr>
          </a:p>
        </c:rich>
      </c:tx>
      <c:layout/>
      <c:overlay val="false"/>
    </c:title>
    <c:autoTitleDeleted val="false"/>
    <c:plotArea>
      <c:layout/>
      <c:barChart>
        <c:barDir val="col"/>
        <c:grouping val="clustered"/>
        <c:varyColors val="false"/>
        <c:ser>
          <c:idx val="0"/>
          <c:order val="0"/>
          <c:tx>
            <c:strRef>
              <c:f>'[图表 在 2021年部门决算公开编制说明范本(麻柳乡).docx]Sheet1'!$B$3</c:f>
              <c:strCache>
                <c:ptCount val="1"/>
                <c:pt idx="0">
                  <c:v>一般公共预算财政拨款支出</c:v>
                </c:pt>
              </c:strCache>
            </c:strRef>
          </c:tx>
          <c:spPr>
            <a:solidFill>
              <a:srgbClr val="5B9BD5">
                <a:alpha val="100000"/>
              </a:srgbClr>
            </a:solidFill>
            <a:ln w="3175">
              <a:noFill/>
            </a:ln>
          </c:spPr>
          <c:invertIfNegative val="false"/>
          <c:dLbls>
            <c:delete val="true"/>
          </c:dLbls>
          <c:cat>
            <c:numRef>
              <c:f>'[图表 在 2021年部门决算公开编制说明范本(麻柳乡).docx]Sheet1'!$C$2:$D$2</c:f>
              <c:numCache>
                <c:formatCode>General</c:formatCode>
                <c:ptCount val="2"/>
                <c:pt idx="0">
                  <c:v>2021</c:v>
                </c:pt>
                <c:pt idx="1">
                  <c:v>2022</c:v>
                </c:pt>
              </c:numCache>
            </c:numRef>
          </c:cat>
          <c:val>
            <c:numRef>
              <c:f>'[图表 在 2021年部门决算公开编制说明范本(麻柳乡).docx]Sheet1'!$C$3:$D$3</c:f>
              <c:numCache>
                <c:formatCode>General</c:formatCode>
                <c:ptCount val="2"/>
                <c:pt idx="0">
                  <c:v>716.4</c:v>
                </c:pt>
                <c:pt idx="1">
                  <c:v>818.55</c:v>
                </c:pt>
              </c:numCache>
            </c:numRef>
          </c:val>
        </c:ser>
        <c:ser>
          <c:idx val="1"/>
          <c:order val="1"/>
          <c:tx>
            <c:strRef>
              <c:f>'[图表 在 2021年部门决算公开编制说明范本(麻柳乡).docx]Sheet1'!#REF!</c:f>
              <c:strCache>
                <c:ptCount val="1"/>
                <c:pt idx="0">
                  <c:v/>
                </c:pt>
              </c:strCache>
            </c:strRef>
          </c:tx>
          <c:spPr>
            <a:solidFill>
              <a:srgbClr val="ED7D31">
                <a:alpha val="100000"/>
              </a:srgbClr>
            </a:solidFill>
            <a:ln w="3175">
              <a:noFill/>
            </a:ln>
          </c:spPr>
          <c:invertIfNegative val="false"/>
          <c:dLbls>
            <c:delete val="true"/>
          </c:dLbls>
          <c:cat>
            <c:numRef>
              <c:f>'[图表 在 2021年部门决算公开编制说明范本(麻柳乡).docx]Sheet1'!$C$2:$D$2</c:f>
              <c:numCache>
                <c:formatCode>General</c:formatCode>
                <c:ptCount val="2"/>
                <c:pt idx="0">
                  <c:v>2021</c:v>
                </c:pt>
                <c:pt idx="1">
                  <c:v>2022</c:v>
                </c:pt>
              </c:numCache>
            </c:numRef>
          </c:cat>
          <c:val>
            <c:numRef>
              <c:f>'[图表 在 2021年部门决算公开编制说明范本(麻柳乡).docx]Sheet1'!#REF!</c:f>
              <c:numCache>
                <c:formatCode>General</c:formatCode>
                <c:ptCount val="1"/>
                <c:pt idx="0">
                  <c:v>1</c:v>
                </c:pt>
              </c:numCache>
            </c:numRef>
          </c:val>
        </c:ser>
        <c:ser>
          <c:idx val="2"/>
          <c:order val="2"/>
          <c:tx>
            <c:strRef>
              <c:f>'[图表 在 2021年部门决算公开编制说明范本(麻柳乡).docx]Sheet1'!#REF!</c:f>
              <c:strCache>
                <c:ptCount val="1"/>
                <c:pt idx="0">
                  <c:v/>
                </c:pt>
              </c:strCache>
            </c:strRef>
          </c:tx>
          <c:spPr>
            <a:solidFill>
              <a:srgbClr val="A5A5A5">
                <a:alpha val="100000"/>
              </a:srgbClr>
            </a:solidFill>
            <a:ln w="3175">
              <a:noFill/>
            </a:ln>
          </c:spPr>
          <c:invertIfNegative val="false"/>
          <c:dLbls>
            <c:delete val="true"/>
          </c:dLbls>
          <c:cat>
            <c:numRef>
              <c:f>'[图表 在 2021年部门决算公开编制说明范本(麻柳乡).docx]Sheet1'!$C$2:$D$2</c:f>
              <c:numCache>
                <c:formatCode>General</c:formatCode>
                <c:ptCount val="2"/>
                <c:pt idx="0">
                  <c:v>2021</c:v>
                </c:pt>
                <c:pt idx="1">
                  <c:v>2022</c:v>
                </c:pt>
              </c:numCache>
            </c:numRef>
          </c:cat>
          <c:val>
            <c:numRef>
              <c:f>'[图表 在 2021年部门决算公开编制说明范本(麻柳乡).docx]Sheet1'!#REF!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13264191"/>
        <c:axId val="986402757"/>
      </c:barChart>
      <c:catAx>
        <c:axId val="13264191"/>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86402757"/>
        <c:crosses val="autoZero"/>
        <c:auto val="true"/>
        <c:lblAlgn val="ctr"/>
        <c:lblOffset val="100"/>
        <c:noMultiLvlLbl val="false"/>
      </c:catAx>
      <c:valAx>
        <c:axId val="986402757"/>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ln w="3175" cap="flat" cmpd="sng" algn="ctr">
            <a:noFill/>
            <a:prstDash val="solid"/>
            <a:round/>
          </a:ln>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264191"/>
        <c:crosses val="autoZero"/>
        <c:crossBetween val="between"/>
      </c:valAx>
      <c:spPr>
        <a:noFill/>
        <a:ln w="3175">
          <a:noFill/>
        </a:ln>
      </c:spPr>
    </c:plotArea>
    <c:legend>
      <c:legendPos val="b"/>
      <c:layout/>
      <c:overlay val="false"/>
      <c:spPr>
        <a:noFill/>
        <a:ln w="3175">
          <a:noFill/>
        </a:ln>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1400" b="0" i="0" u="none" strike="noStrike" baseline="0">
                <a:solidFill>
                  <a:srgbClr val="595959">
                    <a:alpha val="100000"/>
                  </a:srgbClr>
                </a:solidFill>
                <a:latin typeface="微软雅黑" panose="020B0503020204020204" charset="-122"/>
                <a:ea typeface="微软雅黑" panose="020B0503020204020204" charset="-122"/>
                <a:cs typeface="微软雅黑" panose="020B0503020204020204" charset="-122"/>
              </a:rPr>
              <a:t>一般公共预算财政拨款支出决算结构</a:t>
            </a:r>
            <a:endParaRPr sz="1400" b="0" i="0" u="none" strike="noStrike" baseline="0">
              <a:solidFill>
                <a:srgbClr val="595959">
                  <a:alpha val="100000"/>
                </a:srgbClr>
              </a:solidFill>
              <a:latin typeface="微软雅黑" panose="020B0503020204020204" charset="-122"/>
              <a:ea typeface="微软雅黑" panose="020B0503020204020204" charset="-122"/>
              <a:cs typeface="微软雅黑" panose="020B0503020204020204" charset="-122"/>
            </a:endParaRPr>
          </a:p>
        </c:rich>
      </c:tx>
      <c:layout/>
      <c:overlay val="false"/>
      <c:spPr>
        <a:noFill/>
        <a:ln>
          <a:noFill/>
        </a:ln>
        <a:effectLst/>
      </c:spPr>
    </c:title>
    <c:autoTitleDeleted val="false"/>
    <c:plotArea>
      <c:layout>
        <c:manualLayout>
          <c:layoutTarget val="inner"/>
          <c:xMode val="edge"/>
          <c:yMode val="edge"/>
          <c:x val="0.300459674049311"/>
          <c:y val="0.25974025974026"/>
          <c:w val="0.408552723220504"/>
          <c:h val="0.692561983471074"/>
        </c:manualLayout>
      </c:layout>
      <c:pieChart>
        <c:varyColors val="true"/>
        <c:ser>
          <c:idx val="0"/>
          <c:order val="0"/>
          <c:spPr>
            <a:solidFill>
              <a:srgbClr val="859949"/>
            </a:solidFill>
            <a:ln w="31750">
              <a:solidFill>
                <a:schemeClr val="bg1">
                  <a:alpha val="42000"/>
                </a:schemeClr>
              </a:solidFill>
            </a:ln>
          </c:spPr>
          <c:explosion val="0"/>
          <c:dPt>
            <c:idx val="0"/>
            <c:bubble3D val="false"/>
            <c:explosion val="0"/>
            <c:spPr>
              <a:solidFill>
                <a:srgbClr val="365B7C"/>
              </a:solidFill>
              <a:ln w="31750">
                <a:solidFill>
                  <a:schemeClr val="bg1">
                    <a:alpha val="42000"/>
                  </a:schemeClr>
                </a:solidFill>
              </a:ln>
              <a:effectLst/>
            </c:spPr>
          </c:dPt>
          <c:dPt>
            <c:idx val="1"/>
            <c:bubble3D val="false"/>
            <c:explosion val="0"/>
            <c:spPr>
              <a:solidFill>
                <a:srgbClr val="966480"/>
              </a:solidFill>
              <a:ln w="31750">
                <a:solidFill>
                  <a:schemeClr val="bg1">
                    <a:alpha val="42000"/>
                  </a:schemeClr>
                </a:solidFill>
              </a:ln>
              <a:effectLst/>
            </c:spPr>
          </c:dPt>
          <c:dPt>
            <c:idx val="2"/>
            <c:bubble3D val="false"/>
            <c:explosion val="0"/>
            <c:spPr>
              <a:solidFill>
                <a:srgbClr val="D06F83"/>
              </a:solidFill>
              <a:ln w="31750">
                <a:solidFill>
                  <a:schemeClr val="bg1">
                    <a:alpha val="42000"/>
                  </a:schemeClr>
                </a:solidFill>
              </a:ln>
              <a:effectLst/>
            </c:spPr>
          </c:dPt>
          <c:dPt>
            <c:idx val="3"/>
            <c:bubble3D val="false"/>
            <c:explosion val="0"/>
            <c:spPr>
              <a:solidFill>
                <a:srgbClr val="DD5F71"/>
              </a:solidFill>
              <a:ln w="31750">
                <a:solidFill>
                  <a:schemeClr val="bg1">
                    <a:alpha val="42000"/>
                  </a:schemeClr>
                </a:solidFill>
              </a:ln>
              <a:effectLst/>
            </c:spPr>
          </c:dPt>
          <c:dPt>
            <c:idx val="4"/>
            <c:bubble3D val="false"/>
            <c:explosion val="0"/>
            <c:spPr>
              <a:solidFill>
                <a:srgbClr val="F68B6B"/>
              </a:solidFill>
              <a:ln w="31750">
                <a:solidFill>
                  <a:schemeClr val="bg1">
                    <a:alpha val="42000"/>
                  </a:schemeClr>
                </a:solidFill>
              </a:ln>
              <a:effectLst/>
            </c:spPr>
          </c:dPt>
          <c:dPt>
            <c:idx val="5"/>
            <c:bubble3D val="false"/>
            <c:explosion val="0"/>
            <c:spPr>
              <a:solidFill>
                <a:srgbClr val="859949"/>
              </a:solidFill>
              <a:ln w="31750">
                <a:solidFill>
                  <a:schemeClr val="bg1">
                    <a:alpha val="42000"/>
                  </a:schemeClr>
                </a:solidFill>
              </a:ln>
              <a:effectLst/>
            </c:spPr>
          </c:dPt>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'[图表 在 2021年部门决算公开编制说明范本(麻柳乡).docx1]Sheet1'!$B$2:$G$2</c:f>
              <c:strCache>
                <c:ptCount val="6"/>
                <c:pt idx="0">
                  <c:v>一般公共服务支出</c:v>
                </c:pt>
                <c:pt idx="1">
                  <c:v>社会保障和就业支出</c:v>
                </c:pt>
                <c:pt idx="2">
                  <c:v>卫生健康支出</c:v>
                </c:pt>
                <c:pt idx="3">
                  <c:v>城乡社区支出</c:v>
                </c:pt>
                <c:pt idx="4">
                  <c:v>农林水支出</c:v>
                </c:pt>
                <c:pt idx="5">
                  <c:v>住房保障支出</c:v>
                </c:pt>
              </c:strCache>
            </c:strRef>
          </c:cat>
          <c:val>
            <c:numRef>
              <c:f>'[图表 在 2021年部门决算公开编制说明范本(麻柳乡).docx1]Sheet1'!$B$3:$G$3</c:f>
              <c:numCache>
                <c:formatCode>General</c:formatCode>
                <c:ptCount val="6"/>
                <c:pt idx="0">
                  <c:v>327.95</c:v>
                </c:pt>
                <c:pt idx="1">
                  <c:v>53.89</c:v>
                </c:pt>
                <c:pt idx="2">
                  <c:v>34.03</c:v>
                </c:pt>
                <c:pt idx="3">
                  <c:v>10</c:v>
                </c:pt>
                <c:pt idx="4">
                  <c:v>351.58</c:v>
                </c:pt>
                <c:pt idx="5">
                  <c:v>41.1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wrap="square"/>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经费财政拨款支出结构图</a:t>
            </a:r>
            <a:endParaRPr altLang="en-US"/>
          </a:p>
        </c:rich>
      </c:tx>
      <c:layout/>
      <c:overlay val="false"/>
      <c:spPr>
        <a:noFill/>
        <a:ln>
          <a:noFill/>
        </a:ln>
        <a:effectLst/>
      </c:spPr>
    </c:title>
    <c:autoTitleDeleted val="false"/>
    <c:plotArea>
      <c:layout/>
      <c:pieChart>
        <c:varyColors val="true"/>
        <c:ser>
          <c:idx val="0"/>
          <c:order val="0"/>
          <c:tx>
            <c:strRef>
              <c:f>Sheet1!$B$1</c:f>
              <c:strCache>
                <c:ptCount val="1"/>
                <c:pt idx="0">
                  <c:v>列1</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0"/>
              <c:layout/>
              <c:dLblPos val="bestFit"/>
              <c:showLegendKey val="false"/>
              <c:showVal val="tru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1.89</c:v>
                </c:pt>
                <c:pt idx="2">
                  <c:v>1.082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77</Pages>
  <Words>32555</Words>
  <Characters>36832</Characters>
  <Lines>61</Lines>
  <Paragraphs>17</Paragraphs>
  <TotalTime>3</TotalTime>
  <ScaleCrop>false</ScaleCrop>
  <LinksUpToDate>false</LinksUpToDate>
  <CharactersWithSpaces>37292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2023-07-31T10:35:00Z</cp:lastPrinted>
  <dcterms:modified xsi:type="dcterms:W3CDTF">2023-10-31T09:48:24Z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DD0DC7CF73764F74BE68B26D3507E40B_13</vt:lpwstr>
  </property>
</Properties>
</file>