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中共广元市朝天区委巡察工作领导小组办公室</w:t>
      </w:r>
      <w:r>
        <w:rPr>
          <w:rFonts w:hint="eastAsia" w:ascii="方正小标宋简体" w:hAnsi="方正小标宋简体" w:eastAsia="方正小标宋简体"/>
          <w:kern w:val="2"/>
          <w:sz w:val="72"/>
          <w:szCs w:val="24"/>
          <w:lang w:val="en-US" w:eastAsia="zh-CN"/>
        </w:rPr>
        <w:t>部门</w:t>
      </w:r>
      <w:r>
        <w:rPr>
          <w:rFonts w:hint="eastAsia" w:ascii="方正小标宋简体" w:hAnsi="方正小标宋简体" w:eastAsia="方正小标宋简体"/>
          <w:kern w:val="2"/>
          <w:sz w:val="72"/>
          <w:szCs w:val="24"/>
          <w:lang w:val="zh-CN"/>
        </w:rPr>
        <w:t>决算</w:t>
      </w:r>
    </w:p>
    <w:p>
      <w:pPr>
        <w:keepNext/>
        <w:keepLines/>
        <w:tabs>
          <w:tab w:val="right" w:leader="dot" w:pos="8296"/>
        </w:tabs>
        <w:spacing w:line="576" w:lineRule="exact"/>
        <w:rPr>
          <w:rFonts w:hint="eastAsia" w:ascii="黑体" w:hAnsi="黑体" w:eastAsia="黑体"/>
          <w:b/>
          <w:color w:val="FF0000"/>
          <w:kern w:val="2"/>
          <w:sz w:val="48"/>
          <w:szCs w:val="24"/>
          <w:lang w:val="zh-CN"/>
        </w:rPr>
      </w:pPr>
    </w:p>
    <w:p>
      <w:pPr>
        <w:pStyle w:val="9"/>
        <w:rPr>
          <w:rFonts w:hint="eastAsia" w:ascii="黑体" w:hAnsi="黑体" w:eastAsia="黑体"/>
          <w:b/>
          <w:color w:val="FF0000"/>
          <w:kern w:val="2"/>
          <w:sz w:val="48"/>
          <w:szCs w:val="24"/>
          <w:lang w:val="zh-CN"/>
        </w:rPr>
      </w:pPr>
    </w:p>
    <w:p>
      <w:pPr>
        <w:rPr>
          <w:rFonts w:hint="eastAsia" w:ascii="黑体" w:hAnsi="黑体" w:eastAsia="黑体"/>
          <w:b/>
          <w:color w:val="FF0000"/>
          <w:kern w:val="2"/>
          <w:sz w:val="48"/>
          <w:szCs w:val="24"/>
          <w:lang w:val="zh-CN"/>
        </w:rPr>
      </w:pPr>
    </w:p>
    <w:p>
      <w:pPr>
        <w:pStyle w:val="9"/>
        <w:rPr>
          <w:rFonts w:hint="eastAsia" w:ascii="黑体" w:hAnsi="黑体" w:eastAsia="黑体"/>
          <w:b/>
          <w:color w:val="FF0000"/>
          <w:kern w:val="2"/>
          <w:sz w:val="48"/>
          <w:szCs w:val="24"/>
          <w:lang w:val="zh-CN"/>
        </w:rPr>
      </w:pPr>
    </w:p>
    <w:p>
      <w:pPr>
        <w:rPr>
          <w:rFonts w:hint="eastAsia" w:ascii="黑体" w:hAnsi="黑体" w:eastAsia="黑体"/>
          <w:b/>
          <w:color w:val="FF0000"/>
          <w:kern w:val="2"/>
          <w:sz w:val="48"/>
          <w:szCs w:val="24"/>
          <w:lang w:val="zh-CN"/>
        </w:rPr>
      </w:pPr>
    </w:p>
    <w:p>
      <w:pPr>
        <w:pStyle w:val="9"/>
        <w:rPr>
          <w:rFonts w:hint="eastAsia" w:ascii="黑体" w:hAnsi="黑体" w:eastAsia="黑体"/>
          <w:b/>
          <w:color w:val="FF0000"/>
          <w:kern w:val="2"/>
          <w:sz w:val="48"/>
          <w:szCs w:val="24"/>
          <w:lang w:val="zh-CN"/>
        </w:rPr>
      </w:pPr>
    </w:p>
    <w:p>
      <w:pPr>
        <w:rPr>
          <w:rFonts w:hint="eastAsia" w:ascii="黑体" w:hAnsi="黑体" w:eastAsia="黑体"/>
          <w:b/>
          <w:color w:val="FF0000"/>
          <w:kern w:val="2"/>
          <w:sz w:val="48"/>
          <w:szCs w:val="24"/>
          <w:lang w:val="zh-CN"/>
        </w:rPr>
      </w:pPr>
    </w:p>
    <w:p>
      <w:pPr>
        <w:pStyle w:val="9"/>
        <w:rPr>
          <w:rFonts w:hint="eastAsia" w:ascii="黑体" w:hAnsi="黑体" w:eastAsia="黑体"/>
          <w:b/>
          <w:color w:val="FF0000"/>
          <w:kern w:val="2"/>
          <w:sz w:val="48"/>
          <w:szCs w:val="24"/>
          <w:lang w:val="zh-CN"/>
        </w:rPr>
      </w:pPr>
    </w:p>
    <w:p>
      <w:pPr>
        <w:rPr>
          <w:rFonts w:hint="eastAsia" w:ascii="黑体" w:hAnsi="黑体" w:eastAsia="黑体"/>
          <w:b/>
          <w:color w:val="FF0000"/>
          <w:kern w:val="2"/>
          <w:sz w:val="48"/>
          <w:szCs w:val="24"/>
          <w:lang w:val="zh-CN"/>
        </w:rPr>
      </w:pPr>
    </w:p>
    <w:p>
      <w:pPr>
        <w:pStyle w:val="9"/>
        <w:rPr>
          <w:rFonts w:hint="eastAsia" w:ascii="黑体" w:hAnsi="黑体" w:eastAsia="黑体"/>
          <w:b/>
          <w:color w:val="FF0000"/>
          <w:kern w:val="2"/>
          <w:sz w:val="48"/>
          <w:szCs w:val="24"/>
          <w:lang w:val="zh-CN"/>
        </w:rPr>
      </w:pPr>
    </w:p>
    <w:p>
      <w:pPr>
        <w:rPr>
          <w:rFonts w:hint="eastAsia" w:ascii="黑体" w:hAnsi="黑体" w:eastAsia="黑体"/>
          <w:b/>
          <w:color w:val="FF0000"/>
          <w:kern w:val="2"/>
          <w:sz w:val="48"/>
          <w:szCs w:val="24"/>
          <w:lang w:val="zh-CN"/>
        </w:rPr>
      </w:pPr>
    </w:p>
    <w:p>
      <w:pPr>
        <w:pStyle w:val="5"/>
        <w:rPr>
          <w:rFonts w:hint="eastAsia"/>
          <w:sz w:val="30"/>
          <w:szCs w:val="24"/>
          <w:lang w:val="zh-CN"/>
        </w:rPr>
      </w:pPr>
    </w:p>
    <w:p>
      <w:pPr>
        <w:jc w:val="center"/>
        <w:rPr>
          <w:rFonts w:hint="eastAsia" w:ascii="黑体" w:hAnsi="黑体" w:eastAsia="黑体"/>
          <w:color w:val="auto"/>
          <w:kern w:val="2"/>
          <w:sz w:val="28"/>
          <w:szCs w:val="24"/>
          <w:lang w:val="zh-CN"/>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月</w:t>
      </w:r>
      <w:r>
        <w:rPr>
          <w:rFonts w:hint="eastAsia" w:ascii="仿宋" w:hAnsi="仿宋"/>
          <w:color w:val="auto"/>
          <w:kern w:val="2"/>
          <w:sz w:val="28"/>
          <w:szCs w:val="24"/>
          <w:lang w:val="en-US" w:eastAsia="zh-CN"/>
        </w:rPr>
        <w:t>27</w:t>
      </w:r>
      <w:r>
        <w:rPr>
          <w:rFonts w:hint="eastAsia" w:ascii="仿宋" w:hAnsi="仿宋" w:eastAsia="仿宋"/>
          <w:color w:val="auto"/>
          <w:kern w:val="2"/>
          <w:sz w:val="28"/>
          <w:szCs w:val="24"/>
          <w:lang w:val="zh-CN"/>
        </w:rPr>
        <w:t>日</w:t>
      </w:r>
    </w:p>
    <w:p>
      <w:pPr>
        <w:pStyle w:val="2"/>
        <w:bidi w:val="0"/>
        <w:outlineLvl w:val="9"/>
        <w:rPr>
          <w:rFonts w:hint="eastAsia" w:ascii="仿宋" w:hAnsi="仿宋" w:eastAsia="仿宋"/>
          <w:b/>
          <w:color w:val="auto"/>
          <w:kern w:val="2"/>
          <w:sz w:val="24"/>
          <w:szCs w:val="24"/>
          <w:lang w:val="zh-CN"/>
        </w:rPr>
        <w:sectPr>
          <w:footerReference r:id="rId5" w:type="default"/>
          <w:pgSz w:w="11906" w:h="16838"/>
          <w:pgMar w:top="2098" w:right="1474" w:bottom="1984" w:left="1587" w:header="851" w:footer="992" w:gutter="0"/>
          <w:lnNumType w:countBy="0" w:distance="360"/>
          <w:cols w:space="720" w:num="1"/>
          <w:docGrid w:type="lines" w:linePitch="312" w:charSpace="0"/>
        </w:sectPr>
      </w:pPr>
    </w:p>
    <w:sdt>
      <w:sdtPr>
        <w:rPr>
          <w:rFonts w:hint="default" w:ascii="宋体" w:hAnsi="宋体" w:eastAsia="宋体" w:cs="Times New Roman"/>
          <w:sz w:val="21"/>
          <w:szCs w:val="24"/>
        </w:rPr>
        <w:id w:val="147471189"/>
        <w15:color w:val="DBDBDB"/>
        <w:docPartObj>
          <w:docPartGallery w:val="Table of Contents"/>
          <w:docPartUnique/>
        </w:docPartObj>
      </w:sdtPr>
      <w:sdtEndPr>
        <w:rPr>
          <w:rFonts w:hint="default" w:ascii="宋体" w:hAnsi="宋体" w:eastAsia="宋体" w:cs="Times New Roman"/>
          <w:sz w:val="21"/>
          <w:szCs w:val="24"/>
        </w:rPr>
      </w:sdtEndPr>
      <w:sdtContent>
        <w:p>
          <w:pPr>
            <w:spacing w:before="0" w:beforeLines="0" w:after="0" w:afterLines="0" w:line="240" w:lineRule="auto"/>
            <w:ind w:left="0" w:leftChars="0" w:right="0" w:rightChars="0" w:firstLine="0" w:firstLineChars="0"/>
            <w:jc w:val="center"/>
          </w:pPr>
          <w:bookmarkStart w:id="0" w:name="_Toc16604"/>
          <w:bookmarkStart w:id="1" w:name="_Toc31959"/>
          <w:r>
            <w:rPr>
              <w:rFonts w:ascii="宋体" w:hAnsi="宋体" w:eastAsia="宋体"/>
              <w:sz w:val="21"/>
            </w:rPr>
            <w:t>目录</w:t>
          </w:r>
        </w:p>
        <w:p>
          <w:pPr>
            <w:pStyle w:val="21"/>
            <w:tabs>
              <w:tab w:val="right" w:leader="dot" w:pos="8845"/>
            </w:tabs>
          </w:pPr>
          <w:r>
            <w:fldChar w:fldCharType="begin"/>
          </w:r>
          <w:r>
            <w:instrText xml:space="preserve">TOC \o "1-3" \h \u </w:instrText>
          </w:r>
          <w:r>
            <w:fldChar w:fldCharType="separate"/>
          </w:r>
          <w:r>
            <w:fldChar w:fldCharType="begin"/>
          </w:r>
          <w:r>
            <w:instrText xml:space="preserve"> HYPERLINK \l _Toc663 </w:instrText>
          </w:r>
          <w:r>
            <w:fldChar w:fldCharType="separate"/>
          </w:r>
          <w:r>
            <w:rPr>
              <w:rFonts w:hint="eastAsia"/>
              <w:bCs/>
              <w:lang w:val="zh-CN"/>
            </w:rPr>
            <w:t>第</w:t>
          </w:r>
          <w:r>
            <w:rPr>
              <w:rFonts w:hint="eastAsia"/>
              <w:bCs/>
              <w:lang w:val="en-US" w:eastAsia="zh-CN"/>
            </w:rPr>
            <w:t>一</w:t>
          </w:r>
          <w:r>
            <w:rPr>
              <w:rFonts w:hint="eastAsia"/>
              <w:bCs/>
              <w:lang w:val="zh-CN"/>
            </w:rPr>
            <w:t>部分</w:t>
          </w:r>
          <w:r>
            <w:rPr>
              <w:rFonts w:hint="eastAsia"/>
              <w:bCs/>
              <w:lang w:val="en-US" w:eastAsia="zh-CN"/>
            </w:rPr>
            <w:t xml:space="preserve">  </w:t>
          </w:r>
          <w:r>
            <w:rPr>
              <w:rFonts w:hint="eastAsia"/>
              <w:bCs/>
              <w:lang w:val="zh-CN"/>
            </w:rPr>
            <w:t>部门概况</w:t>
          </w:r>
          <w:r>
            <w:tab/>
          </w:r>
          <w:r>
            <w:fldChar w:fldCharType="begin"/>
          </w:r>
          <w:r>
            <w:instrText xml:space="preserve"> PAGEREF _Toc663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_Toc20364 </w:instrText>
          </w:r>
          <w:r>
            <w:fldChar w:fldCharType="separate"/>
          </w:r>
          <w:r>
            <w:rPr>
              <w:rFonts w:hint="default"/>
              <w:lang w:val="zh-CN"/>
            </w:rPr>
            <w:t xml:space="preserve">一、 </w:t>
          </w:r>
          <w:r>
            <w:rPr>
              <w:rFonts w:hint="eastAsia"/>
              <w:lang w:val="zh-CN"/>
            </w:rPr>
            <w:t>主要职责</w:t>
          </w:r>
          <w:r>
            <w:tab/>
          </w:r>
          <w:r>
            <w:fldChar w:fldCharType="begin"/>
          </w:r>
          <w:r>
            <w:instrText xml:space="preserve"> PAGEREF _Toc20364 \h </w:instrText>
          </w:r>
          <w:r>
            <w:fldChar w:fldCharType="separate"/>
          </w:r>
          <w:r>
            <w:t>3</w:t>
          </w:r>
          <w:r>
            <w:fldChar w:fldCharType="end"/>
          </w:r>
          <w:r>
            <w:fldChar w:fldCharType="end"/>
          </w:r>
        </w:p>
        <w:p>
          <w:pPr>
            <w:pStyle w:val="22"/>
            <w:tabs>
              <w:tab w:val="right" w:leader="dot" w:pos="8845"/>
            </w:tabs>
          </w:pPr>
          <w:r>
            <w:fldChar w:fldCharType="begin"/>
          </w:r>
          <w:r>
            <w:instrText xml:space="preserve"> HYPERLINK \l _Toc20496 </w:instrText>
          </w:r>
          <w:r>
            <w:fldChar w:fldCharType="separate"/>
          </w:r>
          <w:r>
            <w:rPr>
              <w:rFonts w:hint="eastAsia"/>
              <w:lang w:val="en-US" w:eastAsia="zh-CN"/>
            </w:rPr>
            <w:t>二、</w:t>
          </w:r>
          <w:r>
            <w:rPr>
              <w:rFonts w:hint="eastAsia"/>
              <w:lang w:val="zh-CN"/>
            </w:rPr>
            <w:t>机构设置</w:t>
          </w:r>
          <w:r>
            <w:tab/>
          </w:r>
          <w:r>
            <w:fldChar w:fldCharType="begin"/>
          </w:r>
          <w:r>
            <w:instrText xml:space="preserve"> PAGEREF _Toc20496 \h </w:instrText>
          </w:r>
          <w:r>
            <w:fldChar w:fldCharType="separate"/>
          </w:r>
          <w:r>
            <w:t>3</w:t>
          </w:r>
          <w:r>
            <w:fldChar w:fldCharType="end"/>
          </w:r>
          <w:r>
            <w:fldChar w:fldCharType="end"/>
          </w:r>
        </w:p>
        <w:p>
          <w:pPr>
            <w:pStyle w:val="21"/>
            <w:tabs>
              <w:tab w:val="right" w:leader="dot" w:pos="8845"/>
            </w:tabs>
          </w:pPr>
          <w:r>
            <w:fldChar w:fldCharType="begin"/>
          </w:r>
          <w:r>
            <w:instrText xml:space="preserve"> HYPERLINK \l _Toc27663 </w:instrText>
          </w:r>
          <w:r>
            <w:fldChar w:fldCharType="separate"/>
          </w:r>
          <w:r>
            <w:rPr>
              <w:rFonts w:hint="eastAsia" w:ascii="黑体" w:hAnsi="黑体" w:eastAsia="黑体" w:cs="黑体"/>
              <w:lang w:val="zh-CN"/>
            </w:rPr>
            <w:t>第二部分 2022年度部门决算情况说明</w:t>
          </w:r>
          <w:r>
            <w:tab/>
          </w:r>
          <w:r>
            <w:fldChar w:fldCharType="begin"/>
          </w:r>
          <w:r>
            <w:instrText xml:space="preserve"> PAGEREF _Toc27663 \h </w:instrText>
          </w:r>
          <w:r>
            <w:fldChar w:fldCharType="separate"/>
          </w:r>
          <w:r>
            <w:t>4</w:t>
          </w:r>
          <w:r>
            <w:fldChar w:fldCharType="end"/>
          </w:r>
          <w:r>
            <w:fldChar w:fldCharType="end"/>
          </w:r>
        </w:p>
        <w:p>
          <w:pPr>
            <w:pStyle w:val="22"/>
            <w:tabs>
              <w:tab w:val="right" w:leader="dot" w:pos="8845"/>
            </w:tabs>
          </w:pPr>
          <w:r>
            <w:fldChar w:fldCharType="begin"/>
          </w:r>
          <w:r>
            <w:instrText xml:space="preserve"> HYPERLINK \l _Toc1117 </w:instrText>
          </w:r>
          <w:r>
            <w:fldChar w:fldCharType="separate"/>
          </w:r>
          <w:r>
            <w:rPr>
              <w:rFonts w:hint="eastAsia"/>
              <w:lang w:val="zh-CN"/>
            </w:rPr>
            <w:t>一、收入支出决算总体情况说明</w:t>
          </w:r>
          <w:r>
            <w:tab/>
          </w:r>
          <w:r>
            <w:fldChar w:fldCharType="begin"/>
          </w:r>
          <w:r>
            <w:instrText xml:space="preserve"> PAGEREF _Toc1117 \h </w:instrText>
          </w:r>
          <w:r>
            <w:fldChar w:fldCharType="separate"/>
          </w:r>
          <w:r>
            <w:t>4</w:t>
          </w:r>
          <w:r>
            <w:fldChar w:fldCharType="end"/>
          </w:r>
          <w:r>
            <w:fldChar w:fldCharType="end"/>
          </w:r>
        </w:p>
        <w:p>
          <w:pPr>
            <w:pStyle w:val="22"/>
            <w:tabs>
              <w:tab w:val="right" w:leader="dot" w:pos="8845"/>
            </w:tabs>
          </w:pPr>
          <w:r>
            <w:fldChar w:fldCharType="begin"/>
          </w:r>
          <w:r>
            <w:instrText xml:space="preserve"> HYPERLINK \l _Toc26562 </w:instrText>
          </w:r>
          <w:r>
            <w:fldChar w:fldCharType="separate"/>
          </w:r>
          <w:r>
            <w:rPr>
              <w:rFonts w:hint="eastAsia" w:ascii="黑体" w:hAnsi="黑体" w:eastAsia="黑体"/>
              <w:kern w:val="2"/>
              <w:szCs w:val="24"/>
              <w:lang w:val="zh-CN"/>
            </w:rPr>
            <w:t>二、收入决算情况说明</w:t>
          </w:r>
          <w:r>
            <w:tab/>
          </w:r>
          <w:r>
            <w:fldChar w:fldCharType="begin"/>
          </w:r>
          <w:r>
            <w:instrText xml:space="preserve"> PAGEREF _Toc26562 \h </w:instrText>
          </w:r>
          <w:r>
            <w:fldChar w:fldCharType="separate"/>
          </w:r>
          <w:r>
            <w:t>4</w:t>
          </w:r>
          <w:r>
            <w:fldChar w:fldCharType="end"/>
          </w:r>
          <w:r>
            <w:fldChar w:fldCharType="end"/>
          </w:r>
        </w:p>
        <w:p>
          <w:pPr>
            <w:pStyle w:val="22"/>
            <w:tabs>
              <w:tab w:val="right" w:leader="dot" w:pos="8845"/>
            </w:tabs>
          </w:pPr>
          <w:r>
            <w:fldChar w:fldCharType="begin"/>
          </w:r>
          <w:r>
            <w:instrText xml:space="preserve"> HYPERLINK \l _Toc9492 </w:instrText>
          </w:r>
          <w:r>
            <w:fldChar w:fldCharType="separate"/>
          </w:r>
          <w:r>
            <w:rPr>
              <w:rFonts w:hint="eastAsia" w:ascii="黑体" w:hAnsi="黑体" w:eastAsia="黑体"/>
              <w:kern w:val="2"/>
              <w:szCs w:val="24"/>
              <w:lang w:val="zh-CN"/>
            </w:rPr>
            <w:t>三、支出决算情况说明</w:t>
          </w:r>
          <w:r>
            <w:tab/>
          </w:r>
          <w:r>
            <w:fldChar w:fldCharType="begin"/>
          </w:r>
          <w:r>
            <w:instrText xml:space="preserve"> PAGEREF _Toc9492 \h </w:instrText>
          </w:r>
          <w:r>
            <w:fldChar w:fldCharType="separate"/>
          </w:r>
          <w:r>
            <w:t>5</w:t>
          </w:r>
          <w:r>
            <w:fldChar w:fldCharType="end"/>
          </w:r>
          <w:r>
            <w:fldChar w:fldCharType="end"/>
          </w:r>
        </w:p>
        <w:p>
          <w:pPr>
            <w:pStyle w:val="22"/>
            <w:tabs>
              <w:tab w:val="right" w:leader="dot" w:pos="8845"/>
            </w:tabs>
          </w:pPr>
          <w:r>
            <w:fldChar w:fldCharType="begin"/>
          </w:r>
          <w:r>
            <w:instrText xml:space="preserve"> HYPERLINK \l _Toc12624 </w:instrText>
          </w:r>
          <w: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_Toc12624 \h </w:instrText>
          </w:r>
          <w:r>
            <w:fldChar w:fldCharType="separate"/>
          </w:r>
          <w:r>
            <w:t>5</w:t>
          </w:r>
          <w:r>
            <w:fldChar w:fldCharType="end"/>
          </w:r>
          <w:r>
            <w:fldChar w:fldCharType="end"/>
          </w:r>
        </w:p>
        <w:p>
          <w:pPr>
            <w:pStyle w:val="22"/>
            <w:tabs>
              <w:tab w:val="right" w:leader="dot" w:pos="8845"/>
            </w:tabs>
          </w:pPr>
          <w:r>
            <w:fldChar w:fldCharType="begin"/>
          </w:r>
          <w:r>
            <w:instrText xml:space="preserve"> HYPERLINK \l _Toc4084 </w:instrText>
          </w:r>
          <w:r>
            <w:fldChar w:fldCharType="separate"/>
          </w:r>
          <w:r>
            <w:rPr>
              <w:rFonts w:hint="eastAsia"/>
              <w:lang w:val="zh-CN"/>
            </w:rPr>
            <w:t>五、一般公共预算财政拨款支出决算情况说明</w:t>
          </w:r>
          <w:r>
            <w:tab/>
          </w:r>
          <w:r>
            <w:fldChar w:fldCharType="begin"/>
          </w:r>
          <w:r>
            <w:instrText xml:space="preserve"> PAGEREF _Toc4084 \h </w:instrText>
          </w:r>
          <w:r>
            <w:fldChar w:fldCharType="separate"/>
          </w:r>
          <w:r>
            <w:t>6</w:t>
          </w:r>
          <w:r>
            <w:fldChar w:fldCharType="end"/>
          </w:r>
          <w:r>
            <w:fldChar w:fldCharType="end"/>
          </w:r>
        </w:p>
        <w:p>
          <w:pPr>
            <w:pStyle w:val="23"/>
            <w:tabs>
              <w:tab w:val="right" w:leader="dot" w:pos="8845"/>
            </w:tabs>
          </w:pPr>
          <w:r>
            <w:fldChar w:fldCharType="begin"/>
          </w:r>
          <w:r>
            <w:instrText xml:space="preserve"> HYPERLINK \l _Toc14901 </w:instrText>
          </w:r>
          <w:r>
            <w:fldChar w:fldCharType="separate"/>
          </w:r>
          <w:r>
            <w:rPr>
              <w:rFonts w:hint="eastAsia"/>
              <w:lang w:val="zh-CN"/>
            </w:rPr>
            <w:t>（一）一般公共预算财政拨款支出决算总体情况。</w:t>
          </w:r>
          <w:r>
            <w:tab/>
          </w:r>
          <w:r>
            <w:fldChar w:fldCharType="begin"/>
          </w:r>
          <w:r>
            <w:instrText xml:space="preserve"> PAGEREF _Toc14901 \h </w:instrText>
          </w:r>
          <w:r>
            <w:fldChar w:fldCharType="separate"/>
          </w:r>
          <w:r>
            <w:t>6</w:t>
          </w:r>
          <w:r>
            <w:fldChar w:fldCharType="end"/>
          </w:r>
          <w:r>
            <w:fldChar w:fldCharType="end"/>
          </w:r>
        </w:p>
        <w:p>
          <w:pPr>
            <w:pStyle w:val="23"/>
            <w:tabs>
              <w:tab w:val="right" w:leader="dot" w:pos="8845"/>
            </w:tabs>
          </w:pPr>
          <w:r>
            <w:fldChar w:fldCharType="begin"/>
          </w:r>
          <w:r>
            <w:instrText xml:space="preserve"> HYPERLINK \l _Toc14427 </w:instrText>
          </w:r>
          <w:r>
            <w:fldChar w:fldCharType="separate"/>
          </w:r>
          <w:r>
            <w:rPr>
              <w:rFonts w:hint="eastAsia" w:ascii="Times New Roman" w:hAnsi="Times New Roman"/>
              <w:lang w:val="zh-CN"/>
            </w:rPr>
            <w:t>（二）一般公共预算财政拨款支出决算结构情况。</w:t>
          </w:r>
          <w:r>
            <w:tab/>
          </w:r>
          <w:r>
            <w:fldChar w:fldCharType="begin"/>
          </w:r>
          <w:r>
            <w:instrText xml:space="preserve"> PAGEREF _Toc14427 \h </w:instrText>
          </w:r>
          <w:r>
            <w:fldChar w:fldCharType="separate"/>
          </w:r>
          <w:r>
            <w:t>6</w:t>
          </w:r>
          <w:r>
            <w:fldChar w:fldCharType="end"/>
          </w:r>
          <w:r>
            <w:fldChar w:fldCharType="end"/>
          </w:r>
        </w:p>
        <w:p>
          <w:pPr>
            <w:pStyle w:val="23"/>
            <w:tabs>
              <w:tab w:val="right" w:leader="dot" w:pos="8845"/>
            </w:tabs>
          </w:pPr>
          <w:r>
            <w:fldChar w:fldCharType="begin"/>
          </w:r>
          <w:r>
            <w:instrText xml:space="preserve"> HYPERLINK \l _Toc6367 </w:instrText>
          </w:r>
          <w:r>
            <w:fldChar w:fldCharType="separate"/>
          </w:r>
          <w:r>
            <w:rPr>
              <w:rFonts w:hint="eastAsia" w:ascii="仿宋_GB2312" w:hAnsi="仿宋_GB2312" w:eastAsia="仿宋_GB2312"/>
              <w:kern w:val="2"/>
              <w:szCs w:val="24"/>
              <w:lang w:val="zh-CN"/>
            </w:rPr>
            <w:t>（三） 一般公共预算财政拨款支出决算具体情况。</w:t>
          </w:r>
          <w:r>
            <w:tab/>
          </w:r>
          <w:r>
            <w:fldChar w:fldCharType="begin"/>
          </w:r>
          <w:r>
            <w:instrText xml:space="preserve"> PAGEREF _Toc6367 \h </w:instrText>
          </w:r>
          <w:r>
            <w:fldChar w:fldCharType="separate"/>
          </w:r>
          <w:r>
            <w:t>7</w:t>
          </w:r>
          <w:r>
            <w:fldChar w:fldCharType="end"/>
          </w:r>
          <w:r>
            <w:fldChar w:fldCharType="end"/>
          </w:r>
        </w:p>
        <w:p>
          <w:pPr>
            <w:pStyle w:val="22"/>
            <w:tabs>
              <w:tab w:val="right" w:leader="dot" w:pos="8845"/>
            </w:tabs>
          </w:pPr>
          <w:r>
            <w:fldChar w:fldCharType="begin"/>
          </w:r>
          <w:r>
            <w:instrText xml:space="preserve"> HYPERLINK \l _Toc12640 </w:instrText>
          </w:r>
          <w: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_Toc12640 \h </w:instrText>
          </w:r>
          <w:r>
            <w:fldChar w:fldCharType="separate"/>
          </w:r>
          <w:r>
            <w:t>9</w:t>
          </w:r>
          <w:r>
            <w:fldChar w:fldCharType="end"/>
          </w:r>
          <w:r>
            <w:fldChar w:fldCharType="end"/>
          </w:r>
        </w:p>
        <w:p>
          <w:pPr>
            <w:pStyle w:val="22"/>
            <w:tabs>
              <w:tab w:val="right" w:leader="dot" w:pos="8845"/>
            </w:tabs>
          </w:pPr>
          <w:r>
            <w:fldChar w:fldCharType="begin"/>
          </w:r>
          <w:r>
            <w:instrText xml:space="preserve"> HYPERLINK \l _Toc6370 </w:instrText>
          </w:r>
          <w:r>
            <w:fldChar w:fldCharType="separate"/>
          </w:r>
          <w:r>
            <w:rPr>
              <w:rFonts w:hint="eastAsia" w:ascii="黑体" w:hAnsi="黑体" w:eastAsia="黑体"/>
              <w:kern w:val="2"/>
              <w:szCs w:val="24"/>
              <w:lang w:val="zh-CN"/>
            </w:rPr>
            <w:t>七、 “三公”经费财政拨款支出决算情况说明</w:t>
          </w:r>
          <w:r>
            <w:tab/>
          </w:r>
          <w:r>
            <w:fldChar w:fldCharType="begin"/>
          </w:r>
          <w:r>
            <w:instrText xml:space="preserve"> PAGEREF _Toc6370 \h </w:instrText>
          </w:r>
          <w:r>
            <w:fldChar w:fldCharType="separate"/>
          </w:r>
          <w:r>
            <w:t>10</w:t>
          </w:r>
          <w:r>
            <w:fldChar w:fldCharType="end"/>
          </w:r>
          <w:r>
            <w:fldChar w:fldCharType="end"/>
          </w:r>
        </w:p>
        <w:p>
          <w:pPr>
            <w:pStyle w:val="22"/>
            <w:tabs>
              <w:tab w:val="right" w:leader="dot" w:pos="8845"/>
            </w:tabs>
          </w:pPr>
          <w:r>
            <w:fldChar w:fldCharType="begin"/>
          </w:r>
          <w:r>
            <w:instrText xml:space="preserve"> HYPERLINK \l _Toc29115 </w:instrText>
          </w:r>
          <w:r>
            <w:fldChar w:fldCharType="separate"/>
          </w:r>
          <w:r>
            <w:rPr>
              <w:rFonts w:hint="eastAsia"/>
              <w:lang w:val="zh-CN"/>
            </w:rPr>
            <w:t>（</w:t>
          </w:r>
          <w:r>
            <w:rPr>
              <w:rFonts w:hint="eastAsia"/>
              <w:lang w:val="en-US" w:eastAsia="zh-CN"/>
            </w:rPr>
            <w:t>一</w:t>
          </w:r>
          <w:r>
            <w:rPr>
              <w:rFonts w:hint="eastAsia"/>
              <w:lang w:val="zh-CN"/>
            </w:rPr>
            <w:t>）</w:t>
          </w:r>
          <w:r>
            <w:rPr>
              <w:rFonts w:hint="eastAsia" w:ascii="Times New Roman" w:hAnsi="Times New Roman"/>
              <w:lang w:val="zh-CN"/>
            </w:rPr>
            <w:t>“三公”经费财政拨款支出决算总体情况说明</w:t>
          </w:r>
          <w:r>
            <w:tab/>
          </w:r>
          <w:r>
            <w:fldChar w:fldCharType="begin"/>
          </w:r>
          <w:r>
            <w:instrText xml:space="preserve"> PAGEREF _Toc29115 \h </w:instrText>
          </w:r>
          <w:r>
            <w:fldChar w:fldCharType="separate"/>
          </w:r>
          <w:r>
            <w:t>10</w:t>
          </w:r>
          <w:r>
            <w:fldChar w:fldCharType="end"/>
          </w:r>
          <w:r>
            <w:fldChar w:fldCharType="end"/>
          </w:r>
        </w:p>
        <w:p>
          <w:pPr>
            <w:pStyle w:val="23"/>
            <w:tabs>
              <w:tab w:val="right" w:leader="dot" w:pos="8845"/>
            </w:tabs>
            <w:ind w:left="0" w:leftChars="0" w:firstLine="0" w:firstLineChars="0"/>
          </w:pPr>
          <w:r>
            <w:fldChar w:fldCharType="begin"/>
          </w:r>
          <w:r>
            <w:instrText xml:space="preserve"> HYPERLINK \l _Toc26590 </w:instrText>
          </w:r>
          <w:r>
            <w:fldChar w:fldCharType="separate"/>
          </w:r>
          <w:r>
            <w:rPr>
              <w:rFonts w:hint="eastAsia" w:ascii="Times New Roman" w:hAnsi="Times New Roman"/>
              <w:lang w:val="zh-CN"/>
            </w:rPr>
            <w:t>（二）“三公”经费财政拨款支出决算具体情况说明</w:t>
          </w:r>
          <w:r>
            <w:tab/>
          </w:r>
          <w:r>
            <w:fldChar w:fldCharType="begin"/>
          </w:r>
          <w:r>
            <w:instrText xml:space="preserve"> PAGEREF _Toc26590 \h </w:instrText>
          </w:r>
          <w:r>
            <w:fldChar w:fldCharType="separate"/>
          </w:r>
          <w:r>
            <w:t>10</w:t>
          </w:r>
          <w:r>
            <w:fldChar w:fldCharType="end"/>
          </w:r>
          <w:r>
            <w:fldChar w:fldCharType="end"/>
          </w:r>
        </w:p>
        <w:p>
          <w:pPr>
            <w:pStyle w:val="22"/>
            <w:tabs>
              <w:tab w:val="right" w:leader="dot" w:pos="8845"/>
            </w:tabs>
          </w:pPr>
          <w:r>
            <w:fldChar w:fldCharType="begin"/>
          </w:r>
          <w:r>
            <w:instrText xml:space="preserve"> HYPERLINK \l _Toc24870 </w:instrText>
          </w:r>
          <w: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_Toc24870 \h </w:instrText>
          </w:r>
          <w:r>
            <w:fldChar w:fldCharType="separate"/>
          </w:r>
          <w:r>
            <w:t>11</w:t>
          </w:r>
          <w:r>
            <w:fldChar w:fldCharType="end"/>
          </w:r>
          <w:r>
            <w:fldChar w:fldCharType="end"/>
          </w:r>
        </w:p>
        <w:p>
          <w:pPr>
            <w:pStyle w:val="22"/>
            <w:tabs>
              <w:tab w:val="right" w:leader="dot" w:pos="8845"/>
            </w:tabs>
          </w:pPr>
          <w:r>
            <w:fldChar w:fldCharType="begin"/>
          </w:r>
          <w:r>
            <w:instrText xml:space="preserve"> HYPERLINK \l _Toc26607 </w:instrText>
          </w:r>
          <w:r>
            <w:fldChar w:fldCharType="separate"/>
          </w:r>
          <w:r>
            <w:rPr>
              <w:rFonts w:hint="eastAsia"/>
              <w:lang w:val="zh-CN"/>
            </w:rPr>
            <w:t>九、国有资本经营预算支出决算情况说明</w:t>
          </w:r>
          <w:r>
            <w:tab/>
          </w:r>
          <w:r>
            <w:fldChar w:fldCharType="begin"/>
          </w:r>
          <w:r>
            <w:instrText xml:space="preserve"> PAGEREF _Toc26607 \h </w:instrText>
          </w:r>
          <w:r>
            <w:fldChar w:fldCharType="separate"/>
          </w:r>
          <w:r>
            <w:t>11</w:t>
          </w:r>
          <w:r>
            <w:fldChar w:fldCharType="end"/>
          </w:r>
          <w:r>
            <w:fldChar w:fldCharType="end"/>
          </w:r>
        </w:p>
        <w:p>
          <w:pPr>
            <w:pStyle w:val="22"/>
            <w:tabs>
              <w:tab w:val="right" w:leader="dot" w:pos="8845"/>
            </w:tabs>
          </w:pPr>
          <w:r>
            <w:fldChar w:fldCharType="begin"/>
          </w:r>
          <w:r>
            <w:instrText xml:space="preserve"> HYPERLINK \l _Toc2917 </w:instrText>
          </w:r>
          <w: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_Toc2917 \h </w:instrText>
          </w:r>
          <w:r>
            <w:fldChar w:fldCharType="separate"/>
          </w:r>
          <w:r>
            <w:t>11</w:t>
          </w:r>
          <w:r>
            <w:fldChar w:fldCharType="end"/>
          </w:r>
          <w:r>
            <w:fldChar w:fldCharType="end"/>
          </w:r>
        </w:p>
        <w:p>
          <w:pPr>
            <w:pStyle w:val="23"/>
            <w:tabs>
              <w:tab w:val="right" w:leader="dot" w:pos="8845"/>
            </w:tabs>
          </w:pPr>
          <w:r>
            <w:fldChar w:fldCharType="begin"/>
          </w:r>
          <w:r>
            <w:instrText xml:space="preserve"> HYPERLINK \l _Toc2691 </w:instrText>
          </w:r>
          <w:r>
            <w:fldChar w:fldCharType="separate"/>
          </w:r>
          <w:r>
            <w:rPr>
              <w:rFonts w:hint="eastAsia" w:ascii="Times New Roman" w:hAnsi="Times New Roman"/>
              <w:lang w:val="zh-CN"/>
            </w:rPr>
            <w:t>（一）机关运行经费支出情况</w:t>
          </w:r>
          <w:r>
            <w:tab/>
          </w:r>
          <w:r>
            <w:fldChar w:fldCharType="begin"/>
          </w:r>
          <w:r>
            <w:instrText xml:space="preserve"> PAGEREF _Toc2691 \h </w:instrText>
          </w:r>
          <w:r>
            <w:fldChar w:fldCharType="separate"/>
          </w:r>
          <w:r>
            <w:t>11</w:t>
          </w:r>
          <w:r>
            <w:fldChar w:fldCharType="end"/>
          </w:r>
          <w:r>
            <w:fldChar w:fldCharType="end"/>
          </w:r>
        </w:p>
        <w:p>
          <w:pPr>
            <w:pStyle w:val="23"/>
            <w:tabs>
              <w:tab w:val="right" w:leader="dot" w:pos="8845"/>
            </w:tabs>
          </w:pPr>
          <w:r>
            <w:fldChar w:fldCharType="begin"/>
          </w:r>
          <w:r>
            <w:instrText xml:space="preserve"> HYPERLINK \l _Toc24020 </w:instrText>
          </w:r>
          <w:r>
            <w:fldChar w:fldCharType="separate"/>
          </w:r>
          <w:r>
            <w:rPr>
              <w:rFonts w:hint="eastAsia" w:ascii="Times New Roman" w:hAnsi="Times New Roman"/>
              <w:lang w:val="zh-CN"/>
            </w:rPr>
            <w:t>（二）政府采购支出情况</w:t>
          </w:r>
          <w:r>
            <w:tab/>
          </w:r>
          <w:r>
            <w:fldChar w:fldCharType="begin"/>
          </w:r>
          <w:r>
            <w:instrText xml:space="preserve"> PAGEREF _Toc24020 \h </w:instrText>
          </w:r>
          <w:r>
            <w:fldChar w:fldCharType="separate"/>
          </w:r>
          <w:r>
            <w:t>12</w:t>
          </w:r>
          <w:r>
            <w:fldChar w:fldCharType="end"/>
          </w:r>
          <w:r>
            <w:fldChar w:fldCharType="end"/>
          </w:r>
        </w:p>
        <w:p>
          <w:pPr>
            <w:pStyle w:val="23"/>
            <w:tabs>
              <w:tab w:val="right" w:leader="dot" w:pos="8845"/>
            </w:tabs>
          </w:pPr>
          <w:r>
            <w:fldChar w:fldCharType="begin"/>
          </w:r>
          <w:r>
            <w:instrText xml:space="preserve"> HYPERLINK \l _Toc2639 </w:instrText>
          </w:r>
          <w:r>
            <w:fldChar w:fldCharType="separate"/>
          </w:r>
          <w:r>
            <w:rPr>
              <w:rFonts w:hint="eastAsia" w:ascii="Times New Roman" w:hAnsi="Times New Roman"/>
              <w:lang w:val="zh-CN"/>
            </w:rPr>
            <w:t>（三）国有资产占有使用情况</w:t>
          </w:r>
          <w:r>
            <w:tab/>
          </w:r>
          <w:r>
            <w:fldChar w:fldCharType="begin"/>
          </w:r>
          <w:r>
            <w:instrText xml:space="preserve"> PAGEREF _Toc2639 \h </w:instrText>
          </w:r>
          <w:r>
            <w:fldChar w:fldCharType="separate"/>
          </w:r>
          <w:r>
            <w:t>12</w:t>
          </w:r>
          <w:r>
            <w:fldChar w:fldCharType="end"/>
          </w:r>
          <w:r>
            <w:fldChar w:fldCharType="end"/>
          </w:r>
        </w:p>
        <w:p>
          <w:pPr>
            <w:pStyle w:val="23"/>
            <w:tabs>
              <w:tab w:val="right" w:leader="dot" w:pos="8845"/>
            </w:tabs>
          </w:pPr>
          <w:r>
            <w:fldChar w:fldCharType="begin"/>
          </w:r>
          <w:r>
            <w:instrText xml:space="preserve"> HYPERLINK \l _Toc2117 </w:instrText>
          </w:r>
          <w:r>
            <w:fldChar w:fldCharType="separate"/>
          </w:r>
          <w:r>
            <w:rPr>
              <w:rFonts w:hint="eastAsia" w:ascii="Times New Roman" w:hAnsi="Times New Roman"/>
              <w:lang w:val="zh-CN"/>
            </w:rPr>
            <w:t>（四）预算绩效管理情况。</w:t>
          </w:r>
          <w:r>
            <w:tab/>
          </w:r>
          <w:r>
            <w:fldChar w:fldCharType="begin"/>
          </w:r>
          <w:r>
            <w:instrText xml:space="preserve"> PAGEREF _Toc2117 \h </w:instrText>
          </w:r>
          <w:r>
            <w:fldChar w:fldCharType="separate"/>
          </w:r>
          <w:r>
            <w:t>12</w:t>
          </w:r>
          <w:r>
            <w:fldChar w:fldCharType="end"/>
          </w:r>
          <w:r>
            <w:fldChar w:fldCharType="end"/>
          </w:r>
        </w:p>
        <w:p>
          <w:pPr>
            <w:pStyle w:val="21"/>
            <w:tabs>
              <w:tab w:val="right" w:leader="dot" w:pos="8845"/>
            </w:tabs>
          </w:pPr>
          <w:r>
            <w:fldChar w:fldCharType="begin"/>
          </w:r>
          <w:r>
            <w:instrText xml:space="preserve"> HYPERLINK \l _Toc24609 </w:instrText>
          </w:r>
          <w:r>
            <w:fldChar w:fldCharType="separate"/>
          </w:r>
          <w:r>
            <w:rPr>
              <w:rFonts w:hint="eastAsia" w:ascii="黑体" w:hAnsi="黑体" w:eastAsia="黑体" w:cs="黑体"/>
              <w:lang w:val="zh-CN"/>
            </w:rPr>
            <w:t>第三部分 名词解释</w:t>
          </w:r>
          <w:r>
            <w:tab/>
          </w:r>
          <w:r>
            <w:fldChar w:fldCharType="begin"/>
          </w:r>
          <w:r>
            <w:instrText xml:space="preserve"> PAGEREF _Toc24609 \h </w:instrText>
          </w:r>
          <w:r>
            <w:fldChar w:fldCharType="separate"/>
          </w:r>
          <w:r>
            <w:t>13</w:t>
          </w:r>
          <w:r>
            <w:fldChar w:fldCharType="end"/>
          </w:r>
          <w:r>
            <w:fldChar w:fldCharType="end"/>
          </w:r>
        </w:p>
        <w:p>
          <w:pPr>
            <w:pStyle w:val="21"/>
            <w:tabs>
              <w:tab w:val="right" w:leader="dot" w:pos="8845"/>
            </w:tabs>
          </w:pPr>
          <w:r>
            <w:fldChar w:fldCharType="begin"/>
          </w:r>
          <w:r>
            <w:instrText xml:space="preserve"> HYPERLINK \l _Toc3974 </w:instrText>
          </w:r>
          <w:r>
            <w:fldChar w:fldCharType="separate"/>
          </w:r>
          <w:r>
            <w:rPr>
              <w:rFonts w:hint="eastAsia" w:ascii="黑体" w:hAnsi="黑体" w:eastAsia="黑体" w:cs="黑体"/>
              <w:lang w:val="en-US"/>
            </w:rPr>
            <w:t>第四部分 附件</w:t>
          </w:r>
          <w:r>
            <w:tab/>
          </w:r>
          <w:r>
            <w:fldChar w:fldCharType="begin"/>
          </w:r>
          <w:r>
            <w:instrText xml:space="preserve"> PAGEREF _Toc3974 \h </w:instrText>
          </w:r>
          <w:r>
            <w:fldChar w:fldCharType="separate"/>
          </w:r>
          <w:r>
            <w:t>15</w:t>
          </w:r>
          <w:r>
            <w:fldChar w:fldCharType="end"/>
          </w:r>
          <w:r>
            <w:fldChar w:fldCharType="end"/>
          </w:r>
        </w:p>
        <w:p>
          <w:pPr>
            <w:pStyle w:val="21"/>
            <w:tabs>
              <w:tab w:val="right" w:leader="dot" w:pos="8845"/>
            </w:tabs>
          </w:pPr>
          <w:r>
            <w:fldChar w:fldCharType="begin"/>
          </w:r>
          <w:r>
            <w:instrText xml:space="preserve"> HYPERLINK \l _Toc12092 </w:instrText>
          </w:r>
          <w:r>
            <w:fldChar w:fldCharType="separate"/>
          </w:r>
          <w:r>
            <w:rPr>
              <w:rFonts w:hint="default"/>
              <w:lang w:val="en-US"/>
            </w:rPr>
            <w:t xml:space="preserve">第五部分 </w:t>
          </w:r>
          <w:r>
            <w:rPr>
              <w:rFonts w:hint="eastAsia"/>
              <w:lang w:val="en-US"/>
            </w:rPr>
            <w:t>附表</w:t>
          </w:r>
          <w:r>
            <w:tab/>
          </w:r>
          <w:r>
            <w:fldChar w:fldCharType="begin"/>
          </w:r>
          <w:r>
            <w:instrText xml:space="preserve"> PAGEREF _Toc12092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_Toc1885 </w:instrText>
          </w:r>
          <w:r>
            <w:fldChar w:fldCharType="separate"/>
          </w:r>
          <w:r>
            <w:rPr>
              <w:rFonts w:hint="eastAsia" w:ascii="仿宋" w:hAnsi="仿宋" w:eastAsia="仿宋" w:cs="仿宋"/>
              <w:lang w:val="en-US"/>
            </w:rPr>
            <w:t>一、收入支出决算总表</w:t>
          </w:r>
          <w:r>
            <w:tab/>
          </w:r>
          <w:r>
            <w:fldChar w:fldCharType="begin"/>
          </w:r>
          <w:r>
            <w:instrText xml:space="preserve"> PAGEREF _Toc1885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_Toc25176 </w:instrText>
          </w:r>
          <w:r>
            <w:fldChar w:fldCharType="separate"/>
          </w:r>
          <w:r>
            <w:rPr>
              <w:rFonts w:hint="eastAsia" w:ascii="仿宋" w:hAnsi="仿宋" w:eastAsia="仿宋" w:cs="仿宋"/>
              <w:lang w:val="en-US"/>
            </w:rPr>
            <w:t>二、收入决算表</w:t>
          </w:r>
          <w:r>
            <w:tab/>
          </w:r>
          <w:r>
            <w:fldChar w:fldCharType="begin"/>
          </w:r>
          <w:r>
            <w:instrText xml:space="preserve"> PAGEREF _Toc25176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_Toc12029 </w:instrText>
          </w:r>
          <w:r>
            <w:fldChar w:fldCharType="separate"/>
          </w:r>
          <w:r>
            <w:rPr>
              <w:rFonts w:hint="eastAsia" w:ascii="仿宋" w:hAnsi="仿宋" w:eastAsia="仿宋" w:cs="仿宋"/>
              <w:lang w:val="en-US"/>
            </w:rPr>
            <w:t>三、支出决算表</w:t>
          </w:r>
          <w:r>
            <w:tab/>
          </w:r>
          <w:r>
            <w:fldChar w:fldCharType="begin"/>
          </w:r>
          <w:r>
            <w:instrText xml:space="preserve"> PAGEREF _Toc12029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_Toc22847 </w:instrText>
          </w:r>
          <w:r>
            <w:fldChar w:fldCharType="separate"/>
          </w:r>
          <w:r>
            <w:rPr>
              <w:rFonts w:hint="eastAsia" w:ascii="仿宋" w:hAnsi="仿宋" w:eastAsia="仿宋" w:cs="仿宋"/>
              <w:lang w:val="en-US"/>
            </w:rPr>
            <w:t>四、财政拨款收入支出决算总表</w:t>
          </w:r>
          <w:r>
            <w:tab/>
          </w:r>
          <w:r>
            <w:fldChar w:fldCharType="begin"/>
          </w:r>
          <w:r>
            <w:instrText xml:space="preserve"> PAGEREF _Toc22847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_Toc28441 </w:instrText>
          </w:r>
          <w:r>
            <w:fldChar w:fldCharType="separate"/>
          </w:r>
          <w:r>
            <w:rPr>
              <w:rFonts w:hint="eastAsia" w:ascii="仿宋" w:hAnsi="仿宋" w:eastAsia="仿宋" w:cs="仿宋"/>
              <w:lang w:val="en-US"/>
            </w:rPr>
            <w:t>五、财政拨款支出决算明细表</w:t>
          </w:r>
          <w:r>
            <w:tab/>
          </w:r>
          <w:r>
            <w:fldChar w:fldCharType="begin"/>
          </w:r>
          <w:r>
            <w:instrText xml:space="preserve"> PAGEREF _Toc28441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_Toc24600 </w:instrText>
          </w:r>
          <w:r>
            <w:fldChar w:fldCharType="separate"/>
          </w:r>
          <w:r>
            <w:rPr>
              <w:rFonts w:hint="eastAsia" w:ascii="仿宋" w:hAnsi="仿宋" w:eastAsia="仿宋" w:cs="仿宋"/>
              <w:lang w:val="en-US"/>
            </w:rPr>
            <w:t>六、一般公共预算财政拨款支出决算表</w:t>
          </w:r>
          <w:r>
            <w:tab/>
          </w:r>
          <w:r>
            <w:fldChar w:fldCharType="begin"/>
          </w:r>
          <w:r>
            <w:instrText xml:space="preserve"> PAGEREF _Toc24600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_Toc25638 </w:instrText>
          </w:r>
          <w:r>
            <w:fldChar w:fldCharType="separate"/>
          </w:r>
          <w:r>
            <w:rPr>
              <w:rFonts w:hint="eastAsia" w:ascii="仿宋" w:hAnsi="仿宋" w:eastAsia="仿宋" w:cs="仿宋"/>
              <w:lang w:val="en-US"/>
            </w:rPr>
            <w:t>七、一般公共预算财政拨款支出决算明细表</w:t>
          </w:r>
          <w:r>
            <w:tab/>
          </w:r>
          <w:r>
            <w:fldChar w:fldCharType="begin"/>
          </w:r>
          <w:r>
            <w:instrText xml:space="preserve"> PAGEREF _Toc25638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_Toc18120 </w:instrText>
          </w:r>
          <w:r>
            <w:fldChar w:fldCharType="separate"/>
          </w:r>
          <w:r>
            <w:rPr>
              <w:rFonts w:hint="eastAsia" w:ascii="仿宋" w:hAnsi="仿宋" w:eastAsia="仿宋" w:cs="仿宋"/>
              <w:lang w:val="en-US"/>
            </w:rPr>
            <w:t>八、一般公共预算财政拨款基本支出决算表</w:t>
          </w:r>
          <w:r>
            <w:tab/>
          </w:r>
          <w:r>
            <w:fldChar w:fldCharType="begin"/>
          </w:r>
          <w:r>
            <w:instrText xml:space="preserve"> PAGEREF _Toc18120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_Toc14000 </w:instrText>
          </w:r>
          <w:r>
            <w:fldChar w:fldCharType="separate"/>
          </w:r>
          <w:r>
            <w:rPr>
              <w:rFonts w:hint="eastAsia" w:ascii="仿宋" w:hAnsi="仿宋" w:eastAsia="仿宋" w:cs="仿宋"/>
              <w:lang w:val="en-US"/>
            </w:rPr>
            <w:t>九、一般公共预算财政拨款项目支出决算表</w:t>
          </w:r>
          <w:r>
            <w:tab/>
          </w:r>
          <w:r>
            <w:fldChar w:fldCharType="begin"/>
          </w:r>
          <w:r>
            <w:instrText xml:space="preserve"> PAGEREF _Toc14000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_Toc13054 </w:instrText>
          </w:r>
          <w:r>
            <w:fldChar w:fldCharType="separate"/>
          </w:r>
          <w:r>
            <w:rPr>
              <w:rFonts w:hint="eastAsia" w:ascii="仿宋" w:hAnsi="仿宋" w:eastAsia="仿宋" w:cs="仿宋"/>
              <w:lang w:val="en-US"/>
            </w:rPr>
            <w:t>十、政府性基金预算财政拨款收入支出决算表</w:t>
          </w:r>
          <w:r>
            <w:tab/>
          </w:r>
          <w:r>
            <w:fldChar w:fldCharType="begin"/>
          </w:r>
          <w:r>
            <w:instrText xml:space="preserve"> PAGEREF _Toc13054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_Toc24500 </w:instrText>
          </w:r>
          <w:r>
            <w:fldChar w:fldCharType="separate"/>
          </w:r>
          <w:r>
            <w:rPr>
              <w:rFonts w:hint="eastAsia" w:ascii="仿宋" w:hAnsi="仿宋" w:eastAsia="仿宋" w:cs="仿宋"/>
              <w:lang w:val="en-US"/>
            </w:rPr>
            <w:t>十一、国有资本经营预算财政拨款收入支出决算表</w:t>
          </w:r>
          <w:r>
            <w:tab/>
          </w:r>
          <w:r>
            <w:fldChar w:fldCharType="begin"/>
          </w:r>
          <w:r>
            <w:instrText xml:space="preserve"> PAGEREF _Toc24500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_Toc9124 </w:instrText>
          </w:r>
          <w:r>
            <w:fldChar w:fldCharType="separate"/>
          </w:r>
          <w:r>
            <w:rPr>
              <w:rFonts w:hint="eastAsia" w:ascii="仿宋" w:hAnsi="仿宋" w:eastAsia="仿宋" w:cs="仿宋"/>
              <w:lang w:val="en-US"/>
            </w:rPr>
            <w:t>十二、国有资本经营预算财政拨款支出决算表</w:t>
          </w:r>
          <w:r>
            <w:tab/>
          </w:r>
          <w:r>
            <w:fldChar w:fldCharType="begin"/>
          </w:r>
          <w:r>
            <w:instrText xml:space="preserve"> PAGEREF _Toc9124 \h </w:instrText>
          </w:r>
          <w:r>
            <w:fldChar w:fldCharType="separate"/>
          </w:r>
          <w:r>
            <w:t>54</w:t>
          </w:r>
          <w:r>
            <w:fldChar w:fldCharType="end"/>
          </w:r>
          <w:r>
            <w:fldChar w:fldCharType="end"/>
          </w:r>
        </w:p>
        <w:p>
          <w:pPr>
            <w:pStyle w:val="22"/>
            <w:tabs>
              <w:tab w:val="right" w:leader="dot" w:pos="8845"/>
            </w:tabs>
          </w:pPr>
          <w:r>
            <w:fldChar w:fldCharType="begin"/>
          </w:r>
          <w:r>
            <w:instrText xml:space="preserve"> HYPERLINK \l _Toc11468 </w:instrText>
          </w:r>
          <w:r>
            <w:fldChar w:fldCharType="separate"/>
          </w:r>
          <w:r>
            <w:rPr>
              <w:rFonts w:hint="eastAsia" w:ascii="仿宋" w:hAnsi="仿宋" w:eastAsia="仿宋" w:cs="仿宋"/>
              <w:lang w:val="en-US"/>
            </w:rPr>
            <w:t>十三、财政拨款“三公”经费支出决算表</w:t>
          </w:r>
          <w:r>
            <w:tab/>
          </w:r>
          <w:r>
            <w:fldChar w:fldCharType="begin"/>
          </w:r>
          <w:r>
            <w:instrText xml:space="preserve"> PAGEREF _Toc11468 \h </w:instrText>
          </w:r>
          <w:r>
            <w:fldChar w:fldCharType="separate"/>
          </w:r>
          <w:r>
            <w:t>54</w:t>
          </w:r>
          <w:r>
            <w:fldChar w:fldCharType="end"/>
          </w:r>
          <w:r>
            <w:fldChar w:fldCharType="end"/>
          </w:r>
        </w:p>
        <w:p>
          <w:r>
            <w:fldChar w:fldCharType="end"/>
          </w:r>
        </w:p>
      </w:sdtContent>
    </w:sdt>
    <w:p>
      <w:pPr>
        <w:pStyle w:val="2"/>
        <w:bidi w:val="0"/>
        <w:ind w:left="0" w:leftChars="0" w:firstLine="0" w:firstLineChars="0"/>
        <w:jc w:val="center"/>
        <w:rPr>
          <w:rFonts w:hint="eastAsia" w:ascii="黑体" w:hAnsi="黑体" w:eastAsia="黑体"/>
          <w:b/>
          <w:bCs/>
          <w:color w:val="auto"/>
          <w:kern w:val="44"/>
          <w:sz w:val="44"/>
          <w:szCs w:val="24"/>
          <w:lang w:val="zh-CN"/>
        </w:rPr>
      </w:pPr>
      <w:bookmarkStart w:id="2" w:name="_Toc663"/>
      <w:r>
        <w:rPr>
          <w:rStyle w:val="20"/>
          <w:rFonts w:hint="eastAsia"/>
          <w:b/>
          <w:bCs/>
          <w:lang w:val="zh-CN"/>
        </w:rPr>
        <w:t>第</w:t>
      </w:r>
      <w:r>
        <w:rPr>
          <w:rStyle w:val="20"/>
          <w:rFonts w:hint="eastAsia"/>
          <w:b/>
          <w:bCs/>
          <w:lang w:val="en-US" w:eastAsia="zh-CN"/>
        </w:rPr>
        <w:t>一</w:t>
      </w:r>
      <w:r>
        <w:rPr>
          <w:rStyle w:val="20"/>
          <w:rFonts w:hint="eastAsia"/>
          <w:b/>
          <w:bCs/>
          <w:lang w:val="zh-CN"/>
        </w:rPr>
        <w:t>部分</w:t>
      </w:r>
      <w:r>
        <w:rPr>
          <w:rStyle w:val="20"/>
          <w:rFonts w:hint="eastAsia"/>
          <w:b/>
          <w:bCs/>
          <w:lang w:val="en-US" w:eastAsia="zh-CN"/>
        </w:rPr>
        <w:t xml:space="preserve">  </w:t>
      </w:r>
      <w:r>
        <w:rPr>
          <w:rStyle w:val="20"/>
          <w:rFonts w:hint="eastAsia"/>
          <w:b/>
          <w:bCs/>
          <w:lang w:val="zh-CN"/>
        </w:rPr>
        <w:t>部门概况</w:t>
      </w:r>
      <w:bookmarkEnd w:id="0"/>
      <w:bookmarkEnd w:id="1"/>
      <w:bookmarkEnd w:id="2"/>
    </w:p>
    <w:p>
      <w:pPr>
        <w:pStyle w:val="3"/>
        <w:numPr>
          <w:ilvl w:val="0"/>
          <w:numId w:val="1"/>
        </w:numPr>
        <w:bidi w:val="0"/>
        <w:rPr>
          <w:rFonts w:hint="eastAsia"/>
          <w:lang w:val="zh-CN"/>
        </w:rPr>
      </w:pPr>
      <w:bookmarkStart w:id="3" w:name="_Toc19640"/>
      <w:bookmarkStart w:id="4" w:name="_Toc23563"/>
      <w:bookmarkStart w:id="5" w:name="_Toc20364"/>
      <w:r>
        <w:rPr>
          <w:rFonts w:hint="eastAsia"/>
          <w:lang w:val="zh-CN"/>
        </w:rPr>
        <w:t>主要职责</w:t>
      </w:r>
      <w:bookmarkEnd w:id="3"/>
      <w:bookmarkEnd w:id="4"/>
      <w:bookmarkEnd w:id="5"/>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lang w:val="en-US" w:eastAsia="zh-CN"/>
        </w:rPr>
      </w:pPr>
      <w:r>
        <w:rPr>
          <w:rFonts w:hint="eastAsia"/>
        </w:rPr>
        <w:t>区委巡察办承担《四川省（州）、县（市、区）党委巡察工作办法（试行）》规定的相关职责。区委巡察办是区委巡察工作领导小组日常办事机构，为区委工作部门，承担统筹协调、指导督导、服务保障职责，统筹、协调、指导巡察组工作，向区委和区委巡察工作领导小组负责并报告工作，区委巡察机构共设常规巡察组四个、巡察信息中心一个。</w:t>
      </w:r>
      <w:r>
        <w:rPr>
          <w:rFonts w:hint="eastAsia"/>
          <w:lang w:val="en-US" w:eastAsia="zh-CN"/>
        </w:rPr>
        <w:t xml:space="preserve"> </w:t>
      </w:r>
    </w:p>
    <w:p>
      <w:pPr>
        <w:pStyle w:val="3"/>
        <w:bidi w:val="0"/>
        <w:rPr>
          <w:rFonts w:hint="eastAsia"/>
          <w:lang w:val="zh-CN"/>
        </w:rPr>
      </w:pPr>
      <w:bookmarkStart w:id="6" w:name="_Toc16576"/>
      <w:bookmarkStart w:id="7" w:name="_Toc22267"/>
      <w:bookmarkStart w:id="8" w:name="_Toc20496"/>
      <w:r>
        <w:rPr>
          <w:rFonts w:hint="eastAsia"/>
          <w:lang w:val="en-US" w:eastAsia="zh-CN"/>
        </w:rPr>
        <w:t>二、</w:t>
      </w:r>
      <w:r>
        <w:rPr>
          <w:rFonts w:hint="eastAsia"/>
          <w:lang w:val="zh-CN"/>
        </w:rPr>
        <w:t>机构设置</w:t>
      </w:r>
      <w:bookmarkEnd w:id="6"/>
      <w:bookmarkEnd w:id="7"/>
      <w:bookmarkEnd w:id="8"/>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r>
        <w:rPr>
          <w:rFonts w:hint="eastAsia" w:ascii="Times New Roman" w:hAnsi="Times New Roman"/>
        </w:rPr>
        <w:t>区委巡察办属一级预算</w:t>
      </w:r>
      <w:r>
        <w:rPr>
          <w:rFonts w:hint="eastAsia"/>
          <w:lang w:eastAsia="zh-CN"/>
        </w:rPr>
        <w:t>部门</w:t>
      </w:r>
      <w:r>
        <w:rPr>
          <w:rFonts w:hint="eastAsia" w:ascii="Times New Roman" w:hAnsi="Times New Roman"/>
        </w:rPr>
        <w:t>，总编制15名，其中行政编制10名，事业编制5名。202</w:t>
      </w:r>
      <w:r>
        <w:rPr>
          <w:rFonts w:hint="eastAsia" w:ascii="Times New Roman" w:hAnsi="Times New Roman"/>
          <w:lang w:val="en-US" w:eastAsia="zh-CN"/>
        </w:rPr>
        <w:t>2</w:t>
      </w:r>
      <w:r>
        <w:rPr>
          <w:rFonts w:hint="eastAsia" w:ascii="Times New Roman" w:hAnsi="Times New Roman"/>
        </w:rPr>
        <w:t>年底实有在职人员总数</w:t>
      </w:r>
      <w:r>
        <w:rPr>
          <w:rFonts w:hint="eastAsia" w:ascii="Times New Roman" w:hAnsi="Times New Roman"/>
          <w:lang w:val="en-US" w:eastAsia="zh-CN"/>
        </w:rPr>
        <w:t>20</w:t>
      </w:r>
      <w:r>
        <w:rPr>
          <w:rFonts w:hint="eastAsia" w:ascii="Times New Roman" w:hAnsi="Times New Roman"/>
        </w:rPr>
        <w:t>人，其中行政人员</w:t>
      </w:r>
      <w:r>
        <w:rPr>
          <w:rFonts w:hint="eastAsia" w:ascii="Times New Roman" w:hAnsi="Times New Roman"/>
          <w:lang w:val="en-US" w:eastAsia="zh-CN"/>
        </w:rPr>
        <w:t>15</w:t>
      </w:r>
      <w:r>
        <w:rPr>
          <w:rFonts w:hint="eastAsia" w:ascii="Times New Roman" w:hAnsi="Times New Roman"/>
        </w:rPr>
        <w:t>人，事业人员</w:t>
      </w:r>
      <w:r>
        <w:rPr>
          <w:rFonts w:hint="eastAsia" w:ascii="Times New Roman" w:hAnsi="Times New Roman"/>
          <w:lang w:val="en-US" w:eastAsia="zh-CN"/>
        </w:rPr>
        <w:t>5</w:t>
      </w:r>
      <w:r>
        <w:rPr>
          <w:rFonts w:hint="eastAsia" w:ascii="Times New Roman" w:hAnsi="Times New Roman"/>
        </w:rPr>
        <w:t>人。区委巡察办内设机构：区委第一巡察组、区委第二巡察组、区委第三巡察组、区委第四巡察组、综合室、巡察信息中心。</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lang w:val="zh-CN"/>
        </w:rPr>
      </w:pPr>
    </w:p>
    <w:p>
      <w:pPr>
        <w:pStyle w:val="2"/>
        <w:numPr>
          <w:ilvl w:val="0"/>
          <w:numId w:val="2"/>
        </w:numPr>
        <w:bidi w:val="0"/>
        <w:rPr>
          <w:rFonts w:hint="eastAsia" w:ascii="黑体" w:hAnsi="黑体" w:eastAsia="黑体" w:cs="黑体"/>
          <w:lang w:val="zh-CN"/>
        </w:rPr>
      </w:pPr>
      <w:bookmarkStart w:id="9" w:name="_Toc27663"/>
      <w:bookmarkStart w:id="10" w:name="_Toc21871"/>
      <w:bookmarkStart w:id="11" w:name="_Toc21322"/>
      <w:r>
        <w:rPr>
          <w:rFonts w:hint="eastAsia" w:ascii="黑体" w:hAnsi="黑体" w:eastAsia="黑体" w:cs="黑体"/>
          <w:lang w:val="zh-CN"/>
        </w:rPr>
        <w:t>2022年度部门决算情况说明</w:t>
      </w:r>
      <w:bookmarkEnd w:id="9"/>
      <w:bookmarkEnd w:id="10"/>
      <w:bookmarkEnd w:id="11"/>
    </w:p>
    <w:p>
      <w:pPr>
        <w:numPr>
          <w:ilvl w:val="0"/>
          <w:numId w:val="0"/>
        </w:numPr>
        <w:rPr>
          <w:rFonts w:hint="default"/>
          <w:lang w:val="zh-CN"/>
        </w:rPr>
      </w:pPr>
    </w:p>
    <w:p>
      <w:pPr>
        <w:pStyle w:val="3"/>
        <w:bidi w:val="0"/>
        <w:rPr>
          <w:rFonts w:hint="eastAsia"/>
          <w:lang w:val="zh-CN"/>
        </w:rPr>
      </w:pPr>
      <w:r>
        <w:rPr>
          <w:rFonts w:hint="eastAsia"/>
          <w:lang w:val="zh-CN"/>
        </w:rPr>
        <w:t xml:space="preserve">   </w:t>
      </w:r>
      <w:bookmarkStart w:id="12" w:name="_Toc8584"/>
      <w:bookmarkStart w:id="13" w:name="_Toc1117"/>
      <w:bookmarkStart w:id="14" w:name="_Toc28509"/>
      <w:r>
        <w:rPr>
          <w:rFonts w:hint="eastAsia"/>
          <w:lang w:val="zh-CN"/>
        </w:rPr>
        <w:t>一、收入支出决算总体情况说明</w:t>
      </w:r>
      <w:bookmarkEnd w:id="12"/>
      <w:bookmarkEnd w:id="13"/>
      <w:bookmarkEnd w:id="14"/>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lang w:val="zh-CN"/>
        </w:rPr>
      </w:pPr>
      <w:r>
        <w:rPr>
          <w:rFonts w:hint="eastAsia" w:ascii="Times New Roman" w:hAnsi="Times New Roman"/>
          <w:lang w:val="zh-CN"/>
        </w:rPr>
        <w:t>2022年度收、支总计398.26万元。与2021年相比，收、支总计各增加136.52万元，增长52.2%。主要变动原因是</w:t>
      </w:r>
      <w:r>
        <w:rPr>
          <w:rFonts w:hint="eastAsia" w:ascii="Times New Roman" w:hAnsi="Times New Roman"/>
          <w:lang w:val="en-US" w:eastAsia="zh-CN"/>
        </w:rPr>
        <w:t>人员增加、工资调标、发放基础性绩效等</w:t>
      </w:r>
      <w:r>
        <w:rPr>
          <w:rFonts w:hint="eastAsia" w:ascii="Times New Roman" w:hAnsi="Times New Roman"/>
          <w:lang w:val="zh-CN"/>
        </w:rPr>
        <w:t>。</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lang w:val="en-US"/>
        </w:rPr>
      </w:pPr>
      <w:r>
        <w:rPr>
          <w:rFonts w:hint="eastAsia" w:ascii="Times New Roman" w:hAnsi="Times New Roman"/>
          <w:lang w:val="en-US"/>
        </w:rPr>
        <w:t>（图1：收、支决算总计变动情况图）（柱状图）</w:t>
      </w:r>
    </w:p>
    <w:p>
      <w:pPr>
        <w:spacing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anchor distT="0" distB="0" distL="114300" distR="114300" simplePos="0" relativeHeight="251659264" behindDoc="0" locked="0" layoutInCell="1" allowOverlap="1">
            <wp:simplePos x="0" y="0"/>
            <wp:positionH relativeFrom="column">
              <wp:posOffset>720090</wp:posOffset>
            </wp:positionH>
            <wp:positionV relativeFrom="paragraph">
              <wp:posOffset>67945</wp:posOffset>
            </wp:positionV>
            <wp:extent cx="2646680" cy="1847215"/>
            <wp:effectExtent l="5080" t="4445" r="15240" b="1524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jc w:val="both"/>
        <w:rPr>
          <w:rFonts w:hint="eastAsia" w:ascii="仿宋" w:hAnsi="仿宋" w:eastAsia="仿宋"/>
          <w:color w:val="auto"/>
          <w:kern w:val="2"/>
          <w:sz w:val="32"/>
          <w:szCs w:val="24"/>
          <w:lang w:val="zh-CN" w:eastAsia="zh-CN"/>
        </w:rPr>
      </w:pPr>
    </w:p>
    <w:p>
      <w:pPr>
        <w:pStyle w:val="3"/>
        <w:bidi w:val="0"/>
        <w:outlineLvl w:val="9"/>
        <w:rPr>
          <w:rFonts w:hint="eastAsia" w:ascii="黑体" w:hAnsi="黑体" w:eastAsia="黑体"/>
          <w:color w:val="000000"/>
          <w:kern w:val="2"/>
          <w:sz w:val="32"/>
          <w:szCs w:val="24"/>
          <w:lang w:val="zh-CN"/>
        </w:rPr>
      </w:pPr>
      <w:bookmarkStart w:id="15" w:name="_Toc18764"/>
      <w:bookmarkStart w:id="16" w:name="_Toc7933"/>
    </w:p>
    <w:p>
      <w:pPr>
        <w:pStyle w:val="3"/>
        <w:bidi w:val="0"/>
        <w:outlineLvl w:val="9"/>
        <w:rPr>
          <w:rFonts w:hint="eastAsia" w:ascii="黑体" w:hAnsi="黑体" w:eastAsia="黑体"/>
          <w:color w:val="000000"/>
          <w:kern w:val="2"/>
          <w:sz w:val="32"/>
          <w:szCs w:val="24"/>
          <w:lang w:val="zh-CN"/>
        </w:rPr>
      </w:pPr>
    </w:p>
    <w:p>
      <w:pPr>
        <w:pStyle w:val="3"/>
        <w:bidi w:val="0"/>
        <w:outlineLvl w:val="9"/>
        <w:rPr>
          <w:rFonts w:hint="eastAsia" w:ascii="黑体" w:hAnsi="黑体" w:eastAsia="黑体"/>
          <w:color w:val="000000"/>
          <w:kern w:val="2"/>
          <w:sz w:val="32"/>
          <w:szCs w:val="24"/>
          <w:lang w:val="zh-CN"/>
        </w:rPr>
      </w:pPr>
    </w:p>
    <w:p>
      <w:pPr>
        <w:pStyle w:val="3"/>
        <w:bidi w:val="0"/>
        <w:rPr>
          <w:rFonts w:hint="eastAsia" w:ascii="黑体" w:hAnsi="黑体" w:eastAsia="黑体"/>
          <w:color w:val="auto"/>
          <w:kern w:val="2"/>
          <w:sz w:val="32"/>
          <w:szCs w:val="24"/>
          <w:lang w:val="zh-CN"/>
        </w:rPr>
      </w:pPr>
      <w:bookmarkStart w:id="17" w:name="_Toc26562"/>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15"/>
      <w:bookmarkEnd w:id="16"/>
      <w:bookmarkEnd w:id="17"/>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lang w:val="zh-CN"/>
        </w:rPr>
      </w:pPr>
      <w:r>
        <w:rPr>
          <w:rFonts w:hint="eastAsia" w:ascii="Times New Roman" w:hAnsi="Times New Roman"/>
          <w:lang w:val="zh-CN"/>
        </w:rPr>
        <w:t>2022年本年收入合计393.76万元，其中：一般公共预算财政拨款收入393.76万元，占100%。</w:t>
      </w:r>
    </w:p>
    <w:p>
      <w:pPr>
        <w:spacing w:line="600" w:lineRule="exact"/>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（注：数据来源于财决01表，仅罗列本</w:t>
      </w:r>
      <w:r>
        <w:rPr>
          <w:rFonts w:hint="eastAsia" w:ascii="仿宋" w:hAnsi="仿宋"/>
          <w:b/>
          <w:color w:val="auto"/>
          <w:kern w:val="2"/>
          <w:sz w:val="32"/>
          <w:szCs w:val="24"/>
          <w:lang w:val="en-US" w:eastAsia="zh-CN"/>
        </w:rPr>
        <w:t>部门</w:t>
      </w:r>
      <w:r>
        <w:rPr>
          <w:rFonts w:hint="eastAsia" w:ascii="仿宋" w:hAnsi="仿宋" w:eastAsia="仿宋"/>
          <w:b/>
          <w:color w:val="auto"/>
          <w:kern w:val="2"/>
          <w:sz w:val="32"/>
          <w:szCs w:val="24"/>
          <w:lang w:val="en-US"/>
        </w:rPr>
        <w:t>涉及的收入。）</w:t>
      </w:r>
    </w:p>
    <w:p>
      <w:pPr>
        <w:spacing w:line="600" w:lineRule="exact"/>
        <w:ind w:firstLine="640"/>
        <w:jc w:val="both"/>
        <w:rPr>
          <w:rFonts w:hint="eastAsia" w:ascii="仿宋" w:hAnsi="仿宋" w:eastAsia="仿宋"/>
          <w:color w:val="auto"/>
          <w:kern w:val="2"/>
          <w:sz w:val="32"/>
          <w:szCs w:val="24"/>
          <w:lang w:val="en-US"/>
        </w:rPr>
      </w:pPr>
      <w:r>
        <w:rPr>
          <w:rFonts w:hint="eastAsia" w:ascii="Times New Roman" w:hAnsi="Times New Roman"/>
          <w:lang w:val="en-US"/>
        </w:rPr>
        <w:t>（图2：收入决算结构图）（饼状图）</w:t>
      </w:r>
    </w:p>
    <w:p>
      <w:pPr>
        <w:spacing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anchor distT="0" distB="0" distL="114300" distR="114300" simplePos="0" relativeHeight="251660288" behindDoc="0" locked="0" layoutInCell="1" allowOverlap="1">
            <wp:simplePos x="0" y="0"/>
            <wp:positionH relativeFrom="column">
              <wp:posOffset>482600</wp:posOffset>
            </wp:positionH>
            <wp:positionV relativeFrom="paragraph">
              <wp:posOffset>15875</wp:posOffset>
            </wp:positionV>
            <wp:extent cx="4074795" cy="1599565"/>
            <wp:effectExtent l="4445" t="4445" r="16510" b="1524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pStyle w:val="3"/>
        <w:bidi w:val="0"/>
        <w:rPr>
          <w:rFonts w:hint="eastAsia" w:ascii="黑体" w:hAnsi="黑体" w:eastAsia="黑体"/>
          <w:color w:val="auto"/>
          <w:kern w:val="2"/>
          <w:sz w:val="32"/>
          <w:szCs w:val="24"/>
          <w:lang w:val="zh-CN"/>
        </w:rPr>
      </w:pPr>
      <w:bookmarkStart w:id="18" w:name="_Toc9492"/>
      <w:bookmarkStart w:id="19" w:name="_Toc18374"/>
      <w:bookmarkStart w:id="20" w:name="_Toc18054"/>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bookmarkEnd w:id="18"/>
      <w:bookmarkEnd w:id="19"/>
      <w:bookmarkEnd w:id="20"/>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lang w:val="zh-CN"/>
        </w:rPr>
      </w:pPr>
      <w:r>
        <w:rPr>
          <w:rFonts w:hint="eastAsia" w:ascii="Times New Roman" w:hAnsi="Times New Roman"/>
          <w:lang w:val="zh-CN"/>
        </w:rPr>
        <w:t>2022年本年支出合计398.26万元，其中：基本支出354.72万元，占89.1%；项目支出43.54万元，占10.9%。</w:t>
      </w:r>
    </w:p>
    <w:p>
      <w:pPr>
        <w:spacing w:line="600" w:lineRule="exact"/>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（注：数据来源于财决04表，仅罗列本</w:t>
      </w:r>
      <w:r>
        <w:rPr>
          <w:rFonts w:hint="eastAsia" w:ascii="仿宋" w:hAnsi="仿宋"/>
          <w:b/>
          <w:color w:val="auto"/>
          <w:kern w:val="2"/>
          <w:sz w:val="32"/>
          <w:szCs w:val="24"/>
          <w:lang w:val="en-US" w:eastAsia="zh-CN"/>
        </w:rPr>
        <w:t>部门</w:t>
      </w:r>
      <w:r>
        <w:rPr>
          <w:rFonts w:hint="eastAsia" w:ascii="仿宋" w:hAnsi="仿宋" w:eastAsia="仿宋"/>
          <w:b/>
          <w:color w:val="auto"/>
          <w:kern w:val="2"/>
          <w:sz w:val="32"/>
          <w:szCs w:val="24"/>
          <w:lang w:val="en-US"/>
        </w:rPr>
        <w:t>涉及的支出。）</w: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spacing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anchor distT="0" distB="0" distL="114300" distR="114300" simplePos="0" relativeHeight="251661312" behindDoc="0" locked="0" layoutInCell="1" allowOverlap="1">
            <wp:simplePos x="0" y="0"/>
            <wp:positionH relativeFrom="column">
              <wp:posOffset>593090</wp:posOffset>
            </wp:positionH>
            <wp:positionV relativeFrom="paragraph">
              <wp:posOffset>236220</wp:posOffset>
            </wp:positionV>
            <wp:extent cx="2726055" cy="2037080"/>
            <wp:effectExtent l="4445" t="4445" r="12700" b="1587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keepNext/>
        <w:keepLines/>
        <w:spacing w:line="576" w:lineRule="exact"/>
        <w:jc w:val="both"/>
        <w:rPr>
          <w:rFonts w:hint="eastAsia" w:ascii="黑体" w:hAnsi="黑体" w:eastAsia="黑体"/>
          <w:color w:val="000000"/>
          <w:kern w:val="2"/>
          <w:sz w:val="32"/>
          <w:szCs w:val="24"/>
          <w:lang w:val="zh-CN"/>
        </w:rPr>
      </w:pPr>
    </w:p>
    <w:p>
      <w:pPr>
        <w:pStyle w:val="3"/>
        <w:bidi w:val="0"/>
        <w:ind w:left="0" w:leftChars="0" w:firstLine="0" w:firstLineChars="0"/>
        <w:outlineLvl w:val="9"/>
        <w:rPr>
          <w:rFonts w:hint="eastAsia" w:ascii="黑体" w:hAnsi="黑体" w:eastAsia="黑体"/>
          <w:color w:val="000000"/>
          <w:kern w:val="2"/>
          <w:sz w:val="32"/>
          <w:szCs w:val="24"/>
          <w:lang w:val="zh-CN"/>
        </w:rPr>
      </w:pPr>
      <w:bookmarkStart w:id="21" w:name="_Toc7388"/>
    </w:p>
    <w:p>
      <w:pPr>
        <w:pStyle w:val="3"/>
        <w:bidi w:val="0"/>
        <w:ind w:left="0" w:leftChars="0" w:firstLine="640" w:firstLineChars="200"/>
        <w:outlineLvl w:val="9"/>
        <w:rPr>
          <w:rFonts w:hint="eastAsia" w:ascii="黑体" w:hAnsi="黑体" w:eastAsia="黑体"/>
          <w:color w:val="000000"/>
          <w:kern w:val="2"/>
          <w:sz w:val="32"/>
          <w:szCs w:val="24"/>
          <w:lang w:val="zh-CN"/>
        </w:rPr>
      </w:pPr>
      <w:bookmarkStart w:id="22" w:name="_Toc26425"/>
    </w:p>
    <w:p>
      <w:pPr>
        <w:pStyle w:val="3"/>
        <w:bidi w:val="0"/>
        <w:ind w:left="0" w:leftChars="0" w:firstLine="640" w:firstLineChars="200"/>
        <w:rPr>
          <w:rFonts w:hint="eastAsia" w:ascii="黑体" w:hAnsi="黑体" w:eastAsia="黑体"/>
          <w:color w:val="auto"/>
          <w:kern w:val="2"/>
          <w:sz w:val="32"/>
          <w:szCs w:val="24"/>
          <w:lang w:val="zh-CN"/>
        </w:rPr>
      </w:pPr>
      <w:bookmarkStart w:id="23" w:name="_Toc12624"/>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21"/>
      <w:bookmarkEnd w:id="22"/>
      <w:bookmarkEnd w:id="23"/>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lang w:val="zh-CN"/>
        </w:rPr>
      </w:pPr>
      <w:r>
        <w:rPr>
          <w:rFonts w:hint="eastAsia" w:ascii="Times New Roman" w:hAnsi="Times New Roman"/>
          <w:lang w:val="zh-CN"/>
        </w:rPr>
        <w:t>2022年财政拨款收、支总计398.26万元。与2021年相比，财政拨款收、支总计各增加136.52万元，增长52.2%。主要变动原因是</w:t>
      </w:r>
      <w:r>
        <w:rPr>
          <w:rFonts w:hint="eastAsia" w:ascii="Times New Roman" w:hAnsi="Times New Roman"/>
          <w:lang w:val="en-US" w:eastAsia="zh-CN"/>
        </w:rPr>
        <w:t>人员增加、工资调标、发放基础性绩效等</w:t>
      </w:r>
      <w:r>
        <w:rPr>
          <w:rFonts w:hint="eastAsia" w:ascii="Times New Roman" w:hAnsi="Times New Roman"/>
          <w:lang w:val="zh-CN"/>
        </w:rPr>
        <w:t>。</w:t>
      </w:r>
    </w:p>
    <w:p>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（注：数据来源于财决01-1表）</w: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（图4：财政拨款收、支决算总计变动情况）（柱状图）</w:t>
      </w:r>
    </w:p>
    <w:p>
      <w:pPr>
        <w:spacing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anchor distT="0" distB="0" distL="114300" distR="114300" simplePos="0" relativeHeight="251662336" behindDoc="0" locked="0" layoutInCell="1" allowOverlap="1">
            <wp:simplePos x="0" y="0"/>
            <wp:positionH relativeFrom="column">
              <wp:posOffset>274955</wp:posOffset>
            </wp:positionH>
            <wp:positionV relativeFrom="paragraph">
              <wp:posOffset>194310</wp:posOffset>
            </wp:positionV>
            <wp:extent cx="2646680" cy="2044065"/>
            <wp:effectExtent l="4445" t="4445" r="1587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黑体" w:hAnsi="黑体" w:eastAsia="黑体"/>
          <w:color w:val="000000"/>
          <w:kern w:val="2"/>
          <w:sz w:val="32"/>
          <w:szCs w:val="24"/>
          <w:lang w:val="zh-CN"/>
        </w:rPr>
      </w:pPr>
    </w:p>
    <w:p>
      <w:pPr>
        <w:pStyle w:val="3"/>
        <w:bidi w:val="0"/>
        <w:rPr>
          <w:rFonts w:hint="eastAsia"/>
          <w:lang w:val="zh-CN"/>
        </w:rPr>
      </w:pPr>
      <w:bookmarkStart w:id="24" w:name="_Toc4084"/>
      <w:bookmarkStart w:id="25" w:name="_Toc3067"/>
      <w:bookmarkStart w:id="26" w:name="_Toc6698"/>
      <w:r>
        <w:rPr>
          <w:rFonts w:hint="eastAsia"/>
          <w:lang w:val="zh-CN"/>
        </w:rPr>
        <w:t>五、一般公共预算财政拨款支出决算情况说明</w:t>
      </w:r>
      <w:bookmarkEnd w:id="24"/>
      <w:bookmarkEnd w:id="25"/>
      <w:bookmarkEnd w:id="26"/>
    </w:p>
    <w:p>
      <w:pPr>
        <w:pStyle w:val="4"/>
        <w:bidi w:val="0"/>
        <w:ind w:firstLine="642" w:firstLineChars="200"/>
        <w:rPr>
          <w:rFonts w:hint="eastAsia"/>
          <w:lang w:val="zh-CN"/>
        </w:rPr>
      </w:pPr>
      <w:bookmarkStart w:id="27" w:name="_Toc14901"/>
      <w:bookmarkStart w:id="28" w:name="_Toc7529"/>
      <w:r>
        <w:rPr>
          <w:rFonts w:hint="eastAsia"/>
          <w:lang w:val="zh-CN"/>
        </w:rPr>
        <w:t>（一）一般公共预算财政拨款支出决算总体情况。</w:t>
      </w:r>
      <w:bookmarkEnd w:id="27"/>
      <w:bookmarkEnd w:id="28"/>
    </w:p>
    <w:p>
      <w:pPr>
        <w:keepNext/>
        <w:keepLines/>
        <w:spacing w:line="576"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2022年一般公共预算财政拨款支出398.26万元，占本年支出合计的100%。与2021年相比，一般公共预算财政拨款支出增加136.52万元，增长52.2%。主要变动原因是</w:t>
      </w:r>
      <w:r>
        <w:rPr>
          <w:rFonts w:hint="eastAsia" w:ascii="仿宋_GB2312" w:hAnsi="仿宋_GB2312" w:eastAsia="仿宋_GB2312"/>
          <w:color w:val="000000"/>
          <w:kern w:val="2"/>
          <w:sz w:val="32"/>
          <w:szCs w:val="24"/>
          <w:lang w:val="en-US" w:eastAsia="zh-CN"/>
        </w:rPr>
        <w:t>人员增加、工资调标、发放基础性绩效等</w:t>
      </w:r>
      <w:r>
        <w:rPr>
          <w:rFonts w:hint="eastAsia" w:ascii="仿宋_GB2312" w:hAnsi="仿宋_GB2312" w:eastAsia="仿宋_GB2312"/>
          <w:color w:val="000000"/>
          <w:kern w:val="2"/>
          <w:sz w:val="32"/>
          <w:szCs w:val="24"/>
          <w:lang w:val="zh-CN"/>
        </w:rPr>
        <w:t>。</w: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drawing>
          <wp:anchor distT="0" distB="0" distL="114300" distR="114300" simplePos="0" relativeHeight="251663360" behindDoc="0" locked="0" layoutInCell="1" allowOverlap="1">
            <wp:simplePos x="0" y="0"/>
            <wp:positionH relativeFrom="column">
              <wp:posOffset>665480</wp:posOffset>
            </wp:positionH>
            <wp:positionV relativeFrom="paragraph">
              <wp:posOffset>-273050</wp:posOffset>
            </wp:positionV>
            <wp:extent cx="2646680" cy="2044065"/>
            <wp:effectExtent l="4445" t="4445" r="1587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keepLines/>
        <w:spacing w:line="576" w:lineRule="exact"/>
        <w:ind w:firstLine="642" w:firstLineChars="200"/>
        <w:jc w:val="both"/>
        <w:rPr>
          <w:rFonts w:hint="eastAsia" w:ascii="仿宋_GB2312" w:hAnsi="仿宋_GB2312" w:eastAsia="仿宋_GB2312"/>
          <w:b/>
          <w:color w:val="000000"/>
          <w:kern w:val="2"/>
          <w:sz w:val="32"/>
          <w:szCs w:val="24"/>
          <w:lang w:val="zh-CN"/>
        </w:rPr>
      </w:pPr>
    </w:p>
    <w:p>
      <w:pPr>
        <w:keepNext/>
        <w:keepLines/>
        <w:spacing w:line="576" w:lineRule="exact"/>
        <w:ind w:firstLine="642" w:firstLineChars="200"/>
        <w:jc w:val="both"/>
        <w:rPr>
          <w:rFonts w:hint="eastAsia" w:ascii="仿宋_GB2312" w:hAnsi="仿宋_GB2312" w:eastAsia="仿宋_GB2312"/>
          <w:b/>
          <w:color w:val="000000"/>
          <w:kern w:val="2"/>
          <w:sz w:val="32"/>
          <w:szCs w:val="24"/>
          <w:lang w:val="zh-CN"/>
        </w:rPr>
      </w:pPr>
    </w:p>
    <w:p>
      <w:pPr>
        <w:keepNext/>
        <w:keepLines/>
        <w:spacing w:line="576" w:lineRule="exact"/>
        <w:ind w:firstLine="642" w:firstLineChars="200"/>
        <w:jc w:val="both"/>
        <w:rPr>
          <w:rFonts w:hint="eastAsia" w:ascii="仿宋_GB2312" w:hAnsi="仿宋_GB2312" w:eastAsia="仿宋_GB2312"/>
          <w:b/>
          <w:color w:val="000000"/>
          <w:kern w:val="2"/>
          <w:sz w:val="32"/>
          <w:szCs w:val="24"/>
          <w:lang w:val="zh-CN"/>
        </w:rPr>
      </w:pPr>
    </w:p>
    <w:p>
      <w:pPr>
        <w:pStyle w:val="4"/>
        <w:bidi w:val="0"/>
        <w:ind w:firstLine="321" w:firstLineChars="100"/>
        <w:rPr>
          <w:rFonts w:hint="eastAsia" w:ascii="Times New Roman" w:hAnsi="Times New Roman"/>
          <w:lang w:val="zh-CN"/>
        </w:rPr>
      </w:pPr>
      <w:bookmarkStart w:id="29" w:name="_Toc3821"/>
      <w:bookmarkStart w:id="30" w:name="_Toc14427"/>
      <w:r>
        <w:rPr>
          <w:rFonts w:hint="eastAsia" w:ascii="Times New Roman" w:hAnsi="Times New Roman"/>
          <w:lang w:val="zh-CN"/>
        </w:rPr>
        <w:t>（二）一般公共预算财政拨款支出决算结构情况。</w:t>
      </w:r>
      <w:bookmarkEnd w:id="29"/>
      <w:bookmarkEnd w:id="30"/>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2022年一般公共预算财政拨款支出398.26万元，主要用于以下方面: 一般公共服务支出329.28万元，占82.7%；社会保障和就业支出28万元，占7%；卫生健康支出13.66万元，占3.4%；住房保障支出27.33万元，占6.9%。</w:t>
      </w:r>
    </w:p>
    <w:p>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（注：数据来源于财决01-1表</w:t>
      </w:r>
      <w:r>
        <w:rPr>
          <w:rFonts w:hint="eastAsia" w:ascii="仿宋" w:hAnsi="仿宋"/>
          <w:b/>
          <w:color w:val="auto"/>
          <w:kern w:val="2"/>
          <w:sz w:val="32"/>
          <w:szCs w:val="24"/>
          <w:lang w:val="en-US" w:eastAsia="zh-CN"/>
        </w:rPr>
        <w:t>。</w:t>
      </w:r>
      <w:r>
        <w:rPr>
          <w:rFonts w:hint="eastAsia" w:ascii="仿宋" w:hAnsi="仿宋" w:eastAsia="仿宋"/>
          <w:b/>
          <w:color w:val="auto"/>
          <w:kern w:val="2"/>
          <w:sz w:val="32"/>
          <w:szCs w:val="24"/>
          <w:lang w:val="en-US"/>
        </w:rPr>
        <w:t>）</w: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spacing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anchor distT="0" distB="0" distL="114300" distR="114300" simplePos="0" relativeHeight="251664384" behindDoc="0" locked="0" layoutInCell="1" allowOverlap="1">
            <wp:simplePos x="0" y="0"/>
            <wp:positionH relativeFrom="column">
              <wp:posOffset>926465</wp:posOffset>
            </wp:positionH>
            <wp:positionV relativeFrom="paragraph">
              <wp:posOffset>8255</wp:posOffset>
            </wp:positionV>
            <wp:extent cx="2811780" cy="1932940"/>
            <wp:effectExtent l="4445" t="5080" r="22225" b="50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numPr>
          <w:ilvl w:val="0"/>
          <w:numId w:val="3"/>
        </w:numPr>
        <w:spacing w:line="600" w:lineRule="exact"/>
        <w:ind w:firstLine="640"/>
        <w:jc w:val="both"/>
        <w:outlineLvl w:val="2"/>
        <w:rPr>
          <w:rFonts w:hint="eastAsia" w:ascii="仿宋_GB2312" w:hAnsi="仿宋_GB2312" w:eastAsia="仿宋_GB2312"/>
          <w:b/>
          <w:color w:val="000000"/>
          <w:kern w:val="2"/>
          <w:sz w:val="32"/>
          <w:szCs w:val="24"/>
          <w:lang w:val="zh-CN"/>
        </w:rPr>
      </w:pPr>
      <w:bookmarkStart w:id="31" w:name="_Toc6367"/>
      <w:r>
        <w:rPr>
          <w:rFonts w:hint="eastAsia" w:ascii="仿宋_GB2312" w:hAnsi="仿宋_GB2312" w:eastAsia="仿宋_GB2312"/>
          <w:b/>
          <w:color w:val="000000"/>
          <w:kern w:val="2"/>
          <w:sz w:val="32"/>
          <w:szCs w:val="24"/>
          <w:lang w:val="zh-CN"/>
        </w:rPr>
        <w:t>一般公共预算财政拨款支出决算具体情况。</w:t>
      </w:r>
      <w:bookmarkEnd w:id="31"/>
    </w:p>
    <w:p>
      <w:pPr>
        <w:numPr>
          <w:ilvl w:val="0"/>
          <w:numId w:val="0"/>
        </w:numPr>
        <w:spacing w:line="600" w:lineRule="exact"/>
        <w:ind w:firstLine="963" w:firstLineChars="3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2022年一般公共预算支出决算数为398.26万元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numPr>
          <w:ilvl w:val="0"/>
          <w:numId w:val="4"/>
        </w:numPr>
        <w:spacing w:line="600" w:lineRule="exact"/>
        <w:ind w:firstLine="963" w:firstLineChars="3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工资福利支出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基本工资</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98.82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4"/>
        </w:numPr>
        <w:spacing w:line="600" w:lineRule="exact"/>
        <w:ind w:left="0" w:leftChars="0" w:firstLine="963" w:firstLineChars="3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工资福利支出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津贴补贴</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56.10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0"/>
        </w:numPr>
        <w:spacing w:line="240" w:lineRule="auto"/>
        <w:ind w:firstLine="642"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3.一般公共服务支出（类）</w:t>
      </w:r>
      <w:r>
        <w:rPr>
          <w:rFonts w:hint="eastAsia" w:ascii="仿宋_GB2312" w:hAnsi="仿宋_GB2312" w:eastAsia="仿宋_GB2312"/>
          <w:b/>
          <w:color w:val="000000"/>
          <w:kern w:val="2"/>
          <w:sz w:val="32"/>
          <w:szCs w:val="24"/>
          <w:lang w:val="en-US" w:eastAsia="zh-CN"/>
        </w:rPr>
        <w:t>工资福利支出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奖金</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73.73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4.一般公共服务支出（类）</w:t>
      </w:r>
      <w:r>
        <w:rPr>
          <w:rFonts w:hint="eastAsia" w:ascii="仿宋_GB2312" w:hAnsi="仿宋_GB2312" w:eastAsia="仿宋_GB2312"/>
          <w:b/>
          <w:color w:val="000000"/>
          <w:kern w:val="2"/>
          <w:sz w:val="32"/>
          <w:szCs w:val="24"/>
          <w:lang w:val="en-US" w:eastAsia="zh-CN"/>
        </w:rPr>
        <w:t>工资福利支出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绩效工资</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14.00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pStyle w:val="9"/>
        <w:spacing w:beforeLines="50"/>
        <w:ind w:left="0" w:leftChars="0" w:firstLine="640" w:firstLineChars="0"/>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工资福利支出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其他社会</w:t>
      </w:r>
    </w:p>
    <w:p>
      <w:pPr>
        <w:pStyle w:val="9"/>
        <w:spacing w:beforeLines="76"/>
        <w:ind w:left="0" w:leftChars="0" w:firstLine="0" w:firstLineChars="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保障缴费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0.99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50" w:afterLines="50"/>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办公费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58.39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印刷费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8</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水费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0.20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ind w:left="0" w:leftChars="0" w:firstLine="640" w:firstLineChars="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9</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电费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0.50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10</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邮电费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0.30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11</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差旅费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6.00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12</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公务接待费</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13</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商品和服务支出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其他交通费用</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17.21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9"/>
        <w:spacing w:beforeLines="76"/>
        <w:ind w:left="0" w:leftChars="0" w:firstLine="642" w:firstLineChars="200"/>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14</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对个人和家庭的补助</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奖励金</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0.05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line="576" w:lineRule="exact"/>
        <w:ind w:firstLine="642"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5.社会保障和就业支出（类）工资福利支出（款）机关事业</w:t>
      </w:r>
      <w:r>
        <w:rPr>
          <w:rFonts w:hint="eastAsia" w:ascii="仿宋_GB2312" w:hAnsi="仿宋_GB2312" w:eastAsia="仿宋_GB2312"/>
          <w:b/>
          <w:color w:val="000000"/>
          <w:kern w:val="2"/>
          <w:sz w:val="32"/>
          <w:szCs w:val="24"/>
          <w:lang w:val="en-US" w:eastAsia="zh-CN"/>
        </w:rPr>
        <w:t>部门</w:t>
      </w:r>
      <w:r>
        <w:rPr>
          <w:rFonts w:hint="eastAsia" w:ascii="仿宋_GB2312" w:hAnsi="仿宋_GB2312" w:eastAsia="仿宋_GB2312"/>
          <w:b/>
          <w:color w:val="000000"/>
          <w:kern w:val="2"/>
          <w:sz w:val="32"/>
          <w:szCs w:val="24"/>
          <w:lang w:val="en-US"/>
        </w:rPr>
        <w:t>基本养老保险费（项）: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28.00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6.卫生健康支出（类）工资福利支出（款）职工基本医疗保险缴费（项）: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13.66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spacing w:line="600" w:lineRule="exact"/>
        <w:ind w:firstLine="643"/>
        <w:jc w:val="both"/>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17</w:t>
      </w:r>
      <w:r>
        <w:rPr>
          <w:rFonts w:hint="eastAsia" w:ascii="仿宋_GB2312" w:hAnsi="仿宋_GB2312" w:eastAsia="仿宋_GB2312"/>
          <w:b/>
          <w:color w:val="000000"/>
          <w:kern w:val="2"/>
          <w:sz w:val="32"/>
          <w:szCs w:val="24"/>
          <w:lang w:val="en-US"/>
        </w:rPr>
        <w:t>.</w:t>
      </w:r>
      <w:r>
        <w:rPr>
          <w:rFonts w:hint="eastAsia" w:ascii="仿宋_GB2312" w:hAnsi="仿宋_GB2312" w:eastAsia="仿宋_GB2312"/>
          <w:b/>
          <w:color w:val="000000"/>
          <w:kern w:val="2"/>
          <w:sz w:val="32"/>
          <w:szCs w:val="24"/>
          <w:lang w:val="en-US" w:eastAsia="zh-CN"/>
        </w:rPr>
        <w:t>住房保障</w:t>
      </w:r>
      <w:r>
        <w:rPr>
          <w:rFonts w:hint="eastAsia" w:ascii="仿宋_GB2312" w:hAnsi="仿宋_GB2312" w:eastAsia="仿宋_GB2312"/>
          <w:b/>
          <w:color w:val="000000"/>
          <w:kern w:val="2"/>
          <w:sz w:val="32"/>
          <w:szCs w:val="24"/>
          <w:lang w:val="en-US"/>
        </w:rPr>
        <w:t>支出（类）工资福利支出（款）</w:t>
      </w:r>
      <w:r>
        <w:rPr>
          <w:rFonts w:hint="eastAsia" w:ascii="仿宋_GB2312" w:hAnsi="仿宋_GB2312" w:eastAsia="仿宋_GB2312"/>
          <w:b/>
          <w:color w:val="000000"/>
          <w:kern w:val="2"/>
          <w:sz w:val="32"/>
          <w:szCs w:val="24"/>
          <w:lang w:val="en-US" w:eastAsia="zh-CN"/>
        </w:rPr>
        <w:t>住房公积金</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27.33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spacing w:line="600" w:lineRule="exact"/>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（注：数据来源于财决01-1表和财决08表</w:t>
      </w:r>
      <w:r>
        <w:rPr>
          <w:rFonts w:hint="eastAsia" w:ascii="仿宋" w:hAnsi="仿宋"/>
          <w:b/>
          <w:color w:val="auto"/>
          <w:kern w:val="2"/>
          <w:sz w:val="32"/>
          <w:szCs w:val="24"/>
          <w:lang w:val="en-US" w:eastAsia="zh-CN"/>
        </w:rPr>
        <w:t>。</w:t>
      </w:r>
      <w:r>
        <w:rPr>
          <w:rFonts w:hint="eastAsia" w:ascii="仿宋" w:hAnsi="仿宋" w:eastAsia="仿宋"/>
          <w:b/>
          <w:color w:val="auto"/>
          <w:kern w:val="2"/>
          <w:sz w:val="32"/>
          <w:szCs w:val="24"/>
          <w:lang w:val="en-US"/>
        </w:rPr>
        <w:t>）</w:t>
      </w:r>
    </w:p>
    <w:p>
      <w:pPr>
        <w:pStyle w:val="3"/>
        <w:bidi w:val="0"/>
        <w:rPr>
          <w:rFonts w:hint="default" w:ascii="Cambria" w:hAnsi="Cambria" w:eastAsia="Cambria"/>
          <w:b/>
          <w:color w:val="auto"/>
          <w:kern w:val="2"/>
          <w:sz w:val="32"/>
          <w:szCs w:val="24"/>
          <w:lang w:val="zh-CN"/>
        </w:rPr>
      </w:pPr>
      <w:bookmarkStart w:id="32" w:name="_Toc12640"/>
      <w:bookmarkStart w:id="33" w:name="_Toc16995"/>
      <w:bookmarkStart w:id="34" w:name="_Toc26535"/>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bookmarkEnd w:id="32"/>
      <w:bookmarkEnd w:id="33"/>
      <w:bookmarkEnd w:id="34"/>
      <w:r>
        <w:rPr>
          <w:rFonts w:hint="eastAsia" w:ascii="黑体" w:hAnsi="黑体" w:eastAsia="黑体"/>
          <w:color w:val="auto"/>
          <w:kern w:val="2"/>
          <w:sz w:val="32"/>
          <w:szCs w:val="24"/>
          <w:lang w:val="zh-CN"/>
        </w:rPr>
        <w:tab/>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2022年一般公共预算财政拨款基本支出354.72万元，其中：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312.67万元，主要包括：</w:t>
      </w:r>
      <w:r>
        <w:rPr>
          <w:rFonts w:hint="eastAsia" w:ascii="仿宋" w:hAnsi="仿宋" w:eastAsia="仿宋"/>
          <w:color w:val="auto"/>
          <w:kern w:val="2"/>
          <w:sz w:val="32"/>
          <w:szCs w:val="24"/>
          <w:lang w:val="en-US"/>
        </w:rPr>
        <w:t>基本工资、津贴补贴、奖金、伙食补助费、绩效工资、机关事业</w:t>
      </w:r>
      <w:r>
        <w:rPr>
          <w:rFonts w:hint="eastAsia" w:ascii="仿宋" w:hAnsi="仿宋"/>
          <w:color w:val="auto"/>
          <w:kern w:val="2"/>
          <w:sz w:val="32"/>
          <w:szCs w:val="24"/>
          <w:lang w:val="en-US" w:eastAsia="zh-CN"/>
        </w:rPr>
        <w:t>部门</w:t>
      </w:r>
      <w:r>
        <w:rPr>
          <w:rFonts w:hint="eastAsia" w:ascii="仿宋" w:hAnsi="仿宋" w:eastAsia="仿宋"/>
          <w:color w:val="auto"/>
          <w:kern w:val="2"/>
          <w:sz w:val="32"/>
          <w:szCs w:val="24"/>
          <w:lang w:val="en-US"/>
        </w:rPr>
        <w:t>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42.06万元，主要包括：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spacing w:line="600" w:lineRule="exact"/>
        <w:ind w:firstLine="645"/>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（注：数据来源于财决07表和财决08-1表</w:t>
      </w:r>
      <w:r>
        <w:rPr>
          <w:rFonts w:hint="eastAsia" w:ascii="仿宋" w:hAnsi="仿宋"/>
          <w:b/>
          <w:color w:val="auto"/>
          <w:kern w:val="2"/>
          <w:sz w:val="32"/>
          <w:szCs w:val="24"/>
          <w:lang w:val="en-US" w:eastAsia="zh-CN"/>
        </w:rPr>
        <w:t>。</w:t>
      </w:r>
      <w:r>
        <w:rPr>
          <w:rFonts w:hint="eastAsia" w:ascii="仿宋" w:hAnsi="仿宋" w:eastAsia="仿宋"/>
          <w:b/>
          <w:color w:val="auto"/>
          <w:kern w:val="2"/>
          <w:sz w:val="32"/>
          <w:szCs w:val="24"/>
          <w:lang w:val="en-US"/>
        </w:rPr>
        <w:t>）</w:t>
      </w:r>
    </w:p>
    <w:p>
      <w:pPr>
        <w:pStyle w:val="3"/>
        <w:numPr>
          <w:ilvl w:val="0"/>
          <w:numId w:val="5"/>
        </w:numPr>
        <w:bidi w:val="0"/>
        <w:rPr>
          <w:rFonts w:hint="eastAsia" w:ascii="黑体" w:hAnsi="黑体" w:eastAsia="黑体"/>
          <w:color w:val="auto"/>
          <w:kern w:val="2"/>
          <w:sz w:val="32"/>
          <w:szCs w:val="24"/>
          <w:lang w:val="zh-CN"/>
        </w:rPr>
      </w:pPr>
      <w:bookmarkStart w:id="35" w:name="_Toc25518"/>
      <w:bookmarkStart w:id="36" w:name="_Toc6370"/>
      <w:bookmarkStart w:id="37" w:name="_Toc7152"/>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35"/>
      <w:bookmarkEnd w:id="36"/>
      <w:bookmarkEnd w:id="37"/>
      <w:bookmarkStart w:id="38" w:name="_Toc4534"/>
    </w:p>
    <w:p>
      <w:pPr>
        <w:pStyle w:val="3"/>
        <w:numPr>
          <w:ilvl w:val="0"/>
          <w:numId w:val="0"/>
        </w:numPr>
        <w:bidi w:val="0"/>
        <w:ind w:firstLine="640" w:firstLineChars="200"/>
        <w:rPr>
          <w:rFonts w:hint="eastAsia" w:ascii="Times New Roman" w:hAnsi="Times New Roman"/>
          <w:lang w:val="zh-CN"/>
        </w:rPr>
      </w:pPr>
      <w:bookmarkStart w:id="39" w:name="_Toc29115"/>
      <w:r>
        <w:rPr>
          <w:rFonts w:hint="eastAsia"/>
          <w:lang w:val="zh-CN"/>
        </w:rPr>
        <w:t>（</w:t>
      </w:r>
      <w:r>
        <w:rPr>
          <w:rFonts w:hint="eastAsia"/>
          <w:lang w:val="en-US" w:eastAsia="zh-CN"/>
        </w:rPr>
        <w:t>一</w:t>
      </w:r>
      <w:r>
        <w:rPr>
          <w:rFonts w:hint="eastAsia"/>
          <w:lang w:val="zh-CN"/>
        </w:rPr>
        <w:t>）</w:t>
      </w:r>
      <w:r>
        <w:rPr>
          <w:rFonts w:hint="eastAsia" w:ascii="Times New Roman" w:hAnsi="Times New Roman"/>
          <w:lang w:val="zh-CN"/>
        </w:rPr>
        <w:t>“三公”经费财政拨款支出决算总体情况说明</w:t>
      </w:r>
      <w:bookmarkEnd w:id="38"/>
      <w:bookmarkEnd w:id="39"/>
    </w:p>
    <w:p>
      <w:pPr>
        <w:pStyle w:val="3"/>
        <w:numPr>
          <w:ilvl w:val="0"/>
          <w:numId w:val="0"/>
        </w:numPr>
        <w:bidi w:val="0"/>
        <w:ind w:left="0" w:leftChars="0" w:firstLine="640" w:firstLineChars="200"/>
        <w:rPr>
          <w:rFonts w:hint="eastAsia" w:ascii="仿宋_GB2312" w:hAnsi="仿宋_GB2312" w:eastAsia="仿宋_GB2312"/>
          <w:color w:val="000000"/>
          <w:kern w:val="2"/>
          <w:sz w:val="32"/>
          <w:szCs w:val="24"/>
          <w:lang w:val="zh-CN"/>
        </w:rPr>
      </w:pPr>
      <w:bookmarkStart w:id="40" w:name="_Toc4547"/>
      <w:r>
        <w:rPr>
          <w:rFonts w:hint="eastAsia" w:ascii="仿宋_GB2312" w:hAnsi="仿宋_GB2312" w:eastAsia="仿宋_GB2312"/>
          <w:color w:val="000000"/>
          <w:kern w:val="2"/>
          <w:sz w:val="32"/>
          <w:szCs w:val="24"/>
          <w:lang w:val="zh-CN"/>
        </w:rPr>
        <w:t>2022年“三公”经费财政拨款支出决算为1万元，完成预算100%；较上年增加0.03万元，增长3.1%。决算数</w:t>
      </w:r>
      <w:r>
        <w:rPr>
          <w:rFonts w:hint="eastAsia" w:ascii="仿宋_GB2312" w:hAnsi="仿宋_GB2312" w:eastAsia="仿宋_GB2312"/>
          <w:color w:val="000000"/>
          <w:kern w:val="2"/>
          <w:sz w:val="32"/>
          <w:szCs w:val="24"/>
          <w:lang w:val="en-US"/>
        </w:rPr>
        <w:t>与预算数持平</w:t>
      </w:r>
      <w:r>
        <w:rPr>
          <w:rFonts w:hint="eastAsia" w:ascii="仿宋_GB2312" w:hAnsi="仿宋_GB2312" w:eastAsia="仿宋_GB2312"/>
          <w:color w:val="000000"/>
          <w:kern w:val="2"/>
          <w:sz w:val="32"/>
          <w:szCs w:val="24"/>
          <w:lang w:val="zh-CN"/>
        </w:rPr>
        <w:t>。</w:t>
      </w:r>
      <w:bookmarkEnd w:id="40"/>
    </w:p>
    <w:p>
      <w:pPr>
        <w:spacing w:line="600" w:lineRule="exact"/>
        <w:ind w:firstLine="640"/>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（注：上述“预算”口径为全年预算数，包括一般公共预算和政府性基金预算财政拨款支出决算情况。）</w:t>
      </w:r>
    </w:p>
    <w:p>
      <w:pPr>
        <w:pStyle w:val="4"/>
        <w:bidi w:val="0"/>
        <w:ind w:firstLine="642" w:firstLineChars="200"/>
        <w:rPr>
          <w:rFonts w:hint="eastAsia" w:ascii="Times New Roman" w:hAnsi="Times New Roman"/>
          <w:lang w:val="zh-CN"/>
        </w:rPr>
      </w:pPr>
      <w:bookmarkStart w:id="41" w:name="_Toc26590"/>
      <w:bookmarkStart w:id="42" w:name="_Toc17167"/>
      <w:r>
        <w:rPr>
          <w:rFonts w:hint="eastAsia" w:ascii="Times New Roman" w:hAnsi="Times New Roman"/>
          <w:lang w:val="zh-CN"/>
        </w:rPr>
        <w:t>（二）“三公”经费财政拨款支出决算具体情况说明</w:t>
      </w:r>
      <w:bookmarkEnd w:id="41"/>
      <w:bookmarkEnd w:id="42"/>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2022年“三公”经费财政拨款支出决算中，因公出国（境）费支出决算0万元，占0%；公务用车购置及运行维护费支出决算0万元，占0%；公务接待费支出决算1万元，占100%。具体情况如下：</w:t>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（图7：“三公”经费财政拨款支出结构）（饼状图）</w:t>
      </w:r>
    </w:p>
    <w:p>
      <w:pPr>
        <w:spacing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drawing>
          <wp:anchor distT="0" distB="0" distL="114300" distR="114300" simplePos="0" relativeHeight="251665408" behindDoc="0" locked="0" layoutInCell="1" allowOverlap="1">
            <wp:simplePos x="0" y="0"/>
            <wp:positionH relativeFrom="column">
              <wp:posOffset>903605</wp:posOffset>
            </wp:positionH>
            <wp:positionV relativeFrom="paragraph">
              <wp:posOffset>13970</wp:posOffset>
            </wp:positionV>
            <wp:extent cx="2383155" cy="2027555"/>
            <wp:effectExtent l="4445" t="4445" r="12700" b="635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spacing w:line="600" w:lineRule="exact"/>
        <w:ind w:firstLine="640"/>
        <w:jc w:val="both"/>
        <w:rPr>
          <w:rFonts w:hint="eastAsia" w:ascii="仿宋" w:hAnsi="仿宋" w:eastAsia="仿宋"/>
          <w:color w:val="auto"/>
          <w:kern w:val="2"/>
          <w:sz w:val="32"/>
          <w:szCs w:val="24"/>
          <w:lang w:val="en-US" w:eastAsia="zh-CN"/>
        </w:rPr>
      </w:pPr>
    </w:p>
    <w:p>
      <w:pPr>
        <w:numPr>
          <w:ilvl w:val="0"/>
          <w:numId w:val="0"/>
        </w:numPr>
        <w:spacing w:line="600" w:lineRule="exact"/>
        <w:ind w:firstLine="642"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支出0万元，完成预算0%。全年安排因公出国（境）团组0个，出国（境）0人。因公出国（境）支出决算比2021年</w:t>
      </w:r>
      <w:r>
        <w:rPr>
          <w:rFonts w:hint="eastAsia" w:ascii="仿宋_GB2312" w:hAnsi="仿宋_GB2312" w:eastAsia="仿宋_GB2312"/>
          <w:color w:val="000000"/>
          <w:kern w:val="2"/>
          <w:sz w:val="32"/>
          <w:szCs w:val="24"/>
          <w:lang w:val="en-US" w:eastAsia="zh-CN"/>
        </w:rPr>
        <w:t>无变化</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年初未安排</w:t>
      </w:r>
      <w:r>
        <w:rPr>
          <w:rFonts w:hint="eastAsia" w:ascii="仿宋_GB2312" w:hAnsi="仿宋_GB2312" w:eastAsia="仿宋_GB2312"/>
          <w:color w:val="000000"/>
          <w:kern w:val="2"/>
          <w:sz w:val="32"/>
          <w:szCs w:val="24"/>
          <w:lang w:val="zh-CN"/>
        </w:rPr>
        <w:t>。</w:t>
      </w:r>
    </w:p>
    <w:p>
      <w:pPr>
        <w:numPr>
          <w:ilvl w:val="0"/>
          <w:numId w:val="0"/>
        </w:numPr>
        <w:spacing w:line="600" w:lineRule="exact"/>
        <w:ind w:firstLine="642"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支出0万元，完成预算0%。公务用车购置及运行维护费支出决算比2021年</w:t>
      </w:r>
      <w:r>
        <w:rPr>
          <w:rFonts w:hint="eastAsia" w:ascii="仿宋_GB2312" w:hAnsi="仿宋_GB2312" w:eastAsia="仿宋_GB2312"/>
          <w:color w:val="000000"/>
          <w:kern w:val="2"/>
          <w:sz w:val="32"/>
          <w:szCs w:val="24"/>
          <w:lang w:val="en-US" w:eastAsia="zh-CN"/>
        </w:rPr>
        <w:t>无变化</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年初未安排</w:t>
      </w:r>
      <w:r>
        <w:rPr>
          <w:rFonts w:hint="eastAsia" w:ascii="仿宋_GB2312" w:hAnsi="仿宋_GB2312" w:eastAsia="仿宋_GB2312"/>
          <w:color w:val="000000"/>
          <w:kern w:val="2"/>
          <w:sz w:val="32"/>
          <w:szCs w:val="24"/>
          <w:lang w:val="zh-CN"/>
        </w:rPr>
        <w:t>。</w:t>
      </w:r>
    </w:p>
    <w:p>
      <w:pPr>
        <w:numPr>
          <w:ilvl w:val="0"/>
          <w:numId w:val="0"/>
        </w:numPr>
        <w:spacing w:line="600" w:lineRule="exact"/>
        <w:ind w:firstLine="642"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支出1万元，完成预算100%。公务接待费支出决算比2021年增加0.03万元，增长3.1%。主要原因是</w:t>
      </w:r>
      <w:r>
        <w:rPr>
          <w:rFonts w:hint="eastAsia" w:ascii="仿宋_GB2312" w:hAnsi="仿宋_GB2312" w:eastAsia="仿宋_GB2312"/>
          <w:color w:val="000000"/>
          <w:kern w:val="2"/>
          <w:sz w:val="32"/>
          <w:szCs w:val="24"/>
          <w:lang w:val="en-US" w:eastAsia="zh-CN"/>
        </w:rPr>
        <w:t>疫情放开，上级检查增加</w:t>
      </w: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支出1万元。主要用于</w:t>
      </w:r>
      <w:r>
        <w:rPr>
          <w:rFonts w:hint="eastAsia" w:ascii="仿宋_GB2312" w:hAnsi="仿宋_GB2312" w:eastAsia="仿宋_GB2312"/>
          <w:color w:val="000000"/>
          <w:kern w:val="2"/>
          <w:sz w:val="32"/>
          <w:szCs w:val="24"/>
          <w:lang w:val="en-US"/>
        </w:rPr>
        <w:t>开展业务活动开支的交通费、住宿费、用餐费等。</w:t>
      </w:r>
      <w:r>
        <w:rPr>
          <w:rFonts w:hint="eastAsia" w:ascii="仿宋_GB2312" w:hAnsi="仿宋_GB2312" w:eastAsia="仿宋_GB2312"/>
          <w:color w:val="000000"/>
          <w:kern w:val="2"/>
          <w:sz w:val="32"/>
          <w:szCs w:val="24"/>
          <w:lang w:val="zh-CN"/>
        </w:rPr>
        <w:t>国内公务接待12批次，84人次，共计支出1万元。</w:t>
      </w:r>
    </w:p>
    <w:p>
      <w:pPr>
        <w:pStyle w:val="3"/>
        <w:bidi w:val="0"/>
        <w:rPr>
          <w:rFonts w:hint="eastAsia" w:ascii="黑体" w:hAnsi="黑体" w:eastAsia="黑体"/>
          <w:b/>
          <w:color w:val="auto"/>
          <w:kern w:val="2"/>
          <w:sz w:val="32"/>
          <w:szCs w:val="24"/>
          <w:lang w:val="zh-CN"/>
        </w:rPr>
      </w:pPr>
      <w:bookmarkStart w:id="43" w:name="_Toc26917"/>
      <w:bookmarkStart w:id="44" w:name="_Toc31175"/>
      <w:bookmarkStart w:id="45" w:name="_Toc24870"/>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43"/>
      <w:bookmarkEnd w:id="44"/>
      <w:bookmarkEnd w:id="45"/>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pStyle w:val="3"/>
        <w:bidi w:val="0"/>
        <w:rPr>
          <w:rFonts w:hint="eastAsia"/>
          <w:lang w:val="zh-CN"/>
        </w:rPr>
      </w:pPr>
      <w:bookmarkStart w:id="46" w:name="_Toc15711"/>
      <w:bookmarkStart w:id="47" w:name="_Toc26607"/>
      <w:bookmarkStart w:id="48" w:name="_Toc17206"/>
      <w:r>
        <w:rPr>
          <w:rFonts w:hint="eastAsia"/>
          <w:lang w:val="zh-CN"/>
        </w:rPr>
        <w:t>九、国有资本经营预算支出决算情况说明</w:t>
      </w:r>
      <w:bookmarkEnd w:id="46"/>
      <w:bookmarkEnd w:id="47"/>
      <w:bookmarkEnd w:id="48"/>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pStyle w:val="3"/>
        <w:bidi w:val="0"/>
        <w:rPr>
          <w:rFonts w:hint="eastAsia" w:ascii="黑体" w:hAnsi="黑体" w:eastAsia="黑体"/>
          <w:b/>
          <w:color w:val="auto"/>
          <w:kern w:val="2"/>
          <w:sz w:val="32"/>
          <w:szCs w:val="24"/>
          <w:lang w:val="zh-CN"/>
        </w:rPr>
      </w:pPr>
      <w:bookmarkStart w:id="49" w:name="_Toc8186"/>
      <w:bookmarkStart w:id="50" w:name="_Toc2917"/>
      <w:bookmarkStart w:id="51" w:name="_Toc13237"/>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49"/>
      <w:bookmarkEnd w:id="50"/>
      <w:bookmarkEnd w:id="51"/>
    </w:p>
    <w:p>
      <w:pPr>
        <w:pStyle w:val="4"/>
        <w:bidi w:val="0"/>
        <w:ind w:firstLine="642" w:firstLineChars="200"/>
        <w:rPr>
          <w:rFonts w:hint="eastAsia" w:ascii="Times New Roman" w:hAnsi="Times New Roman"/>
          <w:lang w:val="zh-CN"/>
        </w:rPr>
      </w:pPr>
      <w:bookmarkStart w:id="52" w:name="_Toc2691"/>
      <w:bookmarkStart w:id="53" w:name="_Toc6395"/>
      <w:r>
        <w:rPr>
          <w:rFonts w:hint="eastAsia" w:ascii="Times New Roman" w:hAnsi="Times New Roman"/>
          <w:lang w:val="zh-CN"/>
        </w:rPr>
        <w:t>（一）机关运行经费支出情况</w:t>
      </w:r>
      <w:bookmarkEnd w:id="52"/>
      <w:bookmarkEnd w:id="53"/>
    </w:p>
    <w:p>
      <w:pPr>
        <w:spacing w:line="576" w:lineRule="exact"/>
        <w:ind w:firstLine="640"/>
        <w:jc w:val="both"/>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rPr>
        <w:t>2022年，中共广元市朝天区委巡察工作领导小组办公室机关运行经费支出42.06万元，比2021年</w:t>
      </w:r>
      <w:r>
        <w:rPr>
          <w:rFonts w:hint="eastAsia" w:ascii="仿宋_GB2312" w:hAnsi="仿宋_GB2312" w:eastAsia="仿宋_GB2312"/>
          <w:color w:val="000000"/>
          <w:kern w:val="2"/>
          <w:sz w:val="32"/>
          <w:szCs w:val="24"/>
          <w:lang w:val="en-US" w:eastAsia="zh-CN"/>
        </w:rPr>
        <w:t>增加</w:t>
      </w:r>
      <w:r>
        <w:rPr>
          <w:rFonts w:hint="eastAsia" w:ascii="仿宋_GB2312" w:hAnsi="仿宋_GB2312" w:eastAsia="仿宋_GB2312"/>
          <w:color w:val="000000"/>
          <w:kern w:val="2"/>
          <w:sz w:val="32"/>
          <w:szCs w:val="24"/>
          <w:lang w:val="zh-CN"/>
        </w:rPr>
        <w:t>16.56万元，</w:t>
      </w:r>
      <w:r>
        <w:rPr>
          <w:rFonts w:hint="eastAsia" w:ascii="仿宋_GB2312" w:hAnsi="仿宋_GB2312" w:eastAsia="仿宋_GB2312"/>
          <w:color w:val="000000"/>
          <w:kern w:val="2"/>
          <w:sz w:val="32"/>
          <w:szCs w:val="24"/>
          <w:lang w:val="en-US" w:eastAsia="zh-CN"/>
        </w:rPr>
        <w:t>增长</w:t>
      </w:r>
      <w:r>
        <w:rPr>
          <w:rFonts w:hint="eastAsia" w:ascii="仿宋_GB2312" w:hAnsi="仿宋_GB2312" w:eastAsia="仿宋_GB2312"/>
          <w:color w:val="000000"/>
          <w:kern w:val="2"/>
          <w:sz w:val="32"/>
          <w:szCs w:val="24"/>
          <w:lang w:val="zh-CN"/>
        </w:rPr>
        <w:t>64.9%。主要原因是</w:t>
      </w:r>
      <w:r>
        <w:rPr>
          <w:rFonts w:hint="eastAsia" w:ascii="仿宋_GB2312" w:hAnsi="Times New Roman" w:eastAsia="仿宋_GB2312"/>
          <w:sz w:val="32"/>
          <w:szCs w:val="24"/>
        </w:rPr>
        <w:t>人员增加，新增内设巡察信息中心，业务增加</w:t>
      </w:r>
      <w:r>
        <w:rPr>
          <w:rFonts w:hint="eastAsia" w:ascii="仿宋_GB2312" w:hAnsi="Times New Roman" w:eastAsia="仿宋_GB2312"/>
          <w:sz w:val="32"/>
          <w:szCs w:val="24"/>
          <w:lang w:eastAsia="zh-CN"/>
        </w:rPr>
        <w:t>。</w:t>
      </w:r>
    </w:p>
    <w:p>
      <w:pPr>
        <w:spacing w:line="600" w:lineRule="exact"/>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（注：数据来源于财决附03表）</w:t>
      </w:r>
    </w:p>
    <w:p>
      <w:pPr>
        <w:pStyle w:val="4"/>
        <w:bidi w:val="0"/>
        <w:ind w:firstLine="642" w:firstLineChars="200"/>
        <w:rPr>
          <w:rFonts w:hint="eastAsia" w:ascii="Times New Roman" w:hAnsi="Times New Roman"/>
          <w:lang w:val="zh-CN"/>
        </w:rPr>
      </w:pPr>
      <w:bookmarkStart w:id="54" w:name="_Toc20351"/>
      <w:bookmarkStart w:id="55" w:name="_Toc24020"/>
      <w:r>
        <w:rPr>
          <w:rFonts w:hint="eastAsia" w:ascii="Times New Roman" w:hAnsi="Times New Roman"/>
          <w:lang w:val="zh-CN"/>
        </w:rPr>
        <w:t>（二）政府采购支出情况</w:t>
      </w:r>
      <w:bookmarkEnd w:id="54"/>
      <w:bookmarkEnd w:id="55"/>
    </w:p>
    <w:p>
      <w:pPr>
        <w:spacing w:line="576"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2022年，中共广元市朝天区委巡察工作领导小组办公室政府采购支出总额0万元。</w:t>
      </w:r>
      <w:r>
        <w:rPr>
          <w:rFonts w:hint="eastAsia" w:ascii="仿宋" w:hAnsi="仿宋" w:eastAsia="仿宋"/>
          <w:b/>
          <w:color w:val="auto"/>
          <w:kern w:val="2"/>
          <w:sz w:val="32"/>
          <w:szCs w:val="24"/>
          <w:lang w:val="en-US"/>
        </w:rPr>
        <w:t>（注：数据来源于财决附03表）</w:t>
      </w:r>
    </w:p>
    <w:p>
      <w:pPr>
        <w:pStyle w:val="4"/>
        <w:bidi w:val="0"/>
        <w:ind w:firstLine="642" w:firstLineChars="200"/>
        <w:rPr>
          <w:rFonts w:hint="eastAsia" w:ascii="Times New Roman" w:hAnsi="Times New Roman"/>
          <w:lang w:val="zh-CN"/>
        </w:rPr>
      </w:pPr>
      <w:bookmarkStart w:id="56" w:name="_Toc2639"/>
      <w:bookmarkStart w:id="57" w:name="_Toc6409"/>
      <w:r>
        <w:rPr>
          <w:rFonts w:hint="eastAsia" w:ascii="Times New Roman" w:hAnsi="Times New Roman"/>
          <w:lang w:val="zh-CN"/>
        </w:rPr>
        <w:t>（三）国有资产占有使用情况</w:t>
      </w:r>
      <w:bookmarkEnd w:id="56"/>
      <w:bookmarkEnd w:id="57"/>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截至2022年12月31日，中共广元市朝天区委巡察工作领导小组办公室共有车辆0辆。</w:t>
      </w:r>
    </w:p>
    <w:p>
      <w:pPr>
        <w:spacing w:line="600" w:lineRule="exact"/>
        <w:ind w:firstLine="643"/>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（注：数据来源于财决附03表。）</w:t>
      </w:r>
    </w:p>
    <w:p>
      <w:pPr>
        <w:pStyle w:val="4"/>
        <w:bidi w:val="0"/>
        <w:ind w:firstLine="642" w:firstLineChars="200"/>
        <w:rPr>
          <w:rFonts w:hint="eastAsia" w:ascii="Times New Roman" w:hAnsi="Times New Roman"/>
          <w:lang w:val="zh-CN"/>
        </w:rPr>
      </w:pPr>
      <w:bookmarkStart w:id="58" w:name="_Toc2117"/>
      <w:bookmarkStart w:id="59" w:name="_Toc16409"/>
      <w:r>
        <w:rPr>
          <w:rFonts w:hint="eastAsia" w:ascii="Times New Roman" w:hAnsi="Times New Roman"/>
          <w:lang w:val="zh-CN"/>
        </w:rPr>
        <w:t>（四）预算绩效管理情况。</w:t>
      </w:r>
      <w:bookmarkEnd w:id="58"/>
      <w:bookmarkEnd w:id="59"/>
    </w:p>
    <w:p>
      <w:pPr>
        <w:widowControl/>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根据预算绩效管理要求，本部门在202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年度预算编制阶段，对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个项目开展绩效监控。</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lang w:val="en-US" w:eastAsia="zh-CN"/>
        </w:rPr>
        <w:t>中共广元市朝天区委巡察工作领导小组办公室</w:t>
      </w:r>
      <w:r>
        <w:rPr>
          <w:rFonts w:hint="eastAsia" w:ascii="仿宋_GB2312" w:hAnsi="仿宋_GB2312" w:eastAsia="仿宋_GB2312" w:cs="仿宋_GB2312"/>
          <w:color w:val="auto"/>
          <w:sz w:val="32"/>
          <w:szCs w:val="32"/>
        </w:rPr>
        <w:t>部门整体（含部门预算项目）绩效自评报告、</w:t>
      </w:r>
      <w:r>
        <w:rPr>
          <w:rFonts w:hint="eastAsia" w:ascii="仿宋_GB2312" w:hAnsi="仿宋_GB2312" w:eastAsia="仿宋_GB2312" w:cs="仿宋_GB2312"/>
          <w:color w:val="auto"/>
          <w:sz w:val="32"/>
          <w:szCs w:val="32"/>
          <w:lang w:val="en-US" w:eastAsia="zh-CN"/>
        </w:rPr>
        <w:t>办公设备购置</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3个</w:t>
      </w:r>
      <w:r>
        <w:rPr>
          <w:rFonts w:hint="eastAsia" w:ascii="仿宋_GB2312" w:hAnsi="仿宋_GB2312" w:eastAsia="仿宋_GB2312" w:cs="仿宋_GB2312"/>
          <w:color w:val="auto"/>
          <w:sz w:val="32"/>
          <w:szCs w:val="32"/>
        </w:rPr>
        <w:t>专项预算项目绩效自评报告，其中，</w:t>
      </w:r>
      <w:r>
        <w:rPr>
          <w:rFonts w:hint="eastAsia" w:ascii="仿宋_GB2312" w:hAnsi="仿宋_GB2312" w:eastAsia="仿宋_GB2312" w:cs="仿宋_GB2312"/>
          <w:color w:val="auto"/>
          <w:sz w:val="32"/>
          <w:szCs w:val="32"/>
          <w:lang w:val="en-US" w:eastAsia="zh-CN"/>
        </w:rPr>
        <w:t>中共广元市朝天区委巡察工作领导小组办公室</w:t>
      </w:r>
      <w:r>
        <w:rPr>
          <w:rFonts w:hint="eastAsia" w:ascii="仿宋_GB2312" w:hAnsi="仿宋_GB2312" w:eastAsia="仿宋_GB2312" w:cs="仿宋_GB2312"/>
          <w:color w:val="auto"/>
          <w:sz w:val="32"/>
          <w:szCs w:val="32"/>
        </w:rPr>
        <w:t>部门整体（含部门预算项目）绩效自评得分为</w:t>
      </w:r>
      <w:r>
        <w:rPr>
          <w:rFonts w:hint="eastAsia" w:ascii="仿宋_GB2312" w:hAnsi="仿宋_GB2312" w:eastAsia="仿宋_GB2312" w:cs="仿宋_GB2312"/>
          <w:color w:val="auto"/>
          <w:sz w:val="32"/>
          <w:szCs w:val="32"/>
          <w:lang w:val="en-US" w:eastAsia="zh-CN"/>
        </w:rPr>
        <w:t>90.08</w:t>
      </w:r>
      <w:r>
        <w:rPr>
          <w:rFonts w:hint="eastAsia" w:ascii="仿宋_GB2312" w:hAnsi="仿宋_GB2312" w:eastAsia="仿宋_GB2312" w:cs="仿宋_GB2312"/>
          <w:color w:val="auto"/>
          <w:sz w:val="32"/>
          <w:szCs w:val="32"/>
        </w:rPr>
        <w:t>分，绩效自评报告详见附件。</w:t>
      </w:r>
    </w:p>
    <w:p>
      <w:pPr>
        <w:pStyle w:val="2"/>
        <w:bidi w:val="0"/>
        <w:ind w:left="0" w:leftChars="0" w:firstLine="1320" w:firstLineChars="300"/>
        <w:jc w:val="center"/>
        <w:rPr>
          <w:rFonts w:hint="eastAsia" w:ascii="黑体" w:hAnsi="黑体" w:eastAsia="黑体" w:cs="黑体"/>
          <w:lang w:val="zh-CN"/>
        </w:rPr>
      </w:pPr>
      <w:bookmarkStart w:id="60" w:name="_Toc17417"/>
      <w:bookmarkStart w:id="61" w:name="_Toc7952"/>
      <w:bookmarkStart w:id="62" w:name="_Toc24609"/>
      <w:r>
        <w:rPr>
          <w:rFonts w:hint="eastAsia" w:ascii="黑体" w:hAnsi="黑体" w:eastAsia="黑体" w:cs="黑体"/>
          <w:lang w:val="zh-CN"/>
        </w:rPr>
        <w:t>第三部分 名词解释</w:t>
      </w:r>
      <w:bookmarkEnd w:id="60"/>
      <w:bookmarkEnd w:id="61"/>
      <w:bookmarkEnd w:id="62"/>
    </w:p>
    <w:p>
      <w:pPr>
        <w:pStyle w:val="13"/>
        <w:spacing w:beforeLines="0" w:afterLines="0"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1.财政拨款收入：指</w:t>
      </w:r>
      <w:r>
        <w:rPr>
          <w:rFonts w:hint="eastAsia" w:ascii="仿宋_GB2312" w:eastAsia="仿宋_GB2312"/>
          <w:color w:val="auto"/>
          <w:sz w:val="32"/>
          <w:szCs w:val="32"/>
          <w:lang w:eastAsia="zh-CN"/>
        </w:rPr>
        <w:t>部门</w:t>
      </w:r>
      <w:r>
        <w:rPr>
          <w:rFonts w:hint="eastAsia" w:ascii="仿宋_GB2312" w:eastAsia="仿宋_GB2312"/>
          <w:color w:val="auto"/>
          <w:sz w:val="32"/>
          <w:szCs w:val="32"/>
        </w:rPr>
        <w:t>从同级财政部门取得的财政预算资金。</w:t>
      </w:r>
    </w:p>
    <w:p>
      <w:pPr>
        <w:pStyle w:val="13"/>
        <w:spacing w:beforeLines="0" w:afterLines="0"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2.年初结转和结余：指以前年度尚未完成、结转到本年按有关规定继续使用的资金。 </w:t>
      </w:r>
    </w:p>
    <w:p>
      <w:pPr>
        <w:pStyle w:val="13"/>
        <w:spacing w:beforeLines="0" w:afterLines="0"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3.结余分配：指事业</w:t>
      </w:r>
      <w:r>
        <w:rPr>
          <w:rFonts w:hint="eastAsia" w:ascii="仿宋_GB2312" w:eastAsia="仿宋_GB2312"/>
          <w:color w:val="auto"/>
          <w:sz w:val="32"/>
          <w:szCs w:val="32"/>
          <w:lang w:eastAsia="zh-CN"/>
        </w:rPr>
        <w:t>部门</w:t>
      </w:r>
      <w:r>
        <w:rPr>
          <w:rFonts w:hint="eastAsia" w:ascii="仿宋_GB2312" w:eastAsia="仿宋_GB2312"/>
          <w:color w:val="auto"/>
          <w:sz w:val="32"/>
          <w:szCs w:val="32"/>
        </w:rPr>
        <w:t>按照会计制度规定缴纳的所得税、提取的专用结余以及转入非财政拨款结余的金额等。</w:t>
      </w:r>
    </w:p>
    <w:p>
      <w:pPr>
        <w:pStyle w:val="13"/>
        <w:spacing w:beforeLines="0" w:afterLines="0"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4.年末结转和结余：指</w:t>
      </w:r>
      <w:r>
        <w:rPr>
          <w:rFonts w:hint="eastAsia" w:ascii="仿宋_GB2312" w:eastAsia="仿宋_GB2312"/>
          <w:color w:val="auto"/>
          <w:sz w:val="32"/>
          <w:szCs w:val="32"/>
          <w:lang w:eastAsia="zh-CN"/>
        </w:rPr>
        <w:t>部门</w:t>
      </w:r>
      <w:r>
        <w:rPr>
          <w:rFonts w:hint="eastAsia" w:ascii="仿宋_GB2312" w:eastAsia="仿宋_GB2312"/>
          <w:color w:val="auto"/>
          <w:sz w:val="32"/>
          <w:szCs w:val="32"/>
        </w:rPr>
        <w:t>按有关规定结转到下年或以后年度继续使用的资金。</w:t>
      </w:r>
    </w:p>
    <w:p>
      <w:pPr>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lang w:val="en-US" w:eastAsia="zh-CN"/>
        </w:rPr>
        <w:t>5</w:t>
      </w:r>
      <w:r>
        <w:rPr>
          <w:rFonts w:hint="eastAsia" w:ascii="仿宋_GB2312" w:hAnsi="Times New Roman" w:eastAsia="仿宋_GB2312"/>
          <w:color w:val="auto"/>
          <w:sz w:val="32"/>
          <w:szCs w:val="24"/>
        </w:rPr>
        <w:t>.一般公共服务（类）</w:t>
      </w:r>
      <w:r>
        <w:rPr>
          <w:rFonts w:hint="eastAsia" w:ascii="仿宋_GB2312" w:eastAsia="仿宋_GB2312"/>
          <w:color w:val="auto"/>
          <w:sz w:val="32"/>
          <w:szCs w:val="24"/>
          <w:lang w:val="en-US" w:eastAsia="zh-CN"/>
        </w:rPr>
        <w:t>党委办公厅（室）及相关机构事务</w:t>
      </w:r>
      <w:r>
        <w:rPr>
          <w:rFonts w:hint="eastAsia" w:ascii="仿宋_GB2312" w:hAnsi="Times New Roman" w:eastAsia="仿宋_GB2312"/>
          <w:color w:val="auto"/>
          <w:sz w:val="32"/>
          <w:szCs w:val="24"/>
        </w:rPr>
        <w:t>（款）</w:t>
      </w:r>
      <w:r>
        <w:rPr>
          <w:rFonts w:hint="eastAsia" w:ascii="仿宋_GB2312" w:eastAsia="仿宋_GB2312"/>
          <w:color w:val="auto"/>
          <w:sz w:val="32"/>
          <w:szCs w:val="24"/>
          <w:lang w:val="en-US" w:eastAsia="zh-CN"/>
        </w:rPr>
        <w:t>行政运行</w:t>
      </w:r>
      <w:r>
        <w:rPr>
          <w:rFonts w:hint="eastAsia" w:ascii="仿宋_GB2312" w:hAnsi="Times New Roman" w:eastAsia="仿宋_GB2312"/>
          <w:color w:val="auto"/>
          <w:sz w:val="32"/>
          <w:szCs w:val="24"/>
        </w:rPr>
        <w:t>（项）：指</w:t>
      </w:r>
      <w:r>
        <w:rPr>
          <w:rFonts w:hint="eastAsia" w:ascii="仿宋_GB2312" w:hAnsi="Times New Roman" w:eastAsia="仿宋_GB2312"/>
          <w:color w:val="auto"/>
          <w:sz w:val="32"/>
          <w:szCs w:val="24"/>
          <w:lang w:val="en-US" w:eastAsia="zh-CN"/>
        </w:rPr>
        <w:t>行政运行，反映行政</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的基本支出</w:t>
      </w:r>
      <w:r>
        <w:rPr>
          <w:rFonts w:hint="eastAsia" w:ascii="仿宋_GB2312" w:hAnsi="Times New Roman" w:eastAsia="仿宋_GB2312"/>
          <w:color w:val="auto"/>
          <w:sz w:val="32"/>
          <w:szCs w:val="24"/>
        </w:rPr>
        <w:t>。</w:t>
      </w:r>
    </w:p>
    <w:p>
      <w:pPr>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lang w:val="en-US" w:eastAsia="zh-CN"/>
        </w:rPr>
        <w:t>6</w:t>
      </w:r>
      <w:r>
        <w:rPr>
          <w:rFonts w:hint="eastAsia" w:ascii="仿宋_GB2312" w:hAnsi="Times New Roman" w:eastAsia="仿宋_GB2312"/>
          <w:color w:val="auto"/>
          <w:sz w:val="32"/>
          <w:szCs w:val="24"/>
        </w:rPr>
        <w:t>.一般公共服务（类）</w:t>
      </w:r>
      <w:r>
        <w:rPr>
          <w:rFonts w:hint="eastAsia" w:ascii="仿宋_GB2312" w:eastAsia="仿宋_GB2312"/>
          <w:color w:val="auto"/>
          <w:sz w:val="32"/>
          <w:szCs w:val="24"/>
          <w:lang w:val="en-US" w:eastAsia="zh-CN"/>
        </w:rPr>
        <w:t>党委办公厅（室）及相关机构事务</w:t>
      </w:r>
      <w:r>
        <w:rPr>
          <w:rFonts w:hint="eastAsia" w:ascii="仿宋_GB2312" w:hAnsi="Times New Roman" w:eastAsia="仿宋_GB2312"/>
          <w:color w:val="auto"/>
          <w:sz w:val="32"/>
          <w:szCs w:val="24"/>
        </w:rPr>
        <w:t>（款）</w:t>
      </w:r>
      <w:r>
        <w:rPr>
          <w:rFonts w:hint="eastAsia" w:ascii="仿宋_GB2312" w:eastAsia="仿宋_GB2312"/>
          <w:color w:val="auto"/>
          <w:sz w:val="32"/>
          <w:szCs w:val="24"/>
          <w:lang w:val="en-US" w:eastAsia="zh-CN"/>
        </w:rPr>
        <w:t>一般行政事务管理</w:t>
      </w:r>
      <w:r>
        <w:rPr>
          <w:rFonts w:hint="eastAsia" w:ascii="仿宋_GB2312" w:hAnsi="Times New Roman" w:eastAsia="仿宋_GB2312"/>
          <w:color w:val="auto"/>
          <w:sz w:val="32"/>
          <w:szCs w:val="24"/>
        </w:rPr>
        <w:t>（项）：指</w:t>
      </w:r>
      <w:r>
        <w:rPr>
          <w:rFonts w:hint="eastAsia" w:ascii="仿宋_GB2312" w:hAnsi="Times New Roman" w:eastAsia="仿宋_GB2312"/>
          <w:color w:val="auto"/>
          <w:sz w:val="32"/>
          <w:szCs w:val="24"/>
          <w:lang w:val="en-US" w:eastAsia="zh-CN"/>
        </w:rPr>
        <w:t>一般行政管理事务，反映行政</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未单独设置项级科目的其他支出</w:t>
      </w:r>
      <w:r>
        <w:rPr>
          <w:rFonts w:hint="eastAsia" w:ascii="仿宋_GB2312" w:hAnsi="Times New Roman" w:eastAsia="仿宋_GB2312"/>
          <w:color w:val="auto"/>
          <w:sz w:val="32"/>
          <w:szCs w:val="24"/>
        </w:rPr>
        <w:t>。</w:t>
      </w:r>
    </w:p>
    <w:p>
      <w:pPr>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lang w:val="en-US" w:eastAsia="zh-CN"/>
        </w:rPr>
        <w:t>7</w:t>
      </w:r>
      <w:r>
        <w:rPr>
          <w:rFonts w:hint="eastAsia" w:ascii="仿宋_GB2312" w:hAnsi="Times New Roman" w:eastAsia="仿宋_GB2312"/>
          <w:color w:val="auto"/>
          <w:sz w:val="32"/>
          <w:szCs w:val="24"/>
        </w:rPr>
        <w:t>.一般公共服务（类）</w:t>
      </w:r>
      <w:r>
        <w:rPr>
          <w:rFonts w:hint="eastAsia" w:ascii="仿宋_GB2312" w:eastAsia="仿宋_GB2312"/>
          <w:color w:val="auto"/>
          <w:sz w:val="32"/>
          <w:szCs w:val="24"/>
          <w:lang w:val="en-US" w:eastAsia="zh-CN"/>
        </w:rPr>
        <w:t>党委办公厅（室）及相关机构事务</w:t>
      </w:r>
      <w:r>
        <w:rPr>
          <w:rFonts w:hint="eastAsia" w:ascii="仿宋_GB2312" w:hAnsi="Times New Roman" w:eastAsia="仿宋_GB2312"/>
          <w:color w:val="auto"/>
          <w:sz w:val="32"/>
          <w:szCs w:val="24"/>
        </w:rPr>
        <w:t>（款）</w:t>
      </w:r>
      <w:r>
        <w:rPr>
          <w:rFonts w:hint="eastAsia" w:ascii="仿宋_GB2312" w:eastAsia="仿宋_GB2312"/>
          <w:color w:val="auto"/>
          <w:sz w:val="32"/>
          <w:szCs w:val="24"/>
          <w:lang w:val="en-US" w:eastAsia="zh-CN"/>
        </w:rPr>
        <w:t>事业运行</w:t>
      </w:r>
      <w:r>
        <w:rPr>
          <w:rFonts w:hint="eastAsia" w:ascii="仿宋_GB2312" w:hAnsi="Times New Roman" w:eastAsia="仿宋_GB2312"/>
          <w:color w:val="auto"/>
          <w:sz w:val="32"/>
          <w:szCs w:val="24"/>
        </w:rPr>
        <w:t>（项）：指</w:t>
      </w:r>
      <w:r>
        <w:rPr>
          <w:rFonts w:hint="eastAsia" w:ascii="仿宋_GB2312" w:hAnsi="Times New Roman" w:eastAsia="仿宋_GB2312"/>
          <w:color w:val="auto"/>
          <w:sz w:val="32"/>
          <w:szCs w:val="24"/>
          <w:lang w:val="en-US" w:eastAsia="zh-CN"/>
        </w:rPr>
        <w:t>事业运行，反映事业</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的基本支出，不包括行政</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（包括实行公务管理的事业</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）后勤服务中心、医务室等附属事业</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rPr>
        <w:t>。</w:t>
      </w:r>
    </w:p>
    <w:p>
      <w:pPr>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lang w:val="en-US" w:eastAsia="zh-CN"/>
        </w:rPr>
        <w:t>8</w:t>
      </w:r>
      <w:r>
        <w:rPr>
          <w:rFonts w:hint="eastAsia" w:ascii="仿宋_GB2312" w:hAnsi="Times New Roman" w:eastAsia="仿宋_GB2312"/>
          <w:color w:val="auto"/>
          <w:sz w:val="32"/>
          <w:szCs w:val="24"/>
        </w:rPr>
        <w:t>.社会保障和就业（类）</w:t>
      </w:r>
      <w:r>
        <w:rPr>
          <w:rFonts w:hint="eastAsia" w:ascii="仿宋_GB2312" w:eastAsia="仿宋_GB2312"/>
          <w:color w:val="auto"/>
          <w:sz w:val="32"/>
          <w:szCs w:val="24"/>
          <w:lang w:val="en-US" w:eastAsia="zh-CN"/>
        </w:rPr>
        <w:t>行政事业部门养老支出</w:t>
      </w:r>
      <w:r>
        <w:rPr>
          <w:rFonts w:hint="eastAsia" w:ascii="仿宋_GB2312" w:hAnsi="Times New Roman" w:eastAsia="仿宋_GB2312"/>
          <w:color w:val="auto"/>
          <w:sz w:val="32"/>
          <w:szCs w:val="24"/>
        </w:rPr>
        <w:t>（款）</w:t>
      </w:r>
      <w:r>
        <w:rPr>
          <w:rFonts w:hint="eastAsia" w:ascii="仿宋_GB2312" w:eastAsia="仿宋_GB2312"/>
          <w:color w:val="auto"/>
          <w:sz w:val="32"/>
          <w:szCs w:val="24"/>
          <w:lang w:val="en-US" w:eastAsia="zh-CN"/>
        </w:rPr>
        <w:t>机关事业部门基本养老保险缴费支出</w:t>
      </w:r>
      <w:r>
        <w:rPr>
          <w:rFonts w:hint="eastAsia" w:ascii="仿宋_GB2312" w:hAnsi="Times New Roman" w:eastAsia="仿宋_GB2312"/>
          <w:color w:val="auto"/>
          <w:sz w:val="32"/>
          <w:szCs w:val="24"/>
        </w:rPr>
        <w:t>（项）：指</w:t>
      </w:r>
      <w:r>
        <w:rPr>
          <w:rFonts w:hint="eastAsia" w:ascii="仿宋_GB2312" w:hAnsi="Times New Roman" w:eastAsia="仿宋_GB2312"/>
          <w:color w:val="auto"/>
          <w:sz w:val="32"/>
          <w:szCs w:val="24"/>
          <w:lang w:val="en-US" w:eastAsia="zh-CN"/>
        </w:rPr>
        <w:t>机关事业</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基本养老保险缴费，反映机关事业</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实施养老保险制度由</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缴纳的基本养老保险费支出</w:t>
      </w:r>
      <w:r>
        <w:rPr>
          <w:rFonts w:hint="eastAsia" w:ascii="仿宋_GB2312" w:hAnsi="Times New Roman" w:eastAsia="仿宋_GB2312"/>
          <w:color w:val="auto"/>
          <w:sz w:val="32"/>
          <w:szCs w:val="24"/>
        </w:rPr>
        <w:t>。</w:t>
      </w:r>
    </w:p>
    <w:p>
      <w:pPr>
        <w:ind w:firstLine="640" w:firstLineChars="200"/>
        <w:rPr>
          <w:rFonts w:hint="eastAsia" w:ascii="仿宋_GB2312" w:hAnsi="Times New Roman" w:eastAsia="仿宋_GB2312"/>
          <w:color w:val="auto"/>
          <w:sz w:val="32"/>
          <w:szCs w:val="24"/>
        </w:rPr>
      </w:pPr>
      <w:r>
        <w:rPr>
          <w:rFonts w:hint="eastAsia" w:ascii="仿宋_GB2312" w:eastAsia="仿宋_GB2312"/>
          <w:color w:val="auto"/>
          <w:sz w:val="32"/>
          <w:szCs w:val="24"/>
          <w:lang w:val="en-US" w:eastAsia="zh-CN"/>
        </w:rPr>
        <w:t>9</w:t>
      </w:r>
      <w:r>
        <w:rPr>
          <w:rFonts w:hint="eastAsia" w:ascii="仿宋_GB2312" w:hAnsi="Times New Roman" w:eastAsia="仿宋_GB2312"/>
          <w:color w:val="auto"/>
          <w:sz w:val="32"/>
          <w:szCs w:val="24"/>
        </w:rPr>
        <w:t>.医疗卫生与计划生育（类）</w:t>
      </w:r>
      <w:r>
        <w:rPr>
          <w:rFonts w:hint="eastAsia" w:ascii="仿宋_GB2312" w:eastAsia="仿宋_GB2312"/>
          <w:color w:val="auto"/>
          <w:sz w:val="32"/>
          <w:szCs w:val="24"/>
          <w:lang w:val="en-US" w:eastAsia="zh-CN"/>
        </w:rPr>
        <w:t>行政事业部门医疗</w:t>
      </w:r>
      <w:r>
        <w:rPr>
          <w:rFonts w:hint="eastAsia" w:ascii="仿宋_GB2312" w:hAnsi="Times New Roman" w:eastAsia="仿宋_GB2312"/>
          <w:color w:val="auto"/>
          <w:sz w:val="32"/>
          <w:szCs w:val="24"/>
        </w:rPr>
        <w:t>（款）</w:t>
      </w:r>
      <w:r>
        <w:rPr>
          <w:rFonts w:hint="eastAsia" w:ascii="仿宋_GB2312" w:eastAsia="仿宋_GB2312"/>
          <w:color w:val="auto"/>
          <w:sz w:val="32"/>
          <w:szCs w:val="24"/>
          <w:lang w:val="en-US" w:eastAsia="zh-CN"/>
        </w:rPr>
        <w:t>行政部门医疗</w:t>
      </w:r>
      <w:r>
        <w:rPr>
          <w:rFonts w:hint="eastAsia" w:ascii="仿宋_GB2312" w:hAnsi="Times New Roman" w:eastAsia="仿宋_GB2312"/>
          <w:color w:val="auto"/>
          <w:sz w:val="32"/>
          <w:szCs w:val="24"/>
        </w:rPr>
        <w:t>（项）：指</w:t>
      </w:r>
      <w:r>
        <w:rPr>
          <w:rFonts w:hint="eastAsia" w:ascii="仿宋_GB2312" w:hAnsi="Times New Roman" w:eastAsia="仿宋_GB2312"/>
          <w:color w:val="auto"/>
          <w:sz w:val="32"/>
          <w:szCs w:val="24"/>
          <w:lang w:val="en-US" w:eastAsia="zh-CN"/>
        </w:rPr>
        <w:t>行政</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医疗，反映财政部门的行政</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基本医疗保险缴费经费，未参加医疗保险的行政</w:t>
      </w:r>
      <w:r>
        <w:rPr>
          <w:rFonts w:hint="eastAsia" w:ascii="仿宋_GB2312" w:eastAsia="仿宋_GB2312"/>
          <w:color w:val="auto"/>
          <w:sz w:val="32"/>
          <w:szCs w:val="24"/>
          <w:lang w:val="en-US" w:eastAsia="zh-CN"/>
        </w:rPr>
        <w:t>部门</w:t>
      </w:r>
      <w:r>
        <w:rPr>
          <w:rFonts w:hint="eastAsia" w:ascii="仿宋_GB2312" w:hAnsi="Times New Roman" w:eastAsia="仿宋_GB2312"/>
          <w:color w:val="auto"/>
          <w:sz w:val="32"/>
          <w:szCs w:val="24"/>
          <w:lang w:val="en-US" w:eastAsia="zh-CN"/>
        </w:rPr>
        <w:t>的公费医疗经费，按国家规定享受离休人员、红军老战士待遇人员的医疗经费</w:t>
      </w:r>
      <w:r>
        <w:rPr>
          <w:rFonts w:hint="eastAsia" w:ascii="仿宋_GB2312" w:hAnsi="Times New Roman" w:eastAsia="仿宋_GB2312"/>
          <w:color w:val="auto"/>
          <w:sz w:val="32"/>
          <w:szCs w:val="24"/>
        </w:rPr>
        <w:t>。</w:t>
      </w:r>
    </w:p>
    <w:p>
      <w:pPr>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lang w:val="en-US" w:eastAsia="zh-CN"/>
        </w:rPr>
        <w:t>1</w:t>
      </w:r>
      <w:r>
        <w:rPr>
          <w:rFonts w:hint="eastAsia" w:ascii="仿宋_GB2312" w:eastAsia="仿宋_GB2312"/>
          <w:color w:val="auto"/>
          <w:sz w:val="32"/>
          <w:szCs w:val="24"/>
          <w:lang w:val="en-US" w:eastAsia="zh-CN"/>
        </w:rPr>
        <w:t>0</w:t>
      </w:r>
      <w:r>
        <w:rPr>
          <w:rFonts w:hint="eastAsia" w:ascii="仿宋_GB2312" w:hAnsi="Times New Roman" w:eastAsia="仿宋_GB2312"/>
          <w:color w:val="auto"/>
          <w:sz w:val="32"/>
          <w:szCs w:val="24"/>
        </w:rPr>
        <w:t>.基本支出：指为保障机构正常运转、完成日常工作任务而发生的人员支出和公用支出。</w:t>
      </w:r>
    </w:p>
    <w:p>
      <w:pPr>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lang w:val="en-US" w:eastAsia="zh-CN"/>
        </w:rPr>
        <w:t>1</w:t>
      </w:r>
      <w:r>
        <w:rPr>
          <w:rFonts w:hint="eastAsia" w:ascii="仿宋_GB2312" w:eastAsia="仿宋_GB2312"/>
          <w:color w:val="auto"/>
          <w:sz w:val="32"/>
          <w:szCs w:val="24"/>
          <w:lang w:val="en-US" w:eastAsia="zh-CN"/>
        </w:rPr>
        <w:t>1</w:t>
      </w:r>
      <w:r>
        <w:rPr>
          <w:rFonts w:hint="eastAsia" w:ascii="仿宋_GB2312" w:hAnsi="Times New Roman" w:eastAsia="仿宋_GB2312"/>
          <w:color w:val="auto"/>
          <w:sz w:val="32"/>
          <w:szCs w:val="24"/>
        </w:rPr>
        <w:t xml:space="preserve">.项目支出：指在基本支出之外为完成特定行政任务和事业发展目标所发生的支出。 </w:t>
      </w:r>
    </w:p>
    <w:p>
      <w:pPr>
        <w:pStyle w:val="13"/>
        <w:spacing w:beforeLines="0" w:afterLines="0"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.“三公”经费：指部门用财政拨款安排的因公出国（境）费、公务用车购置及运行费和公务接待费。其中，因公出国（境）费反映</w:t>
      </w:r>
      <w:r>
        <w:rPr>
          <w:rFonts w:hint="eastAsia" w:ascii="仿宋_GB2312" w:eastAsia="仿宋_GB2312"/>
          <w:color w:val="auto"/>
          <w:sz w:val="32"/>
          <w:szCs w:val="32"/>
          <w:lang w:eastAsia="zh-CN"/>
        </w:rPr>
        <w:t>部门</w:t>
      </w:r>
      <w:r>
        <w:rPr>
          <w:rFonts w:hint="eastAsia" w:ascii="仿宋_GB2312" w:eastAsia="仿宋_GB2312"/>
          <w:color w:val="auto"/>
          <w:sz w:val="32"/>
          <w:szCs w:val="32"/>
        </w:rPr>
        <w:t>公务出国（境）的国际旅费、国外城市间交通费、住宿费、伙食费、培训费、公杂费等支出；公务用车购置及运行费反映</w:t>
      </w:r>
      <w:r>
        <w:rPr>
          <w:rFonts w:hint="eastAsia" w:ascii="仿宋_GB2312" w:eastAsia="仿宋_GB2312"/>
          <w:color w:val="auto"/>
          <w:sz w:val="32"/>
          <w:szCs w:val="32"/>
          <w:lang w:eastAsia="zh-CN"/>
        </w:rPr>
        <w:t>部门</w:t>
      </w:r>
      <w:r>
        <w:rPr>
          <w:rFonts w:hint="eastAsia" w:ascii="仿宋_GB2312" w:eastAsia="仿宋_GB2312"/>
          <w:color w:val="auto"/>
          <w:sz w:val="32"/>
          <w:szCs w:val="32"/>
        </w:rPr>
        <w:t>公务用车车辆购置支出（含车辆购置税）及租用费、燃料费、维修费、过路过桥费、保险费等支出；公务接待费反映</w:t>
      </w:r>
      <w:r>
        <w:rPr>
          <w:rFonts w:hint="eastAsia" w:ascii="仿宋_GB2312" w:eastAsia="仿宋_GB2312"/>
          <w:color w:val="auto"/>
          <w:sz w:val="32"/>
          <w:szCs w:val="32"/>
          <w:lang w:eastAsia="zh-CN"/>
        </w:rPr>
        <w:t>部门</w:t>
      </w:r>
      <w:r>
        <w:rPr>
          <w:rFonts w:hint="eastAsia" w:ascii="仿宋_GB2312" w:eastAsia="仿宋_GB2312"/>
          <w:color w:val="auto"/>
          <w:sz w:val="32"/>
          <w:szCs w:val="32"/>
        </w:rPr>
        <w:t>按规定开支的各类公务接待（含外宾接待）支出。</w:t>
      </w:r>
    </w:p>
    <w:p>
      <w:pPr>
        <w:pStyle w:val="13"/>
        <w:spacing w:beforeLines="0" w:afterLines="0"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.机关运行经费：为保障行政</w:t>
      </w:r>
      <w:r>
        <w:rPr>
          <w:rFonts w:hint="eastAsia" w:ascii="仿宋_GB2312" w:eastAsia="仿宋_GB2312"/>
          <w:color w:val="auto"/>
          <w:sz w:val="32"/>
          <w:szCs w:val="32"/>
          <w:lang w:eastAsia="zh-CN"/>
        </w:rPr>
        <w:t>部门</w:t>
      </w:r>
      <w:r>
        <w:rPr>
          <w:rFonts w:hint="eastAsia" w:ascii="仿宋_GB2312" w:eastAsia="仿宋_GB2312"/>
          <w:color w:val="auto"/>
          <w:sz w:val="32"/>
          <w:szCs w:val="32"/>
        </w:rPr>
        <w:t>（含参照公务员法管理的事业</w:t>
      </w:r>
      <w:r>
        <w:rPr>
          <w:rFonts w:hint="eastAsia" w:ascii="仿宋_GB2312" w:eastAsia="仿宋_GB2312"/>
          <w:color w:val="auto"/>
          <w:sz w:val="32"/>
          <w:szCs w:val="32"/>
          <w:lang w:eastAsia="zh-CN"/>
        </w:rPr>
        <w:t>部门</w:t>
      </w:r>
      <w:r>
        <w:rPr>
          <w:rFonts w:hint="eastAsia" w:ascii="仿宋_GB2312" w:eastAsia="仿宋_GB2312"/>
          <w:color w:val="auto"/>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rPr>
          <w:rFonts w:hint="eastAsia" w:ascii="黑体" w:hAnsi="黑体" w:eastAsia="黑体"/>
          <w:color w:val="auto"/>
          <w:kern w:val="2"/>
          <w:sz w:val="44"/>
          <w:szCs w:val="24"/>
          <w:lang w:val="en-US"/>
        </w:rPr>
      </w:pPr>
    </w:p>
    <w:p>
      <w:pPr>
        <w:spacing w:line="600" w:lineRule="exact"/>
        <w:jc w:val="both"/>
        <w:rPr>
          <w:rFonts w:hint="eastAsia" w:ascii="黑体" w:hAnsi="黑体" w:eastAsia="黑体"/>
          <w:color w:val="auto"/>
          <w:kern w:val="2"/>
          <w:sz w:val="44"/>
          <w:szCs w:val="24"/>
          <w:lang w:val="en-US"/>
        </w:rPr>
      </w:pPr>
    </w:p>
    <w:p>
      <w:pPr>
        <w:pStyle w:val="2"/>
        <w:bidi w:val="0"/>
        <w:jc w:val="center"/>
        <w:rPr>
          <w:rFonts w:hint="eastAsia" w:ascii="黑体" w:hAnsi="黑体" w:eastAsia="黑体" w:cs="黑体"/>
          <w:lang w:val="en-US"/>
        </w:rPr>
      </w:pPr>
      <w:bookmarkStart w:id="63" w:name="_Toc21754"/>
      <w:bookmarkStart w:id="64" w:name="_Toc10282"/>
      <w:bookmarkStart w:id="65" w:name="_Toc3974"/>
      <w:r>
        <w:rPr>
          <w:rFonts w:hint="eastAsia" w:ascii="黑体" w:hAnsi="黑体" w:eastAsia="黑体" w:cs="黑体"/>
          <w:lang w:val="en-US"/>
        </w:rPr>
        <w:t>第四部分 附件</w:t>
      </w:r>
      <w:bookmarkEnd w:id="63"/>
      <w:bookmarkEnd w:id="64"/>
      <w:bookmarkEnd w:id="65"/>
    </w:p>
    <w:p>
      <w:pPr>
        <w:pStyle w:val="2"/>
        <w:bidi w:val="0"/>
        <w:jc w:val="center"/>
        <w:rPr>
          <w:rFonts w:hint="eastAsia"/>
        </w:rPr>
      </w:pPr>
      <w:bookmarkStart w:id="66" w:name="_Toc18575"/>
      <w:bookmarkStart w:id="67" w:name="_Toc6111"/>
      <w:bookmarkStart w:id="68" w:name="_Toc29584"/>
      <w:r>
        <w:rPr>
          <w:rFonts w:hint="eastAsia"/>
        </w:rPr>
        <w:t>2022年部门整体支出绩效评价报告</w:t>
      </w:r>
      <w:bookmarkEnd w:id="66"/>
      <w:bookmarkEnd w:id="67"/>
      <w:bookmarkEnd w:id="68"/>
    </w:p>
    <w:p>
      <w:pPr>
        <w:widowControl/>
        <w:spacing w:line="576" w:lineRule="exact"/>
        <w:ind w:firstLine="608" w:firstLineChars="200"/>
        <w:rPr>
          <w:rFonts w:hint="eastAsia" w:ascii="黑体" w:hAnsi="黑体" w:eastAsia="黑体" w:cs="Times New Roman"/>
          <w:color w:val="000000"/>
          <w:spacing w:val="-6"/>
          <w:w w:val="99"/>
          <w:sz w:val="32"/>
          <w:szCs w:val="32"/>
          <w:shd w:val="clear" w:color="auto" w:fill="FFFFFF"/>
        </w:rPr>
      </w:pPr>
    </w:p>
    <w:p>
      <w:pPr>
        <w:pStyle w:val="3"/>
        <w:bidi w:val="0"/>
        <w:rPr>
          <w:rFonts w:hint="eastAsia"/>
        </w:rPr>
      </w:pPr>
      <w:bookmarkStart w:id="69" w:name="_Toc18668"/>
      <w:bookmarkStart w:id="70" w:name="_Toc4912"/>
      <w:bookmarkStart w:id="71" w:name="_Toc30214"/>
      <w:r>
        <w:rPr>
          <w:rFonts w:hint="eastAsia"/>
        </w:rPr>
        <w:t>一、部门概况</w:t>
      </w:r>
      <w:bookmarkEnd w:id="69"/>
      <w:bookmarkEnd w:id="70"/>
      <w:bookmarkEnd w:id="71"/>
    </w:p>
    <w:p>
      <w:pPr>
        <w:pStyle w:val="4"/>
        <w:bidi w:val="0"/>
        <w:rPr>
          <w:rFonts w:hint="eastAsia" w:ascii="Times New Roman" w:hAnsi="Times New Roman"/>
          <w:lang w:val="zh-CN"/>
        </w:rPr>
      </w:pPr>
      <w:bookmarkStart w:id="72" w:name="_Toc28266"/>
      <w:bookmarkStart w:id="73" w:name="_Toc19722"/>
      <w:r>
        <w:rPr>
          <w:rFonts w:hint="eastAsia" w:ascii="Times New Roman" w:hAnsi="Times New Roman"/>
          <w:lang w:val="zh-CN"/>
        </w:rPr>
        <w:t>（一）机构组成</w:t>
      </w:r>
      <w:bookmarkEnd w:id="72"/>
      <w:bookmarkEnd w:id="73"/>
    </w:p>
    <w:p>
      <w:pPr>
        <w:pStyle w:val="5"/>
        <w:spacing w:line="576" w:lineRule="exact"/>
        <w:ind w:firstLine="819" w:firstLineChars="256"/>
        <w:jc w:val="both"/>
        <w:rPr>
          <w:rFonts w:hint="eastAsia" w:hAnsi="楷体" w:cs="楷体"/>
          <w:sz w:val="32"/>
          <w:szCs w:val="24"/>
        </w:rPr>
      </w:pPr>
      <w:r>
        <w:rPr>
          <w:rFonts w:hint="eastAsia" w:hAnsi="楷体" w:cs="楷体"/>
          <w:sz w:val="32"/>
          <w:szCs w:val="24"/>
        </w:rPr>
        <w:t>中共广元市朝天区委巡察工作领导小组办公室是行政</w:t>
      </w:r>
      <w:r>
        <w:rPr>
          <w:rFonts w:hint="eastAsia" w:hAnsi="楷体" w:cs="楷体"/>
          <w:sz w:val="32"/>
          <w:szCs w:val="24"/>
          <w:lang w:eastAsia="zh-CN"/>
        </w:rPr>
        <w:t>部门</w:t>
      </w:r>
      <w:r>
        <w:rPr>
          <w:rFonts w:hint="eastAsia" w:hAnsi="楷体" w:cs="楷体"/>
          <w:sz w:val="32"/>
          <w:szCs w:val="24"/>
        </w:rPr>
        <w:t>，属一级预算</w:t>
      </w:r>
      <w:r>
        <w:rPr>
          <w:rFonts w:hint="eastAsia" w:hAnsi="楷体" w:cs="楷体"/>
          <w:sz w:val="32"/>
          <w:szCs w:val="24"/>
          <w:lang w:eastAsia="zh-CN"/>
        </w:rPr>
        <w:t>部门</w:t>
      </w:r>
      <w:r>
        <w:rPr>
          <w:rFonts w:hint="eastAsia" w:hAnsi="楷体" w:cs="楷体"/>
          <w:sz w:val="32"/>
          <w:szCs w:val="24"/>
        </w:rPr>
        <w:t>。下设巡察信息中心，属独立编制机构。</w:t>
      </w:r>
    </w:p>
    <w:p>
      <w:pPr>
        <w:pStyle w:val="4"/>
        <w:bidi w:val="0"/>
        <w:rPr>
          <w:rFonts w:hint="eastAsia" w:ascii="Times New Roman" w:hAnsi="Times New Roman"/>
          <w:lang w:val="zh-CN"/>
        </w:rPr>
      </w:pPr>
      <w:bookmarkStart w:id="74" w:name="_Toc20272"/>
      <w:bookmarkStart w:id="75" w:name="_Toc15037"/>
      <w:r>
        <w:rPr>
          <w:rFonts w:hint="eastAsia" w:ascii="Times New Roman" w:hAnsi="Times New Roman"/>
          <w:lang w:val="zh-CN"/>
        </w:rPr>
        <w:t>（</w:t>
      </w:r>
      <w:r>
        <w:rPr>
          <w:rFonts w:hint="eastAsia" w:ascii="Times New Roman" w:hAnsi="Times New Roman"/>
          <w:lang w:val="en-US" w:eastAsia="zh-CN"/>
        </w:rPr>
        <w:t>二</w:t>
      </w:r>
      <w:r>
        <w:rPr>
          <w:rFonts w:hint="eastAsia" w:ascii="Times New Roman" w:hAnsi="Times New Roman"/>
          <w:lang w:val="zh-CN"/>
        </w:rPr>
        <w:t>）机构职能</w:t>
      </w:r>
      <w:bookmarkEnd w:id="74"/>
      <w:bookmarkEnd w:id="75"/>
    </w:p>
    <w:p>
      <w:pPr>
        <w:pStyle w:val="5"/>
        <w:spacing w:line="576" w:lineRule="exact"/>
        <w:ind w:firstLine="640" w:firstLineChars="200"/>
        <w:jc w:val="both"/>
        <w:rPr>
          <w:rFonts w:hint="eastAsia" w:hAnsi="楷体" w:cs="楷体"/>
          <w:sz w:val="32"/>
          <w:szCs w:val="24"/>
        </w:rPr>
      </w:pPr>
      <w:r>
        <w:rPr>
          <w:rFonts w:hint="eastAsia" w:hAnsi="楷体" w:cs="楷体"/>
          <w:sz w:val="32"/>
          <w:szCs w:val="24"/>
        </w:rPr>
        <w:t>（1）贯彻落实中央、省委、市委和区委有关决议、决定；</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（2）研究提出区委巡察工作规划、年度计划和阶段任务安排；</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（3）组织完成一届任期内区委巡察全覆盖任务；</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（4）研究提出每轮区委巡察对象建议名单，巡察组组长、副组长任选以及任务分工；</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（5）听取区委巡察组的巡察情况汇报；</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（6）研究区委巡察成果的运用，分类处置，提出相关意见、建议；</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（7）向区委报告巡察工作情况；</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（8）对区委巡察组进行管理和监督；</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（9）根据领导小组安排，领导小组成员参加区委巡察组的巡察进驻动员会和巡察情况反馈会；</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（10）研究处理巡察工作中的其他重要事项。</w:t>
      </w:r>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（三）人员概况</w:t>
      </w:r>
    </w:p>
    <w:p>
      <w:pPr>
        <w:pStyle w:val="5"/>
        <w:spacing w:line="576" w:lineRule="exact"/>
        <w:jc w:val="both"/>
        <w:rPr>
          <w:rFonts w:hint="eastAsia"/>
          <w:sz w:val="30"/>
          <w:szCs w:val="24"/>
        </w:rPr>
      </w:pPr>
      <w:r>
        <w:rPr>
          <w:rFonts w:hint="eastAsia" w:hAnsi="楷体_GB2312" w:cs="楷体_GB2312"/>
          <w:spacing w:val="-6"/>
          <w:w w:val="99"/>
          <w:sz w:val="32"/>
          <w:szCs w:val="24"/>
        </w:rPr>
        <w:t>2022年末实有工作人员20名，其中15名公务员，5名事业人员。</w:t>
      </w:r>
    </w:p>
    <w:p>
      <w:pPr>
        <w:pStyle w:val="3"/>
        <w:bidi w:val="0"/>
        <w:rPr>
          <w:rFonts w:hint="eastAsia"/>
        </w:rPr>
      </w:pPr>
      <w:bookmarkStart w:id="76" w:name="_Toc8873"/>
      <w:bookmarkStart w:id="77" w:name="_Toc1931"/>
      <w:bookmarkStart w:id="78" w:name="_Toc12178"/>
      <w:r>
        <w:rPr>
          <w:rFonts w:hint="eastAsia"/>
        </w:rPr>
        <w:t>二、部门财政资金收支情况</w:t>
      </w:r>
      <w:bookmarkEnd w:id="76"/>
      <w:bookmarkEnd w:id="77"/>
      <w:bookmarkEnd w:id="78"/>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（一）部门财政资金收入情况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全年财政拨款收入393.76万元。其中：基本支出拨款376.46万元、项目支出拨款37.80万元。</w:t>
      </w:r>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（二）部门财政资金支出情况</w:t>
      </w:r>
    </w:p>
    <w:p>
      <w:pPr>
        <w:widowControl/>
        <w:snapToGrid w:val="0"/>
        <w:spacing w:line="576" w:lineRule="exact"/>
        <w:ind w:firstLine="640" w:firstLineChars="200"/>
        <w:rPr>
          <w:rFonts w:hint="eastAsia" w:ascii="仿宋_GB2312" w:hAnsi="Times New Roman" w:eastAsia="仿宋_GB2312"/>
          <w:color w:val="000000"/>
          <w:sz w:val="32"/>
          <w:szCs w:val="24"/>
          <w:shd w:val="clear" w:color="auto" w:fill="FFFFFF"/>
        </w:rPr>
      </w:pPr>
      <w:r>
        <w:rPr>
          <w:rFonts w:hint="eastAsia" w:ascii="仿宋_GB2312" w:hAnsi="Times New Roman" w:eastAsia="仿宋_GB2312"/>
          <w:color w:val="000000"/>
          <w:sz w:val="32"/>
          <w:szCs w:val="24"/>
          <w:shd w:val="clear" w:color="auto" w:fill="FFFFFF"/>
        </w:rPr>
        <w:t>全年财政拨款支出393.76万元。</w:t>
      </w:r>
    </w:p>
    <w:p>
      <w:pPr>
        <w:pStyle w:val="3"/>
        <w:bidi w:val="0"/>
        <w:rPr>
          <w:rFonts w:hint="eastAsia"/>
        </w:rPr>
      </w:pPr>
      <w:bookmarkStart w:id="79" w:name="_Toc21653"/>
      <w:bookmarkStart w:id="80" w:name="_Toc8994"/>
      <w:bookmarkStart w:id="81" w:name="_Toc10292"/>
      <w:r>
        <w:rPr>
          <w:rFonts w:hint="eastAsia"/>
        </w:rPr>
        <w:t>三、部门整体预算绩效管理情况（根据适用指标体系进行调整）</w:t>
      </w:r>
      <w:bookmarkEnd w:id="79"/>
      <w:bookmarkEnd w:id="80"/>
      <w:bookmarkEnd w:id="81"/>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（一）部门预算项目绩效管理</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一是全面完成八届区委任期内巡察工作。群众反映良好，营造了良好的社会政治生态，全面推进了从严治党，全力提高了群众满意度，让群众幸福指数不断提高，提升了获得感、幸福感。</w:t>
      </w:r>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（二）专项预算管理</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预算完成各项支出，主要用于完成特定的行政工作任务和事业发展目标，用于专项业务工作的经费支出。在资金的使用过程中，我们严格按照相关财经法规、财务管理制度以及区委巡察办内部管理制度，严格按照区财政资金管理办法建帐，审核支出，开支范围和票据合法合规，确保资金合规使用。</w:t>
      </w:r>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（三）结果应用情况</w:t>
      </w:r>
    </w:p>
    <w:p>
      <w:pPr>
        <w:widowControl/>
        <w:snapToGrid w:val="0"/>
        <w:spacing w:line="576" w:lineRule="exact"/>
        <w:ind w:firstLine="640" w:firstLineChars="200"/>
        <w:rPr>
          <w:rFonts w:hint="eastAsia" w:ascii="仿宋_GB2312" w:hAnsi="Times New Roman" w:eastAsia="仿宋_GB2312" w:cs="Times New Roman"/>
          <w:color w:val="000000"/>
          <w:spacing w:val="-6"/>
          <w:w w:val="99"/>
          <w:sz w:val="32"/>
          <w:szCs w:val="32"/>
          <w:shd w:val="clear" w:color="auto" w:fill="FFFFFF"/>
        </w:rPr>
      </w:pPr>
      <w:r>
        <w:rPr>
          <w:rFonts w:hint="eastAsia" w:ascii="仿宋_GB2312" w:hAnsi="仿宋_GB2312" w:eastAsia="仿宋_GB2312" w:cs="仿宋_GB2312"/>
          <w:color w:val="auto"/>
          <w:sz w:val="32"/>
          <w:szCs w:val="32"/>
        </w:rPr>
        <w:t>我部门按照财政局绩效管理要求严格控制资金使用，按照要求及时开展自评并及时公开，暂无收到任何问题清单。</w:t>
      </w:r>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（四）自评质量</w:t>
      </w:r>
    </w:p>
    <w:p>
      <w:pPr>
        <w:pStyle w:val="5"/>
        <w:spacing w:line="576" w:lineRule="exact"/>
        <w:ind w:firstLine="640" w:firstLineChars="200"/>
        <w:jc w:val="both"/>
        <w:rPr>
          <w:rFonts w:hint="eastAsia" w:ascii="楷体" w:hAnsi="楷体" w:eastAsia="楷体" w:cs="楷体"/>
          <w:sz w:val="32"/>
          <w:szCs w:val="24"/>
        </w:rPr>
      </w:pPr>
      <w:r>
        <w:rPr>
          <w:rFonts w:hint="eastAsia" w:ascii="楷体" w:hAnsi="楷体" w:eastAsia="楷体" w:cs="楷体"/>
          <w:sz w:val="32"/>
          <w:szCs w:val="24"/>
        </w:rPr>
        <w:t>（1）报送时效</w:t>
      </w:r>
    </w:p>
    <w:p>
      <w:pPr>
        <w:pStyle w:val="5"/>
        <w:spacing w:line="576" w:lineRule="exact"/>
        <w:ind w:firstLine="640" w:firstLineChars="200"/>
        <w:jc w:val="both"/>
        <w:rPr>
          <w:rFonts w:hint="eastAsia" w:hAnsi="楷体" w:cs="楷体"/>
          <w:sz w:val="32"/>
          <w:szCs w:val="24"/>
        </w:rPr>
      </w:pPr>
      <w:r>
        <w:rPr>
          <w:rFonts w:hint="eastAsia" w:hAnsi="楷体" w:cs="楷体"/>
          <w:sz w:val="32"/>
          <w:szCs w:val="24"/>
        </w:rPr>
        <w:t>按财政部门预算编制要求按时报送至部门预算。</w:t>
      </w:r>
    </w:p>
    <w:p>
      <w:pPr>
        <w:pStyle w:val="5"/>
        <w:spacing w:line="576" w:lineRule="exact"/>
        <w:ind w:firstLine="640" w:firstLineChars="200"/>
        <w:jc w:val="both"/>
        <w:rPr>
          <w:rFonts w:hint="eastAsia" w:ascii="楷体" w:hAnsi="楷体" w:eastAsia="楷体" w:cs="楷体"/>
          <w:sz w:val="32"/>
          <w:szCs w:val="24"/>
        </w:rPr>
      </w:pPr>
      <w:r>
        <w:rPr>
          <w:rFonts w:hint="eastAsia" w:ascii="楷体" w:hAnsi="楷体" w:eastAsia="楷体" w:cs="楷体"/>
          <w:sz w:val="32"/>
          <w:szCs w:val="24"/>
        </w:rPr>
        <w:t>（2）编制质量</w:t>
      </w:r>
    </w:p>
    <w:p>
      <w:pPr>
        <w:pStyle w:val="5"/>
        <w:spacing w:line="576"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部门预算编制完整无漏项，预算编制准确，基础信息和科目使用准确，编制规范，项目名称、绩效指标、项目内容说明等合符规范。</w:t>
      </w:r>
    </w:p>
    <w:p>
      <w:pPr>
        <w:pStyle w:val="3"/>
        <w:bidi w:val="0"/>
        <w:rPr>
          <w:rFonts w:hint="eastAsia"/>
        </w:rPr>
      </w:pPr>
      <w:bookmarkStart w:id="82" w:name="_Toc17496"/>
      <w:bookmarkStart w:id="83" w:name="_Toc21122"/>
      <w:bookmarkStart w:id="84" w:name="_Toc17947"/>
      <w:r>
        <w:rPr>
          <w:rFonts w:hint="eastAsia"/>
        </w:rPr>
        <w:t>四、评价结论及建议</w:t>
      </w:r>
      <w:bookmarkEnd w:id="82"/>
      <w:bookmarkEnd w:id="83"/>
      <w:bookmarkEnd w:id="84"/>
    </w:p>
    <w:p>
      <w:pPr>
        <w:widowControl/>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（一）评价结论</w:t>
      </w:r>
    </w:p>
    <w:p>
      <w:pPr>
        <w:pStyle w:val="5"/>
        <w:spacing w:line="576" w:lineRule="exact"/>
        <w:ind w:firstLine="819" w:firstLineChars="25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委巡察办是区委巡察工作领导小组的日常办事机构，为区委工作部门，承担统筹协调、指导督导、服务保障职责，统筹、协调、指导巡察组工作，向区委和区委巡察工作领导小组负责并报告工作，全面完成八届区委第二轮、第三轮巡察工作的目标任务。</w:t>
      </w:r>
    </w:p>
    <w:p>
      <w:pPr>
        <w:pStyle w:val="5"/>
        <w:spacing w:line="576" w:lineRule="exact"/>
        <w:ind w:firstLine="819" w:firstLineChars="25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委巡察办坚决贯彻落实中央关于建立巡察制度的决策部署，把中央、省委、市委和区委对巡察工作的原则性、概括性的规定具体化、程序化，与时俱进发现新情况、总结新经验、解决新问题，稳中求进推动了巡察制度在朝天落地生根、开花结果，推动新时代巡察工作高质量发展。</w:t>
      </w:r>
    </w:p>
    <w:p>
      <w:pPr>
        <w:widowControl/>
        <w:numPr>
          <w:ilvl w:val="0"/>
          <w:numId w:val="6"/>
        </w:numPr>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存在问题</w:t>
      </w:r>
    </w:p>
    <w:p>
      <w:pPr>
        <w:pStyle w:val="5"/>
        <w:spacing w:line="576"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一是巡察工作面广、量大，自身能力建设力度仍需进一步加大。二是巡察工作专业人员发展不平衡，资金还有所欠缺。</w:t>
      </w:r>
    </w:p>
    <w:p>
      <w:pPr>
        <w:widowControl/>
        <w:numPr>
          <w:ilvl w:val="0"/>
          <w:numId w:val="6"/>
        </w:numPr>
        <w:snapToGrid w:val="0"/>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改进建议</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我们将进一步完善资金的预算申报及使用管理办法，增强资金预算编制的科学性，使预算能够与实际工作任务相符，努力推动朝天巡察工作又好又快的发展。二是建议财政进一步加大对巡察工作业务经费的投入，以满足实际工作的需要。</w:t>
      </w: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firstLine="643"/>
        <w:jc w:val="both"/>
        <w:rPr>
          <w:rFonts w:hint="eastAsia" w:ascii="仿宋_GB2312" w:hAnsi="仿宋_GB2312" w:eastAsia="仿宋_GB2312" w:cs="仿宋_GB2312"/>
          <w:color w:val="auto"/>
          <w:sz w:val="32"/>
          <w:szCs w:val="32"/>
          <w:highlight w:val="none"/>
          <w:lang w:val="en-US" w:eastAsia="zh-CN"/>
        </w:rPr>
      </w:pPr>
    </w:p>
    <w:p>
      <w:pPr>
        <w:spacing w:line="576" w:lineRule="exact"/>
        <w:ind w:left="-1280" w:leftChars="-400" w:firstLine="0" w:firstLineChars="0"/>
        <w:jc w:val="both"/>
        <w:rPr>
          <w:rFonts w:hint="eastAsia" w:ascii="仿宋_GB2312" w:hAnsi="仿宋_GB2312" w:eastAsia="仿宋_GB2312" w:cs="仿宋_GB2312"/>
          <w:color w:val="auto"/>
          <w:sz w:val="32"/>
          <w:szCs w:val="32"/>
          <w:highlight w:val="none"/>
          <w:lang w:val="en-US" w:eastAsia="zh-CN"/>
        </w:rPr>
      </w:pPr>
    </w:p>
    <w:p>
      <w:pPr>
        <w:spacing w:line="576" w:lineRule="exact"/>
        <w:ind w:left="-1280" w:leftChars="-400" w:firstLine="0" w:firstLineChars="0"/>
        <w:jc w:val="both"/>
        <w:rPr>
          <w:rFonts w:hint="eastAsia" w:ascii="仿宋_GB2312" w:hAnsi="仿宋_GB2312" w:eastAsia="仿宋_GB2312" w:cs="仿宋_GB2312"/>
          <w:color w:val="auto"/>
          <w:sz w:val="32"/>
          <w:szCs w:val="32"/>
          <w:highlight w:val="none"/>
          <w:lang w:val="en-US" w:eastAsia="zh-CN"/>
        </w:rPr>
      </w:pPr>
    </w:p>
    <w:tbl>
      <w:tblPr>
        <w:tblStyle w:val="11"/>
        <w:tblW w:w="11300" w:type="dxa"/>
        <w:tblInd w:w="-1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526"/>
        <w:gridCol w:w="1012"/>
        <w:gridCol w:w="1206"/>
        <w:gridCol w:w="501"/>
        <w:gridCol w:w="1471"/>
        <w:gridCol w:w="396"/>
        <w:gridCol w:w="846"/>
        <w:gridCol w:w="576"/>
        <w:gridCol w:w="576"/>
        <w:gridCol w:w="2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280" w:leftChars="-400" w:firstLine="1282" w:firstLineChars="426"/>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年度考核优秀奖励</w:t>
            </w:r>
            <w:r>
              <w:rPr>
                <w:rFonts w:hint="default" w:ascii="宋体" w:hAnsi="宋体" w:eastAsia="宋体" w:cs="宋体"/>
                <w:color w:val="000000"/>
                <w:sz w:val="18"/>
                <w:szCs w:val="18"/>
                <w:lang w:val="en-US" w:eastAsia="zh-CN" w:bidi="ar"/>
              </w:rPr>
              <w:t>。2022年，该预算项目资金按月支付，及时足额发放，预算执行率100%，年末无资金结余情况。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0.60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0.60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职工独子费津贴</w:t>
            </w:r>
            <w:r>
              <w:rPr>
                <w:rFonts w:hint="default" w:ascii="宋体" w:hAnsi="宋体" w:eastAsia="宋体" w:cs="宋体"/>
                <w:color w:val="000000"/>
                <w:sz w:val="18"/>
                <w:szCs w:val="18"/>
                <w:lang w:val="en-US" w:eastAsia="zh-CN" w:bidi="ar"/>
              </w:rPr>
              <w:t>。2022年，该预算项目资金按月支付，及时足额发放，预算执行率100%，年末无资金结余情况。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0.05</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0.05</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15</w:t>
            </w:r>
            <w:r>
              <w:rPr>
                <w:rFonts w:hint="default" w:ascii="宋体" w:hAnsi="宋体" w:eastAsia="宋体" w:cs="宋体"/>
                <w:color w:val="000000"/>
                <w:sz w:val="18"/>
                <w:szCs w:val="18"/>
                <w:lang w:val="en-US" w:eastAsia="zh-CN" w:bidi="ar"/>
              </w:rPr>
              <w:t>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59.92</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59.92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59.92</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59.92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default"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15</w:t>
            </w:r>
            <w:r>
              <w:rPr>
                <w:rFonts w:hint="default" w:ascii="宋体" w:hAnsi="宋体" w:eastAsia="宋体" w:cs="宋体"/>
                <w:color w:val="000000"/>
                <w:sz w:val="18"/>
                <w:szCs w:val="18"/>
                <w:lang w:val="en-US" w:eastAsia="zh-CN" w:bidi="ar"/>
              </w:rPr>
              <w:t>名公务员2022年度车补。2022年，该预算项目资金按季度支付，及时足额发放，预算执行率100%，年末无资金结余情况。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17.21</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17.21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17.21</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17.21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w:t>
            </w: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日常运转，提高预算编制质量，严格执行预算</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0.24</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0.24</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spacing w:line="12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12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15</w:t>
            </w:r>
            <w:r>
              <w:rPr>
                <w:rFonts w:hint="default" w:ascii="宋体" w:hAnsi="宋体" w:eastAsia="宋体" w:cs="宋体"/>
                <w:color w:val="000000"/>
                <w:sz w:val="18"/>
                <w:szCs w:val="18"/>
                <w:lang w:val="en-US" w:eastAsia="zh-CN" w:bidi="ar"/>
              </w:rPr>
              <w:t>名公务员2022年度工资，包括基本工资、津贴补贴等。2022年，该预算项目资金按月支付，及时足额发放，预算执行率100%，年末无资金结余情况。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113.82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142.52</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113.82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142.52</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5名事业人员</w:t>
            </w:r>
            <w:r>
              <w:rPr>
                <w:rFonts w:hint="default" w:ascii="宋体" w:hAnsi="宋体" w:eastAsia="宋体" w:cs="宋体"/>
                <w:color w:val="000000"/>
                <w:sz w:val="18"/>
                <w:szCs w:val="18"/>
                <w:lang w:val="en-US" w:eastAsia="zh-CN" w:bidi="ar"/>
              </w:rPr>
              <w:t>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33.40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11.97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33.40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1</w:t>
            </w:r>
            <w:r>
              <w:rPr>
                <w:rFonts w:hint="eastAsia" w:ascii="宋体" w:hAnsi="宋体" w:cs="宋体"/>
                <w:color w:val="000000"/>
                <w:sz w:val="18"/>
                <w:szCs w:val="18"/>
                <w:lang w:val="en-US" w:eastAsia="zh-CN" w:bidi="ar"/>
              </w:rPr>
              <w:t>5</w:t>
            </w:r>
            <w:r>
              <w:rPr>
                <w:rFonts w:hint="default" w:ascii="宋体" w:hAnsi="宋体" w:eastAsia="宋体" w:cs="宋体"/>
                <w:color w:val="000000"/>
                <w:sz w:val="18"/>
                <w:szCs w:val="18"/>
                <w:lang w:val="en-US" w:eastAsia="zh-CN" w:bidi="ar"/>
              </w:rPr>
              <w:t>名公务员2022年度养老保险缴费等。2022年，该预算项目资金按月支付，及时足额缴纳，预算执行率100%，年末无资金结余情况。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22.70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22.70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5</w:t>
            </w:r>
            <w:r>
              <w:rPr>
                <w:rFonts w:hint="default" w:ascii="宋体" w:hAnsi="宋体" w:eastAsia="宋体" w:cs="宋体"/>
                <w:color w:val="000000"/>
                <w:sz w:val="18"/>
                <w:szCs w:val="18"/>
                <w:lang w:val="en-US" w:eastAsia="zh-CN" w:bidi="ar"/>
              </w:rPr>
              <w:t>名</w:t>
            </w:r>
            <w:r>
              <w:rPr>
                <w:rFonts w:hint="eastAsia" w:ascii="宋体" w:hAnsi="宋体" w:eastAsia="宋体" w:cs="宋体"/>
                <w:color w:val="000000"/>
                <w:sz w:val="18"/>
                <w:szCs w:val="18"/>
                <w:lang w:val="en-US" w:eastAsia="zh-CN" w:bidi="ar"/>
              </w:rPr>
              <w:t>事业人员</w:t>
            </w:r>
            <w:r>
              <w:rPr>
                <w:rFonts w:hint="default" w:ascii="宋体" w:hAnsi="宋体" w:eastAsia="宋体" w:cs="宋体"/>
                <w:color w:val="000000"/>
                <w:sz w:val="18"/>
                <w:szCs w:val="18"/>
                <w:lang w:val="en-US" w:eastAsia="zh-CN" w:bidi="ar"/>
              </w:rPr>
              <w:t>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15</w:t>
            </w:r>
            <w:r>
              <w:rPr>
                <w:rFonts w:hint="default" w:ascii="宋体" w:hAnsi="宋体" w:eastAsia="宋体" w:cs="宋体"/>
                <w:color w:val="000000"/>
                <w:sz w:val="18"/>
                <w:szCs w:val="18"/>
                <w:lang w:val="en-US" w:eastAsia="zh-CN" w:bidi="ar"/>
              </w:rPr>
              <w:t>名公务员2022年度医疗保险缴费等。2022年，该预算项目资金按月支付，及时足额缴纳，预算执行率100%，年末无资金结余情况。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10.99</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10.99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10.99</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default" w:ascii="宋体" w:hAnsi="宋体" w:eastAsia="宋体" w:cs="宋体"/>
                <w:i w:val="0"/>
                <w:iCs w:val="0"/>
                <w:color w:val="000000"/>
                <w:kern w:val="0"/>
                <w:sz w:val="18"/>
                <w:szCs w:val="18"/>
                <w:u w:val="none"/>
                <w:lang w:val="en-US" w:eastAsia="zh-CN" w:bidi="ar"/>
              </w:rPr>
              <w:t>.99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5</w:t>
            </w:r>
            <w:r>
              <w:rPr>
                <w:rFonts w:hint="default" w:ascii="宋体" w:hAnsi="宋体" w:eastAsia="宋体" w:cs="宋体"/>
                <w:color w:val="000000"/>
                <w:sz w:val="18"/>
                <w:szCs w:val="18"/>
                <w:lang w:val="en-US" w:eastAsia="zh-CN" w:bidi="ar"/>
              </w:rPr>
              <w:t>名</w:t>
            </w:r>
            <w:r>
              <w:rPr>
                <w:rFonts w:hint="eastAsia" w:ascii="宋体" w:hAnsi="宋体" w:eastAsia="宋体" w:cs="宋体"/>
                <w:color w:val="000000"/>
                <w:sz w:val="18"/>
                <w:szCs w:val="18"/>
                <w:lang w:val="en-US" w:eastAsia="zh-CN" w:bidi="ar"/>
              </w:rPr>
              <w:t>事业人员2</w:t>
            </w:r>
            <w:r>
              <w:rPr>
                <w:rFonts w:hint="default" w:ascii="宋体" w:hAnsi="宋体" w:eastAsia="宋体" w:cs="宋体"/>
                <w:color w:val="000000"/>
                <w:sz w:val="18"/>
                <w:szCs w:val="18"/>
                <w:lang w:val="en-US" w:eastAsia="zh-CN" w:bidi="ar"/>
              </w:rPr>
              <w:t>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2.67</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2.67</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default"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15</w:t>
            </w:r>
            <w:r>
              <w:rPr>
                <w:rFonts w:hint="default" w:ascii="宋体" w:hAnsi="宋体" w:eastAsia="宋体" w:cs="宋体"/>
                <w:color w:val="000000"/>
                <w:sz w:val="18"/>
                <w:szCs w:val="18"/>
                <w:lang w:val="en-US" w:eastAsia="zh-CN" w:bidi="ar"/>
              </w:rPr>
              <w:t>名公务员2022年度住房公积金缴费等。2022年，该预算项目资金按月支付，及时足额缴纳，预算执行率100%，年末无资金结余情况。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21.76</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21.76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21.76</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21.76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5</w:t>
            </w:r>
            <w:r>
              <w:rPr>
                <w:rFonts w:hint="default" w:ascii="宋体" w:hAnsi="宋体" w:eastAsia="宋体" w:cs="宋体"/>
                <w:color w:val="000000"/>
                <w:sz w:val="18"/>
                <w:szCs w:val="18"/>
                <w:lang w:val="en-US" w:eastAsia="zh-CN" w:bidi="ar"/>
              </w:rPr>
              <w:t>名</w:t>
            </w:r>
            <w:r>
              <w:rPr>
                <w:rFonts w:hint="eastAsia" w:ascii="宋体" w:hAnsi="宋体" w:eastAsia="宋体" w:cs="宋体"/>
                <w:color w:val="000000"/>
                <w:sz w:val="18"/>
                <w:szCs w:val="18"/>
                <w:lang w:val="en-US" w:eastAsia="zh-CN" w:bidi="ar"/>
              </w:rPr>
              <w:t>事业人</w:t>
            </w:r>
            <w:r>
              <w:rPr>
                <w:rFonts w:hint="default" w:ascii="宋体" w:hAnsi="宋体" w:eastAsia="宋体" w:cs="宋体"/>
                <w:color w:val="000000"/>
                <w:sz w:val="18"/>
                <w:szCs w:val="18"/>
                <w:lang w:val="en-US" w:eastAsia="zh-CN" w:bidi="ar"/>
              </w:rPr>
              <w:t>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5.57</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5.57</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eastAsia="宋体" w:cs="宋体"/>
                <w:color w:val="000000"/>
                <w:sz w:val="18"/>
                <w:szCs w:val="18"/>
                <w:lang w:val="en-US" w:eastAsia="zh-CN" w:bidi="ar"/>
              </w:rPr>
              <w:t>5</w:t>
            </w:r>
            <w:r>
              <w:rPr>
                <w:rFonts w:hint="default" w:ascii="宋体" w:hAnsi="宋体" w:eastAsia="宋体" w:cs="宋体"/>
                <w:color w:val="000000"/>
                <w:sz w:val="18"/>
                <w:szCs w:val="18"/>
                <w:lang w:val="en-US" w:eastAsia="zh-CN" w:bidi="ar"/>
              </w:rPr>
              <w:t>名</w:t>
            </w:r>
            <w:r>
              <w:rPr>
                <w:rFonts w:hint="eastAsia" w:ascii="宋体" w:hAnsi="宋体" w:eastAsia="宋体" w:cs="宋体"/>
                <w:color w:val="000000"/>
                <w:sz w:val="18"/>
                <w:szCs w:val="18"/>
                <w:lang w:val="en-US" w:eastAsia="zh-CN" w:bidi="ar"/>
              </w:rPr>
              <w:t>事业人</w:t>
            </w:r>
            <w:r>
              <w:rPr>
                <w:rFonts w:hint="default" w:ascii="宋体" w:hAnsi="宋体" w:eastAsia="宋体" w:cs="宋体"/>
                <w:color w:val="000000"/>
                <w:sz w:val="18"/>
                <w:szCs w:val="18"/>
                <w:lang w:val="en-US" w:eastAsia="zh-CN" w:bidi="ar"/>
              </w:rPr>
              <w:t>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按时发放率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结余率（计算方法为：结余数/预算数）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51081222T000005571657-巡察工作经费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完成上级下达的专项巡察任务，保障巡察机构工作正常运转，营造风清气正的良好社会政治生态，全面推进从严治党。</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完成上级下达的专项巡察任务，保障巡察机构工作正常运转，营造风清气正的良好社会政治生态，全面推进从严治党。</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项目资金</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iCs/>
                <w:color w:val="000000"/>
                <w:sz w:val="18"/>
                <w:szCs w:val="18"/>
                <w:u w:val="none"/>
                <w:lang w:val="en-US" w:eastAsia="zh-CN"/>
              </w:rPr>
            </w:pPr>
            <w:r>
              <w:rPr>
                <w:rFonts w:hint="eastAsia" w:ascii="宋体" w:hAnsi="宋体" w:eastAsia="宋体" w:cs="宋体"/>
                <w:i/>
                <w:iCs/>
                <w:color w:val="000000"/>
                <w:sz w:val="18"/>
                <w:szCs w:val="18"/>
                <w:u w:val="none"/>
                <w:lang w:val="en-US" w:eastAsia="zh-CN"/>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51081222T000005938416-巡察工作培训费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目标1：注重巡前培训，强化巡察干部充电蓄能，培训数量达到≥19人/次。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目标2：通过能手带新手，引领、知道新任巡察干部将巡察理论与实践有机结合，提高巡察干部工作技能</w:t>
            </w:r>
            <w:r>
              <w:rPr>
                <w:rFonts w:hint="eastAsia" w:ascii="宋体" w:hAnsi="宋体" w:eastAsia="宋体" w:cs="宋体"/>
                <w:i w:val="0"/>
                <w:iCs w:val="0"/>
                <w:color w:val="000000"/>
                <w:kern w:val="0"/>
                <w:sz w:val="18"/>
                <w:szCs w:val="18"/>
                <w:u w:val="none"/>
                <w:lang w:val="en-US" w:eastAsia="zh-CN" w:bidi="ar"/>
              </w:rPr>
              <w:t>。</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重巡前培训，强化巡察干部充电蓄能，通过能手带新手，引领、知道新任巡察干部将巡察理论与实践有机结合，提高巡察干部工作技能</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培训数量</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培训覆盖率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完成时效</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成本控制率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提高巡察干部工作技能</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培训对象满意度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51081222T000005938479-办公设备购置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目标1：保障巡察机构日常工作的正常运转，购置办公设备数量≥7台电脑设备，≥5台办公桌椅等。</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目标2：提高办公效率。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kern w:val="0"/>
                <w:sz w:val="18"/>
                <w:szCs w:val="18"/>
                <w:u w:val="none"/>
                <w:lang w:val="en-US" w:eastAsia="zh-CN" w:bidi="ar"/>
              </w:rPr>
              <w:t>保障巡察机构日常工作的正常运转</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提高办公效率。</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办公设备数量</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验收合格率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完成时效</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购置成本</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提高办公效率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使用者满意度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51081222T000005938986-涉密网络运行维护费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根据中央、省、市要求，市纪委监委组建磋商小组对市县（区）巡察机构、县区纪委监委涉密信息系统（安可替代）分级保护建设项目。促进朝天区委巡察办涉密系统正常运行。</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根据中央、省、市要求，市纪委监委组件磋商小组对市县（区）巡察机构、县区纪委监委涉密信息系统（安可替代）分级保护建设项目。促进朝天区委巡察办涉密系统正常运行。</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涉密系统</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验收合格率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按时间节点完成</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维护成本</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促进朝天区委巡察办涉密系统正常运行</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使用对象满意度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51081222T000005939037-巡察办业务经费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目标1：保障巡察机构工作人员稳定，确保巡察工作正常开展。</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目标2：确保巡察工作正常运转，按期完成八届区委2022年度两轮常规巡察工作（24个</w:t>
            </w: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目标3：完成上级下达的专项巡察任务，保障巡察机构工作正常运转，营造风清气正的良好社会政治生态，全面推进从严治党。</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保障巡察机构工作人员稳定，确保巡察工作正常开展。按期完成八届区委2022年度两轮常规巡察工作</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完成上级下达的专项巡察任务，营造风清气正的良好社会政治生态，全面推进从严治党。</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巡察</w:t>
            </w: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数量</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资金使用合规率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完成时效</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巡察工作成本</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保障巡察机构工作正常运转，营造风清气正的良好社会政治生态，全面推进从严治党。</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群众对巡察工作满意度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51081222T000007159951-巡视巡察信息化建设视频终端经费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纪委监委纪检监察涉密信息系统（安可替代）分级保护建设替换（含新增）涉密网络的计算机终端、操作系统等软硬件基础建设,保证朝天区委巡察办涉密系统正常运行</w:t>
            </w:r>
            <w:r>
              <w:rPr>
                <w:rFonts w:hint="eastAsia" w:ascii="宋体" w:hAnsi="宋体" w:eastAsia="宋体" w:cs="宋体"/>
                <w:i w:val="0"/>
                <w:iCs w:val="0"/>
                <w:color w:val="000000"/>
                <w:sz w:val="18"/>
                <w:szCs w:val="18"/>
                <w:u w:val="none"/>
                <w:lang w:eastAsia="zh-CN"/>
              </w:rPr>
              <w:t>。</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纪委监委纪检监察涉密信息系统（安可替代）分级保护建设替换（含新增）涉密网络的计算机终端、操作系统等软硬件基础建设,保证朝天区委巡察办涉密系统正常运行,</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项目资金</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w:t>
            </w: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日常运转。</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17.45</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17.45</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w:t>
            </w: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日常运转。</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7.40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7.40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01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03"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489"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2567" w:type="dxa"/>
            <w:tcBorders>
              <w:top w:val="nil"/>
              <w:left w:val="nil"/>
              <w:bottom w:val="nil"/>
              <w:right w:val="nil"/>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51081223T000008141464-八届区委第二轮巡察工作经费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中共广元市朝天区委巡察工作领导小组办公室部门</w:t>
            </w:r>
          </w:p>
        </w:tc>
        <w:tc>
          <w:tcPr>
            <w:tcW w:w="846" w:type="dxa"/>
            <w:tcBorders>
              <w:top w:val="nil"/>
              <w:left w:val="nil"/>
              <w:bottom w:val="nil"/>
              <w:right w:val="nil"/>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实施部门 （盖章）</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中共广元市朝天区委巡察工作领导小组办公室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4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74"/>
              </w:tabs>
              <w:spacing w:line="240" w:lineRule="auto"/>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确保巡察工作正常运转，按期完成八届区委</w:t>
            </w:r>
            <w:r>
              <w:rPr>
                <w:rFonts w:hint="eastAsia" w:ascii="宋体" w:hAnsi="宋体" w:eastAsia="宋体" w:cs="宋体"/>
                <w:i w:val="0"/>
                <w:iCs w:val="0"/>
                <w:color w:val="000000"/>
                <w:sz w:val="18"/>
                <w:szCs w:val="18"/>
                <w:u w:val="none"/>
                <w:lang w:val="en-US" w:eastAsia="zh-CN"/>
              </w:rPr>
              <w:t>第二</w:t>
            </w:r>
            <w:r>
              <w:rPr>
                <w:rFonts w:hint="eastAsia" w:ascii="宋体" w:hAnsi="宋体" w:eastAsia="宋体" w:cs="宋体"/>
                <w:i w:val="0"/>
                <w:iCs w:val="0"/>
                <w:color w:val="000000"/>
                <w:sz w:val="18"/>
                <w:szCs w:val="18"/>
                <w:u w:val="none"/>
                <w:lang w:eastAsia="zh-CN"/>
              </w:rPr>
              <w:t>轮常规巡察工作。完成上级下达的专项巡察任务，保障巡察机构工作正常运转，营造风清气正的良好社会政治生态，全面推进从严治党。</w:t>
            </w:r>
          </w:p>
        </w:tc>
        <w:tc>
          <w:tcPr>
            <w:tcW w:w="4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0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确保巡察工作正常运转，按期完成八届区委</w:t>
            </w:r>
            <w:r>
              <w:rPr>
                <w:rFonts w:hint="eastAsia" w:ascii="宋体" w:hAnsi="宋体" w:eastAsia="宋体" w:cs="宋体"/>
                <w:i w:val="0"/>
                <w:iCs w:val="0"/>
                <w:color w:val="000000"/>
                <w:sz w:val="18"/>
                <w:szCs w:val="18"/>
                <w:u w:val="none"/>
                <w:lang w:val="en-US" w:eastAsia="zh-CN"/>
              </w:rPr>
              <w:t>第二</w:t>
            </w:r>
            <w:r>
              <w:rPr>
                <w:rFonts w:hint="eastAsia" w:ascii="宋体" w:hAnsi="宋体" w:eastAsia="宋体" w:cs="宋体"/>
                <w:i w:val="0"/>
                <w:iCs w:val="0"/>
                <w:color w:val="000000"/>
                <w:sz w:val="18"/>
                <w:szCs w:val="18"/>
                <w:u w:val="none"/>
                <w:lang w:eastAsia="zh-CN"/>
              </w:rPr>
              <w:t>轮常规巡察工作。完成上级下达的专项巡察任务，保障巡察机构工作正常运转，营造风清气正的良好社会政治生态，全面推进从严治党。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r>
              <w:rPr>
                <w:rFonts w:hint="default" w:ascii="宋体" w:hAnsi="宋体" w:eastAsia="宋体" w:cs="宋体"/>
                <w:i w:val="0"/>
                <w:iCs w:val="0"/>
                <w:color w:val="000000"/>
                <w:kern w:val="0"/>
                <w:sz w:val="18"/>
                <w:szCs w:val="18"/>
                <w:u w:val="none"/>
                <w:lang w:val="en-US" w:eastAsia="zh-CN" w:bidi="ar"/>
              </w:rPr>
              <w:t>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w:t>
            </w:r>
            <w:r>
              <w:rPr>
                <w:rFonts w:hint="eastAsia" w:ascii="宋体" w:hAnsi="宋体" w:eastAsia="宋体" w:cs="宋体"/>
                <w:i w:val="0"/>
                <w:iCs w:val="0"/>
                <w:color w:val="000000"/>
                <w:kern w:val="0"/>
                <w:sz w:val="18"/>
                <w:szCs w:val="18"/>
                <w:u w:val="none"/>
                <w:lang w:val="en-US" w:eastAsia="zh-CN" w:bidi="ar"/>
              </w:rPr>
              <w:t>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产出指标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项目资金</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项目实施达到了预期的经济效益、社会效益，绩效目标完全实现，为我办在下一年工作推进和预算安排上提供了对比数据。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项目负责人：任学义</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财务负责人：卢婷</w:t>
            </w:r>
          </w:p>
        </w:tc>
      </w:tr>
    </w:tbl>
    <w:p>
      <w:pPr>
        <w:pStyle w:val="5"/>
        <w:spacing w:line="576" w:lineRule="exact"/>
        <w:jc w:val="both"/>
        <w:rPr>
          <w:rFonts w:hint="eastAsia"/>
          <w:sz w:val="30"/>
          <w:szCs w:val="24"/>
        </w:rPr>
      </w:pPr>
    </w:p>
    <w:p>
      <w:pPr>
        <w:spacing w:line="560" w:lineRule="exact"/>
        <w:ind w:firstLine="4740" w:firstLineChars="1500"/>
        <w:rPr>
          <w:rFonts w:hint="default" w:ascii="Arial" w:hAnsi="Arial" w:eastAsia="仿宋_GB2312" w:cs="Arial"/>
          <w:w w:val="99"/>
          <w:sz w:val="32"/>
          <w:szCs w:val="32"/>
        </w:rPr>
      </w:pPr>
    </w:p>
    <w:p>
      <w:pPr>
        <w:spacing w:line="560" w:lineRule="exact"/>
        <w:ind w:firstLine="4740" w:firstLineChars="1500"/>
        <w:rPr>
          <w:rFonts w:hint="default" w:ascii="Arial" w:hAnsi="Arial" w:eastAsia="仿宋_GB2312" w:cs="Arial"/>
          <w:w w:val="99"/>
          <w:sz w:val="32"/>
          <w:szCs w:val="32"/>
        </w:rPr>
      </w:pPr>
    </w:p>
    <w:p>
      <w:pPr>
        <w:rPr>
          <w:rFonts w:hint="default"/>
          <w:sz w:val="24"/>
          <w:szCs w:val="24"/>
        </w:rPr>
      </w:pPr>
    </w:p>
    <w:p>
      <w:pPr>
        <w:pStyle w:val="5"/>
        <w:rPr>
          <w:rFonts w:hint="eastAsia"/>
          <w:sz w:val="30"/>
          <w:szCs w:val="24"/>
        </w:rPr>
        <w:sectPr>
          <w:pgSz w:w="11906" w:h="16838"/>
          <w:pgMar w:top="2098" w:right="1474" w:bottom="1984" w:left="1587" w:header="851" w:footer="992" w:gutter="0"/>
          <w:lnNumType w:countBy="0" w:distance="360"/>
          <w:cols w:space="720" w:num="1"/>
          <w:docGrid w:type="lines" w:linePitch="312" w:charSpace="0"/>
        </w:sectPr>
      </w:pPr>
    </w:p>
    <w:p>
      <w:pPr>
        <w:pStyle w:val="2"/>
        <w:bidi w:val="0"/>
        <w:rPr>
          <w:rFonts w:hint="eastAsia"/>
        </w:rPr>
      </w:pPr>
      <w:bookmarkStart w:id="85" w:name="_Toc32507"/>
      <w:bookmarkStart w:id="86" w:name="_Toc11290"/>
      <w:bookmarkStart w:id="87" w:name="_Toc28019"/>
      <w:r>
        <w:rPr>
          <w:rFonts w:hint="eastAsia"/>
        </w:rPr>
        <w:t>巡察工作培训项目支出绩效评价报告</w:t>
      </w:r>
      <w:bookmarkEnd w:id="85"/>
      <w:bookmarkEnd w:id="86"/>
      <w:bookmarkEnd w:id="87"/>
    </w:p>
    <w:p>
      <w:pPr>
        <w:pStyle w:val="3"/>
        <w:bidi w:val="0"/>
        <w:outlineLvl w:val="9"/>
        <w:rPr>
          <w:rFonts w:hint="eastAsia"/>
        </w:rPr>
      </w:pPr>
      <w:bookmarkStart w:id="88" w:name="_Toc27377"/>
    </w:p>
    <w:p>
      <w:pPr>
        <w:pStyle w:val="3"/>
        <w:bidi w:val="0"/>
        <w:rPr>
          <w:rFonts w:hint="eastAsia"/>
        </w:rPr>
      </w:pPr>
      <w:bookmarkStart w:id="89" w:name="_Toc14826"/>
      <w:bookmarkStart w:id="90" w:name="_Toc17841"/>
      <w:r>
        <w:rPr>
          <w:rFonts w:hint="eastAsia"/>
        </w:rPr>
        <w:t>一、项目概况</w:t>
      </w:r>
      <w:bookmarkEnd w:id="88"/>
      <w:bookmarkEnd w:id="89"/>
      <w:bookmarkEnd w:id="90"/>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为规范中共广元市朝天区委巡察工作领导小组办公室（以下简称区委巡察办）工作，根据《</w:t>
      </w:r>
      <w:bookmarkStart w:id="164" w:name="_GoBack"/>
      <w:bookmarkEnd w:id="164"/>
      <w:r>
        <w:rPr>
          <w:rFonts w:hint="eastAsia" w:ascii="仿宋_GB2312" w:hAnsi="仿宋_GB2312" w:eastAsia="仿宋_GB2312" w:cs="仿宋_GB2312"/>
          <w:color w:val="auto"/>
          <w:sz w:val="32"/>
          <w:szCs w:val="32"/>
          <w:lang w:eastAsia="zh-CN"/>
        </w:rPr>
        <w:t>中国共产党</w:t>
      </w:r>
      <w:r>
        <w:rPr>
          <w:rFonts w:hint="eastAsia" w:ascii="仿宋_GB2312" w:hAnsi="仿宋_GB2312" w:eastAsia="仿宋_GB2312" w:cs="仿宋_GB2312"/>
          <w:color w:val="auto"/>
          <w:sz w:val="32"/>
          <w:szCs w:val="32"/>
        </w:rPr>
        <w:t>巡视工作条例》、中共中央办公厅《关于市县党委建立巡察制度的意见》和《四川省市（州）县（市、区）党委巡察工作办法》、区委《关于全面开展巡察工作的实施意见》等党内法规制度规定，结合我区实际，制定本规则。</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区委巡察办是区委巡察工作领导小组的日常办事机构，为区委工作部门，承担统筹协调、指导督导、服务保障等职责，统筹、协调、指导巡察组工作，向区委和区委巡察工作领导小组负责并报告工作。</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根据常规巡察工作需要，每启动新一轮巡察，将组织全区巡察干部开展培训，印发相关培训资料，并会邀请市上老师现场讲课、指导等，会产生相关费用。</w:t>
      </w:r>
    </w:p>
    <w:p>
      <w:pPr>
        <w:pStyle w:val="3"/>
        <w:bidi w:val="0"/>
        <w:rPr>
          <w:rFonts w:hint="eastAsia"/>
        </w:rPr>
      </w:pPr>
      <w:bookmarkStart w:id="91" w:name="_Toc22880"/>
      <w:bookmarkStart w:id="92" w:name="_Toc29654"/>
      <w:bookmarkStart w:id="93" w:name="_Toc17059"/>
      <w:r>
        <w:rPr>
          <w:rFonts w:hint="eastAsia"/>
        </w:rPr>
        <w:t>二、项目实施及管理情况</w:t>
      </w:r>
      <w:bookmarkEnd w:id="91"/>
      <w:bookmarkEnd w:id="92"/>
      <w:bookmarkEnd w:id="93"/>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（一）资金计划、到位及使用情况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1.资金计划及到位。2022年巡察工作培训经费预算2.00万元，实际到位资金2.00万元，到位率100%，到位资金及时。</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金使用。2022年全年支出巡察工作培训经费2.00万元，主要用于巡察前期的培训、教材及资料印刷、劳务费及差旅费等支出。教材及资料印刷等支出都严格按照要求，进行了价格比选，差旅费等费用均按区人民政府标准执行，所有支出均合规合法，资金支付与预算相符，且支出均衡，没有超标准支出的现象。</w:t>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（二）项目财务管理情况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1.依法设立会计机构，分设了出纳。</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2.内部管理制度。内部财务管理制度健全，主要建立了《货币资金管理制度》、《岗位责任书》、《财务费用审批制度》、《会计档案管理制度》、《资产管理制度》等。</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（三）项目组织实施情况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1.制定巡察工作培训方案。在每轮巡察启动前，对各巡察专员进行一轮系统性的培训，包括政策法规、“三个聚焦”、“五个紧盯”等方面问题。</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2.积极搭建“巡察微课堂”，每期安排1名巡察干部结合工作经历，就巡察团队建设、巡察工作沟通协调、巡察报告的撰写和修改等方面开奖，以讲促学，并交流讨论作出总结。</w:t>
      </w:r>
    </w:p>
    <w:p>
      <w:pPr>
        <w:pStyle w:val="3"/>
        <w:bidi w:val="0"/>
        <w:rPr>
          <w:rFonts w:hint="eastAsia"/>
        </w:rPr>
      </w:pPr>
      <w:bookmarkStart w:id="94" w:name="_Toc19502"/>
      <w:bookmarkStart w:id="95" w:name="_Toc17356"/>
      <w:bookmarkStart w:id="96" w:name="_Toc318"/>
      <w:r>
        <w:rPr>
          <w:rFonts w:hint="eastAsia"/>
        </w:rPr>
        <w:t>三、项目绩效情况</w:t>
      </w:r>
      <w:bookmarkEnd w:id="94"/>
      <w:bookmarkEnd w:id="95"/>
      <w:bookmarkEnd w:id="96"/>
      <w:r>
        <w:rPr>
          <w:rFonts w:hint="eastAsia"/>
        </w:rPr>
        <w:tab/>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（一）项目完成情况</w:t>
      </w:r>
    </w:p>
    <w:p>
      <w:pPr>
        <w:spacing w:line="576" w:lineRule="exact"/>
        <w:ind w:firstLine="616" w:firstLineChars="200"/>
        <w:rPr>
          <w:rFonts w:hint="eastAsia" w:ascii="仿宋_GB2312" w:hAnsi="Times New Roman" w:eastAsia="仿宋_GB2312"/>
          <w:spacing w:val="-6"/>
          <w:sz w:val="32"/>
          <w:szCs w:val="24"/>
        </w:rPr>
      </w:pPr>
      <w:r>
        <w:rPr>
          <w:rFonts w:hint="eastAsia" w:ascii="仿宋_GB2312" w:hAnsi="Times New Roman" w:eastAsia="仿宋_GB2312"/>
          <w:spacing w:val="-6"/>
          <w:sz w:val="32"/>
          <w:szCs w:val="24"/>
        </w:rPr>
        <w:t>全年</w:t>
      </w:r>
      <w:r>
        <w:rPr>
          <w:rFonts w:hint="eastAsia" w:ascii="仿宋_GB2312" w:hAnsi="Times New Roman" w:eastAsia="仿宋_GB2312"/>
          <w:spacing w:val="-6"/>
          <w:sz w:val="32"/>
          <w:szCs w:val="24"/>
          <w:lang w:val="en-US" w:eastAsia="zh-CN"/>
        </w:rPr>
        <w:t>共集中培训2次，约25人/次</w:t>
      </w:r>
      <w:r>
        <w:rPr>
          <w:rFonts w:hint="eastAsia" w:ascii="仿宋_GB2312" w:hAnsi="Times New Roman" w:eastAsia="仿宋_GB2312"/>
          <w:spacing w:val="-6"/>
          <w:sz w:val="32"/>
          <w:szCs w:val="24"/>
        </w:rPr>
        <w:t>。</w:t>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（二）项目效益情况</w:t>
      </w:r>
    </w:p>
    <w:p>
      <w:pPr>
        <w:spacing w:line="576" w:lineRule="exact"/>
        <w:ind w:firstLine="616" w:firstLineChars="200"/>
        <w:rPr>
          <w:rFonts w:hint="eastAsia" w:ascii="仿宋_GB2312" w:hAnsi="??_GB2312" w:eastAsia="仿宋_GB2312" w:cs="??_GB2312"/>
          <w:spacing w:val="-6"/>
          <w:sz w:val="32"/>
          <w:szCs w:val="32"/>
        </w:rPr>
      </w:pPr>
      <w:r>
        <w:rPr>
          <w:rFonts w:hint="eastAsia" w:ascii="仿宋_GB2312" w:hAnsi="宋体" w:eastAsia="仿宋_GB2312" w:cs="宋体"/>
          <w:spacing w:val="-6"/>
          <w:sz w:val="32"/>
          <w:szCs w:val="32"/>
        </w:rPr>
        <w:t>将领导小组审定的巡察机构纪律作风综合评估结果作为巡察干部日常监督管理、评先评优和抽调、挂职干部考核鉴定的重要依据。</w:t>
      </w:r>
    </w:p>
    <w:p>
      <w:pPr>
        <w:pStyle w:val="3"/>
        <w:bidi w:val="0"/>
        <w:rPr>
          <w:rFonts w:hint="eastAsia"/>
        </w:rPr>
      </w:pPr>
      <w:bookmarkStart w:id="97" w:name="_Toc15696"/>
      <w:bookmarkStart w:id="98" w:name="_Toc7215"/>
      <w:bookmarkStart w:id="99" w:name="_Toc21980"/>
      <w:r>
        <w:rPr>
          <w:rFonts w:hint="eastAsia"/>
        </w:rPr>
        <w:t>四、问题及建议</w:t>
      </w:r>
      <w:bookmarkEnd w:id="97"/>
      <w:bookmarkEnd w:id="98"/>
      <w:bookmarkEnd w:id="99"/>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（一）存在的问题</w:t>
      </w:r>
    </w:p>
    <w:p>
      <w:pPr>
        <w:spacing w:line="576" w:lineRule="exact"/>
        <w:ind w:firstLine="616" w:firstLineChars="200"/>
        <w:rPr>
          <w:rFonts w:hint="eastAsia" w:ascii="仿宋_GB2312" w:hAnsi="Times New Roman" w:eastAsia="仿宋_GB2312"/>
          <w:spacing w:val="-6"/>
          <w:sz w:val="32"/>
          <w:szCs w:val="24"/>
        </w:rPr>
      </w:pPr>
      <w:r>
        <w:rPr>
          <w:rFonts w:hint="eastAsia" w:ascii="仿宋_GB2312" w:hAnsi="Times New Roman" w:eastAsia="仿宋_GB2312"/>
          <w:spacing w:val="-6"/>
          <w:sz w:val="32"/>
          <w:szCs w:val="24"/>
        </w:rPr>
        <w:t>无存在的问题。</w:t>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（二）相关建议</w:t>
      </w:r>
    </w:p>
    <w:p>
      <w:pPr>
        <w:spacing w:line="576" w:lineRule="exact"/>
        <w:ind w:firstLine="643"/>
        <w:jc w:val="both"/>
        <w:rPr>
          <w:rFonts w:hint="eastAsia" w:ascii="仿宋_GB2312" w:hAnsi="仿宋_GB2312" w:eastAsia="仿宋_GB2312" w:cs="仿宋_GB2312"/>
          <w:color w:val="auto"/>
          <w:sz w:val="32"/>
          <w:szCs w:val="32"/>
          <w:lang w:val="en-US" w:eastAsia="zh-CN"/>
        </w:rPr>
        <w:sectPr>
          <w:pgSz w:w="12240" w:h="15840"/>
          <w:pgMar w:top="1440" w:right="1800" w:bottom="1440" w:left="1800" w:header="720" w:footer="720" w:gutter="0"/>
          <w:lnNumType w:countBy="0" w:distance="360"/>
          <w:cols w:space="720" w:num="1"/>
        </w:sectPr>
      </w:pPr>
      <w:r>
        <w:rPr>
          <w:rFonts w:hint="eastAsia" w:ascii="仿宋_GB2312" w:hAnsi="仿宋_GB2312" w:eastAsia="仿宋_GB2312" w:cs="仿宋_GB2312"/>
          <w:color w:val="auto"/>
          <w:sz w:val="32"/>
          <w:szCs w:val="32"/>
        </w:rPr>
        <w:t>要继续从严监督管理，严格按照巡察程序办事，建立完善巡察人才库，建立培训考核制度和激励约束机制，培养骨干力量，增强队伍生机活力。加强机构规范化建设，适应巡察工作新形势新任务，加强巡察机构组织队伍建设</w:t>
      </w:r>
      <w:r>
        <w:rPr>
          <w:rFonts w:hint="eastAsia" w:ascii="仿宋_GB2312" w:hAnsi="仿宋_GB2312" w:eastAsia="仿宋_GB2312" w:cs="仿宋_GB2312"/>
          <w:color w:val="auto"/>
          <w:sz w:val="32"/>
          <w:szCs w:val="32"/>
          <w:lang w:eastAsia="zh-CN"/>
        </w:rPr>
        <w:t>。</w:t>
      </w:r>
    </w:p>
    <w:p>
      <w:pPr>
        <w:pStyle w:val="2"/>
        <w:bidi w:val="0"/>
        <w:rPr>
          <w:rFonts w:hint="eastAsia"/>
        </w:rPr>
      </w:pPr>
      <w:bookmarkStart w:id="100" w:name="_Toc20884"/>
      <w:bookmarkStart w:id="101" w:name="_Toc27360"/>
      <w:bookmarkStart w:id="102" w:name="_Toc3988"/>
      <w:r>
        <w:rPr>
          <w:rFonts w:hint="eastAsia"/>
        </w:rPr>
        <w:t>办公设备购置项目支出绩效评价报告</w:t>
      </w:r>
      <w:bookmarkEnd w:id="100"/>
      <w:bookmarkEnd w:id="101"/>
      <w:bookmarkEnd w:id="102"/>
    </w:p>
    <w:p>
      <w:pPr>
        <w:pStyle w:val="3"/>
        <w:bidi w:val="0"/>
        <w:outlineLvl w:val="9"/>
        <w:rPr>
          <w:rFonts w:hint="eastAsia"/>
        </w:rPr>
      </w:pPr>
      <w:bookmarkStart w:id="103" w:name="_Toc32682"/>
    </w:p>
    <w:p>
      <w:pPr>
        <w:pStyle w:val="3"/>
        <w:bidi w:val="0"/>
        <w:rPr>
          <w:rFonts w:hint="eastAsia"/>
        </w:rPr>
      </w:pPr>
      <w:bookmarkStart w:id="104" w:name="_Toc1672"/>
      <w:bookmarkStart w:id="105" w:name="_Toc12563"/>
      <w:r>
        <w:rPr>
          <w:rFonts w:hint="eastAsia"/>
        </w:rPr>
        <w:t>一、项目概况</w:t>
      </w:r>
      <w:bookmarkEnd w:id="103"/>
      <w:bookmarkEnd w:id="104"/>
      <w:bookmarkEnd w:id="105"/>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为规范中共广元市朝天区委巡察工作领导小组办公室（以下简称区委巡察办）工作，根据《</w:t>
      </w:r>
      <w:r>
        <w:rPr>
          <w:rFonts w:hint="eastAsia" w:ascii="仿宋_GB2312" w:hAnsi="仿宋_GB2312" w:eastAsia="仿宋_GB2312" w:cs="仿宋_GB2312"/>
          <w:color w:val="auto"/>
          <w:sz w:val="32"/>
          <w:szCs w:val="32"/>
          <w:lang w:eastAsia="zh-CN"/>
        </w:rPr>
        <w:t>中国共产党</w:t>
      </w:r>
      <w:r>
        <w:rPr>
          <w:rFonts w:hint="eastAsia" w:ascii="仿宋_GB2312" w:hAnsi="仿宋_GB2312" w:eastAsia="仿宋_GB2312" w:cs="仿宋_GB2312"/>
          <w:color w:val="auto"/>
          <w:sz w:val="32"/>
          <w:szCs w:val="32"/>
        </w:rPr>
        <w:t>巡视工作条例》、中共中央办公厅《关于市县党委建立巡察制度的意见》和《四川省市（州）县（市、区）党委巡察工作办法》、区委《关于全面开展巡察工作的实施意见》等党内法规制度规定，结合我区实际，制定本规则。</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区委巡察办是区委巡察工作领导小组的日常办事机构，为区委工作部门，承担统筹协调、指导督导、服务保障等职责，统筹、协调、指导巡察组工作，向区委和区委巡察工作领导小组负责并报告工作。</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2021年度，因工作需要，我</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涉及到人员增加调整，同步需新增办公设备。一是新增加3级调研员李开彬、何岸虎2人；二是新增加区巡察信息中心增加5名事业编制，因此需要增加办公用房和办公设备等。</w:t>
      </w:r>
    </w:p>
    <w:p>
      <w:pPr>
        <w:pStyle w:val="3"/>
        <w:bidi w:val="0"/>
        <w:rPr>
          <w:rFonts w:hint="eastAsia"/>
        </w:rPr>
      </w:pPr>
      <w:bookmarkStart w:id="106" w:name="_Toc11893"/>
      <w:bookmarkStart w:id="107" w:name="_Toc19400"/>
      <w:bookmarkStart w:id="108" w:name="_Toc973"/>
      <w:r>
        <w:rPr>
          <w:rFonts w:hint="eastAsia"/>
        </w:rPr>
        <w:t>二、项目实施及管理情况</w:t>
      </w:r>
      <w:bookmarkEnd w:id="106"/>
      <w:bookmarkEnd w:id="107"/>
      <w:bookmarkEnd w:id="108"/>
    </w:p>
    <w:p>
      <w:pPr>
        <w:spacing w:line="540"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（一）资金计划、到位及使用情况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1.资金计划及到位。2022年办公设备购置经费预算5.00万元，实际到位资金5.00万元，到位率100%，到位资金及时。</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金使用。2022年全年支出办公设备购置经费5.00万元，主要用于项目办公桌椅等支出。办公桌椅等支出都严格按照要求，进行了价格比选，所有支出均合规合法，资金支付与预算相符，且支出均衡，没有超标准支出的现象。</w:t>
      </w:r>
    </w:p>
    <w:p>
      <w:pPr>
        <w:spacing w:line="540"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（二）项目财务管理情况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1.依法设立会计机构，分设了出纳。</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2.内部管理制度。内部财务管理制度健全，主要建立了《货币资金管理制度》、《岗位责任书》、《财务费用审批制度》、《会计档案管理制度》、《资产管理制度》等。</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spacing w:line="540"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（三）项目组织实施情况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1.工会主席、综合室负责人、会计共同参与办公设备采购工作。</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2.三方比价后，报主要负责人上会决议供货商。</w:t>
      </w:r>
    </w:p>
    <w:p>
      <w:pPr>
        <w:pStyle w:val="3"/>
        <w:bidi w:val="0"/>
        <w:rPr>
          <w:rFonts w:hint="eastAsia"/>
        </w:rPr>
      </w:pPr>
      <w:bookmarkStart w:id="109" w:name="_Toc20018"/>
      <w:bookmarkStart w:id="110" w:name="_Toc15468"/>
      <w:bookmarkStart w:id="111" w:name="_Toc24765"/>
      <w:r>
        <w:rPr>
          <w:rFonts w:hint="eastAsia"/>
        </w:rPr>
        <w:t>三、项目绩效情况</w:t>
      </w:r>
      <w:bookmarkEnd w:id="109"/>
      <w:bookmarkEnd w:id="110"/>
      <w:bookmarkEnd w:id="111"/>
      <w:r>
        <w:rPr>
          <w:rFonts w:hint="eastAsia"/>
        </w:rPr>
        <w:tab/>
      </w:r>
    </w:p>
    <w:p>
      <w:pPr>
        <w:spacing w:line="540"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（一）项目完成情况</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1.目标任务量完成情况。共配备4间办公室的办公桌椅等设备。</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2.目标质量完成情况。保障了巡察机构的正常工作开展。 </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3.目标进度完成情况。已完成本年度办公设备采购工作。</w:t>
      </w:r>
    </w:p>
    <w:p>
      <w:pPr>
        <w:pStyle w:val="3"/>
        <w:bidi w:val="0"/>
        <w:rPr>
          <w:rFonts w:hint="eastAsia"/>
        </w:rPr>
      </w:pPr>
      <w:bookmarkStart w:id="112" w:name="_Toc2724"/>
      <w:bookmarkStart w:id="113" w:name="_Toc13017"/>
      <w:bookmarkStart w:id="114" w:name="_Toc20448"/>
      <w:r>
        <w:rPr>
          <w:rFonts w:hint="eastAsia"/>
        </w:rPr>
        <w:t>四、问题及建议</w:t>
      </w:r>
      <w:bookmarkEnd w:id="112"/>
      <w:bookmarkEnd w:id="113"/>
      <w:r>
        <w:rPr>
          <w:rFonts w:hint="eastAsia"/>
          <w:lang w:eastAsia="zh-CN"/>
        </w:rPr>
        <w:t>。</w:t>
      </w:r>
      <w:r>
        <w:rPr>
          <w:rFonts w:hint="eastAsia"/>
          <w:lang w:val="en-US" w:eastAsia="zh-CN"/>
        </w:rPr>
        <w:t>无</w:t>
      </w:r>
      <w:bookmarkEnd w:id="114"/>
      <w:bookmarkStart w:id="115" w:name="_Toc5257"/>
    </w:p>
    <w:p>
      <w:pPr>
        <w:pStyle w:val="2"/>
        <w:bidi w:val="0"/>
        <w:ind w:left="0" w:leftChars="0" w:firstLine="0" w:firstLineChars="0"/>
        <w:jc w:val="center"/>
        <w:rPr>
          <w:rFonts w:hint="eastAsia"/>
        </w:rPr>
      </w:pPr>
      <w:bookmarkStart w:id="116" w:name="_Toc29140"/>
      <w:bookmarkStart w:id="117" w:name="_Toc5798"/>
      <w:r>
        <w:rPr>
          <w:rFonts w:hint="eastAsia"/>
        </w:rPr>
        <w:t>巡察业务经费项目支出绩效评价报告</w:t>
      </w:r>
      <w:bookmarkEnd w:id="115"/>
      <w:bookmarkEnd w:id="116"/>
      <w:bookmarkEnd w:id="117"/>
    </w:p>
    <w:p>
      <w:pPr>
        <w:pStyle w:val="3"/>
        <w:bidi w:val="0"/>
        <w:outlineLvl w:val="9"/>
        <w:rPr>
          <w:rFonts w:hint="eastAsia"/>
        </w:rPr>
      </w:pPr>
      <w:bookmarkStart w:id="118" w:name="_Toc23103"/>
    </w:p>
    <w:p>
      <w:pPr>
        <w:pStyle w:val="3"/>
        <w:bidi w:val="0"/>
        <w:rPr>
          <w:rFonts w:hint="eastAsia"/>
        </w:rPr>
      </w:pPr>
      <w:bookmarkStart w:id="119" w:name="_Toc24115"/>
      <w:bookmarkStart w:id="120" w:name="_Toc31219"/>
      <w:r>
        <w:rPr>
          <w:rFonts w:hint="eastAsia"/>
        </w:rPr>
        <w:t>一、项目概况</w:t>
      </w:r>
      <w:bookmarkEnd w:id="118"/>
      <w:bookmarkEnd w:id="119"/>
      <w:bookmarkEnd w:id="120"/>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为规范中共广元市朝天区委巡察工作领导小组办公室（以下简称区委巡察办）工作，根据《</w:t>
      </w:r>
      <w:r>
        <w:rPr>
          <w:rFonts w:hint="eastAsia" w:ascii="仿宋_GB2312" w:hAnsi="仿宋_GB2312" w:eastAsia="仿宋_GB2312" w:cs="仿宋_GB2312"/>
          <w:color w:val="auto"/>
          <w:sz w:val="32"/>
          <w:szCs w:val="32"/>
          <w:lang w:eastAsia="zh-CN"/>
        </w:rPr>
        <w:t>中国共产党</w:t>
      </w:r>
      <w:r>
        <w:rPr>
          <w:rFonts w:hint="eastAsia" w:ascii="仿宋_GB2312" w:hAnsi="仿宋_GB2312" w:eastAsia="仿宋_GB2312" w:cs="仿宋_GB2312"/>
          <w:color w:val="auto"/>
          <w:sz w:val="32"/>
          <w:szCs w:val="32"/>
        </w:rPr>
        <w:t>巡视工作条例》、中共中央办公厅《关于市县党委建立巡察制度的意见》和《四川省市（州）县（市、区）党委巡察工作办法》、区委《关于全面开展巡察工作的实施意见》等党内法规制度规定，结合我区实际，制定本规则。</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区委巡察办是区委巡察工作领导小组的日常办事机构，为区委工作部门，承担统筹协调、指导督导、服务保障等职责，统筹、协调、指导巡察组工作，向区委和区委巡察工作领导小组负责并报告工作。</w:t>
      </w:r>
    </w:p>
    <w:p>
      <w:pPr>
        <w:pStyle w:val="3"/>
        <w:bidi w:val="0"/>
        <w:rPr>
          <w:rFonts w:hint="eastAsia"/>
        </w:rPr>
      </w:pPr>
      <w:bookmarkStart w:id="121" w:name="_Toc5665"/>
      <w:bookmarkStart w:id="122" w:name="_Toc11986"/>
      <w:bookmarkStart w:id="123" w:name="_Toc12379"/>
      <w:r>
        <w:rPr>
          <w:rFonts w:hint="eastAsia"/>
        </w:rPr>
        <w:t>二、项目实施及管理情况</w:t>
      </w:r>
      <w:bookmarkEnd w:id="121"/>
      <w:bookmarkEnd w:id="122"/>
      <w:bookmarkEnd w:id="123"/>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（一）资金计划、到位及使用情况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1.资金计划及到位。2022年巡察工作经费预算28.80万元，实际到位资金28.80万元，到位率100%，到位资金及时。</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金使用。2022年全年支出巡察工作经费28.80万元，主要用于项目办公费、项目宣传、教材及资料印刷、耗材购置、劳务费及差旅费等支出。教材及资料印刷、耗材购置等支出都严格按照要求，进行了价格比选，差旅费等费用均按区人民政府标准执行，所有支出均合规合法，资金支付与预算相符，且支出均衡，没有超标准支出的现象。</w:t>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（二）项目财务管理情况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1.依法设立会计机构，分设了出纳。</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2.内部管理制度。内部财务管理制度健全，主要建立了《货币资金管理制度》、《岗位责任书》、《财务费用审批制度》、《会计档案管理制度》、《资产管理制度》等。</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（三）项目组织实施情况</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制定巡察工作方案。区委巡察办根据巡察工作五年规划和年度巡察工作计划及阶段性任务安排，研究制定《八届区委第二、三轮巡察工作方案》，19个拟巡察对象、巡察内容、巡察方式、时间安排、人员需求及抽调方式、召开动员部署会等工作建议，报区委巡察工作领导小组（以下简称“领导小组”）审批。</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2.召开巡察工作联席会议。从成员</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中收集拟被巡察对象在党风廉政建设、行政效能测评、政风行风评议、选人用人工作、信访投诉举报、工程项目建设、“三公”经费管理等方面的相关信息资料，并按年度顺序分类归纳整理，一个被巡察党组织形成一套资料。巡察工作动员部署会后，巡察办按程序分送相应区委巡察组（以下简称“巡察组”）。</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抽调巡察工作人员。根据领导小组审批的巡察工作方案和每轮巡察任务实际，由巡察办统筹协调，按照巡察工作人员模块化配置需要，商请有关部门抽调纪检、组工、财会、审计和项目管理等人员参加巡察工作。</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4.申报回避事项，签订纪律承诺书。巡察办制定《巡察工作公务回避申请表》《巡察工作纪律承诺书》，组织巡察组全体巡察工作人员申报回避事项，主要包括巡察干部及其配偶、直系亲属在被巡察</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任职或工作情况，以及巡察干部本人认为需要申报回避的其他事项，同时签订巡察工作纪律承诺书。</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5.制定分工分组方案。巡察办按照“一次一授权”“三个不同定”（巡察组组长不固定、巡察</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不固定、巡察组与巡察对象关系不固定）要求，结合巡察工作人员的回避情况及年龄、性别、学历、专长等特点，制定巡察组组长、副组长授权任职及巡察组巡察任务分工和人员分组的方案，报领导小组领导审批。</w:t>
      </w:r>
    </w:p>
    <w:p>
      <w:pPr>
        <w:pStyle w:val="3"/>
        <w:bidi w:val="0"/>
        <w:rPr>
          <w:rFonts w:hint="eastAsia"/>
        </w:rPr>
      </w:pPr>
      <w:bookmarkStart w:id="124" w:name="_Toc19523"/>
      <w:bookmarkStart w:id="125" w:name="_Toc8946"/>
      <w:bookmarkStart w:id="126" w:name="_Toc1019"/>
      <w:r>
        <w:rPr>
          <w:rFonts w:hint="eastAsia"/>
        </w:rPr>
        <w:t>三、项目绩效情况</w:t>
      </w:r>
      <w:bookmarkEnd w:id="124"/>
      <w:bookmarkEnd w:id="125"/>
      <w:bookmarkEnd w:id="126"/>
      <w:r>
        <w:rPr>
          <w:rFonts w:hint="eastAsia"/>
        </w:rPr>
        <w:tab/>
      </w:r>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（一）项目完成情况</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1.目标任务量完成情况。2022年度对</w:t>
      </w:r>
      <w:r>
        <w:rPr>
          <w:rFonts w:hint="default" w:ascii="仿宋_GB2312" w:hAnsi="仿宋_GB2312" w:eastAsia="仿宋_GB2312" w:cs="仿宋_GB2312"/>
          <w:color w:val="auto"/>
          <w:sz w:val="32"/>
          <w:szCs w:val="32"/>
          <w:lang w:val="en-US" w:eastAsia="zh-CN"/>
        </w:rPr>
        <w:t>13</w:t>
      </w:r>
      <w:r>
        <w:rPr>
          <w:rFonts w:hint="default"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部门</w:t>
      </w:r>
      <w:r>
        <w:rPr>
          <w:rFonts w:hint="default" w:ascii="仿宋_GB2312" w:hAnsi="仿宋_GB2312" w:eastAsia="仿宋_GB2312" w:cs="仿宋_GB2312"/>
          <w:color w:val="auto"/>
          <w:sz w:val="32"/>
          <w:szCs w:val="32"/>
        </w:rPr>
        <w:t>（党组织）和</w:t>
      </w:r>
      <w:r>
        <w:rPr>
          <w:rFonts w:hint="default" w:ascii="仿宋_GB2312" w:hAnsi="仿宋_GB2312" w:eastAsia="仿宋_GB2312" w:cs="仿宋_GB2312"/>
          <w:color w:val="auto"/>
          <w:sz w:val="32"/>
          <w:szCs w:val="32"/>
          <w:lang w:val="en-US" w:eastAsia="zh-CN"/>
        </w:rPr>
        <w:t>17</w:t>
      </w:r>
      <w:r>
        <w:rPr>
          <w:rFonts w:hint="default" w:ascii="仿宋_GB2312" w:hAnsi="仿宋_GB2312" w:eastAsia="仿宋_GB2312" w:cs="仿宋_GB2312"/>
          <w:color w:val="auto"/>
          <w:sz w:val="32"/>
          <w:szCs w:val="32"/>
        </w:rPr>
        <w:t>个村（社区）完成巡察。</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2.目标质量完成情况。保障巡察机构工作正常运转，营造风清气正的良好政治生态环境，全面推进从严治党。 </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3.目标进度完成情况。全面完成八届区委任期内巡察工作。</w:t>
      </w:r>
    </w:p>
    <w:p>
      <w:pPr>
        <w:spacing w:line="576" w:lineRule="exact"/>
        <w:ind w:firstLine="160" w:firstLineChars="5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（二）项目效益情况</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将领导小组审定的巡察机构纪律作风综合评估结果作为巡察干部日常监督管理、评先评优和抽调、挂职干部考核鉴定的重要依据。</w:t>
      </w:r>
    </w:p>
    <w:p>
      <w:pPr>
        <w:pStyle w:val="3"/>
        <w:bidi w:val="0"/>
        <w:rPr>
          <w:rFonts w:hint="eastAsia"/>
        </w:rPr>
      </w:pPr>
      <w:bookmarkStart w:id="127" w:name="_Toc24332"/>
      <w:bookmarkStart w:id="128" w:name="_Toc13067"/>
      <w:bookmarkStart w:id="129" w:name="_Toc25652"/>
      <w:r>
        <w:rPr>
          <w:rFonts w:hint="eastAsia"/>
        </w:rPr>
        <w:t>四、问题及建议</w:t>
      </w:r>
      <w:bookmarkEnd w:id="127"/>
      <w:bookmarkEnd w:id="128"/>
      <w:bookmarkEnd w:id="129"/>
    </w:p>
    <w:p>
      <w:pPr>
        <w:spacing w:line="576" w:lineRule="exact"/>
        <w:ind w:firstLine="642" w:firstLineChars="200"/>
        <w:rPr>
          <w:rFonts w:hint="eastAsia" w:ascii="Times New Roman" w:hAnsi="Times New Roman" w:eastAsia="楷体" w:cs="Times New Roman"/>
          <w:b/>
          <w:sz w:val="32"/>
          <w:szCs w:val="24"/>
          <w:lang w:val="zh-CN"/>
        </w:rPr>
      </w:pPr>
      <w:r>
        <w:rPr>
          <w:rFonts w:hint="eastAsia" w:ascii="Times New Roman" w:hAnsi="Times New Roman" w:eastAsia="楷体" w:cs="Times New Roman"/>
          <w:b/>
          <w:sz w:val="32"/>
          <w:szCs w:val="24"/>
          <w:lang w:val="zh-CN"/>
        </w:rPr>
        <w:t>（一）存在的问题</w:t>
      </w:r>
    </w:p>
    <w:p>
      <w:pPr>
        <w:spacing w:line="576" w:lineRule="exact"/>
        <w:ind w:firstLine="643"/>
        <w:jc w:val="both"/>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无存在的问题。</w:t>
      </w:r>
    </w:p>
    <w:p>
      <w:pPr>
        <w:spacing w:line="576" w:lineRule="exact"/>
        <w:ind w:firstLine="616" w:firstLineChars="200"/>
        <w:rPr>
          <w:rFonts w:hint="eastAsia" w:ascii="楷体" w:hAnsi="楷体" w:eastAsia="楷体"/>
          <w:spacing w:val="-6"/>
          <w:sz w:val="32"/>
          <w:szCs w:val="24"/>
        </w:rPr>
      </w:pPr>
      <w:r>
        <w:rPr>
          <w:rFonts w:hint="eastAsia" w:ascii="楷体" w:hAnsi="楷体" w:eastAsia="楷体"/>
          <w:spacing w:val="-6"/>
          <w:sz w:val="32"/>
          <w:szCs w:val="24"/>
        </w:rPr>
        <w:t>（二）相关建议</w:t>
      </w:r>
    </w:p>
    <w:p>
      <w:pPr>
        <w:spacing w:line="576" w:lineRule="exact"/>
        <w:ind w:firstLine="643"/>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继续从严监督管理，严格按照巡察程序办事，建立完善巡察人才库，建立培训考核制度和激励约束机制，培养骨干力量，增强队伍生机活力。加强机构规范化建设，适应巡察工作新形势新任务，加强巡察机构组织队伍建设。</w:t>
      </w:r>
    </w:p>
    <w:p>
      <w:pPr>
        <w:spacing w:line="576" w:lineRule="exact"/>
        <w:ind w:firstLine="643"/>
        <w:jc w:val="both"/>
        <w:rPr>
          <w:rFonts w:hint="default" w:ascii="仿宋_GB2312" w:hAnsi="仿宋_GB2312" w:eastAsia="仿宋_GB2312" w:cs="仿宋_GB2312"/>
          <w:color w:val="auto"/>
          <w:sz w:val="32"/>
          <w:szCs w:val="32"/>
          <w:lang w:val="en-US"/>
        </w:rPr>
        <w:sectPr>
          <w:pgSz w:w="12240" w:h="15840"/>
          <w:pgMar w:top="1440" w:right="1800" w:bottom="1440" w:left="1800" w:header="720" w:footer="720" w:gutter="0"/>
          <w:lnNumType w:countBy="0" w:distance="360"/>
          <w:cols w:space="720" w:num="1"/>
        </w:sectPr>
      </w:pPr>
    </w:p>
    <w:p>
      <w:pPr>
        <w:pStyle w:val="9"/>
        <w:ind w:left="0" w:leftChars="0" w:firstLine="0" w:firstLineChars="0"/>
        <w:rPr>
          <w:rFonts w:hint="default"/>
          <w:sz w:val="24"/>
          <w:szCs w:val="24"/>
          <w:lang w:val="en-US"/>
        </w:rPr>
      </w:pPr>
    </w:p>
    <w:p>
      <w:pPr>
        <w:pStyle w:val="2"/>
        <w:numPr>
          <w:ilvl w:val="0"/>
          <w:numId w:val="7"/>
        </w:numPr>
        <w:bidi w:val="0"/>
        <w:jc w:val="center"/>
        <w:rPr>
          <w:rFonts w:hint="eastAsia"/>
          <w:lang w:val="en-US"/>
        </w:rPr>
      </w:pPr>
      <w:bookmarkStart w:id="130" w:name="_Toc12092"/>
      <w:bookmarkStart w:id="131" w:name="_Toc23408"/>
      <w:bookmarkStart w:id="132" w:name="_Toc14943"/>
      <w:r>
        <w:rPr>
          <w:rFonts w:hint="eastAsia"/>
          <w:lang w:val="en-US"/>
        </w:rPr>
        <w:t>附表</w:t>
      </w:r>
      <w:bookmarkEnd w:id="130"/>
      <w:bookmarkEnd w:id="131"/>
      <w:bookmarkEnd w:id="132"/>
    </w:p>
    <w:p>
      <w:pPr>
        <w:numPr>
          <w:ilvl w:val="0"/>
          <w:numId w:val="0"/>
        </w:numPr>
        <w:spacing w:line="600" w:lineRule="exact"/>
        <w:jc w:val="both"/>
        <w:rPr>
          <w:rFonts w:hint="eastAsia" w:ascii="仿宋" w:hAnsi="仿宋" w:eastAsia="仿宋" w:cs="Times New Roman"/>
          <w:color w:val="auto"/>
          <w:kern w:val="2"/>
          <w:sz w:val="32"/>
          <w:szCs w:val="24"/>
          <w:lang w:val="en-US"/>
        </w:rPr>
      </w:pPr>
    </w:p>
    <w:p>
      <w:pPr>
        <w:pStyle w:val="3"/>
        <w:bidi w:val="0"/>
        <w:rPr>
          <w:rFonts w:hint="eastAsia" w:ascii="仿宋" w:hAnsi="仿宋" w:eastAsia="仿宋" w:cs="仿宋"/>
          <w:lang w:val="en-US"/>
        </w:rPr>
      </w:pPr>
      <w:bookmarkStart w:id="133" w:name="_Toc1885"/>
      <w:bookmarkStart w:id="134" w:name="_Toc11215"/>
      <w:r>
        <w:rPr>
          <w:rFonts w:hint="eastAsia" w:ascii="仿宋" w:hAnsi="仿宋" w:eastAsia="仿宋" w:cs="仿宋"/>
          <w:lang w:val="en-US"/>
        </w:rPr>
        <w:t>一、收入支出决算总表</w:t>
      </w:r>
      <w:bookmarkEnd w:id="133"/>
      <w:bookmarkEnd w:id="134"/>
    </w:p>
    <w:p>
      <w:pPr>
        <w:pStyle w:val="3"/>
        <w:bidi w:val="0"/>
        <w:rPr>
          <w:rFonts w:hint="eastAsia" w:ascii="仿宋" w:hAnsi="仿宋" w:eastAsia="仿宋" w:cs="仿宋"/>
          <w:lang w:val="en-US"/>
        </w:rPr>
      </w:pPr>
      <w:bookmarkStart w:id="135" w:name="_Toc25176"/>
      <w:bookmarkStart w:id="136" w:name="_Toc20970"/>
      <w:r>
        <w:rPr>
          <w:rFonts w:hint="eastAsia" w:ascii="仿宋" w:hAnsi="仿宋" w:eastAsia="仿宋" w:cs="仿宋"/>
          <w:lang w:val="en-US"/>
        </w:rPr>
        <w:t>二、收入决算表</w:t>
      </w:r>
      <w:bookmarkEnd w:id="135"/>
      <w:bookmarkEnd w:id="136"/>
    </w:p>
    <w:p>
      <w:pPr>
        <w:pStyle w:val="3"/>
        <w:bidi w:val="0"/>
        <w:rPr>
          <w:rFonts w:hint="eastAsia" w:ascii="仿宋" w:hAnsi="仿宋" w:eastAsia="仿宋" w:cs="仿宋"/>
          <w:lang w:val="en-US"/>
        </w:rPr>
      </w:pPr>
      <w:bookmarkStart w:id="137" w:name="_Toc12029"/>
      <w:bookmarkStart w:id="138" w:name="_Toc32328"/>
      <w:r>
        <w:rPr>
          <w:rFonts w:hint="eastAsia" w:ascii="仿宋" w:hAnsi="仿宋" w:eastAsia="仿宋" w:cs="仿宋"/>
          <w:lang w:val="en-US"/>
        </w:rPr>
        <w:t>三、支出决算表</w:t>
      </w:r>
      <w:bookmarkEnd w:id="137"/>
      <w:bookmarkEnd w:id="138"/>
    </w:p>
    <w:p>
      <w:pPr>
        <w:pStyle w:val="3"/>
        <w:bidi w:val="0"/>
        <w:rPr>
          <w:rFonts w:hint="eastAsia" w:ascii="仿宋" w:hAnsi="仿宋" w:eastAsia="仿宋" w:cs="仿宋"/>
          <w:lang w:val="en-US"/>
        </w:rPr>
      </w:pPr>
      <w:bookmarkStart w:id="139" w:name="_Toc22847"/>
      <w:bookmarkStart w:id="140" w:name="_Toc13136"/>
      <w:r>
        <w:rPr>
          <w:rFonts w:hint="eastAsia" w:ascii="仿宋" w:hAnsi="仿宋" w:eastAsia="仿宋" w:cs="仿宋"/>
          <w:lang w:val="en-US"/>
        </w:rPr>
        <w:t>四、财政拨款收入支出决算总表</w:t>
      </w:r>
      <w:bookmarkEnd w:id="139"/>
      <w:bookmarkEnd w:id="140"/>
    </w:p>
    <w:p>
      <w:pPr>
        <w:pStyle w:val="3"/>
        <w:bidi w:val="0"/>
        <w:rPr>
          <w:rFonts w:hint="eastAsia" w:ascii="仿宋" w:hAnsi="仿宋" w:eastAsia="仿宋" w:cs="仿宋"/>
          <w:lang w:val="en-US"/>
        </w:rPr>
      </w:pPr>
      <w:bookmarkStart w:id="141" w:name="_Toc25413"/>
      <w:bookmarkStart w:id="142" w:name="_Toc28441"/>
      <w:r>
        <w:rPr>
          <w:rFonts w:hint="eastAsia" w:ascii="仿宋" w:hAnsi="仿宋" w:eastAsia="仿宋" w:cs="仿宋"/>
          <w:lang w:val="en-US"/>
        </w:rPr>
        <w:t>五、财政拨款支出决算明细表</w:t>
      </w:r>
      <w:bookmarkEnd w:id="141"/>
      <w:bookmarkEnd w:id="142"/>
    </w:p>
    <w:p>
      <w:pPr>
        <w:pStyle w:val="3"/>
        <w:bidi w:val="0"/>
        <w:rPr>
          <w:rFonts w:hint="eastAsia" w:ascii="仿宋" w:hAnsi="仿宋" w:eastAsia="仿宋" w:cs="仿宋"/>
          <w:lang w:val="en-US"/>
        </w:rPr>
      </w:pPr>
      <w:bookmarkStart w:id="143" w:name="_Toc24600"/>
      <w:bookmarkStart w:id="144" w:name="_Toc11754"/>
      <w:r>
        <w:rPr>
          <w:rFonts w:hint="eastAsia" w:ascii="仿宋" w:hAnsi="仿宋" w:eastAsia="仿宋" w:cs="仿宋"/>
          <w:lang w:val="en-US"/>
        </w:rPr>
        <w:t>六、一般公共预算财政拨款支出决算表</w:t>
      </w:r>
      <w:bookmarkEnd w:id="143"/>
      <w:bookmarkEnd w:id="144"/>
    </w:p>
    <w:p>
      <w:pPr>
        <w:pStyle w:val="3"/>
        <w:bidi w:val="0"/>
        <w:rPr>
          <w:rFonts w:hint="eastAsia" w:ascii="仿宋" w:hAnsi="仿宋" w:eastAsia="仿宋" w:cs="仿宋"/>
          <w:lang w:val="en-US"/>
        </w:rPr>
      </w:pPr>
      <w:bookmarkStart w:id="145" w:name="_Toc25638"/>
      <w:bookmarkStart w:id="146" w:name="_Toc10075"/>
      <w:r>
        <w:rPr>
          <w:rFonts w:hint="eastAsia" w:ascii="仿宋" w:hAnsi="仿宋" w:eastAsia="仿宋" w:cs="仿宋"/>
          <w:lang w:val="en-US"/>
        </w:rPr>
        <w:t>七、一般公共预算财政拨款支出决算明细表</w:t>
      </w:r>
      <w:bookmarkEnd w:id="145"/>
      <w:bookmarkEnd w:id="146"/>
    </w:p>
    <w:p>
      <w:pPr>
        <w:pStyle w:val="3"/>
        <w:bidi w:val="0"/>
        <w:rPr>
          <w:rFonts w:hint="eastAsia" w:ascii="仿宋" w:hAnsi="仿宋" w:eastAsia="仿宋" w:cs="仿宋"/>
          <w:lang w:val="en-US"/>
        </w:rPr>
      </w:pPr>
      <w:bookmarkStart w:id="147" w:name="_Toc13338"/>
      <w:bookmarkStart w:id="148" w:name="_Toc18120"/>
      <w:r>
        <w:rPr>
          <w:rFonts w:hint="eastAsia" w:ascii="仿宋" w:hAnsi="仿宋" w:eastAsia="仿宋" w:cs="仿宋"/>
          <w:lang w:val="en-US"/>
        </w:rPr>
        <w:t>八、一般公共预算财政拨款基本支出决算表</w:t>
      </w:r>
      <w:bookmarkEnd w:id="147"/>
      <w:bookmarkEnd w:id="148"/>
    </w:p>
    <w:p>
      <w:pPr>
        <w:pStyle w:val="3"/>
        <w:bidi w:val="0"/>
        <w:rPr>
          <w:rFonts w:hint="eastAsia" w:ascii="仿宋" w:hAnsi="仿宋" w:eastAsia="仿宋" w:cs="仿宋"/>
          <w:lang w:val="en-US"/>
        </w:rPr>
      </w:pPr>
      <w:bookmarkStart w:id="149" w:name="_Toc14000"/>
      <w:bookmarkStart w:id="150" w:name="_Toc21274"/>
      <w:bookmarkStart w:id="151" w:name="_Toc29304"/>
      <w:r>
        <w:rPr>
          <w:rFonts w:hint="eastAsia" w:ascii="仿宋" w:hAnsi="仿宋" w:eastAsia="仿宋" w:cs="仿宋"/>
          <w:lang w:val="en-US"/>
        </w:rPr>
        <w:t>九、一般公共预算财政拨款项目支出决算表</w:t>
      </w:r>
      <w:bookmarkEnd w:id="149"/>
      <w:bookmarkEnd w:id="150"/>
      <w:bookmarkEnd w:id="151"/>
    </w:p>
    <w:p>
      <w:pPr>
        <w:pStyle w:val="3"/>
        <w:bidi w:val="0"/>
        <w:rPr>
          <w:rFonts w:hint="eastAsia" w:ascii="仿宋" w:hAnsi="仿宋" w:eastAsia="仿宋" w:cs="仿宋"/>
          <w:lang w:val="en-US"/>
        </w:rPr>
      </w:pPr>
      <w:bookmarkStart w:id="152" w:name="_Toc21780"/>
      <w:bookmarkStart w:id="153" w:name="_Toc13054"/>
      <w:bookmarkStart w:id="154" w:name="_Toc10713"/>
      <w:r>
        <w:rPr>
          <w:rFonts w:hint="eastAsia" w:ascii="仿宋" w:hAnsi="仿宋" w:eastAsia="仿宋" w:cs="仿宋"/>
          <w:lang w:val="en-US"/>
        </w:rPr>
        <w:t>十、政府性基金预算财政拨款收入支出决算表</w:t>
      </w:r>
      <w:bookmarkEnd w:id="152"/>
      <w:bookmarkEnd w:id="153"/>
      <w:bookmarkEnd w:id="154"/>
    </w:p>
    <w:p>
      <w:pPr>
        <w:pStyle w:val="3"/>
        <w:bidi w:val="0"/>
        <w:rPr>
          <w:rFonts w:hint="eastAsia" w:ascii="仿宋" w:hAnsi="仿宋" w:eastAsia="仿宋" w:cs="仿宋"/>
          <w:lang w:val="en-US"/>
        </w:rPr>
      </w:pPr>
      <w:bookmarkStart w:id="155" w:name="_Toc24500"/>
      <w:bookmarkStart w:id="156" w:name="_Toc26145"/>
      <w:bookmarkStart w:id="157" w:name="_Toc30265"/>
      <w:r>
        <w:rPr>
          <w:rFonts w:hint="eastAsia" w:ascii="仿宋" w:hAnsi="仿宋" w:eastAsia="仿宋" w:cs="仿宋"/>
          <w:lang w:val="en-US"/>
        </w:rPr>
        <w:t>十一、国有资本经营预算财政拨款收入支出决算表</w:t>
      </w:r>
      <w:bookmarkEnd w:id="155"/>
      <w:bookmarkEnd w:id="156"/>
      <w:bookmarkEnd w:id="157"/>
    </w:p>
    <w:p>
      <w:pPr>
        <w:pStyle w:val="3"/>
        <w:bidi w:val="0"/>
        <w:rPr>
          <w:rFonts w:hint="eastAsia" w:ascii="仿宋" w:hAnsi="仿宋" w:eastAsia="仿宋" w:cs="仿宋"/>
          <w:lang w:val="en-US"/>
        </w:rPr>
      </w:pPr>
      <w:bookmarkStart w:id="158" w:name="_Toc9124"/>
      <w:bookmarkStart w:id="159" w:name="_Toc4664"/>
      <w:bookmarkStart w:id="160" w:name="_Toc16828"/>
      <w:r>
        <w:rPr>
          <w:rFonts w:hint="eastAsia" w:ascii="仿宋" w:hAnsi="仿宋" w:eastAsia="仿宋" w:cs="仿宋"/>
          <w:lang w:val="en-US"/>
        </w:rPr>
        <w:t>十二、国有资本经营预算财政拨款支出决算表</w:t>
      </w:r>
      <w:bookmarkEnd w:id="158"/>
      <w:bookmarkEnd w:id="159"/>
      <w:bookmarkEnd w:id="160"/>
    </w:p>
    <w:p>
      <w:pPr>
        <w:pStyle w:val="3"/>
        <w:bidi w:val="0"/>
        <w:rPr>
          <w:rFonts w:hint="eastAsia" w:ascii="仿宋" w:hAnsi="仿宋" w:eastAsia="仿宋" w:cs="仿宋"/>
          <w:lang w:val="en-US"/>
        </w:rPr>
      </w:pPr>
      <w:bookmarkStart w:id="161" w:name="_Toc11468"/>
      <w:bookmarkStart w:id="162" w:name="_Toc17322"/>
      <w:bookmarkStart w:id="163" w:name="_Toc29883"/>
      <w:r>
        <w:rPr>
          <w:rFonts w:hint="eastAsia" w:ascii="仿宋" w:hAnsi="仿宋" w:eastAsia="仿宋" w:cs="仿宋"/>
          <w:lang w:val="en-US"/>
        </w:rPr>
        <w:t>十三、财政拨款“三公”经费支出决算表</w:t>
      </w:r>
      <w:bookmarkEnd w:id="161"/>
      <w:bookmarkEnd w:id="162"/>
      <w:bookmarkEnd w:id="163"/>
    </w:p>
    <w:p>
      <w:pPr>
        <w:rPr>
          <w:rFonts w:hint="eastAsia" w:ascii="华文中宋" w:hAnsi="华文中宋" w:eastAsia="华文中宋"/>
          <w:color w:val="auto"/>
          <w:kern w:val="2"/>
          <w:sz w:val="36"/>
          <w:szCs w:val="24"/>
          <w:lang w:val="en-US"/>
        </w:rPr>
      </w:pPr>
    </w:p>
    <w:p>
      <w:pPr>
        <w:rPr>
          <w:rFonts w:hint="eastAsia" w:ascii="华文中宋" w:hAnsi="华文中宋" w:eastAsia="华文中宋"/>
          <w:color w:val="auto"/>
          <w:kern w:val="2"/>
          <w:sz w:val="36"/>
          <w:szCs w:val="24"/>
          <w:lang w:val="en-US"/>
        </w:rPr>
      </w:pPr>
    </w:p>
    <w:sectPr>
      <w:pgSz w:w="12240" w:h="15840"/>
      <w:pgMar w:top="1440" w:right="1800" w:bottom="1440" w:left="1800" w:header="720" w:footer="720" w:gutter="0"/>
      <w:lnNumType w:countBy="0" w:distance="3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14</w:t>
                          </w:r>
                          <w:r>
                            <w:rPr>
                              <w:rFonts w:hint="default"/>
                              <w:sz w:val="18"/>
                              <w:szCs w:val="2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pStyle w:val="7"/>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14</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0B0F2"/>
    <w:multiLevelType w:val="singleLevel"/>
    <w:tmpl w:val="9DF0B0F2"/>
    <w:lvl w:ilvl="0" w:tentative="0">
      <w:start w:val="1"/>
      <w:numFmt w:val="decimal"/>
      <w:lvlText w:val="%1."/>
      <w:lvlJc w:val="left"/>
      <w:pPr>
        <w:tabs>
          <w:tab w:val="left" w:pos="312"/>
        </w:tabs>
      </w:pPr>
    </w:lvl>
  </w:abstractNum>
  <w:abstractNum w:abstractNumId="1">
    <w:nsid w:val="AD138C3C"/>
    <w:multiLevelType w:val="multilevel"/>
    <w:tmpl w:val="AD138C3C"/>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E5A185B"/>
    <w:multiLevelType w:val="multilevel"/>
    <w:tmpl w:val="EE5A185B"/>
    <w:lvl w:ilvl="0" w:tentative="0">
      <w:start w:val="5"/>
      <w:numFmt w:val="chineseCounting"/>
      <w:suff w:val="space"/>
      <w:lvlText w:val="第%1部分"/>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16BAE246"/>
    <w:multiLevelType w:val="singleLevel"/>
    <w:tmpl w:val="16BAE246"/>
    <w:lvl w:ilvl="0" w:tentative="0">
      <w:start w:val="2"/>
      <w:numFmt w:val="chineseCounting"/>
      <w:suff w:val="space"/>
      <w:lvlText w:val="第%1部分"/>
      <w:lvlJc w:val="left"/>
      <w:rPr>
        <w:rFonts w:hint="eastAsia"/>
      </w:rPr>
    </w:lvl>
  </w:abstractNum>
  <w:abstractNum w:abstractNumId="4">
    <w:nsid w:val="6915B539"/>
    <w:multiLevelType w:val="singleLevel"/>
    <w:tmpl w:val="6915B539"/>
    <w:lvl w:ilvl="0" w:tentative="0">
      <w:start w:val="3"/>
      <w:numFmt w:val="chineseCounting"/>
      <w:suff w:val="nothing"/>
      <w:lvlText w:val="（%1）"/>
      <w:lvlJc w:val="left"/>
      <w:rPr>
        <w:rFonts w:hint="eastAsia"/>
      </w:rPr>
    </w:lvl>
  </w:abstractNum>
  <w:abstractNum w:abstractNumId="5">
    <w:nsid w:val="6F8BBFFB"/>
    <w:multiLevelType w:val="singleLevel"/>
    <w:tmpl w:val="6F8BBFFB"/>
    <w:lvl w:ilvl="0" w:tentative="0">
      <w:start w:val="7"/>
      <w:numFmt w:val="chineseCounting"/>
      <w:suff w:val="nothing"/>
      <w:lvlText w:val="%1、"/>
      <w:lvlJc w:val="left"/>
      <w:rPr>
        <w:rFonts w:hint="eastAsia"/>
      </w:rPr>
    </w:lvl>
  </w:abstractNum>
  <w:abstractNum w:abstractNumId="6">
    <w:nsid w:val="7B45F43E"/>
    <w:multiLevelType w:val="multilevel"/>
    <w:tmpl w:val="7B45F43E"/>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172A27"/>
    <w:rsid w:val="01C20BC1"/>
    <w:rsid w:val="05856EB6"/>
    <w:rsid w:val="0A1D0172"/>
    <w:rsid w:val="0E895849"/>
    <w:rsid w:val="11084EAB"/>
    <w:rsid w:val="13AA5959"/>
    <w:rsid w:val="151D033D"/>
    <w:rsid w:val="18BB6A1A"/>
    <w:rsid w:val="1BD859FB"/>
    <w:rsid w:val="28304227"/>
    <w:rsid w:val="2F125CDF"/>
    <w:rsid w:val="314E571E"/>
    <w:rsid w:val="31E71DC6"/>
    <w:rsid w:val="38376F0C"/>
    <w:rsid w:val="3E821F1A"/>
    <w:rsid w:val="445112AE"/>
    <w:rsid w:val="44A978D4"/>
    <w:rsid w:val="4F4F0B87"/>
    <w:rsid w:val="5DD86DFC"/>
    <w:rsid w:val="66EF6A80"/>
    <w:rsid w:val="7CCC17D5"/>
    <w:rsid w:val="7EC42148"/>
    <w:rsid w:val="DBB90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line="560" w:lineRule="exact"/>
    </w:pPr>
    <w:rPr>
      <w:rFonts w:hint="default" w:ascii="Times New Roman" w:hAnsi="Times New Roman" w:eastAsia="仿宋" w:cs="Times New Roman"/>
      <w:sz w:val="32"/>
      <w:szCs w:val="24"/>
    </w:rPr>
  </w:style>
  <w:style w:type="paragraph" w:styleId="2">
    <w:name w:val="heading 1"/>
    <w:basedOn w:val="1"/>
    <w:next w:val="1"/>
    <w:link w:val="20"/>
    <w:unhideWhenUsed/>
    <w:qFormat/>
    <w:uiPriority w:val="99"/>
    <w:pPr>
      <w:ind w:left="0" w:leftChars="200"/>
      <w:jc w:val="left"/>
      <w:outlineLvl w:val="0"/>
    </w:pPr>
    <w:rPr>
      <w:sz w:val="44"/>
    </w:rPr>
  </w:style>
  <w:style w:type="paragraph" w:styleId="3">
    <w:name w:val="heading 2"/>
    <w:next w:val="1"/>
    <w:link w:val="19"/>
    <w:unhideWhenUsed/>
    <w:qFormat/>
    <w:uiPriority w:val="99"/>
    <w:pPr>
      <w:widowControl w:val="0"/>
      <w:autoSpaceDE w:val="0"/>
      <w:autoSpaceDN w:val="0"/>
      <w:adjustRightInd w:val="0"/>
      <w:ind w:left="640" w:leftChars="200"/>
      <w:outlineLvl w:val="1"/>
    </w:pPr>
    <w:rPr>
      <w:rFonts w:hint="default" w:ascii="Times New Roman" w:hAnsi="Times New Roman" w:eastAsia="黑体" w:cs="Times New Roman"/>
      <w:sz w:val="32"/>
      <w:szCs w:val="24"/>
    </w:rPr>
  </w:style>
  <w:style w:type="paragraph" w:styleId="4">
    <w:name w:val="heading 3"/>
    <w:basedOn w:val="1"/>
    <w:next w:val="1"/>
    <w:qFormat/>
    <w:uiPriority w:val="99"/>
    <w:pPr>
      <w:keepNext/>
      <w:keepLines/>
      <w:spacing w:before="260" w:beforeLines="0" w:beforeAutospacing="0" w:after="260" w:afterLines="0" w:afterAutospacing="0" w:line="413" w:lineRule="auto"/>
      <w:outlineLvl w:val="2"/>
    </w:pPr>
    <w:rPr>
      <w:rFonts w:ascii="Times New Roman" w:hAnsi="Times New Roman" w:eastAsia="楷体"/>
      <w:b/>
      <w:sz w:val="32"/>
    </w:rPr>
  </w:style>
  <w:style w:type="character" w:default="1" w:styleId="12">
    <w:name w:val="Default Paragraph Font"/>
    <w:unhideWhenUsed/>
    <w:qFormat/>
    <w:uiPriority w:val="1"/>
    <w:rPr>
      <w:rFonts w:hint="default"/>
      <w:sz w:val="24"/>
      <w:szCs w:val="24"/>
    </w:rPr>
  </w:style>
  <w:style w:type="table" w:default="1" w:styleId="11">
    <w:name w:val="Normal Table"/>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beforeLines="30"/>
    </w:pPr>
    <w:rPr>
      <w:rFonts w:hint="eastAsia" w:ascii="仿宋_GB2312" w:hAnsi="Times New Roman" w:eastAsia="仿宋_GB2312"/>
      <w:sz w:val="30"/>
      <w:szCs w:val="24"/>
    </w:rPr>
  </w:style>
  <w:style w:type="paragraph" w:styleId="6">
    <w:name w:val="toc 3"/>
    <w:basedOn w:val="1"/>
    <w:next w:val="1"/>
    <w:qFormat/>
    <w:uiPriority w:val="99"/>
    <w:pPr>
      <w:ind w:left="840" w:leftChars="400"/>
    </w:pPr>
  </w:style>
  <w:style w:type="paragraph" w:styleId="7">
    <w:name w:val="footer"/>
    <w:basedOn w:val="1"/>
    <w:unhideWhenUsed/>
    <w:qFormat/>
    <w:uiPriority w:val="99"/>
    <w:pPr>
      <w:tabs>
        <w:tab w:val="center" w:pos="4153"/>
        <w:tab w:val="right" w:pos="8306"/>
      </w:tabs>
      <w:snapToGrid w:val="0"/>
    </w:pPr>
    <w:rPr>
      <w:rFonts w:hint="default"/>
      <w:sz w:val="18"/>
      <w:szCs w:val="24"/>
    </w:rPr>
  </w:style>
  <w:style w:type="paragraph" w:styleId="8">
    <w:name w:val="toc 1"/>
    <w:basedOn w:val="1"/>
    <w:next w:val="1"/>
    <w:qFormat/>
    <w:uiPriority w:val="99"/>
  </w:style>
  <w:style w:type="paragraph" w:styleId="9">
    <w:name w:val="table of figures"/>
    <w:basedOn w:val="1"/>
    <w:next w:val="1"/>
    <w:unhideWhenUsed/>
    <w:qFormat/>
    <w:uiPriority w:val="0"/>
    <w:pPr>
      <w:ind w:left="200" w:leftChars="200" w:hanging="200" w:hangingChars="200"/>
    </w:pPr>
    <w:rPr>
      <w:rFonts w:hint="default"/>
      <w:sz w:val="24"/>
      <w:szCs w:val="24"/>
    </w:rPr>
  </w:style>
  <w:style w:type="paragraph" w:styleId="10">
    <w:name w:val="toc 2"/>
    <w:basedOn w:val="1"/>
    <w:next w:val="1"/>
    <w:qFormat/>
    <w:uiPriority w:val="99"/>
    <w:pPr>
      <w:ind w:left="420" w:leftChars="200"/>
    </w:p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4">
    <w:name w:val="font51"/>
    <w:basedOn w:val="12"/>
    <w:unhideWhenUsed/>
    <w:qFormat/>
    <w:uiPriority w:val="0"/>
    <w:rPr>
      <w:rFonts w:hint="default" w:ascii="宋体" w:hAnsi="宋体" w:eastAsia="宋体" w:cs="宋体"/>
      <w:color w:val="000000"/>
      <w:sz w:val="24"/>
      <w:szCs w:val="24"/>
    </w:rPr>
  </w:style>
  <w:style w:type="character" w:customStyle="1" w:styleId="15">
    <w:name w:val="font21"/>
    <w:basedOn w:val="12"/>
    <w:unhideWhenUsed/>
    <w:qFormat/>
    <w:uiPriority w:val="0"/>
    <w:rPr>
      <w:rFonts w:hint="default" w:ascii="Times New Roman" w:hAnsi="Times New Roman" w:eastAsia="宋体" w:cs="Times New Roman"/>
      <w:color w:val="000000"/>
      <w:sz w:val="24"/>
      <w:szCs w:val="24"/>
    </w:rPr>
  </w:style>
  <w:style w:type="character" w:customStyle="1" w:styleId="16">
    <w:name w:val="font01"/>
    <w:basedOn w:val="12"/>
    <w:unhideWhenUsed/>
    <w:qFormat/>
    <w:uiPriority w:val="0"/>
    <w:rPr>
      <w:rFonts w:hint="default" w:ascii="宋体" w:hAnsi="宋体" w:eastAsia="宋体" w:cs="宋体"/>
      <w:color w:val="000000"/>
      <w:sz w:val="16"/>
      <w:szCs w:val="16"/>
    </w:rPr>
  </w:style>
  <w:style w:type="character" w:customStyle="1" w:styleId="17">
    <w:name w:val="font11"/>
    <w:basedOn w:val="12"/>
    <w:unhideWhenUsed/>
    <w:qFormat/>
    <w:uiPriority w:val="0"/>
    <w:rPr>
      <w:rFonts w:hint="default" w:ascii="宋体" w:hAnsi="宋体" w:eastAsia="宋体" w:cs="宋体"/>
      <w:b/>
      <w:color w:val="000000"/>
      <w:sz w:val="36"/>
      <w:szCs w:val="36"/>
    </w:rPr>
  </w:style>
  <w:style w:type="character" w:customStyle="1" w:styleId="18">
    <w:name w:val="font71"/>
    <w:basedOn w:val="12"/>
    <w:unhideWhenUsed/>
    <w:qFormat/>
    <w:uiPriority w:val="0"/>
    <w:rPr>
      <w:rFonts w:hint="default" w:ascii="宋体" w:hAnsi="宋体" w:eastAsia="宋体" w:cs="宋体"/>
      <w:b/>
      <w:color w:val="000000"/>
      <w:sz w:val="32"/>
      <w:szCs w:val="32"/>
    </w:rPr>
  </w:style>
  <w:style w:type="character" w:customStyle="1" w:styleId="19">
    <w:name w:val="标题 2 Char"/>
    <w:link w:val="3"/>
    <w:qFormat/>
    <w:uiPriority w:val="99"/>
    <w:rPr>
      <w:rFonts w:hint="default" w:ascii="Times New Roman" w:hAnsi="Times New Roman" w:eastAsia="黑体" w:cs="Times New Roman"/>
      <w:sz w:val="32"/>
      <w:szCs w:val="24"/>
    </w:rPr>
  </w:style>
  <w:style w:type="character" w:customStyle="1" w:styleId="20">
    <w:name w:val="标题 1 Char"/>
    <w:link w:val="2"/>
    <w:qFormat/>
    <w:uiPriority w:val="99"/>
    <w:rPr>
      <w:rFonts w:ascii="Times New Roman" w:hAnsi="Times New Roman" w:eastAsia="仿宋"/>
      <w:sz w:val="4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收、支决算总计变动情况图（万元）</a:t>
            </a:r>
          </a:p>
        </c:rich>
      </c:tx>
      <c:layout>
        <c:manualLayout>
          <c:xMode val="edge"/>
          <c:yMode val="edge"/>
          <c:x val="0.111525185634554"/>
          <c:y val="0.0147843282412304"/>
        </c:manualLayout>
      </c:layout>
      <c:overlay val="false"/>
      <c:spPr>
        <a:noFill/>
        <a:ln>
          <a:noFill/>
        </a:ln>
        <a:effectLst/>
      </c:spPr>
    </c:title>
    <c:autoTitleDeleted val="false"/>
    <c:plotArea>
      <c:layout>
        <c:manualLayout>
          <c:layoutTarget val="inner"/>
          <c:xMode val="edge"/>
          <c:yMode val="edge"/>
          <c:x val="0.0876452454351435"/>
          <c:y val="0.252150893448048"/>
          <c:w val="0.863267725871473"/>
          <c:h val="0.437260092653872"/>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261.74</c:v>
                </c:pt>
                <c:pt idx="1">
                  <c:v>398.26</c:v>
                </c:pt>
              </c:numCache>
            </c:numRef>
          </c:val>
        </c:ser>
        <c:dLbls>
          <c:showLegendKey val="false"/>
          <c:showVal val="true"/>
          <c:showCatName val="false"/>
          <c:showSerName val="false"/>
          <c:showPercent val="false"/>
          <c:showBubbleSize val="false"/>
        </c:dLbls>
        <c:gapWidth val="246"/>
        <c:overlap val="-28"/>
        <c:axId val="84000245"/>
        <c:axId val="893941378"/>
      </c:barChart>
      <c:catAx>
        <c:axId val="8400024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3941378"/>
        <c:crosses val="autoZero"/>
        <c:auto val="true"/>
        <c:lblAlgn val="ctr"/>
        <c:lblOffset val="100"/>
        <c:noMultiLvlLbl val="false"/>
      </c:catAx>
      <c:valAx>
        <c:axId val="893941378"/>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00024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收入决算结构图（万元）</a:t>
            </a:r>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393.76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支出决算结构图（万元）</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354.72</c:v>
                </c:pt>
                <c:pt idx="1">
                  <c:v>43.54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财政拨款收、支决算总计变动情况图（万元）</a:t>
            </a:r>
          </a:p>
        </c:rich>
      </c:tx>
      <c:layout>
        <c:manualLayout>
          <c:xMode val="edge"/>
          <c:yMode val="edge"/>
          <c:x val="0.181142034548944"/>
          <c:y val="0.0366573470021746"/>
        </c:manualLayout>
      </c:layout>
      <c:overlay val="false"/>
      <c:spPr>
        <a:noFill/>
        <a:ln>
          <a:noFill/>
        </a:ln>
        <a:effectLst/>
      </c:spPr>
    </c:title>
    <c:autoTitleDeleted val="false"/>
    <c:plotArea>
      <c:layout>
        <c:manualLayout>
          <c:layoutTarget val="inner"/>
          <c:xMode val="edge"/>
          <c:yMode val="edge"/>
          <c:x val="0.0876452454351435"/>
          <c:y val="0.252150893448048"/>
          <c:w val="0.863267725871473"/>
          <c:h val="0.437260092653872"/>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261.74</c:v>
                </c:pt>
                <c:pt idx="1">
                  <c:v>398.26</c:v>
                </c:pt>
              </c:numCache>
            </c:numRef>
          </c:val>
        </c:ser>
        <c:dLbls>
          <c:showLegendKey val="false"/>
          <c:showVal val="true"/>
          <c:showCatName val="false"/>
          <c:showSerName val="false"/>
          <c:showPercent val="false"/>
          <c:showBubbleSize val="false"/>
        </c:dLbls>
        <c:gapWidth val="246"/>
        <c:overlap val="-28"/>
        <c:axId val="84000245"/>
        <c:axId val="893941378"/>
      </c:barChart>
      <c:catAx>
        <c:axId val="8400024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3941378"/>
        <c:crosses val="autoZero"/>
        <c:auto val="true"/>
        <c:lblAlgn val="ctr"/>
        <c:lblOffset val="100"/>
        <c:noMultiLvlLbl val="false"/>
      </c:catAx>
      <c:valAx>
        <c:axId val="893941378"/>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00024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一般公共预算财政拨款支出决算变动情况（万元）</a:t>
            </a:r>
          </a:p>
        </c:rich>
      </c:tx>
      <c:layout>
        <c:manualLayout>
          <c:xMode val="edge"/>
          <c:yMode val="edge"/>
          <c:x val="0.13263842939655"/>
          <c:y val="0.0147843282412304"/>
        </c:manualLayout>
      </c:layout>
      <c:overlay val="false"/>
      <c:spPr>
        <a:noFill/>
        <a:ln>
          <a:noFill/>
        </a:ln>
        <a:effectLst/>
      </c:spPr>
    </c:title>
    <c:autoTitleDeleted val="false"/>
    <c:plotArea>
      <c:layout>
        <c:manualLayout>
          <c:layoutTarget val="inner"/>
          <c:xMode val="edge"/>
          <c:yMode val="edge"/>
          <c:x val="0.0876452454351435"/>
          <c:y val="0.252150893448048"/>
          <c:w val="0.863267725871473"/>
          <c:h val="0.437260092653872"/>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261.74</c:v>
                </c:pt>
                <c:pt idx="1">
                  <c:v>398.26</c:v>
                </c:pt>
              </c:numCache>
            </c:numRef>
          </c:val>
        </c:ser>
        <c:dLbls>
          <c:showLegendKey val="false"/>
          <c:showVal val="true"/>
          <c:showCatName val="false"/>
          <c:showSerName val="false"/>
          <c:showPercent val="false"/>
          <c:showBubbleSize val="false"/>
        </c:dLbls>
        <c:gapWidth val="246"/>
        <c:overlap val="-28"/>
        <c:axId val="84000245"/>
        <c:axId val="893941378"/>
      </c:barChart>
      <c:catAx>
        <c:axId val="8400024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3941378"/>
        <c:crosses val="autoZero"/>
        <c:auto val="true"/>
        <c:lblAlgn val="ctr"/>
        <c:lblOffset val="100"/>
        <c:noMultiLvlLbl val="false"/>
      </c:catAx>
      <c:valAx>
        <c:axId val="893941378"/>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00024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一般公共预算财政拨款支出决算结构（万元）</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elete val="true"/>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329.28</c:v>
                </c:pt>
                <c:pt idx="1">
                  <c:v>28</c:v>
                </c:pt>
                <c:pt idx="2">
                  <c:v>13.66</c:v>
                </c:pt>
                <c:pt idx="3">
                  <c:v>27.33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经费财政拨款支出结构（万元）</a:t>
            </a:r>
            <a:endParaRPr lang="en-US" altLang="zh-CN"/>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Sheet1!$A$2:$A$4</c:f>
              <c:strCache>
                <c:ptCount val="3"/>
                <c:pt idx="0">
                  <c:v>公务接待费支出</c:v>
                </c:pt>
                <c:pt idx="1">
                  <c:v>因公出境支出</c:v>
                </c:pt>
                <c:pt idx="2">
                  <c:v>公务用车购置及运行维护费支出</c:v>
                </c:pt>
              </c:strCache>
            </c:strRef>
          </c:cat>
          <c:val>
            <c:numRef>
              <c:f>Sheet1!$B$2:$B$4</c:f>
              <c:numCache>
                <c:formatCode>General</c:formatCode>
                <c:ptCount val="3"/>
                <c:pt idx="0">
                  <c:v>1</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23121</Words>
  <Characters>26379</Characters>
  <TotalTime>3</TotalTime>
  <ScaleCrop>false</ScaleCrop>
  <LinksUpToDate>false</LinksUpToDate>
  <CharactersWithSpaces>26490</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2023-10-11T14:59:00Z</dcterms:created>
  <dc:creator>Thinkpad</dc:creator>
  <cp:lastModifiedBy>user</cp:lastModifiedBy>
  <dcterms:modified xsi:type="dcterms:W3CDTF">2023-11-01T16:43:22Z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0861971D8E7C452087E8CAC9BCFB1BA6_13</vt:lpwstr>
  </property>
</Properties>
</file>