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193"/>
      <w:bookmarkStart w:id="1" w:name="_Toc15396597"/>
      <w:bookmarkStart w:id="2" w:name="_Toc15377425"/>
      <w:bookmarkStart w:id="3" w:name="_Toc15396475"/>
      <w:bookmarkStart w:id="4" w:name="_Toc15378441"/>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422"/>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21200"/>
      <w:bookmarkStart w:id="8" w:name="_Toc15396598"/>
      <w:bookmarkStart w:id="9" w:name="_Toc15378442"/>
      <w:bookmarkStart w:id="10" w:name="_Toc15377194"/>
      <w:bookmarkStart w:id="11" w:name="_Toc15377426"/>
      <w:bookmarkStart w:id="12" w:name="_Toc15396476"/>
      <w:r>
        <w:rPr>
          <w:rFonts w:hint="eastAsia" w:ascii="方正小标宋简体" w:hAnsi="方正小标宋简体" w:eastAsia="方正小标宋简体" w:cs="方正小标宋简体"/>
          <w:sz w:val="72"/>
          <w:szCs w:val="72"/>
        </w:rPr>
        <w:t>四川省</w:t>
      </w:r>
      <w:bookmarkEnd w:id="5"/>
      <w:bookmarkStart w:id="13" w:name="_Toc15306268"/>
      <w:r>
        <w:rPr>
          <w:rFonts w:hint="eastAsia" w:ascii="方正小标宋简体" w:hAnsi="方正小标宋简体" w:eastAsia="方正小标宋简体" w:cs="方正小标宋简体"/>
          <w:sz w:val="72"/>
          <w:szCs w:val="72"/>
        </w:rPr>
        <w:t>朝天区红十字会</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19343"/>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p>
    <w:p>
      <w:pPr>
        <w:widowControl/>
        <w:jc w:val="both"/>
        <w:rPr>
          <w:rFonts w:ascii="黑体" w:hAnsi="黑体" w:eastAsia="黑体" w:cstheme="minorBidi"/>
          <w:sz w:val="28"/>
          <w:szCs w:val="28"/>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r>
        <w:rPr>
          <w:rFonts w:hint="eastAsia"/>
        </w:rPr>
        <w:t>公开时间：2023年</w:t>
      </w:r>
      <w:r>
        <w:rPr>
          <w:rFonts w:hint="eastAsia"/>
          <w:lang w:val="en-US" w:eastAsia="zh-CN"/>
        </w:rPr>
        <w:t>10</w:t>
      </w:r>
      <w:r>
        <w:rPr>
          <w:rFonts w:hint="eastAsia"/>
        </w:rPr>
        <w:t>月2</w:t>
      </w:r>
      <w:r>
        <w:rPr>
          <w:rFonts w:hint="eastAsia"/>
          <w:lang w:val="en-US" w:eastAsia="zh-CN"/>
        </w:rPr>
        <w:t>7</w:t>
      </w:r>
      <w:r>
        <w:rPr>
          <w:rFonts w:hint="eastAsia"/>
        </w:rPr>
        <w:t>日</w:t>
      </w:r>
    </w:p>
    <w:p/>
    <w:sdt>
      <w:sdtPr>
        <w:rPr>
          <w:rFonts w:ascii="宋体" w:hAnsi="宋体" w:eastAsia="宋体" w:cs="Times New Roman"/>
          <w:kern w:val="2"/>
          <w:sz w:val="21"/>
          <w:szCs w:val="24"/>
          <w:lang w:val="en-US" w:eastAsia="zh-CN" w:bidi="ar-SA"/>
        </w:rPr>
        <w:id w:val="14747058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5" w:name="_Toc15396599"/>
          <w:bookmarkStart w:id="16" w:name="_Toc15377196"/>
          <w:r>
            <w:rPr>
              <w:rFonts w:ascii="宋体" w:hAnsi="宋体" w:eastAsia="宋体"/>
              <w:sz w:val="21"/>
            </w:rPr>
            <w:t>目录</w:t>
          </w:r>
        </w:p>
        <w:p>
          <w:pPr>
            <w:pStyle w:val="48"/>
            <w:tabs>
              <w:tab w:val="right" w:leader="dot" w:pos="8845"/>
            </w:tabs>
          </w:pPr>
          <w:r>
            <w:fldChar w:fldCharType="begin"/>
          </w:r>
          <w:r>
            <w:instrText xml:space="preserve">TOC \o "1-3" \h \u </w:instrText>
          </w:r>
          <w:r>
            <w:fldChar w:fldCharType="separate"/>
          </w:r>
          <w:r>
            <w:fldChar w:fldCharType="begin"/>
          </w:r>
          <w:r>
            <w:instrText xml:space="preserve"> HYPERLINK \l _Toc21965 </w:instrText>
          </w:r>
          <w:r>
            <w:fldChar w:fldCharType="separate"/>
          </w:r>
          <w:r>
            <w:rPr>
              <w:rFonts w:hint="eastAsia" w:ascii="黑体" w:hAnsi="黑体" w:eastAsia="黑体"/>
            </w:rPr>
            <w:t>第一部分  部门概况</w:t>
          </w:r>
          <w:r>
            <w:tab/>
          </w:r>
          <w:r>
            <w:fldChar w:fldCharType="begin"/>
          </w:r>
          <w:r>
            <w:instrText xml:space="preserve"> PAGEREF _Toc21965 \h </w:instrText>
          </w:r>
          <w:r>
            <w:fldChar w:fldCharType="separate"/>
          </w:r>
          <w:r>
            <w:t>3</w:t>
          </w:r>
          <w:r>
            <w:fldChar w:fldCharType="end"/>
          </w:r>
          <w:r>
            <w:fldChar w:fldCharType="end"/>
          </w:r>
        </w:p>
        <w:p>
          <w:pPr>
            <w:pStyle w:val="49"/>
            <w:tabs>
              <w:tab w:val="right" w:leader="dot" w:pos="8845"/>
            </w:tabs>
          </w:pPr>
          <w:r>
            <w:fldChar w:fldCharType="begin"/>
          </w:r>
          <w:r>
            <w:instrText xml:space="preserve"> HYPERLINK \l _Toc28180 </w:instrText>
          </w:r>
          <w:r>
            <w:fldChar w:fldCharType="separate"/>
          </w:r>
          <w:r>
            <w:rPr>
              <w:rFonts w:hint="eastAsia" w:ascii="黑体" w:hAnsi="黑体" w:eastAsia="黑体" w:cs="黑体"/>
            </w:rPr>
            <w:t>一、部门职责</w:t>
          </w:r>
          <w:r>
            <w:tab/>
          </w:r>
          <w:r>
            <w:fldChar w:fldCharType="begin"/>
          </w:r>
          <w:r>
            <w:instrText xml:space="preserve"> PAGEREF _Toc28180 \h </w:instrText>
          </w:r>
          <w:r>
            <w:fldChar w:fldCharType="separate"/>
          </w:r>
          <w:r>
            <w:t>3</w:t>
          </w:r>
          <w:r>
            <w:fldChar w:fldCharType="end"/>
          </w:r>
          <w:r>
            <w:fldChar w:fldCharType="end"/>
          </w:r>
        </w:p>
        <w:p>
          <w:pPr>
            <w:pStyle w:val="49"/>
            <w:tabs>
              <w:tab w:val="right" w:leader="dot" w:pos="8845"/>
            </w:tabs>
          </w:pPr>
          <w:r>
            <w:fldChar w:fldCharType="begin"/>
          </w:r>
          <w:r>
            <w:instrText xml:space="preserve"> HYPERLINK \l _Toc749 </w:instrText>
          </w:r>
          <w:r>
            <w:fldChar w:fldCharType="separate"/>
          </w:r>
          <w:r>
            <w:rPr>
              <w:rFonts w:hint="eastAsia" w:ascii="黑体" w:hAnsi="黑体" w:eastAsia="黑体" w:cs="黑体"/>
              <w:szCs w:val="32"/>
            </w:rPr>
            <w:t>二、机</w:t>
          </w:r>
          <w:r>
            <w:rPr>
              <w:rFonts w:hint="eastAsia" w:ascii="黑体" w:hAnsi="黑体" w:eastAsia="黑体" w:cs="黑体"/>
              <w:bCs w:val="0"/>
            </w:rPr>
            <w:t>构设置</w:t>
          </w:r>
          <w:r>
            <w:tab/>
          </w:r>
          <w:r>
            <w:fldChar w:fldCharType="begin"/>
          </w:r>
          <w:r>
            <w:instrText xml:space="preserve"> PAGEREF _Toc749 \h </w:instrText>
          </w:r>
          <w:r>
            <w:fldChar w:fldCharType="separate"/>
          </w:r>
          <w:r>
            <w:t>4</w:t>
          </w:r>
          <w:r>
            <w:fldChar w:fldCharType="end"/>
          </w:r>
          <w:r>
            <w:fldChar w:fldCharType="end"/>
          </w:r>
        </w:p>
        <w:p>
          <w:pPr>
            <w:pStyle w:val="48"/>
            <w:tabs>
              <w:tab w:val="right" w:leader="dot" w:pos="8845"/>
            </w:tabs>
          </w:pPr>
          <w:r>
            <w:fldChar w:fldCharType="begin"/>
          </w:r>
          <w:r>
            <w:instrText xml:space="preserve"> HYPERLINK \l _Toc25418 </w:instrText>
          </w:r>
          <w:r>
            <w:fldChar w:fldCharType="separate"/>
          </w:r>
          <w:r>
            <w:rPr>
              <w:rFonts w:hint="eastAsia" w:ascii="黑体" w:hAnsi="黑体" w:eastAsia="黑体"/>
            </w:rPr>
            <w:t>第二部分  2022年度</w:t>
          </w:r>
          <w:r>
            <w:rPr>
              <w:rFonts w:hint="eastAsia" w:ascii="黑体" w:hAnsi="黑体" w:eastAsia="黑体"/>
              <w:bCs/>
            </w:rPr>
            <w:t>部门决算情况说明</w:t>
          </w:r>
          <w:r>
            <w:tab/>
          </w:r>
          <w:r>
            <w:fldChar w:fldCharType="begin"/>
          </w:r>
          <w:r>
            <w:instrText xml:space="preserve"> PAGEREF _Toc25418 \h </w:instrText>
          </w:r>
          <w:r>
            <w:fldChar w:fldCharType="separate"/>
          </w:r>
          <w:r>
            <w:t>5</w:t>
          </w:r>
          <w:r>
            <w:fldChar w:fldCharType="end"/>
          </w:r>
          <w:r>
            <w:fldChar w:fldCharType="end"/>
          </w:r>
        </w:p>
        <w:p>
          <w:pPr>
            <w:pStyle w:val="49"/>
            <w:tabs>
              <w:tab w:val="right" w:leader="dot" w:pos="8845"/>
            </w:tabs>
          </w:pPr>
          <w:r>
            <w:fldChar w:fldCharType="begin"/>
          </w:r>
          <w:r>
            <w:instrText xml:space="preserve"> HYPERLINK \l _Toc32170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_Toc32170 \h </w:instrText>
          </w:r>
          <w:r>
            <w:fldChar w:fldCharType="separate"/>
          </w:r>
          <w:r>
            <w:t>5</w:t>
          </w:r>
          <w:r>
            <w:fldChar w:fldCharType="end"/>
          </w:r>
          <w:r>
            <w:fldChar w:fldCharType="end"/>
          </w:r>
        </w:p>
        <w:p>
          <w:pPr>
            <w:pStyle w:val="49"/>
            <w:tabs>
              <w:tab w:val="right" w:leader="dot" w:pos="8845"/>
            </w:tabs>
          </w:pPr>
          <w:r>
            <w:fldChar w:fldCharType="begin"/>
          </w:r>
          <w:r>
            <w:instrText xml:space="preserve"> HYPERLINK \l _Toc29587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_Toc29587 \h </w:instrText>
          </w:r>
          <w:r>
            <w:fldChar w:fldCharType="separate"/>
          </w:r>
          <w:r>
            <w:t>5</w:t>
          </w:r>
          <w:r>
            <w:fldChar w:fldCharType="end"/>
          </w:r>
          <w:r>
            <w:fldChar w:fldCharType="end"/>
          </w:r>
        </w:p>
        <w:p>
          <w:pPr>
            <w:pStyle w:val="49"/>
            <w:tabs>
              <w:tab w:val="right" w:leader="dot" w:pos="8845"/>
            </w:tabs>
          </w:pPr>
          <w:r>
            <w:fldChar w:fldCharType="begin"/>
          </w:r>
          <w:r>
            <w:instrText xml:space="preserve"> HYPERLINK \l _Toc13610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_Toc13610 \h </w:instrText>
          </w:r>
          <w:r>
            <w:fldChar w:fldCharType="separate"/>
          </w:r>
          <w:r>
            <w:t>6</w:t>
          </w:r>
          <w:r>
            <w:fldChar w:fldCharType="end"/>
          </w:r>
          <w:r>
            <w:fldChar w:fldCharType="end"/>
          </w:r>
        </w:p>
        <w:p>
          <w:pPr>
            <w:pStyle w:val="49"/>
            <w:tabs>
              <w:tab w:val="right" w:leader="dot" w:pos="8845"/>
            </w:tabs>
          </w:pPr>
          <w:r>
            <w:fldChar w:fldCharType="begin"/>
          </w:r>
          <w:r>
            <w:instrText xml:space="preserve"> HYPERLINK \l _Toc28915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_Toc28915 \h </w:instrText>
          </w:r>
          <w:r>
            <w:fldChar w:fldCharType="separate"/>
          </w:r>
          <w:r>
            <w:t>7</w:t>
          </w:r>
          <w:r>
            <w:fldChar w:fldCharType="end"/>
          </w:r>
          <w:r>
            <w:fldChar w:fldCharType="end"/>
          </w:r>
        </w:p>
        <w:p>
          <w:pPr>
            <w:pStyle w:val="49"/>
            <w:tabs>
              <w:tab w:val="right" w:leader="dot" w:pos="8845"/>
            </w:tabs>
          </w:pPr>
          <w:r>
            <w:fldChar w:fldCharType="begin"/>
          </w:r>
          <w:r>
            <w:instrText xml:space="preserve"> HYPERLINK \l _Toc359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_Toc359 \h </w:instrText>
          </w:r>
          <w:r>
            <w:fldChar w:fldCharType="separate"/>
          </w:r>
          <w:r>
            <w:t>7</w:t>
          </w:r>
          <w:r>
            <w:fldChar w:fldCharType="end"/>
          </w:r>
          <w:r>
            <w:fldChar w:fldCharType="end"/>
          </w:r>
        </w:p>
        <w:p>
          <w:pPr>
            <w:pStyle w:val="50"/>
            <w:tabs>
              <w:tab w:val="right" w:leader="dot" w:pos="8845"/>
            </w:tabs>
          </w:pPr>
          <w:r>
            <w:fldChar w:fldCharType="begin"/>
          </w:r>
          <w:r>
            <w:instrText xml:space="preserve"> HYPERLINK \l _Toc24336 </w:instrText>
          </w:r>
          <w:r>
            <w:fldChar w:fldCharType="separate"/>
          </w:r>
          <w:r>
            <w:rPr>
              <w:rFonts w:hint="eastAsia" w:ascii="楷体_GB2312" w:hAnsi="楷体_GB2312" w:eastAsia="楷体_GB2312" w:cs="楷体_GB2312"/>
              <w:szCs w:val="32"/>
            </w:rPr>
            <w:t>（一）一般公共预算财政拨款支出决算总体情况</w:t>
          </w:r>
          <w:r>
            <w:tab/>
          </w:r>
          <w:r>
            <w:fldChar w:fldCharType="begin"/>
          </w:r>
          <w:r>
            <w:instrText xml:space="preserve"> PAGEREF _Toc24336 \h </w:instrText>
          </w:r>
          <w:r>
            <w:fldChar w:fldCharType="separate"/>
          </w:r>
          <w:r>
            <w:t>7</w:t>
          </w:r>
          <w:r>
            <w:fldChar w:fldCharType="end"/>
          </w:r>
          <w:r>
            <w:fldChar w:fldCharType="end"/>
          </w:r>
        </w:p>
        <w:p>
          <w:pPr>
            <w:pStyle w:val="50"/>
            <w:tabs>
              <w:tab w:val="right" w:leader="dot" w:pos="8845"/>
            </w:tabs>
          </w:pPr>
          <w:r>
            <w:fldChar w:fldCharType="begin"/>
          </w:r>
          <w:r>
            <w:instrText xml:space="preserve"> HYPERLINK \l _Toc32569 </w:instrText>
          </w:r>
          <w:r>
            <w:fldChar w:fldCharType="separate"/>
          </w:r>
          <w:r>
            <w:rPr>
              <w:rFonts w:hint="eastAsia" w:ascii="楷体_GB2312" w:hAnsi="楷体_GB2312" w:eastAsia="楷体_GB2312" w:cs="楷体_GB2312"/>
              <w:szCs w:val="32"/>
            </w:rPr>
            <w:t>（二）一般公共预算财政拨款支出决算结构情况</w:t>
          </w:r>
          <w:r>
            <w:tab/>
          </w:r>
          <w:r>
            <w:fldChar w:fldCharType="begin"/>
          </w:r>
          <w:r>
            <w:instrText xml:space="preserve"> PAGEREF _Toc32569 \h </w:instrText>
          </w:r>
          <w:r>
            <w:fldChar w:fldCharType="separate"/>
          </w:r>
          <w:r>
            <w:t>8</w:t>
          </w:r>
          <w:r>
            <w:fldChar w:fldCharType="end"/>
          </w:r>
          <w:r>
            <w:fldChar w:fldCharType="end"/>
          </w:r>
        </w:p>
        <w:p>
          <w:pPr>
            <w:pStyle w:val="50"/>
            <w:tabs>
              <w:tab w:val="right" w:leader="dot" w:pos="8845"/>
            </w:tabs>
          </w:pPr>
          <w:r>
            <w:fldChar w:fldCharType="begin"/>
          </w:r>
          <w:r>
            <w:instrText xml:space="preserve"> HYPERLINK \l _Toc194 </w:instrText>
          </w:r>
          <w:r>
            <w:fldChar w:fldCharType="separate"/>
          </w:r>
          <w:r>
            <w:rPr>
              <w:rFonts w:hint="eastAsia" w:ascii="楷体_GB2312" w:hAnsi="楷体_GB2312" w:eastAsia="楷体_GB2312" w:cs="楷体_GB2312"/>
              <w:szCs w:val="32"/>
            </w:rPr>
            <w:t>（三）一般公共预算财政拨款支出决算具体情况</w:t>
          </w:r>
          <w:r>
            <w:tab/>
          </w:r>
          <w:r>
            <w:fldChar w:fldCharType="begin"/>
          </w:r>
          <w:r>
            <w:instrText xml:space="preserve"> PAGEREF _Toc194 \h </w:instrText>
          </w:r>
          <w:r>
            <w:fldChar w:fldCharType="separate"/>
          </w:r>
          <w:r>
            <w:t>9</w:t>
          </w:r>
          <w:r>
            <w:fldChar w:fldCharType="end"/>
          </w:r>
          <w:r>
            <w:fldChar w:fldCharType="end"/>
          </w:r>
        </w:p>
        <w:p>
          <w:pPr>
            <w:pStyle w:val="49"/>
            <w:tabs>
              <w:tab w:val="right" w:leader="dot" w:pos="8845"/>
            </w:tabs>
          </w:pPr>
          <w:r>
            <w:fldChar w:fldCharType="begin"/>
          </w:r>
          <w:r>
            <w:instrText xml:space="preserve"> HYPERLINK \l _Toc19096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_Toc19096 \h </w:instrText>
          </w:r>
          <w:r>
            <w:fldChar w:fldCharType="separate"/>
          </w:r>
          <w:r>
            <w:t>9</w:t>
          </w:r>
          <w:r>
            <w:fldChar w:fldCharType="end"/>
          </w:r>
          <w:r>
            <w:fldChar w:fldCharType="end"/>
          </w:r>
        </w:p>
        <w:p>
          <w:pPr>
            <w:pStyle w:val="49"/>
            <w:tabs>
              <w:tab w:val="right" w:leader="dot" w:pos="8845"/>
            </w:tabs>
          </w:pPr>
          <w:r>
            <w:fldChar w:fldCharType="begin"/>
          </w:r>
          <w:r>
            <w:instrText xml:space="preserve"> HYPERLINK \l _Toc7573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_Toc7573 \h </w:instrText>
          </w:r>
          <w:r>
            <w:fldChar w:fldCharType="separate"/>
          </w:r>
          <w:r>
            <w:t>10</w:t>
          </w:r>
          <w:r>
            <w:fldChar w:fldCharType="end"/>
          </w:r>
          <w:r>
            <w:fldChar w:fldCharType="end"/>
          </w:r>
        </w:p>
        <w:p>
          <w:pPr>
            <w:pStyle w:val="50"/>
            <w:tabs>
              <w:tab w:val="right" w:leader="dot" w:pos="8845"/>
            </w:tabs>
          </w:pPr>
          <w:r>
            <w:fldChar w:fldCharType="begin"/>
          </w:r>
          <w:r>
            <w:instrText xml:space="preserve"> HYPERLINK \l _Toc10511 </w:instrText>
          </w:r>
          <w:r>
            <w:fldChar w:fldCharType="separate"/>
          </w:r>
          <w:r>
            <w:rPr>
              <w:rFonts w:hint="eastAsia" w:ascii="楷体_GB2312" w:hAnsi="楷体_GB2312" w:eastAsia="楷体_GB2312" w:cs="楷体_GB2312"/>
              <w:szCs w:val="32"/>
            </w:rPr>
            <w:t>（一）“三公”经费财政拨款支出决算总体情况说明</w:t>
          </w:r>
          <w:r>
            <w:tab/>
          </w:r>
          <w:r>
            <w:fldChar w:fldCharType="begin"/>
          </w:r>
          <w:r>
            <w:instrText xml:space="preserve"> PAGEREF _Toc10511 \h </w:instrText>
          </w:r>
          <w:r>
            <w:fldChar w:fldCharType="separate"/>
          </w:r>
          <w:r>
            <w:t>10</w:t>
          </w:r>
          <w:r>
            <w:fldChar w:fldCharType="end"/>
          </w:r>
          <w:r>
            <w:fldChar w:fldCharType="end"/>
          </w:r>
        </w:p>
        <w:p>
          <w:pPr>
            <w:pStyle w:val="50"/>
            <w:tabs>
              <w:tab w:val="right" w:leader="dot" w:pos="8845"/>
            </w:tabs>
          </w:pPr>
          <w:r>
            <w:fldChar w:fldCharType="begin"/>
          </w:r>
          <w:r>
            <w:instrText xml:space="preserve"> HYPERLINK \l _Toc30721 </w:instrText>
          </w:r>
          <w:r>
            <w:fldChar w:fldCharType="separate"/>
          </w:r>
          <w:r>
            <w:rPr>
              <w:rFonts w:hint="eastAsia" w:ascii="楷体_GB2312" w:hAnsi="楷体_GB2312" w:eastAsia="楷体_GB2312" w:cs="楷体_GB2312"/>
              <w:szCs w:val="32"/>
            </w:rPr>
            <w:t>（二）“三公”经费财政拨款支出决算具体情况说明</w:t>
          </w:r>
          <w:r>
            <w:tab/>
          </w:r>
          <w:r>
            <w:fldChar w:fldCharType="begin"/>
          </w:r>
          <w:r>
            <w:instrText xml:space="preserve"> PAGEREF _Toc30721 \h </w:instrText>
          </w:r>
          <w:r>
            <w:fldChar w:fldCharType="separate"/>
          </w:r>
          <w:r>
            <w:t>10</w:t>
          </w:r>
          <w:r>
            <w:fldChar w:fldCharType="end"/>
          </w:r>
          <w:r>
            <w:fldChar w:fldCharType="end"/>
          </w:r>
        </w:p>
        <w:p>
          <w:pPr>
            <w:pStyle w:val="49"/>
            <w:tabs>
              <w:tab w:val="right" w:leader="dot" w:pos="8845"/>
            </w:tabs>
          </w:pPr>
          <w:r>
            <w:fldChar w:fldCharType="begin"/>
          </w:r>
          <w:r>
            <w:instrText xml:space="preserve"> HYPERLINK \l _Toc31482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_Toc31482 \h </w:instrText>
          </w:r>
          <w:r>
            <w:fldChar w:fldCharType="separate"/>
          </w:r>
          <w:r>
            <w:t>11</w:t>
          </w:r>
          <w:r>
            <w:fldChar w:fldCharType="end"/>
          </w:r>
          <w:r>
            <w:fldChar w:fldCharType="end"/>
          </w:r>
        </w:p>
        <w:p>
          <w:pPr>
            <w:pStyle w:val="50"/>
            <w:tabs>
              <w:tab w:val="right" w:leader="dot" w:pos="8845"/>
            </w:tabs>
          </w:pPr>
          <w:r>
            <w:fldChar w:fldCharType="begin"/>
          </w:r>
          <w:r>
            <w:instrText xml:space="preserve"> HYPERLINK \l _Toc5842 </w:instrText>
          </w:r>
          <w:r>
            <w:fldChar w:fldCharType="separate"/>
          </w:r>
          <w:r>
            <w:rPr>
              <w:rFonts w:hint="eastAsia" w:ascii="黑体" w:hAnsi="黑体" w:eastAsia="黑体"/>
            </w:rPr>
            <w:t>国有资本经营预算支出决算情况说明</w:t>
          </w:r>
          <w:r>
            <w:tab/>
          </w:r>
          <w:r>
            <w:fldChar w:fldCharType="begin"/>
          </w:r>
          <w:r>
            <w:instrText xml:space="preserve"> PAGEREF _Toc5842 \h </w:instrText>
          </w:r>
          <w:r>
            <w:fldChar w:fldCharType="separate"/>
          </w:r>
          <w:r>
            <w:t>11</w:t>
          </w:r>
          <w:r>
            <w:fldChar w:fldCharType="end"/>
          </w:r>
          <w:r>
            <w:fldChar w:fldCharType="end"/>
          </w:r>
        </w:p>
        <w:p>
          <w:pPr>
            <w:pStyle w:val="49"/>
            <w:tabs>
              <w:tab w:val="right" w:leader="dot" w:pos="8845"/>
            </w:tabs>
          </w:pPr>
          <w:r>
            <w:fldChar w:fldCharType="begin"/>
          </w:r>
          <w:r>
            <w:instrText xml:space="preserve"> HYPERLINK \l _Toc14451 </w:instrText>
          </w:r>
          <w:r>
            <w:fldChar w:fldCharType="separate"/>
          </w:r>
          <w:r>
            <w:rPr>
              <w:rFonts w:hint="eastAsia" w:ascii="黑体" w:hAnsi="黑体" w:eastAsia="黑体"/>
            </w:rPr>
            <w:t>其他重要事项的情况说明</w:t>
          </w:r>
          <w:r>
            <w:tab/>
          </w:r>
          <w:r>
            <w:fldChar w:fldCharType="begin"/>
          </w:r>
          <w:r>
            <w:instrText xml:space="preserve"> PAGEREF _Toc14451 \h </w:instrText>
          </w:r>
          <w:r>
            <w:fldChar w:fldCharType="separate"/>
          </w:r>
          <w:r>
            <w:t>11</w:t>
          </w:r>
          <w:r>
            <w:fldChar w:fldCharType="end"/>
          </w:r>
          <w:r>
            <w:fldChar w:fldCharType="end"/>
          </w:r>
        </w:p>
        <w:p>
          <w:pPr>
            <w:pStyle w:val="50"/>
            <w:tabs>
              <w:tab w:val="right" w:leader="dot" w:pos="8845"/>
            </w:tabs>
          </w:pPr>
          <w:r>
            <w:fldChar w:fldCharType="begin"/>
          </w:r>
          <w:r>
            <w:instrText xml:space="preserve"> HYPERLINK \l _Toc2498 </w:instrText>
          </w:r>
          <w:r>
            <w:fldChar w:fldCharType="separate"/>
          </w:r>
          <w:r>
            <w:rPr>
              <w:rFonts w:hint="eastAsia" w:ascii="楷体_GB2312" w:hAnsi="楷体_GB2312" w:eastAsia="楷体_GB2312" w:cs="楷体_GB2312"/>
              <w:szCs w:val="32"/>
            </w:rPr>
            <w:t>（一）机关运行经费支出情况</w:t>
          </w:r>
          <w:r>
            <w:tab/>
          </w:r>
          <w:r>
            <w:fldChar w:fldCharType="begin"/>
          </w:r>
          <w:r>
            <w:instrText xml:space="preserve"> PAGEREF _Toc2498 \h </w:instrText>
          </w:r>
          <w:r>
            <w:fldChar w:fldCharType="separate"/>
          </w:r>
          <w:r>
            <w:t>11</w:t>
          </w:r>
          <w:r>
            <w:fldChar w:fldCharType="end"/>
          </w:r>
          <w:r>
            <w:fldChar w:fldCharType="end"/>
          </w:r>
        </w:p>
        <w:p>
          <w:pPr>
            <w:pStyle w:val="50"/>
            <w:tabs>
              <w:tab w:val="right" w:leader="dot" w:pos="8845"/>
            </w:tabs>
          </w:pPr>
          <w:r>
            <w:fldChar w:fldCharType="begin"/>
          </w:r>
          <w:r>
            <w:instrText xml:space="preserve"> HYPERLINK \l _Toc29230 </w:instrText>
          </w:r>
          <w:r>
            <w:fldChar w:fldCharType="separate"/>
          </w:r>
          <w:r>
            <w:rPr>
              <w:rFonts w:hint="eastAsia" w:ascii="楷体_GB2312" w:hAnsi="楷体_GB2312" w:eastAsia="楷体_GB2312" w:cs="楷体_GB2312"/>
              <w:szCs w:val="32"/>
            </w:rPr>
            <w:t>（二）政府采购支出情况</w:t>
          </w:r>
          <w:r>
            <w:tab/>
          </w:r>
          <w:r>
            <w:fldChar w:fldCharType="begin"/>
          </w:r>
          <w:r>
            <w:instrText xml:space="preserve"> PAGEREF _Toc29230 \h </w:instrText>
          </w:r>
          <w:r>
            <w:fldChar w:fldCharType="separate"/>
          </w:r>
          <w:r>
            <w:t>12</w:t>
          </w:r>
          <w:r>
            <w:fldChar w:fldCharType="end"/>
          </w:r>
          <w:r>
            <w:fldChar w:fldCharType="end"/>
          </w:r>
        </w:p>
        <w:p>
          <w:pPr>
            <w:pStyle w:val="50"/>
            <w:tabs>
              <w:tab w:val="right" w:leader="dot" w:pos="8845"/>
            </w:tabs>
          </w:pPr>
          <w:r>
            <w:fldChar w:fldCharType="begin"/>
          </w:r>
          <w:r>
            <w:instrText xml:space="preserve"> HYPERLINK \l _Toc26388 </w:instrText>
          </w:r>
          <w:r>
            <w:fldChar w:fldCharType="separate"/>
          </w:r>
          <w:r>
            <w:rPr>
              <w:rFonts w:hint="eastAsia" w:ascii="楷体_GB2312" w:hAnsi="楷体_GB2312" w:eastAsia="楷体_GB2312" w:cs="楷体_GB2312"/>
              <w:szCs w:val="32"/>
            </w:rPr>
            <w:t>（三）国有资产占有使用情况</w:t>
          </w:r>
          <w:r>
            <w:tab/>
          </w:r>
          <w:r>
            <w:fldChar w:fldCharType="begin"/>
          </w:r>
          <w:r>
            <w:instrText xml:space="preserve"> PAGEREF _Toc26388 \h </w:instrText>
          </w:r>
          <w:r>
            <w:fldChar w:fldCharType="separate"/>
          </w:r>
          <w:r>
            <w:t>12</w:t>
          </w:r>
          <w:r>
            <w:fldChar w:fldCharType="end"/>
          </w:r>
          <w:r>
            <w:fldChar w:fldCharType="end"/>
          </w:r>
        </w:p>
        <w:p>
          <w:pPr>
            <w:pStyle w:val="50"/>
            <w:tabs>
              <w:tab w:val="right" w:leader="dot" w:pos="8845"/>
            </w:tabs>
          </w:pPr>
          <w:r>
            <w:fldChar w:fldCharType="begin"/>
          </w:r>
          <w:r>
            <w:instrText xml:space="preserve"> HYPERLINK \l _Toc29779 </w:instrText>
          </w:r>
          <w:r>
            <w:fldChar w:fldCharType="separate"/>
          </w:r>
          <w:r>
            <w:rPr>
              <w:rFonts w:hint="eastAsia" w:ascii="楷体_GB2312" w:hAnsi="楷体_GB2312" w:eastAsia="楷体_GB2312" w:cs="楷体_GB2312"/>
              <w:szCs w:val="32"/>
            </w:rPr>
            <w:t>（四）预算绩效管理情况</w:t>
          </w:r>
          <w:r>
            <w:tab/>
          </w:r>
          <w:r>
            <w:fldChar w:fldCharType="begin"/>
          </w:r>
          <w:r>
            <w:instrText xml:space="preserve"> PAGEREF _Toc29779 \h </w:instrText>
          </w:r>
          <w:r>
            <w:fldChar w:fldCharType="separate"/>
          </w:r>
          <w:r>
            <w:t>12</w:t>
          </w:r>
          <w:r>
            <w:fldChar w:fldCharType="end"/>
          </w:r>
          <w:r>
            <w:fldChar w:fldCharType="end"/>
          </w:r>
        </w:p>
        <w:p>
          <w:pPr>
            <w:pStyle w:val="48"/>
            <w:tabs>
              <w:tab w:val="right" w:leader="dot" w:pos="8845"/>
            </w:tabs>
          </w:pPr>
          <w:r>
            <w:fldChar w:fldCharType="begin"/>
          </w:r>
          <w:r>
            <w:instrText xml:space="preserve"> HYPERLINK \l _Toc25975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_Toc25975 \h </w:instrText>
          </w:r>
          <w:r>
            <w:fldChar w:fldCharType="separate"/>
          </w:r>
          <w:r>
            <w:t>14</w:t>
          </w:r>
          <w:r>
            <w:fldChar w:fldCharType="end"/>
          </w:r>
          <w:r>
            <w:fldChar w:fldCharType="end"/>
          </w:r>
        </w:p>
        <w:p>
          <w:pPr>
            <w:pStyle w:val="48"/>
            <w:tabs>
              <w:tab w:val="right" w:leader="dot" w:pos="8845"/>
            </w:tabs>
          </w:pPr>
          <w:r>
            <w:fldChar w:fldCharType="begin"/>
          </w:r>
          <w:r>
            <w:instrText xml:space="preserve"> HYPERLINK \l _Toc29199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_Toc29199 \h </w:instrText>
          </w:r>
          <w:r>
            <w:fldChar w:fldCharType="separate"/>
          </w:r>
          <w:r>
            <w:t>16</w:t>
          </w:r>
          <w:r>
            <w:fldChar w:fldCharType="end"/>
          </w:r>
          <w:r>
            <w:fldChar w:fldCharType="end"/>
          </w:r>
        </w:p>
        <w:p>
          <w:pPr>
            <w:pStyle w:val="48"/>
            <w:tabs>
              <w:tab w:val="right" w:leader="dot" w:pos="8845"/>
            </w:tabs>
          </w:pPr>
          <w:r>
            <w:fldChar w:fldCharType="begin"/>
          </w:r>
          <w:r>
            <w:instrText xml:space="preserve"> HYPERLINK \l _Toc30892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_Toc30892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_Toc838 </w:instrText>
          </w:r>
          <w:r>
            <w:fldChar w:fldCharType="separate"/>
          </w:r>
          <w:r>
            <w:rPr>
              <w:rFonts w:hint="eastAsia" w:ascii="仿宋_GB2312" w:hAnsi="仿宋_GB2312" w:eastAsia="仿宋_GB2312" w:cs="仿宋_GB2312"/>
            </w:rPr>
            <w:t>一、收</w:t>
          </w:r>
          <w:r>
            <w:rPr>
              <w:rFonts w:hint="eastAsia" w:ascii="仿宋_GB2312" w:hAnsi="仿宋_GB2312" w:eastAsia="仿宋_GB2312" w:cs="仿宋_GB2312"/>
              <w:bCs w:val="0"/>
            </w:rPr>
            <w:t>入支出决算总表</w:t>
          </w:r>
          <w:r>
            <w:tab/>
          </w:r>
          <w:r>
            <w:fldChar w:fldCharType="begin"/>
          </w:r>
          <w:r>
            <w:instrText xml:space="preserve"> PAGEREF _Toc838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_Toc4550 </w:instrText>
          </w:r>
          <w:r>
            <w:fldChar w:fldCharType="separate"/>
          </w:r>
          <w:r>
            <w:rPr>
              <w:rFonts w:hint="eastAsia" w:ascii="仿宋_GB2312" w:hAnsi="仿宋_GB2312" w:eastAsia="仿宋_GB2312" w:cs="仿宋_GB2312"/>
            </w:rPr>
            <w:t>二、收</w:t>
          </w:r>
          <w:r>
            <w:rPr>
              <w:rFonts w:hint="eastAsia" w:ascii="仿宋_GB2312" w:hAnsi="仿宋_GB2312" w:eastAsia="仿宋_GB2312" w:cs="仿宋_GB2312"/>
              <w:bCs w:val="0"/>
            </w:rPr>
            <w:t>入决算表</w:t>
          </w:r>
          <w:r>
            <w:tab/>
          </w:r>
          <w:r>
            <w:fldChar w:fldCharType="begin"/>
          </w:r>
          <w:r>
            <w:instrText xml:space="preserve"> PAGEREF _Toc4550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_Toc29651 </w:instrText>
          </w:r>
          <w:r>
            <w:fldChar w:fldCharType="separate"/>
          </w:r>
          <w:r>
            <w:rPr>
              <w:rFonts w:hint="eastAsia" w:ascii="仿宋_GB2312" w:hAnsi="仿宋_GB2312" w:eastAsia="仿宋_GB2312" w:cs="仿宋_GB2312"/>
              <w:bCs w:val="0"/>
            </w:rPr>
            <w:t>三、</w:t>
          </w:r>
          <w:r>
            <w:rPr>
              <w:rFonts w:hint="eastAsia" w:ascii="仿宋_GB2312" w:hAnsi="仿宋_GB2312" w:eastAsia="仿宋_GB2312" w:cs="仿宋_GB2312"/>
            </w:rPr>
            <w:t>支</w:t>
          </w:r>
          <w:r>
            <w:rPr>
              <w:rFonts w:hint="eastAsia" w:ascii="仿宋_GB2312" w:hAnsi="仿宋_GB2312" w:eastAsia="仿宋_GB2312" w:cs="仿宋_GB2312"/>
              <w:bCs w:val="0"/>
            </w:rPr>
            <w:t>出决算表</w:t>
          </w:r>
          <w:r>
            <w:tab/>
          </w:r>
          <w:r>
            <w:fldChar w:fldCharType="begin"/>
          </w:r>
          <w:r>
            <w:instrText xml:space="preserve"> PAGEREF _Toc29651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_Toc7090 </w:instrText>
          </w:r>
          <w:r>
            <w:fldChar w:fldCharType="separate"/>
          </w:r>
          <w:r>
            <w:rPr>
              <w:rFonts w:hint="eastAsia" w:ascii="仿宋_GB2312" w:hAnsi="仿宋_GB2312" w:eastAsia="仿宋_GB2312" w:cs="仿宋_GB2312"/>
              <w:bCs w:val="0"/>
            </w:rPr>
            <w:t>四、</w:t>
          </w:r>
          <w:r>
            <w:rPr>
              <w:rFonts w:hint="eastAsia" w:ascii="仿宋_GB2312" w:hAnsi="仿宋_GB2312" w:eastAsia="仿宋_GB2312" w:cs="仿宋_GB2312"/>
            </w:rPr>
            <w:t>财</w:t>
          </w:r>
          <w:r>
            <w:rPr>
              <w:rFonts w:hint="eastAsia" w:ascii="仿宋_GB2312" w:hAnsi="仿宋_GB2312" w:eastAsia="仿宋_GB2312" w:cs="仿宋_GB2312"/>
              <w:bCs w:val="0"/>
            </w:rPr>
            <w:t>政拨款收入支出决算总表</w:t>
          </w:r>
          <w:r>
            <w:tab/>
          </w:r>
          <w:r>
            <w:fldChar w:fldCharType="begin"/>
          </w:r>
          <w:r>
            <w:instrText xml:space="preserve"> PAGEREF _Toc7090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_Toc5617 </w:instrText>
          </w:r>
          <w:r>
            <w:fldChar w:fldCharType="separate"/>
          </w:r>
          <w:r>
            <w:rPr>
              <w:rFonts w:hint="eastAsia" w:ascii="仿宋_GB2312" w:hAnsi="仿宋_GB2312" w:eastAsia="仿宋_GB2312" w:cs="仿宋_GB2312"/>
              <w:bCs w:val="0"/>
            </w:rPr>
            <w:t>五、</w:t>
          </w:r>
          <w:r>
            <w:rPr>
              <w:rFonts w:hint="eastAsia" w:ascii="仿宋_GB2312" w:hAnsi="仿宋_GB2312" w:eastAsia="仿宋_GB2312" w:cs="仿宋_GB2312"/>
            </w:rPr>
            <w:t>财</w:t>
          </w:r>
          <w:r>
            <w:rPr>
              <w:rFonts w:hint="eastAsia" w:ascii="仿宋_GB2312" w:hAnsi="仿宋_GB2312" w:eastAsia="仿宋_GB2312" w:cs="仿宋_GB2312"/>
              <w:bCs w:val="0"/>
            </w:rPr>
            <w:t>政拨款支出决算明细表</w:t>
          </w:r>
          <w:r>
            <w:tab/>
          </w:r>
          <w:r>
            <w:fldChar w:fldCharType="begin"/>
          </w:r>
          <w:r>
            <w:instrText xml:space="preserve"> PAGEREF _Toc5617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_Toc32204 </w:instrText>
          </w:r>
          <w:r>
            <w:fldChar w:fldCharType="separate"/>
          </w:r>
          <w:r>
            <w:rPr>
              <w:rFonts w:hint="eastAsia" w:ascii="仿宋_GB2312" w:hAnsi="仿宋_GB2312" w:eastAsia="仿宋_GB2312" w:cs="仿宋_GB2312"/>
              <w:bCs w:val="0"/>
            </w:rPr>
            <w:t>六、</w:t>
          </w:r>
          <w:r>
            <w:rPr>
              <w:rFonts w:hint="eastAsia" w:ascii="仿宋_GB2312" w:hAnsi="仿宋_GB2312" w:eastAsia="仿宋_GB2312" w:cs="仿宋_GB2312"/>
            </w:rPr>
            <w:t>一</w:t>
          </w:r>
          <w:r>
            <w:rPr>
              <w:rFonts w:hint="eastAsia" w:ascii="仿宋_GB2312" w:hAnsi="仿宋_GB2312" w:eastAsia="仿宋_GB2312" w:cs="仿宋_GB2312"/>
              <w:bCs w:val="0"/>
            </w:rPr>
            <w:t>般公共预算财政拨款支出决算表</w:t>
          </w:r>
          <w:r>
            <w:tab/>
          </w:r>
          <w:r>
            <w:fldChar w:fldCharType="begin"/>
          </w:r>
          <w:r>
            <w:instrText xml:space="preserve"> PAGEREF _Toc32204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_Toc32228 </w:instrText>
          </w:r>
          <w:r>
            <w:fldChar w:fldCharType="separate"/>
          </w:r>
          <w:r>
            <w:rPr>
              <w:rFonts w:hint="eastAsia" w:ascii="仿宋_GB2312" w:hAnsi="仿宋_GB2312" w:eastAsia="仿宋_GB2312" w:cs="仿宋_GB2312"/>
              <w:bCs w:val="0"/>
            </w:rPr>
            <w:t>七、</w:t>
          </w:r>
          <w:r>
            <w:rPr>
              <w:rFonts w:hint="eastAsia" w:ascii="仿宋_GB2312" w:hAnsi="仿宋_GB2312" w:eastAsia="仿宋_GB2312" w:cs="仿宋_GB2312"/>
            </w:rPr>
            <w:t>一</w:t>
          </w:r>
          <w:r>
            <w:rPr>
              <w:rFonts w:hint="eastAsia" w:ascii="仿宋_GB2312" w:hAnsi="仿宋_GB2312" w:eastAsia="仿宋_GB2312" w:cs="仿宋_GB2312"/>
              <w:bCs w:val="0"/>
            </w:rPr>
            <w:t>般公共预算财政拨款支出决算明细表</w:t>
          </w:r>
          <w:r>
            <w:tab/>
          </w:r>
          <w:r>
            <w:fldChar w:fldCharType="begin"/>
          </w:r>
          <w:r>
            <w:instrText xml:space="preserve"> PAGEREF _Toc32228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_Toc25685 </w:instrText>
          </w:r>
          <w:r>
            <w:fldChar w:fldCharType="separate"/>
          </w:r>
          <w:r>
            <w:rPr>
              <w:rFonts w:hint="eastAsia" w:ascii="仿宋_GB2312" w:hAnsi="仿宋_GB2312" w:eastAsia="仿宋_GB2312" w:cs="仿宋_GB2312"/>
              <w:bCs w:val="0"/>
            </w:rPr>
            <w:t>八、</w:t>
          </w:r>
          <w:r>
            <w:rPr>
              <w:rFonts w:hint="eastAsia" w:ascii="仿宋_GB2312" w:hAnsi="仿宋_GB2312" w:eastAsia="仿宋_GB2312" w:cs="仿宋_GB2312"/>
            </w:rPr>
            <w:t>一</w:t>
          </w:r>
          <w:r>
            <w:rPr>
              <w:rFonts w:hint="eastAsia" w:ascii="仿宋_GB2312" w:hAnsi="仿宋_GB2312" w:eastAsia="仿宋_GB2312" w:cs="仿宋_GB2312"/>
              <w:bCs w:val="0"/>
            </w:rPr>
            <w:t>般公共预算财政拨款基本支出决算表</w:t>
          </w:r>
          <w:r>
            <w:tab/>
          </w:r>
          <w:r>
            <w:fldChar w:fldCharType="begin"/>
          </w:r>
          <w:r>
            <w:instrText xml:space="preserve"> PAGEREF _Toc25685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_Toc5063 </w:instrText>
          </w:r>
          <w:r>
            <w:fldChar w:fldCharType="separate"/>
          </w:r>
          <w:r>
            <w:rPr>
              <w:rFonts w:hint="eastAsia" w:ascii="仿宋_GB2312" w:hAnsi="仿宋_GB2312" w:eastAsia="仿宋_GB2312" w:cs="仿宋_GB2312"/>
              <w:bCs w:val="0"/>
            </w:rPr>
            <w:t>九、</w:t>
          </w:r>
          <w:r>
            <w:rPr>
              <w:rFonts w:hint="eastAsia" w:ascii="仿宋_GB2312" w:hAnsi="仿宋_GB2312" w:eastAsia="仿宋_GB2312" w:cs="仿宋_GB2312"/>
            </w:rPr>
            <w:t>一</w:t>
          </w:r>
          <w:r>
            <w:rPr>
              <w:rFonts w:hint="eastAsia" w:ascii="仿宋_GB2312" w:hAnsi="仿宋_GB2312" w:eastAsia="仿宋_GB2312" w:cs="仿宋_GB2312"/>
              <w:bCs w:val="0"/>
            </w:rPr>
            <w:t>般公共预算财政拨款项目支出决算表</w:t>
          </w:r>
          <w:r>
            <w:tab/>
          </w:r>
          <w:r>
            <w:fldChar w:fldCharType="begin"/>
          </w:r>
          <w:r>
            <w:instrText xml:space="preserve"> PAGEREF _Toc5063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_Toc22609 </w:instrText>
          </w:r>
          <w:r>
            <w:fldChar w:fldCharType="separate"/>
          </w:r>
          <w:r>
            <w:rPr>
              <w:rFonts w:hint="eastAsia" w:ascii="仿宋_GB2312" w:hAnsi="仿宋_GB2312" w:eastAsia="仿宋_GB2312" w:cs="仿宋_GB2312"/>
              <w:bCs w:val="0"/>
            </w:rPr>
            <w:t>十、</w:t>
          </w:r>
          <w:r>
            <w:rPr>
              <w:rFonts w:hint="eastAsia" w:ascii="仿宋_GB2312" w:hAnsi="仿宋_GB2312" w:eastAsia="仿宋_GB2312" w:cs="仿宋_GB2312"/>
            </w:rPr>
            <w:t>政</w:t>
          </w:r>
          <w:r>
            <w:rPr>
              <w:rFonts w:hint="eastAsia" w:ascii="仿宋_GB2312" w:hAnsi="仿宋_GB2312" w:eastAsia="仿宋_GB2312" w:cs="仿宋_GB2312"/>
              <w:bCs w:val="0"/>
            </w:rPr>
            <w:t>府性基金预算财政拨款收入支出决算表</w:t>
          </w:r>
          <w:r>
            <w:tab/>
          </w:r>
          <w:r>
            <w:fldChar w:fldCharType="begin"/>
          </w:r>
          <w:r>
            <w:instrText xml:space="preserve"> PAGEREF _Toc22609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_Toc24704 </w:instrText>
          </w:r>
          <w:r>
            <w:fldChar w:fldCharType="separate"/>
          </w:r>
          <w:r>
            <w:rPr>
              <w:rFonts w:hint="eastAsia" w:ascii="仿宋_GB2312" w:hAnsi="仿宋_GB2312" w:eastAsia="仿宋_GB2312" w:cs="仿宋_GB2312"/>
              <w:bCs w:val="0"/>
            </w:rPr>
            <w:t>十一、</w:t>
          </w:r>
          <w:r>
            <w:rPr>
              <w:rFonts w:hint="eastAsia" w:ascii="仿宋_GB2312" w:hAnsi="仿宋_GB2312" w:eastAsia="仿宋_GB2312" w:cs="仿宋_GB2312"/>
            </w:rPr>
            <w:t>国</w:t>
          </w:r>
          <w:r>
            <w:rPr>
              <w:rFonts w:hint="eastAsia" w:ascii="仿宋_GB2312" w:hAnsi="仿宋_GB2312" w:eastAsia="仿宋_GB2312" w:cs="仿宋_GB2312"/>
              <w:bCs w:val="0"/>
            </w:rPr>
            <w:t>有资本经营预算财政拨款收入支出决算表</w:t>
          </w:r>
          <w:r>
            <w:tab/>
          </w:r>
          <w:r>
            <w:fldChar w:fldCharType="begin"/>
          </w:r>
          <w:r>
            <w:instrText xml:space="preserve"> PAGEREF _Toc24704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_Toc6972 </w:instrText>
          </w:r>
          <w:r>
            <w:fldChar w:fldCharType="separate"/>
          </w:r>
          <w:r>
            <w:rPr>
              <w:rFonts w:hint="eastAsia" w:ascii="仿宋_GB2312" w:hAnsi="仿宋_GB2312" w:eastAsia="仿宋_GB2312" w:cs="仿宋_GB2312"/>
              <w:bCs w:val="0"/>
            </w:rPr>
            <w:t>十二、国有资本经营预算财政拨款支出决算表</w:t>
          </w:r>
          <w:r>
            <w:tab/>
          </w:r>
          <w:r>
            <w:fldChar w:fldCharType="begin"/>
          </w:r>
          <w:r>
            <w:instrText xml:space="preserve"> PAGEREF _Toc6972 \h </w:instrText>
          </w:r>
          <w:r>
            <w:fldChar w:fldCharType="separate"/>
          </w:r>
          <w:r>
            <w:t>51</w:t>
          </w:r>
          <w:r>
            <w:fldChar w:fldCharType="end"/>
          </w:r>
          <w:r>
            <w:fldChar w:fldCharType="end"/>
          </w:r>
        </w:p>
        <w:p>
          <w:pPr>
            <w:pStyle w:val="49"/>
            <w:tabs>
              <w:tab w:val="right" w:leader="dot" w:pos="8845"/>
            </w:tabs>
          </w:pPr>
          <w:r>
            <w:fldChar w:fldCharType="begin"/>
          </w:r>
          <w:r>
            <w:instrText xml:space="preserve"> HYPERLINK \l _Toc13087 </w:instrText>
          </w:r>
          <w:r>
            <w:fldChar w:fldCharType="separate"/>
          </w:r>
          <w:r>
            <w:rPr>
              <w:rFonts w:hint="eastAsia" w:ascii="仿宋_GB2312" w:hAnsi="仿宋_GB2312" w:eastAsia="仿宋_GB2312" w:cs="仿宋_GB2312"/>
              <w:bCs w:val="0"/>
            </w:rPr>
            <w:t>十三、财政拨款“三公”经费支出决算表</w:t>
          </w:r>
          <w:r>
            <w:tab/>
          </w:r>
          <w:r>
            <w:fldChar w:fldCharType="begin"/>
          </w:r>
          <w:r>
            <w:instrText xml:space="preserve"> PAGEREF _Toc13087 \h </w:instrText>
          </w:r>
          <w:r>
            <w:fldChar w:fldCharType="separate"/>
          </w:r>
          <w:r>
            <w:t>51</w:t>
          </w:r>
          <w:r>
            <w:fldChar w:fldCharType="end"/>
          </w:r>
          <w:r>
            <w:fldChar w:fldCharType="end"/>
          </w:r>
        </w:p>
        <w:p>
          <w:r>
            <w:fldChar w:fldCharType="end"/>
          </w:r>
        </w:p>
      </w:sdtContent>
    </w:sdt>
    <w:p>
      <w:pPr>
        <w:pStyle w:val="3"/>
        <w:ind w:right="440"/>
        <w:jc w:val="center"/>
        <w:rPr>
          <w:rFonts w:ascii="黑体" w:hAnsi="黑体" w:eastAsia="黑体"/>
          <w:b w:val="0"/>
        </w:rPr>
      </w:pPr>
      <w:bookmarkStart w:id="17" w:name="_Toc21965"/>
      <w:r>
        <w:rPr>
          <w:rFonts w:hint="eastAsia" w:ascii="黑体" w:hAnsi="黑体" w:eastAsia="黑体"/>
          <w:b w:val="0"/>
        </w:rPr>
        <w:t>第一部分  部门概况</w:t>
      </w:r>
      <w:bookmarkEnd w:id="15"/>
      <w:bookmarkEnd w:id="16"/>
      <w:bookmarkEnd w:id="17"/>
    </w:p>
    <w:p>
      <w:pPr>
        <w:pStyle w:val="4"/>
        <w:spacing w:before="0" w:after="0" w:line="576" w:lineRule="exact"/>
        <w:ind w:firstLine="640" w:firstLineChars="200"/>
        <w:rPr>
          <w:rFonts w:ascii="黑体" w:hAnsi="黑体" w:eastAsia="黑体" w:cs="黑体"/>
          <w:b w:val="0"/>
        </w:rPr>
      </w:pPr>
      <w:bookmarkStart w:id="18" w:name="_Toc28180"/>
      <w:r>
        <w:rPr>
          <w:rFonts w:hint="eastAsia" w:ascii="黑体" w:hAnsi="黑体" w:eastAsia="黑体" w:cs="黑体"/>
          <w:b w:val="0"/>
        </w:rPr>
        <w:t>一、部门职责</w:t>
      </w:r>
      <w:bookmarkEnd w:id="18"/>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一是传播国际红十字运动知识和国际人道主义法，宣传、执行《中华人民共和国红十字会法》和《中华人民共和国红十字标志使用办法》等法律、法规，遵循《中国红十字会章程》，依法建会、治会、兴会。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开展备灾救灾工作，兴建和管理备灾救灾设施，在自然灾害和突发事件中，开展救护和救助工作；根据自然灾害和突发事件的具体情况，在辖区内发出呼吁，依法接受国内外组织和个人的捐赠，及时向灾区和受难者提供急需的人道主义援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开展人道领域的社会公益服务活动和卫生救护、防病常识的宣传普及，组织社会捐助，进行初级卫生救护培训，组织群众参加现场救护；推动无偿献血和非血缘关系骨髓移植工作及推动遗体（器官）捐献工作；开展预防控制艾滋病宣传，关心爱护艾滋病病毒感染者、患者及其他救助工作；开展其他人道救助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四是开展对公民特别是青少年的人道主义和社会主义精神文明教育活动。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五是根据中国红十字会总会和省、市红十字会的部署，参加国际和国内人道主义救援工作。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六是认真贯彻落实区委、区人民政府安排的其他工作。</w:t>
      </w:r>
      <w:bookmarkStart w:id="19" w:name="_Toc15396601"/>
      <w:bookmarkStart w:id="20" w:name="_Toc15377200"/>
    </w:p>
    <w:p>
      <w:pPr>
        <w:spacing w:line="576" w:lineRule="exact"/>
        <w:ind w:firstLine="640" w:firstLineChars="200"/>
        <w:outlineLvl w:val="1"/>
        <w:rPr>
          <w:rStyle w:val="31"/>
          <w:rFonts w:ascii="黑体" w:hAnsi="黑体" w:eastAsia="黑体" w:cs="黑体"/>
          <w:b w:val="0"/>
          <w:bCs w:val="0"/>
        </w:rPr>
      </w:pPr>
      <w:bookmarkStart w:id="21" w:name="_Toc749"/>
      <w:r>
        <w:rPr>
          <w:rFonts w:hint="eastAsia" w:ascii="黑体" w:hAnsi="黑体" w:eastAsia="黑体" w:cs="黑体"/>
          <w:sz w:val="32"/>
          <w:szCs w:val="32"/>
        </w:rPr>
        <w:t>二、机</w:t>
      </w:r>
      <w:r>
        <w:rPr>
          <w:rStyle w:val="31"/>
          <w:rFonts w:hint="eastAsia" w:ascii="黑体" w:hAnsi="黑体" w:eastAsia="黑体" w:cs="黑体"/>
          <w:b w:val="0"/>
          <w:bCs w:val="0"/>
        </w:rPr>
        <w:t>构设置</w:t>
      </w:r>
      <w:bookmarkEnd w:id="19"/>
      <w:bookmarkEnd w:id="20"/>
      <w:bookmarkEnd w:id="21"/>
    </w:p>
    <w:p>
      <w:pPr>
        <w:widowControl/>
        <w:adjustRightInd w:val="0"/>
        <w:snapToGrid w:val="0"/>
        <w:spacing w:line="560" w:lineRule="exact"/>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朝天区红十字会属一级预算单位，是参照公务员法管理的事业单位,无下属二级预算单位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rPr>
        <w:t>朝天区红十字会总编制7名，其中行政编制4 名，事业编制2名，工勤编制1名。现有在职人员总数7人，其中行政人员4人，事业人员2人，工勤人员1人。固定资产总额 13.75万元。</w:t>
      </w:r>
    </w:p>
    <w:p>
      <w:pPr>
        <w:pStyle w:val="2"/>
        <w:rPr>
          <w:rFonts w:hint="eastAsia"/>
          <w:lang w:val="en-US" w:eastAsia="zh-CN"/>
        </w:rPr>
      </w:pPr>
    </w:p>
    <w:p>
      <w:pPr>
        <w:widowControl/>
        <w:jc w:val="center"/>
        <w:rPr>
          <w:rStyle w:val="30"/>
          <w:rFonts w:ascii="黑体" w:hAnsi="黑体" w:eastAsia="黑体"/>
          <w:b w:val="0"/>
          <w:bCs/>
        </w:rPr>
      </w:pPr>
      <w:bookmarkStart w:id="22" w:name="_Toc25418"/>
      <w:bookmarkStart w:id="23" w:name="_Toc15377204"/>
      <w:bookmarkStart w:id="24" w:name="_Toc15396602"/>
      <w:r>
        <w:rPr>
          <w:rStyle w:val="30"/>
          <w:rFonts w:hint="eastAsia" w:ascii="黑体" w:hAnsi="黑体" w:eastAsia="黑体"/>
          <w:b w:val="0"/>
          <w:bCs/>
        </w:rPr>
        <w:t>第二部分  2022年度部门决算情况说明</w:t>
      </w:r>
      <w:bookmarkEnd w:id="22"/>
      <w:bookmarkEnd w:id="23"/>
      <w:bookmarkEnd w:id="24"/>
    </w:p>
    <w:p/>
    <w:p>
      <w:pPr>
        <w:pStyle w:val="29"/>
        <w:numPr>
          <w:ilvl w:val="0"/>
          <w:numId w:val="1"/>
        </w:numPr>
        <w:spacing w:line="600" w:lineRule="exact"/>
        <w:ind w:firstLineChars="0"/>
        <w:outlineLvl w:val="1"/>
        <w:rPr>
          <w:rStyle w:val="31"/>
          <w:rFonts w:ascii="黑体" w:hAnsi="黑体" w:eastAsia="黑体"/>
          <w:b w:val="0"/>
        </w:rPr>
      </w:pPr>
      <w:bookmarkStart w:id="25" w:name="_Toc32170"/>
      <w:bookmarkStart w:id="26" w:name="_Toc15396603"/>
      <w:bookmarkStart w:id="27"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25"/>
      <w:bookmarkEnd w:id="26"/>
      <w:bookmarkEnd w:id="2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2022年度收、支总计148.98万元。与2021年相比，收、支总计各增加56.7万元，增长61.4%。主要变动原因是2022年预算项目增加及单位有新调入人员。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pPr>
        <w:pStyle w:val="2"/>
        <w:spacing w:before="94"/>
      </w:pPr>
      <w:r>
        <w:drawing>
          <wp:inline distT="0" distB="0" distL="0" distR="0">
            <wp:extent cx="4931410" cy="2428240"/>
            <wp:effectExtent l="4445" t="4445" r="17145"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numPr>
          <w:ilvl w:val="0"/>
          <w:numId w:val="1"/>
        </w:numPr>
        <w:spacing w:line="600" w:lineRule="exact"/>
        <w:ind w:firstLineChars="0"/>
        <w:outlineLvl w:val="1"/>
        <w:rPr>
          <w:rStyle w:val="31"/>
          <w:rFonts w:ascii="黑体" w:hAnsi="黑体" w:eastAsia="黑体"/>
          <w:b w:val="0"/>
        </w:rPr>
      </w:pPr>
      <w:bookmarkStart w:id="28" w:name="_Toc15396604"/>
      <w:bookmarkStart w:id="29" w:name="_Toc15377206"/>
      <w:bookmarkStart w:id="30" w:name="_Toc29587"/>
      <w:r>
        <w:rPr>
          <w:rFonts w:hint="eastAsia" w:ascii="黑体" w:hAnsi="黑体" w:eastAsia="黑体"/>
          <w:sz w:val="32"/>
          <w:szCs w:val="32"/>
        </w:rPr>
        <w:t>收</w:t>
      </w:r>
      <w:r>
        <w:rPr>
          <w:rStyle w:val="31"/>
          <w:rFonts w:hint="eastAsia" w:ascii="黑体" w:hAnsi="黑体" w:eastAsia="黑体"/>
          <w:b w:val="0"/>
        </w:rPr>
        <w:t>入决算情况说明</w:t>
      </w:r>
      <w:bookmarkEnd w:id="28"/>
      <w:bookmarkEnd w:id="29"/>
      <w:bookmarkEnd w:id="30"/>
    </w:p>
    <w:p>
      <w:pPr>
        <w:spacing w:line="600" w:lineRule="exact"/>
        <w:ind w:firstLine="640" w:firstLineChars="200"/>
        <w:outlineLvl w:val="1"/>
        <w:rPr>
          <w:rFonts w:ascii="仿宋_GB2312" w:hAnsi="仿宋_GB2312" w:eastAsia="仿宋_GB2312" w:cs="仿宋_GB2312"/>
          <w:sz w:val="32"/>
          <w:szCs w:val="32"/>
        </w:rPr>
      </w:pPr>
      <w:bookmarkStart w:id="31" w:name="_Toc7272"/>
      <w:r>
        <w:rPr>
          <w:rFonts w:hint="eastAsia" w:ascii="仿宋_GB2312" w:hAnsi="仿宋_GB2312" w:eastAsia="仿宋_GB2312" w:cs="仿宋_GB2312"/>
          <w:sz w:val="32"/>
          <w:szCs w:val="32"/>
        </w:rPr>
        <w:t>2022年本年收入合计138.36万元，其中：一般公共预算财政拨款收入138.36万元，占100%。</w:t>
      </w:r>
      <w:bookmarkEnd w:id="3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w:t>
      </w:r>
    </w:p>
    <w:p>
      <w:pPr>
        <w:pStyle w:val="2"/>
        <w:spacing w:before="94"/>
      </w:pPr>
      <w:r>
        <w:drawing>
          <wp:inline distT="0" distB="0" distL="0" distR="0">
            <wp:extent cx="4884420" cy="2439670"/>
            <wp:effectExtent l="4445" t="4445" r="698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9"/>
        <w:numPr>
          <w:ilvl w:val="0"/>
          <w:numId w:val="1"/>
        </w:numPr>
        <w:spacing w:line="600" w:lineRule="exact"/>
        <w:ind w:firstLineChars="0"/>
        <w:outlineLvl w:val="1"/>
        <w:rPr>
          <w:rStyle w:val="31"/>
          <w:rFonts w:ascii="黑体" w:hAnsi="黑体" w:eastAsia="黑体"/>
          <w:b w:val="0"/>
        </w:rPr>
      </w:pPr>
      <w:bookmarkStart w:id="32" w:name="_Toc15377207"/>
      <w:bookmarkStart w:id="33" w:name="_Toc15396605"/>
      <w:bookmarkStart w:id="34" w:name="_Toc13610"/>
      <w:r>
        <w:rPr>
          <w:rFonts w:hint="eastAsia" w:ascii="黑体" w:hAnsi="黑体" w:eastAsia="黑体"/>
          <w:sz w:val="32"/>
          <w:szCs w:val="32"/>
        </w:rPr>
        <w:t>支</w:t>
      </w:r>
      <w:r>
        <w:rPr>
          <w:rStyle w:val="31"/>
          <w:rFonts w:hint="eastAsia" w:ascii="黑体" w:hAnsi="黑体" w:eastAsia="黑体"/>
          <w:b w:val="0"/>
        </w:rPr>
        <w:t>出决算情况说明</w:t>
      </w:r>
      <w:bookmarkEnd w:id="32"/>
      <w:bookmarkEnd w:id="33"/>
      <w:bookmarkEnd w:id="34"/>
    </w:p>
    <w:p>
      <w:pPr>
        <w:spacing w:line="600" w:lineRule="exact"/>
        <w:ind w:firstLine="640" w:firstLineChars="200"/>
        <w:outlineLvl w:val="1"/>
        <w:rPr>
          <w:rFonts w:ascii="仿宋_GB2312" w:hAnsi="仿宋_GB2312" w:eastAsia="仿宋_GB2312" w:cs="仿宋_GB2312"/>
          <w:sz w:val="32"/>
          <w:szCs w:val="32"/>
        </w:rPr>
      </w:pPr>
      <w:bookmarkStart w:id="35" w:name="_Toc22613"/>
      <w:r>
        <w:rPr>
          <w:rFonts w:hint="eastAsia" w:ascii="仿宋_GB2312" w:hAnsi="仿宋_GB2312" w:eastAsia="仿宋_GB2312" w:cs="仿宋_GB2312"/>
          <w:sz w:val="32"/>
          <w:szCs w:val="32"/>
        </w:rPr>
        <w:t>2022年本年支出合计148.98万元，其中：基本支出106.7万元，占71.6%；项目支出42.28万元，占28.4%。</w:t>
      </w:r>
      <w:bookmarkEnd w:id="3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w:t>
      </w:r>
    </w:p>
    <w:p>
      <w:pPr>
        <w:pStyle w:val="2"/>
        <w:spacing w:before="94"/>
      </w:pPr>
      <w:r>
        <w:drawing>
          <wp:inline distT="0" distB="0" distL="0" distR="0">
            <wp:extent cx="4770120" cy="2143125"/>
            <wp:effectExtent l="4445" t="4445" r="6985"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9"/>
        <w:rPr>
          <w:rFonts w:ascii="黑体" w:hAnsi="黑体" w:eastAsia="黑体"/>
          <w:sz w:val="32"/>
          <w:szCs w:val="32"/>
        </w:rPr>
      </w:pPr>
      <w:bookmarkStart w:id="36" w:name="_Toc15377208"/>
      <w:bookmarkStart w:id="37" w:name="_Toc15396606"/>
    </w:p>
    <w:p>
      <w:pPr>
        <w:spacing w:line="600" w:lineRule="exact"/>
        <w:ind w:firstLine="640" w:firstLineChars="200"/>
        <w:outlineLvl w:val="1"/>
        <w:rPr>
          <w:rStyle w:val="31"/>
          <w:rFonts w:ascii="黑体" w:hAnsi="黑体" w:eastAsia="黑体"/>
          <w:b w:val="0"/>
        </w:rPr>
      </w:pPr>
      <w:bookmarkStart w:id="38" w:name="_Toc28915"/>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6"/>
      <w:bookmarkEnd w:id="37"/>
      <w:bookmarkEnd w:id="38"/>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2022年财政拨款收、支总计148.98万元。与2021年相比，财政拨款收、支总计各增加56.7万元，增长61.4%。主要变动原因是2022年预算项目增加及单位有新调入人员。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w:t>
      </w:r>
    </w:p>
    <w:p>
      <w:pPr>
        <w:pStyle w:val="2"/>
        <w:spacing w:before="94"/>
      </w:pPr>
      <w:r>
        <w:rPr>
          <w:rFonts w:hint="eastAsia"/>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1"/>
          <w:rFonts w:ascii="黑体" w:hAnsi="黑体" w:eastAsia="黑体"/>
          <w:b w:val="0"/>
        </w:rPr>
      </w:pPr>
      <w:bookmarkStart w:id="39" w:name="_Toc15396607"/>
      <w:bookmarkStart w:id="40" w:name="_Toc359"/>
      <w:bookmarkStart w:id="41"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9"/>
      <w:bookmarkEnd w:id="40"/>
      <w:bookmarkEnd w:id="41"/>
    </w:p>
    <w:p>
      <w:pPr>
        <w:spacing w:line="600" w:lineRule="exact"/>
        <w:ind w:firstLine="642" w:firstLineChars="200"/>
        <w:outlineLvl w:val="2"/>
        <w:rPr>
          <w:rFonts w:ascii="楷体_GB2312" w:hAnsi="楷体_GB2312" w:eastAsia="楷体_GB2312" w:cs="楷体_GB2312"/>
          <w:b/>
          <w:sz w:val="32"/>
          <w:szCs w:val="32"/>
        </w:rPr>
      </w:pPr>
      <w:bookmarkStart w:id="42" w:name="_Toc24336"/>
      <w:bookmarkStart w:id="43" w:name="_Toc15377210"/>
      <w:r>
        <w:rPr>
          <w:rFonts w:hint="eastAsia" w:ascii="楷体_GB2312" w:hAnsi="楷体_GB2312" w:eastAsia="楷体_GB2312" w:cs="楷体_GB2312"/>
          <w:b/>
          <w:sz w:val="32"/>
          <w:szCs w:val="32"/>
        </w:rPr>
        <w:t>（一）一般公共预算财政拨款支出决算总体情况</w:t>
      </w:r>
      <w:bookmarkEnd w:id="42"/>
      <w:bookmarkEnd w:id="4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2022年一般公共预算财政拨款支出148.98万元，占本年支出合计的100%。与2021年相比，一般公共预算财政拨款支出增加56.7万元，增长61.4%。主要变动原因是2022年预算项目增加及单位有新调入人员。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pPr>
        <w:pStyle w:val="2"/>
        <w:spacing w:before="94"/>
      </w:pPr>
      <w:r>
        <w:rPr>
          <w:rFonts w:hint="eastAsia"/>
        </w:rPr>
        <w:drawing>
          <wp:inline distT="0" distB="0" distL="0" distR="0">
            <wp:extent cx="5274310" cy="3076575"/>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ascii="楷体_GB2312" w:hAnsi="楷体_GB2312" w:eastAsia="楷体_GB2312" w:cs="楷体_GB2312"/>
          <w:b/>
          <w:sz w:val="32"/>
          <w:szCs w:val="32"/>
        </w:rPr>
      </w:pPr>
      <w:bookmarkStart w:id="44" w:name="_Toc32569"/>
      <w:bookmarkStart w:id="45" w:name="_Toc15377211"/>
      <w:r>
        <w:rPr>
          <w:rFonts w:hint="eastAsia" w:ascii="楷体_GB2312" w:hAnsi="楷体_GB2312" w:eastAsia="楷体_GB2312" w:cs="楷体_GB2312"/>
          <w:b/>
          <w:sz w:val="32"/>
          <w:szCs w:val="32"/>
        </w:rPr>
        <w:t>（二）一般公共预算财政拨款支出决算结构情况</w:t>
      </w:r>
      <w:bookmarkEnd w:id="44"/>
      <w:bookmarkEnd w:id="45"/>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2022年一般公共预算财政拨款支出148.98万元，主要用于以下方面:</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133.96万元，占89.9%；</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rPr>
        <w:t>5.15万元，占3.5%；</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9.87万元，占6.6%。</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pPr>
        <w:pStyle w:val="2"/>
        <w:spacing w:before="94"/>
      </w:pPr>
      <w:r>
        <w:drawing>
          <wp:inline distT="0" distB="0" distL="0" distR="0">
            <wp:extent cx="5140960" cy="2257425"/>
            <wp:effectExtent l="4445" t="4445" r="17145" b="508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481" w:firstLineChars="150"/>
        <w:outlineLvl w:val="2"/>
        <w:rPr>
          <w:rFonts w:ascii="楷体_GB2312" w:hAnsi="楷体_GB2312" w:eastAsia="楷体_GB2312" w:cs="楷体_GB2312"/>
          <w:b/>
          <w:sz w:val="32"/>
          <w:szCs w:val="32"/>
        </w:rPr>
      </w:pPr>
      <w:bookmarkStart w:id="46" w:name="_Toc15377212"/>
      <w:bookmarkStart w:id="47" w:name="_Toc194"/>
      <w:r>
        <w:rPr>
          <w:rFonts w:hint="eastAsia" w:ascii="楷体_GB2312" w:hAnsi="楷体_GB2312" w:eastAsia="楷体_GB2312" w:cs="楷体_GB2312"/>
          <w:b/>
          <w:sz w:val="32"/>
          <w:szCs w:val="32"/>
        </w:rPr>
        <w:t>（三）一般公共预算财政拨款支出决算具体情况</w:t>
      </w:r>
      <w:bookmarkEnd w:id="46"/>
      <w:bookmarkEnd w:id="47"/>
    </w:p>
    <w:p>
      <w:pPr>
        <w:spacing w:line="600" w:lineRule="exact"/>
        <w:ind w:firstLine="640" w:firstLineChars="200"/>
        <w:outlineLvl w:val="1"/>
        <w:rPr>
          <w:rFonts w:ascii="仿宋_GB2312" w:hAnsi="仿宋_GB2312" w:eastAsia="仿宋_GB2312" w:cs="仿宋_GB2312"/>
          <w:sz w:val="32"/>
          <w:szCs w:val="32"/>
        </w:rPr>
      </w:pPr>
      <w:bookmarkStart w:id="48" w:name="_Toc28112"/>
      <w:bookmarkStart w:id="49" w:name="_Toc15377213"/>
      <w:bookmarkStart w:id="50" w:name="_Toc15377444"/>
      <w:bookmarkStart w:id="51" w:name="_Toc15378460"/>
      <w:r>
        <w:rPr>
          <w:rFonts w:hint="eastAsia" w:ascii="仿宋_GB2312" w:hAnsi="仿宋_GB2312" w:eastAsia="仿宋_GB2312" w:cs="仿宋_GB2312"/>
          <w:sz w:val="32"/>
          <w:szCs w:val="32"/>
        </w:rPr>
        <w:t>2022年一般公共预算支出决算数为148.98万元，</w:t>
      </w:r>
      <w:r>
        <w:rPr>
          <w:rStyle w:val="19"/>
          <w:rFonts w:hint="eastAsia" w:ascii="仿宋_GB2312" w:hAnsi="仿宋_GB2312" w:eastAsia="仿宋_GB2312" w:cs="仿宋_GB2312"/>
          <w:b w:val="0"/>
          <w:bCs/>
          <w:sz w:val="32"/>
          <w:szCs w:val="32"/>
        </w:rPr>
        <w:t>完成预算100%。其中：</w:t>
      </w:r>
      <w:bookmarkEnd w:id="48"/>
      <w:bookmarkEnd w:id="49"/>
      <w:bookmarkEnd w:id="50"/>
      <w:bookmarkEnd w:id="51"/>
    </w:p>
    <w:p>
      <w:pPr>
        <w:spacing w:line="600" w:lineRule="exact"/>
        <w:ind w:firstLine="640" w:firstLineChars="200"/>
        <w:rPr>
          <w:rStyle w:val="19"/>
          <w:rFonts w:ascii="仿宋_GB2312" w:hAnsi="仿宋_GB2312" w:eastAsia="仿宋_GB2312" w:cs="仿宋_GB2312"/>
          <w:b w:val="0"/>
          <w:bCs/>
          <w:sz w:val="32"/>
          <w:szCs w:val="32"/>
        </w:rPr>
      </w:pPr>
      <w:r>
        <w:rPr>
          <w:rStyle w:val="19"/>
          <w:rFonts w:hint="eastAsia" w:ascii="仿宋_GB2312" w:hAnsi="仿宋_GB2312" w:eastAsia="仿宋_GB2312" w:cs="仿宋_GB2312"/>
          <w:b w:val="0"/>
          <w:bCs/>
          <w:sz w:val="32"/>
          <w:szCs w:val="32"/>
        </w:rPr>
        <w:t>1、社会保障和就业类（208）支出决算数为133.96万元，完成预算100%。其中：机关事业单位基本养老保险缴费支出（2080505）决算数为7.53万元，完成预算100%；行政运行支出（2081601）决算数为61.32万元，完成预算100%；机关服务支出（2081603）决算数为22.83万元，完成预算100%；其他红十字事业支出（2081699）决算数为42.28万元，完成预算100%。</w:t>
      </w:r>
    </w:p>
    <w:p>
      <w:pPr>
        <w:pStyle w:val="2"/>
        <w:spacing w:before="94"/>
        <w:ind w:firstLine="640" w:firstLineChars="200"/>
        <w:rPr>
          <w:rFonts w:hAnsi="仿宋_GB2312" w:cs="仿宋_GB2312"/>
          <w:sz w:val="32"/>
          <w:szCs w:val="32"/>
        </w:rPr>
      </w:pPr>
      <w:r>
        <w:rPr>
          <w:rFonts w:hint="eastAsia" w:hAnsi="仿宋_GB2312" w:cs="仿宋_GB2312"/>
          <w:sz w:val="32"/>
          <w:szCs w:val="32"/>
        </w:rPr>
        <w:t>2、卫生健康（210）类支出决算数为5.15万元，完成预算100%。其中：行政单位医疗支出（2101101）决算数为2.82万元，完成预算100%；事业单位医疗支出（2101102）决算数为2.33万元，完成预算100%。</w:t>
      </w:r>
    </w:p>
    <w:p>
      <w:pPr>
        <w:pStyle w:val="2"/>
        <w:spacing w:before="94"/>
        <w:ind w:firstLine="640" w:firstLineChars="200"/>
        <w:rPr>
          <w:rFonts w:hAnsi="仿宋_GB2312" w:cs="仿宋_GB2312"/>
          <w:sz w:val="32"/>
          <w:szCs w:val="32"/>
        </w:rPr>
      </w:pPr>
      <w:r>
        <w:rPr>
          <w:rFonts w:hint="eastAsia" w:hAnsi="仿宋_GB2312" w:cs="仿宋_GB2312"/>
          <w:sz w:val="32"/>
          <w:szCs w:val="32"/>
        </w:rPr>
        <w:t>3、住房保障（221）类支出决算数为9.87万元，完成预算100%。其中住房公积金支出（2210201）决算数为9.87万元</w:t>
      </w:r>
    </w:p>
    <w:p>
      <w:pPr>
        <w:tabs>
          <w:tab w:val="right" w:pos="8306"/>
        </w:tabs>
        <w:spacing w:line="600" w:lineRule="exact"/>
        <w:ind w:firstLine="640"/>
        <w:outlineLvl w:val="1"/>
        <w:rPr>
          <w:rStyle w:val="31"/>
        </w:rPr>
      </w:pPr>
      <w:bookmarkStart w:id="52" w:name="_Toc15396608"/>
      <w:bookmarkStart w:id="53" w:name="_Toc15377214"/>
      <w:bookmarkStart w:id="54" w:name="_Toc1909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2"/>
      <w:bookmarkEnd w:id="53"/>
      <w:bookmarkEnd w:id="54"/>
      <w:r>
        <w:rPr>
          <w:rStyle w:val="31"/>
          <w:rFonts w:ascii="黑体" w:hAnsi="黑体" w:eastAsia="黑体"/>
          <w:b w:val="0"/>
        </w:rPr>
        <w:tab/>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2022年一般公共预算财政拨款基本支出106.7万元，其中：</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95.25万元，主要包括：基本工资26.2万元、津贴补贴15.39万元、奖金24.38万元、绩效工资5.58万元、机关事业单位基本养老保险缴费7.53万元、职工基本医疗保险缴费5.15万元、其他社会保障缴费1.13万元、奖励金0.02万元、住房公积金9.87万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公用经费11.45万元，主要包括：办公费3.74万元、水费0.13万元、电费0.31万元、邮电费1.68万元、维修（护）费0.24万元、公务接待费0.47万元、劳务费、委托业务费、工会经费0.93万元、其他交通费3.95万元。</w:t>
      </w:r>
    </w:p>
    <w:p>
      <w:pPr>
        <w:spacing w:line="600" w:lineRule="exact"/>
        <w:ind w:firstLine="640"/>
        <w:outlineLvl w:val="1"/>
        <w:rPr>
          <w:rStyle w:val="31"/>
          <w:rFonts w:ascii="黑体" w:hAnsi="黑体" w:eastAsia="黑体"/>
          <w:b w:val="0"/>
        </w:rPr>
      </w:pPr>
      <w:bookmarkStart w:id="55" w:name="_Toc7573"/>
      <w:bookmarkStart w:id="56" w:name="_Toc15377215"/>
      <w:bookmarkStart w:id="57"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5"/>
      <w:bookmarkEnd w:id="56"/>
      <w:bookmarkEnd w:id="57"/>
    </w:p>
    <w:p>
      <w:pPr>
        <w:spacing w:line="600" w:lineRule="exact"/>
        <w:ind w:firstLine="640"/>
        <w:outlineLvl w:val="2"/>
        <w:rPr>
          <w:rFonts w:ascii="楷体_GB2312" w:hAnsi="楷体_GB2312" w:eastAsia="楷体_GB2312" w:cs="楷体_GB2312"/>
          <w:b/>
          <w:sz w:val="32"/>
          <w:szCs w:val="32"/>
        </w:rPr>
      </w:pPr>
      <w:bookmarkStart w:id="58" w:name="_Toc15377216"/>
      <w:bookmarkStart w:id="59" w:name="_Toc10511"/>
      <w:r>
        <w:rPr>
          <w:rFonts w:hint="eastAsia" w:ascii="楷体_GB2312" w:hAnsi="楷体_GB2312" w:eastAsia="楷体_GB2312" w:cs="楷体_GB2312"/>
          <w:b/>
          <w:sz w:val="32"/>
          <w:szCs w:val="32"/>
        </w:rPr>
        <w:t>（一）“三公”经费财政拨款支出决算总体情况说明</w:t>
      </w:r>
      <w:bookmarkEnd w:id="58"/>
      <w:bookmarkEnd w:id="5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2022年“三公”经费财政拨款支出决算为0.47万元，完成预算100%，较上年减少0.02万元，下降4.1%。</w:t>
      </w:r>
    </w:p>
    <w:p>
      <w:pPr>
        <w:spacing w:line="600" w:lineRule="exact"/>
        <w:ind w:firstLine="640"/>
        <w:outlineLvl w:val="2"/>
        <w:rPr>
          <w:rFonts w:ascii="楷体_GB2312" w:hAnsi="楷体_GB2312" w:eastAsia="楷体_GB2312" w:cs="楷体_GB2312"/>
          <w:b/>
          <w:sz w:val="32"/>
          <w:szCs w:val="32"/>
        </w:rPr>
      </w:pPr>
      <w:bookmarkStart w:id="60" w:name="_Toc15377217"/>
      <w:bookmarkStart w:id="61" w:name="_Toc30721"/>
      <w:r>
        <w:rPr>
          <w:rFonts w:hint="eastAsia" w:ascii="楷体_GB2312" w:hAnsi="楷体_GB2312" w:eastAsia="楷体_GB2312" w:cs="楷体_GB2312"/>
          <w:b/>
          <w:sz w:val="32"/>
          <w:szCs w:val="32"/>
        </w:rPr>
        <w:t>（二）“三公”经费财政拨款支出决算具体情况说明</w:t>
      </w:r>
      <w:bookmarkEnd w:id="60"/>
      <w:bookmarkEnd w:id="6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2022年“三公”经费财政拨款支出决算中，因公出国（境）费支出决算0万元，年初未安排预算；公务用车购置及运行维护费支出决算0万元，单位无公务用车；公务接待费支出决算0.47万元，占100%。具体情况如下：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w:t>
      </w:r>
    </w:p>
    <w:p>
      <w:pPr>
        <w:pStyle w:val="2"/>
        <w:spacing w:before="94"/>
      </w:pPr>
      <w:r>
        <w:drawing>
          <wp:inline distT="0" distB="0" distL="0" distR="0">
            <wp:extent cx="4979670" cy="1752600"/>
            <wp:effectExtent l="19050" t="0" r="1143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1.因公出国（境）经费支出0万元，年初未安排预算</w:t>
      </w:r>
      <w:r>
        <w:rPr>
          <w:rStyle w:val="19"/>
          <w:rFonts w:hint="eastAsia" w:ascii="仿宋_GB2312" w:hAnsi="仿宋_GB2312" w:eastAsia="仿宋_GB2312" w:cs="仿宋_GB2312"/>
          <w:bCs/>
          <w:sz w:val="32"/>
          <w:szCs w:val="32"/>
        </w:rPr>
        <w:t>。</w:t>
      </w:r>
    </w:p>
    <w:p>
      <w:p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2.公务用车购置及运行维护费支出0万元,</w:t>
      </w:r>
      <w:r>
        <w:rPr>
          <w:rStyle w:val="19"/>
          <w:rFonts w:hint="eastAsia" w:ascii="仿宋_GB2312" w:hAnsi="仿宋_GB2312" w:eastAsia="仿宋_GB2312" w:cs="仿宋_GB2312"/>
          <w:bCs/>
          <w:sz w:val="32"/>
          <w:szCs w:val="32"/>
        </w:rPr>
        <w:t>单位无公务用车。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3.公务接待费支出0.47万元，</w:t>
      </w:r>
      <w:r>
        <w:rPr>
          <w:rStyle w:val="19"/>
          <w:rFonts w:hint="eastAsia" w:ascii="仿宋_GB2312" w:hAnsi="仿宋_GB2312" w:eastAsia="仿宋_GB2312" w:cs="仿宋_GB2312"/>
          <w:bCs/>
          <w:sz w:val="32"/>
          <w:szCs w:val="32"/>
        </w:rPr>
        <w:t>完成预算100%。</w:t>
      </w:r>
      <w:r>
        <w:rPr>
          <w:rFonts w:hint="eastAsia" w:ascii="仿宋_GB2312" w:hAnsi="仿宋_GB2312" w:eastAsia="仿宋_GB2312" w:cs="仿宋_GB2312"/>
          <w:sz w:val="32"/>
          <w:szCs w:val="32"/>
        </w:rPr>
        <w:t>公务接待费支出决算比2021年减少0.02万元，下降2%。</w:t>
      </w:r>
      <w:r>
        <w:rPr>
          <w:rFonts w:hint="eastAsia" w:ascii="仿宋_GB2312" w:hAnsi="仿宋_GB2312" w:eastAsia="仿宋_GB2312" w:cs="仿宋_GB2312"/>
          <w:color w:val="000000"/>
          <w:sz w:val="32"/>
          <w:szCs w:val="32"/>
        </w:rPr>
        <w:t>主要原因是节约开支。其中：</w:t>
      </w:r>
      <w:r>
        <w:rPr>
          <w:rFonts w:hint="eastAsia" w:ascii="仿宋_GB2312" w:hAnsi="仿宋_GB2312" w:eastAsia="仿宋_GB2312" w:cs="仿宋_GB2312"/>
          <w:bCs/>
          <w:color w:val="000000"/>
          <w:sz w:val="32"/>
          <w:szCs w:val="32"/>
        </w:rPr>
        <w:t>国内公务接待支出0.47</w:t>
      </w:r>
      <w:r>
        <w:rPr>
          <w:rFonts w:hint="eastAsia" w:ascii="仿宋_GB2312" w:hAnsi="仿宋_GB2312" w:eastAsia="仿宋_GB2312" w:cs="仿宋_GB2312"/>
          <w:color w:val="000000"/>
          <w:sz w:val="32"/>
          <w:szCs w:val="32"/>
        </w:rPr>
        <w:t>万元，主要用于上级红十字会调研工作、县区红十字会考察学习、红十字第四次会员代表大会的餐费。国内公务接待5批次，82人次，共计支出0.47万元，具体内容包括：市红十字会到中子镇小屯村调研基层组织示范点建设，9人次，支出0.06万元；苍溪县两次到朝天考察学习，一是到朝天考察学习救护培训基地项目，9人次，支出0.09万元，二是到朝天考察学习基层组织示范点建设，10人次，支出0.09万元；剑阁县红十字会考察学习救护培训项目，9人次，支出0.09万元；我会召开第四次会员代表大会45人次，支出0.14万元。另外，我单位无</w:t>
      </w: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w:t>
      </w:r>
    </w:p>
    <w:p>
      <w:pPr>
        <w:spacing w:line="600" w:lineRule="exact"/>
        <w:ind w:firstLine="640" w:firstLineChars="200"/>
        <w:outlineLvl w:val="1"/>
        <w:rPr>
          <w:rStyle w:val="31"/>
          <w:rFonts w:ascii="黑体" w:hAnsi="黑体" w:eastAsia="黑体"/>
        </w:rPr>
      </w:pPr>
      <w:bookmarkStart w:id="62" w:name="_Toc15377218"/>
      <w:bookmarkStart w:id="63" w:name="_Toc15396610"/>
      <w:bookmarkStart w:id="64" w:name="_Toc31482"/>
      <w:r>
        <w:rPr>
          <w:rFonts w:hint="eastAsia" w:ascii="黑体" w:eastAsia="黑体"/>
          <w:sz w:val="32"/>
          <w:szCs w:val="32"/>
        </w:rPr>
        <w:t>八、</w:t>
      </w:r>
      <w:r>
        <w:rPr>
          <w:rStyle w:val="31"/>
          <w:rFonts w:hint="eastAsia" w:ascii="黑体" w:hAnsi="黑体" w:eastAsia="黑体"/>
          <w:b w:val="0"/>
        </w:rPr>
        <w:t>政府性基金预算支出决算情况说明</w:t>
      </w:r>
      <w:bookmarkEnd w:id="62"/>
      <w:bookmarkEnd w:id="63"/>
      <w:bookmarkEnd w:id="6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firstLineChars="200"/>
        <w:outlineLvl w:val="2"/>
        <w:rPr>
          <w:rStyle w:val="31"/>
          <w:rFonts w:ascii="黑体" w:hAnsi="黑体" w:eastAsia="黑体"/>
          <w:b w:val="0"/>
        </w:rPr>
      </w:pPr>
      <w:bookmarkStart w:id="65" w:name="_Toc5842"/>
      <w:bookmarkStart w:id="66" w:name="_Toc15396611"/>
      <w:bookmarkStart w:id="67" w:name="_Toc15377219"/>
      <w:r>
        <w:rPr>
          <w:rStyle w:val="31"/>
          <w:rFonts w:hint="eastAsia" w:ascii="黑体" w:hAnsi="黑体" w:eastAsia="黑体"/>
          <w:b w:val="0"/>
        </w:rPr>
        <w:t>国有资本经营预算支出决算情况说明</w:t>
      </w:r>
      <w:bookmarkEnd w:id="65"/>
      <w:bookmarkEnd w:id="66"/>
      <w:bookmarkEnd w:id="6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600" w:lineRule="exact"/>
        <w:ind w:firstLine="640" w:firstLineChars="200"/>
        <w:outlineLvl w:val="1"/>
        <w:rPr>
          <w:rStyle w:val="31"/>
          <w:rFonts w:ascii="黑体" w:hAnsi="黑体" w:eastAsia="黑体"/>
          <w:b w:val="0"/>
        </w:rPr>
      </w:pPr>
      <w:bookmarkStart w:id="68" w:name="_Toc15377221"/>
      <w:bookmarkStart w:id="69" w:name="_Toc15396612"/>
      <w:bookmarkStart w:id="70" w:name="_Toc14451"/>
      <w:r>
        <w:rPr>
          <w:rStyle w:val="31"/>
          <w:rFonts w:hint="eastAsia" w:ascii="黑体" w:hAnsi="黑体" w:eastAsia="黑体"/>
          <w:b w:val="0"/>
        </w:rPr>
        <w:t>其他重要事项的情况说明</w:t>
      </w:r>
      <w:bookmarkEnd w:id="68"/>
      <w:bookmarkEnd w:id="69"/>
      <w:bookmarkEnd w:id="70"/>
    </w:p>
    <w:p>
      <w:pPr>
        <w:spacing w:line="600" w:lineRule="exact"/>
        <w:ind w:firstLine="642" w:firstLineChars="200"/>
        <w:outlineLvl w:val="2"/>
        <w:rPr>
          <w:rFonts w:ascii="楷体_GB2312" w:hAnsi="楷体_GB2312" w:eastAsia="楷体_GB2312" w:cs="楷体_GB2312"/>
          <w:sz w:val="32"/>
          <w:szCs w:val="32"/>
        </w:rPr>
      </w:pPr>
      <w:bookmarkStart w:id="71" w:name="_Toc2498"/>
      <w:bookmarkStart w:id="72" w:name="_Toc15377222"/>
      <w:r>
        <w:rPr>
          <w:rFonts w:hint="eastAsia" w:ascii="楷体_GB2312" w:hAnsi="楷体_GB2312" w:eastAsia="楷体_GB2312" w:cs="楷体_GB2312"/>
          <w:b/>
          <w:sz w:val="32"/>
          <w:szCs w:val="32"/>
        </w:rPr>
        <w:t>（一）机关运行经费支出情况</w:t>
      </w:r>
      <w:bookmarkEnd w:id="71"/>
      <w:bookmarkEnd w:id="7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22年，朝天区红十字会机关运行经费支出11.45万元，比</w:t>
      </w:r>
      <w:r>
        <w:rPr>
          <w:rFonts w:ascii="仿宋_GB2312" w:eastAsia="仿宋_GB2312"/>
          <w:sz w:val="32"/>
          <w:szCs w:val="32"/>
        </w:rPr>
        <w:t>20</w:t>
      </w:r>
      <w:r>
        <w:rPr>
          <w:rFonts w:hint="eastAsia" w:ascii="仿宋_GB2312" w:eastAsia="仿宋_GB2312"/>
          <w:sz w:val="32"/>
          <w:szCs w:val="32"/>
        </w:rPr>
        <w:t>21年增加2.78万元，增长32</w:t>
      </w:r>
      <w:r>
        <w:rPr>
          <w:rFonts w:ascii="仿宋_GB2312" w:eastAsia="仿宋_GB2312"/>
          <w:sz w:val="32"/>
          <w:szCs w:val="32"/>
        </w:rPr>
        <w:t>%</w:t>
      </w:r>
      <w:r>
        <w:rPr>
          <w:rFonts w:hint="eastAsia" w:ascii="仿宋_GB2312" w:eastAsia="仿宋_GB2312"/>
          <w:sz w:val="32"/>
          <w:szCs w:val="32"/>
        </w:rPr>
        <w:t>。主要原因是单位人员增加。</w:t>
      </w:r>
    </w:p>
    <w:p>
      <w:pPr>
        <w:autoSpaceDE w:val="0"/>
        <w:autoSpaceDN w:val="0"/>
        <w:adjustRightInd w:val="0"/>
        <w:spacing w:line="600" w:lineRule="exact"/>
        <w:ind w:firstLine="642" w:firstLineChars="200"/>
        <w:jc w:val="left"/>
        <w:outlineLvl w:val="2"/>
        <w:rPr>
          <w:rFonts w:ascii="楷体_GB2312" w:hAnsi="楷体_GB2312" w:eastAsia="楷体_GB2312" w:cs="楷体_GB2312"/>
          <w:b/>
          <w:sz w:val="32"/>
          <w:szCs w:val="32"/>
        </w:rPr>
      </w:pPr>
      <w:bookmarkStart w:id="73" w:name="_Toc15377223"/>
      <w:bookmarkStart w:id="74" w:name="_Toc29230"/>
      <w:r>
        <w:rPr>
          <w:rFonts w:hint="eastAsia" w:ascii="楷体_GB2312" w:hAnsi="楷体_GB2312" w:eastAsia="楷体_GB2312" w:cs="楷体_GB2312"/>
          <w:b/>
          <w:sz w:val="32"/>
          <w:szCs w:val="32"/>
        </w:rPr>
        <w:t>（二）政府采购支出情况</w:t>
      </w:r>
      <w:bookmarkEnd w:id="73"/>
      <w:bookmarkEnd w:id="7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22年，朝天区红十字会政府采购支出总额0万元，我单位2022年无政府采购预算，未实施任何采购活动。</w:t>
      </w:r>
    </w:p>
    <w:p>
      <w:pPr>
        <w:autoSpaceDE w:val="0"/>
        <w:autoSpaceDN w:val="0"/>
        <w:adjustRightInd w:val="0"/>
        <w:spacing w:line="600" w:lineRule="exact"/>
        <w:ind w:firstLine="642" w:firstLineChars="200"/>
        <w:jc w:val="left"/>
        <w:outlineLvl w:val="2"/>
        <w:rPr>
          <w:rFonts w:ascii="楷体_GB2312" w:hAnsi="楷体_GB2312" w:eastAsia="楷体_GB2312" w:cs="楷体_GB2312"/>
          <w:b/>
          <w:sz w:val="32"/>
          <w:szCs w:val="32"/>
        </w:rPr>
      </w:pPr>
      <w:bookmarkStart w:id="75" w:name="_Toc15377224"/>
      <w:bookmarkStart w:id="76" w:name="_Toc26388"/>
      <w:r>
        <w:rPr>
          <w:rFonts w:hint="eastAsia" w:ascii="楷体_GB2312" w:hAnsi="楷体_GB2312" w:eastAsia="楷体_GB2312" w:cs="楷体_GB2312"/>
          <w:b/>
          <w:sz w:val="32"/>
          <w:szCs w:val="32"/>
        </w:rPr>
        <w:t>（三）国有资产占有使用情况</w:t>
      </w:r>
      <w:bookmarkEnd w:id="75"/>
      <w:bookmarkEnd w:id="7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日，朝天区红十字会无国有资产占有使用情况，无任何公务车辆和其他专用设备。</w:t>
      </w:r>
    </w:p>
    <w:p>
      <w:pPr>
        <w:autoSpaceDE w:val="0"/>
        <w:autoSpaceDN w:val="0"/>
        <w:adjustRightInd w:val="0"/>
        <w:spacing w:line="600" w:lineRule="exact"/>
        <w:ind w:firstLine="642" w:firstLineChars="200"/>
        <w:jc w:val="left"/>
        <w:outlineLvl w:val="2"/>
        <w:rPr>
          <w:rFonts w:ascii="楷体_GB2312" w:hAnsi="楷体_GB2312" w:eastAsia="楷体_GB2312" w:cs="楷体_GB2312"/>
          <w:b/>
          <w:sz w:val="32"/>
          <w:szCs w:val="32"/>
        </w:rPr>
      </w:pPr>
      <w:bookmarkStart w:id="77" w:name="_Toc29779"/>
      <w:r>
        <w:rPr>
          <w:rFonts w:hint="eastAsia" w:ascii="楷体_GB2312" w:hAnsi="楷体_GB2312" w:eastAsia="楷体_GB2312" w:cs="楷体_GB2312"/>
          <w:b/>
          <w:sz w:val="32"/>
          <w:szCs w:val="32"/>
        </w:rPr>
        <w:t>（四）预算绩效管理情况</w:t>
      </w:r>
      <w:bookmarkEnd w:id="77"/>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根据预算绩效管理要求，本部门在2022年度预算编制阶段，按照管理要求，不需要对我会的项目开展事前绩效评估，但在预算中都编制了绩效目标，预算执行过程中，自行对我会项目开展绩效监控。</w:t>
      </w:r>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rPr>
        <w:t>按照《广元市朝天区财政局关于开展2023年部门、政策和项目支出绩效自评工作的通知》（广朝财发〔2023〕19号）文件要求，</w:t>
      </w: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朝天区红十字会部门整体（含部门预算项目）绩效自评报告。朝天区红十字会部门整体绩效自评得分为96分，</w:t>
      </w:r>
      <w:r>
        <w:rPr>
          <w:rFonts w:hint="eastAsia" w:ascii="仿宋_GB2312" w:hAnsi="仿宋_GB2312" w:eastAsia="仿宋_GB2312" w:cs="仿宋_GB2312"/>
          <w:color w:val="000000" w:themeColor="text1"/>
          <w:kern w:val="0"/>
          <w:sz w:val="32"/>
          <w:szCs w:val="32"/>
        </w:rPr>
        <w:t>认真组织开展了2022年度项目支出绩效自评工作，分别是公益性初级卫生救护百万培训项目、东西部协作工作经费、5.8博爱周宣传活动工作经费、单位办公用费租赁费，自评得分平均95分。</w:t>
      </w:r>
      <w:r>
        <w:rPr>
          <w:rFonts w:hint="eastAsia" w:ascii="仿宋_GB2312" w:hAnsi="仿宋_GB2312" w:eastAsia="仿宋_GB2312" w:cs="仿宋_GB2312"/>
          <w:color w:val="000000" w:themeColor="text1"/>
          <w:kern w:val="0"/>
          <w:sz w:val="32"/>
          <w:szCs w:val="32"/>
          <w:shd w:val="clear" w:color="auto" w:fill="FFFFFF"/>
        </w:rPr>
        <w:t>2022年严格按照财政要求，本着单位实际，在规定的时间内完成了编制工作。主要分基本支出和项目支出两大版块。基本支出按照单位实有人数和各单项定额标准编制；项目支出主要是根据本单位基本职能和职责要求，为保障完成单位特定的行政工作和社会事业发展目标而编制，专项预算细化到了项目条款。整个预算包含了财政资金的安排使用、管理情况等。绩效自评报告详见附件。</w:t>
      </w:r>
      <w:r>
        <w:rPr>
          <w:rFonts w:ascii="仿宋_GB2312" w:hAnsi="仿宋_GB2312" w:eastAsia="仿宋_GB2312" w:cs="仿宋_GB2312"/>
          <w:color w:val="000000" w:themeColor="text1"/>
          <w:kern w:val="0"/>
          <w:sz w:val="32"/>
          <w:szCs w:val="32"/>
          <w:shd w:val="clear" w:color="auto" w:fill="FFFFFF"/>
        </w:rPr>
        <w:t xml:space="preserve"> </w:t>
      </w:r>
    </w:p>
    <w:p>
      <w:pPr>
        <w:widowControl/>
        <w:ind w:firstLine="642" w:firstLineChars="200"/>
        <w:jc w:val="left"/>
        <w:rPr>
          <w:rFonts w:ascii="仿宋_GB2312" w:eastAsia="仿宋_GB2312"/>
          <w:b/>
          <w:color w:val="000000" w:themeColor="text1"/>
          <w:sz w:val="32"/>
          <w:szCs w:val="32"/>
        </w:rPr>
      </w:pPr>
      <w:r>
        <w:rPr>
          <w:rFonts w:ascii="仿宋_GB2312" w:eastAsia="仿宋_GB2312"/>
          <w:b/>
          <w:color w:val="000000" w:themeColor="text1"/>
          <w:sz w:val="32"/>
          <w:szCs w:val="32"/>
        </w:rPr>
        <w:br w:type="page"/>
      </w:r>
    </w:p>
    <w:p>
      <w:pPr>
        <w:numPr>
          <w:ilvl w:val="0"/>
          <w:numId w:val="2"/>
        </w:numPr>
        <w:spacing w:line="600" w:lineRule="exact"/>
        <w:ind w:firstLine="660" w:firstLineChars="150"/>
        <w:jc w:val="center"/>
        <w:outlineLvl w:val="0"/>
        <w:rPr>
          <w:rStyle w:val="30"/>
          <w:rFonts w:ascii="黑体" w:hAnsi="黑体" w:eastAsia="黑体"/>
          <w:b w:val="0"/>
        </w:rPr>
      </w:pPr>
      <w:bookmarkStart w:id="78" w:name="_Toc15377225"/>
      <w:bookmarkStart w:id="79" w:name="_Toc15396613"/>
      <w:bookmarkStart w:id="80" w:name="_Toc25975"/>
      <w:r>
        <w:rPr>
          <w:rFonts w:hint="eastAsia" w:ascii="黑体" w:hAnsi="黑体" w:eastAsia="黑体"/>
          <w:sz w:val="44"/>
          <w:szCs w:val="44"/>
        </w:rPr>
        <w:t>名</w:t>
      </w:r>
      <w:r>
        <w:rPr>
          <w:rStyle w:val="30"/>
          <w:rFonts w:hint="eastAsia" w:ascii="黑体" w:hAnsi="黑体" w:eastAsia="黑体"/>
          <w:b w:val="0"/>
        </w:rPr>
        <w:t>词解释</w:t>
      </w:r>
      <w:bookmarkEnd w:id="78"/>
      <w:bookmarkEnd w:id="79"/>
      <w:bookmarkEnd w:id="80"/>
    </w:p>
    <w:p>
      <w:pPr>
        <w:pStyle w:val="2"/>
        <w:spacing w:before="94"/>
      </w:pPr>
    </w:p>
    <w:p>
      <w:pPr>
        <w:pStyle w:val="28"/>
        <w:numPr>
          <w:ilvl w:val="0"/>
          <w:numId w:val="3"/>
        </w:numPr>
        <w:spacing w:line="560" w:lineRule="exact"/>
        <w:ind w:firstLine="640" w:firstLineChars="200"/>
        <w:outlineLvl w:val="1"/>
        <w:rPr>
          <w:rFonts w:ascii="仿宋_GB2312" w:eastAsia="仿宋_GB2312"/>
          <w:color w:val="auto"/>
          <w:sz w:val="32"/>
          <w:szCs w:val="32"/>
        </w:rPr>
      </w:pPr>
      <w:bookmarkStart w:id="81" w:name="_Toc29012"/>
      <w:r>
        <w:rPr>
          <w:rFonts w:hint="eastAsia" w:ascii="仿宋_GB2312" w:eastAsia="仿宋_GB2312"/>
          <w:color w:val="auto"/>
          <w:sz w:val="32"/>
          <w:szCs w:val="32"/>
        </w:rPr>
        <w:t>财政拨款收入：指单位从同级财政部门取得的财政预算资金。</w:t>
      </w:r>
      <w:bookmarkEnd w:id="81"/>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机关事业单位基本养老保险支出（2080505）：反映机关事业单位实施养老保险制度由单位缴纳的基本养老保险支出。</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行政运行（2081601）：反映行政单位（包括实行公务员管理的事业单位）的基本支出。</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一般行政管理事务（2081602）：反映行政单位（包括实行公务员管理的事业单位）未单独设置项级科目的其他项目支出。</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机关服务（2081603）：反映行政单位（包括实行公务员管理的事业单位）中事业人员的基本支出。</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其他社会保障和就业支出（2089999）：反映其他用于社会保障和就业方面的支出</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行政单位医疗（2101101）：反映行政单位（包括实行公务员管理的事业单位）基本医疗保险缴费经费。</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事业单位医疗（2101102）：反映事业单位基本医疗保险缴费经费。</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住房公积金（2210201）：反映行政事业单位按人力资源和社会保障部、财政部规定的基本工资和津贴补贴以及规定比例为职工缴纳的住房公积金。</w:t>
      </w:r>
    </w:p>
    <w:p>
      <w:pPr>
        <w:pStyle w:val="28"/>
        <w:numPr>
          <w:ilvl w:val="0"/>
          <w:numId w:val="3"/>
        </w:num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其他红十字事业支出（2081699）：反映其他用于红十字事业方面的支出。</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11.基本支出：指为保障机构正常运转、完成日常工作任务而发生的人员支出和公用支出。</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12.项目支出：指在基本支出之外为完成特定行政任务和事业发展目标所发生的支出。 </w:t>
      </w:r>
    </w:p>
    <w:p>
      <w:pPr>
        <w:pStyle w:val="28"/>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9"/>
        <w:rPr>
          <w:rFonts w:ascii="仿宋_GB2312" w:hAnsi="仿宋_GB2312" w:eastAsia="仿宋_GB2312" w:cs="仿宋_GB2312"/>
          <w:b/>
          <w:sz w:val="32"/>
          <w:szCs w:val="32"/>
        </w:rPr>
      </w:pPr>
      <w:bookmarkStart w:id="82" w:name="_Toc15396614"/>
      <w:bookmarkStart w:id="83" w:name="_Toc15377226"/>
    </w:p>
    <w:p>
      <w:pPr>
        <w:pStyle w:val="2"/>
        <w:spacing w:before="94"/>
      </w:pPr>
    </w:p>
    <w:p>
      <w:pPr>
        <w:pStyle w:val="2"/>
        <w:spacing w:before="94"/>
      </w:pPr>
    </w:p>
    <w:p>
      <w:pPr>
        <w:spacing w:line="600" w:lineRule="exact"/>
        <w:jc w:val="center"/>
        <w:outlineLvl w:val="0"/>
        <w:rPr>
          <w:rStyle w:val="30"/>
          <w:rFonts w:ascii="黑体" w:hAnsi="黑体" w:eastAsia="黑体"/>
          <w:b w:val="0"/>
        </w:rPr>
      </w:pPr>
      <w:bookmarkStart w:id="84" w:name="_Toc29199"/>
      <w:r>
        <w:rPr>
          <w:rFonts w:hint="eastAsia" w:ascii="黑体" w:hAnsi="黑体" w:eastAsia="黑体"/>
          <w:sz w:val="44"/>
          <w:szCs w:val="44"/>
        </w:rPr>
        <w:t>第</w:t>
      </w:r>
      <w:r>
        <w:rPr>
          <w:rStyle w:val="30"/>
          <w:rFonts w:hint="eastAsia" w:ascii="黑体" w:hAnsi="黑体" w:eastAsia="黑体"/>
          <w:b w:val="0"/>
        </w:rPr>
        <w:t>四部分 附件</w:t>
      </w:r>
      <w:bookmarkEnd w:id="82"/>
      <w:bookmarkEnd w:id="84"/>
    </w:p>
    <w:p>
      <w:pPr>
        <w:spacing w:line="572" w:lineRule="exact"/>
        <w:jc w:val="left"/>
        <w:outlineLvl w:val="9"/>
        <w:rPr>
          <w:rFonts w:ascii="方正小标宋简体" w:hAnsi="方正小标宋简体" w:eastAsia="方正小标宋简体" w:cs="方正小标宋简体"/>
          <w:sz w:val="44"/>
          <w:szCs w:val="44"/>
        </w:rPr>
      </w:pPr>
    </w:p>
    <w:p>
      <w:pPr>
        <w:widowControl/>
        <w:spacing w:line="560" w:lineRule="exact"/>
        <w:contextualSpacing/>
        <w:jc w:val="center"/>
        <w:outlineLvl w:val="1"/>
        <w:rPr>
          <w:rFonts w:ascii="宋体" w:hAnsi="宋体"/>
          <w:b/>
          <w:sz w:val="36"/>
          <w:szCs w:val="36"/>
          <w:shd w:val="clear" w:color="auto" w:fill="FFFFFF"/>
        </w:rPr>
      </w:pPr>
      <w:r>
        <w:rPr>
          <w:rFonts w:hint="eastAsia" w:ascii="宋体" w:hAnsi="宋体"/>
          <w:b/>
          <w:sz w:val="32"/>
          <w:szCs w:val="32"/>
          <w:shd w:val="clear" w:color="auto" w:fill="FFFFFF"/>
        </w:rPr>
        <w:t xml:space="preserve"> </w:t>
      </w:r>
      <w:r>
        <w:rPr>
          <w:rFonts w:hint="eastAsia" w:ascii="宋体" w:hAnsi="宋体"/>
          <w:b/>
          <w:sz w:val="36"/>
          <w:szCs w:val="36"/>
          <w:shd w:val="clear" w:color="auto" w:fill="FFFFFF"/>
        </w:rPr>
        <w:t xml:space="preserve"> </w:t>
      </w:r>
      <w:bookmarkStart w:id="85" w:name="_Toc31839"/>
      <w:r>
        <w:rPr>
          <w:rFonts w:hint="eastAsia" w:ascii="宋体" w:hAnsi="宋体"/>
          <w:b/>
          <w:sz w:val="36"/>
          <w:szCs w:val="36"/>
          <w:shd w:val="clear" w:color="auto" w:fill="FFFFFF"/>
        </w:rPr>
        <w:t>2022年朝天区红十字会整体绩效评价报告</w:t>
      </w:r>
      <w:bookmarkEnd w:id="85"/>
    </w:p>
    <w:p>
      <w:pPr>
        <w:pStyle w:val="2"/>
        <w:spacing w:before="94"/>
      </w:pPr>
    </w:p>
    <w:p>
      <w:pPr>
        <w:widowControl/>
        <w:numPr>
          <w:ilvl w:val="0"/>
          <w:numId w:val="4"/>
        </w:numPr>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86" w:name="_Toc2971"/>
      <w:r>
        <w:rPr>
          <w:rFonts w:hint="eastAsia" w:ascii="黑体" w:hAnsi="宋体" w:eastAsia="黑体" w:cs="宋体"/>
          <w:kern w:val="0"/>
          <w:sz w:val="32"/>
          <w:szCs w:val="32"/>
          <w:shd w:val="clear" w:color="auto" w:fill="FFFFFF"/>
          <w:lang w:val="zh-CN"/>
        </w:rPr>
        <w:t>部门基本情况</w:t>
      </w:r>
      <w:bookmarkEnd w:id="86"/>
    </w:p>
    <w:p>
      <w:pPr>
        <w:widowControl/>
        <w:autoSpaceDE w:val="0"/>
        <w:adjustRightInd w:val="0"/>
        <w:snapToGrid w:val="0"/>
        <w:spacing w:line="540" w:lineRule="exact"/>
        <w:ind w:firstLine="642"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b/>
          <w:bCs/>
          <w:kern w:val="0"/>
          <w:sz w:val="32"/>
          <w:szCs w:val="32"/>
          <w:shd w:val="clear" w:color="auto" w:fill="FFFFFF"/>
          <w:lang w:val="zh-CN"/>
        </w:rPr>
        <w:t>（一）机构组成。</w:t>
      </w:r>
      <w:r>
        <w:rPr>
          <w:rFonts w:hint="eastAsia" w:ascii="仿宋_GB2312" w:hAnsi="仿宋_GB2312" w:eastAsia="仿宋_GB2312" w:cs="仿宋_GB2312"/>
          <w:sz w:val="32"/>
          <w:szCs w:val="32"/>
        </w:rPr>
        <w:t>朝天区红十字会属财政一级预算单位，是参照公务员法管理的事业单位。</w:t>
      </w:r>
    </w:p>
    <w:p>
      <w:pPr>
        <w:spacing w:line="576" w:lineRule="exact"/>
        <w:ind w:firstLine="642" w:firstLineChars="200"/>
        <w:outlineLvl w:val="2"/>
        <w:rPr>
          <w:rFonts w:ascii="楷体_GB2312" w:hAnsi="楷体_GB2312" w:eastAsia="楷体_GB2312" w:cs="楷体_GB2312"/>
          <w:b/>
          <w:bCs/>
          <w:kern w:val="0"/>
          <w:sz w:val="32"/>
          <w:szCs w:val="32"/>
          <w:shd w:val="clear" w:color="auto" w:fill="FFFFFF"/>
          <w:lang w:val="zh-CN"/>
        </w:rPr>
      </w:pPr>
      <w:bookmarkStart w:id="87" w:name="_Toc6226"/>
      <w:r>
        <w:rPr>
          <w:rFonts w:hint="eastAsia" w:ascii="楷体_GB2312" w:hAnsi="楷体_GB2312" w:eastAsia="楷体_GB2312" w:cs="楷体_GB2312"/>
          <w:b/>
          <w:bCs/>
          <w:kern w:val="0"/>
          <w:sz w:val="32"/>
          <w:szCs w:val="32"/>
          <w:shd w:val="clear" w:color="auto" w:fill="FFFFFF"/>
          <w:lang w:val="zh-CN"/>
        </w:rPr>
        <w:t>（二）机构职能和人员概况。</w:t>
      </w:r>
      <w:bookmarkEnd w:id="87"/>
    </w:p>
    <w:p>
      <w:pPr>
        <w:pStyle w:val="2"/>
        <w:spacing w:before="94"/>
        <w:ind w:firstLine="602" w:firstLineChars="200"/>
        <w:rPr>
          <w:b/>
          <w:bCs/>
          <w:lang w:val="zh-CN"/>
        </w:rPr>
      </w:pPr>
      <w:r>
        <w:rPr>
          <w:rFonts w:hint="eastAsia"/>
          <w:b/>
          <w:bCs/>
          <w:lang w:val="zh-CN"/>
        </w:rPr>
        <w:t>1、机构职能</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（1）传播国际红十字运动知识和国际人道主义法，宣传、执行《中华人民共和国红十字会法》和《中华人民共和国红十字标志使用办法》等法律、法规，遵循《中国红十字会章程》，依法建会、治会、兴会。 </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开展备灾救灾工作，兴建和管理备灾救灾设施，在自然灾害和突发事件中，开展救护和救助工作；根据自然灾害和突发事件的具体情况，在辖区内发出呼吁，依法接受国内外组织和个人的捐赠，及时向灾区和受难者提供急需的人道主义援助。 </w:t>
      </w:r>
    </w:p>
    <w:p>
      <w:pPr>
        <w:spacing w:line="576" w:lineRule="exact"/>
        <w:ind w:firstLine="640" w:firstLineChars="200"/>
        <w:rPr>
          <w:rFonts w:ascii="仿宋_GB2312" w:hAnsi="仿宋_GB2312" w:eastAsia="仿宋_GB2312" w:cs="仿宋_GB2312"/>
          <w:color w:val="000000" w:themeColor="text1"/>
          <w:spacing w:val="-6"/>
          <w:sz w:val="32"/>
          <w:szCs w:val="32"/>
        </w:rPr>
      </w:pPr>
      <w:r>
        <w:rPr>
          <w:rFonts w:hint="eastAsia" w:ascii="仿宋_GB2312" w:hAnsi="仿宋_GB2312" w:eastAsia="仿宋_GB2312" w:cs="仿宋_GB2312"/>
          <w:color w:val="000000" w:themeColor="text1"/>
          <w:sz w:val="32"/>
          <w:szCs w:val="32"/>
        </w:rPr>
        <w:t>（3）开展人道领域的社会公益服务活动和卫生救护、防病常识的宣传普及，组织社会捐助，进行初级卫生救护培训，组织群众参加现场救护；推动无偿献血和非血缘关系骨髓移植工作及推动遗体（器官）捐献工作；开展预防控制艾滋病宣传，关心爱护</w:t>
      </w:r>
      <w:r>
        <w:rPr>
          <w:rFonts w:hint="eastAsia" w:ascii="仿宋_GB2312" w:hAnsi="仿宋_GB2312" w:eastAsia="仿宋_GB2312" w:cs="仿宋_GB2312"/>
          <w:color w:val="000000" w:themeColor="text1"/>
          <w:spacing w:val="-6"/>
          <w:sz w:val="32"/>
          <w:szCs w:val="32"/>
        </w:rPr>
        <w:t>艾滋病病毒感染者、患者及其他救助工作；开展其他人道救助工作。</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（4）开展对公民特别是青少年的人道主义和社会主义精神文明教育活动。</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（5）根据中国红十字会总会和省、市红十字会的部署，参加国际和国内人道主义救援工作。 </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（6）认真贯彻落实区委、区人民政府安排的其他工作。 </w:t>
      </w:r>
    </w:p>
    <w:p>
      <w:pPr>
        <w:widowControl/>
        <w:autoSpaceDE w:val="0"/>
        <w:adjustRightInd w:val="0"/>
        <w:snapToGrid w:val="0"/>
        <w:spacing w:line="576" w:lineRule="exact"/>
        <w:ind w:firstLine="642" w:firstLineChars="200"/>
        <w:contextualSpacing/>
        <w:jc w:val="left"/>
        <w:rPr>
          <w:rFonts w:ascii="仿宋_GB2312" w:hAnsi="仿宋_GB2312" w:eastAsia="仿宋_GB2312" w:cs="仿宋_GB2312"/>
          <w:b/>
          <w:bCs/>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2、人员概况。</w:t>
      </w:r>
    </w:p>
    <w:p>
      <w:pPr>
        <w:widowControl/>
        <w:adjustRightInd w:val="0"/>
        <w:snapToGrid w:val="0"/>
        <w:spacing w:line="560" w:lineRule="exact"/>
        <w:ind w:firstLine="640" w:firstLineChars="200"/>
        <w:contextualSpacing/>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朝天区红十字会总编制7名，其中行政编制4 名，事业编制2名，工勤编制1名。现有在职人员总数7人，其中行政人员4人，事业人员2人，工勤人员1人。固定资产总额 13.75万元。</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88" w:name="_Toc13340"/>
      <w:r>
        <w:rPr>
          <w:rFonts w:hint="eastAsia" w:ascii="楷体_GB2312" w:hAnsi="楷体_GB2312" w:eastAsia="楷体_GB2312" w:cs="楷体_GB2312"/>
          <w:b/>
          <w:bCs/>
          <w:kern w:val="0"/>
          <w:sz w:val="32"/>
          <w:szCs w:val="32"/>
          <w:shd w:val="clear" w:color="auto" w:fill="FFFFFF"/>
          <w:lang w:val="zh-CN"/>
        </w:rPr>
        <w:t>（三）年度主要工作任务。</w:t>
      </w:r>
      <w:bookmarkEnd w:id="88"/>
    </w:p>
    <w:p>
      <w:pPr>
        <w:spacing w:line="560" w:lineRule="exact"/>
        <w:ind w:firstLine="640" w:firstLineChars="200"/>
      </w:pPr>
      <w:r>
        <w:rPr>
          <w:rFonts w:hint="eastAsia" w:ascii="仿宋_GB2312" w:hAnsi="仿宋_GB2312" w:eastAsia="仿宋_GB2312" w:cs="仿宋_GB2312"/>
          <w:color w:val="000000"/>
          <w:sz w:val="32"/>
          <w:szCs w:val="32"/>
        </w:rPr>
        <w:t>2022年，区红十字会在区委政府的正确领导下和上级红十字会的关心指导下，认真贯彻落实中央、省委、市委、区委总体部署，持续巩固红十字会深化改革成果，围绕全区中心工作，加强东西部协作社会帮扶，服务于乡村振兴大局，突出红十字会主责主业，各项工作取得良好成效，切实发挥好党委政府在人道领域的助手作用。</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1、坚持党的领导，突出红十字会政治导向。一是</w:t>
      </w:r>
      <w:r>
        <w:rPr>
          <w:rFonts w:hint="eastAsia" w:ascii="仿宋_GB2312" w:hAnsi="仿宋_GB2312" w:eastAsia="仿宋_GB2312" w:cs="仿宋_GB2312"/>
          <w:color w:val="000000"/>
          <w:sz w:val="32"/>
          <w:szCs w:val="32"/>
        </w:rPr>
        <w:t>深入贯彻落实中央和省委、市委、区委关于全面从严治党决策部署，推进落实新时代党的建设总体要求，坚持开展政治思想教育、理想信念教育、党风廉政建和制度监督，严肃党内政治生活，切实履行“第一责任人”“一岗双责”责任制。</w:t>
      </w:r>
      <w:r>
        <w:rPr>
          <w:rFonts w:hint="eastAsia" w:ascii="仿宋_GB2312" w:hAnsi="仿宋_GB2312" w:eastAsia="仿宋_GB2312" w:cs="仿宋_GB2312"/>
          <w:b/>
          <w:color w:val="000000"/>
          <w:sz w:val="32"/>
          <w:szCs w:val="32"/>
        </w:rPr>
        <w:t>二是</w:t>
      </w:r>
      <w:r>
        <w:rPr>
          <w:rFonts w:hint="eastAsia" w:ascii="仿宋_GB2312" w:hAnsi="仿宋_GB2312" w:eastAsia="仿宋_GB2312" w:cs="仿宋_GB2312"/>
          <w:color w:val="000000"/>
          <w:sz w:val="32"/>
          <w:szCs w:val="32"/>
        </w:rPr>
        <w:t>持续深化作风纪律建设，严明纪律规矩，把刀刃向内，开展“不担当、不作为”专项整治工作，查找存在的问题，切实加强整改。</w:t>
      </w:r>
      <w:r>
        <w:rPr>
          <w:rFonts w:hint="eastAsia" w:ascii="仿宋_GB2312" w:hAnsi="仿宋_GB2312" w:eastAsia="仿宋_GB2312" w:cs="仿宋_GB2312"/>
          <w:b/>
          <w:color w:val="000000"/>
          <w:sz w:val="32"/>
          <w:szCs w:val="32"/>
        </w:rPr>
        <w:t>三是</w:t>
      </w:r>
      <w:r>
        <w:rPr>
          <w:rFonts w:hint="eastAsia" w:ascii="仿宋_GB2312" w:hAnsi="仿宋_GB2312" w:eastAsia="仿宋_GB2312" w:cs="仿宋_GB2312"/>
          <w:color w:val="000000"/>
          <w:sz w:val="32"/>
          <w:szCs w:val="32"/>
        </w:rPr>
        <w:t>定期分析干部职工在意识形态领域的情况，加强对重大思想理论问题的辨析引导，旗帜鲜明反对和抵制各种错误观点，坚决维护党中央权威。</w:t>
      </w:r>
    </w:p>
    <w:p>
      <w:pPr>
        <w:spacing w:line="56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2、抓实主责主业，擦亮“红十字”服务品牌。</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一是扎实开展“博爱送万家”活动。</w:t>
      </w:r>
      <w:r>
        <w:rPr>
          <w:rFonts w:hint="eastAsia" w:ascii="仿宋_GB2312" w:hAnsi="仿宋_GB2312" w:eastAsia="仿宋_GB2312" w:cs="仿宋_GB2312"/>
          <w:color w:val="000000"/>
          <w:sz w:val="32"/>
          <w:szCs w:val="32"/>
        </w:rPr>
        <w:t>联合杭州市滨江区在春节期间开展滨江-朝天“红十字博爱送万家”活动，携手两地把千里之外滨江人民的深情厚谊和党委政府的关心关爱送达困难群众的家中，发放</w:t>
      </w:r>
      <w:r>
        <w:rPr>
          <w:rFonts w:hint="eastAsia" w:ascii="仿宋_GB2312" w:hAnsi="仿宋_GB2312" w:eastAsia="仿宋_GB2312" w:cs="仿宋_GB2312"/>
          <w:bCs/>
          <w:color w:val="000000"/>
          <w:sz w:val="32"/>
          <w:szCs w:val="32"/>
        </w:rPr>
        <w:t>御寒型家庭包、米、面、油、棉被等</w:t>
      </w:r>
      <w:r>
        <w:rPr>
          <w:rFonts w:hint="eastAsia" w:ascii="仿宋_GB2312" w:hAnsi="仿宋_GB2312" w:eastAsia="仿宋_GB2312" w:cs="仿宋_GB2312"/>
          <w:color w:val="000000"/>
          <w:sz w:val="32"/>
          <w:szCs w:val="32"/>
        </w:rPr>
        <w:t>物资价值22.2万余元，受益群众586户。</w:t>
      </w:r>
    </w:p>
    <w:p>
      <w:pPr>
        <w:pStyle w:val="14"/>
        <w:shd w:val="clear" w:color="auto" w:fill="FFFFFF"/>
        <w:spacing w:before="0" w:beforeAutospacing="0" w:after="0" w:afterAutospacing="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二是扎实开展“三救三献”工作。三救方面：（</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开展灾区紧急救援。9月9日举行向“9.5”泸定地震灾区捐款仪式，朝天区青龙村群众、金融系统干部职工和广元海螺水泥有限公司、广元旭航构件制造有限公司等多家企业捐款15.77万元，第一时间将捐款转至泸定县红十字会；组织朝天区三家企业捐赠爱心蔬菜12吨助力利州区抗疫。争取3.16万元防控物资发放到全区疫情防控点。</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开展重大疾病患者、特困家庭等人道救助50人，发放救助金6.05万元。</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扎实推进救护培训项目实施。举办民兵集中救护培训、</w:t>
      </w:r>
      <w:r>
        <w:rPr>
          <w:rFonts w:hint="eastAsia" w:ascii="仿宋_GB2312" w:hAnsi="仿宋_GB2312" w:eastAsia="仿宋_GB2312" w:cs="仿宋_GB2312"/>
          <w:kern w:val="2"/>
          <w:sz w:val="32"/>
          <w:szCs w:val="32"/>
        </w:rPr>
        <w:t>党政干部“救在身边+生命教育”专题救护培训，</w:t>
      </w:r>
      <w:r>
        <w:rPr>
          <w:rFonts w:hint="eastAsia" w:ascii="仿宋_GB2312" w:hAnsi="仿宋_GB2312" w:eastAsia="仿宋_GB2312" w:cs="仿宋_GB2312"/>
          <w:color w:val="000000"/>
          <w:sz w:val="32"/>
          <w:szCs w:val="32"/>
        </w:rPr>
        <w:t>以“五进”形式在全区乡镇、学校企业等全力推进普及培训，全年完</w:t>
      </w:r>
      <w:r>
        <w:rPr>
          <w:rFonts w:hint="eastAsia" w:ascii="仿宋_GB2312" w:hAnsi="仿宋_GB2312" w:eastAsia="仿宋_GB2312" w:cs="仿宋_GB2312"/>
          <w:color w:val="000000"/>
          <w:kern w:val="2"/>
          <w:sz w:val="32"/>
          <w:szCs w:val="32"/>
        </w:rPr>
        <w:t>成救护员培训335人（市下目标300人），普及性救护培训3805人（市下目标3400人），高质量完成市下目标任务。</w:t>
      </w:r>
      <w:r>
        <w:rPr>
          <w:rFonts w:hint="eastAsia" w:ascii="仿宋_GB2312" w:hAnsi="仿宋_GB2312" w:eastAsia="仿宋_GB2312" w:cs="仿宋_GB2312"/>
          <w:b/>
          <w:color w:val="000000"/>
          <w:sz w:val="32"/>
          <w:szCs w:val="32"/>
        </w:rPr>
        <w:t>三献方面：</w:t>
      </w:r>
      <w:r>
        <w:rPr>
          <w:rFonts w:hint="eastAsia" w:ascii="仿宋_GB2312" w:hAnsi="仿宋_GB2312" w:eastAsia="仿宋_GB2312" w:cs="仿宋_GB2312"/>
          <w:color w:val="000000"/>
          <w:sz w:val="32"/>
          <w:szCs w:val="32"/>
        </w:rPr>
        <w:t>坚持“三献”宣传常抓不懈，联合区卫健局集中开展无偿献血、造血干细胞捐、遗体器官（组织）捐献等“三献”活动；开展“5.8博爱周”“用爱心点亮生命之光”暨“世界骨髓捐献者日”主题宣传。今年参与无偿献血1000余人，登记造血干细胞捐献志愿者5人，活动27场，发放宣传资料20000余份。</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三是加强基层组织建设。</w:t>
      </w:r>
      <w:r>
        <w:rPr>
          <w:rFonts w:hint="eastAsia" w:ascii="仿宋_GB2312" w:hAnsi="仿宋_GB2312" w:eastAsia="仿宋_GB2312" w:cs="仿宋_GB2312"/>
          <w:color w:val="000000"/>
          <w:sz w:val="32"/>
          <w:szCs w:val="32"/>
        </w:rPr>
        <w:t>依法新建4个红十字会基层组织、1个红十字会团体会员；新发展红十字会员775人，在各中小学开展“自救互救”、逃生避险演练、疫情防控和红十字文化宣传等丰富的红十字青少年活动10余次；新注册红十字志愿者85人，组织志愿服务开展服务1097小时。</w:t>
      </w:r>
    </w:p>
    <w:p>
      <w:pPr>
        <w:snapToGrid w:val="0"/>
        <w:spacing w:line="560" w:lineRule="exact"/>
        <w:ind w:firstLine="642"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rPr>
        <w:t>四是夯实基层服务阵地。</w:t>
      </w:r>
      <w:r>
        <w:rPr>
          <w:rFonts w:hint="eastAsia" w:ascii="仿宋_GB2312" w:hAnsi="仿宋_GB2312" w:eastAsia="仿宋_GB2312" w:cs="仿宋_GB2312"/>
          <w:color w:val="000000"/>
          <w:sz w:val="32"/>
          <w:szCs w:val="32"/>
        </w:rPr>
        <w:t>建成红十字应急救护培训基地1个，并投入使用。将“中子镇小屯村红十字会打造成四川省红十字会基层组织示范点”，常态化开展服务群众、人道救助、志愿服务等活动15次。打造4A景区红十字应急救护站2个，七盘关工业园区红十字救护站1个，将红十字服务进一步拓展。开展爱心企业家座谈会2次，救护培训进企业5次，切实优化营商环境。</w:t>
      </w:r>
    </w:p>
    <w:p>
      <w:pPr>
        <w:pStyle w:val="14"/>
        <w:shd w:val="clear" w:color="auto" w:fill="FFFFFF"/>
        <w:spacing w:before="0" w:beforeAutospacing="0" w:after="0" w:afterAutospacing="0"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kern w:val="2"/>
          <w:sz w:val="32"/>
          <w:szCs w:val="32"/>
        </w:rPr>
        <w:t>五是扎实推进东西部协作社会帮扶。</w:t>
      </w:r>
      <w:r>
        <w:rPr>
          <w:rFonts w:hint="eastAsia" w:ascii="仿宋_GB2312" w:hAnsi="仿宋_GB2312" w:eastAsia="仿宋_GB2312" w:cs="仿宋_GB2312"/>
          <w:color w:val="000000"/>
          <w:kern w:val="2"/>
          <w:sz w:val="32"/>
          <w:szCs w:val="32"/>
        </w:rPr>
        <w:t>持续加强协作沟通，拓展募捐筹资渠道，截止12月8日，收到东西部协作社会帮扶资金965.07万元。开展</w:t>
      </w:r>
      <w:r>
        <w:rPr>
          <w:rFonts w:hint="eastAsia" w:ascii="仿宋_GB2312" w:hAnsi="仿宋_GB2312" w:eastAsia="仿宋_GB2312" w:cs="仿宋_GB2312"/>
          <w:color w:val="000000"/>
          <w:sz w:val="32"/>
          <w:szCs w:val="32"/>
        </w:rPr>
        <w:t>“滨朝聚爱—重获新声”项目，利用滨江区慈善会捐赠资金50万元，免费为困难家庭的听力障碍患者配备助听器，受益103人。建成连心桥3座，拨付资金47万元，为群众解决出行难、过河难等问题。开展“博爱助学”活动，发放助学金10万元，受益贫困学生55人。开展“情暖童心”六一慰问活动，发放慰问物资7万。改善“朝天区特殊教育学校”学生宿舍，添置床、衣柜、床上用品等设施设备价值7.5万元。为李家镇新建村建文化活动室一处，投入资金15万元。东西部协作社会帮扶资金打造了一批“民生工程、暖心工程”切实助力乡村振兴。</w:t>
      </w:r>
    </w:p>
    <w:p>
      <w:pPr>
        <w:pStyle w:val="14"/>
        <w:shd w:val="clear" w:color="auto" w:fill="FFFFFF"/>
        <w:spacing w:before="0" w:beforeAutospacing="0" w:after="0" w:afterAutospacing="0" w:line="560" w:lineRule="exact"/>
        <w:ind w:firstLine="642"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六是扎实做好乡村振兴帮扶工作。</w:t>
      </w:r>
      <w:r>
        <w:rPr>
          <w:rFonts w:hint="eastAsia" w:ascii="仿宋_GB2312" w:hAnsi="仿宋_GB2312" w:eastAsia="仿宋_GB2312" w:cs="仿宋_GB2312"/>
          <w:color w:val="000000"/>
          <w:kern w:val="2"/>
          <w:sz w:val="32"/>
          <w:szCs w:val="32"/>
        </w:rPr>
        <w:t>按照巩固脱贫攻坚成果有效衔接乡村振兴工作要求，经常性入户了解脱贫户和监测户生活生产情况，在帮扶村慰问因学、因病等致困群体36户，慰问物质价值近2万元；以“以购代扶”等形式，助农增收。协调相关部门解决了村道硬化5公里，改善村居环境，助力产业发展。</w:t>
      </w:r>
    </w:p>
    <w:p>
      <w:pPr>
        <w:pStyle w:val="14"/>
        <w:shd w:val="clear" w:color="auto" w:fill="FFFFFF"/>
        <w:spacing w:before="0" w:beforeAutospacing="0" w:after="0" w:afterAutospacing="0" w:line="560" w:lineRule="exact"/>
        <w:ind w:firstLine="642"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七是统筹做好其他工作。</w:t>
      </w:r>
      <w:r>
        <w:rPr>
          <w:rFonts w:hint="eastAsia" w:ascii="仿宋_GB2312" w:hAnsi="仿宋_GB2312" w:eastAsia="仿宋_GB2312" w:cs="仿宋_GB2312"/>
          <w:color w:val="000000"/>
          <w:kern w:val="2"/>
          <w:sz w:val="32"/>
          <w:szCs w:val="32"/>
        </w:rPr>
        <w:t>统筹推进群团、妇幼工青、普法、社会治理、垃圾分类、城市文明建设、统战等工作，认真办理区委政府交办的其他任务。</w:t>
      </w:r>
    </w:p>
    <w:p>
      <w:pPr>
        <w:widowControl/>
        <w:adjustRightInd w:val="0"/>
        <w:snapToGrid w:val="0"/>
        <w:spacing w:line="560" w:lineRule="exact"/>
        <w:ind w:firstLine="481" w:firstLineChars="150"/>
        <w:contextualSpacing/>
        <w:jc w:val="left"/>
        <w:outlineLvl w:val="2"/>
        <w:rPr>
          <w:rFonts w:ascii="楷体_GB2312" w:hAnsi="楷体_GB2312" w:eastAsia="楷体_GB2312" w:cs="楷体_GB2312"/>
          <w:b/>
          <w:bCs/>
          <w:kern w:val="0"/>
          <w:sz w:val="32"/>
          <w:szCs w:val="32"/>
          <w:shd w:val="clear" w:color="auto" w:fill="FFFFFF"/>
          <w:lang w:val="zh-CN"/>
        </w:rPr>
      </w:pPr>
      <w:bookmarkStart w:id="89" w:name="_Toc1886"/>
      <w:r>
        <w:rPr>
          <w:rFonts w:hint="eastAsia" w:ascii="楷体_GB2312" w:hAnsi="楷体_GB2312" w:eastAsia="楷体_GB2312" w:cs="楷体_GB2312"/>
          <w:b/>
          <w:bCs/>
          <w:kern w:val="0"/>
          <w:sz w:val="32"/>
          <w:szCs w:val="32"/>
          <w:shd w:val="clear" w:color="auto" w:fill="FFFFFF"/>
          <w:lang w:val="zh-CN"/>
        </w:rPr>
        <w:t>（四）部门整体支出绩效目标。</w:t>
      </w:r>
      <w:bookmarkEnd w:id="89"/>
    </w:p>
    <w:p>
      <w:pPr>
        <w:pStyle w:val="2"/>
        <w:spacing w:before="94"/>
        <w:rPr>
          <w:lang w:val="zh-CN"/>
        </w:rPr>
      </w:pPr>
      <w:r>
        <w:rPr>
          <w:rFonts w:hint="eastAsia"/>
          <w:sz w:val="32"/>
          <w:szCs w:val="32"/>
          <w:lang w:val="zh-CN"/>
        </w:rPr>
        <w:t xml:space="preserve">    </w:t>
      </w:r>
      <w:r>
        <w:rPr>
          <w:rFonts w:hint="eastAsia"/>
          <w:sz w:val="32"/>
          <w:szCs w:val="32"/>
        </w:rPr>
        <w:t>朝天区红十字会是从事人道主义工作的社会救助团体，是政府在人道领域工作的助手。其主要职责是备灾救灾、卫生救护、人道援助、红十字宣传和筹资、红十字青少年、国际合作及台港澳事务，工作目标是改善最易受损害群体境况。根据据上级红会要求和自身职责，广泛宣传无偿献血及干细胞捐献知识，普及地震基本知识和防震避震、自救互救知识，开展各种社会募捐活动，开展伤残人员</w:t>
      </w:r>
      <w:r>
        <w:rPr>
          <w:rFonts w:hint="eastAsia"/>
        </w:rPr>
        <w:t>居家托养救助，进行天使嫣然基金、阳光基金等项目的实施以及博爱家园项目的实施。</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90" w:name="_Toc5225"/>
      <w:r>
        <w:rPr>
          <w:rFonts w:hint="eastAsia" w:ascii="黑体" w:hAnsi="宋体" w:eastAsia="黑体" w:cs="宋体"/>
          <w:kern w:val="0"/>
          <w:sz w:val="32"/>
          <w:szCs w:val="32"/>
          <w:shd w:val="clear" w:color="auto" w:fill="FFFFFF"/>
        </w:rPr>
        <w:t>二、部门资金收支情况</w:t>
      </w:r>
      <w:bookmarkEnd w:id="90"/>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91" w:name="_Toc10431"/>
      <w:r>
        <w:rPr>
          <w:rFonts w:hint="eastAsia" w:ascii="楷体_GB2312" w:hAnsi="楷体_GB2312" w:eastAsia="楷体_GB2312" w:cs="楷体_GB2312"/>
          <w:b/>
          <w:bCs/>
          <w:kern w:val="0"/>
          <w:sz w:val="32"/>
          <w:szCs w:val="32"/>
          <w:shd w:val="clear" w:color="auto" w:fill="FFFFFF"/>
          <w:lang w:val="zh-CN"/>
        </w:rPr>
        <w:t>（一）部门总体收支情况。</w:t>
      </w:r>
      <w:bookmarkEnd w:id="91"/>
    </w:p>
    <w:p>
      <w:pPr>
        <w:widowControl/>
        <w:autoSpaceDE w:val="0"/>
        <w:adjustRightInd w:val="0"/>
        <w:snapToGrid w:val="0"/>
        <w:spacing w:line="576"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widowControl/>
        <w:autoSpaceDE w:val="0"/>
        <w:adjustRightInd w:val="0"/>
        <w:snapToGrid w:val="0"/>
        <w:spacing w:line="576" w:lineRule="exact"/>
        <w:ind w:firstLine="640" w:firstLineChars="200"/>
        <w:contextualSpacing/>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2022年收入总计148.98万元（本年一般公共预算财政拨款收入138.36万元，年初结转10.62万元）。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pStyle w:val="2"/>
        <w:spacing w:before="94"/>
        <w:rPr>
          <w:sz w:val="32"/>
          <w:szCs w:val="32"/>
        </w:rPr>
      </w:pPr>
      <w:r>
        <w:rPr>
          <w:rFonts w:hint="eastAsia"/>
          <w:sz w:val="32"/>
          <w:szCs w:val="32"/>
        </w:rPr>
        <w:t>　　2022年支出总计148.98万元，其中：基本支出106.7万元，项目支出42.28万元。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pStyle w:val="2"/>
        <w:spacing w:before="94"/>
        <w:rPr>
          <w:sz w:val="32"/>
          <w:szCs w:val="32"/>
        </w:rPr>
      </w:pPr>
      <w:r>
        <w:rPr>
          <w:rFonts w:hint="eastAsia"/>
          <w:sz w:val="32"/>
          <w:szCs w:val="32"/>
        </w:rPr>
        <w:t>　　2022年年初结转10.62万元，年末无结转收入。</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92" w:name="_Toc2443"/>
      <w:r>
        <w:rPr>
          <w:rFonts w:hint="eastAsia" w:ascii="楷体_GB2312" w:hAnsi="楷体_GB2312" w:eastAsia="楷体_GB2312" w:cs="楷体_GB2312"/>
          <w:b/>
          <w:bCs/>
          <w:kern w:val="0"/>
          <w:sz w:val="32"/>
          <w:szCs w:val="32"/>
          <w:shd w:val="clear" w:color="auto" w:fill="FFFFFF"/>
          <w:lang w:val="zh-CN"/>
        </w:rPr>
        <w:t>（二）部门财政拨款收支情况。</w:t>
      </w:r>
      <w:bookmarkEnd w:id="92"/>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pStyle w:val="2"/>
        <w:spacing w:before="94"/>
        <w:rPr>
          <w:sz w:val="32"/>
          <w:szCs w:val="32"/>
        </w:rPr>
      </w:pPr>
      <w:r>
        <w:rPr>
          <w:rFonts w:hint="eastAsia"/>
          <w:sz w:val="32"/>
          <w:szCs w:val="32"/>
        </w:rPr>
        <w:t>　　2022年一般公共预算财政拨款收入138.36万元，年初结转10.62万元，收入总计148.98万元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pStyle w:val="2"/>
        <w:spacing w:before="94"/>
        <w:rPr>
          <w:sz w:val="32"/>
          <w:szCs w:val="32"/>
        </w:rPr>
      </w:pPr>
      <w:r>
        <w:rPr>
          <w:rFonts w:hint="eastAsia"/>
          <w:sz w:val="32"/>
          <w:szCs w:val="32"/>
        </w:rPr>
        <w:t>　　2022年支出总计148.98万元，其中：基本支出106.7万元，项目支出42.28万元。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pStyle w:val="2"/>
        <w:spacing w:before="94"/>
        <w:rPr>
          <w:sz w:val="32"/>
          <w:szCs w:val="32"/>
        </w:rPr>
      </w:pPr>
      <w:r>
        <w:rPr>
          <w:rFonts w:hint="eastAsia"/>
          <w:sz w:val="32"/>
          <w:szCs w:val="32"/>
        </w:rPr>
        <w:t>　　2022年年初结转10.62万元，年末无结转收入。</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93" w:name="_Toc23854"/>
      <w:r>
        <w:rPr>
          <w:rFonts w:hint="eastAsia" w:ascii="黑体" w:hAnsi="宋体" w:eastAsia="黑体" w:cs="宋体"/>
          <w:kern w:val="0"/>
          <w:sz w:val="32"/>
          <w:szCs w:val="32"/>
          <w:shd w:val="clear" w:color="auto" w:fill="FFFFFF"/>
        </w:rPr>
        <w:t>三、部门整体绩效分析</w:t>
      </w:r>
      <w:bookmarkEnd w:id="93"/>
    </w:p>
    <w:p>
      <w:pPr>
        <w:widowControl/>
        <w:adjustRightInd w:val="0"/>
        <w:snapToGrid w:val="0"/>
        <w:spacing w:line="560" w:lineRule="exact"/>
        <w:ind w:firstLine="642" w:firstLineChars="200"/>
        <w:contextualSpacing/>
        <w:jc w:val="left"/>
        <w:outlineLvl w:val="2"/>
        <w:rPr>
          <w:rFonts w:ascii="仿宋_GB2312" w:hAnsi="仿宋_GB2312" w:eastAsia="仿宋_GB2312" w:cs="仿宋_GB2312"/>
          <w:kern w:val="0"/>
          <w:sz w:val="32"/>
          <w:szCs w:val="32"/>
          <w:shd w:val="clear" w:color="auto" w:fill="FFFFFF"/>
          <w:lang w:val="zh-CN"/>
        </w:rPr>
      </w:pPr>
      <w:bookmarkStart w:id="94" w:name="_Toc20956"/>
      <w:r>
        <w:rPr>
          <w:rFonts w:hint="eastAsia" w:ascii="楷体_GB2312" w:hAnsi="楷体_GB2312" w:eastAsia="楷体_GB2312" w:cs="楷体_GB2312"/>
          <w:b/>
          <w:bCs/>
          <w:kern w:val="0"/>
          <w:sz w:val="32"/>
          <w:szCs w:val="32"/>
          <w:shd w:val="clear" w:color="auto" w:fill="FFFFFF"/>
          <w:lang w:val="zh-CN"/>
        </w:rPr>
        <w:t>（一）部门预算项目绩效分析。</w:t>
      </w:r>
      <w:bookmarkEnd w:id="94"/>
    </w:p>
    <w:p>
      <w:pPr>
        <w:widowControl/>
        <w:adjustRightInd w:val="0"/>
        <w:snapToGrid w:val="0"/>
        <w:spacing w:line="560" w:lineRule="exact"/>
        <w:ind w:firstLine="642" w:firstLineChars="200"/>
        <w:contextualSpacing/>
        <w:jc w:val="left"/>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人员类经费主要用于</w:t>
      </w:r>
      <w:r>
        <w:rPr>
          <w:rFonts w:hint="eastAsia" w:ascii="仿宋_GB2312" w:hAnsi="仿宋_GB2312" w:eastAsia="仿宋_GB2312" w:cs="仿宋_GB2312"/>
          <w:color w:val="000000" w:themeColor="text1"/>
          <w:kern w:val="0"/>
          <w:sz w:val="32"/>
          <w:szCs w:val="32"/>
          <w:shd w:val="clear" w:color="auto" w:fill="FFFFFF"/>
        </w:rPr>
        <w:t>工资福利支出、社会保障缴费及住房公积金、独生子女奖励金、公务员交通补贴等支出，</w:t>
      </w:r>
      <w:r>
        <w:rPr>
          <w:rFonts w:hint="eastAsia" w:ascii="仿宋_GB2312" w:hAnsi="仿宋_GB2312" w:eastAsia="仿宋_GB2312" w:cs="仿宋_GB2312"/>
          <w:bCs/>
          <w:sz w:val="32"/>
          <w:szCs w:val="32"/>
        </w:rPr>
        <w:t>人员类经费支出绩效目标按时序进行，2022年按时完成各项绩效目标，无资金结余和低效无效及违规记录等情况。</w:t>
      </w:r>
    </w:p>
    <w:p>
      <w:pPr>
        <w:widowControl/>
        <w:adjustRightInd w:val="0"/>
        <w:snapToGrid w:val="0"/>
        <w:spacing w:line="560" w:lineRule="exact"/>
        <w:ind w:firstLine="642" w:firstLineChars="200"/>
        <w:contextualSpacing/>
        <w:jc w:val="left"/>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公用经费主要用于支付办公费、水电费、邮电费、公务接待费，差旅费等，2022年公用经费都是按照时序和预算目绩效目标进行，各项</w:t>
      </w:r>
      <w:r>
        <w:rPr>
          <w:rFonts w:hint="eastAsia" w:ascii="仿宋_GB2312" w:hAnsi="仿宋_GB2312" w:eastAsia="仿宋_GB2312" w:cs="仿宋_GB2312"/>
          <w:bCs/>
          <w:sz w:val="32"/>
          <w:szCs w:val="32"/>
        </w:rPr>
        <w:t>绩效目标均按期完成，无资金结余和低效无效及违规记录等情况。</w:t>
      </w:r>
    </w:p>
    <w:p>
      <w:pPr>
        <w:widowControl/>
        <w:adjustRightInd w:val="0"/>
        <w:snapToGrid w:val="0"/>
        <w:spacing w:line="560" w:lineRule="exact"/>
        <w:ind w:firstLine="642" w:firstLineChars="200"/>
        <w:contextualSpacing/>
        <w:jc w:val="left"/>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3.部门项目绩效分析</w:t>
      </w:r>
    </w:p>
    <w:p>
      <w:pPr>
        <w:pStyle w:val="2"/>
        <w:spacing w:beforeLines="0"/>
        <w:ind w:firstLine="480" w:firstLineChars="150"/>
        <w:rPr>
          <w:rFonts w:hAnsi="仿宋_GB2312" w:cs="仿宋_GB2312"/>
          <w:bCs/>
          <w:sz w:val="32"/>
          <w:szCs w:val="32"/>
        </w:rPr>
      </w:pPr>
      <w:r>
        <w:rPr>
          <w:rFonts w:hint="eastAsia" w:hAnsi="仿宋_GB2312" w:cs="仿宋_GB2312"/>
          <w:sz w:val="32"/>
          <w:szCs w:val="32"/>
        </w:rPr>
        <w:t>部门项目经费主要是公益性初级卫生救护培训、东西部协作工作经费、5.8博爱周宣传活动工作经费、单位办公用房租赁费。</w:t>
      </w:r>
      <w:r>
        <w:rPr>
          <w:rFonts w:hint="eastAsia" w:cs="仿宋_GB2312"/>
          <w:bCs/>
          <w:sz w:val="32"/>
          <w:szCs w:val="32"/>
        </w:rPr>
        <w:t>一是公益性初级卫生救护培训项目，年度目标是通过开展救护培训，不断提高卫生救护知识普及率，增强面对各种突发意外事件的自救互救能力，保护意外事件受伤人员的生命和健康，做大限度减少伤残和死亡，提升全区人民群众的自救互救意识，减少意外伤害降低死亡率。该项目绩效目标完成情况良好，全年总体绩效目标在12月初顺利完成。二是5.8博爱周及各类宣传活动项目，年度目标是通过开展应急救护、防灾避险和卫生健康知识、三献等宣传活动，大力弘扬“人道、博爱、奉献”红十字精神，不断提高红十字的影响力和公信力。实现程度及趋势分析:该项目通过5.8博爱周、无偿献血、骨髓捐献日等开展专题宣传活动，还采取卫生救护培训时发放宣传资料，现场讲解的方式进行宣传。目前，该项工作都在如期开展，全年总体目标绩效目标能顺利完成。三是东西部协作工作经费项目，年度目标是按照朝天东西部协作办公室要求，主要做好相关捐赠项目的实施和监督，负责做好捐赠资金的划拨，档案规整、审计、东西部协作社会帮扶捐赠的交流接待等工作。该项目都是按照东西部协作工作的统筹安排，有序在开展，按照要求完成资料的归档等相关工作。四是单位办公用房租赁费，朝天区红十字会于2008年由区卫生局调整为区政府领导直接联系的依法独立从事人道主义工作的社会团体，是参照公务员法管理的一级预算单位，单位现有工作人员7名，于</w:t>
      </w:r>
      <w:r>
        <w:rPr>
          <w:rFonts w:hint="eastAsia" w:hAnsi="仿宋_GB2312" w:cs="仿宋_GB2312"/>
          <w:bCs/>
          <w:sz w:val="32"/>
          <w:szCs w:val="32"/>
        </w:rPr>
        <w:t>2017年8月从原老公安局搬迁到军师街56号办公，现有办公用房面积81.7平方米，现按要求，缴纳2017年8月1日至2022年5月24日的办公用房租赁费。该项目在7月底就按时完成了各项绩效目表。</w:t>
      </w:r>
    </w:p>
    <w:p>
      <w:pPr>
        <w:pStyle w:val="2"/>
        <w:spacing w:beforeLines="0"/>
        <w:ind w:firstLine="480" w:firstLineChars="150"/>
        <w:rPr>
          <w:rFonts w:hAnsi="仿宋_GB2312" w:cs="仿宋_GB2312"/>
          <w:sz w:val="32"/>
          <w:szCs w:val="32"/>
        </w:rPr>
      </w:pPr>
      <w:r>
        <w:rPr>
          <w:rFonts w:hint="eastAsia" w:hAnsi="仿宋_GB2312" w:cs="仿宋_GB2312"/>
          <w:sz w:val="32"/>
          <w:szCs w:val="32"/>
        </w:rPr>
        <w:t>总之以上项目各项</w:t>
      </w:r>
      <w:r>
        <w:rPr>
          <w:rFonts w:hint="eastAsia" w:hAnsi="仿宋_GB2312" w:cs="仿宋_GB2312"/>
          <w:bCs/>
          <w:sz w:val="32"/>
          <w:szCs w:val="32"/>
        </w:rPr>
        <w:t>绩效目标均按期完成，无资金结余和低效无效及违规记录等情况。</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95" w:name="_Toc28672"/>
      <w:r>
        <w:rPr>
          <w:rFonts w:hint="eastAsia" w:ascii="楷体_GB2312" w:hAnsi="楷体_GB2312" w:eastAsia="楷体_GB2312" w:cs="楷体_GB2312"/>
          <w:b/>
          <w:bCs/>
          <w:kern w:val="0"/>
          <w:sz w:val="32"/>
          <w:szCs w:val="32"/>
          <w:shd w:val="clear" w:color="auto" w:fill="FFFFFF"/>
          <w:lang w:val="zh-CN"/>
        </w:rPr>
        <w:t>（二）部门整体履职绩效分析。</w:t>
      </w:r>
      <w:bookmarkEnd w:id="95"/>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按照《广元市朝天区财政局关于开展2023年部门、政策和项目支出绩效自评工作的通知》（广朝财发〔2023〕19号）文件要求，我单位认真组织开展了2022年度部门整体支出绩效自评工作，形成了部门整体绩效评价自评报告。</w:t>
      </w:r>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2022年加强财务收支控制，按照财务预算或财务收支计划，对单位的财务收入活动和财务支出活动进行控制。基本实现财务收支的平衡。</w:t>
      </w:r>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2022年按工作开展情况及时规范支付资金，预算资金的基本支出和项目支出，都严格按照流程，规范进行使用，无资金结余，无低效无效率和违规记录。同时按照国家统一的行政事业单位政府会计制度及时处理账务，建立会计账册，进行会计核算。</w:t>
      </w:r>
    </w:p>
    <w:p>
      <w:pPr>
        <w:pBdr>
          <w:bottom w:val="single" w:color="FFFFFF" w:sz="4" w:space="15"/>
        </w:pBdr>
        <w:tabs>
          <w:tab w:val="left" w:pos="1440"/>
        </w:tabs>
        <w:autoSpaceDE w:val="0"/>
        <w:autoSpaceDN w:val="0"/>
        <w:adjustRightInd w:val="0"/>
        <w:spacing w:line="540" w:lineRule="exact"/>
        <w:ind w:firstLine="642" w:firstLineChars="200"/>
        <w:contextualSpacing/>
        <w:outlineLvl w:val="2"/>
        <w:rPr>
          <w:rFonts w:ascii="楷体_GB2312" w:hAnsi="楷体_GB2312" w:eastAsia="楷体_GB2312" w:cs="楷体_GB2312"/>
          <w:b/>
          <w:bCs/>
          <w:kern w:val="0"/>
          <w:sz w:val="32"/>
          <w:szCs w:val="32"/>
          <w:shd w:val="clear" w:color="auto" w:fill="FFFFFF"/>
          <w:lang w:val="zh-CN"/>
        </w:rPr>
      </w:pPr>
      <w:bookmarkStart w:id="96" w:name="_Toc59"/>
      <w:r>
        <w:rPr>
          <w:rFonts w:hint="eastAsia" w:ascii="楷体_GB2312" w:hAnsi="楷体_GB2312" w:eastAsia="楷体_GB2312" w:cs="楷体_GB2312"/>
          <w:b/>
          <w:bCs/>
          <w:kern w:val="0"/>
          <w:sz w:val="32"/>
          <w:szCs w:val="32"/>
          <w:shd w:val="clear" w:color="auto" w:fill="FFFFFF"/>
          <w:lang w:val="zh-CN"/>
        </w:rPr>
        <w:t>（三）结果应用情况。</w:t>
      </w:r>
      <w:bookmarkEnd w:id="96"/>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预算完成各项支出，主要用于完成特定的行政工作任务和事业发展目标，用于专项业务工作的经费支出。在资金的使用过程中，我们严格按照相关财经法规、财务管理制度以及红十字会内部管理制度，严格按照区财政资金管理办法建帐，审核支出，开支范围和票据合法合规，确保资金合规使用。</w:t>
      </w:r>
    </w:p>
    <w:p>
      <w:pPr>
        <w:widowControl/>
        <w:numPr>
          <w:ilvl w:val="0"/>
          <w:numId w:val="5"/>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97" w:name="_Toc12806"/>
      <w:r>
        <w:rPr>
          <w:rFonts w:hint="eastAsia" w:ascii="楷体_GB2312" w:hAnsi="楷体_GB2312" w:eastAsia="楷体_GB2312" w:cs="楷体_GB2312"/>
          <w:b/>
          <w:bCs/>
          <w:kern w:val="0"/>
          <w:sz w:val="32"/>
          <w:szCs w:val="32"/>
          <w:shd w:val="clear" w:color="auto" w:fill="FFFFFF"/>
          <w:lang w:val="zh-CN"/>
        </w:rPr>
        <w:t>自评质量。</w:t>
      </w:r>
      <w:bookmarkEnd w:id="97"/>
    </w:p>
    <w:p>
      <w:pPr>
        <w:pStyle w:val="2"/>
        <w:spacing w:beforeLines="0"/>
        <w:ind w:firstLine="640" w:firstLineChars="200"/>
        <w:rPr>
          <w:sz w:val="32"/>
          <w:szCs w:val="32"/>
          <w:lang w:val="zh-CN"/>
        </w:rPr>
      </w:pPr>
      <w:r>
        <w:rPr>
          <w:rFonts w:hint="eastAsia" w:hAnsi="仿宋_GB2312" w:cs="仿宋_GB2312"/>
          <w:color w:val="000000" w:themeColor="text1"/>
          <w:sz w:val="32"/>
          <w:szCs w:val="32"/>
          <w:shd w:val="clear" w:color="auto" w:fill="FFFFFF"/>
        </w:rPr>
        <w:t>单位整体支出的自评，各项支出规范、合理。</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98" w:name="_Toc19930"/>
      <w:r>
        <w:rPr>
          <w:rFonts w:hint="eastAsia" w:ascii="黑体" w:hAnsi="宋体" w:eastAsia="黑体" w:cs="宋体"/>
          <w:kern w:val="0"/>
          <w:sz w:val="32"/>
          <w:szCs w:val="32"/>
          <w:shd w:val="clear" w:color="auto" w:fill="FFFFFF"/>
        </w:rPr>
        <w:t>四、评价结论及建议</w:t>
      </w:r>
      <w:bookmarkEnd w:id="98"/>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99" w:name="_Toc7344"/>
      <w:r>
        <w:rPr>
          <w:rFonts w:hint="eastAsia" w:ascii="楷体_GB2312" w:hAnsi="楷体_GB2312" w:eastAsia="楷体_GB2312" w:cs="楷体_GB2312"/>
          <w:b/>
          <w:bCs/>
          <w:kern w:val="0"/>
          <w:sz w:val="32"/>
          <w:szCs w:val="32"/>
          <w:shd w:val="clear" w:color="auto" w:fill="FFFFFF"/>
          <w:lang w:val="zh-CN"/>
        </w:rPr>
        <w:t>（一）评价结论。</w:t>
      </w:r>
      <w:bookmarkEnd w:id="99"/>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区红十字会主要是围绕区委区政府的中心工作大局，充分发挥在人道工作领域的助手作用，以开展救灾、救助、救护工作为主线，弘扬“人道、博爱、奉献”的红十字精神，全面完成市、区下达的目标任务。通过对单位整体自评评分，评价结果96分。</w:t>
      </w:r>
    </w:p>
    <w:p>
      <w:pPr>
        <w:pBdr>
          <w:bottom w:val="single" w:color="FFFFFF" w:sz="4" w:space="15"/>
        </w:pBdr>
        <w:tabs>
          <w:tab w:val="left" w:pos="1440"/>
        </w:tabs>
        <w:autoSpaceDE w:val="0"/>
        <w:autoSpaceDN w:val="0"/>
        <w:adjustRightInd w:val="0"/>
        <w:spacing w:line="540" w:lineRule="exact"/>
        <w:ind w:firstLine="642" w:firstLineChars="200"/>
        <w:contextualSpacing/>
        <w:outlineLvl w:val="2"/>
        <w:rPr>
          <w:rFonts w:ascii="楷体_GB2312" w:hAnsi="楷体_GB2312" w:eastAsia="楷体_GB2312" w:cs="楷体_GB2312"/>
          <w:b/>
          <w:bCs/>
          <w:color w:val="000000" w:themeColor="text1"/>
          <w:kern w:val="0"/>
          <w:sz w:val="32"/>
          <w:szCs w:val="32"/>
          <w:shd w:val="clear" w:color="auto" w:fill="FFFFFF"/>
        </w:rPr>
      </w:pPr>
      <w:bookmarkStart w:id="100" w:name="_Toc26473"/>
      <w:r>
        <w:rPr>
          <w:rFonts w:hint="eastAsia" w:ascii="楷体_GB2312" w:hAnsi="楷体_GB2312" w:eastAsia="楷体_GB2312" w:cs="楷体_GB2312"/>
          <w:b/>
          <w:bCs/>
          <w:color w:val="000000" w:themeColor="text1"/>
          <w:sz w:val="32"/>
          <w:szCs w:val="32"/>
        </w:rPr>
        <w:t>（二）</w:t>
      </w:r>
      <w:r>
        <w:rPr>
          <w:rFonts w:hint="eastAsia" w:ascii="楷体_GB2312" w:hAnsi="楷体_GB2312" w:eastAsia="楷体_GB2312" w:cs="楷体_GB2312"/>
          <w:b/>
          <w:bCs/>
          <w:color w:val="000000" w:themeColor="text1"/>
          <w:kern w:val="0"/>
          <w:sz w:val="32"/>
          <w:szCs w:val="32"/>
          <w:shd w:val="clear" w:color="auto" w:fill="FFFFFF"/>
        </w:rPr>
        <w:t>存在问题。</w:t>
      </w:r>
      <w:bookmarkEnd w:id="100"/>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红十字会坚持“抓重点、干实事、见效果”，以“人道、博爱、奉献”为主题，持续开展救灾、帮困和送温暖活动，充分发挥政府在人道领域的助手作用，各项工作取得了突破性进展，但也在一定程度上存在着一些急待解决的问题，制约着红十字会的发展。</w:t>
      </w:r>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一是红十字工作面广、量大，自身能力建设力度仍需进一步加大。</w:t>
      </w:r>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二是救护培训工作发展不平衡，资金还有所欠缺。</w:t>
      </w:r>
    </w:p>
    <w:p>
      <w:pPr>
        <w:pBdr>
          <w:bottom w:val="single" w:color="FFFFFF" w:sz="4" w:space="15"/>
        </w:pBdr>
        <w:tabs>
          <w:tab w:val="left" w:pos="1440"/>
        </w:tabs>
        <w:autoSpaceDE w:val="0"/>
        <w:autoSpaceDN w:val="0"/>
        <w:adjustRightInd w:val="0"/>
        <w:spacing w:line="540" w:lineRule="exact"/>
        <w:ind w:firstLine="642" w:firstLineChars="200"/>
        <w:contextualSpacing/>
        <w:outlineLvl w:val="2"/>
        <w:rPr>
          <w:rFonts w:ascii="楷体_GB2312" w:hAnsi="楷体_GB2312" w:eastAsia="楷体_GB2312" w:cs="楷体_GB2312"/>
          <w:b/>
          <w:bCs/>
          <w:color w:val="000000" w:themeColor="text1"/>
          <w:kern w:val="0"/>
          <w:sz w:val="32"/>
          <w:szCs w:val="32"/>
          <w:shd w:val="clear" w:color="auto" w:fill="FFFFFF"/>
        </w:rPr>
      </w:pPr>
      <w:bookmarkStart w:id="101" w:name="_Toc18175"/>
      <w:r>
        <w:rPr>
          <w:rFonts w:hint="eastAsia" w:ascii="楷体_GB2312" w:hAnsi="楷体_GB2312" w:eastAsia="楷体_GB2312" w:cs="楷体_GB2312"/>
          <w:b/>
          <w:bCs/>
          <w:color w:val="000000" w:themeColor="text1"/>
          <w:kern w:val="0"/>
          <w:sz w:val="32"/>
          <w:szCs w:val="32"/>
          <w:shd w:val="clear" w:color="auto" w:fill="FFFFFF"/>
        </w:rPr>
        <w:t>（三）改进建议。</w:t>
      </w:r>
      <w:bookmarkEnd w:id="101"/>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一是我们将进一步完善资金的预算申报及使用管理办法，增强资金预算编制的科学性，使预算能够与实际工作任务相符，努力推动朝天红十字事业又好又快的发展。</w:t>
      </w:r>
    </w:p>
    <w:p>
      <w:pPr>
        <w:pBdr>
          <w:bottom w:val="single" w:color="FFFFFF" w:sz="4" w:space="15"/>
        </w:pBdr>
        <w:tabs>
          <w:tab w:val="left" w:pos="1440"/>
        </w:tabs>
        <w:autoSpaceDE w:val="0"/>
        <w:autoSpaceDN w:val="0"/>
        <w:adjustRightInd w:val="0"/>
        <w:spacing w:line="540" w:lineRule="exact"/>
        <w:ind w:firstLine="640" w:firstLineChars="200"/>
        <w:contextualSpacing/>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二是建议财政进一步加大对红十字事业经费的投入，以满足实际工作的需要。</w:t>
      </w:r>
    </w:p>
    <w:p>
      <w:pPr>
        <w:pStyle w:val="15"/>
        <w:spacing w:line="560" w:lineRule="exact"/>
        <w:ind w:left="0" w:leftChars="0" w:firstLine="480" w:firstLineChars="150"/>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w:t>
      </w:r>
    </w:p>
    <w:p>
      <w:pPr>
        <w:widowControl/>
        <w:spacing w:line="580" w:lineRule="exact"/>
        <w:contextualSpacing/>
        <w:jc w:val="center"/>
        <w:rPr>
          <w:rFonts w:ascii="方正小标宋简体" w:hAnsi="方正小标宋简体" w:eastAsia="方正小标宋简体" w:cs="方正小标宋简体"/>
          <w:bCs/>
          <w:color w:val="000000" w:themeColor="text1"/>
          <w:sz w:val="44"/>
          <w:szCs w:val="44"/>
          <w:shd w:val="clear" w:color="auto" w:fill="FFFFFF"/>
        </w:rPr>
        <w:sectPr>
          <w:footerReference r:id="rId3" w:type="default"/>
          <w:pgSz w:w="11906" w:h="16838"/>
          <w:pgMar w:top="2098" w:right="1474" w:bottom="1984" w:left="1587" w:header="851" w:footer="1474" w:gutter="0"/>
          <w:pgNumType w:start="1"/>
          <w:cols w:space="0" w:num="1"/>
          <w:docGrid w:type="lines" w:linePitch="315" w:charSpace="0"/>
        </w:sectPr>
      </w:pPr>
    </w:p>
    <w:p>
      <w:pPr>
        <w:spacing w:line="576"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p>
      <w:pPr>
        <w:pStyle w:val="2"/>
        <w:spacing w:beforeLines="0" w:line="240" w:lineRule="exact"/>
      </w:pPr>
    </w:p>
    <w:tbl>
      <w:tblPr>
        <w:tblStyle w:val="16"/>
        <w:tblW w:w="5250" w:type="pct"/>
        <w:tblInd w:w="-417" w:type="dxa"/>
        <w:tblLayout w:type="fixed"/>
        <w:tblCellMar>
          <w:top w:w="0" w:type="dxa"/>
          <w:left w:w="108" w:type="dxa"/>
          <w:bottom w:w="0" w:type="dxa"/>
          <w:right w:w="108" w:type="dxa"/>
        </w:tblCellMar>
      </w:tblPr>
      <w:tblGrid>
        <w:gridCol w:w="1067"/>
        <w:gridCol w:w="1971"/>
        <w:gridCol w:w="1697"/>
        <w:gridCol w:w="2170"/>
        <w:gridCol w:w="1039"/>
        <w:gridCol w:w="1078"/>
        <w:gridCol w:w="1030"/>
        <w:gridCol w:w="1658"/>
        <w:gridCol w:w="774"/>
        <w:gridCol w:w="878"/>
        <w:gridCol w:w="1521"/>
      </w:tblGrid>
      <w:tr>
        <w:tblPrEx>
          <w:tblCellMar>
            <w:top w:w="0" w:type="dxa"/>
            <w:left w:w="108" w:type="dxa"/>
            <w:bottom w:w="0" w:type="dxa"/>
            <w:right w:w="108" w:type="dxa"/>
          </w:tblCellMar>
        </w:tblPrEx>
        <w:trPr>
          <w:trHeight w:val="285" w:hRule="atLeast"/>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97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51081221R000000033747-独子费</w:t>
            </w:r>
          </w:p>
        </w:tc>
      </w:tr>
      <w:tr>
        <w:tblPrEx>
          <w:tblCellMar>
            <w:top w:w="0" w:type="dxa"/>
            <w:left w:w="108" w:type="dxa"/>
            <w:bottom w:w="0" w:type="dxa"/>
            <w:right w:w="108" w:type="dxa"/>
          </w:tblCellMar>
        </w:tblPrEx>
        <w:trPr>
          <w:trHeight w:val="334" w:hRule="atLeast"/>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35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555"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0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24" w:hRule="atLeast"/>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35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362"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235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392"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97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该项目为人员类项目，主要保障部门内在职人员发放独子费。2022年，该预算项目资金按月支付，及时足额发放，预算执行率100%，年末无资金结余情况。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19"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0.02</w:t>
            </w:r>
          </w:p>
        </w:tc>
        <w:tc>
          <w:tcPr>
            <w:tcW w:w="10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0.02</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54"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0.02</w:t>
            </w:r>
          </w:p>
        </w:tc>
        <w:tc>
          <w:tcPr>
            <w:tcW w:w="10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0.02</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9"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95"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62"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0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93" w:hRule="atLeast"/>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rPr>
            </w:pPr>
            <w:r>
              <w:rPr>
                <w:rFonts w:ascii="宋体" w:hAnsi="宋体" w:cs="宋体"/>
                <w:color w:val="000000"/>
                <w:kern w:val="0"/>
                <w:sz w:val="18"/>
                <w:szCs w:val="18"/>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rPr>
            </w:pPr>
            <w:r>
              <w:rPr>
                <w:rFonts w:ascii="宋体" w:hAnsi="宋体" w:cs="宋体"/>
                <w:color w:val="000000"/>
                <w:kern w:val="0"/>
                <w:sz w:val="18"/>
                <w:szCs w:val="18"/>
              </w:rPr>
              <w:t>经济效益指标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rPr>
            </w:pPr>
            <w:r>
              <w:rPr>
                <w:rFonts w:ascii="宋体" w:hAnsi="宋体" w:cs="宋体"/>
                <w:color w:val="000000"/>
                <w:kern w:val="0"/>
                <w:sz w:val="18"/>
                <w:szCs w:val="18"/>
              </w:rPr>
              <w:t>结余率（计算方法为：结余数/预算数）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93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13"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我会严格按照要求，按时、按标准发放干部的独子费，项目实施达到了预期的经济效益、社会效益，绩效目标完全实现，为我会在下一年工作推进和预算安排上提供了基础。</w:t>
            </w:r>
          </w:p>
        </w:tc>
      </w:tr>
      <w:tr>
        <w:tblPrEx>
          <w:tblCellMar>
            <w:top w:w="0" w:type="dxa"/>
            <w:left w:w="108" w:type="dxa"/>
            <w:bottom w:w="0" w:type="dxa"/>
            <w:right w:w="108" w:type="dxa"/>
          </w:tblCellMar>
        </w:tblPrEx>
        <w:trPr>
          <w:trHeight w:val="254"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26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23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862" w:type="dxa"/>
        <w:jc w:val="center"/>
        <w:tblLayout w:type="autofit"/>
        <w:tblCellMar>
          <w:top w:w="0" w:type="dxa"/>
          <w:left w:w="108" w:type="dxa"/>
          <w:bottom w:w="0" w:type="dxa"/>
          <w:right w:w="108" w:type="dxa"/>
        </w:tblCellMar>
      </w:tblPr>
      <w:tblGrid>
        <w:gridCol w:w="1095"/>
        <w:gridCol w:w="1938"/>
        <w:gridCol w:w="1683"/>
        <w:gridCol w:w="2207"/>
        <w:gridCol w:w="1028"/>
        <w:gridCol w:w="1062"/>
        <w:gridCol w:w="1096"/>
        <w:gridCol w:w="1601"/>
        <w:gridCol w:w="775"/>
        <w:gridCol w:w="877"/>
        <w:gridCol w:w="1500"/>
      </w:tblGrid>
      <w:tr>
        <w:tblPrEx>
          <w:tblCellMar>
            <w:top w:w="0" w:type="dxa"/>
            <w:left w:w="108" w:type="dxa"/>
            <w:bottom w:w="0" w:type="dxa"/>
            <w:right w:w="108" w:type="dxa"/>
          </w:tblCellMar>
        </w:tblPrEx>
        <w:trPr>
          <w:trHeight w:val="285" w:hRule="atLeast"/>
          <w:jc w:val="center"/>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8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51081221R000000033767-目标绩效奖(公务员及参公人员)</w:t>
            </w:r>
          </w:p>
        </w:tc>
      </w:tr>
      <w:tr>
        <w:tblPrEx>
          <w:tblCellMar>
            <w:top w:w="0" w:type="dxa"/>
            <w:left w:w="108" w:type="dxa"/>
            <w:bottom w:w="0" w:type="dxa"/>
            <w:right w:w="108" w:type="dxa"/>
          </w:tblCellMar>
        </w:tblPrEx>
        <w:trPr>
          <w:trHeight w:val="288" w:hRule="atLeast"/>
          <w:jc w:val="center"/>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7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60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7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7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7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69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8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该项目为人员类项目，主要保障部门4名公务员目标绩效奖。2022年，该预算项目资金按月支付，及时足额发放，预算执行率100%，年末无资金结余情况。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02"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12.51</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12.51</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4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12.51</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12.51</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12.51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2"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2"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9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jc w:val="center"/>
        </w:trPr>
        <w:tc>
          <w:tcPr>
            <w:tcW w:w="117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7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我会严格按照要求，按时、按标准发放干部的目标绩效奖，项目实施达到了预期的经济效益、社会效益，绩效目标完全实现，</w:t>
            </w:r>
          </w:p>
        </w:tc>
      </w:tr>
      <w:tr>
        <w:tblPrEx>
          <w:tblCellMar>
            <w:top w:w="0" w:type="dxa"/>
            <w:left w:w="108" w:type="dxa"/>
            <w:bottom w:w="0" w:type="dxa"/>
            <w:right w:w="108" w:type="dxa"/>
          </w:tblCellMar>
        </w:tblPrEx>
        <w:trPr>
          <w:trHeight w:val="9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7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39"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7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72" w:hRule="atLeast"/>
          <w:jc w:val="center"/>
        </w:trPr>
        <w:tc>
          <w:tcPr>
            <w:tcW w:w="79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69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920" w:type="dxa"/>
        <w:jc w:val="center"/>
        <w:tblLayout w:type="autofit"/>
        <w:tblCellMar>
          <w:top w:w="0" w:type="dxa"/>
          <w:left w:w="108" w:type="dxa"/>
          <w:bottom w:w="0" w:type="dxa"/>
          <w:right w:w="108" w:type="dxa"/>
        </w:tblCellMar>
      </w:tblPr>
      <w:tblGrid>
        <w:gridCol w:w="1296"/>
        <w:gridCol w:w="1834"/>
        <w:gridCol w:w="1658"/>
        <w:gridCol w:w="2255"/>
        <w:gridCol w:w="1106"/>
        <w:gridCol w:w="1002"/>
        <w:gridCol w:w="1031"/>
        <w:gridCol w:w="1600"/>
        <w:gridCol w:w="763"/>
        <w:gridCol w:w="882"/>
        <w:gridCol w:w="1493"/>
      </w:tblGrid>
      <w:tr>
        <w:tblPrEx>
          <w:tblCellMar>
            <w:top w:w="0" w:type="dxa"/>
            <w:left w:w="108" w:type="dxa"/>
            <w:bottom w:w="0" w:type="dxa"/>
            <w:right w:w="108" w:type="dxa"/>
          </w:tblCellMar>
        </w:tblPrEx>
        <w:trPr>
          <w:trHeight w:val="285" w:hRule="atLeast"/>
          <w:jc w:val="center"/>
        </w:trPr>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7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51081221R000000051755-其他交通费用（公务用车改革补贴）</w:t>
            </w:r>
          </w:p>
        </w:tc>
      </w:tr>
      <w:tr>
        <w:tblPrEx>
          <w:tblCellMar>
            <w:top w:w="0" w:type="dxa"/>
            <w:left w:w="108" w:type="dxa"/>
            <w:bottom w:w="0" w:type="dxa"/>
            <w:right w:w="108" w:type="dxa"/>
          </w:tblCellMar>
        </w:tblPrEx>
        <w:trPr>
          <w:trHeight w:val="90" w:hRule="atLeast"/>
          <w:jc w:val="center"/>
        </w:trPr>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70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600"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70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7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90"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70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7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已完成</w:t>
            </w:r>
          </w:p>
        </w:tc>
      </w:tr>
      <w:tr>
        <w:tblPrEx>
          <w:tblCellMar>
            <w:top w:w="0" w:type="dxa"/>
            <w:left w:w="108" w:type="dxa"/>
            <w:bottom w:w="0" w:type="dxa"/>
            <w:right w:w="108" w:type="dxa"/>
          </w:tblCellMar>
        </w:tblPrEx>
        <w:trPr>
          <w:trHeight w:val="464"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7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18"/>
                <w:szCs w:val="18"/>
              </w:rPr>
            </w:pPr>
            <w:r>
              <w:rPr>
                <w:rFonts w:ascii="宋体" w:hAnsi="宋体" w:cs="宋体"/>
                <w:color w:val="000000"/>
                <w:kern w:val="0"/>
                <w:sz w:val="18"/>
                <w:szCs w:val="18"/>
              </w:rPr>
              <w:t>该项目为人员类项目，主要保障部门4名公务员、1名行政工人2022年度车补。2022年，该预算项目资金按季度支付，及时足额发放，预算执行率100%，年末无资金结余情况。</w:t>
            </w:r>
          </w:p>
        </w:tc>
      </w:tr>
      <w:tr>
        <w:tblPrEx>
          <w:tblCellMar>
            <w:top w:w="0" w:type="dxa"/>
            <w:left w:w="108" w:type="dxa"/>
            <w:bottom w:w="0" w:type="dxa"/>
            <w:right w:w="108" w:type="dxa"/>
          </w:tblCellMar>
        </w:tblPrEx>
        <w:trPr>
          <w:trHeight w:val="360"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3.95</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3.95</w:t>
            </w:r>
          </w:p>
        </w:tc>
        <w:tc>
          <w:tcPr>
            <w:tcW w:w="3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3.95</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3.95</w:t>
            </w:r>
          </w:p>
        </w:tc>
        <w:tc>
          <w:tcPr>
            <w:tcW w:w="3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3.95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2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54"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按照政策，按时足额发放公务员交通补贴。项目实施达到了预期的经济效益、社会效益，绩效目标完全实现，</w:t>
            </w:r>
          </w:p>
        </w:tc>
      </w:tr>
      <w:tr>
        <w:tblPrEx>
          <w:tblCellMar>
            <w:top w:w="0" w:type="dxa"/>
            <w:left w:w="108" w:type="dxa"/>
            <w:bottom w:w="0" w:type="dxa"/>
            <w:right w:w="108" w:type="dxa"/>
          </w:tblCellMar>
        </w:tblPrEx>
        <w:trPr>
          <w:trHeight w:val="284"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99"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jc w:val="center"/>
        </w:trPr>
        <w:tc>
          <w:tcPr>
            <w:tcW w:w="81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6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5264" w:type="pct"/>
        <w:tblInd w:w="-359" w:type="dxa"/>
        <w:tblLayout w:type="autofit"/>
        <w:tblCellMar>
          <w:top w:w="0" w:type="dxa"/>
          <w:left w:w="108" w:type="dxa"/>
          <w:bottom w:w="0" w:type="dxa"/>
          <w:right w:w="108" w:type="dxa"/>
        </w:tblCellMar>
      </w:tblPr>
      <w:tblGrid>
        <w:gridCol w:w="1474"/>
        <w:gridCol w:w="1662"/>
        <w:gridCol w:w="1042"/>
        <w:gridCol w:w="1985"/>
        <w:gridCol w:w="716"/>
        <w:gridCol w:w="755"/>
        <w:gridCol w:w="1615"/>
        <w:gridCol w:w="836"/>
        <w:gridCol w:w="886"/>
        <w:gridCol w:w="1140"/>
        <w:gridCol w:w="2811"/>
      </w:tblGrid>
      <w:tr>
        <w:tblPrEx>
          <w:tblCellMar>
            <w:top w:w="0" w:type="dxa"/>
            <w:left w:w="108" w:type="dxa"/>
            <w:bottom w:w="0" w:type="dxa"/>
            <w:right w:w="108" w:type="dxa"/>
          </w:tblCellMar>
        </w:tblPrEx>
        <w:trPr>
          <w:trHeight w:val="285" w:hRule="atLeast"/>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394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51081221Y000000052199-金财网维护费</w:t>
            </w:r>
          </w:p>
        </w:tc>
      </w:tr>
      <w:tr>
        <w:tblPrEx>
          <w:tblCellMar>
            <w:top w:w="0" w:type="dxa"/>
            <w:left w:w="108" w:type="dxa"/>
            <w:bottom w:w="0" w:type="dxa"/>
            <w:right w:w="108" w:type="dxa"/>
          </w:tblCellMar>
        </w:tblPrEx>
        <w:trPr>
          <w:trHeight w:val="289" w:hRule="atLeast"/>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15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539" w:type="pct"/>
            <w:tcBorders>
              <w:top w:val="nil"/>
              <w:left w:val="nil"/>
              <w:bottom w:val="nil"/>
              <w:right w:val="nil"/>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9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15"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15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4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306"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5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保障单位日常运转，提高预算编制质量，严格执行预算</w:t>
            </w:r>
          </w:p>
        </w:tc>
        <w:tc>
          <w:tcPr>
            <w:tcW w:w="24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9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394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该项目为特定目标类项目，主要保障部门金财网专线正常运转。2022年，该预算项目资金年中一次性支付，预算执行率100%，年末无资金结余情况。</w:t>
            </w:r>
          </w:p>
        </w:tc>
      </w:tr>
      <w:tr>
        <w:tblPrEx>
          <w:tblCellMar>
            <w:top w:w="0" w:type="dxa"/>
            <w:left w:w="108" w:type="dxa"/>
            <w:bottom w:w="0" w:type="dxa"/>
            <w:right w:w="108" w:type="dxa"/>
          </w:tblCellMar>
        </w:tblPrEx>
        <w:trPr>
          <w:trHeight w:val="23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3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9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3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i/>
                <w:iCs/>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02"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0.24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02"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82"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微软雅黑"/>
                <w:i/>
                <w:iCs/>
                <w:color w:val="000000"/>
                <w:sz w:val="16"/>
                <w:szCs w:val="16"/>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微软雅黑"/>
                <w:i/>
                <w:iCs/>
                <w:color w:val="000000"/>
                <w:sz w:val="16"/>
                <w:szCs w:val="16"/>
              </w:rPr>
            </w:pP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微软雅黑"/>
                <w:i/>
                <w:iCs/>
                <w:color w:val="000000"/>
                <w:sz w:val="16"/>
                <w:szCs w:val="16"/>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微软雅黑" w:hAnsi="微软雅黑" w:eastAsia="微软雅黑" w:cs="微软雅黑"/>
                <w:i/>
                <w:iCs/>
                <w:color w:val="000000"/>
                <w:sz w:val="16"/>
                <w:szCs w:val="16"/>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6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黑体" w:hAnsi="黑体" w:eastAsia="黑体" w:cs="黑体"/>
                <w:color w:val="000000"/>
                <w:kern w:val="0"/>
                <w:sz w:val="18"/>
                <w:szCs w:val="18"/>
              </w:rPr>
              <w:t>预算编制准确率（计算方法为：∣（执行数-预算数）/预算数∣）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3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09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3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r>
      <w:tr>
        <w:tblPrEx>
          <w:tblCellMar>
            <w:top w:w="0" w:type="dxa"/>
            <w:left w:w="108" w:type="dxa"/>
            <w:bottom w:w="0" w:type="dxa"/>
            <w:right w:w="108" w:type="dxa"/>
          </w:tblCellMar>
        </w:tblPrEx>
        <w:trPr>
          <w:trHeight w:val="339"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5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按照要求，缴纳金财网维护费，保障金财网顺利使用。项目实施达到了预期的经济效益、社会效益，绩效目标完全实现。</w:t>
            </w:r>
          </w:p>
        </w:tc>
      </w:tr>
      <w:tr>
        <w:tblPrEx>
          <w:tblCellMar>
            <w:top w:w="0" w:type="dxa"/>
            <w:left w:w="108" w:type="dxa"/>
            <w:bottom w:w="0" w:type="dxa"/>
            <w:right w:w="108" w:type="dxa"/>
          </w:tblCellMar>
        </w:tblPrEx>
        <w:trPr>
          <w:trHeight w:val="26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5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79"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50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23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26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972" w:type="dxa"/>
        <w:tblInd w:w="-374" w:type="dxa"/>
        <w:tblLayout w:type="autofit"/>
        <w:tblCellMar>
          <w:top w:w="0" w:type="dxa"/>
          <w:left w:w="108" w:type="dxa"/>
          <w:bottom w:w="0" w:type="dxa"/>
          <w:right w:w="108" w:type="dxa"/>
        </w:tblCellMar>
      </w:tblPr>
      <w:tblGrid>
        <w:gridCol w:w="1142"/>
        <w:gridCol w:w="403"/>
        <w:gridCol w:w="1905"/>
        <w:gridCol w:w="1080"/>
        <w:gridCol w:w="2070"/>
        <w:gridCol w:w="1138"/>
        <w:gridCol w:w="1142"/>
        <w:gridCol w:w="1057"/>
        <w:gridCol w:w="1643"/>
        <w:gridCol w:w="600"/>
        <w:gridCol w:w="585"/>
        <w:gridCol w:w="2207"/>
      </w:tblGrid>
      <w:tr>
        <w:tblPrEx>
          <w:tblCellMar>
            <w:top w:w="0" w:type="dxa"/>
            <w:left w:w="108" w:type="dxa"/>
            <w:bottom w:w="0" w:type="dxa"/>
            <w:right w:w="108" w:type="dxa"/>
          </w:tblCellMar>
        </w:tblPrEx>
        <w:trPr>
          <w:trHeight w:val="285"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5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51081222R000005136042-工资性支出（行政）</w:t>
            </w:r>
          </w:p>
        </w:tc>
      </w:tr>
      <w:tr>
        <w:tblPrEx>
          <w:tblCellMar>
            <w:top w:w="0" w:type="dxa"/>
            <w:left w:w="108" w:type="dxa"/>
            <w:bottom w:w="0" w:type="dxa"/>
            <w:right w:w="108" w:type="dxa"/>
          </w:tblCellMar>
        </w:tblPrEx>
        <w:trPr>
          <w:trHeight w:val="309"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643"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5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59"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6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5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504"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5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该项目为人员类项目，主要保障部门4名公务员及1名行政工人2022年度工资，包括基本工资、津贴补贴等。2022年，该预算项目资金按月支付，及时足额发放，预算执行率100%，年末无资金结余情况。</w:t>
            </w:r>
          </w:p>
        </w:tc>
      </w:tr>
      <w:tr>
        <w:tblPrEx>
          <w:tblCellMar>
            <w:top w:w="0" w:type="dxa"/>
            <w:left w:w="108" w:type="dxa"/>
            <w:bottom w:w="0" w:type="dxa"/>
            <w:right w:w="108" w:type="dxa"/>
          </w:tblCellMar>
        </w:tblPrEx>
        <w:trPr>
          <w:trHeight w:val="419" w:hRule="atLeast"/>
        </w:trPr>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35.99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35.99</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35.99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35.99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35.99</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35.99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3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8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按照要求，每月按时发放行政人员工资。项目实施达到了预期的经济效益、社会效益，绩效目标完全实现.</w:t>
            </w:r>
          </w:p>
        </w:tc>
      </w:tr>
      <w:tr>
        <w:tblPrEx>
          <w:tblCellMar>
            <w:top w:w="0" w:type="dxa"/>
            <w:left w:w="108" w:type="dxa"/>
            <w:bottom w:w="0" w:type="dxa"/>
            <w:right w:w="108" w:type="dxa"/>
          </w:tblCellMar>
        </w:tblPrEx>
        <w:trPr>
          <w:trHeight w:val="279"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8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64"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8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7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7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5148" w:type="pct"/>
        <w:tblInd w:w="0" w:type="dxa"/>
        <w:tblLayout w:type="fixed"/>
        <w:tblCellMar>
          <w:top w:w="0" w:type="dxa"/>
          <w:left w:w="108" w:type="dxa"/>
          <w:bottom w:w="0" w:type="dxa"/>
          <w:right w:w="108" w:type="dxa"/>
        </w:tblCellMar>
      </w:tblPr>
      <w:tblGrid>
        <w:gridCol w:w="1139"/>
        <w:gridCol w:w="1682"/>
        <w:gridCol w:w="1440"/>
        <w:gridCol w:w="1947"/>
        <w:gridCol w:w="978"/>
        <w:gridCol w:w="914"/>
        <w:gridCol w:w="1004"/>
        <w:gridCol w:w="1874"/>
        <w:gridCol w:w="1065"/>
        <w:gridCol w:w="943"/>
        <w:gridCol w:w="1608"/>
      </w:tblGrid>
      <w:tr>
        <w:tblPrEx>
          <w:tblCellMar>
            <w:top w:w="0" w:type="dxa"/>
            <w:left w:w="108" w:type="dxa"/>
            <w:bottom w:w="0" w:type="dxa"/>
            <w:right w:w="108" w:type="dxa"/>
          </w:tblCellMar>
        </w:tblPrEx>
        <w:trPr>
          <w:trHeight w:val="285" w:hRule="atLeast"/>
        </w:trPr>
        <w:tc>
          <w:tcPr>
            <w:tcW w:w="9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51081222R000005136246-工资性支出（事业）</w:t>
            </w:r>
          </w:p>
        </w:tc>
      </w:tr>
      <w:tr>
        <w:tblPrEx>
          <w:tblCellMar>
            <w:top w:w="0" w:type="dxa"/>
            <w:left w:w="108" w:type="dxa"/>
            <w:bottom w:w="0" w:type="dxa"/>
            <w:right w:w="108" w:type="dxa"/>
          </w:tblCellMar>
        </w:tblPrEx>
        <w:trPr>
          <w:trHeight w:val="404" w:hRule="atLeast"/>
        </w:trPr>
        <w:tc>
          <w:tcPr>
            <w:tcW w:w="9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1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642"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1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54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1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18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该项目为人员类项目，主要保障部门2名事业2022年度工资，包括基本工资、津贴补贴等。2022年，该预算项目资金按月支付，及时足额发放，预算执行率100%，年末无资金结余情况。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25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14.11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14.11</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14.11</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14.11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14.11</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14.11</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0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5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73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9"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0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按时发放事业人员工资，项目实施达到了预期的经济效益、社会效益，绩效目标完全实现。</w:t>
            </w:r>
          </w:p>
        </w:tc>
      </w:tr>
      <w:tr>
        <w:tblPrEx>
          <w:tblCellMar>
            <w:top w:w="0" w:type="dxa"/>
            <w:left w:w="108" w:type="dxa"/>
            <w:bottom w:w="0" w:type="dxa"/>
            <w:right w:w="108" w:type="dxa"/>
          </w:tblCellMar>
        </w:tblPrEx>
        <w:trPr>
          <w:trHeight w:val="324"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0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24"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0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24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25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927" w:type="dxa"/>
        <w:tblInd w:w="-329" w:type="dxa"/>
        <w:tblLayout w:type="autofit"/>
        <w:tblCellMar>
          <w:top w:w="0" w:type="dxa"/>
          <w:left w:w="108" w:type="dxa"/>
          <w:bottom w:w="0" w:type="dxa"/>
          <w:right w:w="108" w:type="dxa"/>
        </w:tblCellMar>
      </w:tblPr>
      <w:tblGrid>
        <w:gridCol w:w="1500"/>
        <w:gridCol w:w="1770"/>
        <w:gridCol w:w="1652"/>
        <w:gridCol w:w="2265"/>
        <w:gridCol w:w="1093"/>
        <w:gridCol w:w="930"/>
        <w:gridCol w:w="990"/>
        <w:gridCol w:w="1770"/>
        <w:gridCol w:w="705"/>
        <w:gridCol w:w="765"/>
        <w:gridCol w:w="1487"/>
      </w:tblGrid>
      <w:tr>
        <w:tblPrEx>
          <w:tblCellMar>
            <w:top w:w="0" w:type="dxa"/>
            <w:left w:w="108" w:type="dxa"/>
            <w:bottom w:w="0" w:type="dxa"/>
            <w:right w:w="108" w:type="dxa"/>
          </w:tblCellMar>
        </w:tblPrEx>
        <w:trPr>
          <w:trHeight w:val="285" w:hRule="atLeast"/>
        </w:trPr>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6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51081222R000005136461-基本养老保险（行政）</w:t>
            </w:r>
          </w:p>
        </w:tc>
      </w:tr>
      <w:tr>
        <w:tblPrEx>
          <w:tblCellMar>
            <w:top w:w="0" w:type="dxa"/>
            <w:left w:w="108" w:type="dxa"/>
            <w:bottom w:w="0" w:type="dxa"/>
            <w:right w:w="108" w:type="dxa"/>
          </w:tblCellMar>
        </w:tblPrEx>
        <w:trPr>
          <w:trHeight w:val="514" w:hRule="atLeast"/>
        </w:trPr>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770"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549"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53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6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该项目为人员类项目，主要保障部门4名公务员及1名行政工人2022年度养老保险缴费等。2022年，该预算项目资金按月支付，及时足额缴纳，预算执行率100%，年末无资金结余情况。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02"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5.37</w:t>
            </w: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02"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5.95</w:t>
            </w: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5.37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2"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7"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9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19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4"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按时缴纳养老保险缴费，项目实施达到了预期的经济效益、社会效益，绩效目标完全实现。</w:t>
            </w:r>
          </w:p>
        </w:tc>
      </w:tr>
      <w:tr>
        <w:tblPrEx>
          <w:tblCellMar>
            <w:top w:w="0" w:type="dxa"/>
            <w:left w:w="108" w:type="dxa"/>
            <w:bottom w:w="0" w:type="dxa"/>
            <w:right w:w="108" w:type="dxa"/>
          </w:tblCellMar>
        </w:tblPrEx>
        <w:trPr>
          <w:trHeight w:val="404"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64"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4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47" w:hRule="atLeast"/>
        </w:trPr>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66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730" w:type="dxa"/>
        <w:jc w:val="center"/>
        <w:tblLayout w:type="autofit"/>
        <w:tblCellMar>
          <w:top w:w="0" w:type="dxa"/>
          <w:left w:w="108" w:type="dxa"/>
          <w:bottom w:w="0" w:type="dxa"/>
          <w:right w:w="108" w:type="dxa"/>
        </w:tblCellMar>
      </w:tblPr>
      <w:tblGrid>
        <w:gridCol w:w="1092"/>
        <w:gridCol w:w="1957"/>
        <w:gridCol w:w="1735"/>
        <w:gridCol w:w="1947"/>
        <w:gridCol w:w="991"/>
        <w:gridCol w:w="1208"/>
        <w:gridCol w:w="1077"/>
        <w:gridCol w:w="1590"/>
        <w:gridCol w:w="687"/>
        <w:gridCol w:w="673"/>
        <w:gridCol w:w="1773"/>
      </w:tblGrid>
      <w:tr>
        <w:tblPrEx>
          <w:tblCellMar>
            <w:top w:w="0" w:type="dxa"/>
            <w:left w:w="108" w:type="dxa"/>
            <w:bottom w:w="0" w:type="dxa"/>
            <w:right w:w="108" w:type="dxa"/>
          </w:tblCellMar>
        </w:tblPrEx>
        <w:trPr>
          <w:trHeight w:val="285" w:hRule="atLeast"/>
          <w:jc w:val="center"/>
        </w:trPr>
        <w:tc>
          <w:tcPr>
            <w:tcW w:w="3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6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51081222R000005136839-基本养老保险（事业）</w:t>
            </w:r>
          </w:p>
        </w:tc>
      </w:tr>
      <w:tr>
        <w:tblPrEx>
          <w:tblCellMar>
            <w:top w:w="0" w:type="dxa"/>
            <w:left w:w="108" w:type="dxa"/>
            <w:bottom w:w="0" w:type="dxa"/>
            <w:right w:w="108" w:type="dxa"/>
          </w:tblCellMar>
        </w:tblPrEx>
        <w:trPr>
          <w:trHeight w:val="389" w:hRule="atLeast"/>
          <w:jc w:val="center"/>
        </w:trPr>
        <w:tc>
          <w:tcPr>
            <w:tcW w:w="3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9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590"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9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19"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9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494"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6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该项目为人员类项目，主要保障部门2名事业人员2022年度养老保险缴费等。2022年，该预算项目资金按月支付，及时足额缴纳，预算执行率100%，年末无资金结余情况。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2.16</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2.16</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19"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119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14"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6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按月缴纳养老保险缴费，项目实施达到了预期的经济效益、社会效益，绩效目标完全实现。</w:t>
            </w:r>
          </w:p>
        </w:tc>
      </w:tr>
      <w:tr>
        <w:tblPrEx>
          <w:tblCellMar>
            <w:top w:w="0" w:type="dxa"/>
            <w:left w:w="108" w:type="dxa"/>
            <w:bottom w:w="0" w:type="dxa"/>
            <w:right w:w="108" w:type="dxa"/>
          </w:tblCellMar>
        </w:tblPrEx>
        <w:trPr>
          <w:trHeight w:val="329"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6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62"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6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jc w:val="center"/>
        </w:trPr>
        <w:tc>
          <w:tcPr>
            <w:tcW w:w="7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7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882" w:type="dxa"/>
        <w:tblInd w:w="-284" w:type="dxa"/>
        <w:tblLayout w:type="autofit"/>
        <w:tblCellMar>
          <w:top w:w="0" w:type="dxa"/>
          <w:left w:w="108" w:type="dxa"/>
          <w:bottom w:w="0" w:type="dxa"/>
          <w:right w:w="108" w:type="dxa"/>
        </w:tblCellMar>
      </w:tblPr>
      <w:tblGrid>
        <w:gridCol w:w="1052"/>
        <w:gridCol w:w="2055"/>
        <w:gridCol w:w="1648"/>
        <w:gridCol w:w="2115"/>
        <w:gridCol w:w="990"/>
        <w:gridCol w:w="1005"/>
        <w:gridCol w:w="1007"/>
        <w:gridCol w:w="1723"/>
        <w:gridCol w:w="660"/>
        <w:gridCol w:w="735"/>
        <w:gridCol w:w="1892"/>
      </w:tblGrid>
      <w:tr>
        <w:tblPrEx>
          <w:tblCellMar>
            <w:top w:w="0" w:type="dxa"/>
            <w:left w:w="108" w:type="dxa"/>
            <w:bottom w:w="0" w:type="dxa"/>
            <w:right w:w="108" w:type="dxa"/>
          </w:tblCellMar>
        </w:tblPrEx>
        <w:trPr>
          <w:trHeight w:val="285" w:hRule="atLeast"/>
        </w:trPr>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51081222R000005137025-基本医疗保险（行政）</w:t>
            </w:r>
          </w:p>
        </w:tc>
      </w:tr>
      <w:tr>
        <w:tblPrEx>
          <w:tblCellMar>
            <w:top w:w="0" w:type="dxa"/>
            <w:left w:w="108" w:type="dxa"/>
            <w:bottom w:w="0" w:type="dxa"/>
            <w:right w:w="108" w:type="dxa"/>
          </w:tblCellMar>
        </w:tblPrEx>
        <w:trPr>
          <w:trHeight w:val="374" w:hRule="atLeast"/>
        </w:trPr>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723"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5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49"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5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519"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该项目为人员类项目，主要保障部门4名公务员及1名行政工人2022年度医疗保险缴费等。2022年，该预算项目资金按月支付，及时足额缴纳，预算执行率100%，年末无资金结余情况。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2.82</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2.82</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90" w:hRule="atLeast"/>
        </w:trPr>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1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9"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按月缴纳医疗保险，项目实施达到了预期的经济效益、社会效益，绩效目标完全实现。</w:t>
            </w:r>
          </w:p>
        </w:tc>
      </w:tr>
      <w:tr>
        <w:tblPrEx>
          <w:tblCellMar>
            <w:top w:w="0" w:type="dxa"/>
            <w:left w:w="108" w:type="dxa"/>
            <w:bottom w:w="0" w:type="dxa"/>
            <w:right w:w="108" w:type="dxa"/>
          </w:tblCellMar>
        </w:tblPrEx>
        <w:trPr>
          <w:trHeight w:val="324"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b/>
                <w:bCs/>
                <w:color w:val="000000"/>
                <w:kern w:val="0"/>
                <w:sz w:val="16"/>
                <w:szCs w:val="16"/>
              </w:rPr>
              <w:t>无</w:t>
            </w:r>
          </w:p>
        </w:tc>
      </w:tr>
      <w:tr>
        <w:tblPrEx>
          <w:tblCellMar>
            <w:top w:w="0" w:type="dxa"/>
            <w:left w:w="108" w:type="dxa"/>
            <w:bottom w:w="0" w:type="dxa"/>
            <w:right w:w="108" w:type="dxa"/>
          </w:tblCellMar>
        </w:tblPrEx>
        <w:trPr>
          <w:trHeight w:val="324"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7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70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942" w:type="dxa"/>
        <w:tblInd w:w="-344" w:type="dxa"/>
        <w:tblLayout w:type="autofit"/>
        <w:tblCellMar>
          <w:top w:w="0" w:type="dxa"/>
          <w:left w:w="108" w:type="dxa"/>
          <w:bottom w:w="0" w:type="dxa"/>
          <w:right w:w="108" w:type="dxa"/>
        </w:tblCellMar>
      </w:tblPr>
      <w:tblGrid>
        <w:gridCol w:w="1335"/>
        <w:gridCol w:w="1826"/>
        <w:gridCol w:w="1579"/>
        <w:gridCol w:w="2010"/>
        <w:gridCol w:w="1095"/>
        <w:gridCol w:w="885"/>
        <w:gridCol w:w="1177"/>
        <w:gridCol w:w="1763"/>
        <w:gridCol w:w="660"/>
        <w:gridCol w:w="750"/>
        <w:gridCol w:w="1862"/>
      </w:tblGrid>
      <w:tr>
        <w:tblPrEx>
          <w:tblCellMar>
            <w:top w:w="0" w:type="dxa"/>
            <w:left w:w="108" w:type="dxa"/>
            <w:bottom w:w="0" w:type="dxa"/>
            <w:right w:w="108" w:type="dxa"/>
          </w:tblCellMar>
        </w:tblPrEx>
        <w:trPr>
          <w:trHeight w:val="285" w:hRule="atLeast"/>
        </w:trPr>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7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51081222R000005137228-基本医疗保险（事业）</w:t>
            </w:r>
          </w:p>
        </w:tc>
      </w:tr>
      <w:tr>
        <w:tblPrEx>
          <w:tblCellMar>
            <w:top w:w="0" w:type="dxa"/>
            <w:left w:w="108" w:type="dxa"/>
            <w:bottom w:w="0" w:type="dxa"/>
            <w:right w:w="108" w:type="dxa"/>
          </w:tblCellMar>
        </w:tblPrEx>
        <w:trPr>
          <w:trHeight w:val="329" w:hRule="atLeast"/>
        </w:trPr>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763"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5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294"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5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384"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7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该项目为人员类项目，主要保障部门2名事业人员2022年度医疗保险缴费等。2022年，该预算项目资金按月支付，及时足额缴纳，预算执行率100%，年末无资金结余情况。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2.33</w:t>
            </w: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2.33</w:t>
            </w: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09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84"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6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按月缴纳医疗保险，项目实施达到了预期的经济效益、社会效益，绩效目标完全实现。</w:t>
            </w:r>
          </w:p>
        </w:tc>
      </w:tr>
      <w:tr>
        <w:tblPrEx>
          <w:tblCellMar>
            <w:top w:w="0" w:type="dxa"/>
            <w:left w:w="108" w:type="dxa"/>
            <w:bottom w:w="0" w:type="dxa"/>
            <w:right w:w="108" w:type="dxa"/>
          </w:tblCellMar>
        </w:tblPrEx>
        <w:trPr>
          <w:trHeight w:val="234"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6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0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6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7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70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873" w:type="dxa"/>
        <w:jc w:val="center"/>
        <w:tblLayout w:type="autofit"/>
        <w:tblCellMar>
          <w:top w:w="0" w:type="dxa"/>
          <w:left w:w="108" w:type="dxa"/>
          <w:bottom w:w="0" w:type="dxa"/>
          <w:right w:w="108" w:type="dxa"/>
        </w:tblCellMar>
      </w:tblPr>
      <w:tblGrid>
        <w:gridCol w:w="1283"/>
        <w:gridCol w:w="1963"/>
        <w:gridCol w:w="1406"/>
        <w:gridCol w:w="1879"/>
        <w:gridCol w:w="1140"/>
        <w:gridCol w:w="1125"/>
        <w:gridCol w:w="1110"/>
        <w:gridCol w:w="1785"/>
        <w:gridCol w:w="645"/>
        <w:gridCol w:w="765"/>
        <w:gridCol w:w="1772"/>
      </w:tblGrid>
      <w:tr>
        <w:tblPrEx>
          <w:tblCellMar>
            <w:top w:w="0" w:type="dxa"/>
            <w:left w:w="108" w:type="dxa"/>
            <w:bottom w:w="0" w:type="dxa"/>
            <w:right w:w="108" w:type="dxa"/>
          </w:tblCellMar>
        </w:tblPrEx>
        <w:trPr>
          <w:trHeight w:val="285" w:hRule="atLeast"/>
          <w:jc w:val="center"/>
        </w:trPr>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6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51081222R000005137604-住房公积金（行政）</w:t>
            </w:r>
          </w:p>
        </w:tc>
      </w:tr>
      <w:tr>
        <w:tblPrEx>
          <w:tblCellMar>
            <w:top w:w="0" w:type="dxa"/>
            <w:left w:w="108" w:type="dxa"/>
            <w:bottom w:w="0" w:type="dxa"/>
            <w:right w:w="108" w:type="dxa"/>
          </w:tblCellMar>
        </w:tblPrEx>
        <w:trPr>
          <w:trHeight w:val="329" w:hRule="atLeast"/>
          <w:jc w:val="center"/>
        </w:trPr>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785"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jc w:val="center"/>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9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9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694"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6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该项目为人员类项目，主要保障部门4名公务员及1名行政工人2022年度住房公积金缴费等。2022年，该预算项目资金按月支付，及时足额缴纳，预算执行率100%，年末无资金结余情况。</w:t>
            </w:r>
          </w:p>
        </w:tc>
      </w:tr>
      <w:tr>
        <w:tblPrEx>
          <w:tblCellMar>
            <w:top w:w="0" w:type="dxa"/>
            <w:left w:w="108" w:type="dxa"/>
            <w:bottom w:w="0" w:type="dxa"/>
            <w:right w:w="108" w:type="dxa"/>
          </w:tblCellMar>
        </w:tblPrEx>
        <w:trPr>
          <w:trHeight w:val="349" w:hRule="atLeast"/>
          <w:jc w:val="center"/>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28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6.84</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6.84</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6.84</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6.84</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5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7"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9"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jc w:val="center"/>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jc w:val="center"/>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89" w:hRule="atLeast"/>
          <w:jc w:val="center"/>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按月缴纳住房公积金，项目实施达到了预期的经济效益、社会效益，绩效目标完全实现。</w:t>
            </w:r>
          </w:p>
        </w:tc>
      </w:tr>
      <w:tr>
        <w:tblPrEx>
          <w:tblCellMar>
            <w:top w:w="0" w:type="dxa"/>
            <w:left w:w="108" w:type="dxa"/>
            <w:bottom w:w="0" w:type="dxa"/>
            <w:right w:w="108" w:type="dxa"/>
          </w:tblCellMar>
        </w:tblPrEx>
        <w:trPr>
          <w:trHeight w:val="262" w:hRule="atLeast"/>
          <w:jc w:val="center"/>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54" w:hRule="atLeast"/>
          <w:jc w:val="center"/>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417" w:hRule="atLeast"/>
          <w:jc w:val="center"/>
        </w:trPr>
        <w:tc>
          <w:tcPr>
            <w:tcW w:w="7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7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4942" w:type="dxa"/>
        <w:jc w:val="center"/>
        <w:tblLayout w:type="autofit"/>
        <w:tblCellMar>
          <w:top w:w="0" w:type="dxa"/>
          <w:left w:w="108" w:type="dxa"/>
          <w:bottom w:w="0" w:type="dxa"/>
          <w:right w:w="108" w:type="dxa"/>
        </w:tblCellMar>
      </w:tblPr>
      <w:tblGrid>
        <w:gridCol w:w="1305"/>
        <w:gridCol w:w="1980"/>
        <w:gridCol w:w="1641"/>
        <w:gridCol w:w="1854"/>
        <w:gridCol w:w="1125"/>
        <w:gridCol w:w="1065"/>
        <w:gridCol w:w="1140"/>
        <w:gridCol w:w="1590"/>
        <w:gridCol w:w="630"/>
        <w:gridCol w:w="810"/>
        <w:gridCol w:w="1802"/>
      </w:tblGrid>
      <w:tr>
        <w:tblPrEx>
          <w:tblCellMar>
            <w:top w:w="0" w:type="dxa"/>
            <w:left w:w="108" w:type="dxa"/>
            <w:bottom w:w="0" w:type="dxa"/>
            <w:right w:w="108" w:type="dxa"/>
          </w:tblCellMar>
        </w:tblPrEx>
        <w:trPr>
          <w:trHeight w:val="285" w:hRule="atLeast"/>
          <w:jc w:val="center"/>
        </w:trPr>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6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51081222R000005137802-住房公积金（事业）</w:t>
            </w:r>
          </w:p>
        </w:tc>
      </w:tr>
      <w:tr>
        <w:tblPrEx>
          <w:tblCellMar>
            <w:top w:w="0" w:type="dxa"/>
            <w:left w:w="108" w:type="dxa"/>
            <w:bottom w:w="0" w:type="dxa"/>
            <w:right w:w="108" w:type="dxa"/>
          </w:tblCellMar>
        </w:tblPrEx>
        <w:trPr>
          <w:trHeight w:val="494" w:hRule="atLeast"/>
          <w:jc w:val="center"/>
        </w:trPr>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590"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429"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4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459"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6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该项目为人员类项目，主要保障部门2名事业人员2022年度住房公积金缴费等。2022年，该预算项目资金按月支付，及时足额缴纳，预算执行率100%，年末无资金结余情况。</w:t>
            </w:r>
          </w:p>
        </w:tc>
      </w:tr>
      <w:tr>
        <w:tblPrEx>
          <w:tblCellMar>
            <w:top w:w="0" w:type="dxa"/>
            <w:left w:w="108" w:type="dxa"/>
            <w:bottom w:w="0" w:type="dxa"/>
            <w:right w:w="108" w:type="dxa"/>
          </w:tblCellMar>
        </w:tblPrEx>
        <w:trPr>
          <w:trHeight w:val="360"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92"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2"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7"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64"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8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4"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6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按月缴纳住房公积金，项目实施达到了预期的经济效益、社会效益，绩效目标完全实现。</w:t>
            </w:r>
          </w:p>
        </w:tc>
      </w:tr>
      <w:tr>
        <w:tblPrEx>
          <w:tblCellMar>
            <w:top w:w="0" w:type="dxa"/>
            <w:left w:w="108" w:type="dxa"/>
            <w:bottom w:w="0" w:type="dxa"/>
            <w:right w:w="108" w:type="dxa"/>
          </w:tblCellMar>
        </w:tblPrEx>
        <w:trPr>
          <w:trHeight w:val="30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6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3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6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jc w:val="center"/>
        </w:trPr>
        <w:tc>
          <w:tcPr>
            <w:tcW w:w="149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                                                                                 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002" w:type="dxa"/>
        <w:tblInd w:w="-404" w:type="dxa"/>
        <w:tblLayout w:type="autofit"/>
        <w:tblCellMar>
          <w:top w:w="0" w:type="dxa"/>
          <w:left w:w="108" w:type="dxa"/>
          <w:bottom w:w="0" w:type="dxa"/>
          <w:right w:w="108" w:type="dxa"/>
        </w:tblCellMar>
      </w:tblPr>
      <w:tblGrid>
        <w:gridCol w:w="1320"/>
        <w:gridCol w:w="1872"/>
        <w:gridCol w:w="1744"/>
        <w:gridCol w:w="1889"/>
        <w:gridCol w:w="1065"/>
        <w:gridCol w:w="900"/>
        <w:gridCol w:w="1072"/>
        <w:gridCol w:w="1853"/>
        <w:gridCol w:w="645"/>
        <w:gridCol w:w="810"/>
        <w:gridCol w:w="1832"/>
      </w:tblGrid>
      <w:tr>
        <w:tblPrEx>
          <w:tblCellMar>
            <w:top w:w="0" w:type="dxa"/>
            <w:left w:w="108" w:type="dxa"/>
            <w:bottom w:w="0" w:type="dxa"/>
            <w:right w:w="108" w:type="dxa"/>
          </w:tblCellMar>
        </w:tblPrEx>
        <w:trPr>
          <w:trHeight w:val="285" w:hRule="atLeast"/>
        </w:trPr>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8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51081222R000005429042-目标绩效奖（事业人员）</w:t>
            </w:r>
          </w:p>
        </w:tc>
      </w:tr>
      <w:tr>
        <w:tblPrEx>
          <w:tblCellMar>
            <w:top w:w="0" w:type="dxa"/>
            <w:left w:w="108" w:type="dxa"/>
            <w:bottom w:w="0" w:type="dxa"/>
            <w:right w:w="108" w:type="dxa"/>
          </w:tblCellMar>
        </w:tblPrEx>
        <w:trPr>
          <w:trHeight w:val="339" w:hRule="atLeast"/>
        </w:trPr>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853"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419"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8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该项目为人员类项目，主要保障部门2名事业人员目标绩效奖。2022年，该预算项目资金按月支付，及时足额发放，预算执行率100%，年末无资金结余情况。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287"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6.70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6.70</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6.70</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rPr>
          <w:trHeight w:val="39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6.70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6.70</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6.70</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17"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24"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rPr>
          <w:trHeight w:val="354"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rPr>
          <w:trHeight w:val="9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10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29"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6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rPr>
              <w:t>按月发放目标绩效，项目实施达到了预期的经济效益、社会效益，绩效目标完全实现。</w:t>
            </w:r>
          </w:p>
        </w:tc>
      </w:tr>
      <w:tr>
        <w:tblPrEx>
          <w:tblCellMar>
            <w:top w:w="0" w:type="dxa"/>
            <w:left w:w="108" w:type="dxa"/>
            <w:bottom w:w="0" w:type="dxa"/>
            <w:right w:w="108" w:type="dxa"/>
          </w:tblCellMar>
        </w:tblPrEx>
        <w:trPr>
          <w:trHeight w:val="239"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6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rPr>
          <w:trHeight w:val="257"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6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7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7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017" w:type="dxa"/>
        <w:tblInd w:w="-419" w:type="dxa"/>
        <w:tblLayout w:type="fixed"/>
        <w:tblCellMar>
          <w:top w:w="0" w:type="dxa"/>
          <w:left w:w="108" w:type="dxa"/>
          <w:bottom w:w="0" w:type="dxa"/>
          <w:right w:w="108" w:type="dxa"/>
        </w:tblCellMar>
      </w:tblPr>
      <w:tblGrid>
        <w:gridCol w:w="1365"/>
        <w:gridCol w:w="1842"/>
        <w:gridCol w:w="1473"/>
        <w:gridCol w:w="2130"/>
        <w:gridCol w:w="1140"/>
        <w:gridCol w:w="1405"/>
        <w:gridCol w:w="950"/>
        <w:gridCol w:w="1635"/>
        <w:gridCol w:w="750"/>
        <w:gridCol w:w="765"/>
        <w:gridCol w:w="1562"/>
      </w:tblGrid>
      <w:tr>
        <w:tblPrEx>
          <w:tblCellMar>
            <w:top w:w="0" w:type="dxa"/>
            <w:left w:w="108" w:type="dxa"/>
            <w:bottom w:w="0" w:type="dxa"/>
            <w:right w:w="108" w:type="dxa"/>
          </w:tblCellMar>
        </w:tblPrEx>
        <w:trPr>
          <w:trHeight w:val="285" w:hRule="atLeast"/>
        </w:trPr>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8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51081222R000005430095-目标绩效奖（行政工人）</w:t>
            </w:r>
          </w:p>
        </w:tc>
      </w:tr>
      <w:tr>
        <w:tblPrEx>
          <w:tblCellMar>
            <w:top w:w="0" w:type="dxa"/>
            <w:left w:w="108" w:type="dxa"/>
            <w:bottom w:w="0" w:type="dxa"/>
            <w:right w:w="108" w:type="dxa"/>
          </w:tblCellMar>
        </w:tblPrEx>
        <w:trPr>
          <w:trHeight w:val="394" w:hRule="atLeast"/>
        </w:trPr>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70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635"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70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309"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70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严格执行相关政策，保障工资及时发放、足额发放，预算编制科学合理，减少结余资金</w:t>
            </w:r>
          </w:p>
        </w:tc>
        <w:tc>
          <w:tcPr>
            <w:tcW w:w="4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已完成</w:t>
            </w:r>
          </w:p>
        </w:tc>
      </w:tr>
      <w:tr>
        <w:tblPrEx>
          <w:tblCellMar>
            <w:top w:w="0" w:type="dxa"/>
            <w:left w:w="108" w:type="dxa"/>
            <w:bottom w:w="0" w:type="dxa"/>
            <w:right w:w="108" w:type="dxa"/>
          </w:tblCellMar>
        </w:tblPrEx>
        <w:trPr>
          <w:trHeight w:val="9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8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该项目为人员类项目，主要保障部门1名行政工人目标绩效奖。2022年，该预算项目资金按月支付，及时足额发放，预算执行率100%，年末无资金结余情况。</w:t>
            </w:r>
          </w:p>
        </w:tc>
      </w:tr>
      <w:tr>
        <w:tblPrEx>
          <w:tblCellMar>
            <w:top w:w="0" w:type="dxa"/>
            <w:left w:w="108" w:type="dxa"/>
            <w:bottom w:w="0" w:type="dxa"/>
            <w:right w:w="108" w:type="dxa"/>
          </w:tblCellMar>
        </w:tblPrEx>
        <w:trPr>
          <w:trHeight w:val="36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3.37</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3.37</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3.37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0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64"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54"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按时发放率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结余率（计算方法为：结余数/预算数）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1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9"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按月发放目标绩效，项目实施达到了预期的经济效益、社会效益，绩效目标完全实现。</w:t>
            </w:r>
          </w:p>
        </w:tc>
      </w:tr>
      <w:tr>
        <w:tblPrEx>
          <w:tblCellMar>
            <w:top w:w="0" w:type="dxa"/>
            <w:left w:w="108" w:type="dxa"/>
            <w:bottom w:w="0" w:type="dxa"/>
            <w:right w:w="108" w:type="dxa"/>
          </w:tblCellMar>
        </w:tblPrEx>
        <w:trPr>
          <w:trHeight w:val="264"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339"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7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018" w:type="dxa"/>
        <w:jc w:val="center"/>
        <w:tblLayout w:type="autofit"/>
        <w:tblCellMar>
          <w:top w:w="0" w:type="dxa"/>
          <w:left w:w="108" w:type="dxa"/>
          <w:bottom w:w="0" w:type="dxa"/>
          <w:right w:w="108" w:type="dxa"/>
        </w:tblCellMar>
      </w:tblPr>
      <w:tblGrid>
        <w:gridCol w:w="1410"/>
        <w:gridCol w:w="2415"/>
        <w:gridCol w:w="1125"/>
        <w:gridCol w:w="2055"/>
        <w:gridCol w:w="1005"/>
        <w:gridCol w:w="960"/>
        <w:gridCol w:w="1073"/>
        <w:gridCol w:w="1762"/>
        <w:gridCol w:w="765"/>
        <w:gridCol w:w="855"/>
        <w:gridCol w:w="1593"/>
      </w:tblGrid>
      <w:tr>
        <w:tblPrEx>
          <w:tblCellMar>
            <w:top w:w="0" w:type="dxa"/>
            <w:left w:w="108" w:type="dxa"/>
            <w:bottom w:w="0" w:type="dxa"/>
            <w:right w:w="108" w:type="dxa"/>
          </w:tblCellMar>
        </w:tblPrEx>
        <w:trPr>
          <w:trHeight w:val="285" w:hRule="atLeast"/>
          <w:jc w:val="center"/>
        </w:trPr>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1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51081222T000005731635-东西部协作工作经费</w:t>
            </w:r>
          </w:p>
        </w:tc>
      </w:tr>
      <w:tr>
        <w:tblPrEx>
          <w:tblCellMar>
            <w:top w:w="0" w:type="dxa"/>
            <w:left w:w="108" w:type="dxa"/>
            <w:bottom w:w="0" w:type="dxa"/>
            <w:right w:w="108" w:type="dxa"/>
          </w:tblCellMar>
        </w:tblPrEx>
        <w:trPr>
          <w:trHeight w:val="514" w:hRule="atLeast"/>
          <w:jc w:val="center"/>
        </w:trPr>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762"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按要求做好捐赠资金的接收、项目的实施和监督、资料归整、装订、专项审计、东西部交流学习等</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按照东西部协作工作要求，做好相关捐赠项目的实施和监督、资料印制、档案规整、审计，东西部协作交流等。</w:t>
            </w:r>
          </w:p>
        </w:tc>
      </w:tr>
      <w:tr>
        <w:tblPrEx>
          <w:tblCellMar>
            <w:top w:w="0" w:type="dxa"/>
            <w:left w:w="108" w:type="dxa"/>
            <w:bottom w:w="0" w:type="dxa"/>
            <w:right w:w="108" w:type="dxa"/>
          </w:tblCellMar>
        </w:tblPrEx>
        <w:trPr>
          <w:trHeight w:val="694"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1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2022年我单位承担的东西部协作社会帮扶工作，按照区东西部协作办公室要求，按时完成捐赠资金的拨付、监督使用、档案规整、装订、专项审计等工作。</w:t>
            </w:r>
          </w:p>
        </w:tc>
      </w:tr>
      <w:tr>
        <w:tblPrEx>
          <w:tblCellMar>
            <w:top w:w="0" w:type="dxa"/>
            <w:left w:w="108" w:type="dxa"/>
            <w:bottom w:w="0" w:type="dxa"/>
            <w:right w:w="108" w:type="dxa"/>
          </w:tblCellMar>
        </w:tblPrEx>
        <w:trPr>
          <w:trHeight w:val="360"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79"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资料印制数量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份</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东西部协作捐赠项目督导检查次数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次/年</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档案规整数量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册</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东西部协作工作质量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年内工作完成率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督导检查交通费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元/年</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4000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档案规整、装订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资料印制、扫描费用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22000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元/张</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东西部协作对朝天经济发展影响力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帮扶对象满意度指标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东西部协作帮扶对象满意度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jc w:val="center"/>
        </w:trPr>
        <w:tc>
          <w:tcPr>
            <w:tcW w:w="118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按时完成捐赠资金的拨付、监督使用、档案规整、装订、专项审计等工作。项目有序推进，按期完成，达到了预期效果。</w:t>
            </w:r>
          </w:p>
        </w:tc>
      </w:tr>
      <w:tr>
        <w:tblPrEx>
          <w:tblCellMar>
            <w:top w:w="0" w:type="dxa"/>
            <w:left w:w="108" w:type="dxa"/>
            <w:bottom w:w="0" w:type="dxa"/>
            <w:right w:w="108" w:type="dxa"/>
          </w:tblCellMar>
        </w:tblPrEx>
        <w:trPr>
          <w:trHeight w:val="574"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2022年，东西部协作社会帮扶工作取得了一定的成绩，但离上级要求和群众期盼还有一定的差距，主要是单位工作经费少东西部协作工作要持续增强各单位及部门之间的配合协调力度。这是一项复杂的社会系统工程，涉及面广，任务艰巨而繁重，</w:t>
            </w:r>
          </w:p>
        </w:tc>
      </w:tr>
      <w:tr>
        <w:tblPrEx>
          <w:tblCellMar>
            <w:top w:w="0" w:type="dxa"/>
            <w:left w:w="108" w:type="dxa"/>
            <w:bottom w:w="0" w:type="dxa"/>
            <w:right w:w="108" w:type="dxa"/>
          </w:tblCellMar>
        </w:tblPrEx>
        <w:trPr>
          <w:trHeight w:val="634"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下一步我们要加强各级各部门的通力协作，完善工作机制，不断总结推广好的做法和经验，共同推进我区东西部协作社会帮扶工作持续健康发展</w:t>
            </w:r>
          </w:p>
        </w:tc>
      </w:tr>
      <w:tr>
        <w:tblPrEx>
          <w:tblCellMar>
            <w:top w:w="0" w:type="dxa"/>
            <w:left w:w="108" w:type="dxa"/>
            <w:bottom w:w="0" w:type="dxa"/>
            <w:right w:w="108" w:type="dxa"/>
          </w:tblCellMar>
        </w:tblPrEx>
        <w:trPr>
          <w:trHeight w:val="285" w:hRule="atLeast"/>
          <w:jc w:val="center"/>
        </w:trPr>
        <w:tc>
          <w:tcPr>
            <w:tcW w:w="8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项目负责人：华蓉</w:t>
            </w:r>
          </w:p>
        </w:tc>
        <w:tc>
          <w:tcPr>
            <w:tcW w:w="7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103" w:type="dxa"/>
        <w:tblInd w:w="-434" w:type="dxa"/>
        <w:tblLayout w:type="fixed"/>
        <w:tblCellMar>
          <w:top w:w="0" w:type="dxa"/>
          <w:left w:w="108" w:type="dxa"/>
          <w:bottom w:w="0" w:type="dxa"/>
          <w:right w:w="108" w:type="dxa"/>
        </w:tblCellMar>
      </w:tblPr>
      <w:tblGrid>
        <w:gridCol w:w="1470"/>
        <w:gridCol w:w="2040"/>
        <w:gridCol w:w="1506"/>
        <w:gridCol w:w="2258"/>
        <w:gridCol w:w="976"/>
        <w:gridCol w:w="1223"/>
        <w:gridCol w:w="937"/>
        <w:gridCol w:w="1590"/>
        <w:gridCol w:w="675"/>
        <w:gridCol w:w="615"/>
        <w:gridCol w:w="1742"/>
        <w:gridCol w:w="71"/>
      </w:tblGrid>
      <w:tr>
        <w:tblPrEx>
          <w:tblCellMar>
            <w:top w:w="0" w:type="dxa"/>
            <w:left w:w="108" w:type="dxa"/>
            <w:bottom w:w="0" w:type="dxa"/>
            <w:right w:w="108" w:type="dxa"/>
          </w:tblCellMar>
        </w:tblPrEx>
        <w:trPr>
          <w:gridAfter w:val="1"/>
          <w:wAfter w:w="71" w:type="dxa"/>
          <w:trHeight w:val="285"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5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51081222T000005929919-公益性初级卫生救护百万培训项目</w:t>
            </w:r>
          </w:p>
        </w:tc>
      </w:tr>
      <w:tr>
        <w:tblPrEx>
          <w:tblCellMar>
            <w:top w:w="0" w:type="dxa"/>
            <w:left w:w="108" w:type="dxa"/>
            <w:bottom w:w="0" w:type="dxa"/>
            <w:right w:w="108" w:type="dxa"/>
          </w:tblCellMar>
        </w:tblPrEx>
        <w:trPr>
          <w:gridAfter w:val="1"/>
          <w:wAfter w:w="71" w:type="dxa"/>
          <w:trHeight w:val="394"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590"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gridAfter w:val="1"/>
          <w:wAfter w:w="71" w:type="dxa"/>
          <w:trHeight w:val="285"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gridAfter w:val="1"/>
          <w:wAfter w:w="71" w:type="dxa"/>
          <w:trHeight w:val="252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根据《中国红十字会章程》的相关要求，经市委市政府研究决定，自2014年起，在全市实施公益性初级卫生救护“百万培训项目”。主要内容是在全市范围内有组织、有计划、分步骤地实施公益性初级卫生救护“百万培训项目”，不断提高卫生救护知识普及率，增强面对各种突发意外事件的自救互救能力，保护意外事件受伤人员的生命和健康，最大限度减少伤残和死亡。提升全区广大人民群众自救互救意识，减少意外伤害和降低死亡率。加强对各乡镇培训工作的督察和宣传力度，全年救护培训目标3700人，其中：普及培训3400人，初级救护员培训300人。</w:t>
            </w:r>
          </w:p>
        </w:tc>
        <w:tc>
          <w:tcPr>
            <w:tcW w:w="46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 xml:space="preserve">2022年，公益性卫生救护培训主要内容是在全区范围内有组织、有计划、分步骤地实施公益性初级卫生救护“百万培训项目”，不断提高卫生救护知识普及率，增强面对各种突发意外事件的自救互救能力，保护意外事件受伤人员的生命和健康，最大限度减少伤残和死亡。提升全区广大人民群众自救互救意识，减少意外伤害和降低死亡率。加强对各乡镇培训工作的督察和宣传力度，全年完成分救护培训4140人，其中：普及培训3805人，初级救护员培训335人。               </w:t>
            </w:r>
          </w:p>
        </w:tc>
      </w:tr>
      <w:tr>
        <w:tblPrEx>
          <w:tblCellMar>
            <w:top w:w="0" w:type="dxa"/>
            <w:left w:w="108" w:type="dxa"/>
            <w:bottom w:w="0" w:type="dxa"/>
            <w:right w:w="108" w:type="dxa"/>
          </w:tblCellMar>
        </w:tblPrEx>
        <w:trPr>
          <w:gridAfter w:val="1"/>
          <w:wAfter w:w="71" w:type="dxa"/>
          <w:trHeight w:val="886"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5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2022年，主动协调联系机关、学校、社区、团体、高危行业等相关单位，制定培训计划，落实培训对象，安排培训场地，做好卫生救护培训教学管理、考核发证等组织实施工作，通过在全区范围内有组织、有计划、分步骤地实施公益性初级卫生救护“百万培训项目”，不断提高卫生救护知识普及率，增强面对各种突发意外事件的自救互救能力，保护意外事件受伤人员的生命和健康，最大限度减少伤残和死亡。</w:t>
            </w:r>
          </w:p>
        </w:tc>
      </w:tr>
      <w:tr>
        <w:tblPrEx>
          <w:tblCellMar>
            <w:top w:w="0" w:type="dxa"/>
            <w:left w:w="108" w:type="dxa"/>
            <w:bottom w:w="0" w:type="dxa"/>
            <w:right w:w="108" w:type="dxa"/>
          </w:tblCellMar>
        </w:tblPrEx>
        <w:trPr>
          <w:trHeight w:val="36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23.66</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23.66</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23.66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23.66</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23.66</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23.66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普及培训</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3805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救护员培训</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335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普及培训合格率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救护员培训合格率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普及培训计划完成时间</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2022年12月30日前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2022年11月2日前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救护员培训计划完成时间</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2022年12月30日前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2022年11月2日前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救护员培训成本</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普及培训成本</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元/人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救护知识知晓率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救护知识培训后的自救互救能力提升率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3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参训人员满意度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2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1"/>
          <w:wAfter w:w="71" w:type="dxa"/>
          <w:trHeight w:val="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5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针对市民群众等非专业医护人员进行救护新概念、心肺复苏、创伤救护（止血、包扎、固定、搬运）、意外伤害应急技能等初级卫生救护知识和应急技能培训，不断提高培训人员卫生救护知识普及率，增强面对各种突发意外事件的自救互救能力，在专业急救人员到达之前，防止伤情继续恶化，减少伤员痛苦，避免或尽量减少伤残和后遗症，最大限度减少伤残和死亡，挽救患者的生命。同时使全区应急管理队伍建设得到了加强，增强了他们的应急反应能力和参与应急管理工作的自觉性。项目有序推进，按期完成，达到了预期效果。</w:t>
            </w:r>
          </w:p>
        </w:tc>
      </w:tr>
      <w:tr>
        <w:tblPrEx>
          <w:tblCellMar>
            <w:top w:w="0" w:type="dxa"/>
            <w:left w:w="108" w:type="dxa"/>
            <w:bottom w:w="0" w:type="dxa"/>
            <w:right w:w="108" w:type="dxa"/>
          </w:tblCellMar>
        </w:tblPrEx>
        <w:trPr>
          <w:gridAfter w:val="1"/>
          <w:wAfter w:w="71" w:type="dxa"/>
          <w:trHeight w:val="5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5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2022年，虽然区红十字会在深入推进红十字事业发展进程中取得了一定的成绩，但离上级要求和群众期盼还有一定的差距，尤其是初级卫生救护百万培训项目，任务重，质量要求高，财政预算资金不足，不能完全满足工作需要，因此需要持续争取财政专项经费的支持，加大财政资金投入。师资队伍需进一步优化，强化师资培训能力的提升，一定要充分认识做好救护培训质量提升工作的极端重要性和现实紧迫性，着力解决实施应急救护“百万培训项目”工作存在的突出问题，以质量年为抓手，结合实际，创新思路，落实举措，抓出成效。</w:t>
            </w:r>
          </w:p>
        </w:tc>
      </w:tr>
      <w:tr>
        <w:tblPrEx>
          <w:tblCellMar>
            <w:top w:w="0" w:type="dxa"/>
            <w:left w:w="108" w:type="dxa"/>
            <w:bottom w:w="0" w:type="dxa"/>
            <w:right w:w="108" w:type="dxa"/>
          </w:tblCellMar>
        </w:tblPrEx>
        <w:trPr>
          <w:gridAfter w:val="1"/>
          <w:wAfter w:w="71" w:type="dxa"/>
          <w:trHeight w:val="459"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5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实施公益性初级卫生救护“百万培训项目”是一项复杂的社会系统工程和长期任务，涉及面广，任务艰巨而繁重，下一步我们要加强各级各部门的通力协作，完善工作机制，不断总结推广好的做法和经验，共同推进我区公益性初级卫生救护“百万培训项目”工作持续健康发展。</w:t>
            </w:r>
          </w:p>
        </w:tc>
      </w:tr>
      <w:tr>
        <w:tblPrEx>
          <w:tblCellMar>
            <w:top w:w="0" w:type="dxa"/>
            <w:left w:w="108" w:type="dxa"/>
            <w:bottom w:w="0" w:type="dxa"/>
            <w:right w:w="108" w:type="dxa"/>
          </w:tblCellMar>
        </w:tblPrEx>
        <w:trPr>
          <w:gridAfter w:val="1"/>
          <w:wAfter w:w="71" w:type="dxa"/>
          <w:trHeight w:val="285" w:hRule="atLeast"/>
        </w:trPr>
        <w:tc>
          <w:tcPr>
            <w:tcW w:w="8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项目负责人：白德琴</w:t>
            </w:r>
          </w:p>
        </w:tc>
        <w:tc>
          <w:tcPr>
            <w:tcW w:w="67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062" w:type="dxa"/>
        <w:tblInd w:w="-464" w:type="dxa"/>
        <w:tblLayout w:type="fixed"/>
        <w:tblCellMar>
          <w:top w:w="0" w:type="dxa"/>
          <w:left w:w="108" w:type="dxa"/>
          <w:bottom w:w="0" w:type="dxa"/>
          <w:right w:w="108" w:type="dxa"/>
        </w:tblCellMar>
      </w:tblPr>
      <w:tblGrid>
        <w:gridCol w:w="1560"/>
        <w:gridCol w:w="1720"/>
        <w:gridCol w:w="1764"/>
        <w:gridCol w:w="2262"/>
        <w:gridCol w:w="1109"/>
        <w:gridCol w:w="1090"/>
        <w:gridCol w:w="830"/>
        <w:gridCol w:w="1665"/>
        <w:gridCol w:w="765"/>
        <w:gridCol w:w="825"/>
        <w:gridCol w:w="1472"/>
      </w:tblGrid>
      <w:tr>
        <w:tblPrEx>
          <w:tblCellMar>
            <w:top w:w="0" w:type="dxa"/>
            <w:left w:w="108" w:type="dxa"/>
            <w:bottom w:w="0" w:type="dxa"/>
            <w:right w:w="108" w:type="dxa"/>
          </w:tblCellMar>
        </w:tblPrEx>
        <w:trPr>
          <w:trHeight w:val="285" w:hRule="atLeast"/>
        </w:trPr>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51081222T000006903758-红十字博爱周工作经费</w:t>
            </w:r>
          </w:p>
        </w:tc>
      </w:tr>
      <w:tr>
        <w:tblPrEx>
          <w:tblCellMar>
            <w:top w:w="0" w:type="dxa"/>
            <w:left w:w="108" w:type="dxa"/>
            <w:bottom w:w="0" w:type="dxa"/>
            <w:right w:w="108" w:type="dxa"/>
          </w:tblCellMar>
        </w:tblPrEx>
        <w:trPr>
          <w:trHeight w:val="374" w:hRule="atLeast"/>
        </w:trPr>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7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665" w:type="dxa"/>
            <w:tcBorders>
              <w:top w:val="nil"/>
              <w:left w:val="nil"/>
              <w:bottom w:val="nil"/>
              <w:right w:val="nil"/>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7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51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7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根据《中国红十字会章程》第二章第十一条相关条款的规定，地方各级红十字会依法履行红十字工作职责，切实开展好红十字宣传相关工作、开展红十字主题宣传活动。</w:t>
            </w:r>
          </w:p>
        </w:tc>
        <w:tc>
          <w:tcPr>
            <w:tcW w:w="4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为纪念第75个“世界红十字日”，进一步扩大红十字会社会影响力，凝聚更多社会力量参与和支持红十字事业，朝天区红十字开展了“生命教育，人道伴行”的主题活动。</w:t>
            </w:r>
          </w:p>
        </w:tc>
      </w:tr>
      <w:tr>
        <w:tblPrEx>
          <w:tblCellMar>
            <w:top w:w="0" w:type="dxa"/>
            <w:left w:w="108" w:type="dxa"/>
            <w:bottom w:w="0" w:type="dxa"/>
            <w:right w:w="108" w:type="dxa"/>
          </w:tblCellMar>
        </w:tblPrEx>
        <w:trPr>
          <w:trHeight w:val="489"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2022年我会的5.8博爱周宣传活动，通过发放宣传资料、制作展板、宣传标语和开展各项主题活动，大力弘扬“人道、博爱、奉献”红十字精神，进一步提高了红十字的社会影响力和公信力。</w:t>
            </w:r>
          </w:p>
        </w:tc>
      </w:tr>
      <w:tr>
        <w:tblPrEx>
          <w:tblCellMar>
            <w:top w:w="0" w:type="dxa"/>
            <w:left w:w="108" w:type="dxa"/>
            <w:bottom w:w="0" w:type="dxa"/>
            <w:right w:w="108" w:type="dxa"/>
          </w:tblCellMar>
        </w:tblPrEx>
        <w:trPr>
          <w:trHeight w:val="360"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疫情防控、卫生健康知识宣传资料</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中国红十字会法、中国红十字会章程印制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20000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三献宣传资料</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红十字宣传折页</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9000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红十字宣传标语、宣传展板</w:t>
            </w:r>
          </w:p>
        </w:tc>
        <w:tc>
          <w:tcPr>
            <w:tcW w:w="11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nil"/>
              <w:left w:val="single" w:color="000000" w:sz="8" w:space="0"/>
              <w:bottom w:val="single" w:color="auto" w:sz="4" w:space="0"/>
              <w:right w:val="single" w:color="000000" w:sz="8"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8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套</w:t>
            </w: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红十字博爱周宣传活动效果</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tcBorders>
              <w:top w:val="single" w:color="auto"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262" w:type="dxa"/>
            <w:tcBorders>
              <w:top w:val="single" w:color="auto"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宣传活动完成时间</w:t>
            </w:r>
          </w:p>
        </w:tc>
        <w:tc>
          <w:tcPr>
            <w:tcW w:w="1109" w:type="dxa"/>
            <w:tcBorders>
              <w:top w:val="single" w:color="auto"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090" w:type="dxa"/>
            <w:tcBorders>
              <w:top w:val="single" w:color="auto"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2022年5月20日</w:t>
            </w:r>
          </w:p>
        </w:tc>
        <w:tc>
          <w:tcPr>
            <w:tcW w:w="830" w:type="dxa"/>
            <w:tcBorders>
              <w:top w:val="single" w:color="auto"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6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2022年5月15日</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47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经济成本</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红十字宣传资料印制（4种）费用</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35000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34000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红十字宣传折页</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9000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红十字宣传标语、宣传展板费用</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5000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7000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76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262"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红十字宣传知识知晓率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83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1900年2月11日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红十字宣传持续影响力</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2262" w:type="dxa"/>
            <w:tcBorders>
              <w:top w:val="nil"/>
              <w:left w:val="nil"/>
              <w:bottom w:val="nil"/>
              <w:right w:val="nil"/>
            </w:tcBorders>
            <w:shd w:val="clear" w:color="auto" w:fill="auto"/>
            <w:noWrap/>
            <w:vAlign w:val="center"/>
          </w:tcPr>
          <w:p>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服务对象满意度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338"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2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5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我会5.8博爱周宣传活动，通过发放宣传资料、制作展板、宣传标语和开展各项主题活动，大力弘扬“人道、博爱、奉献”红十字精神，进一步提高了红十字</w:t>
            </w:r>
            <w:bookmarkStart w:id="130" w:name="_GoBack"/>
            <w:bookmarkEnd w:id="130"/>
            <w:r>
              <w:rPr>
                <w:rFonts w:hint="eastAsia" w:ascii="微软雅黑" w:hAnsi="微软雅黑" w:eastAsia="微软雅黑" w:cs="微软雅黑"/>
                <w:color w:val="000000"/>
                <w:kern w:val="0"/>
                <w:sz w:val="16"/>
                <w:szCs w:val="16"/>
              </w:rPr>
              <w:t>的社会影响力和公信力。项目有序推进，按期完成，达到了预期效果。</w:t>
            </w:r>
          </w:p>
        </w:tc>
      </w:tr>
      <w:tr>
        <w:tblPrEx>
          <w:tblCellMar>
            <w:top w:w="0" w:type="dxa"/>
            <w:left w:w="108" w:type="dxa"/>
            <w:bottom w:w="0" w:type="dxa"/>
            <w:right w:w="108" w:type="dxa"/>
          </w:tblCellMar>
        </w:tblPrEx>
        <w:trPr>
          <w:trHeight w:val="574"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5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2022年，通过5.8博爱周宣传活动的开展，提高了红十字工作的知晓率、参与度，但是由于宣传经费少，宣传的范围还不够广，红十字宣传工作是一项长期的工作，涉及面大，任务艰巨而繁重</w:t>
            </w:r>
          </w:p>
        </w:tc>
      </w:tr>
      <w:tr>
        <w:tblPrEx>
          <w:tblCellMar>
            <w:top w:w="0" w:type="dxa"/>
            <w:left w:w="108" w:type="dxa"/>
            <w:bottom w:w="0" w:type="dxa"/>
            <w:right w:w="108" w:type="dxa"/>
          </w:tblCellMar>
        </w:tblPrEx>
        <w:trPr>
          <w:trHeight w:val="634"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5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下一步我们要加强各级各部门的通力协作，加强开展各类红十字主题宣传活动，大力弘扬红十字精神。</w:t>
            </w:r>
          </w:p>
        </w:tc>
      </w:tr>
      <w:tr>
        <w:tblPrEx>
          <w:tblCellMar>
            <w:top w:w="0" w:type="dxa"/>
            <w:left w:w="108" w:type="dxa"/>
            <w:bottom w:w="0" w:type="dxa"/>
            <w:right w:w="108" w:type="dxa"/>
          </w:tblCellMar>
        </w:tblPrEx>
        <w:trPr>
          <w:trHeight w:val="285" w:hRule="atLeast"/>
        </w:trPr>
        <w:tc>
          <w:tcPr>
            <w:tcW w:w="8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项目负责人：白德琴</w:t>
            </w:r>
          </w:p>
        </w:tc>
        <w:tc>
          <w:tcPr>
            <w:tcW w:w="66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092" w:type="dxa"/>
        <w:tblInd w:w="-494" w:type="dxa"/>
        <w:tblLayout w:type="fixed"/>
        <w:tblCellMar>
          <w:top w:w="0" w:type="dxa"/>
          <w:left w:w="108" w:type="dxa"/>
          <w:bottom w:w="0" w:type="dxa"/>
          <w:right w:w="108" w:type="dxa"/>
        </w:tblCellMar>
      </w:tblPr>
      <w:tblGrid>
        <w:gridCol w:w="1635"/>
        <w:gridCol w:w="1682"/>
        <w:gridCol w:w="1770"/>
        <w:gridCol w:w="2265"/>
        <w:gridCol w:w="988"/>
        <w:gridCol w:w="900"/>
        <w:gridCol w:w="1005"/>
        <w:gridCol w:w="1832"/>
        <w:gridCol w:w="673"/>
        <w:gridCol w:w="645"/>
        <w:gridCol w:w="1697"/>
      </w:tblGrid>
      <w:tr>
        <w:tblPrEx>
          <w:tblCellMar>
            <w:top w:w="0" w:type="dxa"/>
            <w:left w:w="108" w:type="dxa"/>
            <w:bottom w:w="0" w:type="dxa"/>
            <w:right w:w="108" w:type="dxa"/>
          </w:tblCellMar>
        </w:tblPrEx>
        <w:trPr>
          <w:trHeight w:val="285" w:hRule="atLeast"/>
        </w:trPr>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51081222T000006973839-单位办公用费租赁费</w:t>
            </w:r>
          </w:p>
        </w:tc>
      </w:tr>
      <w:tr>
        <w:tblPrEx>
          <w:tblCellMar>
            <w:top w:w="0" w:type="dxa"/>
            <w:left w:w="108" w:type="dxa"/>
            <w:bottom w:w="0" w:type="dxa"/>
            <w:right w:w="108" w:type="dxa"/>
          </w:tblCellMar>
        </w:tblPrEx>
        <w:trPr>
          <w:trHeight w:val="514" w:hRule="atLeast"/>
        </w:trPr>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832" w:type="dxa"/>
            <w:tcBorders>
              <w:top w:val="nil"/>
              <w:left w:val="nil"/>
              <w:bottom w:val="nil"/>
              <w:right w:val="nil"/>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112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6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朝天区红十字会于2008年由区卫生局管理调整为区政府领导直接联系的依法独立从事人道主义工作的社会团体，是参照公务员法管理的事业单位，单位现有工作人员7名， 2017年8月1日起租用国投公司房屋（原妇幼保健院办公楼五楼）办公，租房面积为81.7平方米。</w:t>
            </w:r>
          </w:p>
        </w:tc>
        <w:tc>
          <w:tcPr>
            <w:tcW w:w="4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2022年我会的单位办公用房租赁费，按照要求进行了支付。</w:t>
            </w:r>
          </w:p>
        </w:tc>
      </w:tr>
      <w:tr>
        <w:tblPrEx>
          <w:tblCellMar>
            <w:top w:w="0" w:type="dxa"/>
            <w:left w:w="108" w:type="dxa"/>
            <w:bottom w:w="0" w:type="dxa"/>
            <w:right w:w="108" w:type="dxa"/>
          </w:tblCellMar>
        </w:tblPrEx>
        <w:trPr>
          <w:trHeight w:val="69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2017年8月1日租用国投公司房屋（原妇幼保健院办公楼五楼）办公，租房面积为81.7平方米，租金标准为20元/㎡/月，年租金为1.96万元，自2017年8月1日至2022年12月31日，租金总额为10.62元，已完成缴纳。</w:t>
            </w:r>
          </w:p>
        </w:tc>
      </w:tr>
      <w:tr>
        <w:tblPrEx>
          <w:tblCellMar>
            <w:top w:w="0" w:type="dxa"/>
            <w:left w:w="108" w:type="dxa"/>
            <w:bottom w:w="0" w:type="dxa"/>
            <w:right w:w="108" w:type="dxa"/>
          </w:tblCellMar>
        </w:tblPrEx>
        <w:trPr>
          <w:trHeight w:val="36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办公用房租赁费缴纳年限</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办公用房使用率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办公用房租赁费缴纳完成时间</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2022年8月30日前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2022年7月</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年租金费用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10.62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办公用房使用满意度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338"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20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项目有序推进，按期完成，达到了预期效果。</w:t>
            </w:r>
          </w:p>
        </w:tc>
      </w:tr>
      <w:tr>
        <w:tblPrEx>
          <w:tblCellMar>
            <w:top w:w="0" w:type="dxa"/>
            <w:left w:w="108" w:type="dxa"/>
            <w:bottom w:w="0" w:type="dxa"/>
            <w:right w:w="108" w:type="dxa"/>
          </w:tblCellMar>
        </w:tblPrEx>
        <w:trPr>
          <w:trHeight w:val="574"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634"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67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122" w:type="dxa"/>
        <w:tblInd w:w="-524" w:type="dxa"/>
        <w:tblLayout w:type="fixed"/>
        <w:tblCellMar>
          <w:top w:w="0" w:type="dxa"/>
          <w:left w:w="108" w:type="dxa"/>
          <w:bottom w:w="0" w:type="dxa"/>
          <w:right w:w="108" w:type="dxa"/>
        </w:tblCellMar>
      </w:tblPr>
      <w:tblGrid>
        <w:gridCol w:w="1635"/>
        <w:gridCol w:w="1705"/>
        <w:gridCol w:w="1765"/>
        <w:gridCol w:w="2260"/>
        <w:gridCol w:w="1095"/>
        <w:gridCol w:w="780"/>
        <w:gridCol w:w="1020"/>
        <w:gridCol w:w="1620"/>
        <w:gridCol w:w="750"/>
        <w:gridCol w:w="885"/>
        <w:gridCol w:w="1607"/>
      </w:tblGrid>
      <w:tr>
        <w:tblPrEx>
          <w:tblCellMar>
            <w:top w:w="0" w:type="dxa"/>
            <w:left w:w="108" w:type="dxa"/>
            <w:bottom w:w="0" w:type="dxa"/>
            <w:right w:w="108" w:type="dxa"/>
          </w:tblCellMar>
        </w:tblPrEx>
        <w:trPr>
          <w:trHeight w:val="285" w:hRule="atLeast"/>
        </w:trPr>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51081222Y000005135060-定额公用经费（行政）</w:t>
            </w:r>
          </w:p>
        </w:tc>
      </w:tr>
      <w:tr>
        <w:tblPrEx>
          <w:tblCellMar>
            <w:top w:w="0" w:type="dxa"/>
            <w:left w:w="108" w:type="dxa"/>
            <w:bottom w:w="0" w:type="dxa"/>
            <w:right w:w="108" w:type="dxa"/>
          </w:tblCellMar>
        </w:tblPrEx>
        <w:trPr>
          <w:trHeight w:val="514" w:hRule="atLeast"/>
        </w:trPr>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6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620" w:type="dxa"/>
            <w:tcBorders>
              <w:top w:val="nil"/>
              <w:left w:val="nil"/>
              <w:bottom w:val="nil"/>
              <w:right w:val="nil"/>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6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6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4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2022年按照要求，按要求完成了公用经费的支出</w:t>
            </w:r>
          </w:p>
        </w:tc>
      </w:tr>
      <w:tr>
        <w:tblPrEx>
          <w:tblCellMar>
            <w:top w:w="0" w:type="dxa"/>
            <w:left w:w="108" w:type="dxa"/>
            <w:bottom w:w="0" w:type="dxa"/>
            <w:right w:w="108" w:type="dxa"/>
          </w:tblCellMar>
        </w:tblPrEx>
        <w:trPr>
          <w:trHeight w:val="69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该项目为运转类项目，主要保障部门日常公用支出。2022年，该预算项目资金年中有序支付，预算执行率100%，年末无资金结余情况。</w:t>
            </w:r>
          </w:p>
        </w:tc>
      </w:tr>
      <w:tr>
        <w:tblPrEx>
          <w:tblCellMar>
            <w:top w:w="0" w:type="dxa"/>
            <w:left w:w="108" w:type="dxa"/>
            <w:bottom w:w="0" w:type="dxa"/>
            <w:right w:w="108" w:type="dxa"/>
          </w:tblCellMar>
        </w:tblPrEx>
        <w:trPr>
          <w:trHeight w:val="36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9.20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9.20</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9.20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9.20</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9"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118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r>
      <w:tr>
        <w:tblPrEx>
          <w:tblCellMar>
            <w:top w:w="0" w:type="dxa"/>
            <w:left w:w="108" w:type="dxa"/>
            <w:bottom w:w="0" w:type="dxa"/>
            <w:right w:w="108" w:type="dxa"/>
          </w:tblCellMar>
        </w:tblPrEx>
        <w:trPr>
          <w:trHeight w:val="604"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3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项目有序推进，按期完成，达到了预期效果。为我部在下一年工作推进和预算安排上提供了对比数据。</w:t>
            </w:r>
          </w:p>
        </w:tc>
      </w:tr>
      <w:tr>
        <w:tblPrEx>
          <w:tblCellMar>
            <w:top w:w="0" w:type="dxa"/>
            <w:left w:w="108" w:type="dxa"/>
            <w:bottom w:w="0" w:type="dxa"/>
            <w:right w:w="108" w:type="dxa"/>
          </w:tblCellMar>
        </w:tblPrEx>
        <w:trPr>
          <w:trHeight w:val="574"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3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634"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3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285" w:hRule="atLeast"/>
        </w:trPr>
        <w:tc>
          <w:tcPr>
            <w:tcW w:w="8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6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rPr>
          <w:rFonts w:ascii="方正小标宋简体" w:hAnsi="方正小标宋简体" w:eastAsia="方正小标宋简体" w:cs="方正小标宋简体"/>
          <w:color w:val="000000" w:themeColor="text1"/>
          <w:sz w:val="36"/>
          <w:szCs w:val="36"/>
        </w:rPr>
      </w:pPr>
    </w:p>
    <w:p>
      <w:pPr>
        <w:pStyle w:val="2"/>
        <w:spacing w:before="93"/>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部门预算项目支出绩效自评表（2022年度）</w:t>
      </w:r>
    </w:p>
    <w:tbl>
      <w:tblPr>
        <w:tblStyle w:val="16"/>
        <w:tblW w:w="15090" w:type="dxa"/>
        <w:tblInd w:w="-359" w:type="dxa"/>
        <w:tblLayout w:type="autofit"/>
        <w:tblCellMar>
          <w:top w:w="0" w:type="dxa"/>
          <w:left w:w="108" w:type="dxa"/>
          <w:bottom w:w="0" w:type="dxa"/>
          <w:right w:w="108" w:type="dxa"/>
        </w:tblCellMar>
      </w:tblPr>
      <w:tblGrid>
        <w:gridCol w:w="1005"/>
        <w:gridCol w:w="2175"/>
        <w:gridCol w:w="1335"/>
        <w:gridCol w:w="2760"/>
        <w:gridCol w:w="1005"/>
        <w:gridCol w:w="1019"/>
        <w:gridCol w:w="1021"/>
        <w:gridCol w:w="1785"/>
        <w:gridCol w:w="645"/>
        <w:gridCol w:w="735"/>
        <w:gridCol w:w="1605"/>
      </w:tblGrid>
      <w:tr>
        <w:tblPrEx>
          <w:tblCellMar>
            <w:top w:w="0" w:type="dxa"/>
            <w:left w:w="108" w:type="dxa"/>
            <w:bottom w:w="0" w:type="dxa"/>
            <w:right w:w="108" w:type="dxa"/>
          </w:tblCellMar>
        </w:tblPrEx>
        <w:trPr>
          <w:trHeight w:val="285" w:hRule="atLeast"/>
        </w:trPr>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19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51081222Y000005135504-定额公用经费（事业）</w:t>
            </w:r>
          </w:p>
        </w:tc>
      </w:tr>
      <w:tr>
        <w:tblPrEx>
          <w:tblCellMar>
            <w:top w:w="0" w:type="dxa"/>
            <w:left w:w="108" w:type="dxa"/>
            <w:bottom w:w="0" w:type="dxa"/>
            <w:right w:w="108" w:type="dxa"/>
          </w:tblCellMar>
        </w:tblPrEx>
        <w:trPr>
          <w:trHeight w:val="90" w:hRule="atLeast"/>
        </w:trPr>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7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广元市朝天区红十字会部门</w:t>
            </w:r>
          </w:p>
        </w:tc>
        <w:tc>
          <w:tcPr>
            <w:tcW w:w="1785" w:type="dxa"/>
            <w:tcBorders>
              <w:top w:val="nil"/>
              <w:left w:val="nil"/>
              <w:bottom w:val="nil"/>
              <w:right w:val="nil"/>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广元市朝天区红十字会</w:t>
            </w:r>
          </w:p>
        </w:tc>
      </w:tr>
      <w:tr>
        <w:tblPrEx>
          <w:tblCellMar>
            <w:top w:w="0" w:type="dxa"/>
            <w:left w:w="108" w:type="dxa"/>
            <w:bottom w:w="0" w:type="dxa"/>
            <w:right w:w="108" w:type="dxa"/>
          </w:tblCellMar>
        </w:tblPrEx>
        <w:trPr>
          <w:trHeight w:val="285"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7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239"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7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保障单位日常运转，提高预算编制质量，严格执行预算</w:t>
            </w: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2022年按照要求，按要求完成了公用经费的支出</w:t>
            </w:r>
          </w:p>
        </w:tc>
      </w:tr>
      <w:tr>
        <w:tblPrEx>
          <w:tblCellMar>
            <w:top w:w="0" w:type="dxa"/>
            <w:left w:w="108" w:type="dxa"/>
            <w:bottom w:w="0" w:type="dxa"/>
            <w:right w:w="108" w:type="dxa"/>
          </w:tblCellMar>
        </w:tblPrEx>
        <w:trPr>
          <w:trHeight w:val="2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119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该项目为运转类项目，主要保障部门日常公用支出。2022年，该预算项目资金年中有序支付，预算执行率100%，年末无资金结余情况。</w:t>
            </w:r>
          </w:p>
        </w:tc>
      </w:tr>
      <w:tr>
        <w:tblPrEx>
          <w:tblCellMar>
            <w:top w:w="0" w:type="dxa"/>
            <w:left w:w="108" w:type="dxa"/>
            <w:bottom w:w="0" w:type="dxa"/>
            <w:right w:w="108" w:type="dxa"/>
          </w:tblCellMar>
        </w:tblPrEx>
        <w:trPr>
          <w:trHeight w:val="36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1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2.01</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2.01</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4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5"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83"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93"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5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30" w:hRule="atLeast"/>
        </w:trPr>
        <w:tc>
          <w:tcPr>
            <w:tcW w:w="121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r>
      <w:tr>
        <w:tblPrEx>
          <w:tblCellMar>
            <w:top w:w="0" w:type="dxa"/>
            <w:left w:w="108" w:type="dxa"/>
            <w:bottom w:w="0" w:type="dxa"/>
            <w:right w:w="108" w:type="dxa"/>
          </w:tblCellMar>
        </w:tblPrEx>
        <w:trPr>
          <w:trHeight w:val="29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4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项目有序推进，按期完成，达到了预期效果。为我部在下一年工作推进和预算安排上提供了对比数据。</w:t>
            </w:r>
          </w:p>
        </w:tc>
      </w:tr>
      <w:tr>
        <w:tblPrEx>
          <w:tblCellMar>
            <w:top w:w="0" w:type="dxa"/>
            <w:left w:w="108" w:type="dxa"/>
            <w:bottom w:w="0" w:type="dxa"/>
            <w:right w:w="108" w:type="dxa"/>
          </w:tblCellMar>
        </w:tblPrEx>
        <w:trPr>
          <w:trHeight w:val="12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4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19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4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tblPrEx>
          <w:tblCellMar>
            <w:top w:w="0" w:type="dxa"/>
            <w:left w:w="108" w:type="dxa"/>
            <w:bottom w:w="0" w:type="dxa"/>
            <w:right w:w="108" w:type="dxa"/>
          </w:tblCellMar>
        </w:tblPrEx>
        <w:trPr>
          <w:trHeight w:val="150" w:hRule="atLeast"/>
        </w:trPr>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项目负责人：李文琼</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财务负责人：柳志伟</w:t>
            </w:r>
          </w:p>
        </w:tc>
      </w:tr>
    </w:tbl>
    <w:p>
      <w:pPr>
        <w:pStyle w:val="2"/>
        <w:numPr>
          <w:ilvl w:val="0"/>
          <w:numId w:val="6"/>
        </w:numPr>
        <w:spacing w:before="93" w:line="240" w:lineRule="exact"/>
        <w:rPr>
          <w:rFonts w:ascii="宋体" w:hAnsi="宋体" w:eastAsia="宋体" w:cs="宋体"/>
          <w:color w:val="000000"/>
          <w:sz w:val="18"/>
          <w:szCs w:val="18"/>
        </w:rPr>
      </w:pPr>
      <w:r>
        <w:rPr>
          <w:rFonts w:hint="eastAsia" w:ascii="宋体" w:hAnsi="宋体" w:eastAsia="宋体" w:cs="宋体"/>
          <w:color w:val="000000"/>
          <w:sz w:val="18"/>
          <w:szCs w:val="18"/>
        </w:rPr>
        <w:t>报表说明:该报表查询项目信息、绩效目标信息、预算及执行情况，用于预算单位查询导出开展项目自评。2、取数口径：部门项目绩效目标表信息，包括年初预算、追加预算、结转预算和调整预算的绩效目标（以项目的最终绩效目标为准）。</w:t>
      </w:r>
    </w:p>
    <w:p>
      <w:pPr>
        <w:pStyle w:val="2"/>
        <w:spacing w:before="93" w:line="240" w:lineRule="exact"/>
        <w:rPr>
          <w:rFonts w:ascii="宋体" w:hAnsi="宋体" w:eastAsia="宋体" w:cs="宋体"/>
          <w:color w:val="000000"/>
          <w:sz w:val="18"/>
          <w:szCs w:val="18"/>
        </w:rPr>
        <w:sectPr>
          <w:headerReference r:id="rId4" w:type="default"/>
          <w:footerReference r:id="rId5" w:type="default"/>
          <w:pgSz w:w="16838" w:h="11906" w:orient="landscape"/>
          <w:pgMar w:top="1803" w:right="1440" w:bottom="1803" w:left="1440" w:header="851" w:footer="1304" w:gutter="0"/>
          <w:cols w:space="0" w:num="1"/>
          <w:docGrid w:type="lines" w:linePitch="312" w:charSpace="0"/>
        </w:sectPr>
      </w:pPr>
      <w:r>
        <w:rPr>
          <w:rFonts w:hint="eastAsia" w:ascii="宋体" w:hAnsi="宋体" w:eastAsia="宋体" w:cs="宋体"/>
          <w:color w:val="000000"/>
          <w:sz w:val="18"/>
          <w:szCs w:val="18"/>
        </w:rPr>
        <w:t>适用地区：全省范围               适用用户：部门用户、单位用户</w:t>
      </w:r>
    </w:p>
    <w:p>
      <w:pPr>
        <w:spacing w:line="600" w:lineRule="exact"/>
        <w:ind w:firstLine="2640" w:firstLineChars="600"/>
        <w:outlineLvl w:val="0"/>
        <w:rPr>
          <w:rFonts w:ascii="仿宋" w:hAnsi="仿宋" w:eastAsia="仿宋"/>
        </w:rPr>
      </w:pPr>
      <w:bookmarkStart w:id="102" w:name="_Toc30892"/>
      <w:bookmarkStart w:id="103" w:name="_Toc15396618"/>
      <w:r>
        <w:rPr>
          <w:rFonts w:hint="eastAsia" w:ascii="黑体" w:hAnsi="黑体" w:eastAsia="黑体"/>
          <w:sz w:val="44"/>
          <w:szCs w:val="44"/>
        </w:rPr>
        <w:t>第</w:t>
      </w:r>
      <w:r>
        <w:rPr>
          <w:rStyle w:val="30"/>
          <w:rFonts w:hint="eastAsia" w:ascii="黑体" w:hAnsi="黑体" w:eastAsia="黑体"/>
          <w:b w:val="0"/>
        </w:rPr>
        <w:t>五部分 附表</w:t>
      </w:r>
      <w:bookmarkEnd w:id="83"/>
      <w:bookmarkEnd w:id="102"/>
      <w:bookmarkEnd w:id="103"/>
      <w:bookmarkStart w:id="104" w:name="_Toc15396619"/>
    </w:p>
    <w:p>
      <w:pPr>
        <w:pStyle w:val="4"/>
        <w:spacing w:before="0" w:after="0" w:line="576" w:lineRule="exact"/>
        <w:outlineLvl w:val="9"/>
        <w:rPr>
          <w:rFonts w:ascii="仿宋_GB2312" w:hAnsi="仿宋_GB2312" w:eastAsia="仿宋_GB2312" w:cs="仿宋_GB2312"/>
          <w:b w:val="0"/>
        </w:rPr>
      </w:pPr>
    </w:p>
    <w:p>
      <w:pPr>
        <w:pStyle w:val="4"/>
        <w:spacing w:before="0" w:after="0" w:line="576" w:lineRule="exact"/>
        <w:rPr>
          <w:rFonts w:ascii="仿宋_GB2312" w:hAnsi="仿宋_GB2312" w:eastAsia="仿宋_GB2312" w:cs="仿宋_GB2312"/>
        </w:rPr>
      </w:pPr>
      <w:bookmarkStart w:id="105" w:name="_Toc838"/>
      <w:r>
        <w:rPr>
          <w:rFonts w:hint="eastAsia" w:ascii="仿宋_GB2312" w:hAnsi="仿宋_GB2312" w:eastAsia="仿宋_GB2312" w:cs="仿宋_GB2312"/>
          <w:b w:val="0"/>
        </w:rPr>
        <w:t>一、收</w:t>
      </w:r>
      <w:r>
        <w:rPr>
          <w:rStyle w:val="31"/>
          <w:rFonts w:hint="eastAsia" w:ascii="仿宋_GB2312" w:hAnsi="仿宋_GB2312" w:eastAsia="仿宋_GB2312" w:cs="仿宋_GB2312"/>
          <w:b w:val="0"/>
          <w:bCs w:val="0"/>
        </w:rPr>
        <w:t>入支出决算总表</w:t>
      </w:r>
      <w:bookmarkEnd w:id="104"/>
      <w:bookmarkEnd w:id="105"/>
    </w:p>
    <w:p>
      <w:pPr>
        <w:pStyle w:val="4"/>
        <w:spacing w:before="0" w:after="0" w:line="576" w:lineRule="exact"/>
        <w:rPr>
          <w:rFonts w:ascii="仿宋_GB2312" w:hAnsi="仿宋_GB2312" w:eastAsia="仿宋_GB2312" w:cs="仿宋_GB2312"/>
        </w:rPr>
      </w:pPr>
      <w:bookmarkStart w:id="106" w:name="_Toc4550"/>
      <w:bookmarkStart w:id="107" w:name="_Toc15396620"/>
      <w:r>
        <w:rPr>
          <w:rFonts w:hint="eastAsia" w:ascii="仿宋_GB2312" w:hAnsi="仿宋_GB2312" w:eastAsia="仿宋_GB2312" w:cs="仿宋_GB2312"/>
          <w:b w:val="0"/>
        </w:rPr>
        <w:t>二、收</w:t>
      </w:r>
      <w:r>
        <w:rPr>
          <w:rStyle w:val="31"/>
          <w:rFonts w:hint="eastAsia" w:ascii="仿宋_GB2312" w:hAnsi="仿宋_GB2312" w:eastAsia="仿宋_GB2312" w:cs="仿宋_GB2312"/>
          <w:b w:val="0"/>
          <w:bCs w:val="0"/>
        </w:rPr>
        <w:t>入决算表</w:t>
      </w:r>
      <w:bookmarkEnd w:id="106"/>
      <w:bookmarkEnd w:id="107"/>
    </w:p>
    <w:p>
      <w:pPr>
        <w:pStyle w:val="4"/>
        <w:spacing w:before="0" w:after="0" w:line="576" w:lineRule="exact"/>
        <w:rPr>
          <w:rFonts w:ascii="仿宋_GB2312" w:hAnsi="仿宋_GB2312" w:eastAsia="仿宋_GB2312" w:cs="仿宋_GB2312"/>
        </w:rPr>
      </w:pPr>
      <w:bookmarkStart w:id="108" w:name="_Toc29651"/>
      <w:bookmarkStart w:id="109" w:name="_Toc15396621"/>
      <w:r>
        <w:rPr>
          <w:rStyle w:val="31"/>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31"/>
          <w:rFonts w:hint="eastAsia" w:ascii="仿宋_GB2312" w:hAnsi="仿宋_GB2312" w:eastAsia="仿宋_GB2312" w:cs="仿宋_GB2312"/>
          <w:b w:val="0"/>
          <w:bCs w:val="0"/>
        </w:rPr>
        <w:t>出决算表</w:t>
      </w:r>
      <w:bookmarkEnd w:id="108"/>
      <w:bookmarkEnd w:id="109"/>
    </w:p>
    <w:p>
      <w:pPr>
        <w:pStyle w:val="4"/>
        <w:spacing w:before="0" w:after="0" w:line="576" w:lineRule="exact"/>
        <w:rPr>
          <w:rFonts w:ascii="仿宋_GB2312" w:hAnsi="仿宋_GB2312" w:eastAsia="仿宋_GB2312" w:cs="仿宋_GB2312"/>
          <w:b w:val="0"/>
        </w:rPr>
      </w:pPr>
      <w:bookmarkStart w:id="110" w:name="_Toc7090"/>
      <w:bookmarkStart w:id="111" w:name="_Toc15396622"/>
      <w:r>
        <w:rPr>
          <w:rStyle w:val="31"/>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31"/>
          <w:rFonts w:hint="eastAsia" w:ascii="仿宋_GB2312" w:hAnsi="仿宋_GB2312" w:eastAsia="仿宋_GB2312" w:cs="仿宋_GB2312"/>
          <w:b w:val="0"/>
          <w:bCs w:val="0"/>
        </w:rPr>
        <w:t>政拨款收入支出决算总表</w:t>
      </w:r>
      <w:bookmarkEnd w:id="110"/>
      <w:bookmarkEnd w:id="111"/>
    </w:p>
    <w:p>
      <w:pPr>
        <w:pStyle w:val="4"/>
        <w:spacing w:before="0" w:after="0" w:line="576" w:lineRule="exact"/>
        <w:rPr>
          <w:rStyle w:val="31"/>
          <w:rFonts w:ascii="仿宋_GB2312" w:hAnsi="仿宋_GB2312" w:eastAsia="仿宋_GB2312" w:cs="仿宋_GB2312"/>
          <w:b w:val="0"/>
          <w:bCs w:val="0"/>
        </w:rPr>
      </w:pPr>
      <w:bookmarkStart w:id="112" w:name="_Toc5617"/>
      <w:bookmarkStart w:id="113" w:name="_Toc15396623"/>
      <w:r>
        <w:rPr>
          <w:rStyle w:val="31"/>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31"/>
          <w:rFonts w:hint="eastAsia" w:ascii="仿宋_GB2312" w:hAnsi="仿宋_GB2312" w:eastAsia="仿宋_GB2312" w:cs="仿宋_GB2312"/>
          <w:b w:val="0"/>
          <w:bCs w:val="0"/>
        </w:rPr>
        <w:t>政拨款支出决算明细表</w:t>
      </w:r>
      <w:bookmarkEnd w:id="112"/>
      <w:bookmarkEnd w:id="113"/>
      <w:bookmarkStart w:id="114" w:name="_Toc15396624"/>
    </w:p>
    <w:p>
      <w:pPr>
        <w:pStyle w:val="4"/>
        <w:spacing w:before="0" w:after="0" w:line="576" w:lineRule="exact"/>
        <w:rPr>
          <w:rFonts w:ascii="仿宋_GB2312" w:hAnsi="仿宋_GB2312" w:eastAsia="仿宋_GB2312" w:cs="仿宋_GB2312"/>
        </w:rPr>
      </w:pPr>
      <w:bookmarkStart w:id="115" w:name="_Toc32204"/>
      <w:r>
        <w:rPr>
          <w:rStyle w:val="31"/>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31"/>
          <w:rFonts w:hint="eastAsia" w:ascii="仿宋_GB2312" w:hAnsi="仿宋_GB2312" w:eastAsia="仿宋_GB2312" w:cs="仿宋_GB2312"/>
          <w:b w:val="0"/>
          <w:bCs w:val="0"/>
        </w:rPr>
        <w:t>般公共预算财政拨款支出决算表</w:t>
      </w:r>
      <w:bookmarkEnd w:id="114"/>
      <w:bookmarkEnd w:id="115"/>
    </w:p>
    <w:p>
      <w:pPr>
        <w:pStyle w:val="4"/>
        <w:spacing w:before="0" w:after="0" w:line="576" w:lineRule="exact"/>
        <w:rPr>
          <w:rFonts w:ascii="仿宋_GB2312" w:hAnsi="仿宋_GB2312" w:eastAsia="仿宋_GB2312" w:cs="仿宋_GB2312"/>
        </w:rPr>
      </w:pPr>
      <w:bookmarkStart w:id="116" w:name="_Toc15396625"/>
      <w:bookmarkStart w:id="117" w:name="_Toc32228"/>
      <w:r>
        <w:rPr>
          <w:rStyle w:val="31"/>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31"/>
          <w:rFonts w:hint="eastAsia" w:ascii="仿宋_GB2312" w:hAnsi="仿宋_GB2312" w:eastAsia="仿宋_GB2312" w:cs="仿宋_GB2312"/>
          <w:b w:val="0"/>
          <w:bCs w:val="0"/>
        </w:rPr>
        <w:t>般公共预算财政拨款支出决算明细表</w:t>
      </w:r>
      <w:bookmarkEnd w:id="116"/>
      <w:bookmarkEnd w:id="117"/>
    </w:p>
    <w:p>
      <w:pPr>
        <w:pStyle w:val="4"/>
        <w:spacing w:before="0" w:after="0" w:line="576" w:lineRule="exact"/>
        <w:rPr>
          <w:rFonts w:ascii="仿宋_GB2312" w:hAnsi="仿宋_GB2312" w:eastAsia="仿宋_GB2312" w:cs="仿宋_GB2312"/>
        </w:rPr>
      </w:pPr>
      <w:bookmarkStart w:id="118" w:name="_Toc15396626"/>
      <w:bookmarkStart w:id="119" w:name="_Toc25685"/>
      <w:r>
        <w:rPr>
          <w:rStyle w:val="31"/>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31"/>
          <w:rFonts w:hint="eastAsia" w:ascii="仿宋_GB2312" w:hAnsi="仿宋_GB2312" w:eastAsia="仿宋_GB2312" w:cs="仿宋_GB2312"/>
          <w:b w:val="0"/>
          <w:bCs w:val="0"/>
        </w:rPr>
        <w:t>般公共预算财政拨款基本支出决算表</w:t>
      </w:r>
      <w:bookmarkEnd w:id="118"/>
      <w:bookmarkEnd w:id="119"/>
    </w:p>
    <w:p>
      <w:pPr>
        <w:pStyle w:val="4"/>
        <w:spacing w:before="0" w:after="0" w:line="576" w:lineRule="exact"/>
        <w:rPr>
          <w:rFonts w:ascii="仿宋_GB2312" w:hAnsi="仿宋_GB2312" w:eastAsia="仿宋_GB2312" w:cs="仿宋_GB2312"/>
        </w:rPr>
      </w:pPr>
      <w:bookmarkStart w:id="120" w:name="_Toc5063"/>
      <w:bookmarkStart w:id="121" w:name="_Toc15396627"/>
      <w:r>
        <w:rPr>
          <w:rStyle w:val="31"/>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31"/>
          <w:rFonts w:hint="eastAsia" w:ascii="仿宋_GB2312" w:hAnsi="仿宋_GB2312" w:eastAsia="仿宋_GB2312" w:cs="仿宋_GB2312"/>
          <w:b w:val="0"/>
          <w:bCs w:val="0"/>
        </w:rPr>
        <w:t>般公共预算财政拨款项目支出决算表</w:t>
      </w:r>
      <w:bookmarkEnd w:id="120"/>
      <w:bookmarkEnd w:id="121"/>
    </w:p>
    <w:p>
      <w:pPr>
        <w:pStyle w:val="4"/>
        <w:spacing w:before="0" w:after="0" w:line="576" w:lineRule="exact"/>
        <w:rPr>
          <w:rFonts w:ascii="仿宋_GB2312" w:hAnsi="仿宋_GB2312" w:eastAsia="仿宋_GB2312" w:cs="仿宋_GB2312"/>
        </w:rPr>
      </w:pPr>
      <w:bookmarkStart w:id="122" w:name="_Toc15396628"/>
      <w:bookmarkStart w:id="123" w:name="_Toc22609"/>
      <w:r>
        <w:rPr>
          <w:rStyle w:val="31"/>
          <w:rFonts w:hint="eastAsia" w:ascii="仿宋_GB2312" w:hAnsi="仿宋_GB2312" w:eastAsia="仿宋_GB2312" w:cs="仿宋_GB2312"/>
          <w:b w:val="0"/>
          <w:bCs w:val="0"/>
        </w:rPr>
        <w:t>十、</w:t>
      </w:r>
      <w:bookmarkEnd w:id="122"/>
      <w:r>
        <w:rPr>
          <w:rFonts w:hint="eastAsia" w:ascii="仿宋_GB2312" w:hAnsi="仿宋_GB2312" w:eastAsia="仿宋_GB2312" w:cs="仿宋_GB2312"/>
          <w:b w:val="0"/>
        </w:rPr>
        <w:t>政</w:t>
      </w:r>
      <w:r>
        <w:rPr>
          <w:rStyle w:val="31"/>
          <w:rFonts w:hint="eastAsia" w:ascii="仿宋_GB2312" w:hAnsi="仿宋_GB2312" w:eastAsia="仿宋_GB2312" w:cs="仿宋_GB2312"/>
          <w:b w:val="0"/>
          <w:bCs w:val="0"/>
        </w:rPr>
        <w:t>府性基金预算财政拨款收入支出决算表</w:t>
      </w:r>
      <w:bookmarkEnd w:id="123"/>
    </w:p>
    <w:p>
      <w:pPr>
        <w:pStyle w:val="4"/>
        <w:spacing w:before="0" w:after="0" w:line="576" w:lineRule="exact"/>
        <w:rPr>
          <w:rFonts w:ascii="仿宋_GB2312" w:hAnsi="仿宋_GB2312" w:eastAsia="仿宋_GB2312" w:cs="仿宋_GB2312"/>
        </w:rPr>
      </w:pPr>
      <w:bookmarkStart w:id="124" w:name="_Toc15396629"/>
      <w:bookmarkStart w:id="125" w:name="_Toc24704"/>
      <w:r>
        <w:rPr>
          <w:rStyle w:val="31"/>
          <w:rFonts w:hint="eastAsia" w:ascii="仿宋_GB2312" w:hAnsi="仿宋_GB2312" w:eastAsia="仿宋_GB2312" w:cs="仿宋_GB2312"/>
          <w:b w:val="0"/>
          <w:bCs w:val="0"/>
        </w:rPr>
        <w:t>十一、</w:t>
      </w:r>
      <w:bookmarkEnd w:id="124"/>
      <w:r>
        <w:rPr>
          <w:rFonts w:hint="eastAsia" w:ascii="仿宋_GB2312" w:hAnsi="仿宋_GB2312" w:eastAsia="仿宋_GB2312" w:cs="仿宋_GB2312"/>
          <w:b w:val="0"/>
        </w:rPr>
        <w:t>国</w:t>
      </w:r>
      <w:r>
        <w:rPr>
          <w:rStyle w:val="31"/>
          <w:rFonts w:hint="eastAsia" w:ascii="仿宋_GB2312" w:hAnsi="仿宋_GB2312" w:eastAsia="仿宋_GB2312" w:cs="仿宋_GB2312"/>
          <w:b w:val="0"/>
          <w:bCs w:val="0"/>
        </w:rPr>
        <w:t>有资本经营预算财政拨款收入支出决算表</w:t>
      </w:r>
      <w:bookmarkEnd w:id="125"/>
    </w:p>
    <w:p>
      <w:pPr>
        <w:pStyle w:val="4"/>
        <w:spacing w:before="0" w:after="0" w:line="576" w:lineRule="exact"/>
        <w:rPr>
          <w:rFonts w:ascii="仿宋_GB2312" w:hAnsi="仿宋_GB2312" w:eastAsia="仿宋_GB2312" w:cs="仿宋_GB2312"/>
        </w:rPr>
      </w:pPr>
      <w:bookmarkStart w:id="126" w:name="_Toc15396630"/>
      <w:bookmarkStart w:id="127" w:name="_Toc6972"/>
      <w:r>
        <w:rPr>
          <w:rStyle w:val="31"/>
          <w:rFonts w:hint="eastAsia" w:ascii="仿宋_GB2312" w:hAnsi="仿宋_GB2312" w:eastAsia="仿宋_GB2312" w:cs="仿宋_GB2312"/>
          <w:b w:val="0"/>
          <w:bCs w:val="0"/>
        </w:rPr>
        <w:t>十二、</w:t>
      </w:r>
      <w:bookmarkEnd w:id="126"/>
      <w:r>
        <w:rPr>
          <w:rStyle w:val="31"/>
          <w:rFonts w:hint="eastAsia" w:ascii="仿宋_GB2312" w:hAnsi="仿宋_GB2312" w:eastAsia="仿宋_GB2312" w:cs="仿宋_GB2312"/>
          <w:b w:val="0"/>
          <w:bCs w:val="0"/>
        </w:rPr>
        <w:t>国有资本经营预算财政拨款支出决算表</w:t>
      </w:r>
      <w:bookmarkEnd w:id="127"/>
    </w:p>
    <w:p>
      <w:pPr>
        <w:pStyle w:val="4"/>
        <w:spacing w:before="0" w:after="0" w:line="576" w:lineRule="exact"/>
        <w:rPr>
          <w:rFonts w:ascii="仿宋_GB2312" w:hAnsi="仿宋_GB2312" w:eastAsia="仿宋_GB2312" w:cs="仿宋_GB2312"/>
        </w:rPr>
      </w:pPr>
      <w:bookmarkStart w:id="128" w:name="_Toc15396631"/>
      <w:bookmarkStart w:id="129" w:name="_Toc13087"/>
      <w:r>
        <w:rPr>
          <w:rStyle w:val="31"/>
          <w:rFonts w:hint="eastAsia" w:ascii="仿宋_GB2312" w:hAnsi="仿宋_GB2312" w:eastAsia="仿宋_GB2312" w:cs="仿宋_GB2312"/>
          <w:b w:val="0"/>
          <w:bCs w:val="0"/>
        </w:rPr>
        <w:t>十三、</w:t>
      </w:r>
      <w:bookmarkEnd w:id="128"/>
      <w:r>
        <w:rPr>
          <w:rStyle w:val="31"/>
          <w:rFonts w:hint="eastAsia" w:ascii="仿宋_GB2312" w:hAnsi="仿宋_GB2312" w:eastAsia="仿宋_GB2312" w:cs="仿宋_GB2312"/>
          <w:b w:val="0"/>
          <w:bCs w:val="0"/>
        </w:rPr>
        <w:t>财政拨款“三公”经费支出决算表</w:t>
      </w:r>
      <w:bookmarkEnd w:id="129"/>
    </w:p>
    <w:sectPr>
      <w:pgSz w:w="11906" w:h="16838"/>
      <w:pgMar w:top="2098" w:right="1474" w:bottom="1984" w:left="1587"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31" o:spid="_x0000_s103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asciiTheme="minorEastAsia" w:hAnsiTheme="minorEastAsia" w:eastAsiaTheme="minorEastAsia" w:cstheme="minorEastAsia"/>
                    <w:sz w:val="30"/>
                    <w:szCs w:val="30"/>
                  </w:rPr>
                  <w:t>26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B6370"/>
    <w:multiLevelType w:val="singleLevel"/>
    <w:tmpl w:val="8B9B6370"/>
    <w:lvl w:ilvl="0" w:tentative="0">
      <w:start w:val="1"/>
      <w:numFmt w:val="decimal"/>
      <w:lvlText w:val="%1."/>
      <w:lvlJc w:val="left"/>
      <w:pPr>
        <w:tabs>
          <w:tab w:val="left" w:pos="312"/>
        </w:tabs>
      </w:p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F22235"/>
    <w:multiLevelType w:val="singleLevel"/>
    <w:tmpl w:val="38F22235"/>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8"/>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5NTVhNGRkZDBjMjQ0NWMxNjc2MGFlN2QzYmRmOTgifQ=="/>
  </w:docVars>
  <w:rsids>
    <w:rsidRoot w:val="00F1361C"/>
    <w:rsid w:val="000048F8"/>
    <w:rsid w:val="0001268D"/>
    <w:rsid w:val="000222C6"/>
    <w:rsid w:val="0002549F"/>
    <w:rsid w:val="00036733"/>
    <w:rsid w:val="00040336"/>
    <w:rsid w:val="000468DB"/>
    <w:rsid w:val="0006487A"/>
    <w:rsid w:val="00065F8F"/>
    <w:rsid w:val="00070A43"/>
    <w:rsid w:val="000768F2"/>
    <w:rsid w:val="000812AE"/>
    <w:rsid w:val="000820F2"/>
    <w:rsid w:val="00083385"/>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2EAE"/>
    <w:rsid w:val="00114E9B"/>
    <w:rsid w:val="00142216"/>
    <w:rsid w:val="00144D6A"/>
    <w:rsid w:val="0014729F"/>
    <w:rsid w:val="00152E93"/>
    <w:rsid w:val="00157BAB"/>
    <w:rsid w:val="001654D1"/>
    <w:rsid w:val="00174518"/>
    <w:rsid w:val="00180B71"/>
    <w:rsid w:val="0018106D"/>
    <w:rsid w:val="001877A7"/>
    <w:rsid w:val="00191536"/>
    <w:rsid w:val="00196687"/>
    <w:rsid w:val="001B5129"/>
    <w:rsid w:val="001C0962"/>
    <w:rsid w:val="001D203E"/>
    <w:rsid w:val="001D7531"/>
    <w:rsid w:val="001E737D"/>
    <w:rsid w:val="001F0592"/>
    <w:rsid w:val="001F7506"/>
    <w:rsid w:val="002006CD"/>
    <w:rsid w:val="00202B36"/>
    <w:rsid w:val="00204B7A"/>
    <w:rsid w:val="00204CDE"/>
    <w:rsid w:val="00207FC8"/>
    <w:rsid w:val="0021101A"/>
    <w:rsid w:val="00220536"/>
    <w:rsid w:val="00235629"/>
    <w:rsid w:val="00251414"/>
    <w:rsid w:val="00260C38"/>
    <w:rsid w:val="002616C0"/>
    <w:rsid w:val="00265372"/>
    <w:rsid w:val="002662AA"/>
    <w:rsid w:val="00280496"/>
    <w:rsid w:val="00294DC9"/>
    <w:rsid w:val="00295495"/>
    <w:rsid w:val="002A31DE"/>
    <w:rsid w:val="002A70F2"/>
    <w:rsid w:val="002B2613"/>
    <w:rsid w:val="002D43A1"/>
    <w:rsid w:val="002D650C"/>
    <w:rsid w:val="002D6D05"/>
    <w:rsid w:val="002F1818"/>
    <w:rsid w:val="002F567B"/>
    <w:rsid w:val="003216A9"/>
    <w:rsid w:val="0032616F"/>
    <w:rsid w:val="00335A74"/>
    <w:rsid w:val="00350F12"/>
    <w:rsid w:val="00357378"/>
    <w:rsid w:val="0036561B"/>
    <w:rsid w:val="0036728B"/>
    <w:rsid w:val="0037013F"/>
    <w:rsid w:val="00380C92"/>
    <w:rsid w:val="00394403"/>
    <w:rsid w:val="003A3447"/>
    <w:rsid w:val="003A484F"/>
    <w:rsid w:val="003A4883"/>
    <w:rsid w:val="003B0BE0"/>
    <w:rsid w:val="003B0C1B"/>
    <w:rsid w:val="003B688C"/>
    <w:rsid w:val="003C0291"/>
    <w:rsid w:val="003C39AE"/>
    <w:rsid w:val="003C529B"/>
    <w:rsid w:val="003C7B60"/>
    <w:rsid w:val="003D0C0F"/>
    <w:rsid w:val="003D1FB2"/>
    <w:rsid w:val="003D206C"/>
    <w:rsid w:val="003D66DA"/>
    <w:rsid w:val="003E1310"/>
    <w:rsid w:val="003E6F55"/>
    <w:rsid w:val="003F597E"/>
    <w:rsid w:val="00406254"/>
    <w:rsid w:val="004223DE"/>
    <w:rsid w:val="00433BD8"/>
    <w:rsid w:val="00434489"/>
    <w:rsid w:val="00437085"/>
    <w:rsid w:val="00443880"/>
    <w:rsid w:val="004464F4"/>
    <w:rsid w:val="00471401"/>
    <w:rsid w:val="00473F31"/>
    <w:rsid w:val="0048263A"/>
    <w:rsid w:val="00487E5D"/>
    <w:rsid w:val="00497EAD"/>
    <w:rsid w:val="004A4E6D"/>
    <w:rsid w:val="004A711F"/>
    <w:rsid w:val="004B199D"/>
    <w:rsid w:val="004B4690"/>
    <w:rsid w:val="004E0A2D"/>
    <w:rsid w:val="004E206B"/>
    <w:rsid w:val="004E6DF7"/>
    <w:rsid w:val="004F0FBD"/>
    <w:rsid w:val="00505A47"/>
    <w:rsid w:val="00506B86"/>
    <w:rsid w:val="00512FDA"/>
    <w:rsid w:val="00520DA0"/>
    <w:rsid w:val="00544F12"/>
    <w:rsid w:val="005664BB"/>
    <w:rsid w:val="00566FFA"/>
    <w:rsid w:val="0057481D"/>
    <w:rsid w:val="005835A0"/>
    <w:rsid w:val="0058486E"/>
    <w:rsid w:val="00585B33"/>
    <w:rsid w:val="00586FDD"/>
    <w:rsid w:val="0059014D"/>
    <w:rsid w:val="00590BC1"/>
    <w:rsid w:val="005B5C64"/>
    <w:rsid w:val="005C5337"/>
    <w:rsid w:val="005C6BD0"/>
    <w:rsid w:val="005D1C8B"/>
    <w:rsid w:val="005D468D"/>
    <w:rsid w:val="005D4AA7"/>
    <w:rsid w:val="005D5CED"/>
    <w:rsid w:val="005F1A4C"/>
    <w:rsid w:val="00601184"/>
    <w:rsid w:val="00605688"/>
    <w:rsid w:val="006070A5"/>
    <w:rsid w:val="006070AF"/>
    <w:rsid w:val="00607E6C"/>
    <w:rsid w:val="006101B1"/>
    <w:rsid w:val="00614E44"/>
    <w:rsid w:val="0062270A"/>
    <w:rsid w:val="00622830"/>
    <w:rsid w:val="00623DA0"/>
    <w:rsid w:val="006302E4"/>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5B8B"/>
    <w:rsid w:val="00757D51"/>
    <w:rsid w:val="00760DA8"/>
    <w:rsid w:val="0076182A"/>
    <w:rsid w:val="00763D50"/>
    <w:rsid w:val="00765DC0"/>
    <w:rsid w:val="00767B7E"/>
    <w:rsid w:val="007770C3"/>
    <w:rsid w:val="00782843"/>
    <w:rsid w:val="00784D24"/>
    <w:rsid w:val="00785FBA"/>
    <w:rsid w:val="00786E4A"/>
    <w:rsid w:val="007875EB"/>
    <w:rsid w:val="0079426B"/>
    <w:rsid w:val="007A1661"/>
    <w:rsid w:val="007B2C9F"/>
    <w:rsid w:val="007B508B"/>
    <w:rsid w:val="007C106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2F47"/>
    <w:rsid w:val="00853718"/>
    <w:rsid w:val="00855221"/>
    <w:rsid w:val="00860645"/>
    <w:rsid w:val="00871F71"/>
    <w:rsid w:val="00872FD8"/>
    <w:rsid w:val="0088185D"/>
    <w:rsid w:val="00885AF4"/>
    <w:rsid w:val="008939CD"/>
    <w:rsid w:val="008B768C"/>
    <w:rsid w:val="008C4DB1"/>
    <w:rsid w:val="008C4EAF"/>
    <w:rsid w:val="008C5176"/>
    <w:rsid w:val="008C7FD0"/>
    <w:rsid w:val="008E1DE7"/>
    <w:rsid w:val="008E707C"/>
    <w:rsid w:val="008F1871"/>
    <w:rsid w:val="00900B08"/>
    <w:rsid w:val="00902155"/>
    <w:rsid w:val="00902FA3"/>
    <w:rsid w:val="00911D9A"/>
    <w:rsid w:val="009143E0"/>
    <w:rsid w:val="00921EEF"/>
    <w:rsid w:val="009221F5"/>
    <w:rsid w:val="00923564"/>
    <w:rsid w:val="0092392E"/>
    <w:rsid w:val="009306B2"/>
    <w:rsid w:val="009315F9"/>
    <w:rsid w:val="00933499"/>
    <w:rsid w:val="00935C98"/>
    <w:rsid w:val="00946945"/>
    <w:rsid w:val="00951248"/>
    <w:rsid w:val="0095152F"/>
    <w:rsid w:val="00954C49"/>
    <w:rsid w:val="00955881"/>
    <w:rsid w:val="00955E37"/>
    <w:rsid w:val="0097099F"/>
    <w:rsid w:val="00971997"/>
    <w:rsid w:val="00971FFC"/>
    <w:rsid w:val="0098660A"/>
    <w:rsid w:val="00992069"/>
    <w:rsid w:val="009931C3"/>
    <w:rsid w:val="0099552E"/>
    <w:rsid w:val="009A2980"/>
    <w:rsid w:val="009B2C43"/>
    <w:rsid w:val="009B416F"/>
    <w:rsid w:val="009B4EAE"/>
    <w:rsid w:val="009B6EF7"/>
    <w:rsid w:val="009B7573"/>
    <w:rsid w:val="009C22F4"/>
    <w:rsid w:val="009C2A4B"/>
    <w:rsid w:val="009C2E98"/>
    <w:rsid w:val="009D3447"/>
    <w:rsid w:val="009D4711"/>
    <w:rsid w:val="009F0BD5"/>
    <w:rsid w:val="009F1185"/>
    <w:rsid w:val="009F18CD"/>
    <w:rsid w:val="009F2A13"/>
    <w:rsid w:val="009F461D"/>
    <w:rsid w:val="009F7527"/>
    <w:rsid w:val="00A04EB0"/>
    <w:rsid w:val="00A11B29"/>
    <w:rsid w:val="00A13CC1"/>
    <w:rsid w:val="00A1624A"/>
    <w:rsid w:val="00A16847"/>
    <w:rsid w:val="00A237D8"/>
    <w:rsid w:val="00A268C4"/>
    <w:rsid w:val="00A307CD"/>
    <w:rsid w:val="00A331C8"/>
    <w:rsid w:val="00A40A00"/>
    <w:rsid w:val="00A4142F"/>
    <w:rsid w:val="00A422EB"/>
    <w:rsid w:val="00A44C39"/>
    <w:rsid w:val="00A45BB7"/>
    <w:rsid w:val="00A4771D"/>
    <w:rsid w:val="00A560D4"/>
    <w:rsid w:val="00A56DF2"/>
    <w:rsid w:val="00A56E6E"/>
    <w:rsid w:val="00A62127"/>
    <w:rsid w:val="00A64874"/>
    <w:rsid w:val="00A67AB5"/>
    <w:rsid w:val="00A733B2"/>
    <w:rsid w:val="00A741C2"/>
    <w:rsid w:val="00A8494D"/>
    <w:rsid w:val="00A91760"/>
    <w:rsid w:val="00A93B00"/>
    <w:rsid w:val="00A93C21"/>
    <w:rsid w:val="00A972A2"/>
    <w:rsid w:val="00AB64C9"/>
    <w:rsid w:val="00AC00B8"/>
    <w:rsid w:val="00AC3C6A"/>
    <w:rsid w:val="00AD5620"/>
    <w:rsid w:val="00AD656B"/>
    <w:rsid w:val="00AD7C1B"/>
    <w:rsid w:val="00AE16BA"/>
    <w:rsid w:val="00AE1D40"/>
    <w:rsid w:val="00AE1EBE"/>
    <w:rsid w:val="00B03C9D"/>
    <w:rsid w:val="00B060AE"/>
    <w:rsid w:val="00B10517"/>
    <w:rsid w:val="00B14E76"/>
    <w:rsid w:val="00B161B8"/>
    <w:rsid w:val="00B20001"/>
    <w:rsid w:val="00B2048C"/>
    <w:rsid w:val="00B2743F"/>
    <w:rsid w:val="00B310B9"/>
    <w:rsid w:val="00B35F3F"/>
    <w:rsid w:val="00B36CBB"/>
    <w:rsid w:val="00B425E0"/>
    <w:rsid w:val="00B440AA"/>
    <w:rsid w:val="00B44B70"/>
    <w:rsid w:val="00B53C56"/>
    <w:rsid w:val="00B57DAF"/>
    <w:rsid w:val="00B64B09"/>
    <w:rsid w:val="00B65A45"/>
    <w:rsid w:val="00B72C9B"/>
    <w:rsid w:val="00B77EA6"/>
    <w:rsid w:val="00B81548"/>
    <w:rsid w:val="00B81598"/>
    <w:rsid w:val="00B841F1"/>
    <w:rsid w:val="00B944D6"/>
    <w:rsid w:val="00BB4DF0"/>
    <w:rsid w:val="00BC289F"/>
    <w:rsid w:val="00BC2D50"/>
    <w:rsid w:val="00BC5361"/>
    <w:rsid w:val="00BC5460"/>
    <w:rsid w:val="00BC6B50"/>
    <w:rsid w:val="00BD0E25"/>
    <w:rsid w:val="00BD0EC3"/>
    <w:rsid w:val="00BE13DC"/>
    <w:rsid w:val="00BE312C"/>
    <w:rsid w:val="00BF4C2B"/>
    <w:rsid w:val="00BF5BD6"/>
    <w:rsid w:val="00C03E31"/>
    <w:rsid w:val="00C257AB"/>
    <w:rsid w:val="00C33E72"/>
    <w:rsid w:val="00C354B2"/>
    <w:rsid w:val="00C35554"/>
    <w:rsid w:val="00C42709"/>
    <w:rsid w:val="00C533CC"/>
    <w:rsid w:val="00C5751C"/>
    <w:rsid w:val="00C61BFC"/>
    <w:rsid w:val="00C62B85"/>
    <w:rsid w:val="00C65438"/>
    <w:rsid w:val="00C801D7"/>
    <w:rsid w:val="00C87FD8"/>
    <w:rsid w:val="00C91381"/>
    <w:rsid w:val="00C91CBB"/>
    <w:rsid w:val="00CA1F28"/>
    <w:rsid w:val="00CA5CDB"/>
    <w:rsid w:val="00CB21A0"/>
    <w:rsid w:val="00CB2C2F"/>
    <w:rsid w:val="00CB3DD6"/>
    <w:rsid w:val="00CB4E70"/>
    <w:rsid w:val="00CC09B6"/>
    <w:rsid w:val="00CC666F"/>
    <w:rsid w:val="00CC6765"/>
    <w:rsid w:val="00CD1E3F"/>
    <w:rsid w:val="00CD4A4D"/>
    <w:rsid w:val="00CE44F6"/>
    <w:rsid w:val="00CE49DA"/>
    <w:rsid w:val="00CE4A21"/>
    <w:rsid w:val="00CE7B61"/>
    <w:rsid w:val="00D00095"/>
    <w:rsid w:val="00D114F0"/>
    <w:rsid w:val="00D20620"/>
    <w:rsid w:val="00D254F7"/>
    <w:rsid w:val="00D26091"/>
    <w:rsid w:val="00D2685C"/>
    <w:rsid w:val="00D26D33"/>
    <w:rsid w:val="00D32D5E"/>
    <w:rsid w:val="00D34E7C"/>
    <w:rsid w:val="00D35489"/>
    <w:rsid w:val="00D36AFE"/>
    <w:rsid w:val="00D4085F"/>
    <w:rsid w:val="00D411FF"/>
    <w:rsid w:val="00D46054"/>
    <w:rsid w:val="00D51276"/>
    <w:rsid w:val="00D7035F"/>
    <w:rsid w:val="00D91C1D"/>
    <w:rsid w:val="00DA4E30"/>
    <w:rsid w:val="00DA634F"/>
    <w:rsid w:val="00DA65AC"/>
    <w:rsid w:val="00DB1913"/>
    <w:rsid w:val="00DC410D"/>
    <w:rsid w:val="00DC5A81"/>
    <w:rsid w:val="00DC68CA"/>
    <w:rsid w:val="00DC7CBA"/>
    <w:rsid w:val="00DD73B7"/>
    <w:rsid w:val="00DF28BC"/>
    <w:rsid w:val="00DF34B9"/>
    <w:rsid w:val="00E01053"/>
    <w:rsid w:val="00E07ACF"/>
    <w:rsid w:val="00E10E70"/>
    <w:rsid w:val="00E331A1"/>
    <w:rsid w:val="00E33202"/>
    <w:rsid w:val="00E336A9"/>
    <w:rsid w:val="00E408D8"/>
    <w:rsid w:val="00E472B1"/>
    <w:rsid w:val="00E47E24"/>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EF7F00"/>
    <w:rsid w:val="00F05438"/>
    <w:rsid w:val="00F1361C"/>
    <w:rsid w:val="00F156F0"/>
    <w:rsid w:val="00F160C7"/>
    <w:rsid w:val="00F2408F"/>
    <w:rsid w:val="00F240E9"/>
    <w:rsid w:val="00F354D2"/>
    <w:rsid w:val="00F36D8F"/>
    <w:rsid w:val="00F417B1"/>
    <w:rsid w:val="00F45853"/>
    <w:rsid w:val="00F602DF"/>
    <w:rsid w:val="00F67A92"/>
    <w:rsid w:val="00F754A1"/>
    <w:rsid w:val="00F81FD9"/>
    <w:rsid w:val="00F841AA"/>
    <w:rsid w:val="00F84A94"/>
    <w:rsid w:val="00F87E96"/>
    <w:rsid w:val="00F91CF8"/>
    <w:rsid w:val="00FA23E8"/>
    <w:rsid w:val="00FD3CC1"/>
    <w:rsid w:val="00FF1E02"/>
    <w:rsid w:val="00FF30B4"/>
    <w:rsid w:val="015975B8"/>
    <w:rsid w:val="02143E91"/>
    <w:rsid w:val="055A4ED6"/>
    <w:rsid w:val="066E0107"/>
    <w:rsid w:val="07996F6E"/>
    <w:rsid w:val="09015619"/>
    <w:rsid w:val="0966635A"/>
    <w:rsid w:val="0A2032A3"/>
    <w:rsid w:val="0D366907"/>
    <w:rsid w:val="0E7F0BBC"/>
    <w:rsid w:val="0F98263C"/>
    <w:rsid w:val="101860EC"/>
    <w:rsid w:val="10C055FF"/>
    <w:rsid w:val="118107EC"/>
    <w:rsid w:val="13D50BC4"/>
    <w:rsid w:val="15BE60F9"/>
    <w:rsid w:val="16BB723D"/>
    <w:rsid w:val="18291542"/>
    <w:rsid w:val="1BE8440E"/>
    <w:rsid w:val="1D155CEE"/>
    <w:rsid w:val="1E3056C0"/>
    <w:rsid w:val="1FF35744"/>
    <w:rsid w:val="209F7BF6"/>
    <w:rsid w:val="2241339C"/>
    <w:rsid w:val="2257732A"/>
    <w:rsid w:val="23860B96"/>
    <w:rsid w:val="240371BF"/>
    <w:rsid w:val="27E73F2C"/>
    <w:rsid w:val="29FD04D3"/>
    <w:rsid w:val="2C8A61B5"/>
    <w:rsid w:val="2DF04E50"/>
    <w:rsid w:val="2E334B3A"/>
    <w:rsid w:val="2F040D46"/>
    <w:rsid w:val="30A752A2"/>
    <w:rsid w:val="315417EB"/>
    <w:rsid w:val="319F7F4E"/>
    <w:rsid w:val="32463124"/>
    <w:rsid w:val="324A5944"/>
    <w:rsid w:val="3304709D"/>
    <w:rsid w:val="33DD400A"/>
    <w:rsid w:val="36AA5135"/>
    <w:rsid w:val="376D39B2"/>
    <w:rsid w:val="37E16F03"/>
    <w:rsid w:val="38D469F0"/>
    <w:rsid w:val="3977177A"/>
    <w:rsid w:val="3C076D0B"/>
    <w:rsid w:val="3D98207C"/>
    <w:rsid w:val="3E78745D"/>
    <w:rsid w:val="3F4429B1"/>
    <w:rsid w:val="3FFC477B"/>
    <w:rsid w:val="4362317B"/>
    <w:rsid w:val="44E268DA"/>
    <w:rsid w:val="460113F0"/>
    <w:rsid w:val="46805F94"/>
    <w:rsid w:val="48153878"/>
    <w:rsid w:val="4A627F82"/>
    <w:rsid w:val="4B0E749A"/>
    <w:rsid w:val="4B4F25DA"/>
    <w:rsid w:val="4BE068DB"/>
    <w:rsid w:val="4D577224"/>
    <w:rsid w:val="4EAB630A"/>
    <w:rsid w:val="4ECE2238"/>
    <w:rsid w:val="537E6D0A"/>
    <w:rsid w:val="559603AA"/>
    <w:rsid w:val="5AF92295"/>
    <w:rsid w:val="5CCD05A3"/>
    <w:rsid w:val="5CD71FC4"/>
    <w:rsid w:val="604A2DB0"/>
    <w:rsid w:val="612F6852"/>
    <w:rsid w:val="681F29BA"/>
    <w:rsid w:val="6B9876E6"/>
    <w:rsid w:val="6C4A05C8"/>
    <w:rsid w:val="6E620D3E"/>
    <w:rsid w:val="6E7E3605"/>
    <w:rsid w:val="6FF5CC65"/>
    <w:rsid w:val="715C0E4B"/>
    <w:rsid w:val="723B489F"/>
    <w:rsid w:val="72734D90"/>
    <w:rsid w:val="73AD73D5"/>
    <w:rsid w:val="73B6EB34"/>
    <w:rsid w:val="744731E5"/>
    <w:rsid w:val="76E3355F"/>
    <w:rsid w:val="778769C8"/>
    <w:rsid w:val="79EE5BA4"/>
    <w:rsid w:val="7A894339"/>
    <w:rsid w:val="7C5E095D"/>
    <w:rsid w:val="7EEF11D3"/>
    <w:rsid w:val="7F0009E1"/>
    <w:rsid w:val="7F3D27FE"/>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41"/>
    <w:qFormat/>
    <w:uiPriority w:val="0"/>
    <w:rPr>
      <w:rFonts w:ascii="宋体" w:hAnsi="Courier New" w:cs="Courier New" w:eastAsiaTheme="minorEastAsia"/>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2"/>
    <w:basedOn w:val="6"/>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1"/>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character" w:customStyle="1" w:styleId="37">
    <w:name w:val="font91"/>
    <w:basedOn w:val="18"/>
    <w:qFormat/>
    <w:uiPriority w:val="0"/>
    <w:rPr>
      <w:rFonts w:hint="eastAsia" w:ascii="宋体" w:hAnsi="宋体" w:eastAsia="宋体" w:cs="宋体"/>
      <w:color w:val="000000"/>
      <w:sz w:val="16"/>
      <w:szCs w:val="16"/>
      <w:u w:val="none"/>
    </w:rPr>
  </w:style>
  <w:style w:type="character" w:customStyle="1" w:styleId="38">
    <w:name w:val="font71"/>
    <w:basedOn w:val="18"/>
    <w:qFormat/>
    <w:uiPriority w:val="0"/>
    <w:rPr>
      <w:rFonts w:hint="default" w:ascii="Arial" w:hAnsi="Arial" w:cs="Arial"/>
      <w:color w:val="000000"/>
      <w:sz w:val="21"/>
      <w:szCs w:val="21"/>
      <w:u w:val="none"/>
    </w:rPr>
  </w:style>
  <w:style w:type="character" w:customStyle="1" w:styleId="39">
    <w:name w:val="font101"/>
    <w:basedOn w:val="18"/>
    <w:qFormat/>
    <w:uiPriority w:val="0"/>
    <w:rPr>
      <w:rFonts w:hint="eastAsia" w:ascii="宋体" w:hAnsi="宋体" w:eastAsia="宋体" w:cs="宋体"/>
      <w:color w:val="000000"/>
      <w:sz w:val="21"/>
      <w:szCs w:val="21"/>
      <w:u w:val="none"/>
    </w:rPr>
  </w:style>
  <w:style w:type="character" w:customStyle="1" w:styleId="40">
    <w:name w:val="font81"/>
    <w:basedOn w:val="18"/>
    <w:qFormat/>
    <w:uiPriority w:val="0"/>
    <w:rPr>
      <w:rFonts w:ascii="宋体" w:hAnsi="宋体" w:eastAsia="宋体" w:cs="宋体"/>
      <w:color w:val="000000"/>
      <w:sz w:val="21"/>
      <w:szCs w:val="21"/>
      <w:u w:val="none"/>
    </w:rPr>
  </w:style>
  <w:style w:type="character" w:customStyle="1" w:styleId="41">
    <w:name w:val="纯文本 Char"/>
    <w:basedOn w:val="18"/>
    <w:link w:val="8"/>
    <w:qFormat/>
    <w:uiPriority w:val="0"/>
    <w:rPr>
      <w:rFonts w:ascii="宋体" w:hAnsi="Courier New" w:cs="Courier New"/>
      <w:kern w:val="2"/>
      <w:sz w:val="21"/>
      <w:szCs w:val="21"/>
    </w:rPr>
  </w:style>
  <w:style w:type="character" w:customStyle="1" w:styleId="42">
    <w:name w:val="font21"/>
    <w:basedOn w:val="18"/>
    <w:qFormat/>
    <w:uiPriority w:val="0"/>
    <w:rPr>
      <w:rFonts w:hint="eastAsia" w:ascii="宋体" w:hAnsi="宋体" w:eastAsia="宋体" w:cs="宋体"/>
      <w:b/>
      <w:bCs/>
      <w:color w:val="000000"/>
      <w:sz w:val="18"/>
      <w:szCs w:val="18"/>
      <w:u w:val="none"/>
    </w:rPr>
  </w:style>
  <w:style w:type="character" w:customStyle="1" w:styleId="43">
    <w:name w:val="font41"/>
    <w:basedOn w:val="18"/>
    <w:qFormat/>
    <w:uiPriority w:val="0"/>
    <w:rPr>
      <w:rFonts w:hint="eastAsia" w:ascii="宋体" w:hAnsi="宋体" w:eastAsia="宋体" w:cs="宋体"/>
      <w:color w:val="000000"/>
      <w:sz w:val="16"/>
      <w:szCs w:val="16"/>
      <w:u w:val="none"/>
    </w:rPr>
  </w:style>
  <w:style w:type="character" w:customStyle="1" w:styleId="44">
    <w:name w:val="font31"/>
    <w:basedOn w:val="18"/>
    <w:qFormat/>
    <w:uiPriority w:val="0"/>
    <w:rPr>
      <w:rFonts w:hint="eastAsia" w:ascii="宋体" w:hAnsi="宋体" w:eastAsia="宋体" w:cs="宋体"/>
      <w:color w:val="000000"/>
      <w:sz w:val="18"/>
      <w:szCs w:val="18"/>
      <w:u w:val="none"/>
    </w:rPr>
  </w:style>
  <w:style w:type="character" w:customStyle="1" w:styleId="45">
    <w:name w:val="font11"/>
    <w:basedOn w:val="18"/>
    <w:qFormat/>
    <w:uiPriority w:val="0"/>
    <w:rPr>
      <w:rFonts w:ascii="宋体" w:hAnsi="宋体" w:eastAsia="宋体" w:cs="宋体"/>
      <w:b/>
      <w:bCs/>
      <w:color w:val="000000"/>
      <w:sz w:val="18"/>
      <w:szCs w:val="18"/>
      <w:u w:val="none"/>
    </w:rPr>
  </w:style>
  <w:style w:type="character" w:customStyle="1" w:styleId="46">
    <w:name w:val="font51"/>
    <w:basedOn w:val="18"/>
    <w:qFormat/>
    <w:uiPriority w:val="0"/>
    <w:rPr>
      <w:rFonts w:ascii="宋体" w:hAnsi="宋体" w:eastAsia="宋体" w:cs="宋体"/>
      <w:color w:val="000000"/>
      <w:sz w:val="18"/>
      <w:szCs w:val="18"/>
      <w:u w:val="none"/>
    </w:rPr>
  </w:style>
  <w:style w:type="character" w:customStyle="1" w:styleId="47">
    <w:name w:val="font61"/>
    <w:basedOn w:val="18"/>
    <w:qFormat/>
    <w:uiPriority w:val="0"/>
    <w:rPr>
      <w:rFonts w:hint="eastAsia" w:ascii="宋体" w:hAnsi="宋体" w:eastAsia="宋体" w:cs="宋体"/>
      <w:b/>
      <w:bCs/>
      <w:color w:val="000000"/>
      <w:sz w:val="21"/>
      <w:szCs w:val="21"/>
      <w:u w:val="none"/>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paragraph" w:customStyle="1" w:styleId="5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收、支决算总计变动情况图</c:v>
                </c:pt>
              </c:strCache>
            </c:strRef>
          </c:tx>
          <c:invertIfNegative val="false"/>
          <c:dLbls>
            <c:delete val="true"/>
          </c:dLbls>
          <c:cat>
            <c:strRef>
              <c:f>Sheet1!$A$2:$A$5</c:f>
              <c:strCache>
                <c:ptCount val="2"/>
                <c:pt idx="0">
                  <c:v>2021年收、支总计</c:v>
                </c:pt>
                <c:pt idx="1">
                  <c:v>2022年收、支总计</c:v>
                </c:pt>
              </c:strCache>
            </c:strRef>
          </c:cat>
          <c:val>
            <c:numRef>
              <c:f>Sheet1!$B$2:$B$5</c:f>
              <c:numCache>
                <c:formatCode>General</c:formatCode>
                <c:ptCount val="4"/>
                <c:pt idx="0">
                  <c:v>92.28</c:v>
                </c:pt>
                <c:pt idx="1">
                  <c:v>148.98</c:v>
                </c:pt>
              </c:numCache>
            </c:numRef>
          </c:val>
        </c:ser>
        <c:dLbls>
          <c:showLegendKey val="false"/>
          <c:showVal val="false"/>
          <c:showCatName val="false"/>
          <c:showSerName val="false"/>
          <c:showPercent val="false"/>
          <c:showBubbleSize val="false"/>
        </c:dLbls>
        <c:gapWidth val="150"/>
        <c:axId val="116750592"/>
        <c:axId val="116776960"/>
      </c:barChart>
      <c:catAx>
        <c:axId val="1167505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776960"/>
        <c:crosses val="autoZero"/>
        <c:auto val="true"/>
        <c:lblAlgn val="ctr"/>
        <c:lblOffset val="100"/>
        <c:noMultiLvlLbl val="false"/>
      </c:catAx>
      <c:valAx>
        <c:axId val="11677696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7505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explosion val="0"/>
          <c:dPt>
            <c:idx val="0"/>
            <c:bubble3D val="false"/>
          </c:dPt>
          <c:dPt>
            <c:idx val="1"/>
            <c:bubble3D val="false"/>
          </c:dPt>
          <c:dPt>
            <c:idx val="2"/>
            <c:bubble3D val="false"/>
          </c:dPt>
          <c:dPt>
            <c:idx val="3"/>
            <c:bubble3D val="false"/>
          </c:dPt>
          <c:dPt>
            <c:idx val="4"/>
            <c:bubble3D val="false"/>
          </c:dPt>
          <c:dLbls>
            <c:dLbl>
              <c:idx val="0"/>
              <c:delete val="true"/>
            </c:dLbl>
            <c:dLbl>
              <c:idx val="1"/>
              <c:delete val="true"/>
            </c:dLbl>
            <c:dLbl>
              <c:idx val="2"/>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138.36</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3"/>
              <c:delete val="true"/>
            </c:dLbl>
            <c:dLbl>
              <c:idx val="4"/>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3"/>
                <c:pt idx="1">
                  <c:v>2022年本年收入</c:v>
                </c:pt>
                <c:pt idx="2">
                  <c:v>其中：一般公共预算财政拨款收入</c:v>
                </c:pt>
              </c:strCache>
            </c:strRef>
          </c:cat>
          <c:val>
            <c:numRef>
              <c:f>Sheet1!$B$2:$B$6</c:f>
              <c:numCache>
                <c:formatCode>General</c:formatCode>
                <c:ptCount val="5"/>
                <c:pt idx="1">
                  <c:v>0</c:v>
                </c:pt>
                <c:pt idx="2">
                  <c:v>138.3</c:v>
                </c:pt>
              </c:numCache>
            </c:numRef>
          </c:val>
        </c:ser>
        <c:ser>
          <c:idx val="1"/>
          <c:order val="1"/>
          <c:tx>
            <c:strRef>
              <c:f>Sheet1!$C$1</c:f>
              <c:strCache>
                <c:ptCount val="1"/>
                <c:pt idx="0">
                  <c:v>列1</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3"/>
                <c:pt idx="1">
                  <c:v>2022年本年收入</c:v>
                </c:pt>
                <c:pt idx="2">
                  <c:v>其中：一般公共预算财政拨款收入</c:v>
                </c:pt>
              </c:strCache>
            </c:strRef>
          </c:cat>
          <c:val>
            <c:numRef>
              <c:f>Sheet1!$C$2:$C$6</c:f>
              <c:numCache>
                <c:formatCode>General</c:formatCode>
                <c:ptCount val="5"/>
                <c:pt idx="1">
                  <c:v>0</c:v>
                </c:pt>
                <c:pt idx="2">
                  <c:v>138.36</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explosion val="0"/>
          <c:dPt>
            <c:idx val="0"/>
            <c:bubble3D val="false"/>
          </c:dPt>
          <c:dPt>
            <c:idx val="1"/>
            <c:bubble3D val="false"/>
          </c:dPt>
          <c:dPt>
            <c:idx val="2"/>
            <c:bubble3D val="false"/>
          </c:dPt>
          <c:dPt>
            <c:idx val="3"/>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106.7</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42.28</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delete val="true"/>
            </c:dLbl>
            <c:dLbl>
              <c:idx val="3"/>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2"/>
                <c:pt idx="0">
                  <c:v>基本支出</c:v>
                </c:pt>
                <c:pt idx="1">
                  <c:v>项目支出</c:v>
                </c:pt>
              </c:strCache>
            </c:strRef>
          </c:cat>
          <c:val>
            <c:numRef>
              <c:f>Sheet1!$B$2:$B$5</c:f>
              <c:numCache>
                <c:formatCode>General</c:formatCode>
                <c:ptCount val="4"/>
                <c:pt idx="0">
                  <c:v>106.7</c:v>
                </c:pt>
                <c:pt idx="1">
                  <c:v>42.28</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财政拨款收、支决算总计变动情况</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148.98</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92.28</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2022年</c:v>
                </c:pt>
                <c:pt idx="1">
                  <c:v>2021年</c:v>
                </c:pt>
              </c:strCache>
            </c:strRef>
          </c:cat>
          <c:val>
            <c:numRef>
              <c:f>Sheet1!$B$2:$B$3</c:f>
              <c:numCache>
                <c:formatCode>General</c:formatCode>
                <c:ptCount val="2"/>
                <c:pt idx="0">
                  <c:v>148.98</c:v>
                </c:pt>
                <c:pt idx="1">
                  <c:v>92.28</c:v>
                </c:pt>
              </c:numCache>
            </c:numRef>
          </c:val>
        </c:ser>
        <c:dLbls>
          <c:showLegendKey val="false"/>
          <c:showVal val="true"/>
          <c:showCatName val="false"/>
          <c:showSerName val="false"/>
          <c:showPercent val="false"/>
          <c:showBubbleSize val="false"/>
        </c:dLbls>
        <c:gapWidth val="150"/>
        <c:axId val="126096896"/>
        <c:axId val="126098816"/>
      </c:barChart>
      <c:catAx>
        <c:axId val="12609689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6098816"/>
        <c:crosses val="autoZero"/>
        <c:auto val="true"/>
        <c:lblAlgn val="ctr"/>
        <c:lblOffset val="100"/>
        <c:noMultiLvlLbl val="false"/>
      </c:catAx>
      <c:valAx>
        <c:axId val="12609881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609689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一般公共预算财政拨款支出决算总体情况</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148.98</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92.28</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2022年</c:v>
                </c:pt>
                <c:pt idx="1">
                  <c:v>2021年</c:v>
                </c:pt>
              </c:strCache>
            </c:strRef>
          </c:cat>
          <c:val>
            <c:numRef>
              <c:f>Sheet1!$B$2:$B$3</c:f>
              <c:numCache>
                <c:formatCode>General</c:formatCode>
                <c:ptCount val="2"/>
                <c:pt idx="0">
                  <c:v>148.98</c:v>
                </c:pt>
                <c:pt idx="1">
                  <c:v>92.28</c:v>
                </c:pt>
              </c:numCache>
            </c:numRef>
          </c:val>
        </c:ser>
        <c:dLbls>
          <c:showLegendKey val="false"/>
          <c:showVal val="false"/>
          <c:showCatName val="false"/>
          <c:showSerName val="false"/>
          <c:showPercent val="false"/>
          <c:showBubbleSize val="false"/>
        </c:dLbls>
        <c:gapWidth val="150"/>
        <c:axId val="66892544"/>
        <c:axId val="66894080"/>
      </c:barChart>
      <c:catAx>
        <c:axId val="6689254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6894080"/>
        <c:crosses val="autoZero"/>
        <c:auto val="true"/>
        <c:lblAlgn val="ctr"/>
        <c:lblOffset val="100"/>
        <c:noMultiLvlLbl val="false"/>
      </c:catAx>
      <c:valAx>
        <c:axId val="66894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689254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dPt>
          <c:dPt>
            <c:idx val="1"/>
            <c:bubble3D val="false"/>
            <c:explosion val="2"/>
          </c:dPt>
          <c:dPt>
            <c:idx val="2"/>
            <c:bubble3D val="false"/>
          </c:dPt>
          <c:dPt>
            <c:idx val="3"/>
            <c:bubble3D val="false"/>
          </c:dPt>
          <c:dLbls>
            <c:dLbl>
              <c:idx val="0"/>
              <c:delete val="true"/>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133.96</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5.15</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9.87</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项目</c:v>
                </c:pt>
                <c:pt idx="1">
                  <c:v>社会保障和就业支出</c:v>
                </c:pt>
                <c:pt idx="2">
                  <c:v>卫生健康支出</c:v>
                </c:pt>
                <c:pt idx="3">
                  <c:v>住房保障支出</c:v>
                </c:pt>
              </c:strCache>
            </c:strRef>
          </c:cat>
          <c:val>
            <c:numRef>
              <c:f>Sheet1!$B$2:$B$5</c:f>
              <c:numCache>
                <c:formatCode>General</c:formatCode>
                <c:ptCount val="4"/>
                <c:pt idx="0">
                  <c:v>0</c:v>
                </c:pt>
                <c:pt idx="1">
                  <c:v>133.96</c:v>
                </c:pt>
                <c:pt idx="2">
                  <c:v>5.15</c:v>
                </c:pt>
                <c:pt idx="3">
                  <c:v>9.87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explosion val="0"/>
          <c:dPt>
            <c:idx val="0"/>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0.47</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c:f>
              <c:strCache>
                <c:ptCount val="1"/>
                <c:pt idx="0">
                  <c:v>公务接待费支出</c:v>
                </c:pt>
              </c:strCache>
            </c:strRef>
          </c:cat>
          <c:val>
            <c:numRef>
              <c:f>Sheet1!$B$2</c:f>
              <c:numCache>
                <c:formatCode>General</c:formatCode>
                <c:ptCount val="1"/>
                <c:pt idx="0">
                  <c:v>0.47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52</Pages>
  <Words>4401</Words>
  <Characters>25087</Characters>
  <Lines>209</Lines>
  <Paragraphs>58</Paragraphs>
  <TotalTime>2</TotalTime>
  <ScaleCrop>false</ScaleCrop>
  <LinksUpToDate>false</LinksUpToDate>
  <CharactersWithSpaces>29430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2023-10-09T14:54:00Z</dcterms:created>
  <dc:creator>曹颖</dc:creator>
  <cp:lastModifiedBy>user</cp:lastModifiedBy>
  <cp:lastPrinted>2023-10-13T09:51:00Z</cp:lastPrinted>
  <dcterms:modified xsi:type="dcterms:W3CDTF">2023-11-02T16:41:22Z</dcterms:modified>
  <dc:title>四川省***</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656B514C2065403881A5244CCC62453E_12</vt:lpwstr>
  </property>
</Properties>
</file>