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77425"/>
      <w:bookmarkStart w:id="1" w:name="_Toc15377193"/>
      <w:bookmarkStart w:id="2" w:name="_Toc15396475"/>
      <w:bookmarkStart w:id="3" w:name="_Toc15378441"/>
      <w:bookmarkStart w:id="4" w:name="_Toc15396597"/>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ind w:left="0" w:leftChars="0" w:right="0" w:rightChars="0" w:firstLine="0" w:firstLineChars="0"/>
        <w:jc w:val="center"/>
        <w:outlineLvl w:val="0"/>
        <w:rPr>
          <w:rFonts w:hint="eastAsia" w:ascii="方正小标宋简体" w:hAnsi="方正小标宋简体" w:eastAsia="方正小标宋简体" w:cs="方正小标宋简体"/>
          <w:color w:val="auto"/>
          <w:sz w:val="72"/>
          <w:szCs w:val="72"/>
          <w:highlight w:val="none"/>
        </w:rPr>
      </w:pPr>
      <w:bookmarkStart w:id="6" w:name="_Toc3582"/>
      <w:bookmarkStart w:id="7" w:name="_Toc2640"/>
      <w:bookmarkStart w:id="8" w:name="_Toc24460"/>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bookmarkEnd w:id="7"/>
      <w:bookmarkEnd w:id="8"/>
    </w:p>
    <w:p>
      <w:pPr>
        <w:adjustRightInd w:val="0"/>
        <w:snapToGrid w:val="0"/>
        <w:spacing w:line="360" w:lineRule="auto"/>
        <w:ind w:left="0" w:leftChars="0" w:right="0" w:rightChars="0" w:firstLine="0" w:firstLineChars="0"/>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9" w:name="_Toc24172"/>
      <w:bookmarkStart w:id="10" w:name="_Toc15378442"/>
      <w:bookmarkStart w:id="11" w:name="_Toc15377194"/>
      <w:bookmarkStart w:id="12" w:name="_Toc9665"/>
      <w:bookmarkStart w:id="13" w:name="_Toc22584"/>
      <w:bookmarkStart w:id="14" w:name="_Toc15377426"/>
      <w:bookmarkStart w:id="15" w:name="_Toc15396476"/>
      <w:bookmarkStart w:id="16" w:name="_Toc15396598"/>
      <w:r>
        <w:rPr>
          <w:rFonts w:hint="eastAsia" w:ascii="方正小标宋简体" w:hAnsi="方正小标宋简体" w:eastAsia="方正小标宋简体" w:cs="方正小标宋简体"/>
          <w:color w:val="auto"/>
          <w:sz w:val="72"/>
          <w:szCs w:val="72"/>
          <w:highlight w:val="none"/>
        </w:rPr>
        <w:t>四川省</w:t>
      </w:r>
      <w:bookmarkEnd w:id="5"/>
      <w:bookmarkStart w:id="17" w:name="_Toc15306268"/>
      <w:r>
        <w:rPr>
          <w:rFonts w:hint="eastAsia" w:ascii="方正小标宋简体" w:hAnsi="方正小标宋简体" w:eastAsia="方正小标宋简体" w:cs="方正小标宋简体"/>
          <w:color w:val="auto"/>
          <w:sz w:val="72"/>
          <w:szCs w:val="72"/>
          <w:highlight w:val="none"/>
          <w:lang w:eastAsia="zh-CN"/>
        </w:rPr>
        <w:t>广元市朝天区粮食和物资储备中心</w:t>
      </w:r>
      <w:r>
        <w:rPr>
          <w:rFonts w:hint="eastAsia" w:ascii="方正小标宋简体" w:hAnsi="方正小标宋简体" w:eastAsia="方正小标宋简体" w:cs="方正小标宋简体"/>
          <w:color w:val="auto"/>
          <w:sz w:val="72"/>
          <w:szCs w:val="72"/>
          <w:highlight w:val="none"/>
        </w:rPr>
        <w:t>部门决算</w:t>
      </w:r>
      <w:bookmarkEnd w:id="9"/>
      <w:bookmarkEnd w:id="10"/>
      <w:bookmarkEnd w:id="11"/>
      <w:bookmarkEnd w:id="12"/>
      <w:bookmarkEnd w:id="13"/>
      <w:bookmarkEnd w:id="14"/>
      <w:bookmarkEnd w:id="15"/>
      <w:bookmarkEnd w:id="16"/>
      <w:bookmarkEnd w:id="17"/>
    </w:p>
    <w:p>
      <w:pPr>
        <w:adjustRightInd w:val="0"/>
        <w:snapToGrid w:val="0"/>
        <w:spacing w:line="360" w:lineRule="auto"/>
        <w:jc w:val="center"/>
        <w:outlineLvl w:val="0"/>
        <w:rPr>
          <w:rFonts w:ascii="方正小标宋简体" w:hAnsi="宋体" w:eastAsia="方正小标宋简体"/>
          <w:color w:val="auto"/>
          <w:sz w:val="52"/>
          <w:szCs w:val="52"/>
          <w:highlight w:val="none"/>
        </w:rPr>
      </w:pPr>
    </w:p>
    <w:p>
      <w:pPr>
        <w:widowControl/>
        <w:jc w:val="center"/>
        <w:rPr>
          <w:rFonts w:hint="eastAsia" w:ascii="仿宋" w:hAnsi="仿宋" w:eastAsia="仿宋" w:cs="仿宋"/>
          <w:b w:val="0"/>
          <w:bCs w:val="0"/>
          <w:sz w:val="28"/>
          <w:szCs w:val="28"/>
          <w:lang w:eastAsia="zh-CN"/>
        </w:rPr>
      </w:pPr>
    </w:p>
    <w:p>
      <w:pPr>
        <w:widowControl/>
        <w:jc w:val="center"/>
        <w:rPr>
          <w:rFonts w:hint="eastAsia" w:ascii="仿宋" w:hAnsi="仿宋" w:eastAsia="仿宋" w:cs="仿宋"/>
          <w:b w:val="0"/>
          <w:bCs w:val="0"/>
          <w:sz w:val="28"/>
          <w:szCs w:val="28"/>
          <w:lang w:eastAsia="zh-CN"/>
        </w:rPr>
      </w:pPr>
    </w:p>
    <w:p>
      <w:pPr>
        <w:widowControl/>
        <w:jc w:val="center"/>
        <w:rPr>
          <w:rFonts w:hint="eastAsia" w:ascii="仿宋" w:hAnsi="仿宋" w:eastAsia="仿宋" w:cs="仿宋"/>
          <w:b w:val="0"/>
          <w:bCs w:val="0"/>
          <w:sz w:val="28"/>
          <w:szCs w:val="28"/>
          <w:lang w:eastAsia="zh-CN"/>
        </w:rPr>
      </w:pPr>
    </w:p>
    <w:p>
      <w:pPr>
        <w:widowControl/>
        <w:jc w:val="center"/>
        <w:rPr>
          <w:rFonts w:hint="eastAsia" w:ascii="仿宋" w:hAnsi="仿宋" w:eastAsia="仿宋" w:cs="仿宋"/>
          <w:b w:val="0"/>
          <w:bCs w:val="0"/>
          <w:sz w:val="28"/>
          <w:szCs w:val="28"/>
          <w:lang w:eastAsia="zh-CN"/>
        </w:rPr>
      </w:pPr>
    </w:p>
    <w:p>
      <w:pPr>
        <w:widowControl/>
        <w:jc w:val="center"/>
        <w:rPr>
          <w:rFonts w:hint="eastAsia" w:ascii="仿宋" w:hAnsi="仿宋" w:eastAsia="仿宋" w:cs="仿宋"/>
          <w:b w:val="0"/>
          <w:bCs w:val="0"/>
          <w:sz w:val="28"/>
          <w:szCs w:val="28"/>
          <w:lang w:eastAsia="zh-CN"/>
        </w:rPr>
      </w:pPr>
    </w:p>
    <w:p>
      <w:pPr>
        <w:widowControl/>
        <w:jc w:val="center"/>
        <w:rPr>
          <w:rFonts w:hint="eastAsia" w:ascii="仿宋" w:hAnsi="仿宋" w:eastAsia="仿宋" w:cs="仿宋"/>
          <w:b w:val="0"/>
          <w:bCs w:val="0"/>
          <w:sz w:val="28"/>
          <w:szCs w:val="28"/>
          <w:lang w:eastAsia="zh-CN"/>
        </w:rPr>
      </w:pPr>
    </w:p>
    <w:p>
      <w:pPr>
        <w:widowControl/>
        <w:jc w:val="center"/>
        <w:rPr>
          <w:rFonts w:hint="eastAsia" w:ascii="仿宋" w:hAnsi="仿宋" w:eastAsia="仿宋" w:cs="仿宋"/>
          <w:b w:val="0"/>
          <w:bCs w:val="0"/>
          <w:sz w:val="28"/>
          <w:szCs w:val="28"/>
          <w:lang w:eastAsia="zh-CN"/>
        </w:rPr>
      </w:pPr>
    </w:p>
    <w:p>
      <w:pPr>
        <w:widowControl/>
        <w:jc w:val="center"/>
        <w:rPr>
          <w:rFonts w:ascii="方正小标宋简体" w:hAnsi="宋体" w:eastAsia="方正小标宋简体"/>
          <w:color w:val="auto"/>
          <w:sz w:val="36"/>
          <w:szCs w:val="36"/>
          <w:highlight w:val="none"/>
        </w:rPr>
      </w:pPr>
      <w:r>
        <w:rPr>
          <w:rFonts w:hint="eastAsia" w:ascii="仿宋" w:hAnsi="仿宋" w:eastAsia="仿宋" w:cs="仿宋"/>
          <w:b w:val="0"/>
          <w:bCs w:val="0"/>
          <w:sz w:val="28"/>
          <w:szCs w:val="28"/>
          <w:lang w:eastAsia="zh-CN"/>
        </w:rPr>
        <w:t>公开时间：</w:t>
      </w:r>
      <w:r>
        <w:rPr>
          <w:rFonts w:hint="eastAsia" w:ascii="仿宋" w:hAnsi="仿宋" w:eastAsia="仿宋" w:cs="仿宋"/>
          <w:b w:val="0"/>
          <w:bCs w:val="0"/>
          <w:sz w:val="28"/>
          <w:szCs w:val="28"/>
          <w:lang w:val="en-US" w:eastAsia="zh-CN"/>
        </w:rPr>
        <w:t>2023年10月27日</w:t>
      </w:r>
      <w:r>
        <w:rPr>
          <w:rFonts w:ascii="方正小标宋简体" w:hAnsi="宋体" w:eastAsia="方正小标宋简体"/>
          <w:color w:val="auto"/>
          <w:sz w:val="36"/>
          <w:szCs w:val="36"/>
          <w:highlight w:val="none"/>
        </w:rPr>
        <w:br w:type="page"/>
      </w:r>
    </w:p>
    <w:sdt>
      <w:sdtPr>
        <w:rPr>
          <w:rFonts w:ascii="宋体" w:hAnsi="宋体" w:eastAsia="宋体" w:cs="Times New Roman"/>
          <w:kern w:val="2"/>
          <w:sz w:val="21"/>
          <w:szCs w:val="24"/>
          <w:lang w:val="en-US" w:eastAsia="zh-CN" w:bidi="ar-SA"/>
        </w:rPr>
        <w:id w:val="147468506"/>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ind w:left="0" w:leftChars="0" w:right="0" w:rightChars="0" w:firstLine="0" w:firstLineChars="0"/>
            <w:jc w:val="center"/>
            <w:rPr>
              <w:rFonts w:ascii="Times New Roman" w:hAnsi="Times New Roman" w:eastAsia="仿宋_GB2312" w:cs="Times New Roman"/>
              <w:kern w:val="2"/>
              <w:sz w:val="32"/>
              <w:szCs w:val="24"/>
              <w:lang w:val="en-US" w:eastAsia="zh-CN" w:bidi="ar-SA"/>
            </w:rPr>
          </w:pPr>
          <w:bookmarkStart w:id="18" w:name="_Toc15396599"/>
          <w:bookmarkStart w:id="19" w:name="_Toc15377196"/>
          <w:r>
            <w:rPr>
              <w:rFonts w:hint="eastAsia" w:ascii="黑体" w:hAnsi="黑体" w:eastAsia="黑体" w:cs="黑体"/>
              <w:b w:val="0"/>
              <w:bCs w:val="0"/>
              <w:sz w:val="36"/>
              <w:szCs w:val="44"/>
            </w:rPr>
            <w:t>目</w:t>
          </w:r>
          <w:r>
            <w:rPr>
              <w:rFonts w:hint="eastAsia" w:ascii="黑体" w:hAnsi="黑体" w:eastAsia="黑体" w:cs="黑体"/>
              <w:b w:val="0"/>
              <w:bCs w:val="0"/>
              <w:sz w:val="36"/>
              <w:szCs w:val="44"/>
              <w:lang w:val="en-US" w:eastAsia="zh-CN"/>
            </w:rPr>
            <w:t xml:space="preserve">  </w:t>
          </w:r>
          <w:r>
            <w:rPr>
              <w:rFonts w:hint="eastAsia" w:ascii="黑体" w:hAnsi="黑体" w:eastAsia="黑体" w:cs="黑体"/>
              <w:b w:val="0"/>
              <w:bCs w:val="0"/>
              <w:sz w:val="36"/>
              <w:szCs w:val="44"/>
            </w:rPr>
            <w:t>录</w:t>
          </w:r>
          <w:r>
            <w:fldChar w:fldCharType="begin"/>
          </w:r>
          <w:r>
            <w:instrText xml:space="preserve">TOC \o "1-3" \h \u </w:instrText>
          </w:r>
          <w:r>
            <w:fldChar w:fldCharType="separate"/>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_Toc27275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第一部分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部门概况</w:t>
          </w:r>
          <w:r>
            <w:rPr>
              <w:rFonts w:hint="eastAsia" w:ascii="宋体" w:hAnsi="宋体" w:eastAsia="宋体" w:cs="宋体"/>
              <w:sz w:val="24"/>
              <w:szCs w:val="24"/>
              <w:lang w:val="en-US" w:eastAsia="zh-CN"/>
            </w:rPr>
            <w: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_Toc27275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_Toc17849 </w:instrText>
          </w:r>
          <w:r>
            <w:rPr>
              <w:rFonts w:hint="eastAsia" w:ascii="宋体" w:hAnsi="宋体" w:eastAsia="宋体" w:cs="宋体"/>
              <w:sz w:val="24"/>
              <w:szCs w:val="24"/>
            </w:rPr>
            <w:fldChar w:fldCharType="separate"/>
          </w:r>
          <w:r>
            <w:rPr>
              <w:rFonts w:hint="eastAsia" w:ascii="宋体" w:hAnsi="宋体" w:eastAsia="宋体" w:cs="宋体"/>
              <w:sz w:val="24"/>
              <w:szCs w:val="24"/>
            </w:rPr>
            <w:t>一、</w:t>
          </w:r>
          <w:r>
            <w:rPr>
              <w:rFonts w:hint="eastAsia" w:ascii="宋体" w:hAnsi="宋体" w:eastAsia="宋体" w:cs="宋体"/>
              <w:sz w:val="24"/>
              <w:szCs w:val="24"/>
              <w:lang w:eastAsia="zh-CN"/>
            </w:rPr>
            <w:t>部门职责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_Toc17849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_Toc31950 </w:instrText>
          </w:r>
          <w:r>
            <w:rPr>
              <w:rFonts w:hint="eastAsia" w:ascii="宋体" w:hAnsi="宋体" w:eastAsia="宋体" w:cs="宋体"/>
              <w:sz w:val="24"/>
              <w:szCs w:val="24"/>
            </w:rPr>
            <w:fldChar w:fldCharType="separate"/>
          </w:r>
          <w:r>
            <w:rPr>
              <w:rFonts w:hint="eastAsia" w:ascii="宋体" w:hAnsi="宋体" w:eastAsia="宋体" w:cs="宋体"/>
              <w:sz w:val="24"/>
              <w:szCs w:val="24"/>
            </w:rPr>
            <w:t>二、机构设置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_Toc31950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_Toc3752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第二部分 </w:t>
          </w:r>
          <w:r>
            <w:rPr>
              <w:rFonts w:hint="eastAsia" w:ascii="宋体" w:hAnsi="宋体" w:eastAsia="宋体" w:cs="宋体"/>
              <w:sz w:val="24"/>
              <w:szCs w:val="24"/>
              <w:lang w:val="en-US" w:eastAsia="zh-CN"/>
            </w:rPr>
            <w:t xml:space="preserve"> 2022年度</w:t>
          </w:r>
          <w:r>
            <w:rPr>
              <w:rFonts w:hint="eastAsia" w:ascii="宋体" w:hAnsi="宋体" w:eastAsia="宋体" w:cs="宋体"/>
              <w:sz w:val="24"/>
              <w:szCs w:val="24"/>
            </w:rPr>
            <w:t>部门决算情况说明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_Toc3752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_Toc16501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一、</w:t>
          </w:r>
          <w:r>
            <w:rPr>
              <w:rFonts w:hint="eastAsia" w:ascii="宋体" w:hAnsi="宋体" w:eastAsia="宋体" w:cs="宋体"/>
              <w:sz w:val="24"/>
              <w:szCs w:val="24"/>
            </w:rPr>
            <w:t>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_Toc16501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_Toc27824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二、</w:t>
          </w:r>
          <w:r>
            <w:rPr>
              <w:rFonts w:hint="eastAsia" w:ascii="宋体" w:hAnsi="宋体" w:eastAsia="宋体" w:cs="宋体"/>
              <w:sz w:val="24"/>
              <w:szCs w:val="24"/>
            </w:rPr>
            <w:t>收入决算情说明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_Toc27824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_Toc18188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三、</w:t>
          </w:r>
          <w:r>
            <w:rPr>
              <w:rFonts w:hint="eastAsia" w:ascii="宋体" w:hAnsi="宋体" w:eastAsia="宋体" w:cs="宋体"/>
              <w:sz w:val="24"/>
              <w:szCs w:val="24"/>
            </w:rPr>
            <w:t>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_Toc18188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_Toc6987 </w:instrText>
          </w:r>
          <w:r>
            <w:rPr>
              <w:rFonts w:hint="eastAsia" w:ascii="宋体" w:hAnsi="宋体" w:eastAsia="宋体" w:cs="宋体"/>
              <w:sz w:val="24"/>
              <w:szCs w:val="24"/>
            </w:rPr>
            <w:fldChar w:fldCharType="separate"/>
          </w:r>
          <w:r>
            <w:rPr>
              <w:rFonts w:hint="eastAsia" w:ascii="宋体" w:hAnsi="宋体" w:eastAsia="宋体" w:cs="宋体"/>
              <w:sz w:val="24"/>
              <w:szCs w:val="24"/>
            </w:rPr>
            <w:t>四、财政拨款收入支出决算总体情况说明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_Toc6987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_Toc23910 </w:instrText>
          </w:r>
          <w:r>
            <w:rPr>
              <w:rFonts w:hint="eastAsia" w:ascii="宋体" w:hAnsi="宋体" w:eastAsia="宋体" w:cs="宋体"/>
              <w:sz w:val="24"/>
              <w:szCs w:val="24"/>
            </w:rPr>
            <w:fldChar w:fldCharType="separate"/>
          </w:r>
          <w:r>
            <w:rPr>
              <w:rFonts w:hint="eastAsia" w:ascii="宋体" w:hAnsi="宋体" w:eastAsia="宋体" w:cs="宋体"/>
              <w:sz w:val="24"/>
              <w:szCs w:val="24"/>
            </w:rPr>
            <w:t>五、一般公共预算财政拨款支出决算情况说明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_Toc23910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_Toc32380 </w:instrText>
          </w:r>
          <w:r>
            <w:rPr>
              <w:rFonts w:hint="eastAsia" w:ascii="宋体" w:hAnsi="宋体" w:eastAsia="宋体" w:cs="宋体"/>
              <w:sz w:val="24"/>
              <w:szCs w:val="24"/>
            </w:rPr>
            <w:fldChar w:fldCharType="separate"/>
          </w:r>
          <w:r>
            <w:rPr>
              <w:rFonts w:hint="eastAsia" w:ascii="宋体" w:hAnsi="宋体" w:eastAsia="宋体" w:cs="宋体"/>
              <w:sz w:val="24"/>
              <w:szCs w:val="24"/>
            </w:rPr>
            <w:t>（一）一般公共预算财政拨款支出决算总体情况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_Toc32380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_Toc14645 </w:instrText>
          </w:r>
          <w:r>
            <w:rPr>
              <w:rFonts w:hint="eastAsia" w:ascii="宋体" w:hAnsi="宋体" w:eastAsia="宋体" w:cs="宋体"/>
              <w:sz w:val="24"/>
              <w:szCs w:val="24"/>
            </w:rPr>
            <w:fldChar w:fldCharType="separate"/>
          </w:r>
          <w:r>
            <w:rPr>
              <w:rFonts w:hint="eastAsia" w:ascii="宋体" w:hAnsi="宋体" w:eastAsia="宋体" w:cs="宋体"/>
              <w:sz w:val="24"/>
              <w:szCs w:val="24"/>
            </w:rPr>
            <w:t>（二）一般公共预算财政拨款支出决算结构情况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_Toc14645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_Toc29323 </w:instrText>
          </w:r>
          <w:r>
            <w:rPr>
              <w:rFonts w:hint="eastAsia" w:ascii="宋体" w:hAnsi="宋体" w:eastAsia="宋体" w:cs="宋体"/>
              <w:sz w:val="24"/>
              <w:szCs w:val="24"/>
            </w:rPr>
            <w:fldChar w:fldCharType="separate"/>
          </w:r>
          <w:r>
            <w:rPr>
              <w:rFonts w:hint="eastAsia" w:ascii="宋体" w:hAnsi="宋体" w:eastAsia="宋体" w:cs="宋体"/>
              <w:sz w:val="24"/>
              <w:szCs w:val="24"/>
            </w:rPr>
            <w:t>（三）一般公共预算财政拨款支出决算具体情况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_Toc29323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_Toc32692 </w:instrText>
          </w:r>
          <w:r>
            <w:rPr>
              <w:rFonts w:hint="eastAsia" w:ascii="宋体" w:hAnsi="宋体" w:eastAsia="宋体" w:cs="宋体"/>
              <w:sz w:val="24"/>
              <w:szCs w:val="24"/>
            </w:rPr>
            <w:fldChar w:fldCharType="separate"/>
          </w:r>
          <w:r>
            <w:rPr>
              <w:rFonts w:hint="eastAsia" w:ascii="宋体" w:hAnsi="宋体" w:eastAsia="宋体" w:cs="宋体"/>
              <w:sz w:val="24"/>
              <w:szCs w:val="24"/>
            </w:rPr>
            <w:t>六、一般公共预算财政拨款基本支出决算情况说明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_Toc32692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_Toc2984 </w:instrText>
          </w:r>
          <w:r>
            <w:rPr>
              <w:rFonts w:hint="eastAsia" w:ascii="宋体" w:hAnsi="宋体" w:eastAsia="宋体" w:cs="宋体"/>
              <w:sz w:val="24"/>
              <w:szCs w:val="24"/>
            </w:rPr>
            <w:fldChar w:fldCharType="separate"/>
          </w:r>
          <w:r>
            <w:rPr>
              <w:rFonts w:hint="eastAsia" w:ascii="宋体" w:hAnsi="宋体" w:eastAsia="宋体" w:cs="宋体"/>
              <w:sz w:val="24"/>
              <w:szCs w:val="24"/>
            </w:rPr>
            <w:t>七、“三公”经费财政拨款支出决算情况说明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_Toc2984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_Toc28848 </w:instrText>
          </w:r>
          <w:r>
            <w:rPr>
              <w:rFonts w:hint="eastAsia" w:ascii="宋体" w:hAnsi="宋体" w:eastAsia="宋体" w:cs="宋体"/>
              <w:sz w:val="24"/>
              <w:szCs w:val="24"/>
            </w:rPr>
            <w:fldChar w:fldCharType="separate"/>
          </w:r>
          <w:r>
            <w:rPr>
              <w:rFonts w:hint="eastAsia" w:ascii="宋体" w:hAnsi="宋体" w:eastAsia="宋体" w:cs="宋体"/>
              <w:sz w:val="24"/>
              <w:szCs w:val="24"/>
            </w:rPr>
            <w:t>（一）“三公”经费财政拨款支出决算总体情况说明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_Toc28848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_Toc32096 </w:instrText>
          </w:r>
          <w:r>
            <w:rPr>
              <w:rFonts w:hint="eastAsia" w:ascii="宋体" w:hAnsi="宋体" w:eastAsia="宋体" w:cs="宋体"/>
              <w:sz w:val="24"/>
              <w:szCs w:val="24"/>
            </w:rPr>
            <w:fldChar w:fldCharType="separate"/>
          </w:r>
          <w:r>
            <w:rPr>
              <w:rFonts w:hint="eastAsia" w:ascii="宋体" w:hAnsi="宋体" w:eastAsia="宋体" w:cs="宋体"/>
              <w:sz w:val="24"/>
              <w:szCs w:val="24"/>
            </w:rPr>
            <w:t>（二）“三公”经费财政拨款支出决算具体情况说明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_Toc32096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_Toc24744 </w:instrText>
          </w:r>
          <w:r>
            <w:rPr>
              <w:rFonts w:hint="eastAsia" w:ascii="宋体" w:hAnsi="宋体" w:eastAsia="宋体" w:cs="宋体"/>
              <w:sz w:val="24"/>
              <w:szCs w:val="24"/>
            </w:rPr>
            <w:fldChar w:fldCharType="separate"/>
          </w:r>
          <w:r>
            <w:rPr>
              <w:rFonts w:hint="eastAsia" w:ascii="宋体" w:hAnsi="宋体" w:eastAsia="宋体" w:cs="宋体"/>
              <w:sz w:val="24"/>
              <w:szCs w:val="24"/>
            </w:rPr>
            <w:t>八、政府性基金预算支出决算情况说明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_Toc24744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_Toc9396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九、</w:t>
          </w:r>
          <w:r>
            <w:rPr>
              <w:rFonts w:hint="eastAsia" w:ascii="宋体" w:hAnsi="宋体" w:eastAsia="宋体" w:cs="宋体"/>
              <w:sz w:val="24"/>
              <w:szCs w:val="24"/>
            </w:rPr>
            <w:t>国有资本经营预算支出决算情况说明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_Toc9396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_Toc26362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十、</w:t>
          </w:r>
          <w:r>
            <w:rPr>
              <w:rFonts w:hint="eastAsia" w:ascii="宋体" w:hAnsi="宋体" w:eastAsia="宋体" w:cs="宋体"/>
              <w:sz w:val="24"/>
              <w:szCs w:val="24"/>
            </w:rPr>
            <w:t>其他重要事项的情况说明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_Toc26362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_Toc24186 </w:instrText>
          </w:r>
          <w:r>
            <w:rPr>
              <w:rFonts w:hint="eastAsia" w:ascii="宋体" w:hAnsi="宋体" w:eastAsia="宋体" w:cs="宋体"/>
              <w:sz w:val="24"/>
              <w:szCs w:val="24"/>
            </w:rPr>
            <w:fldChar w:fldCharType="separate"/>
          </w:r>
          <w:r>
            <w:rPr>
              <w:rFonts w:hint="eastAsia" w:ascii="宋体" w:hAnsi="宋体" w:eastAsia="宋体" w:cs="宋体"/>
              <w:sz w:val="24"/>
              <w:szCs w:val="24"/>
            </w:rPr>
            <w:t>（一）机关运行经费支出情况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_Toc24186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_Toc29527 </w:instrText>
          </w:r>
          <w:r>
            <w:rPr>
              <w:rFonts w:hint="eastAsia" w:ascii="宋体" w:hAnsi="宋体" w:eastAsia="宋体" w:cs="宋体"/>
              <w:sz w:val="24"/>
              <w:szCs w:val="24"/>
            </w:rPr>
            <w:fldChar w:fldCharType="separate"/>
          </w:r>
          <w:r>
            <w:rPr>
              <w:rFonts w:hint="eastAsia" w:ascii="宋体" w:hAnsi="宋体" w:eastAsia="宋体" w:cs="宋体"/>
              <w:sz w:val="24"/>
              <w:szCs w:val="24"/>
            </w:rPr>
            <w:t>（二）政府采购支出情况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_Toc29527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_Toc17685 </w:instrText>
          </w:r>
          <w:r>
            <w:rPr>
              <w:rFonts w:hint="eastAsia" w:ascii="宋体" w:hAnsi="宋体" w:eastAsia="宋体" w:cs="宋体"/>
              <w:sz w:val="24"/>
              <w:szCs w:val="24"/>
            </w:rPr>
            <w:fldChar w:fldCharType="separate"/>
          </w:r>
          <w:r>
            <w:rPr>
              <w:rFonts w:hint="eastAsia" w:ascii="宋体" w:hAnsi="宋体" w:eastAsia="宋体" w:cs="宋体"/>
              <w:sz w:val="24"/>
              <w:szCs w:val="24"/>
            </w:rPr>
            <w:t>（三）国有资产占有使用情况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_Toc17685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_Toc22408 </w:instrText>
          </w:r>
          <w:r>
            <w:rPr>
              <w:rFonts w:hint="eastAsia" w:ascii="宋体" w:hAnsi="宋体" w:eastAsia="宋体" w:cs="宋体"/>
              <w:sz w:val="24"/>
              <w:szCs w:val="24"/>
            </w:rPr>
            <w:fldChar w:fldCharType="separate"/>
          </w:r>
          <w:r>
            <w:rPr>
              <w:rFonts w:hint="eastAsia" w:ascii="宋体" w:hAnsi="宋体" w:eastAsia="宋体" w:cs="宋体"/>
              <w:sz w:val="24"/>
              <w:szCs w:val="24"/>
            </w:rPr>
            <w:t>第三部分  名词解释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_Toc22408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_Toc18900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第四部分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_Toc18900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keepNext w:val="0"/>
            <w:keepLines w:val="0"/>
            <w:pageBreakBefore w:val="0"/>
            <w:widowControl w:val="0"/>
            <w:tabs>
              <w:tab w:val="right" w:leader="dot" w:pos="8845"/>
              <w:tab w:val="clear" w:pos="8296"/>
            </w:tabs>
            <w:kinsoku/>
            <w:wordWrap/>
            <w:overflowPunct/>
            <w:topLinePunct w:val="0"/>
            <w:autoSpaceDE/>
            <w:autoSpaceDN/>
            <w:bidi w:val="0"/>
            <w:adjustRightInd/>
            <w:snapToGrid/>
            <w:spacing w:before="0"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_Toc28913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第五部分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_Toc28913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_Toc6439 </w:instrText>
          </w:r>
          <w:r>
            <w:rPr>
              <w:rFonts w:hint="eastAsia" w:ascii="宋体" w:hAnsi="宋体" w:eastAsia="宋体" w:cs="宋体"/>
              <w:sz w:val="24"/>
              <w:szCs w:val="24"/>
            </w:rPr>
            <w:fldChar w:fldCharType="separate"/>
          </w:r>
          <w:r>
            <w:rPr>
              <w:rFonts w:hint="eastAsia" w:ascii="宋体" w:hAnsi="宋体" w:eastAsia="宋体" w:cs="宋体"/>
              <w:sz w:val="24"/>
              <w:szCs w:val="24"/>
            </w:rPr>
            <w:t>一、收入支出决算总表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_Toc6439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_Toc19183 </w:instrText>
          </w:r>
          <w:r>
            <w:rPr>
              <w:rFonts w:hint="eastAsia" w:ascii="宋体" w:hAnsi="宋体" w:eastAsia="宋体" w:cs="宋体"/>
              <w:sz w:val="24"/>
              <w:szCs w:val="24"/>
            </w:rPr>
            <w:fldChar w:fldCharType="separate"/>
          </w:r>
          <w:r>
            <w:rPr>
              <w:rFonts w:hint="eastAsia" w:ascii="宋体" w:hAnsi="宋体" w:eastAsia="宋体" w:cs="宋体"/>
              <w:sz w:val="24"/>
              <w:szCs w:val="24"/>
            </w:rPr>
            <w:t>二、收入决算表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_Toc19183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_Toc29513 </w:instrText>
          </w:r>
          <w:r>
            <w:rPr>
              <w:rFonts w:hint="eastAsia" w:ascii="宋体" w:hAnsi="宋体" w:eastAsia="宋体" w:cs="宋体"/>
              <w:sz w:val="24"/>
              <w:szCs w:val="24"/>
            </w:rPr>
            <w:fldChar w:fldCharType="separate"/>
          </w:r>
          <w:r>
            <w:rPr>
              <w:rFonts w:hint="eastAsia" w:ascii="宋体" w:hAnsi="宋体" w:eastAsia="宋体" w:cs="宋体"/>
              <w:sz w:val="24"/>
              <w:szCs w:val="24"/>
            </w:rPr>
            <w:t>三、支出决算表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_Toc29513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_Toc19035 </w:instrText>
          </w:r>
          <w:r>
            <w:rPr>
              <w:rFonts w:hint="eastAsia" w:ascii="宋体" w:hAnsi="宋体" w:eastAsia="宋体" w:cs="宋体"/>
              <w:sz w:val="24"/>
              <w:szCs w:val="24"/>
            </w:rPr>
            <w:fldChar w:fldCharType="separate"/>
          </w:r>
          <w:r>
            <w:rPr>
              <w:rFonts w:hint="eastAsia" w:ascii="宋体" w:hAnsi="宋体" w:eastAsia="宋体" w:cs="宋体"/>
              <w:sz w:val="24"/>
              <w:szCs w:val="24"/>
            </w:rPr>
            <w:t>四、财政拨款收入支出决算总表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_Toc19035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_Toc31033 </w:instrText>
          </w:r>
          <w:r>
            <w:rPr>
              <w:rFonts w:hint="eastAsia" w:ascii="宋体" w:hAnsi="宋体" w:eastAsia="宋体" w:cs="宋体"/>
              <w:sz w:val="24"/>
              <w:szCs w:val="24"/>
            </w:rPr>
            <w:fldChar w:fldCharType="separate"/>
          </w:r>
          <w:r>
            <w:rPr>
              <w:rFonts w:hint="eastAsia" w:ascii="宋体" w:hAnsi="宋体" w:eastAsia="宋体" w:cs="宋体"/>
              <w:sz w:val="24"/>
              <w:szCs w:val="24"/>
            </w:rPr>
            <w:t>五、财政拨款支出决算明细表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_Toc31033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_Toc8976 </w:instrText>
          </w:r>
          <w:r>
            <w:rPr>
              <w:rFonts w:hint="eastAsia" w:ascii="宋体" w:hAnsi="宋体" w:eastAsia="宋体" w:cs="宋体"/>
              <w:sz w:val="24"/>
              <w:szCs w:val="24"/>
            </w:rPr>
            <w:fldChar w:fldCharType="separate"/>
          </w:r>
          <w:r>
            <w:rPr>
              <w:rFonts w:hint="eastAsia" w:ascii="宋体" w:hAnsi="宋体" w:eastAsia="宋体" w:cs="宋体"/>
              <w:sz w:val="24"/>
              <w:szCs w:val="24"/>
            </w:rPr>
            <w:t>六、一般公共预算财政拨款支出决算表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_Toc8976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_Toc18983 </w:instrText>
          </w:r>
          <w:r>
            <w:rPr>
              <w:rFonts w:hint="eastAsia" w:ascii="宋体" w:hAnsi="宋体" w:eastAsia="宋体" w:cs="宋体"/>
              <w:sz w:val="24"/>
              <w:szCs w:val="24"/>
            </w:rPr>
            <w:fldChar w:fldCharType="separate"/>
          </w:r>
          <w:r>
            <w:rPr>
              <w:rFonts w:hint="eastAsia" w:ascii="宋体" w:hAnsi="宋体" w:eastAsia="宋体" w:cs="宋体"/>
              <w:sz w:val="24"/>
              <w:szCs w:val="24"/>
            </w:rPr>
            <w:t>七、一般公共预算财政拨款支出决算明细表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_Toc8976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_Toc20285 </w:instrText>
          </w:r>
          <w:r>
            <w:rPr>
              <w:rFonts w:hint="eastAsia" w:ascii="宋体" w:hAnsi="宋体" w:eastAsia="宋体" w:cs="宋体"/>
              <w:sz w:val="24"/>
              <w:szCs w:val="24"/>
            </w:rPr>
            <w:fldChar w:fldCharType="separate"/>
          </w:r>
          <w:r>
            <w:rPr>
              <w:rFonts w:hint="eastAsia" w:ascii="宋体" w:hAnsi="宋体" w:eastAsia="宋体" w:cs="宋体"/>
              <w:sz w:val="24"/>
              <w:szCs w:val="24"/>
            </w:rPr>
            <w:t>八、一般公共预算财政拨款基本支出决算表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_Toc20285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_Toc22619 </w:instrText>
          </w:r>
          <w:r>
            <w:rPr>
              <w:rFonts w:hint="eastAsia" w:ascii="宋体" w:hAnsi="宋体" w:eastAsia="宋体" w:cs="宋体"/>
              <w:sz w:val="24"/>
              <w:szCs w:val="24"/>
            </w:rPr>
            <w:fldChar w:fldCharType="separate"/>
          </w:r>
          <w:r>
            <w:rPr>
              <w:rFonts w:hint="eastAsia" w:ascii="宋体" w:hAnsi="宋体" w:eastAsia="宋体" w:cs="宋体"/>
              <w:sz w:val="24"/>
              <w:szCs w:val="24"/>
            </w:rPr>
            <w:t>九、一般公共预算财政拨款项目支出决算表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_Toc22619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_Toc7571 </w:instrText>
          </w:r>
          <w:r>
            <w:rPr>
              <w:rFonts w:hint="eastAsia" w:ascii="宋体" w:hAnsi="宋体" w:eastAsia="宋体" w:cs="宋体"/>
              <w:sz w:val="24"/>
              <w:szCs w:val="24"/>
            </w:rPr>
            <w:fldChar w:fldCharType="separate"/>
          </w:r>
          <w:r>
            <w:rPr>
              <w:rFonts w:hint="eastAsia" w:ascii="宋体" w:hAnsi="宋体" w:eastAsia="宋体" w:cs="宋体"/>
              <w:sz w:val="24"/>
              <w:szCs w:val="24"/>
            </w:rPr>
            <w:t>十、政府性基金预算财政拨款收入支出决算表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_Toc7571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_Toc28448 </w:instrText>
          </w:r>
          <w:r>
            <w:rPr>
              <w:rFonts w:hint="eastAsia" w:ascii="宋体" w:hAnsi="宋体" w:eastAsia="宋体" w:cs="宋体"/>
              <w:sz w:val="24"/>
              <w:szCs w:val="24"/>
            </w:rPr>
            <w:fldChar w:fldCharType="separate"/>
          </w:r>
          <w:r>
            <w:rPr>
              <w:rFonts w:hint="eastAsia" w:ascii="宋体" w:hAnsi="宋体" w:eastAsia="宋体" w:cs="宋体"/>
              <w:sz w:val="24"/>
              <w:szCs w:val="24"/>
            </w:rPr>
            <w:t>十一、</w:t>
          </w:r>
          <w:r>
            <w:rPr>
              <w:rFonts w:hint="eastAsia" w:ascii="宋体" w:hAnsi="宋体" w:eastAsia="宋体" w:cs="宋体"/>
              <w:sz w:val="24"/>
              <w:szCs w:val="24"/>
              <w:lang w:eastAsia="zh-CN"/>
            </w:rPr>
            <w:t>国有资本经营</w:t>
          </w:r>
          <w:r>
            <w:rPr>
              <w:rFonts w:hint="eastAsia" w:ascii="宋体" w:hAnsi="宋体" w:eastAsia="宋体" w:cs="宋体"/>
              <w:sz w:val="24"/>
              <w:szCs w:val="24"/>
            </w:rPr>
            <w:t>预算财政拨款收入支出决算表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_Toc28448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_Toc3597 </w:instrText>
          </w:r>
          <w:r>
            <w:rPr>
              <w:rFonts w:hint="eastAsia" w:ascii="宋体" w:hAnsi="宋体" w:eastAsia="宋体" w:cs="宋体"/>
              <w:sz w:val="24"/>
              <w:szCs w:val="24"/>
            </w:rPr>
            <w:fldChar w:fldCharType="separate"/>
          </w:r>
          <w:r>
            <w:rPr>
              <w:rFonts w:hint="eastAsia" w:ascii="宋体" w:hAnsi="宋体" w:eastAsia="宋体" w:cs="宋体"/>
              <w:sz w:val="24"/>
              <w:szCs w:val="24"/>
            </w:rPr>
            <w:t>十二、国有资本经营预算</w:t>
          </w:r>
          <w:r>
            <w:rPr>
              <w:rFonts w:hint="eastAsia" w:ascii="宋体" w:hAnsi="宋体" w:eastAsia="宋体" w:cs="宋体"/>
              <w:sz w:val="24"/>
              <w:szCs w:val="24"/>
              <w:lang w:eastAsia="zh-CN"/>
            </w:rPr>
            <w:t>财政拨款</w:t>
          </w:r>
          <w:r>
            <w:rPr>
              <w:rFonts w:hint="eastAsia" w:ascii="宋体" w:hAnsi="宋体" w:eastAsia="宋体" w:cs="宋体"/>
              <w:sz w:val="24"/>
              <w:szCs w:val="24"/>
            </w:rPr>
            <w:t>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_Toc3597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keepNext w:val="0"/>
            <w:keepLines w:val="0"/>
            <w:pageBreakBefore w:val="0"/>
            <w:widowControl w:val="0"/>
            <w:tabs>
              <w:tab w:val="right" w:leader="dot" w:pos="8845"/>
              <w:tab w:val="clear" w:pos="8296"/>
            </w:tabs>
            <w:kinsoku/>
            <w:wordWrap/>
            <w:overflowPunct/>
            <w:topLinePunct w:val="0"/>
            <w:autoSpaceDE/>
            <w:autoSpaceDN/>
            <w:bidi w:val="0"/>
            <w:adjustRightInd/>
            <w:snapToGrid/>
            <w:spacing w:line="400" w:lineRule="exact"/>
            <w:jc w:val="both"/>
            <w:textAlignment w:val="auto"/>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_Toc20729 </w:instrText>
          </w:r>
          <w:r>
            <w:rPr>
              <w:rFonts w:hint="eastAsia" w:ascii="宋体" w:hAnsi="宋体" w:eastAsia="宋体" w:cs="宋体"/>
              <w:sz w:val="24"/>
              <w:szCs w:val="24"/>
            </w:rPr>
            <w:fldChar w:fldCharType="separate"/>
          </w:r>
          <w:r>
            <w:rPr>
              <w:rFonts w:hint="eastAsia" w:ascii="宋体" w:hAnsi="宋体" w:eastAsia="宋体" w:cs="宋体"/>
              <w:sz w:val="24"/>
              <w:szCs w:val="24"/>
            </w:rPr>
            <w:t>十三、</w:t>
          </w:r>
          <w:r>
            <w:rPr>
              <w:rFonts w:hint="eastAsia" w:ascii="宋体" w:hAnsi="宋体" w:eastAsia="宋体" w:cs="宋体"/>
              <w:sz w:val="24"/>
              <w:szCs w:val="24"/>
              <w:lang w:eastAsia="zh-CN"/>
            </w:rPr>
            <w:t>财政拨款“三公”经费</w:t>
          </w:r>
          <w:r>
            <w:rPr>
              <w:rFonts w:hint="eastAsia" w:ascii="宋体" w:hAnsi="宋体" w:eastAsia="宋体" w:cs="宋体"/>
              <w:sz w:val="24"/>
              <w:szCs w:val="24"/>
            </w:rPr>
            <w:t>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_Toc20729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spacing w:before="0" w:beforeLines="0" w:after="0" w:afterLines="0" w:line="240" w:lineRule="auto"/>
            <w:ind w:left="0" w:leftChars="0" w:right="0" w:rightChars="0" w:firstLine="0" w:firstLineChars="0"/>
            <w:jc w:val="both"/>
          </w:pPr>
          <w:r>
            <w:fldChar w:fldCharType="end"/>
          </w:r>
        </w:p>
      </w:sdtContent>
    </w:sdt>
    <w:p>
      <w:pPr>
        <w:pStyle w:val="3"/>
        <w:bidi w:val="0"/>
        <w:rPr>
          <w:rFonts w:hint="eastAsia"/>
        </w:rPr>
        <w:sectPr>
          <w:footerReference r:id="rId6" w:type="first"/>
          <w:footerReference r:id="rId5" w:type="default"/>
          <w:pgSz w:w="11906" w:h="16838"/>
          <w:pgMar w:top="2098" w:right="1474" w:bottom="1984" w:left="1587" w:header="851" w:footer="1361" w:gutter="0"/>
          <w:pgBorders>
            <w:top w:val="none" w:sz="0" w:space="0"/>
            <w:left w:val="none" w:sz="0" w:space="0"/>
            <w:bottom w:val="none" w:sz="0" w:space="0"/>
            <w:right w:val="none" w:sz="0" w:space="0"/>
          </w:pgBorders>
          <w:pgNumType w:fmt="decimal" w:start="1"/>
          <w:cols w:space="0" w:num="1"/>
          <w:rtlGutter w:val="0"/>
          <w:docGrid w:type="lines" w:linePitch="439" w:charSpace="0"/>
        </w:sectPr>
      </w:pPr>
    </w:p>
    <w:p>
      <w:pPr>
        <w:pStyle w:val="3"/>
        <w:bidi w:val="0"/>
      </w:pPr>
      <w:bookmarkStart w:id="20" w:name="_Toc27275"/>
      <w:r>
        <w:rPr>
          <w:rFonts w:hint="eastAsia"/>
        </w:rPr>
        <w:t>第一部分 部门概况</w:t>
      </w:r>
      <w:bookmarkEnd w:id="18"/>
      <w:bookmarkEnd w:id="19"/>
      <w:bookmarkEnd w:id="20"/>
    </w:p>
    <w:p>
      <w:pPr>
        <w:widowControl/>
        <w:jc w:val="left"/>
        <w:rPr>
          <w:rFonts w:ascii="黑体" w:eastAsia="黑体"/>
          <w:color w:val="auto"/>
          <w:sz w:val="32"/>
          <w:szCs w:val="32"/>
          <w:highlight w:val="none"/>
        </w:rPr>
      </w:pPr>
    </w:p>
    <w:p>
      <w:pPr>
        <w:pStyle w:val="4"/>
        <w:bidi w:val="0"/>
        <w:rPr>
          <w:rFonts w:hint="eastAsia" w:eastAsia="黑体"/>
          <w:lang w:eastAsia="zh-CN"/>
        </w:rPr>
      </w:pPr>
      <w:bookmarkStart w:id="21" w:name="_Toc17849"/>
      <w:bookmarkStart w:id="22" w:name="_Toc15396600"/>
      <w:bookmarkStart w:id="23" w:name="_Toc15377197"/>
      <w:r>
        <w:rPr>
          <w:rFonts w:hint="eastAsia"/>
        </w:rPr>
        <w:t>一、</w:t>
      </w:r>
      <w:bookmarkEnd w:id="21"/>
      <w:bookmarkEnd w:id="22"/>
      <w:bookmarkEnd w:id="23"/>
      <w:bookmarkStart w:id="24" w:name="_Toc15378445"/>
      <w:bookmarkStart w:id="25" w:name="_Toc15377198"/>
      <w:r>
        <w:rPr>
          <w:rFonts w:hint="eastAsia"/>
          <w:lang w:eastAsia="zh-CN"/>
        </w:rPr>
        <w:t>部门职责</w:t>
      </w:r>
    </w:p>
    <w:bookmarkEnd w:id="24"/>
    <w:bookmarkEnd w:id="25"/>
    <w:p>
      <w:pPr>
        <w:spacing w:line="576"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sz w:val="32"/>
          <w:szCs w:val="32"/>
          <w:lang w:val="en-US" w:eastAsia="zh-CN"/>
        </w:rPr>
        <w:t>1）</w:t>
      </w:r>
      <w:r>
        <w:rPr>
          <w:rFonts w:hint="eastAsia" w:ascii="仿宋_GB2312" w:eastAsia="仿宋_GB2312"/>
          <w:sz w:val="32"/>
          <w:szCs w:val="32"/>
        </w:rPr>
        <w:t>贯彻执行国家粮食流通和物资储备管理的方针政策及法律法规。拟定全区粮食流通和物资储备管理的办法措施，提出发展现代粮食流通产业战略建议，研究提出全区粮食流通和物资储备体制改革方案并组织实施。</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sz w:val="32"/>
          <w:szCs w:val="32"/>
          <w:lang w:val="en-US" w:eastAsia="zh-CN"/>
        </w:rPr>
        <w:t>2</w:t>
      </w:r>
      <w:r>
        <w:rPr>
          <w:rFonts w:hint="eastAsia" w:ascii="仿宋_GB2312" w:eastAsia="仿宋_GB2312"/>
          <w:sz w:val="32"/>
          <w:szCs w:val="32"/>
        </w:rPr>
        <w:t>）研究提出应急储备规划和区级救灾物资储备计划的建议，组织实施区级应急储备和救灾物资的收储、轮换和日常管理，落实有关动用计划和指令，组织指导全区物资储备统计工作。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sz w:val="32"/>
          <w:szCs w:val="32"/>
          <w:lang w:val="en-US" w:eastAsia="zh-CN"/>
        </w:rPr>
        <w:t>3</w:t>
      </w:r>
      <w:r>
        <w:rPr>
          <w:rFonts w:hint="eastAsia" w:ascii="仿宋_GB2312" w:eastAsia="仿宋_GB2312"/>
          <w:sz w:val="32"/>
          <w:szCs w:val="32"/>
        </w:rPr>
        <w:t>）负责全区粮食宏观调控具体工作，承担粮食预警监测和应急责任。提出全区粮食宏观调控、总量平衡以及粮食流通规划的建议。监督执行粮食最低收购价政策及临时收储政策，负责全区粮食余缺调剂，指导区内粮食销售工作。保障政策性粮食的供应，提高全区粮食供应保障能力。组织指导全区粮食统计工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sz w:val="32"/>
          <w:szCs w:val="32"/>
          <w:lang w:val="en-US" w:eastAsia="zh-CN"/>
        </w:rPr>
        <w:t>4</w:t>
      </w:r>
      <w:r>
        <w:rPr>
          <w:rFonts w:hint="eastAsia" w:ascii="仿宋_GB2312" w:eastAsia="仿宋_GB2312"/>
          <w:sz w:val="32"/>
          <w:szCs w:val="32"/>
        </w:rPr>
        <w:t>）负责区级储备粮管理，指导全区储备粮体系建设。提出区级储备粮总体布局和收储、轮换、动用计划建议并组织实施，监督检查区级储备粮库存数量、质量和储存安全。指导协调政策性粮食购销和粮食产销合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sz w:val="32"/>
          <w:szCs w:val="32"/>
          <w:lang w:val="en-US" w:eastAsia="zh-CN"/>
        </w:rPr>
        <w:t>5</w:t>
      </w:r>
      <w:r>
        <w:rPr>
          <w:rFonts w:hint="eastAsia" w:ascii="仿宋_GB2312" w:eastAsia="仿宋_GB2312"/>
          <w:sz w:val="32"/>
          <w:szCs w:val="32"/>
        </w:rPr>
        <w:t>）贯彻执行国家粮食和物资储备仓储管理有关技术标准和规范，负责全区物资储存、流通运输有关技术规范指导、监督工作。负责全区粮食收购、储存环节和政策性用粮质量安全，负责全区粮食流通、加工行业安全生产工作的监督管理，承担物资储备承储单位和全区粮食行业安全生产、抢险救灾工作，指导全市农村科学储粮工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sz w:val="32"/>
          <w:szCs w:val="32"/>
          <w:lang w:val="en-US" w:eastAsia="zh-CN"/>
        </w:rPr>
        <w:t>6</w:t>
      </w:r>
      <w:r>
        <w:rPr>
          <w:rFonts w:hint="eastAsia" w:ascii="仿宋_GB2312" w:eastAsia="仿宋_GB2312"/>
          <w:sz w:val="32"/>
          <w:szCs w:val="32"/>
        </w:rPr>
        <w:t>）制订粮食流通产业发展规划，提出促进全区粮食流通产业发展的政策建议并督促落实。指导、协调全区粮食流通基础设施建设，管理有关储备基础设施、粮食流通设施国家投资项目。制订全区粮食仓储、加工和物流体系建设规划并组织实施。拟订全区粮食市场体系发展规划，指导行业网点建设。开展粮食行业对外合作与交流，协助做好优质粮油的推广、开发工作。指导粮食企业科技进步、技术改造和新技术推广应用，指导粮油企业开展惠农服务。</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sz w:val="32"/>
          <w:szCs w:val="32"/>
          <w:lang w:val="en-US" w:eastAsia="zh-CN"/>
        </w:rPr>
        <w:t>7</w:t>
      </w:r>
      <w:r>
        <w:rPr>
          <w:rFonts w:hint="eastAsia" w:ascii="仿宋_GB2312" w:eastAsia="仿宋_GB2312"/>
          <w:sz w:val="32"/>
          <w:szCs w:val="32"/>
        </w:rPr>
        <w:t>）负责粮食流通行业管理，制定行业和人才发展规划，指导行业的职业技术教育和培训，负责本单位人事管理、全系统劳动及社会保障的服务和管理工作。</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sz w:val="32"/>
          <w:szCs w:val="32"/>
          <w:lang w:val="en-US" w:eastAsia="zh-CN"/>
        </w:rPr>
        <w:t>8</w:t>
      </w:r>
      <w:r>
        <w:rPr>
          <w:rFonts w:hint="eastAsia" w:ascii="仿宋_GB2312" w:eastAsia="仿宋_GB2312"/>
          <w:sz w:val="32"/>
          <w:szCs w:val="32"/>
        </w:rPr>
        <w:t>）负责职责范围内的职业健康、生态环境保护、审批服务便民化等工作。</w:t>
      </w:r>
    </w:p>
    <w:p>
      <w:pPr>
        <w:spacing w:line="576" w:lineRule="exact"/>
        <w:ind w:firstLine="640" w:firstLineChars="200"/>
        <w:rPr>
          <w:rFonts w:hint="eastAsia" w:ascii="仿宋_GB2312" w:hAnsi="仿宋_GB2312" w:eastAsia="仿宋_GB2312" w:cs="仿宋_GB2312"/>
          <w:b w:val="0"/>
          <w:bCs/>
          <w:color w:val="000000"/>
          <w:sz w:val="32"/>
          <w:szCs w:val="32"/>
        </w:rPr>
      </w:pPr>
      <w:r>
        <w:rPr>
          <w:rFonts w:hint="eastAsia" w:ascii="仿宋_GB2312" w:eastAsia="仿宋_GB2312"/>
          <w:sz w:val="32"/>
          <w:szCs w:val="32"/>
        </w:rPr>
        <w:t>（</w:t>
      </w:r>
      <w:r>
        <w:rPr>
          <w:rFonts w:hint="eastAsia" w:ascii="仿宋_GB2312"/>
          <w:sz w:val="32"/>
          <w:szCs w:val="32"/>
          <w:lang w:val="en-US" w:eastAsia="zh-CN"/>
        </w:rPr>
        <w:t>9</w:t>
      </w:r>
      <w:r>
        <w:rPr>
          <w:rFonts w:hint="eastAsia" w:ascii="仿宋_GB2312" w:eastAsia="仿宋_GB2312"/>
          <w:sz w:val="32"/>
          <w:szCs w:val="32"/>
        </w:rPr>
        <w:t>）完成区委、区政府以及区发展改革局交办的其他任务。</w:t>
      </w:r>
    </w:p>
    <w:p>
      <w:pPr>
        <w:pStyle w:val="4"/>
        <w:bidi w:val="0"/>
      </w:pPr>
      <w:bookmarkStart w:id="26" w:name="_Toc15377200"/>
      <w:bookmarkStart w:id="27" w:name="_Toc31950"/>
      <w:bookmarkStart w:id="28" w:name="_Toc15396601"/>
      <w:r>
        <w:rPr>
          <w:rFonts w:hint="eastAsia"/>
        </w:rPr>
        <w:t>二、机构设置</w:t>
      </w:r>
      <w:bookmarkEnd w:id="26"/>
      <w:bookmarkEnd w:id="27"/>
      <w:bookmarkEnd w:id="28"/>
    </w:p>
    <w:p>
      <w:pPr>
        <w:spacing w:line="580" w:lineRule="exact"/>
        <w:ind w:firstLine="640" w:firstLineChars="200"/>
        <w:rPr>
          <w:rFonts w:hint="eastAsia" w:ascii="仿宋" w:hAnsi="仿宋" w:eastAsia="仿宋" w:cs="仿宋_GB2312"/>
          <w:color w:val="C00000"/>
          <w:sz w:val="32"/>
          <w:szCs w:val="32"/>
          <w:lang w:eastAsia="zh-CN"/>
        </w:rPr>
      </w:pPr>
      <w:bookmarkStart w:id="29" w:name="_Toc3752"/>
      <w:bookmarkStart w:id="30" w:name="_Toc15377204"/>
      <w:bookmarkStart w:id="31" w:name="_Toc15396602"/>
      <w:r>
        <w:rPr>
          <w:rFonts w:ascii="仿宋" w:hAnsi="仿宋" w:eastAsia="仿宋" w:cs="仿宋_GB2312"/>
          <w:sz w:val="32"/>
          <w:szCs w:val="32"/>
        </w:rPr>
        <w:t>（</w:t>
      </w:r>
      <w:r>
        <w:rPr>
          <w:rFonts w:ascii="仿宋" w:hAnsi="仿宋" w:eastAsia="仿宋" w:cs="仿宋_GB2312"/>
          <w:color w:val="auto"/>
          <w:sz w:val="32"/>
          <w:szCs w:val="32"/>
        </w:rPr>
        <w:t>一）机构组成。内设</w:t>
      </w:r>
      <w:r>
        <w:rPr>
          <w:rFonts w:hint="eastAsia" w:ascii="仿宋" w:hAnsi="仿宋" w:eastAsia="仿宋" w:cs="仿宋_GB2312"/>
          <w:color w:val="auto"/>
          <w:sz w:val="32"/>
          <w:szCs w:val="32"/>
          <w:lang w:eastAsia="zh-CN"/>
        </w:rPr>
        <w:t>办公室、</w:t>
      </w:r>
      <w:r>
        <w:rPr>
          <w:rFonts w:hint="eastAsia" w:ascii="仿宋" w:hAnsi="仿宋" w:eastAsia="仿宋" w:cs="仿宋_GB2312"/>
          <w:color w:val="auto"/>
          <w:sz w:val="32"/>
          <w:szCs w:val="32"/>
          <w:lang w:val="en-US" w:eastAsia="zh-CN"/>
        </w:rPr>
        <w:t>调控股、物资储备股、仓储管理股三股一室</w:t>
      </w:r>
      <w:r>
        <w:rPr>
          <w:rFonts w:hint="eastAsia" w:ascii="仿宋" w:hAnsi="仿宋" w:eastAsia="仿宋" w:cs="仿宋_GB2312"/>
          <w:color w:val="auto"/>
          <w:sz w:val="32"/>
          <w:szCs w:val="32"/>
          <w:lang w:eastAsia="zh-CN"/>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eastAsia="zh-CN"/>
        </w:rPr>
        <w:t>履行政府行政职能，服务“三农”。业务范围：</w:t>
      </w:r>
      <w:r>
        <w:rPr>
          <w:rFonts w:hint="eastAsia" w:ascii="仿宋" w:hAnsi="仿宋" w:eastAsia="仿宋" w:cs="仿宋_GB2312"/>
          <w:sz w:val="32"/>
          <w:szCs w:val="32"/>
          <w:lang w:val="en-US" w:eastAsia="zh-CN"/>
        </w:rPr>
        <w:t>1、贯彻执行国家粮食流通和储备粮管理方针政和法律法规；监督全区粮食流通市场，审核、发放《粮食收购许可证》负责全区粮食行政执工作；2、指导全区粮食储备体系建设，做好中央和省、市、区储备粮的管理工作。3、负责敞开收购农民余粮工作的落实；4、负责社会粮食流通，缺粮户、灾民口粮供应，指导全区粮油产业化发展工作，负责区内粮食安全预警。</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rPr>
          <w:rFonts w:hint="eastAsia"/>
        </w:rPr>
      </w:pPr>
      <w:r>
        <w:rPr>
          <w:rFonts w:hint="eastAsia" w:ascii="仿宋_GB2312" w:hAnsi="仿宋_GB2312" w:eastAsia="仿宋_GB2312" w:cstheme="minorBidi"/>
          <w:kern w:val="2"/>
          <w:sz w:val="32"/>
          <w:szCs w:val="32"/>
          <w:lang w:val="en-US" w:eastAsia="zh-CN" w:bidi="ar-SA"/>
        </w:rPr>
        <w:t>朝天区粮食和物资储备中心参公事业编制人数9人，实有人员1</w:t>
      </w:r>
      <w:r>
        <w:rPr>
          <w:rFonts w:hint="eastAsia" w:cstheme="minorBidi"/>
          <w:kern w:val="2"/>
          <w:sz w:val="32"/>
          <w:szCs w:val="32"/>
          <w:lang w:val="en-US" w:eastAsia="zh-CN" w:bidi="ar-SA"/>
        </w:rPr>
        <w:t>1</w:t>
      </w:r>
      <w:r>
        <w:rPr>
          <w:rFonts w:hint="eastAsia" w:ascii="仿宋_GB2312" w:hAnsi="仿宋_GB2312" w:eastAsia="仿宋_GB2312" w:cstheme="minorBidi"/>
          <w:kern w:val="2"/>
          <w:sz w:val="32"/>
          <w:szCs w:val="32"/>
          <w:lang w:val="en-US" w:eastAsia="zh-CN" w:bidi="ar-SA"/>
        </w:rPr>
        <w:t>人，公务员</w:t>
      </w:r>
      <w:r>
        <w:rPr>
          <w:rFonts w:hint="eastAsia" w:cstheme="minorBidi"/>
          <w:kern w:val="2"/>
          <w:sz w:val="32"/>
          <w:szCs w:val="32"/>
          <w:lang w:val="en-US" w:eastAsia="zh-CN" w:bidi="ar-SA"/>
        </w:rPr>
        <w:t>8</w:t>
      </w:r>
      <w:r>
        <w:rPr>
          <w:rFonts w:hint="eastAsia" w:ascii="仿宋_GB2312" w:hAnsi="仿宋_GB2312" w:eastAsia="仿宋_GB2312" w:cstheme="minorBidi"/>
          <w:kern w:val="2"/>
          <w:sz w:val="32"/>
          <w:szCs w:val="32"/>
          <w:lang w:val="en-US" w:eastAsia="zh-CN" w:bidi="ar-SA"/>
        </w:rPr>
        <w:t>人，机关工勤人员3人。</w:t>
      </w:r>
      <w:r>
        <w:rPr>
          <w:rFonts w:hint="eastAsia"/>
        </w:rPr>
        <w:br w:type="page"/>
      </w:r>
    </w:p>
    <w:p>
      <w:pPr>
        <w:pStyle w:val="3"/>
        <w:bidi w:val="0"/>
        <w:rPr>
          <w:color w:val="auto"/>
          <w:highlight w:val="none"/>
        </w:rPr>
      </w:pPr>
      <w:r>
        <w:rPr>
          <w:rFonts w:hint="eastAsia"/>
        </w:rPr>
        <w:t xml:space="preserve">第二部分 </w:t>
      </w:r>
      <w:r>
        <w:rPr>
          <w:rFonts w:hint="eastAsia"/>
          <w:lang w:val="en-US" w:eastAsia="zh-CN"/>
        </w:rPr>
        <w:t>2022年度</w:t>
      </w:r>
      <w:r>
        <w:rPr>
          <w:rFonts w:hint="eastAsia"/>
        </w:rPr>
        <w:t>部门决算情况说明</w:t>
      </w:r>
      <w:bookmarkEnd w:id="29"/>
      <w:bookmarkEnd w:id="30"/>
      <w:bookmarkEnd w:id="31"/>
    </w:p>
    <w:p>
      <w:pPr>
        <w:bidi w:val="0"/>
        <w:rPr>
          <w:rFonts w:hint="eastAsia"/>
          <w:lang w:val="en-US" w:eastAsia="zh-CN"/>
        </w:rPr>
      </w:pPr>
      <w:bookmarkStart w:id="32" w:name="_Toc15396603"/>
      <w:bookmarkStart w:id="33" w:name="_Toc15377205"/>
      <w:bookmarkStart w:id="34" w:name="_Toc16501"/>
    </w:p>
    <w:p>
      <w:pPr>
        <w:pStyle w:val="4"/>
        <w:pageBreakBefore w:val="0"/>
        <w:widowControl w:val="0"/>
        <w:kinsoku/>
        <w:wordWrap/>
        <w:overflowPunct/>
        <w:topLinePunct w:val="0"/>
        <w:autoSpaceDE/>
        <w:autoSpaceDN/>
        <w:bidi w:val="0"/>
        <w:adjustRightInd/>
        <w:snapToGrid/>
        <w:spacing w:line="520" w:lineRule="exact"/>
        <w:textAlignment w:val="auto"/>
      </w:pPr>
      <w:r>
        <w:rPr>
          <w:rFonts w:hint="eastAsia"/>
          <w:lang w:val="en-US" w:eastAsia="zh-CN"/>
        </w:rPr>
        <w:t>一、</w:t>
      </w:r>
      <w:r>
        <w:rPr>
          <w:rFonts w:hint="eastAsia"/>
        </w:rPr>
        <w:t>收入支出决算总体情况说明</w:t>
      </w:r>
      <w:bookmarkEnd w:id="32"/>
      <w:bookmarkEnd w:id="33"/>
      <w:bookmarkEnd w:id="34"/>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rPr>
        <w:t>20</w:t>
      </w:r>
      <w:r>
        <w:rPr>
          <w:rFonts w:hint="eastAsia" w:ascii="仿宋_GB2312" w:hAnsi="仿宋_GB2312" w:eastAsia="仿宋_GB2312" w:cs="仿宋_GB2312"/>
          <w:lang w:val="en-US" w:eastAsia="zh-CN"/>
        </w:rPr>
        <w:t>22</w:t>
      </w:r>
      <w:r>
        <w:rPr>
          <w:rFonts w:hint="eastAsia" w:ascii="仿宋_GB2312" w:hAnsi="仿宋_GB2312" w:eastAsia="仿宋_GB2312" w:cs="仿宋_GB2312"/>
        </w:rPr>
        <w:t>年度收</w:t>
      </w:r>
      <w:r>
        <w:rPr>
          <w:rFonts w:hint="eastAsia" w:ascii="仿宋_GB2312" w:hAnsi="仿宋_GB2312" w:eastAsia="仿宋_GB2312" w:cs="仿宋_GB2312"/>
          <w:lang w:eastAsia="zh-CN"/>
        </w:rPr>
        <w:t>、支</w:t>
      </w:r>
      <w:r>
        <w:rPr>
          <w:rFonts w:hint="eastAsia" w:cs="仿宋_GB2312"/>
          <w:lang w:val="en-US" w:eastAsia="zh-CN"/>
        </w:rPr>
        <w:t>581.25</w:t>
      </w:r>
      <w:r>
        <w:rPr>
          <w:rFonts w:hint="eastAsia" w:ascii="仿宋_GB2312" w:hAnsi="仿宋_GB2312" w:eastAsia="仿宋_GB2312" w:cs="仿宋_GB2312"/>
        </w:rPr>
        <w:t>万元</w:t>
      </w:r>
      <w:r>
        <w:rPr>
          <w:rFonts w:hint="eastAsia" w:ascii="仿宋_GB2312" w:hAnsi="仿宋_GB2312" w:eastAsia="仿宋_GB2312" w:cs="仿宋_GB2312"/>
          <w:lang w:eastAsia="zh-CN"/>
        </w:rPr>
        <w:t>，</w:t>
      </w:r>
      <w:r>
        <w:rPr>
          <w:rFonts w:hint="eastAsia" w:ascii="仿宋_GB2312" w:hAnsi="仿宋_GB2312" w:eastAsia="仿宋_GB2312" w:cs="仿宋_GB2312"/>
        </w:rPr>
        <w:t>与20</w:t>
      </w:r>
      <w:r>
        <w:rPr>
          <w:rFonts w:hint="eastAsia" w:ascii="仿宋_GB2312" w:hAnsi="仿宋_GB2312" w:eastAsia="仿宋_GB2312" w:cs="仿宋_GB2312"/>
          <w:lang w:val="en-US" w:eastAsia="zh-CN"/>
        </w:rPr>
        <w:t>21</w:t>
      </w:r>
      <w:r>
        <w:rPr>
          <w:rFonts w:hint="eastAsia" w:ascii="仿宋_GB2312" w:hAnsi="仿宋_GB2312" w:eastAsia="仿宋_GB2312" w:cs="仿宋_GB2312"/>
        </w:rPr>
        <w:t>年相比</w:t>
      </w:r>
      <w:r>
        <w:rPr>
          <w:rFonts w:hint="eastAsia" w:ascii="仿宋_GB2312" w:hAnsi="仿宋_GB2312" w:eastAsia="仿宋_GB2312" w:cs="仿宋_GB2312"/>
          <w:lang w:eastAsia="zh-CN"/>
        </w:rPr>
        <w:t>收、支各</w:t>
      </w:r>
      <w:r>
        <w:rPr>
          <w:rFonts w:hint="eastAsia" w:cs="仿宋_GB2312"/>
          <w:lang w:eastAsia="zh-CN"/>
        </w:rPr>
        <w:t>减少</w:t>
      </w:r>
      <w:r>
        <w:rPr>
          <w:rFonts w:hint="eastAsia" w:cs="仿宋_GB2312"/>
          <w:lang w:val="en-US" w:eastAsia="zh-CN"/>
        </w:rPr>
        <w:t>116.01</w:t>
      </w:r>
      <w:r>
        <w:rPr>
          <w:rFonts w:hint="eastAsia" w:ascii="仿宋_GB2312" w:hAnsi="仿宋_GB2312" w:eastAsia="仿宋_GB2312" w:cs="仿宋_GB2312"/>
        </w:rPr>
        <w:t>万元，</w:t>
      </w:r>
      <w:r>
        <w:rPr>
          <w:rFonts w:hint="eastAsia" w:cs="仿宋_GB2312"/>
          <w:lang w:eastAsia="zh-CN"/>
        </w:rPr>
        <w:t>下降</w:t>
      </w:r>
      <w:r>
        <w:rPr>
          <w:rFonts w:hint="eastAsia" w:cs="仿宋_GB2312"/>
          <w:lang w:val="en-US" w:eastAsia="zh-CN"/>
        </w:rPr>
        <w:t>16.64</w:t>
      </w:r>
      <w:r>
        <w:rPr>
          <w:rFonts w:hint="eastAsia" w:ascii="仿宋_GB2312" w:hAnsi="仿宋_GB2312" w:eastAsia="仿宋_GB2312" w:cs="仿宋_GB2312"/>
        </w:rPr>
        <w:t>%</w:t>
      </w:r>
      <w:r>
        <w:rPr>
          <w:rFonts w:hint="eastAsia" w:ascii="仿宋_GB2312" w:hAnsi="仿宋_GB2312" w:eastAsia="仿宋_GB2312" w:cs="仿宋_GB2312"/>
          <w:lang w:eastAsia="zh-CN"/>
        </w:rPr>
        <w:t>。</w:t>
      </w:r>
      <w:r>
        <w:rPr>
          <w:rFonts w:hint="eastAsia" w:ascii="仿宋_GB2312" w:hAnsi="仿宋_GB2312" w:eastAsia="仿宋_GB2312" w:cs="仿宋_GB2312"/>
        </w:rPr>
        <w:t>主要变动原因是</w:t>
      </w:r>
      <w:r>
        <w:rPr>
          <w:rFonts w:hint="eastAsia" w:ascii="仿宋_GB2312" w:hAnsi="仿宋_GB2312" w:eastAsia="仿宋_GB2312" w:cs="仿宋_GB2312"/>
          <w:lang w:eastAsia="zh-CN"/>
        </w:rPr>
        <w:t>人员经费及项目</w:t>
      </w:r>
      <w:r>
        <w:rPr>
          <w:rFonts w:hint="eastAsia" w:cs="仿宋_GB2312"/>
          <w:lang w:eastAsia="zh-CN"/>
        </w:rPr>
        <w:t>减</w:t>
      </w:r>
      <w:r>
        <w:rPr>
          <w:rFonts w:hint="eastAsia" w:ascii="仿宋_GB2312" w:hAnsi="仿宋_GB2312" w:eastAsia="仿宋_GB2312" w:cs="仿宋_GB2312"/>
        </w:rPr>
        <w:t>。</w:t>
      </w:r>
    </w:p>
    <w:p>
      <w:pPr>
        <w:spacing w:line="600" w:lineRule="exact"/>
        <w:ind w:left="0" w:leftChars="0" w:right="0" w:rightChars="0" w:firstLine="0" w:firstLineChars="0"/>
        <w:jc w:val="center"/>
        <w:rPr>
          <w:rFonts w:hint="eastAsia"/>
          <w:lang w:eastAsia="zh-CN"/>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59264" behindDoc="0" locked="0" layoutInCell="1" allowOverlap="1">
            <wp:simplePos x="0" y="0"/>
            <wp:positionH relativeFrom="column">
              <wp:align>center</wp:align>
            </wp:positionH>
            <wp:positionV relativeFrom="paragraph">
              <wp:posOffset>158115</wp:posOffset>
            </wp:positionV>
            <wp:extent cx="4806950" cy="2272030"/>
            <wp:effectExtent l="4445" t="4445" r="8255" b="9525"/>
            <wp:wrapTopAndBottom/>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bookmarkStart w:id="35" w:name="_Toc15396604"/>
      <w:bookmarkStart w:id="36" w:name="_Toc15377206"/>
    </w:p>
    <w:p>
      <w:pPr>
        <w:pStyle w:val="4"/>
        <w:bidi w:val="0"/>
      </w:pPr>
      <w:bookmarkStart w:id="37" w:name="_Toc27824"/>
      <w:r>
        <w:rPr>
          <w:rFonts w:hint="eastAsia"/>
          <w:lang w:eastAsia="zh-CN"/>
        </w:rPr>
        <w:t>二、</w:t>
      </w:r>
      <w:r>
        <w:rPr>
          <w:rFonts w:hint="eastAsia"/>
        </w:rPr>
        <w:t>收入决算情况说明</w:t>
      </w:r>
      <w:bookmarkEnd w:id="35"/>
      <w:bookmarkEnd w:id="36"/>
      <w:bookmarkEnd w:id="37"/>
    </w:p>
    <w:p>
      <w:pPr>
        <w:bidi w:val="0"/>
        <w:rPr>
          <w:rFonts w:hint="eastAsia"/>
          <w:b/>
          <w:bCs/>
        </w:rPr>
      </w:pPr>
      <w:bookmarkStart w:id="38" w:name="_Toc31753"/>
      <w:bookmarkStart w:id="39" w:name="_Toc18270"/>
      <w:bookmarkStart w:id="40" w:name="_Toc902"/>
      <w:r>
        <w:rPr>
          <w:rFonts w:hint="eastAsia" w:ascii="仿宋_GB2312" w:hAnsi="仿宋_GB2312" w:eastAsia="仿宋_GB2312" w:cs="仿宋_GB2312"/>
        </w:rPr>
        <w:t>20</w:t>
      </w:r>
      <w:r>
        <w:rPr>
          <w:rFonts w:hint="eastAsia" w:ascii="仿宋_GB2312" w:hAnsi="仿宋_GB2312" w:eastAsia="仿宋_GB2312" w:cs="仿宋_GB2312"/>
          <w:lang w:val="en-US" w:eastAsia="zh-CN"/>
        </w:rPr>
        <w:t>22</w:t>
      </w:r>
      <w:r>
        <w:rPr>
          <w:rFonts w:hint="eastAsia" w:ascii="仿宋_GB2312" w:hAnsi="仿宋_GB2312" w:eastAsia="仿宋_GB2312" w:cs="仿宋_GB2312"/>
        </w:rPr>
        <w:t>年本年收入合计</w:t>
      </w:r>
      <w:r>
        <w:rPr>
          <w:rFonts w:hint="eastAsia" w:cs="仿宋_GB2312"/>
          <w:lang w:val="en-US" w:eastAsia="zh-CN"/>
        </w:rPr>
        <w:t>581.25</w:t>
      </w:r>
      <w:r>
        <w:rPr>
          <w:rFonts w:hint="eastAsia" w:ascii="仿宋_GB2312" w:hAnsi="仿宋_GB2312" w:eastAsia="仿宋_GB2312" w:cs="仿宋_GB2312"/>
        </w:rPr>
        <w:t>万元，</w:t>
      </w:r>
      <w:r>
        <w:rPr>
          <w:rFonts w:hint="eastAsia" w:ascii="仿宋_GB2312" w:hAnsi="仿宋_GB2312" w:eastAsia="仿宋_GB2312" w:cs="仿宋_GB2312"/>
          <w:lang w:eastAsia="zh-CN"/>
        </w:rPr>
        <w:t>其中：</w:t>
      </w:r>
      <w:r>
        <w:rPr>
          <w:rFonts w:hint="eastAsia" w:ascii="仿宋_GB2312" w:hAnsi="仿宋_GB2312" w:eastAsia="仿宋_GB2312" w:cs="仿宋_GB2312"/>
        </w:rPr>
        <w:t>一般公共预算财政拨款收入</w:t>
      </w:r>
      <w:r>
        <w:rPr>
          <w:rFonts w:hint="eastAsia" w:cs="仿宋_GB2312"/>
          <w:lang w:val="en-US" w:eastAsia="zh-CN"/>
        </w:rPr>
        <w:t>581.25</w:t>
      </w:r>
      <w:r>
        <w:rPr>
          <w:rFonts w:hint="eastAsia" w:ascii="仿宋_GB2312" w:hAnsi="仿宋_GB2312" w:eastAsia="仿宋_GB2312" w:cs="仿宋_GB2312"/>
        </w:rPr>
        <w:t>万元，占100%</w:t>
      </w:r>
      <w:bookmarkEnd w:id="38"/>
      <w:bookmarkEnd w:id="39"/>
      <w:bookmarkEnd w:id="40"/>
      <w:r>
        <w:rPr>
          <w:rFonts w:hint="eastAsia" w:ascii="仿宋_GB2312" w:hAnsi="仿宋_GB2312" w:eastAsia="仿宋_GB2312" w:cs="仿宋_GB2312"/>
          <w:lang w:eastAsia="zh-CN"/>
        </w:rPr>
        <w:t>；</w:t>
      </w:r>
      <w:r>
        <w:rPr>
          <w:rFonts w:hint="eastAsia" w:ascii="仿宋_GB2312" w:hAnsi="仿宋_GB2312" w:eastAsia="仿宋_GB2312" w:cs="仿宋_GB2312"/>
        </w:rPr>
        <w:t>政府性基金预算财政拨款收入</w:t>
      </w:r>
      <w:r>
        <w:rPr>
          <w:rFonts w:hint="eastAsia" w:ascii="仿宋_GB2312" w:hAnsi="仿宋_GB2312" w:eastAsia="仿宋_GB2312" w:cs="仿宋_GB2312"/>
          <w:lang w:val="en-US" w:eastAsia="zh-CN"/>
        </w:rPr>
        <w:t>0</w:t>
      </w:r>
      <w:r>
        <w:rPr>
          <w:rFonts w:hint="eastAsia" w:ascii="仿宋_GB2312" w:hAnsi="仿宋_GB2312" w:eastAsia="仿宋_GB2312" w:cs="仿宋_GB2312"/>
        </w:rPr>
        <w:t>万元，占</w:t>
      </w:r>
      <w:r>
        <w:rPr>
          <w:rFonts w:hint="eastAsia" w:ascii="仿宋_GB2312" w:hAnsi="仿宋_GB2312" w:eastAsia="仿宋_GB2312" w:cs="仿宋_GB2312"/>
          <w:lang w:val="en-US" w:eastAsia="zh-CN"/>
        </w:rPr>
        <w:t>0</w:t>
      </w:r>
      <w:r>
        <w:rPr>
          <w:rFonts w:hint="eastAsia" w:ascii="仿宋_GB2312" w:hAnsi="仿宋_GB2312" w:eastAsia="仿宋_GB2312" w:cs="仿宋_GB2312"/>
        </w:rPr>
        <w:t>%；</w:t>
      </w:r>
      <w:r>
        <w:rPr>
          <w:rFonts w:hint="eastAsia" w:ascii="仿宋_GB2312" w:hAnsi="仿宋_GB2312" w:eastAsia="仿宋_GB2312" w:cs="仿宋_GB2312"/>
          <w:lang w:eastAsia="zh-CN"/>
        </w:rPr>
        <w:t>国有资本经营预算财政拨款收入</w:t>
      </w:r>
      <w:r>
        <w:rPr>
          <w:rFonts w:hint="eastAsia" w:ascii="仿宋_GB2312" w:hAnsi="仿宋_GB2312" w:eastAsia="仿宋_GB2312" w:cs="仿宋_GB2312"/>
          <w:lang w:val="en-US" w:eastAsia="zh-CN"/>
        </w:rPr>
        <w:t>0</w:t>
      </w:r>
      <w:r>
        <w:rPr>
          <w:rFonts w:hint="eastAsia" w:ascii="仿宋_GB2312" w:hAnsi="仿宋_GB2312" w:eastAsia="仿宋_GB2312" w:cs="仿宋_GB2312"/>
        </w:rPr>
        <w:t>万元，占</w:t>
      </w:r>
      <w:r>
        <w:rPr>
          <w:rFonts w:hint="eastAsia" w:ascii="仿宋_GB2312" w:hAnsi="仿宋_GB2312" w:eastAsia="仿宋_GB2312" w:cs="仿宋_GB2312"/>
          <w:lang w:val="en-US" w:eastAsia="zh-CN"/>
        </w:rPr>
        <w:t>0</w:t>
      </w:r>
      <w:r>
        <w:rPr>
          <w:rFonts w:hint="eastAsia" w:ascii="仿宋_GB2312" w:hAnsi="仿宋_GB2312" w:eastAsia="仿宋_GB2312" w:cs="仿宋_GB2312"/>
        </w:rPr>
        <w:t>%；上级补助收入</w:t>
      </w:r>
      <w:r>
        <w:rPr>
          <w:rFonts w:hint="eastAsia" w:ascii="仿宋_GB2312" w:hAnsi="仿宋_GB2312" w:eastAsia="仿宋_GB2312" w:cs="仿宋_GB2312"/>
          <w:lang w:val="en-US" w:eastAsia="zh-CN"/>
        </w:rPr>
        <w:t>0</w:t>
      </w:r>
      <w:r>
        <w:rPr>
          <w:rFonts w:hint="eastAsia" w:ascii="仿宋_GB2312" w:hAnsi="仿宋_GB2312" w:eastAsia="仿宋_GB2312" w:cs="仿宋_GB2312"/>
        </w:rPr>
        <w:t>万元，占</w:t>
      </w:r>
      <w:r>
        <w:rPr>
          <w:rFonts w:hint="eastAsia" w:ascii="仿宋_GB2312" w:hAnsi="仿宋_GB2312" w:eastAsia="仿宋_GB2312" w:cs="仿宋_GB2312"/>
          <w:lang w:val="en-US" w:eastAsia="zh-CN"/>
        </w:rPr>
        <w:t>0</w:t>
      </w:r>
      <w:r>
        <w:rPr>
          <w:rFonts w:hint="eastAsia" w:ascii="仿宋_GB2312" w:hAnsi="仿宋_GB2312" w:eastAsia="仿宋_GB2312" w:cs="仿宋_GB2312"/>
        </w:rPr>
        <w:t>%；事业收入</w:t>
      </w:r>
      <w:r>
        <w:rPr>
          <w:rFonts w:hint="eastAsia" w:ascii="仿宋_GB2312" w:hAnsi="仿宋_GB2312" w:eastAsia="仿宋_GB2312" w:cs="仿宋_GB2312"/>
          <w:lang w:val="en-US" w:eastAsia="zh-CN"/>
        </w:rPr>
        <w:t>0</w:t>
      </w:r>
      <w:r>
        <w:rPr>
          <w:rFonts w:hint="eastAsia" w:ascii="仿宋_GB2312" w:hAnsi="仿宋_GB2312" w:eastAsia="仿宋_GB2312" w:cs="仿宋_GB2312"/>
        </w:rPr>
        <w:t>万元，占</w:t>
      </w:r>
      <w:r>
        <w:rPr>
          <w:rFonts w:hint="eastAsia" w:ascii="仿宋_GB2312" w:hAnsi="仿宋_GB2312" w:eastAsia="仿宋_GB2312" w:cs="仿宋_GB2312"/>
          <w:lang w:val="en-US" w:eastAsia="zh-CN"/>
        </w:rPr>
        <w:t>0</w:t>
      </w:r>
      <w:r>
        <w:rPr>
          <w:rFonts w:hint="eastAsia" w:ascii="仿宋_GB2312" w:hAnsi="仿宋_GB2312" w:eastAsia="仿宋_GB2312" w:cs="仿宋_GB2312"/>
        </w:rPr>
        <w:t>%；经营收入</w:t>
      </w:r>
      <w:r>
        <w:rPr>
          <w:rFonts w:hint="eastAsia" w:ascii="仿宋_GB2312" w:hAnsi="仿宋_GB2312" w:eastAsia="仿宋_GB2312" w:cs="仿宋_GB2312"/>
          <w:lang w:val="en-US" w:eastAsia="zh-CN"/>
        </w:rPr>
        <w:t>0</w:t>
      </w:r>
      <w:r>
        <w:rPr>
          <w:rFonts w:hint="eastAsia" w:ascii="仿宋_GB2312" w:hAnsi="仿宋_GB2312" w:eastAsia="仿宋_GB2312" w:cs="仿宋_GB2312"/>
        </w:rPr>
        <w:t>万元，占</w:t>
      </w:r>
      <w:r>
        <w:rPr>
          <w:rFonts w:hint="eastAsia" w:ascii="仿宋_GB2312" w:hAnsi="仿宋_GB2312" w:eastAsia="仿宋_GB2312" w:cs="仿宋_GB2312"/>
          <w:lang w:val="en-US" w:eastAsia="zh-CN"/>
        </w:rPr>
        <w:t>0</w:t>
      </w:r>
      <w:r>
        <w:rPr>
          <w:rFonts w:hint="eastAsia" w:ascii="仿宋_GB2312" w:hAnsi="仿宋_GB2312" w:eastAsia="仿宋_GB2312" w:cs="仿宋_GB2312"/>
        </w:rPr>
        <w:t>%；附属单位上缴收入</w:t>
      </w:r>
      <w:r>
        <w:rPr>
          <w:rFonts w:hint="eastAsia" w:ascii="仿宋_GB2312" w:hAnsi="仿宋_GB2312" w:eastAsia="仿宋_GB2312" w:cs="仿宋_GB2312"/>
          <w:lang w:val="en-US" w:eastAsia="zh-CN"/>
        </w:rPr>
        <w:t>0</w:t>
      </w:r>
      <w:r>
        <w:rPr>
          <w:rFonts w:hint="eastAsia" w:ascii="仿宋_GB2312" w:hAnsi="仿宋_GB2312" w:eastAsia="仿宋_GB2312" w:cs="仿宋_GB2312"/>
        </w:rPr>
        <w:t>万元，占</w:t>
      </w:r>
      <w:r>
        <w:rPr>
          <w:rFonts w:hint="eastAsia" w:ascii="仿宋_GB2312" w:hAnsi="仿宋_GB2312" w:eastAsia="仿宋_GB2312" w:cs="仿宋_GB2312"/>
          <w:lang w:val="en-US" w:eastAsia="zh-CN"/>
        </w:rPr>
        <w:t>0</w:t>
      </w:r>
      <w:r>
        <w:rPr>
          <w:rFonts w:hint="eastAsia" w:ascii="仿宋_GB2312" w:hAnsi="仿宋_GB2312" w:eastAsia="仿宋_GB2312" w:cs="仿宋_GB2312"/>
        </w:rPr>
        <w:t>%；其他收入</w:t>
      </w:r>
      <w:r>
        <w:rPr>
          <w:rFonts w:hint="eastAsia" w:ascii="仿宋_GB2312" w:hAnsi="仿宋_GB2312" w:eastAsia="仿宋_GB2312" w:cs="仿宋_GB2312"/>
          <w:lang w:val="en-US" w:eastAsia="zh-CN"/>
        </w:rPr>
        <w:t>0</w:t>
      </w:r>
      <w:r>
        <w:rPr>
          <w:rFonts w:hint="eastAsia" w:ascii="仿宋_GB2312" w:hAnsi="仿宋_GB2312" w:eastAsia="仿宋_GB2312" w:cs="仿宋_GB2312"/>
        </w:rPr>
        <w:t>万元，占</w:t>
      </w:r>
      <w:r>
        <w:rPr>
          <w:rFonts w:hint="eastAsia" w:ascii="仿宋_GB2312" w:hAnsi="仿宋_GB2312" w:eastAsia="仿宋_GB2312" w:cs="仿宋_GB2312"/>
          <w:lang w:val="en-US" w:eastAsia="zh-CN"/>
        </w:rPr>
        <w:t>0</w:t>
      </w:r>
      <w:r>
        <w:rPr>
          <w:rFonts w:hint="eastAsia" w:ascii="仿宋_GB2312" w:hAnsi="仿宋_GB2312" w:eastAsia="仿宋_GB2312" w:cs="仿宋_GB2312"/>
        </w:rPr>
        <w:t>%。</w:t>
      </w:r>
      <w:r>
        <w:rPr>
          <w:rFonts w:hint="eastAsia"/>
          <w:b/>
          <w:bCs/>
        </w:rPr>
        <w:drawing>
          <wp:anchor distT="0" distB="0" distL="114300" distR="114300" simplePos="0" relativeHeight="251665408" behindDoc="0" locked="0" layoutInCell="1" allowOverlap="1">
            <wp:simplePos x="0" y="0"/>
            <wp:positionH relativeFrom="column">
              <wp:posOffset>309245</wp:posOffset>
            </wp:positionH>
            <wp:positionV relativeFrom="paragraph">
              <wp:posOffset>471805</wp:posOffset>
            </wp:positionV>
            <wp:extent cx="4926330" cy="2840990"/>
            <wp:effectExtent l="4445" t="4445" r="22225" b="1206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left="0" w:leftChars="0" w:right="0" w:rightChars="0" w:firstLine="0" w:firstLineChars="0"/>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（图2：收入决算结构图）（饼状图）</w:t>
      </w:r>
    </w:p>
    <w:p>
      <w:pPr>
        <w:pStyle w:val="4"/>
        <w:numPr>
          <w:ilvl w:val="0"/>
          <w:numId w:val="1"/>
        </w:numPr>
        <w:bidi w:val="0"/>
      </w:pPr>
      <w:bookmarkStart w:id="41" w:name="_Toc18188"/>
      <w:bookmarkStart w:id="42" w:name="_Toc15377207"/>
      <w:bookmarkStart w:id="43" w:name="_Toc15396605"/>
      <w:r>
        <w:rPr>
          <w:rFonts w:hint="eastAsia"/>
        </w:rPr>
        <w:t>支出决算情况说明</w:t>
      </w:r>
      <w:bookmarkEnd w:id="41"/>
      <w:bookmarkEnd w:id="42"/>
      <w:bookmarkEnd w:id="43"/>
    </w:p>
    <w:p>
      <w:pPr>
        <w:bidi w:val="0"/>
        <w:rPr>
          <w:rFonts w:hint="eastAsia"/>
          <w:lang w:eastAsia="zh-CN"/>
        </w:rPr>
      </w:pPr>
      <w:r>
        <w:rPr>
          <w:rFonts w:hint="eastAsia"/>
        </w:rPr>
        <w:t>20</w:t>
      </w:r>
      <w:r>
        <w:rPr>
          <w:rFonts w:hint="eastAsia"/>
          <w:lang w:val="en-US" w:eastAsia="zh-CN"/>
        </w:rPr>
        <w:t>22</w:t>
      </w:r>
      <w:r>
        <w:rPr>
          <w:rFonts w:hint="eastAsia"/>
        </w:rPr>
        <w:t>年本年支出合计</w:t>
      </w:r>
      <w:r>
        <w:rPr>
          <w:rFonts w:hint="eastAsia"/>
          <w:lang w:val="en-US" w:eastAsia="zh-CN"/>
        </w:rPr>
        <w:t>581.25</w:t>
      </w:r>
      <w:r>
        <w:rPr>
          <w:rFonts w:hint="eastAsia"/>
        </w:rPr>
        <w:t>万元，其中：基本支出</w:t>
      </w:r>
      <w:r>
        <w:rPr>
          <w:rFonts w:hint="eastAsia"/>
          <w:lang w:val="en-US" w:eastAsia="zh-CN"/>
        </w:rPr>
        <w:t>243.27</w:t>
      </w:r>
      <w:r>
        <w:rPr>
          <w:rFonts w:hint="eastAsia"/>
        </w:rPr>
        <w:t>万元，占</w:t>
      </w:r>
      <w:r>
        <w:rPr>
          <w:rFonts w:hint="eastAsia"/>
          <w:lang w:val="en-US" w:eastAsia="zh-CN"/>
        </w:rPr>
        <w:t>42</w:t>
      </w:r>
      <w:r>
        <w:rPr>
          <w:rFonts w:hint="eastAsia"/>
        </w:rPr>
        <w:t>%；项目支出</w:t>
      </w:r>
      <w:r>
        <w:rPr>
          <w:rFonts w:hint="eastAsia"/>
          <w:lang w:val="en-US" w:eastAsia="zh-CN"/>
        </w:rPr>
        <w:t>337.98</w:t>
      </w:r>
      <w:r>
        <w:rPr>
          <w:rFonts w:hint="eastAsia"/>
        </w:rPr>
        <w:t>万元，占</w:t>
      </w:r>
      <w:r>
        <w:rPr>
          <w:rFonts w:hint="eastAsia"/>
          <w:lang w:val="en-US" w:eastAsia="zh-CN"/>
        </w:rPr>
        <w:t>58</w:t>
      </w:r>
      <w:r>
        <w:rPr>
          <w:rFonts w:hint="eastAsia"/>
        </w:rPr>
        <w:t>%</w:t>
      </w:r>
      <w:r>
        <w:rPr>
          <w:rFonts w:hint="eastAsia"/>
          <w:lang w:eastAsia="zh-CN"/>
        </w:rPr>
        <w:t>。</w:t>
      </w:r>
    </w:p>
    <w:p>
      <w:pPr>
        <w:bidi w:val="0"/>
        <w:ind w:left="0" w:leftChars="0" w:right="0" w:rightChars="0" w:firstLine="0" w:firstLineChars="0"/>
        <w:jc w:val="center"/>
        <w:rPr>
          <w:rFonts w:hint="eastAsia"/>
          <w:b/>
          <w:bCs/>
        </w:rPr>
      </w:pPr>
      <w:r>
        <w:rPr>
          <w:rFonts w:hint="eastAsia"/>
          <w:b/>
          <w:bCs/>
        </w:rPr>
        <w:drawing>
          <wp:anchor distT="0" distB="0" distL="114300" distR="114300" simplePos="0" relativeHeight="251660288" behindDoc="0" locked="0" layoutInCell="1" allowOverlap="1">
            <wp:simplePos x="0" y="0"/>
            <wp:positionH relativeFrom="column">
              <wp:posOffset>238125</wp:posOffset>
            </wp:positionH>
            <wp:positionV relativeFrom="paragraph">
              <wp:posOffset>488950</wp:posOffset>
            </wp:positionV>
            <wp:extent cx="5069205" cy="2129790"/>
            <wp:effectExtent l="4445" t="4445" r="12700" b="1841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b/>
          <w:bCs/>
        </w:rPr>
        <w:t>（注：数据来源于财决</w:t>
      </w:r>
      <w:r>
        <w:rPr>
          <w:b/>
          <w:bCs/>
        </w:rPr>
        <w:t>04</w:t>
      </w:r>
      <w:r>
        <w:rPr>
          <w:rFonts w:hint="eastAsia"/>
          <w:b/>
          <w:bCs/>
        </w:rPr>
        <w:t>表</w:t>
      </w:r>
      <w:r>
        <w:rPr>
          <w:rFonts w:hint="eastAsia"/>
          <w:b/>
          <w:bCs/>
          <w:lang w:eastAsia="zh-CN"/>
        </w:rPr>
        <w:t>，仅罗列本部门涉及的支出。</w:t>
      </w:r>
      <w:r>
        <w:rPr>
          <w:rFonts w:hint="eastAsia"/>
          <w:b/>
          <w:bCs/>
        </w:rPr>
        <w:t>）</w:t>
      </w:r>
    </w:p>
    <w:p>
      <w:pPr>
        <w:spacing w:line="600" w:lineRule="exact"/>
        <w:ind w:left="0" w:leftChars="0" w:right="0" w:rightChars="0" w:firstLine="0" w:firstLineChars="0"/>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（图3：支出决算结构图）（饼状图）</w:t>
      </w:r>
    </w:p>
    <w:p>
      <w:pPr>
        <w:pStyle w:val="4"/>
        <w:bidi w:val="0"/>
      </w:pPr>
      <w:bookmarkStart w:id="44" w:name="_Toc15396606"/>
      <w:bookmarkStart w:id="45" w:name="_Toc15377208"/>
      <w:bookmarkStart w:id="46" w:name="_Toc6987"/>
      <w:r>
        <w:rPr>
          <w:rFonts w:hint="eastAsia"/>
        </w:rPr>
        <w:t>四、财政拨款收入支出决算总体情况说明</w:t>
      </w:r>
      <w:bookmarkEnd w:id="44"/>
      <w:bookmarkEnd w:id="45"/>
      <w:bookmarkEnd w:id="46"/>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财政拨款收、支总计</w:t>
      </w:r>
      <w:r>
        <w:rPr>
          <w:rFonts w:hint="eastAsia" w:cs="仿宋_GB2312"/>
          <w:sz w:val="32"/>
          <w:szCs w:val="32"/>
          <w:lang w:val="en-US" w:eastAsia="zh-CN"/>
        </w:rPr>
        <w:t>581.25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与20</w:t>
      </w: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年相比，财政拨款收</w:t>
      </w:r>
      <w:r>
        <w:rPr>
          <w:rFonts w:hint="eastAsia" w:ascii="仿宋_GB2312" w:hAnsi="仿宋_GB2312" w:eastAsia="仿宋_GB2312" w:cs="仿宋_GB2312"/>
          <w:sz w:val="32"/>
          <w:szCs w:val="32"/>
          <w:lang w:eastAsia="zh-CN"/>
        </w:rPr>
        <w:t>、支总计</w:t>
      </w:r>
      <w:r>
        <w:rPr>
          <w:rFonts w:hint="eastAsia" w:cs="仿宋_GB2312"/>
          <w:sz w:val="32"/>
          <w:szCs w:val="32"/>
          <w:lang w:eastAsia="zh-CN"/>
        </w:rPr>
        <w:t>减少</w:t>
      </w:r>
      <w:r>
        <w:rPr>
          <w:rFonts w:hint="eastAsia" w:cs="仿宋_GB2312"/>
          <w:sz w:val="32"/>
          <w:szCs w:val="32"/>
          <w:lang w:val="en-US" w:eastAsia="zh-CN"/>
        </w:rPr>
        <w:t>116.01</w:t>
      </w:r>
      <w:r>
        <w:rPr>
          <w:rFonts w:hint="eastAsia" w:ascii="仿宋_GB2312" w:hAnsi="仿宋_GB2312" w:eastAsia="仿宋_GB2312" w:cs="仿宋_GB2312"/>
          <w:sz w:val="32"/>
          <w:szCs w:val="32"/>
        </w:rPr>
        <w:t>万元，</w:t>
      </w:r>
      <w:r>
        <w:rPr>
          <w:rFonts w:hint="eastAsia" w:cs="仿宋_GB2312"/>
          <w:sz w:val="32"/>
          <w:szCs w:val="32"/>
          <w:lang w:eastAsia="zh-CN"/>
        </w:rPr>
        <w:t>下降</w:t>
      </w:r>
      <w:r>
        <w:rPr>
          <w:rFonts w:hint="eastAsia" w:cs="仿宋_GB2312"/>
          <w:sz w:val="32"/>
          <w:szCs w:val="32"/>
          <w:lang w:val="en-US" w:eastAsia="zh-CN"/>
        </w:rPr>
        <w:t>16.64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主要变动原因是</w:t>
      </w:r>
      <w:r>
        <w:rPr>
          <w:rFonts w:hint="eastAsia" w:ascii="仿宋_GB2312" w:hAnsi="仿宋_GB2312" w:cs="仿宋_GB2312"/>
          <w:sz w:val="32"/>
          <w:szCs w:val="32"/>
          <w:lang w:eastAsia="zh-CN"/>
        </w:rPr>
        <w:t>人员经费及</w:t>
      </w:r>
      <w:r>
        <w:rPr>
          <w:rFonts w:hint="eastAsia" w:ascii="仿宋_GB2312" w:hAnsi="仿宋_GB2312" w:eastAsia="仿宋_GB2312" w:cs="仿宋_GB2312"/>
          <w:sz w:val="32"/>
          <w:szCs w:val="32"/>
          <w:lang w:eastAsia="zh-CN"/>
        </w:rPr>
        <w:t>项目</w:t>
      </w:r>
      <w:r>
        <w:rPr>
          <w:rFonts w:hint="eastAsia" w:cs="仿宋_GB2312"/>
          <w:sz w:val="32"/>
          <w:szCs w:val="32"/>
          <w:lang w:eastAsia="zh-CN"/>
        </w:rPr>
        <w:t>减少</w:t>
      </w:r>
      <w:r>
        <w:rPr>
          <w:rFonts w:hint="eastAsia" w:ascii="仿宋_GB2312" w:hAnsi="仿宋_GB2312" w:eastAsia="仿宋_GB2312" w:cs="仿宋_GB2312"/>
          <w:sz w:val="32"/>
          <w:szCs w:val="32"/>
        </w:rPr>
        <w:t>。</w:t>
      </w:r>
    </w:p>
    <w:p>
      <w:pPr>
        <w:spacing w:line="600" w:lineRule="exact"/>
        <w:ind w:left="0" w:leftChars="0" w:right="0" w:rightChars="0" w:firstLine="0" w:firstLineChars="0"/>
        <w:jc w:val="center"/>
        <w:rPr>
          <w:rFonts w:ascii="仿宋" w:hAnsi="仿宋" w:eastAsia="仿宋"/>
          <w:b/>
          <w:color w:val="auto"/>
          <w:sz w:val="32"/>
          <w:szCs w:val="32"/>
          <w:highlight w:val="none"/>
        </w:rPr>
      </w:pPr>
      <w:r>
        <w:rPr>
          <w:rFonts w:hint="eastAsia" w:ascii="仿宋" w:hAnsi="仿宋" w:eastAsia="仿宋"/>
          <w:b/>
          <w:color w:val="00B050"/>
          <w:sz w:val="32"/>
          <w:szCs w:val="32"/>
        </w:rPr>
        <w:drawing>
          <wp:anchor distT="0" distB="0" distL="114300" distR="114300" simplePos="0" relativeHeight="251661312" behindDoc="0" locked="0" layoutInCell="1" allowOverlap="1">
            <wp:simplePos x="0" y="0"/>
            <wp:positionH relativeFrom="column">
              <wp:align>center</wp:align>
            </wp:positionH>
            <wp:positionV relativeFrom="paragraph">
              <wp:posOffset>71755</wp:posOffset>
            </wp:positionV>
            <wp:extent cx="4915535" cy="2320925"/>
            <wp:effectExtent l="4445" t="4445" r="13970" b="1778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 w:hAnsi="仿宋" w:eastAsia="仿宋"/>
          <w:color w:val="auto"/>
          <w:sz w:val="32"/>
          <w:szCs w:val="32"/>
          <w:highlight w:val="none"/>
        </w:rPr>
        <w:t>（图4：财政拨款收、支决算总计变动情况）（柱状图）</w:t>
      </w:r>
    </w:p>
    <w:p>
      <w:pPr>
        <w:pStyle w:val="4"/>
        <w:bidi w:val="0"/>
      </w:pPr>
      <w:bookmarkStart w:id="47" w:name="_Toc15377209"/>
      <w:bookmarkStart w:id="48" w:name="_Toc23910"/>
      <w:bookmarkStart w:id="49" w:name="_Toc15396607"/>
      <w:r>
        <w:rPr>
          <w:rFonts w:hint="eastAsia"/>
        </w:rPr>
        <w:t>五、一般公共预算财政拨款支出决算情况说明</w:t>
      </w:r>
      <w:bookmarkEnd w:id="47"/>
      <w:bookmarkEnd w:id="48"/>
      <w:bookmarkEnd w:id="49"/>
    </w:p>
    <w:p>
      <w:pPr>
        <w:pStyle w:val="5"/>
        <w:bidi w:val="0"/>
        <w:rPr>
          <w:rFonts w:hint="eastAsia"/>
        </w:rPr>
      </w:pPr>
      <w:bookmarkStart w:id="50" w:name="_Toc32380"/>
      <w:bookmarkStart w:id="51" w:name="_Toc15377210"/>
      <w:r>
        <w:rPr>
          <w:rFonts w:hint="eastAsia"/>
        </w:rPr>
        <w:t>（一）一般公共预算财政拨款支出决算总体情况</w:t>
      </w:r>
      <w:bookmarkEnd w:id="50"/>
      <w:bookmarkEnd w:id="51"/>
    </w:p>
    <w:p>
      <w:pPr>
        <w:bidi w:val="0"/>
        <w:rPr>
          <w:rFonts w:hint="eastAsia" w:ascii="仿宋_GB2312" w:hAnsi="仿宋_GB2312" w:eastAsia="仿宋_GB2312" w:cs="仿宋_GB2312"/>
          <w:lang w:eastAsia="zh-CN"/>
        </w:rPr>
      </w:pPr>
      <w:r>
        <w:rPr>
          <w:rFonts w:hint="eastAsia" w:ascii="仿宋_GB2312" w:hAnsi="仿宋_GB2312" w:eastAsia="仿宋_GB2312" w:cs="仿宋_GB2312"/>
        </w:rPr>
        <w:t>20</w:t>
      </w:r>
      <w:r>
        <w:rPr>
          <w:rFonts w:hint="eastAsia" w:ascii="仿宋_GB2312" w:hAnsi="仿宋_GB2312" w:eastAsia="仿宋_GB2312" w:cs="仿宋_GB2312"/>
          <w:lang w:val="en-US" w:eastAsia="zh-CN"/>
        </w:rPr>
        <w:t>22</w:t>
      </w:r>
      <w:r>
        <w:rPr>
          <w:rFonts w:hint="eastAsia" w:ascii="仿宋_GB2312" w:hAnsi="仿宋_GB2312" w:eastAsia="仿宋_GB2312" w:cs="仿宋_GB2312"/>
        </w:rPr>
        <w:t>年一般公共预算财政拨款支出</w:t>
      </w:r>
      <w:r>
        <w:rPr>
          <w:rFonts w:hint="eastAsia" w:cs="仿宋_GB2312"/>
          <w:lang w:val="en-US" w:eastAsia="zh-CN"/>
        </w:rPr>
        <w:t>581.25</w:t>
      </w:r>
      <w:r>
        <w:rPr>
          <w:rFonts w:hint="eastAsia" w:ascii="仿宋_GB2312" w:hAnsi="仿宋_GB2312" w:eastAsia="仿宋_GB2312" w:cs="仿宋_GB2312"/>
        </w:rPr>
        <w:t>万元，占本年支出合计的100%。与20</w:t>
      </w:r>
      <w:r>
        <w:rPr>
          <w:rFonts w:hint="eastAsia" w:ascii="仿宋_GB2312" w:hAnsi="仿宋_GB2312" w:eastAsia="仿宋_GB2312" w:cs="仿宋_GB2312"/>
          <w:lang w:val="en-US" w:eastAsia="zh-CN"/>
        </w:rPr>
        <w:t>21</w:t>
      </w:r>
      <w:r>
        <w:rPr>
          <w:rFonts w:hint="eastAsia" w:ascii="仿宋_GB2312" w:hAnsi="仿宋_GB2312" w:eastAsia="仿宋_GB2312" w:cs="仿宋_GB2312"/>
        </w:rPr>
        <w:t>年相比，一般公共预算财政拨款</w:t>
      </w:r>
      <w:r>
        <w:rPr>
          <w:rFonts w:hint="eastAsia" w:ascii="仿宋_GB2312" w:hAnsi="仿宋_GB2312" w:eastAsia="仿宋_GB2312" w:cs="仿宋_GB2312"/>
          <w:lang w:eastAsia="zh-CN"/>
        </w:rPr>
        <w:t>增加</w:t>
      </w:r>
      <w:r>
        <w:rPr>
          <w:rFonts w:hint="eastAsia" w:ascii="仿宋_GB2312" w:hAnsi="仿宋_GB2312" w:eastAsia="仿宋_GB2312" w:cs="仿宋_GB2312"/>
          <w:lang w:val="en-US" w:eastAsia="zh-CN"/>
        </w:rPr>
        <w:t>1</w:t>
      </w:r>
      <w:r>
        <w:rPr>
          <w:rFonts w:hint="eastAsia" w:cs="仿宋_GB2312"/>
          <w:lang w:val="en-US" w:eastAsia="zh-CN"/>
        </w:rPr>
        <w:t>16.01</w:t>
      </w:r>
      <w:r>
        <w:rPr>
          <w:rFonts w:hint="eastAsia" w:ascii="仿宋_GB2312" w:hAnsi="仿宋_GB2312" w:eastAsia="仿宋_GB2312" w:cs="仿宋_GB2312"/>
        </w:rPr>
        <w:t>万元，</w:t>
      </w:r>
      <w:r>
        <w:rPr>
          <w:rFonts w:hint="eastAsia" w:cs="仿宋_GB2312"/>
          <w:lang w:eastAsia="zh-CN"/>
        </w:rPr>
        <w:t>下降</w:t>
      </w:r>
      <w:r>
        <w:rPr>
          <w:rFonts w:hint="eastAsia" w:cs="仿宋_GB2312"/>
          <w:lang w:val="en-US" w:eastAsia="zh-CN"/>
        </w:rPr>
        <w:t>16.64</w:t>
      </w:r>
      <w:r>
        <w:rPr>
          <w:rFonts w:hint="eastAsia" w:ascii="仿宋_GB2312" w:hAnsi="仿宋_GB2312" w:eastAsia="仿宋_GB2312" w:cs="仿宋_GB2312"/>
        </w:rPr>
        <w:t>%。</w:t>
      </w:r>
      <w:r>
        <w:rPr>
          <w:rFonts w:hint="eastAsia" w:ascii="仿宋_GB2312" w:hAnsi="仿宋_GB2312" w:eastAsia="仿宋_GB2312" w:cs="仿宋_GB2312"/>
          <w:lang w:eastAsia="zh-CN"/>
        </w:rPr>
        <w:t>主要变动原因是人员经费及项目</w:t>
      </w:r>
      <w:r>
        <w:rPr>
          <w:rFonts w:hint="eastAsia" w:cs="仿宋_GB2312"/>
          <w:lang w:eastAsia="zh-CN"/>
        </w:rPr>
        <w:t>减少</w:t>
      </w:r>
      <w:r>
        <w:rPr>
          <w:rFonts w:hint="eastAsia" w:ascii="仿宋_GB2312" w:hAnsi="仿宋_GB2312" w:eastAsia="仿宋_GB2312" w:cs="仿宋_GB2312"/>
          <w:lang w:eastAsia="zh-CN"/>
        </w:rPr>
        <w:t>。</w:t>
      </w:r>
    </w:p>
    <w:p>
      <w:pPr>
        <w:spacing w:line="600" w:lineRule="exact"/>
        <w:ind w:left="0" w:leftChars="0" w:right="0" w:rightChars="0" w:firstLine="0" w:firstLineChars="0"/>
        <w:jc w:val="center"/>
        <w:rPr>
          <w:rFonts w:hint="eastAsia" w:ascii="仿宋" w:hAnsi="仿宋" w:eastAsia="仿宋"/>
          <w:b/>
          <w:color w:val="auto"/>
          <w:sz w:val="32"/>
          <w:szCs w:val="32"/>
          <w:highlight w:val="none"/>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2336" behindDoc="0" locked="0" layoutInCell="1" allowOverlap="1">
            <wp:simplePos x="0" y="0"/>
            <wp:positionH relativeFrom="column">
              <wp:posOffset>377190</wp:posOffset>
            </wp:positionH>
            <wp:positionV relativeFrom="paragraph">
              <wp:posOffset>92075</wp:posOffset>
            </wp:positionV>
            <wp:extent cx="4786630" cy="3031490"/>
            <wp:effectExtent l="4445" t="4445" r="9525" b="1206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ascii="仿宋" w:hAnsi="仿宋" w:eastAsia="仿宋"/>
          <w:color w:val="auto"/>
          <w:sz w:val="32"/>
          <w:szCs w:val="32"/>
          <w:highlight w:val="none"/>
        </w:rPr>
        <w:t>（图5：一般公共预算财政拨款支出决算变动情况（柱状图）</w:t>
      </w:r>
    </w:p>
    <w:p>
      <w:pPr>
        <w:pStyle w:val="5"/>
        <w:bidi w:val="0"/>
      </w:pPr>
      <w:bookmarkStart w:id="52" w:name="_Toc14645"/>
      <w:r>
        <w:rPr>
          <w:rFonts w:hint="eastAsia"/>
        </w:rPr>
        <w:t>（二）一般公共预算财政拨款支出决算结构情况</w:t>
      </w:r>
      <w:bookmarkEnd w:id="52"/>
    </w:p>
    <w:p>
      <w:pPr>
        <w:spacing w:line="600" w:lineRule="exact"/>
        <w:ind w:firstLine="64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202</w:t>
      </w:r>
      <w:r>
        <w:rPr>
          <w:rFonts w:hint="eastAsia" w:ascii="仿宋" w:hAnsi="仿宋" w:eastAsia="仿宋" w:cs="仿宋"/>
          <w:b w:val="0"/>
          <w:bCs w:val="0"/>
          <w:color w:val="000000"/>
          <w:sz w:val="32"/>
          <w:szCs w:val="32"/>
          <w:lang w:val="en-US" w:eastAsia="zh-CN"/>
        </w:rPr>
        <w:t>2</w:t>
      </w:r>
      <w:r>
        <w:rPr>
          <w:rFonts w:hint="eastAsia" w:ascii="仿宋" w:hAnsi="仿宋" w:eastAsia="仿宋" w:cs="仿宋"/>
          <w:b w:val="0"/>
          <w:bCs w:val="0"/>
          <w:color w:val="000000"/>
          <w:sz w:val="32"/>
          <w:szCs w:val="32"/>
        </w:rPr>
        <w:t>年一般公共预算财政拨款支出</w:t>
      </w:r>
      <w:r>
        <w:rPr>
          <w:rFonts w:hint="eastAsia" w:ascii="仿宋" w:hAnsi="仿宋" w:eastAsia="仿宋" w:cs="仿宋"/>
          <w:b w:val="0"/>
          <w:bCs w:val="0"/>
          <w:color w:val="000000"/>
          <w:sz w:val="32"/>
          <w:szCs w:val="32"/>
          <w:lang w:val="en-US" w:eastAsia="zh-CN"/>
        </w:rPr>
        <w:t>581.25</w:t>
      </w:r>
      <w:r>
        <w:rPr>
          <w:rFonts w:hint="eastAsia" w:ascii="仿宋" w:hAnsi="仿宋" w:eastAsia="仿宋" w:cs="仿宋"/>
          <w:b w:val="0"/>
          <w:bCs w:val="0"/>
          <w:color w:val="000000"/>
          <w:sz w:val="32"/>
          <w:szCs w:val="32"/>
        </w:rPr>
        <w:t>万元，</w:t>
      </w:r>
      <w:r>
        <w:rPr>
          <w:rFonts w:hint="eastAsia" w:ascii="仿宋" w:hAnsi="仿宋" w:eastAsia="仿宋" w:cs="仿宋"/>
          <w:color w:val="000000"/>
          <w:sz w:val="32"/>
          <w:szCs w:val="32"/>
        </w:rPr>
        <w:t>主要用于以下方面</w:t>
      </w:r>
      <w:r>
        <w:rPr>
          <w:rFonts w:hint="eastAsia" w:ascii="仿宋" w:hAnsi="仿宋" w:eastAsia="仿宋" w:cs="仿宋"/>
          <w:color w:val="000000"/>
          <w:sz w:val="32"/>
          <w:szCs w:val="32"/>
          <w:lang w:eastAsia="zh-CN"/>
        </w:rPr>
        <w:t>：</w:t>
      </w:r>
      <w:r>
        <w:rPr>
          <w:rFonts w:hint="eastAsia" w:ascii="仿宋" w:hAnsi="仿宋" w:eastAsia="仿宋" w:cs="仿宋"/>
          <w:b/>
          <w:color w:val="000000" w:themeColor="text1"/>
          <w:sz w:val="32"/>
          <w:szCs w:val="32"/>
          <w:lang w:eastAsia="zh-CN"/>
          <w14:textFill>
            <w14:solidFill>
              <w14:schemeClr w14:val="tx1"/>
            </w14:solidFill>
          </w14:textFill>
        </w:rPr>
        <w:t>行政运行</w:t>
      </w:r>
      <w:r>
        <w:rPr>
          <w:rFonts w:hint="eastAsia" w:ascii="仿宋" w:hAnsi="仿宋" w:eastAsia="仿宋" w:cs="仿宋"/>
          <w:b/>
          <w:color w:val="000000" w:themeColor="text1"/>
          <w:sz w:val="32"/>
          <w:szCs w:val="32"/>
          <w14:textFill>
            <w14:solidFill>
              <w14:schemeClr w14:val="tx1"/>
            </w14:solidFill>
          </w14:textFill>
        </w:rPr>
        <w:t>（类）</w:t>
      </w:r>
      <w:r>
        <w:rPr>
          <w:rFonts w:hint="eastAsia" w:ascii="仿宋" w:hAnsi="仿宋" w:eastAsia="仿宋" w:cs="仿宋"/>
          <w:color w:val="000000" w:themeColor="text1"/>
          <w:sz w:val="32"/>
          <w:szCs w:val="32"/>
          <w14:textFill>
            <w14:solidFill>
              <w14:schemeClr w14:val="tx1"/>
            </w14:solidFill>
          </w14:textFill>
        </w:rPr>
        <w:t>支出</w:t>
      </w:r>
      <w:r>
        <w:rPr>
          <w:rFonts w:hint="eastAsia" w:ascii="仿宋" w:hAnsi="仿宋" w:eastAsia="仿宋" w:cs="仿宋"/>
          <w:color w:val="000000" w:themeColor="text1"/>
          <w:sz w:val="32"/>
          <w:szCs w:val="32"/>
          <w:lang w:val="en-US" w:eastAsia="zh-CN"/>
          <w14:textFill>
            <w14:solidFill>
              <w14:schemeClr w14:val="tx1"/>
            </w14:solidFill>
          </w14:textFill>
        </w:rPr>
        <w:t>207.25</w:t>
      </w:r>
      <w:r>
        <w:rPr>
          <w:rFonts w:hint="eastAsia" w:ascii="仿宋" w:hAnsi="仿宋" w:eastAsia="仿宋" w:cs="仿宋"/>
          <w:color w:val="000000" w:themeColor="text1"/>
          <w:sz w:val="32"/>
          <w:szCs w:val="32"/>
          <w14:textFill>
            <w14:solidFill>
              <w14:schemeClr w14:val="tx1"/>
            </w14:solidFill>
          </w14:textFill>
        </w:rPr>
        <w:t>万元，占</w:t>
      </w:r>
      <w:r>
        <w:rPr>
          <w:rFonts w:hint="eastAsia" w:ascii="仿宋" w:hAnsi="仿宋" w:eastAsia="仿宋" w:cs="仿宋"/>
          <w:color w:val="000000" w:themeColor="text1"/>
          <w:sz w:val="32"/>
          <w:szCs w:val="32"/>
          <w:lang w:val="en-US" w:eastAsia="zh-CN"/>
          <w14:textFill>
            <w14:solidFill>
              <w14:schemeClr w14:val="tx1"/>
            </w14:solidFill>
          </w14:textFill>
        </w:rPr>
        <w:t>35.65</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color w:val="000000"/>
          <w:sz w:val="32"/>
          <w:szCs w:val="32"/>
        </w:rPr>
        <w:t>社会保障和就业（类）</w:t>
      </w:r>
      <w:r>
        <w:rPr>
          <w:rFonts w:hint="eastAsia" w:ascii="仿宋" w:hAnsi="仿宋" w:eastAsia="仿宋" w:cs="仿宋"/>
          <w:color w:val="000000"/>
          <w:sz w:val="32"/>
          <w:szCs w:val="32"/>
        </w:rPr>
        <w:t>支出</w:t>
      </w:r>
      <w:r>
        <w:rPr>
          <w:rFonts w:hint="eastAsia" w:ascii="仿宋" w:hAnsi="仿宋" w:eastAsia="仿宋" w:cs="仿宋"/>
          <w:color w:val="000000"/>
          <w:sz w:val="32"/>
          <w:szCs w:val="32"/>
          <w:lang w:val="en-US" w:eastAsia="zh-CN"/>
        </w:rPr>
        <w:t>14.34</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2.47</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卫生健康支出</w:t>
      </w:r>
      <w:r>
        <w:rPr>
          <w:rFonts w:hint="eastAsia" w:ascii="仿宋" w:hAnsi="仿宋" w:eastAsia="仿宋" w:cs="仿宋"/>
          <w:b/>
          <w:color w:val="000000"/>
          <w:sz w:val="32"/>
          <w:szCs w:val="32"/>
        </w:rPr>
        <w:t>（类）</w:t>
      </w:r>
      <w:r>
        <w:rPr>
          <w:rFonts w:hint="eastAsia" w:ascii="仿宋" w:hAnsi="仿宋" w:eastAsia="仿宋" w:cs="仿宋"/>
          <w:b/>
          <w:color w:val="000000"/>
          <w:sz w:val="32"/>
          <w:szCs w:val="32"/>
          <w:lang w:val="en-US" w:eastAsia="zh-CN"/>
        </w:rPr>
        <w:t>7.11</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1.23</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住房保障支出</w:t>
      </w:r>
      <w:r>
        <w:rPr>
          <w:rFonts w:hint="eastAsia" w:ascii="仿宋" w:hAnsi="仿宋" w:eastAsia="仿宋" w:cs="仿宋"/>
          <w:b/>
          <w:color w:val="000000"/>
          <w:sz w:val="32"/>
          <w:szCs w:val="32"/>
        </w:rPr>
        <w:t>（类）</w:t>
      </w:r>
      <w:r>
        <w:rPr>
          <w:rFonts w:hint="eastAsia" w:ascii="仿宋" w:hAnsi="仿宋" w:eastAsia="仿宋" w:cs="仿宋"/>
          <w:b/>
          <w:color w:val="000000"/>
          <w:sz w:val="32"/>
          <w:szCs w:val="32"/>
          <w:lang w:val="en-US" w:eastAsia="zh-CN"/>
        </w:rPr>
        <w:t>14.57</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r>
        <w:rPr>
          <w:rFonts w:hint="eastAsia" w:ascii="仿宋" w:hAnsi="仿宋" w:eastAsia="仿宋" w:cs="仿宋"/>
          <w:b/>
          <w:bCs/>
          <w:color w:val="000000"/>
          <w:sz w:val="32"/>
          <w:szCs w:val="32"/>
          <w:lang w:val="en-US" w:eastAsia="zh-CN"/>
        </w:rPr>
        <w:t>其他粮油物资事务支出（类）337.98</w:t>
      </w:r>
      <w:r>
        <w:rPr>
          <w:rFonts w:hint="eastAsia" w:ascii="仿宋" w:hAnsi="仿宋" w:eastAsia="仿宋" w:cs="仿宋"/>
          <w:b w:val="0"/>
          <w:bCs w:val="0"/>
          <w:color w:val="000000"/>
          <w:sz w:val="32"/>
          <w:szCs w:val="32"/>
          <w:lang w:val="en-US" w:eastAsia="zh-CN"/>
        </w:rPr>
        <w:t>万元，占58.15%</w:t>
      </w:r>
      <w:r>
        <w:rPr>
          <w:rFonts w:hint="eastAsia" w:ascii="仿宋" w:hAnsi="仿宋" w:eastAsia="仿宋" w:cs="仿宋"/>
          <w:b w:val="0"/>
          <w:bCs w:val="0"/>
          <w:color w:val="000000"/>
          <w:sz w:val="32"/>
          <w:szCs w:val="32"/>
        </w:rPr>
        <w:t>。</w:t>
      </w:r>
      <w:bookmarkStart w:id="53" w:name="_Toc15377212"/>
    </w:p>
    <w:p>
      <w:pPr>
        <w:spacing w:line="600" w:lineRule="exact"/>
        <w:ind w:firstLine="642" w:firstLineChars="200"/>
        <w:rPr>
          <w:rFonts w:hint="eastAsia" w:ascii="仿宋" w:hAnsi="仿宋" w:eastAsia="仿宋"/>
          <w:b/>
          <w:bCs/>
          <w:color w:val="auto"/>
          <w:sz w:val="32"/>
          <w:szCs w:val="32"/>
          <w:highlight w:val="none"/>
        </w:rPr>
      </w:pPr>
    </w:p>
    <w:p>
      <w:pPr>
        <w:spacing w:line="600" w:lineRule="exact"/>
        <w:ind w:left="0" w:leftChars="0" w:right="0" w:rightChars="0" w:firstLine="0" w:firstLineChars="0"/>
        <w:jc w:val="center"/>
        <w:rPr>
          <w:rFonts w:hint="eastAsia" w:ascii="仿宋" w:hAnsi="仿宋" w:eastAsia="仿宋"/>
          <w:b/>
          <w:color w:val="auto"/>
          <w:sz w:val="32"/>
          <w:szCs w:val="32"/>
          <w:highlight w:val="none"/>
        </w:rPr>
      </w:pPr>
      <w:r>
        <w:rPr>
          <w:rFonts w:hint="eastAsia" w:ascii="仿宋" w:hAnsi="仿宋" w:eastAsia="仿宋"/>
          <w:color w:val="000000"/>
          <w:sz w:val="32"/>
          <w:szCs w:val="32"/>
        </w:rPr>
        <w:drawing>
          <wp:anchor distT="0" distB="0" distL="114300" distR="114300" simplePos="0" relativeHeight="251663360" behindDoc="0" locked="0" layoutInCell="1" allowOverlap="1">
            <wp:simplePos x="0" y="0"/>
            <wp:positionH relativeFrom="column">
              <wp:posOffset>354965</wp:posOffset>
            </wp:positionH>
            <wp:positionV relativeFrom="paragraph">
              <wp:posOffset>196215</wp:posOffset>
            </wp:positionV>
            <wp:extent cx="4897755" cy="2656205"/>
            <wp:effectExtent l="4445" t="4445" r="12700" b="6350"/>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eastAsia" w:ascii="仿宋" w:hAnsi="仿宋" w:eastAsia="仿宋"/>
          <w:color w:val="auto"/>
          <w:sz w:val="32"/>
          <w:szCs w:val="32"/>
          <w:highlight w:val="none"/>
        </w:rPr>
        <w:t>（图6：一般公共预算财政拨款支出决算结构）（饼状图）</w:t>
      </w:r>
    </w:p>
    <w:p>
      <w:pPr>
        <w:pStyle w:val="5"/>
        <w:bidi w:val="0"/>
      </w:pPr>
      <w:bookmarkStart w:id="54" w:name="_Toc29323"/>
      <w:r>
        <w:rPr>
          <w:rFonts w:hint="eastAsia"/>
        </w:rPr>
        <w:t>（三）一般公共预算财政拨款支出决算具体情况</w:t>
      </w:r>
      <w:bookmarkEnd w:id="53"/>
      <w:bookmarkEnd w:id="54"/>
    </w:p>
    <w:p>
      <w:pPr>
        <w:keepNext w:val="0"/>
        <w:keepLines w:val="0"/>
        <w:pageBreakBefore w:val="0"/>
        <w:widowControl w:val="0"/>
        <w:kinsoku/>
        <w:wordWrap/>
        <w:overflowPunct/>
        <w:topLinePunct w:val="0"/>
        <w:bidi w:val="0"/>
        <w:snapToGrid/>
        <w:spacing w:line="576" w:lineRule="exact"/>
        <w:ind w:firstLine="642" w:firstLineChars="200"/>
        <w:textAlignment w:val="auto"/>
        <w:rPr>
          <w:rFonts w:hint="eastAsia" w:ascii="仿宋_GB2312" w:hAnsi="仿宋_GB2312" w:eastAsia="仿宋_GB2312" w:cs="仿宋_GB2312"/>
          <w:b/>
          <w:bCs/>
          <w:sz w:val="32"/>
          <w:szCs w:val="32"/>
        </w:rPr>
      </w:pPr>
      <w:bookmarkStart w:id="55" w:name="_Toc15377213"/>
      <w:bookmarkStart w:id="56" w:name="_Toc15378460"/>
      <w:bookmarkStart w:id="57" w:name="_Toc15377444"/>
      <w:r>
        <w:rPr>
          <w:rFonts w:hint="eastAsia" w:ascii="仿宋_GB2312" w:hAnsi="仿宋_GB2312" w:eastAsia="仿宋_GB2312" w:cs="仿宋_GB2312"/>
          <w:b/>
          <w:bCs/>
          <w:sz w:val="32"/>
          <w:szCs w:val="32"/>
        </w:rPr>
        <w:t>20</w:t>
      </w:r>
      <w:r>
        <w:rPr>
          <w:rFonts w:hint="eastAsia" w:ascii="仿宋_GB2312" w:hAnsi="仿宋_GB2312" w:eastAsia="仿宋_GB2312" w:cs="仿宋_GB2312"/>
          <w:b/>
          <w:bCs/>
          <w:sz w:val="32"/>
          <w:szCs w:val="32"/>
          <w:lang w:val="en-US" w:eastAsia="zh-CN"/>
        </w:rPr>
        <w:t>2</w:t>
      </w:r>
      <w:r>
        <w:rPr>
          <w:rFonts w:hint="eastAsia" w:ascii="仿宋_GB2312" w:hAnsi="仿宋_GB2312" w:cs="仿宋_GB2312"/>
          <w:b/>
          <w:bCs/>
          <w:sz w:val="32"/>
          <w:szCs w:val="32"/>
          <w:lang w:val="en-US" w:eastAsia="zh-CN"/>
        </w:rPr>
        <w:t>2</w:t>
      </w:r>
      <w:r>
        <w:rPr>
          <w:rFonts w:hint="eastAsia" w:ascii="仿宋_GB2312" w:hAnsi="仿宋_GB2312" w:eastAsia="仿宋_GB2312" w:cs="仿宋_GB2312"/>
          <w:b/>
          <w:bCs/>
          <w:sz w:val="32"/>
          <w:szCs w:val="32"/>
        </w:rPr>
        <w:t>年一般公共预算支出决算数为</w:t>
      </w:r>
      <w:r>
        <w:rPr>
          <w:rFonts w:hint="eastAsia" w:cs="仿宋_GB2312"/>
          <w:b/>
          <w:bCs/>
          <w:sz w:val="32"/>
          <w:szCs w:val="32"/>
          <w:lang w:val="en-US" w:eastAsia="zh-CN"/>
        </w:rPr>
        <w:t>581.25</w:t>
      </w:r>
      <w:r>
        <w:rPr>
          <w:rFonts w:hint="eastAsia" w:ascii="仿宋_GB2312" w:hAnsi="仿宋_GB2312" w:eastAsia="仿宋_GB2312" w:cs="仿宋_GB2312"/>
          <w:b/>
          <w:bCs/>
          <w:sz w:val="32"/>
          <w:szCs w:val="32"/>
        </w:rPr>
        <w:t>万元，完成预算</w:t>
      </w:r>
      <w:r>
        <w:rPr>
          <w:rFonts w:hint="eastAsia" w:ascii="仿宋_GB2312" w:hAnsi="仿宋_GB2312" w:eastAsia="仿宋_GB2312" w:cs="仿宋_GB2312"/>
          <w:b/>
          <w:bCs/>
          <w:sz w:val="32"/>
          <w:szCs w:val="32"/>
          <w:lang w:val="en-US" w:eastAsia="zh-CN"/>
        </w:rPr>
        <w:t>100</w:t>
      </w:r>
      <w:r>
        <w:rPr>
          <w:rFonts w:hint="eastAsia" w:ascii="仿宋_GB2312" w:hAnsi="仿宋_GB2312" w:eastAsia="仿宋_GB2312" w:cs="仿宋_GB2312"/>
          <w:b/>
          <w:bCs/>
          <w:sz w:val="32"/>
          <w:szCs w:val="32"/>
        </w:rPr>
        <w:t>%。其中：</w:t>
      </w:r>
    </w:p>
    <w:bookmarkEnd w:id="55"/>
    <w:bookmarkEnd w:id="56"/>
    <w:bookmarkEnd w:id="57"/>
    <w:p>
      <w:pPr>
        <w:keepNext w:val="0"/>
        <w:keepLines w:val="0"/>
        <w:pageBreakBefore w:val="0"/>
        <w:widowControl w:val="0"/>
        <w:numPr>
          <w:ilvl w:val="0"/>
          <w:numId w:val="0"/>
        </w:numPr>
        <w:kinsoku/>
        <w:wordWrap/>
        <w:overflowPunct/>
        <w:topLinePunct w:val="0"/>
        <w:bidi w:val="0"/>
        <w:snapToGrid/>
        <w:spacing w:line="576" w:lineRule="exact"/>
        <w:ind w:firstLine="642" w:firstLineChars="200"/>
        <w:textAlignment w:val="auto"/>
        <w:rPr>
          <w:rFonts w:hint="eastAsia" w:cs="仿宋_GB2312"/>
          <w:b/>
          <w:bCs/>
          <w:sz w:val="32"/>
          <w:szCs w:val="32"/>
          <w:lang w:val="en-US" w:eastAsia="zh-CN"/>
        </w:rPr>
      </w:pPr>
      <w:r>
        <w:rPr>
          <w:rFonts w:hint="eastAsia" w:ascii="仿宋_GB2312" w:hAnsi="仿宋_GB2312" w:cs="仿宋_GB2312"/>
          <w:b/>
          <w:bCs/>
          <w:sz w:val="32"/>
          <w:szCs w:val="32"/>
          <w:lang w:val="en-US" w:eastAsia="zh-CN"/>
        </w:rPr>
        <w:t>1.</w:t>
      </w:r>
      <w:r>
        <w:rPr>
          <w:rFonts w:hint="eastAsia" w:ascii="仿宋_GB2312" w:hAnsi="仿宋_GB2312" w:eastAsia="仿宋_GB2312" w:cs="仿宋_GB2312"/>
          <w:b/>
          <w:bCs/>
          <w:sz w:val="32"/>
          <w:szCs w:val="32"/>
        </w:rPr>
        <w:t>行政运行支出（</w:t>
      </w:r>
      <w:r>
        <w:rPr>
          <w:rFonts w:hint="eastAsia" w:cs="仿宋_GB2312"/>
          <w:b/>
          <w:bCs/>
          <w:sz w:val="32"/>
          <w:szCs w:val="32"/>
          <w:lang w:val="en-US" w:eastAsia="zh-CN"/>
        </w:rPr>
        <w:t>2220101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支出决算数为</w:t>
      </w:r>
      <w:r>
        <w:rPr>
          <w:rFonts w:hint="eastAsia" w:cs="仿宋_GB2312"/>
          <w:sz w:val="32"/>
          <w:szCs w:val="32"/>
          <w:lang w:val="en-US" w:eastAsia="zh-CN"/>
        </w:rPr>
        <w:t>207.25</w:t>
      </w:r>
      <w:r>
        <w:rPr>
          <w:rFonts w:hint="eastAsia" w:ascii="仿宋_GB2312" w:hAnsi="仿宋_GB2312" w:eastAsia="仿宋_GB2312" w:cs="仿宋_GB2312"/>
          <w:sz w:val="32"/>
          <w:szCs w:val="32"/>
        </w:rPr>
        <w:t>万元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完成预算100%，决算数和预算数持平。</w:t>
      </w:r>
    </w:p>
    <w:p>
      <w:pPr>
        <w:keepNext w:val="0"/>
        <w:keepLines w:val="0"/>
        <w:pageBreakBefore w:val="0"/>
        <w:widowControl w:val="0"/>
        <w:numPr>
          <w:ilvl w:val="0"/>
          <w:numId w:val="0"/>
        </w:numPr>
        <w:kinsoku/>
        <w:wordWrap/>
        <w:overflowPunct/>
        <w:topLinePunct w:val="0"/>
        <w:bidi w:val="0"/>
        <w:snapToGrid/>
        <w:spacing w:line="576" w:lineRule="exact"/>
        <w:ind w:firstLine="642" w:firstLineChars="200"/>
        <w:textAlignment w:val="auto"/>
        <w:rPr>
          <w:rFonts w:hint="eastAsia" w:ascii="仿宋_GB2312" w:hAnsi="仿宋_GB2312" w:eastAsia="仿宋_GB2312" w:cs="仿宋_GB2312"/>
          <w:sz w:val="32"/>
          <w:szCs w:val="32"/>
        </w:rPr>
      </w:pPr>
      <w:r>
        <w:rPr>
          <w:rFonts w:hint="eastAsia" w:cs="仿宋_GB2312"/>
          <w:b/>
          <w:bCs/>
          <w:sz w:val="32"/>
          <w:szCs w:val="32"/>
          <w:lang w:val="en-US" w:eastAsia="zh-CN"/>
        </w:rPr>
        <w:t>2</w:t>
      </w:r>
      <w:r>
        <w:rPr>
          <w:rFonts w:hint="eastAsia" w:ascii="仿宋_GB2312" w:hAnsi="仿宋_GB2312" w:cs="仿宋_GB2312"/>
          <w:b/>
          <w:bCs/>
          <w:sz w:val="32"/>
          <w:szCs w:val="32"/>
          <w:lang w:val="en-US" w:eastAsia="zh-CN"/>
        </w:rPr>
        <w:t>.住房公积金支出（2210201）</w:t>
      </w:r>
      <w:r>
        <w:rPr>
          <w:rFonts w:hint="eastAsia" w:ascii="仿宋_GB2312" w:hAnsi="仿宋_GB2312" w:eastAsia="仿宋_GB2312" w:cs="仿宋_GB2312"/>
          <w:sz w:val="32"/>
          <w:szCs w:val="32"/>
        </w:rPr>
        <w:t>支出决算数为</w:t>
      </w:r>
      <w:r>
        <w:rPr>
          <w:rFonts w:hint="eastAsia" w:cs="仿宋_GB2312"/>
          <w:sz w:val="32"/>
          <w:szCs w:val="32"/>
          <w:lang w:val="en-US" w:eastAsia="zh-CN"/>
        </w:rPr>
        <w:t>14.57</w:t>
      </w:r>
      <w:r>
        <w:rPr>
          <w:rFonts w:hint="eastAsia" w:ascii="仿宋_GB2312" w:hAnsi="仿宋_GB2312" w:eastAsia="仿宋_GB2312" w:cs="仿宋_GB2312"/>
          <w:sz w:val="32"/>
          <w:szCs w:val="32"/>
        </w:rPr>
        <w:t>万元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完成预算100%，决算数和预算数持平。</w:t>
      </w:r>
    </w:p>
    <w:p>
      <w:pPr>
        <w:keepNext w:val="0"/>
        <w:keepLines w:val="0"/>
        <w:pageBreakBefore w:val="0"/>
        <w:widowControl w:val="0"/>
        <w:kinsoku/>
        <w:wordWrap/>
        <w:overflowPunct/>
        <w:topLinePunct w:val="0"/>
        <w:bidi w:val="0"/>
        <w:snapToGrid/>
        <w:spacing w:line="576" w:lineRule="exact"/>
        <w:ind w:left="0" w:leftChars="0" w:firstLine="642" w:firstLineChars="200"/>
        <w:textAlignment w:val="auto"/>
        <w:rPr>
          <w:rFonts w:hint="eastAsia" w:ascii="仿宋_GB2312" w:hAnsi="仿宋_GB2312" w:eastAsia="仿宋_GB2312" w:cs="仿宋_GB2312"/>
          <w:sz w:val="32"/>
          <w:szCs w:val="32"/>
        </w:rPr>
      </w:pPr>
      <w:r>
        <w:rPr>
          <w:rFonts w:hint="eastAsia"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cs="仿宋_GB2312"/>
          <w:b/>
          <w:bCs/>
          <w:sz w:val="32"/>
          <w:szCs w:val="32"/>
          <w:lang w:val="en-US" w:eastAsia="zh-CN"/>
        </w:rPr>
        <w:t>其他粮油事务支出</w:t>
      </w:r>
      <w:r>
        <w:rPr>
          <w:rFonts w:hint="eastAsia" w:ascii="仿宋_GB2312" w:hAnsi="仿宋_GB2312" w:eastAsia="仿宋_GB2312" w:cs="仿宋_GB2312"/>
          <w:b/>
          <w:bCs/>
          <w:sz w:val="32"/>
          <w:szCs w:val="32"/>
        </w:rPr>
        <w:t>（</w:t>
      </w:r>
      <w:r>
        <w:rPr>
          <w:rFonts w:hint="eastAsia" w:ascii="仿宋_GB2312" w:hAnsi="仿宋_GB2312" w:cs="仿宋_GB2312"/>
          <w:b/>
          <w:bCs/>
          <w:sz w:val="32"/>
          <w:szCs w:val="32"/>
          <w:lang w:val="en-US" w:eastAsia="zh-CN"/>
        </w:rPr>
        <w:t>2220199</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支出决算为</w:t>
      </w:r>
      <w:r>
        <w:rPr>
          <w:rFonts w:hint="eastAsia" w:cs="仿宋_GB2312"/>
          <w:sz w:val="32"/>
          <w:szCs w:val="32"/>
          <w:lang w:val="en-US" w:eastAsia="zh-CN"/>
        </w:rPr>
        <w:t>337.98</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%，决算数和预算数持平。</w:t>
      </w:r>
    </w:p>
    <w:p>
      <w:pPr>
        <w:keepNext w:val="0"/>
        <w:keepLines w:val="0"/>
        <w:pageBreakBefore w:val="0"/>
        <w:widowControl w:val="0"/>
        <w:kinsoku/>
        <w:wordWrap/>
        <w:overflowPunct/>
        <w:topLinePunct w:val="0"/>
        <w:bidi w:val="0"/>
        <w:snapToGrid/>
        <w:spacing w:line="576" w:lineRule="exact"/>
        <w:ind w:left="0" w:leftChars="0" w:firstLine="642" w:firstLineChars="200"/>
        <w:textAlignment w:val="auto"/>
        <w:rPr>
          <w:rFonts w:hint="eastAsia" w:ascii="仿宋_GB2312" w:hAnsi="仿宋_GB2312" w:eastAsia="仿宋_GB2312" w:cs="仿宋_GB2312"/>
          <w:spacing w:val="-6"/>
          <w:sz w:val="32"/>
          <w:szCs w:val="32"/>
        </w:rPr>
      </w:pPr>
      <w:r>
        <w:rPr>
          <w:rFonts w:hint="eastAsia" w:cs="仿宋_GB2312"/>
          <w:b/>
          <w:bCs/>
          <w:sz w:val="32"/>
          <w:szCs w:val="32"/>
          <w:lang w:val="en-US" w:eastAsia="zh-CN"/>
        </w:rPr>
        <w:t>4</w:t>
      </w:r>
      <w:r>
        <w:rPr>
          <w:rFonts w:hint="eastAsia" w:ascii="仿宋_GB2312" w:hAnsi="仿宋_GB2312" w:eastAsia="仿宋_GB2312" w:cs="仿宋_GB2312"/>
          <w:b/>
          <w:bCs/>
          <w:sz w:val="32"/>
          <w:szCs w:val="32"/>
        </w:rPr>
        <w:t>.社会保障和就业支出</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208</w:t>
      </w:r>
      <w:r>
        <w:rPr>
          <w:rFonts w:hint="eastAsia" w:ascii="仿宋_GB2312" w:hAnsi="仿宋_GB2312" w:eastAsia="仿宋_GB2312" w:cs="仿宋_GB2312"/>
          <w:b/>
          <w:bCs/>
          <w:sz w:val="32"/>
          <w:szCs w:val="32"/>
          <w:lang w:val="en-US" w:eastAsia="zh-CN"/>
        </w:rPr>
        <w:t>0505</w:t>
      </w:r>
      <w:r>
        <w:rPr>
          <w:rFonts w:hint="eastAsia" w:ascii="仿宋_GB2312" w:hAnsi="仿宋_GB2312" w:eastAsia="仿宋_GB2312" w:cs="仿宋_GB2312"/>
          <w:sz w:val="32"/>
          <w:szCs w:val="32"/>
        </w:rPr>
        <w:t>）：支出决算为</w:t>
      </w:r>
      <w:r>
        <w:rPr>
          <w:rFonts w:hint="eastAsia" w:cs="仿宋_GB2312"/>
          <w:sz w:val="32"/>
          <w:szCs w:val="32"/>
          <w:lang w:val="en-US" w:eastAsia="zh-CN"/>
        </w:rPr>
        <w:t>14.34</w:t>
      </w:r>
      <w:r>
        <w:rPr>
          <w:rFonts w:hint="eastAsia" w:ascii="仿宋_GB2312" w:hAnsi="仿宋_GB2312" w:eastAsia="仿宋_GB2312" w:cs="仿宋_GB2312"/>
          <w:spacing w:val="-6"/>
          <w:sz w:val="32"/>
          <w:szCs w:val="32"/>
        </w:rPr>
        <w:t>万元，完成预算</w:t>
      </w:r>
      <w:r>
        <w:rPr>
          <w:rFonts w:hint="eastAsia" w:cs="仿宋_GB2312"/>
          <w:spacing w:val="-6"/>
          <w:sz w:val="32"/>
          <w:szCs w:val="32"/>
          <w:lang w:val="en-US" w:eastAsia="zh-CN"/>
        </w:rPr>
        <w:t>100</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z w:val="32"/>
          <w:szCs w:val="32"/>
        </w:rPr>
        <w:t>决算数和预算数持平。</w:t>
      </w:r>
    </w:p>
    <w:p>
      <w:pPr>
        <w:keepNext w:val="0"/>
        <w:keepLines w:val="0"/>
        <w:pageBreakBefore w:val="0"/>
        <w:widowControl w:val="0"/>
        <w:kinsoku/>
        <w:wordWrap/>
        <w:overflowPunct/>
        <w:topLinePunct w:val="0"/>
        <w:bidi w:val="0"/>
        <w:snapToGrid/>
        <w:spacing w:line="576" w:lineRule="exact"/>
        <w:ind w:left="0" w:leftChars="0" w:firstLine="642" w:firstLineChars="200"/>
        <w:textAlignment w:val="auto"/>
        <w:rPr>
          <w:rFonts w:hint="eastAsia" w:ascii="仿宋_GB2312" w:hAnsi="仿宋_GB2312" w:eastAsia="仿宋_GB2312" w:cs="仿宋_GB2312"/>
          <w:sz w:val="32"/>
          <w:szCs w:val="32"/>
          <w:lang w:eastAsia="zh-CN"/>
        </w:rPr>
      </w:pPr>
      <w:r>
        <w:rPr>
          <w:rFonts w:hint="eastAsia" w:cs="仿宋_GB2312"/>
          <w:b/>
          <w:bCs/>
          <w:sz w:val="32"/>
          <w:szCs w:val="32"/>
          <w:lang w:val="en-US" w:eastAsia="zh-CN"/>
        </w:rPr>
        <w:t>5</w:t>
      </w:r>
      <w:r>
        <w:rPr>
          <w:rFonts w:hint="eastAsia" w:ascii="仿宋_GB2312" w:hAnsi="仿宋_GB2312" w:eastAsia="仿宋_GB2312" w:cs="仿宋_GB2312"/>
          <w:b/>
          <w:bCs/>
          <w:sz w:val="32"/>
          <w:szCs w:val="32"/>
        </w:rPr>
        <w:t>.医疗卫生与计划生育（2101101）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支出决算为</w:t>
      </w:r>
      <w:r>
        <w:rPr>
          <w:rFonts w:hint="eastAsia" w:cs="仿宋_GB2312"/>
          <w:sz w:val="32"/>
          <w:szCs w:val="32"/>
          <w:lang w:val="en-US" w:eastAsia="zh-CN"/>
        </w:rPr>
        <w:t>7.11</w:t>
      </w:r>
      <w:r>
        <w:rPr>
          <w:rFonts w:hint="eastAsia" w:ascii="仿宋_GB2312" w:hAnsi="仿宋_GB2312" w:eastAsia="仿宋_GB2312" w:cs="仿宋_GB2312"/>
          <w:sz w:val="32"/>
          <w:szCs w:val="32"/>
        </w:rPr>
        <w:t>万元，完成预算</w:t>
      </w:r>
      <w:r>
        <w:rPr>
          <w:rFonts w:hint="eastAsia"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差异原因是人员变动经费增加。</w:t>
      </w: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pPr>
      <w:bookmarkStart w:id="58" w:name="_Toc15377214"/>
      <w:bookmarkStart w:id="59" w:name="_Toc15396608"/>
      <w:bookmarkStart w:id="60" w:name="_Toc32692"/>
      <w:r>
        <w:rPr>
          <w:rFonts w:hint="eastAsia"/>
        </w:rPr>
        <w:t>六、一般公共预算财政拨款基本支出决算情况说明</w:t>
      </w:r>
      <w:bookmarkEnd w:id="58"/>
      <w:bookmarkEnd w:id="59"/>
      <w:bookmarkEnd w:id="60"/>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年一般公共预算财政拨款基本支出</w:t>
      </w:r>
      <w:r>
        <w:rPr>
          <w:rFonts w:hint="eastAsia" w:cs="仿宋_GB2312"/>
          <w:color w:val="auto"/>
          <w:sz w:val="32"/>
          <w:szCs w:val="32"/>
          <w:highlight w:val="none"/>
          <w:lang w:val="en-US" w:eastAsia="zh-CN"/>
        </w:rPr>
        <w:t>243.27</w:t>
      </w:r>
      <w:r>
        <w:rPr>
          <w:rFonts w:hint="eastAsia" w:ascii="仿宋_GB2312" w:hAnsi="仿宋_GB2312" w:eastAsia="仿宋_GB2312" w:cs="仿宋_GB2312"/>
          <w:color w:val="auto"/>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人员经费</w:t>
      </w:r>
      <w:r>
        <w:rPr>
          <w:rFonts w:hint="eastAsia" w:cs="仿宋_GB2312"/>
          <w:color w:val="auto"/>
          <w:sz w:val="32"/>
          <w:szCs w:val="32"/>
          <w:highlight w:val="none"/>
          <w:lang w:val="en-US" w:eastAsia="zh-CN"/>
        </w:rPr>
        <w:t>218.98</w:t>
      </w:r>
      <w:r>
        <w:rPr>
          <w:rFonts w:hint="eastAsia" w:ascii="仿宋_GB2312" w:hAnsi="仿宋_GB2312" w:eastAsia="仿宋_GB2312" w:cs="仿宋_GB2312"/>
          <w:color w:val="auto"/>
          <w:sz w:val="32"/>
          <w:szCs w:val="32"/>
          <w:highlight w:val="none"/>
        </w:rPr>
        <w:t>万元，主要包括：基本工资、津贴补贴、</w:t>
      </w:r>
      <w:r>
        <w:rPr>
          <w:rFonts w:hint="eastAsia" w:ascii="仿宋_GB2312" w:hAnsi="仿宋_GB2312" w:cs="仿宋_GB2312"/>
          <w:color w:val="auto"/>
          <w:sz w:val="32"/>
          <w:szCs w:val="32"/>
          <w:highlight w:val="none"/>
          <w:lang w:eastAsia="zh-CN"/>
        </w:rPr>
        <w:t>奖金、</w:t>
      </w:r>
      <w:r>
        <w:rPr>
          <w:rFonts w:hint="eastAsia" w:ascii="仿宋_GB2312" w:hAnsi="仿宋_GB2312" w:eastAsia="仿宋_GB2312" w:cs="仿宋_GB2312"/>
          <w:color w:val="auto"/>
          <w:sz w:val="32"/>
          <w:szCs w:val="32"/>
          <w:highlight w:val="none"/>
        </w:rPr>
        <w:t>绩效工资、机关事业单位基本养老保险缴费、职业年金缴费、</w:t>
      </w:r>
      <w:r>
        <w:rPr>
          <w:rFonts w:hint="eastAsia" w:ascii="仿宋_GB2312" w:hAnsi="仿宋_GB2312" w:cs="仿宋_GB2312"/>
          <w:color w:val="auto"/>
          <w:sz w:val="32"/>
          <w:szCs w:val="32"/>
          <w:highlight w:val="none"/>
          <w:lang w:eastAsia="zh-CN"/>
        </w:rPr>
        <w:t>职工基本医疗缴费</w:t>
      </w:r>
      <w:r>
        <w:rPr>
          <w:rFonts w:hint="eastAsia" w:ascii="仿宋_GB2312" w:hAnsi="仿宋_GB2312" w:eastAsia="仿宋_GB2312" w:cs="仿宋_GB2312"/>
          <w:color w:val="auto"/>
          <w:sz w:val="32"/>
          <w:szCs w:val="32"/>
          <w:highlight w:val="none"/>
        </w:rPr>
        <w:t>、其他工资福利支出、生活补助、奖励金、住房公积金。</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日常</w:t>
      </w:r>
      <w:r>
        <w:rPr>
          <w:rFonts w:hint="eastAsia" w:ascii="仿宋_GB2312" w:hAnsi="仿宋_GB2312" w:eastAsia="仿宋_GB2312" w:cs="仿宋_GB2312"/>
          <w:color w:val="auto"/>
          <w:sz w:val="32"/>
          <w:szCs w:val="32"/>
          <w:highlight w:val="none"/>
        </w:rPr>
        <w:t>公用经费</w:t>
      </w:r>
      <w:r>
        <w:rPr>
          <w:rFonts w:hint="eastAsia" w:cs="仿宋_GB2312"/>
          <w:color w:val="auto"/>
          <w:sz w:val="32"/>
          <w:szCs w:val="32"/>
          <w:highlight w:val="none"/>
          <w:lang w:val="en-US" w:eastAsia="zh-CN"/>
        </w:rPr>
        <w:t>24.29</w:t>
      </w:r>
      <w:r>
        <w:rPr>
          <w:rFonts w:hint="eastAsia" w:ascii="仿宋_GB2312" w:hAnsi="仿宋_GB2312" w:eastAsia="仿宋_GB2312" w:cs="仿宋_GB2312"/>
          <w:color w:val="auto"/>
          <w:sz w:val="32"/>
          <w:szCs w:val="32"/>
          <w:highlight w:val="none"/>
        </w:rPr>
        <w:t>万元，主要包括：办公费、印刷费、水费、电费、邮电费、物业管理费、差旅费、维修（护）费、会议费、公务接待费、劳务费、工会经费、其他交通费。</w:t>
      </w:r>
    </w:p>
    <w:p>
      <w:pPr>
        <w:pStyle w:val="4"/>
        <w:keepNext w:val="0"/>
        <w:keepLines w:val="0"/>
        <w:pageBreakBefore w:val="0"/>
        <w:widowControl w:val="0"/>
        <w:kinsoku/>
        <w:wordWrap/>
        <w:overflowPunct/>
        <w:topLinePunct w:val="0"/>
        <w:autoSpaceDE/>
        <w:autoSpaceDN/>
        <w:bidi w:val="0"/>
        <w:adjustRightInd/>
        <w:snapToGrid/>
        <w:spacing w:line="500" w:lineRule="exact"/>
        <w:textAlignment w:val="auto"/>
      </w:pPr>
      <w:bookmarkStart w:id="61" w:name="_Toc2984"/>
      <w:bookmarkStart w:id="62" w:name="_Toc15377215"/>
      <w:bookmarkStart w:id="63" w:name="_Toc15396609"/>
      <w:r>
        <w:rPr>
          <w:rFonts w:hint="eastAsia"/>
        </w:rPr>
        <w:t>七、财政拨款“三公”经费支出决算情况说明</w:t>
      </w:r>
      <w:bookmarkEnd w:id="61"/>
      <w:bookmarkEnd w:id="62"/>
      <w:bookmarkEnd w:id="63"/>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b w:val="0"/>
          <w:bCs/>
        </w:rPr>
      </w:pPr>
      <w:bookmarkStart w:id="64" w:name="_Toc28848"/>
      <w:bookmarkStart w:id="65" w:name="_Toc15377216"/>
      <w:r>
        <w:rPr>
          <w:rFonts w:hint="eastAsia"/>
          <w:b w:val="0"/>
          <w:bCs/>
          <w:lang w:val="zh-CN"/>
        </w:rPr>
        <w:t>（一）</w:t>
      </w:r>
      <w:r>
        <w:rPr>
          <w:rFonts w:hint="default"/>
          <w:b w:val="0"/>
          <w:bCs/>
          <w:lang w:val="zh-CN"/>
        </w:rPr>
        <w:t>“</w:t>
      </w:r>
      <w:r>
        <w:rPr>
          <w:rFonts w:hint="eastAsia"/>
          <w:b w:val="0"/>
          <w:bCs/>
          <w:lang w:val="zh-CN"/>
        </w:rPr>
        <w:t>三公</w:t>
      </w:r>
      <w:r>
        <w:rPr>
          <w:rFonts w:hint="default"/>
          <w:b w:val="0"/>
          <w:bCs/>
          <w:lang w:val="zh-CN"/>
        </w:rPr>
        <w:t>”</w:t>
      </w:r>
      <w:r>
        <w:rPr>
          <w:rFonts w:hint="eastAsia"/>
          <w:b w:val="0"/>
          <w:bCs/>
          <w:lang w:val="zh-CN"/>
        </w:rPr>
        <w:t>经费财政拨款支出决算总体情况说明</w:t>
      </w:r>
      <w:bookmarkEnd w:id="64"/>
      <w:bookmarkEnd w:id="65"/>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lang w:val="zh-CN"/>
        </w:rPr>
        <w:t>2022年</w:t>
      </w:r>
      <w:r>
        <w:rPr>
          <w:rFonts w:hint="default"/>
          <w:lang w:val="zh-CN"/>
        </w:rPr>
        <w:t>“</w:t>
      </w:r>
      <w:r>
        <w:rPr>
          <w:rFonts w:hint="eastAsia"/>
          <w:lang w:val="zh-CN"/>
        </w:rPr>
        <w:t>三公</w:t>
      </w:r>
      <w:r>
        <w:rPr>
          <w:rFonts w:hint="default"/>
          <w:lang w:val="zh-CN"/>
        </w:rPr>
        <w:t>”</w:t>
      </w:r>
      <w:r>
        <w:rPr>
          <w:rFonts w:hint="eastAsia"/>
          <w:lang w:val="zh-CN"/>
        </w:rPr>
        <w:t>经费财政拨款支出决算为</w:t>
      </w:r>
      <w:r>
        <w:rPr>
          <w:rFonts w:hint="eastAsia"/>
          <w:lang w:val="en-US" w:eastAsia="zh-CN"/>
        </w:rPr>
        <w:t>0.76</w:t>
      </w:r>
      <w:r>
        <w:rPr>
          <w:rFonts w:hint="eastAsia"/>
          <w:lang w:val="zh-CN"/>
        </w:rPr>
        <w:t>万元，完成预算</w:t>
      </w:r>
      <w:r>
        <w:rPr>
          <w:rFonts w:hint="eastAsia"/>
          <w:lang w:val="en-US" w:eastAsia="zh-CN"/>
        </w:rPr>
        <w:t>58</w:t>
      </w:r>
      <w:r>
        <w:rPr>
          <w:rFonts w:hint="eastAsia"/>
          <w:lang w:val="zh-CN"/>
        </w:rPr>
        <w:t>%；较上年减少</w:t>
      </w:r>
      <w:r>
        <w:rPr>
          <w:rFonts w:hint="eastAsia"/>
          <w:lang w:val="en-US" w:eastAsia="zh-CN"/>
        </w:rPr>
        <w:t>0.47</w:t>
      </w:r>
      <w:r>
        <w:rPr>
          <w:rFonts w:hint="eastAsia"/>
          <w:lang w:val="zh-CN"/>
        </w:rPr>
        <w:t>万元，下降</w:t>
      </w:r>
      <w:r>
        <w:rPr>
          <w:rFonts w:hint="eastAsia"/>
          <w:lang w:val="en-US" w:eastAsia="zh-CN"/>
        </w:rPr>
        <w:t>38</w:t>
      </w:r>
      <w:r>
        <w:rPr>
          <w:rFonts w:hint="eastAsia"/>
          <w:lang w:val="zh-CN"/>
        </w:rPr>
        <w:t>%。决算数</w:t>
      </w:r>
      <w:r>
        <w:rPr>
          <w:rFonts w:hint="eastAsia"/>
          <w:lang w:val="en-US" w:eastAsia="zh-CN"/>
        </w:rPr>
        <w:t>小于</w:t>
      </w:r>
      <w:r>
        <w:rPr>
          <w:rFonts w:hint="eastAsia"/>
          <w:lang w:val="en-US"/>
        </w:rPr>
        <w:t>预算数</w:t>
      </w:r>
      <w:r>
        <w:rPr>
          <w:rFonts w:hint="eastAsia"/>
          <w:lang w:val="en-US" w:eastAsia="zh-CN"/>
        </w:rPr>
        <w:t>，主要原因是单位压缩接待人次及标准</w:t>
      </w:r>
      <w:r>
        <w:rPr>
          <w:rFonts w:hint="eastAsia"/>
          <w:lang w:val="zh-CN"/>
        </w:rPr>
        <w:t>。</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b w:val="0"/>
          <w:bCs/>
        </w:rPr>
      </w:pPr>
      <w:bookmarkStart w:id="66" w:name="_Toc15377217"/>
      <w:bookmarkStart w:id="67" w:name="_Toc32096"/>
      <w:r>
        <w:rPr>
          <w:rFonts w:hint="eastAsia"/>
          <w:b w:val="0"/>
          <w:bCs/>
        </w:rPr>
        <w:t>（二）“三公”经费财政拨款支出决算具体情况说明</w:t>
      </w:r>
      <w:bookmarkEnd w:id="66"/>
      <w:bookmarkEnd w:id="67"/>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万元；公务接待费支出决算</w:t>
      </w:r>
      <w:r>
        <w:rPr>
          <w:rFonts w:hint="eastAsia" w:ascii="仿宋" w:hAnsi="仿宋" w:eastAsia="仿宋"/>
          <w:color w:val="auto"/>
          <w:sz w:val="32"/>
          <w:szCs w:val="32"/>
          <w:highlight w:val="none"/>
          <w:lang w:val="en-US" w:eastAsia="zh-CN"/>
        </w:rPr>
        <w:t>0.76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000000"/>
          <w:sz w:val="32"/>
          <w:szCs w:val="32"/>
        </w:rPr>
        <w:drawing>
          <wp:anchor distT="0" distB="0" distL="114300" distR="114300" simplePos="0" relativeHeight="251664384" behindDoc="1" locked="0" layoutInCell="1" allowOverlap="1">
            <wp:simplePos x="0" y="0"/>
            <wp:positionH relativeFrom="column">
              <wp:align>center</wp:align>
            </wp:positionH>
            <wp:positionV relativeFrom="paragraph">
              <wp:posOffset>154940</wp:posOffset>
            </wp:positionV>
            <wp:extent cx="4396105" cy="2061210"/>
            <wp:effectExtent l="5080" t="4445" r="18415" b="1079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left="0" w:leftChars="0" w:firstLine="0" w:firstLineChars="0"/>
        <w:rPr>
          <w:rFonts w:hint="eastAsia" w:ascii="仿宋" w:hAnsi="仿宋" w:eastAsia="仿宋"/>
          <w:color w:val="auto"/>
          <w:sz w:val="32"/>
          <w:szCs w:val="32"/>
          <w:highlight w:val="none"/>
        </w:rPr>
      </w:pPr>
    </w:p>
    <w:p>
      <w:pPr>
        <w:spacing w:line="600" w:lineRule="exact"/>
        <w:ind w:left="0" w:leftChars="0" w:right="0" w:rightChars="0" w:firstLine="0" w:firstLineChars="0"/>
        <w:jc w:val="center"/>
        <w:rPr>
          <w:rFonts w:ascii="仿宋_GB2312" w:eastAsia="仿宋_GB2312"/>
          <w:b/>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ind w:firstLine="642" w:firstLineChars="200"/>
        <w:rPr>
          <w:rFonts w:hint="default" w:ascii="仿宋_GB2312" w:eastAsia="仿宋_GB2312"/>
          <w:b/>
          <w:color w:val="auto"/>
          <w:sz w:val="32"/>
          <w:szCs w:val="32"/>
          <w:highlight w:val="none"/>
          <w:lang w:val="en-US" w:eastAsia="zh-CN"/>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20"/>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因公出国（境）团组次。出国（境）比</w:t>
      </w:r>
      <w:r>
        <w:rPr>
          <w:rFonts w:hint="eastAsia" w:ascii="仿宋_GB2312" w:eastAsia="仿宋_GB2312"/>
          <w:color w:val="auto"/>
          <w:sz w:val="32"/>
          <w:szCs w:val="32"/>
          <w:highlight w:val="none"/>
          <w:lang w:val="en-US" w:eastAsia="zh-CN"/>
        </w:rPr>
        <w:t>202</w:t>
      </w:r>
      <w:r>
        <w:rPr>
          <w:rFonts w:hint="eastAsia" w:ascii="仿宋_GB2312"/>
          <w:color w:val="auto"/>
          <w:sz w:val="32"/>
          <w:szCs w:val="32"/>
          <w:highlight w:val="none"/>
          <w:lang w:val="en-US" w:eastAsia="zh-CN"/>
        </w:rPr>
        <w:t>1</w:t>
      </w:r>
      <w:r>
        <w:rPr>
          <w:rFonts w:hint="eastAsia" w:ascii="仿宋_GB2312" w:eastAsia="仿宋_GB2312"/>
          <w:color w:val="auto"/>
          <w:sz w:val="32"/>
          <w:szCs w:val="32"/>
          <w:highlight w:val="none"/>
          <w:lang w:val="en-US" w:eastAsia="zh-CN"/>
        </w:rPr>
        <w:t>年增加0次0人。</w:t>
      </w:r>
    </w:p>
    <w:p>
      <w:pPr>
        <w:spacing w:line="600" w:lineRule="exact"/>
        <w:ind w:firstLine="642" w:firstLineChars="200"/>
        <w:rPr>
          <w:rFonts w:hint="eastAsia" w:ascii="仿宋_GB2312" w:eastAsia="仿宋_GB2312"/>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20"/>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eastAsia" w:ascii="仿宋_GB2312"/>
          <w:color w:val="auto"/>
          <w:sz w:val="32"/>
          <w:szCs w:val="32"/>
          <w:highlight w:val="none"/>
          <w:lang w:val="en-US" w:eastAsia="zh-CN"/>
        </w:rPr>
        <w:t>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公务用车购置支出</w:t>
      </w:r>
      <w:r>
        <w:rPr>
          <w:rFonts w:hint="eastAsia" w:ascii="仿宋_GB2312"/>
          <w:b/>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color w:val="auto"/>
          <w:sz w:val="32"/>
          <w:szCs w:val="32"/>
          <w:highlight w:val="none"/>
          <w:lang w:val="en-US" w:eastAsia="zh-CN"/>
        </w:rPr>
        <w:t>0</w:t>
      </w:r>
      <w:r>
        <w:rPr>
          <w:rFonts w:hint="eastAsia" w:ascii="仿宋_GB2312" w:eastAsia="仿宋_GB2312"/>
          <w:color w:val="auto"/>
          <w:sz w:val="32"/>
          <w:szCs w:val="32"/>
          <w:highlight w:val="none"/>
        </w:rPr>
        <w:t>万元，主要用于</w:t>
      </w:r>
      <w:r>
        <w:rPr>
          <w:rFonts w:hint="eastAsia" w:ascii="仿宋_GB2312"/>
          <w:color w:val="auto"/>
          <w:sz w:val="32"/>
          <w:szCs w:val="32"/>
          <w:highlight w:val="none"/>
          <w:lang w:eastAsia="zh-CN"/>
        </w:rPr>
        <w:t>公务事务</w:t>
      </w: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pPr>
      <w:r>
        <w:rPr>
          <w:rFonts w:hint="eastAsia" w:ascii="仿宋_GB2312" w:eastAsia="仿宋_GB2312"/>
          <w:b/>
          <w:color w:val="auto"/>
          <w:sz w:val="32"/>
          <w:szCs w:val="32"/>
          <w:highlight w:val="none"/>
        </w:rPr>
        <w:t>公务用车运行维护费支出</w:t>
      </w:r>
      <w:r>
        <w:rPr>
          <w:rFonts w:hint="eastAsia" w:ascii="仿宋_GB2312"/>
          <w:b/>
          <w:color w:val="auto"/>
          <w:sz w:val="32"/>
          <w:szCs w:val="32"/>
          <w:highlight w:val="none"/>
          <w:lang w:val="en-US" w:eastAsia="zh-CN"/>
        </w:rPr>
        <w:t>0</w:t>
      </w:r>
      <w:r>
        <w:rPr>
          <w:rFonts w:hint="eastAsia" w:ascii="仿宋_GB2312" w:eastAsia="仿宋_GB2312"/>
          <w:color w:val="auto"/>
          <w:sz w:val="32"/>
          <w:szCs w:val="32"/>
          <w:highlight w:val="none"/>
        </w:rPr>
        <w:t>万元。主要用于</w:t>
      </w:r>
      <w:r>
        <w:rPr>
          <w:rFonts w:hint="eastAsia" w:ascii="仿宋_GB2312"/>
          <w:color w:val="auto"/>
          <w:sz w:val="32"/>
          <w:szCs w:val="32"/>
          <w:highlight w:val="none"/>
          <w:lang w:eastAsia="zh-CN"/>
        </w:rPr>
        <w:t>办公事务</w:t>
      </w:r>
      <w:r>
        <w:rPr>
          <w:rFonts w:hint="eastAsia" w:ascii="仿宋_GB2312" w:eastAsia="仿宋_GB2312"/>
          <w:color w:val="auto"/>
          <w:sz w:val="32"/>
          <w:szCs w:val="32"/>
          <w:highlight w:val="none"/>
        </w:rPr>
        <w:t>所需的公务用车燃料费、维修费、过路过桥费、保险费等支出。</w:t>
      </w:r>
    </w:p>
    <w:p>
      <w:pPr>
        <w:spacing w:line="600" w:lineRule="exact"/>
        <w:ind w:firstLine="642" w:firstLineChars="200"/>
        <w:rPr>
          <w:rFonts w:hint="eastAsia"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b/>
          <w:color w:val="auto"/>
          <w:sz w:val="32"/>
          <w:szCs w:val="32"/>
          <w:highlight w:val="none"/>
          <w:lang w:val="en-US" w:eastAsia="zh-CN"/>
        </w:rPr>
        <w:t>0.76</w:t>
      </w:r>
      <w:r>
        <w:rPr>
          <w:rFonts w:hint="eastAsia" w:ascii="仿宋_GB2312" w:eastAsia="仿宋_GB2312"/>
          <w:color w:val="auto"/>
          <w:sz w:val="32"/>
          <w:szCs w:val="32"/>
          <w:highlight w:val="none"/>
        </w:rPr>
        <w:t>万元，</w:t>
      </w:r>
      <w:r>
        <w:rPr>
          <w:rStyle w:val="20"/>
          <w:rFonts w:hint="eastAsia" w:ascii="仿宋" w:hAnsi="仿宋" w:eastAsia="仿宋"/>
          <w:b w:val="0"/>
          <w:bCs/>
          <w:color w:val="auto"/>
          <w:sz w:val="32"/>
          <w:szCs w:val="32"/>
          <w:highlight w:val="none"/>
        </w:rPr>
        <w:t>完成预算</w:t>
      </w:r>
      <w:r>
        <w:rPr>
          <w:rStyle w:val="20"/>
          <w:rFonts w:hint="eastAsia" w:ascii="仿宋" w:hAnsi="仿宋" w:eastAsia="仿宋"/>
          <w:b w:val="0"/>
          <w:bCs/>
          <w:color w:val="auto"/>
          <w:sz w:val="32"/>
          <w:szCs w:val="32"/>
          <w:highlight w:val="none"/>
          <w:lang w:val="en-US" w:eastAsia="zh-CN"/>
        </w:rPr>
        <w:t>100</w:t>
      </w:r>
      <w:r>
        <w:rPr>
          <w:rStyle w:val="20"/>
          <w:rFonts w:ascii="仿宋" w:hAnsi="仿宋" w:eastAsia="仿宋"/>
          <w:b w:val="0"/>
          <w:bCs/>
          <w:color w:val="auto"/>
          <w:sz w:val="32"/>
          <w:szCs w:val="32"/>
          <w:highlight w:val="none"/>
        </w:rPr>
        <w:t>%</w:t>
      </w:r>
      <w:r>
        <w:rPr>
          <w:rStyle w:val="20"/>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eastAsia" w:ascii="仿宋_GB2312"/>
          <w:color w:val="auto"/>
          <w:sz w:val="32"/>
          <w:szCs w:val="32"/>
          <w:highlight w:val="none"/>
          <w:lang w:val="en-US" w:eastAsia="zh-CN"/>
        </w:rPr>
        <w:t>1</w:t>
      </w:r>
      <w:r>
        <w:rPr>
          <w:rFonts w:hint="eastAsia" w:ascii="仿宋_GB2312" w:eastAsia="仿宋_GB2312"/>
          <w:color w:val="auto"/>
          <w:sz w:val="32"/>
          <w:szCs w:val="32"/>
          <w:highlight w:val="none"/>
        </w:rPr>
        <w:t>年减少</w:t>
      </w:r>
      <w:r>
        <w:rPr>
          <w:rFonts w:hint="eastAsia" w:ascii="仿宋_GB2312"/>
          <w:color w:val="auto"/>
          <w:sz w:val="32"/>
          <w:szCs w:val="32"/>
          <w:highlight w:val="none"/>
          <w:lang w:val="en-US" w:eastAsia="zh-CN"/>
        </w:rPr>
        <w:t>0.</w:t>
      </w:r>
      <w:r>
        <w:rPr>
          <w:rFonts w:hint="eastAsia"/>
          <w:color w:val="auto"/>
          <w:sz w:val="32"/>
          <w:szCs w:val="32"/>
          <w:highlight w:val="none"/>
          <w:lang w:val="en-US" w:eastAsia="zh-CN"/>
        </w:rPr>
        <w:t>46</w:t>
      </w:r>
      <w:r>
        <w:rPr>
          <w:rFonts w:hint="eastAsia" w:ascii="仿宋_GB2312" w:eastAsia="仿宋_GB2312"/>
          <w:color w:val="auto"/>
          <w:sz w:val="32"/>
          <w:szCs w:val="32"/>
          <w:highlight w:val="none"/>
        </w:rPr>
        <w:t>万元，下降</w:t>
      </w:r>
      <w:r>
        <w:rPr>
          <w:rFonts w:hint="eastAsia"/>
          <w:color w:val="auto"/>
          <w:sz w:val="32"/>
          <w:szCs w:val="32"/>
          <w:highlight w:val="none"/>
          <w:lang w:val="en-US" w:eastAsia="zh-CN"/>
        </w:rPr>
        <w:t>38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color w:val="auto"/>
          <w:sz w:val="32"/>
          <w:szCs w:val="32"/>
          <w:highlight w:val="none"/>
          <w:lang w:eastAsia="zh-CN"/>
        </w:rPr>
        <w:t>厉行节约，降低</w:t>
      </w:r>
      <w:r>
        <w:rPr>
          <w:rFonts w:hint="eastAsia" w:ascii="仿宋_GB2312" w:eastAsia="仿宋_GB2312"/>
          <w:color w:val="auto"/>
          <w:sz w:val="32"/>
          <w:szCs w:val="32"/>
          <w:highlight w:val="none"/>
          <w:lang w:eastAsia="zh-CN"/>
        </w:rPr>
        <w:t>接待</w:t>
      </w:r>
      <w:r>
        <w:rPr>
          <w:rFonts w:hint="eastAsia" w:ascii="仿宋_GB2312"/>
          <w:color w:val="auto"/>
          <w:sz w:val="32"/>
          <w:szCs w:val="32"/>
          <w:highlight w:val="none"/>
          <w:lang w:eastAsia="zh-CN"/>
        </w:rPr>
        <w:t>标准及人次</w:t>
      </w:r>
      <w:r>
        <w:rPr>
          <w:rFonts w:hint="eastAsia" w:ascii="仿宋_GB2312" w:eastAsia="仿宋_GB2312"/>
          <w:color w:val="auto"/>
          <w:sz w:val="32"/>
          <w:szCs w:val="32"/>
          <w:highlight w:val="none"/>
        </w:rPr>
        <w:t>。其中：</w:t>
      </w:r>
    </w:p>
    <w:p>
      <w:pPr>
        <w:spacing w:line="600" w:lineRule="exact"/>
        <w:ind w:firstLine="642" w:firstLineChars="200"/>
        <w:rPr>
          <w:rFonts w:hint="eastAsia" w:ascii="仿宋_GB2312" w:eastAsia="仿宋_GB2312"/>
          <w:color w:val="auto"/>
          <w:sz w:val="32"/>
          <w:szCs w:val="32"/>
          <w:highlight w:val="none"/>
          <w:lang w:eastAsia="zh-CN"/>
        </w:rPr>
      </w:pPr>
      <w:r>
        <w:rPr>
          <w:rFonts w:hint="eastAsia" w:ascii="仿宋" w:hAnsi="仿宋" w:eastAsia="仿宋"/>
          <w:b/>
          <w:bCs w:val="0"/>
          <w:color w:val="auto"/>
          <w:sz w:val="32"/>
          <w:szCs w:val="32"/>
          <w:highlight w:val="none"/>
        </w:rPr>
        <w:t>国内公务接待支出</w:t>
      </w:r>
      <w:r>
        <w:rPr>
          <w:rFonts w:hint="eastAsia" w:ascii="仿宋" w:hAnsi="仿宋" w:eastAsia="仿宋"/>
          <w:b/>
          <w:bCs w:val="0"/>
          <w:color w:val="auto"/>
          <w:sz w:val="32"/>
          <w:szCs w:val="32"/>
          <w:highlight w:val="none"/>
          <w:lang w:val="en-US" w:eastAsia="zh-CN"/>
        </w:rPr>
        <w:t>0.76</w:t>
      </w:r>
      <w:r>
        <w:rPr>
          <w:rFonts w:hint="eastAsia" w:ascii="仿宋_GB2312" w:eastAsia="仿宋_GB2312"/>
          <w:b w:val="0"/>
          <w:bCs/>
          <w:color w:val="auto"/>
          <w:sz w:val="32"/>
          <w:szCs w:val="32"/>
          <w:highlight w:val="none"/>
        </w:rPr>
        <w:t>万元</w:t>
      </w:r>
      <w:r>
        <w:rPr>
          <w:rFonts w:hint="eastAsia" w:ascii="仿宋_GB2312" w:eastAsia="仿宋_GB2312"/>
          <w:color w:val="auto"/>
          <w:sz w:val="32"/>
          <w:szCs w:val="32"/>
          <w:highlight w:val="none"/>
        </w:rPr>
        <w:t>，主要用于</w:t>
      </w:r>
      <w:r>
        <w:rPr>
          <w:rFonts w:hint="eastAsia" w:ascii="仿宋_GB2312" w:eastAsia="仿宋_GB2312"/>
          <w:color w:val="auto"/>
          <w:sz w:val="32"/>
          <w:szCs w:val="32"/>
          <w:highlight w:val="none"/>
          <w:lang w:eastAsia="zh-CN"/>
        </w:rPr>
        <w:t>本单位</w:t>
      </w:r>
      <w:r>
        <w:rPr>
          <w:rFonts w:hint="eastAsia" w:ascii="仿宋_GB2312" w:eastAsia="仿宋_GB2312"/>
          <w:color w:val="auto"/>
          <w:sz w:val="32"/>
          <w:szCs w:val="32"/>
          <w:highlight w:val="none"/>
        </w:rPr>
        <w:t>执行公务用餐费。国内公务接待</w:t>
      </w:r>
      <w:r>
        <w:rPr>
          <w:rFonts w:hint="eastAsia"/>
          <w:color w:val="auto"/>
          <w:sz w:val="32"/>
          <w:szCs w:val="32"/>
          <w:highlight w:val="none"/>
          <w:lang w:val="en-US" w:eastAsia="zh-CN"/>
        </w:rPr>
        <w:t>15</w:t>
      </w:r>
      <w:r>
        <w:rPr>
          <w:rFonts w:hint="eastAsia" w:ascii="仿宋_GB2312" w:eastAsia="仿宋_GB2312"/>
          <w:color w:val="auto"/>
          <w:sz w:val="32"/>
          <w:szCs w:val="32"/>
          <w:highlight w:val="none"/>
        </w:rPr>
        <w:t>批次，</w:t>
      </w:r>
      <w:r>
        <w:rPr>
          <w:rFonts w:hint="eastAsia"/>
          <w:color w:val="auto"/>
          <w:sz w:val="32"/>
          <w:szCs w:val="32"/>
          <w:highlight w:val="none"/>
          <w:lang w:val="en-US" w:eastAsia="zh-CN"/>
        </w:rPr>
        <w:t>120</w:t>
      </w:r>
      <w:r>
        <w:rPr>
          <w:rFonts w:hint="eastAsia" w:ascii="仿宋_GB2312" w:eastAsia="仿宋_GB2312"/>
          <w:color w:val="auto"/>
          <w:sz w:val="32"/>
          <w:szCs w:val="32"/>
          <w:highlight w:val="none"/>
        </w:rPr>
        <w:t>人次（不包括陪同人员），共计支出</w:t>
      </w:r>
      <w:r>
        <w:rPr>
          <w:rFonts w:hint="eastAsia"/>
          <w:color w:val="auto"/>
          <w:sz w:val="32"/>
          <w:szCs w:val="32"/>
          <w:highlight w:val="none"/>
          <w:lang w:val="en-US" w:eastAsia="zh-CN"/>
        </w:rPr>
        <w:t>0</w:t>
      </w:r>
      <w:r>
        <w:rPr>
          <w:rFonts w:hint="eastAsia" w:ascii="仿宋_GB2312"/>
          <w:color w:val="auto"/>
          <w:sz w:val="32"/>
          <w:szCs w:val="32"/>
          <w:highlight w:val="none"/>
          <w:lang w:val="en-US" w:eastAsia="zh-CN"/>
        </w:rPr>
        <w:t>.76</w:t>
      </w:r>
      <w:r>
        <w:rPr>
          <w:rFonts w:hint="eastAsia" w:ascii="仿宋_GB2312" w:eastAsia="仿宋_GB2312"/>
          <w:color w:val="auto"/>
          <w:sz w:val="32"/>
          <w:szCs w:val="32"/>
          <w:highlight w:val="none"/>
        </w:rPr>
        <w:t>万元</w:t>
      </w:r>
      <w:bookmarkStart w:id="68" w:name="_Toc15396610"/>
      <w:bookmarkStart w:id="69" w:name="_Toc15377218"/>
      <w:r>
        <w:rPr>
          <w:rFonts w:hint="eastAsia" w:ascii="仿宋_GB2312" w:eastAsia="仿宋_GB2312"/>
          <w:color w:val="auto"/>
          <w:sz w:val="32"/>
          <w:szCs w:val="32"/>
          <w:highlight w:val="none"/>
          <w:lang w:eastAsia="zh-CN"/>
        </w:rPr>
        <w:t>。</w:t>
      </w:r>
    </w:p>
    <w:p>
      <w:pPr>
        <w:spacing w:line="600" w:lineRule="exact"/>
        <w:ind w:firstLine="642" w:firstLineChars="200"/>
        <w:rPr>
          <w:rFonts w:hint="eastAsia" w:ascii="黑体" w:eastAsia="仿宋_GB2312"/>
          <w:color w:val="auto"/>
          <w:sz w:val="32"/>
          <w:szCs w:val="32"/>
          <w:highlight w:val="none"/>
          <w:lang w:eastAsia="zh-CN"/>
        </w:rPr>
      </w:pPr>
      <w:r>
        <w:rPr>
          <w:rFonts w:hint="eastAsia" w:ascii="仿宋" w:hAnsi="仿宋" w:eastAsia="仿宋"/>
          <w:b/>
          <w:color w:val="auto"/>
          <w:sz w:val="32"/>
          <w:szCs w:val="32"/>
          <w:highlight w:val="none"/>
        </w:rPr>
        <w:t>外事接待支出</w:t>
      </w:r>
      <w:r>
        <w:rPr>
          <w:rFonts w:hint="eastAsia" w:ascii="仿宋" w:hAnsi="仿宋" w:eastAsia="仿宋"/>
          <w:b/>
          <w:color w:val="auto"/>
          <w:sz w:val="32"/>
          <w:szCs w:val="32"/>
          <w:highlight w:val="none"/>
          <w:lang w:val="en-US" w:eastAsia="zh-CN"/>
        </w:rPr>
        <w:t>0</w:t>
      </w:r>
      <w:r>
        <w:rPr>
          <w:rFonts w:hint="eastAsia" w:ascii="仿宋_GB2312" w:eastAsia="仿宋_GB2312"/>
          <w:color w:val="auto"/>
          <w:sz w:val="32"/>
          <w:szCs w:val="32"/>
          <w:highlight w:val="none"/>
        </w:rPr>
        <w:t>万元，主要用于接待</w:t>
      </w:r>
      <w:r>
        <w:rPr>
          <w:rFonts w:hint="eastAsia" w:ascii="仿宋_GB2312"/>
          <w:color w:val="auto"/>
          <w:sz w:val="32"/>
          <w:szCs w:val="32"/>
          <w:highlight w:val="none"/>
          <w:lang w:eastAsia="zh-CN"/>
        </w:rPr>
        <w:t>外事事务</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pStyle w:val="4"/>
        <w:bidi w:val="0"/>
      </w:pPr>
      <w:bookmarkStart w:id="70" w:name="_Toc24744"/>
      <w:r>
        <w:rPr>
          <w:rFonts w:hint="eastAsia"/>
        </w:rPr>
        <w:t>八、政府性基金预算支出决算情况说明</w:t>
      </w:r>
      <w:bookmarkEnd w:id="68"/>
      <w:bookmarkEnd w:id="69"/>
      <w:bookmarkEnd w:id="70"/>
    </w:p>
    <w:p>
      <w:pPr>
        <w:spacing w:line="600" w:lineRule="exact"/>
        <w:ind w:firstLine="640"/>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eastAsia" w:ascii="仿宋_GB2312"/>
          <w:color w:val="auto"/>
          <w:sz w:val="32"/>
          <w:szCs w:val="32"/>
          <w:highlight w:val="none"/>
          <w:lang w:val="en-US" w:eastAsia="zh-CN"/>
        </w:rPr>
        <w:t>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pStyle w:val="4"/>
        <w:bidi w:val="0"/>
      </w:pPr>
      <w:bookmarkStart w:id="71" w:name="_Toc15396611"/>
      <w:bookmarkStart w:id="72" w:name="_Toc15377219"/>
      <w:bookmarkStart w:id="73" w:name="_Toc9396"/>
      <w:r>
        <w:rPr>
          <w:rFonts w:hint="eastAsia"/>
          <w:lang w:val="en-US" w:eastAsia="zh-CN"/>
        </w:rPr>
        <w:t>九、</w:t>
      </w:r>
      <w:r>
        <w:rPr>
          <w:rFonts w:hint="eastAsia"/>
        </w:rPr>
        <w:t>国有资本经营预算支出决算情况说明</w:t>
      </w:r>
      <w:bookmarkEnd w:id="71"/>
      <w:bookmarkEnd w:id="72"/>
      <w:bookmarkEnd w:id="73"/>
    </w:p>
    <w:p>
      <w:pPr>
        <w:spacing w:line="600" w:lineRule="exact"/>
        <w:ind w:firstLine="640"/>
        <w:rPr>
          <w:rFonts w:hint="eastAsia"/>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eastAsia" w:ascii="仿宋_GB2312"/>
          <w:color w:val="auto"/>
          <w:sz w:val="32"/>
          <w:szCs w:val="32"/>
          <w:highlight w:val="none"/>
          <w:lang w:val="en-US" w:eastAsia="zh-CN"/>
        </w:rPr>
        <w:t>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74" w:name="_Toc15377221"/>
      <w:bookmarkStart w:id="75" w:name="_Toc15396612"/>
    </w:p>
    <w:p>
      <w:pPr>
        <w:pStyle w:val="4"/>
        <w:bidi w:val="0"/>
        <w:ind w:left="0" w:leftChars="0" w:firstLine="640" w:firstLineChars="200"/>
        <w:rPr>
          <w:rFonts w:hint="eastAsia"/>
        </w:rPr>
      </w:pPr>
      <w:bookmarkStart w:id="76" w:name="_Toc26362"/>
      <w:r>
        <w:rPr>
          <w:rFonts w:hint="eastAsia"/>
          <w:lang w:val="en-US" w:eastAsia="zh-CN"/>
        </w:rPr>
        <w:t>十、</w:t>
      </w:r>
      <w:r>
        <w:rPr>
          <w:rFonts w:hint="eastAsia"/>
        </w:rPr>
        <w:t>其他重要事项的情况说明</w:t>
      </w:r>
      <w:bookmarkEnd w:id="74"/>
      <w:bookmarkEnd w:id="75"/>
      <w:bookmarkEnd w:id="76"/>
    </w:p>
    <w:p>
      <w:pPr>
        <w:pStyle w:val="5"/>
        <w:bidi w:val="0"/>
      </w:pPr>
      <w:bookmarkStart w:id="77" w:name="_Toc15377222"/>
      <w:bookmarkStart w:id="78" w:name="_Toc24186"/>
      <w:r>
        <w:rPr>
          <w:rFonts w:hint="eastAsia"/>
        </w:rPr>
        <w:t>（一）机关运行经费支出情况</w:t>
      </w:r>
      <w:bookmarkEnd w:id="77"/>
      <w:bookmarkEnd w:id="78"/>
    </w:p>
    <w:p>
      <w:pPr>
        <w:spacing w:line="600" w:lineRule="exact"/>
        <w:ind w:firstLine="640" w:firstLineChars="200"/>
        <w:rPr>
          <w:rFonts w:hint="eastAsia" w:ascii="仿宋" w:hAnsi="仿宋" w:eastAsia="仿宋" w:cs="仿宋"/>
          <w:b/>
          <w:bCs w:val="0"/>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eastAsia" w:ascii="仿宋_GB2312"/>
          <w:color w:val="auto"/>
          <w:sz w:val="32"/>
          <w:szCs w:val="32"/>
          <w:highlight w:val="none"/>
          <w:lang w:val="en-US" w:eastAsia="zh-CN"/>
        </w:rPr>
        <w:t>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局</w:t>
      </w:r>
      <w:r>
        <w:rPr>
          <w:rFonts w:hint="eastAsia" w:ascii="仿宋_GB2312" w:eastAsia="仿宋_GB2312"/>
          <w:color w:val="auto"/>
          <w:sz w:val="32"/>
          <w:szCs w:val="32"/>
          <w:highlight w:val="none"/>
        </w:rPr>
        <w:t>机关运行经费支出</w:t>
      </w:r>
      <w:r>
        <w:rPr>
          <w:rFonts w:hint="eastAsia"/>
          <w:color w:val="auto"/>
          <w:sz w:val="32"/>
          <w:szCs w:val="32"/>
          <w:highlight w:val="none"/>
          <w:lang w:val="en-US" w:eastAsia="zh-CN"/>
        </w:rPr>
        <w:t>24.29</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eastAsia" w:ascii="仿宋_GB2312"/>
          <w:color w:val="auto"/>
          <w:sz w:val="32"/>
          <w:szCs w:val="32"/>
          <w:highlight w:val="none"/>
          <w:lang w:val="en-US" w:eastAsia="zh-CN"/>
        </w:rPr>
        <w:t>1</w:t>
      </w:r>
      <w:r>
        <w:rPr>
          <w:rFonts w:hint="eastAsia" w:ascii="仿宋_GB2312" w:eastAsia="仿宋_GB2312"/>
          <w:color w:val="auto"/>
          <w:sz w:val="32"/>
          <w:szCs w:val="32"/>
          <w:highlight w:val="none"/>
        </w:rPr>
        <w:t>年</w:t>
      </w:r>
      <w:r>
        <w:rPr>
          <w:rFonts w:hint="eastAsia"/>
          <w:color w:val="auto"/>
          <w:sz w:val="32"/>
          <w:szCs w:val="32"/>
          <w:highlight w:val="none"/>
          <w:lang w:eastAsia="zh-CN"/>
        </w:rPr>
        <w:t>增加</w:t>
      </w:r>
      <w:r>
        <w:rPr>
          <w:rFonts w:hint="eastAsia"/>
          <w:color w:val="auto"/>
          <w:sz w:val="32"/>
          <w:szCs w:val="32"/>
          <w:highlight w:val="none"/>
          <w:lang w:val="en-US" w:eastAsia="zh-CN"/>
        </w:rPr>
        <w:t>11.29</w:t>
      </w:r>
      <w:r>
        <w:rPr>
          <w:rFonts w:hint="eastAsia" w:ascii="仿宋_GB2312" w:eastAsia="仿宋_GB2312"/>
          <w:color w:val="auto"/>
          <w:sz w:val="32"/>
          <w:szCs w:val="32"/>
          <w:highlight w:val="none"/>
        </w:rPr>
        <w:t>万元，</w:t>
      </w:r>
      <w:r>
        <w:rPr>
          <w:rFonts w:hint="eastAsia"/>
          <w:color w:val="auto"/>
          <w:sz w:val="32"/>
          <w:szCs w:val="32"/>
          <w:highlight w:val="none"/>
          <w:lang w:eastAsia="zh-CN"/>
        </w:rPr>
        <w:t>增加</w:t>
      </w:r>
      <w:r>
        <w:rPr>
          <w:rFonts w:hint="eastAsia"/>
          <w:color w:val="auto"/>
          <w:sz w:val="32"/>
          <w:szCs w:val="32"/>
          <w:highlight w:val="none"/>
          <w:lang w:val="en-US" w:eastAsia="zh-CN"/>
        </w:rPr>
        <w:t>86.8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color w:val="auto"/>
          <w:sz w:val="32"/>
          <w:szCs w:val="32"/>
          <w:highlight w:val="none"/>
          <w:lang w:eastAsia="zh-CN"/>
        </w:rPr>
        <w:t>其他交通费用增加</w:t>
      </w:r>
      <w:r>
        <w:rPr>
          <w:rFonts w:hint="eastAsia" w:ascii="仿宋_GB2312" w:eastAsia="仿宋_GB2312"/>
          <w:color w:val="auto"/>
          <w:sz w:val="32"/>
          <w:szCs w:val="32"/>
          <w:highlight w:val="none"/>
          <w:lang w:eastAsia="zh-CN"/>
        </w:rPr>
        <w:t>。</w:t>
      </w:r>
    </w:p>
    <w:p>
      <w:pPr>
        <w:pStyle w:val="5"/>
        <w:bidi w:val="0"/>
      </w:pPr>
      <w:bookmarkStart w:id="79" w:name="_Toc29527"/>
      <w:bookmarkStart w:id="80" w:name="_Toc15377223"/>
      <w:r>
        <w:rPr>
          <w:rFonts w:hint="eastAsia"/>
        </w:rPr>
        <w:t>（二）政府采购支出情况</w:t>
      </w:r>
      <w:bookmarkEnd w:id="79"/>
      <w:bookmarkEnd w:id="80"/>
    </w:p>
    <w:p>
      <w:pPr>
        <w:spacing w:line="600" w:lineRule="exact"/>
        <w:ind w:firstLine="640" w:firstLineChars="200"/>
        <w:rPr>
          <w:rFonts w:hint="eastAsia" w:ascii="仿宋_GB2312" w:hAnsi="仿宋_GB2312" w:eastAsia="仿宋_GB2312" w:cs="仿宋_GB2312"/>
          <w:spacing w:val="-6"/>
          <w:sz w:val="32"/>
          <w:szCs w:val="32"/>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eastAsia" w:ascii="仿宋_GB2312"/>
          <w:color w:val="auto"/>
          <w:sz w:val="32"/>
          <w:szCs w:val="32"/>
          <w:highlight w:val="none"/>
          <w:lang w:val="en-US" w:eastAsia="zh-CN"/>
        </w:rPr>
        <w:t>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本单位</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hAnsi="仿宋_GB2312" w:eastAsia="仿宋_GB2312" w:cs="仿宋_GB2312"/>
          <w:sz w:val="32"/>
          <w:szCs w:val="32"/>
        </w:rPr>
        <w:t>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万元、政府采购工程支出0万元、政府采购服务支出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6"/>
          <w:sz w:val="32"/>
          <w:szCs w:val="32"/>
          <w:lang w:eastAsia="zh-CN"/>
        </w:rPr>
        <w:t>授予中小企业合同金额</w:t>
      </w:r>
      <w:r>
        <w:rPr>
          <w:rFonts w:hint="eastAsia" w:ascii="仿宋_GB2312" w:hAnsi="仿宋_GB2312" w:eastAsia="仿宋_GB2312" w:cs="仿宋_GB2312"/>
          <w:spacing w:val="-6"/>
          <w:sz w:val="32"/>
          <w:szCs w:val="32"/>
          <w:lang w:val="en-US" w:eastAsia="zh-CN"/>
        </w:rPr>
        <w:t>0万元。</w:t>
      </w:r>
    </w:p>
    <w:p>
      <w:pPr>
        <w:pStyle w:val="5"/>
        <w:bidi w:val="0"/>
      </w:pPr>
      <w:bookmarkStart w:id="81" w:name="_Toc15377224"/>
      <w:bookmarkStart w:id="82" w:name="_Toc17685"/>
      <w:r>
        <w:rPr>
          <w:rFonts w:hint="eastAsia"/>
        </w:rPr>
        <w:t>（三）国有资产占有使用情况</w:t>
      </w:r>
      <w:bookmarkEnd w:id="81"/>
      <w:bookmarkEnd w:id="82"/>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eastAsia" w:ascii="仿宋_GB2312"/>
          <w:color w:val="auto"/>
          <w:sz w:val="32"/>
          <w:szCs w:val="32"/>
          <w:highlight w:val="none"/>
          <w:lang w:val="en-US" w:eastAsia="zh-CN"/>
        </w:rPr>
        <w:t>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本单位</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pStyle w:val="5"/>
        <w:bidi w:val="0"/>
        <w:rPr>
          <w:rFonts w:hint="eastAsia"/>
        </w:rPr>
      </w:pPr>
      <w:r>
        <w:rPr>
          <w:rFonts w:hint="eastAsia"/>
        </w:rPr>
        <w:t>（</w:t>
      </w:r>
      <w:r>
        <w:rPr>
          <w:rFonts w:hint="eastAsia"/>
          <w:lang w:eastAsia="zh-CN"/>
        </w:rPr>
        <w:t>四</w:t>
      </w:r>
      <w:r>
        <w:rPr>
          <w:rFonts w:hint="eastAsia"/>
        </w:rPr>
        <w:t>）</w:t>
      </w:r>
      <w:r>
        <w:rPr>
          <w:rFonts w:hint="eastAsia"/>
          <w:lang w:eastAsia="zh-CN"/>
        </w:rPr>
        <w:t>预算绩效管理</w:t>
      </w:r>
      <w:r>
        <w:rPr>
          <w:rFonts w:hint="eastAsia"/>
        </w:rPr>
        <w:t>情况</w:t>
      </w:r>
    </w:p>
    <w:p>
      <w:pPr>
        <w:widowControl/>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cs="仿宋_GB2312"/>
          <w:color w:val="auto"/>
          <w:sz w:val="32"/>
          <w:szCs w:val="32"/>
          <w:highlight w:val="none"/>
          <w:lang w:eastAsia="zh-CN"/>
        </w:rPr>
        <w:t>“</w:t>
      </w:r>
      <w:r>
        <w:rPr>
          <w:rFonts w:hint="eastAsia" w:cs="仿宋_GB2312"/>
          <w:color w:val="auto"/>
          <w:sz w:val="32"/>
          <w:szCs w:val="32"/>
          <w:highlight w:val="none"/>
          <w:lang w:val="en-US" w:eastAsia="zh-CN"/>
        </w:rPr>
        <w:t>2022年2500吨地方储备粮保管费</w:t>
      </w:r>
      <w:r>
        <w:rPr>
          <w:rFonts w:hint="eastAsia" w:cs="仿宋_GB2312"/>
          <w:color w:val="auto"/>
          <w:sz w:val="32"/>
          <w:szCs w:val="32"/>
          <w:highlight w:val="none"/>
          <w:lang w:eastAsia="zh-CN"/>
        </w:rPr>
        <w:t>、</w:t>
      </w:r>
      <w:r>
        <w:rPr>
          <w:rFonts w:hint="eastAsia" w:cs="仿宋_GB2312"/>
          <w:color w:val="auto"/>
          <w:sz w:val="32"/>
          <w:szCs w:val="32"/>
          <w:highlight w:val="none"/>
          <w:lang w:val="en-US" w:eastAsia="zh-CN"/>
        </w:rPr>
        <w:t>2022年小包装大米、菜籽油保管费</w:t>
      </w:r>
      <w:r>
        <w:rPr>
          <w:rFonts w:hint="eastAsia" w:cs="仿宋_GB2312"/>
          <w:color w:val="auto"/>
          <w:sz w:val="32"/>
          <w:szCs w:val="32"/>
          <w:highlight w:val="none"/>
          <w:lang w:eastAsia="zh-CN"/>
        </w:rPr>
        <w:t>、</w:t>
      </w:r>
      <w:r>
        <w:rPr>
          <w:rFonts w:hint="eastAsia" w:cs="仿宋_GB2312"/>
          <w:color w:val="auto"/>
          <w:sz w:val="32"/>
          <w:szCs w:val="32"/>
          <w:highlight w:val="none"/>
          <w:lang w:val="en-US" w:eastAsia="zh-CN"/>
        </w:rPr>
        <w:t>2021年商品粮大市奖励资金、其他粮油事务支出、国家石油储备基地建设项目前期工作经费、重金属超标收回资金、2022年省级促进粮油产业高质量发展资金、粮库洪灾水毁修建资金、2021年小麦、稻谷轮换价差及费用、2021年小麦、稻谷轮换费用、2021年小包装大米、菜籽油保管及轮换费、2021年地方储备粮保管费”12</w:t>
      </w:r>
      <w:r>
        <w:rPr>
          <w:rFonts w:hint="eastAsia" w:ascii="仿宋_GB2312" w:hAnsi="仿宋_GB2312" w:eastAsia="仿宋_GB2312" w:cs="仿宋_GB2312"/>
          <w:color w:val="auto"/>
          <w:sz w:val="32"/>
          <w:szCs w:val="32"/>
          <w:highlight w:val="none"/>
        </w:rPr>
        <w:t>个项目编制了绩效目标。</w:t>
      </w:r>
    </w:p>
    <w:p>
      <w:pPr>
        <w:bidi w:val="0"/>
        <w:rPr>
          <w:rFonts w:hint="eastAsia"/>
        </w:rPr>
      </w:pPr>
      <w:r>
        <w:rPr>
          <w:rFonts w:hint="eastAsia"/>
        </w:rPr>
        <w:t>组织对2022年度一般公共预算</w:t>
      </w:r>
      <w:r>
        <w:rPr>
          <w:rFonts w:hint="eastAsia"/>
          <w:lang w:eastAsia="zh-CN"/>
        </w:rPr>
        <w:t>部门整体绩效及项目绩效</w:t>
      </w:r>
      <w:r>
        <w:rPr>
          <w:rFonts w:hint="eastAsia"/>
        </w:rPr>
        <w:t>全面开展绩效自评，形成</w:t>
      </w:r>
      <w:r>
        <w:rPr>
          <w:rFonts w:hint="eastAsia"/>
          <w:lang w:eastAsia="zh-CN"/>
        </w:rPr>
        <w:t>《</w:t>
      </w:r>
      <w:r>
        <w:rPr>
          <w:rFonts w:hint="eastAsia"/>
          <w:lang w:val="en-US" w:eastAsia="zh-CN"/>
        </w:rPr>
        <w:t>2022年</w:t>
      </w:r>
      <w:r>
        <w:rPr>
          <w:rFonts w:hint="eastAsia"/>
          <w:lang w:eastAsia="zh-CN"/>
        </w:rPr>
        <w:t>广元市朝天区粮食和物资储备中心</w:t>
      </w:r>
      <w:r>
        <w:rPr>
          <w:rFonts w:hint="eastAsia"/>
        </w:rPr>
        <w:t>部门整体绩效自评报告</w:t>
      </w:r>
      <w:r>
        <w:rPr>
          <w:rFonts w:hint="eastAsia"/>
          <w:lang w:eastAsia="zh-CN"/>
        </w:rPr>
        <w:t>》“</w:t>
      </w:r>
      <w:r>
        <w:rPr>
          <w:rFonts w:hint="eastAsia" w:cs="仿宋_GB2312"/>
          <w:color w:val="auto"/>
          <w:sz w:val="32"/>
          <w:szCs w:val="32"/>
          <w:highlight w:val="none"/>
          <w:lang w:val="en-US" w:eastAsia="zh-CN"/>
        </w:rPr>
        <w:t>2022年2500吨地方储备粮保管费</w:t>
      </w:r>
      <w:r>
        <w:rPr>
          <w:rFonts w:hint="eastAsia"/>
          <w:lang w:eastAsia="zh-CN"/>
        </w:rPr>
        <w:t>”</w:t>
      </w:r>
      <w:r>
        <w:rPr>
          <w:rFonts w:hint="eastAsia"/>
        </w:rPr>
        <w:t>等</w:t>
      </w:r>
      <w:r>
        <w:rPr>
          <w:rFonts w:hint="eastAsia"/>
          <w:lang w:val="en-US" w:eastAsia="zh-CN"/>
        </w:rPr>
        <w:t>12个</w:t>
      </w:r>
      <w:r>
        <w:rPr>
          <w:rFonts w:hint="eastAsia"/>
        </w:rPr>
        <w:t>专项预算项目绩效自评报告，</w:t>
      </w:r>
      <w:r>
        <w:rPr>
          <w:rFonts w:hint="eastAsia"/>
          <w:lang w:eastAsia="zh-CN"/>
        </w:rPr>
        <w:t>广元市朝天区朝天区粮食和物资储备中心</w:t>
      </w:r>
      <w:r>
        <w:rPr>
          <w:rFonts w:hint="eastAsia"/>
        </w:rPr>
        <w:t>部门整体（含部门预算项目）绩效自评得分为</w:t>
      </w:r>
      <w:r>
        <w:rPr>
          <w:rFonts w:hint="eastAsia"/>
          <w:lang w:val="en-US" w:eastAsia="zh-CN"/>
        </w:rPr>
        <w:t>96</w:t>
      </w:r>
      <w:r>
        <w:rPr>
          <w:rFonts w:hint="eastAsia"/>
        </w:rPr>
        <w:t>分</w:t>
      </w:r>
      <w:bookmarkStart w:id="83" w:name="_Toc30923"/>
      <w:bookmarkStart w:id="84" w:name="_Toc12193"/>
      <w:bookmarkStart w:id="85" w:name="_Toc23493"/>
      <w:r>
        <w:rPr>
          <w:rFonts w:hint="eastAsia"/>
          <w:lang w:eastAsia="zh-CN"/>
        </w:rPr>
        <w:t>。部门整体自评报告、项目自评报告</w:t>
      </w:r>
      <w:r>
        <w:rPr>
          <w:rFonts w:hint="eastAsia"/>
        </w:rPr>
        <w:t>见附件（第四部分）。</w:t>
      </w:r>
      <w:bookmarkEnd w:id="83"/>
      <w:bookmarkEnd w:id="84"/>
      <w:bookmarkEnd w:id="85"/>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pStyle w:val="3"/>
        <w:bidi w:val="0"/>
        <w:rPr>
          <w:rFonts w:hint="eastAsia"/>
        </w:rPr>
      </w:pPr>
      <w:bookmarkStart w:id="86" w:name="_Toc22408"/>
      <w:r>
        <w:rPr>
          <w:rFonts w:hint="eastAsia"/>
        </w:rPr>
        <w:t>第三部分  名词解释</w:t>
      </w:r>
      <w:bookmarkEnd w:id="86"/>
    </w:p>
    <w:p>
      <w:pPr>
        <w:keepNext w:val="0"/>
        <w:keepLines w:val="0"/>
        <w:pageBreakBefore w:val="0"/>
        <w:kinsoku/>
        <w:wordWrap/>
        <w:overflowPunct/>
        <w:topLinePunct w:val="0"/>
        <w:autoSpaceDE/>
        <w:autoSpaceDN/>
        <w:bidi w:val="0"/>
        <w:adjustRightInd/>
        <w:snapToGrid/>
        <w:spacing w:line="576" w:lineRule="exact"/>
        <w:jc w:val="both"/>
        <w:textAlignment w:val="auto"/>
        <w:rPr>
          <w:rFonts w:ascii="宋体" w:hAnsi="宋体" w:cs="仿宋_GB2312"/>
          <w:sz w:val="32"/>
          <w:szCs w:val="32"/>
        </w:rPr>
      </w:pPr>
    </w:p>
    <w:p>
      <w:pPr>
        <w:keepNext w:val="0"/>
        <w:keepLines w:val="0"/>
        <w:pageBreakBefore w:val="0"/>
        <w:numPr>
          <w:ilvl w:val="0"/>
          <w:numId w:val="0"/>
        </w:numPr>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pacing w:val="0"/>
          <w:kern w:val="2"/>
          <w:sz w:val="32"/>
          <w:szCs w:val="32"/>
          <w:lang w:val="en-US" w:eastAsia="zh-CN" w:bidi="ar"/>
        </w:rPr>
        <w:t>1.财政拨款收入：</w:t>
      </w:r>
      <w:r>
        <w:rPr>
          <w:rFonts w:hint="eastAsia" w:ascii="仿宋_GB2312" w:hAnsi="仿宋_GB2312" w:eastAsia="仿宋_GB2312" w:cs="仿宋_GB2312"/>
          <w:spacing w:val="0"/>
          <w:sz w:val="32"/>
          <w:szCs w:val="32"/>
        </w:rPr>
        <w:t>指单位从同级财政部门取得的财政预算资金。</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cs="仿宋_GB2312"/>
          <w:b/>
          <w:bCs/>
          <w:color w:val="000000"/>
          <w:kern w:val="2"/>
          <w:sz w:val="32"/>
          <w:szCs w:val="32"/>
          <w:lang w:val="en-US" w:eastAsia="zh-CN" w:bidi="ar"/>
        </w:rPr>
        <w:t>2</w:t>
      </w:r>
      <w:r>
        <w:rPr>
          <w:rFonts w:hint="eastAsia" w:ascii="仿宋_GB2312" w:hAnsi="仿宋_GB2312" w:eastAsia="仿宋_GB2312" w:cs="仿宋_GB2312"/>
          <w:b/>
          <w:bCs/>
          <w:color w:val="000000"/>
          <w:kern w:val="2"/>
          <w:sz w:val="32"/>
          <w:szCs w:val="32"/>
          <w:lang w:val="en-US" w:eastAsia="zh-CN" w:bidi="ar"/>
        </w:rPr>
        <w:t>.一般公共服务支出（类）</w:t>
      </w:r>
      <w:r>
        <w:rPr>
          <w:rFonts w:hint="eastAsia" w:ascii="仿宋_GB2312" w:hAnsi="仿宋_GB2312" w:cs="仿宋_GB2312"/>
          <w:b/>
          <w:bCs/>
          <w:color w:val="000000"/>
          <w:kern w:val="2"/>
          <w:sz w:val="32"/>
          <w:szCs w:val="32"/>
          <w:lang w:val="en-US" w:eastAsia="zh-CN" w:bidi="ar"/>
        </w:rPr>
        <w:t>04</w:t>
      </w:r>
      <w:r>
        <w:rPr>
          <w:rFonts w:hint="eastAsia" w:ascii="仿宋_GB2312" w:hAnsi="仿宋_GB2312" w:eastAsia="仿宋_GB2312" w:cs="仿宋_GB2312"/>
          <w:b/>
          <w:bCs/>
          <w:color w:val="000000"/>
          <w:kern w:val="2"/>
          <w:sz w:val="32"/>
          <w:szCs w:val="32"/>
          <w:lang w:val="en-US" w:eastAsia="zh-CN" w:bidi="ar"/>
        </w:rPr>
        <w:t>（款）</w:t>
      </w:r>
      <w:r>
        <w:rPr>
          <w:rFonts w:hint="eastAsia" w:ascii="仿宋_GB2312" w:hAnsi="仿宋_GB2312" w:cs="仿宋_GB2312"/>
          <w:b/>
          <w:bCs/>
          <w:color w:val="000000"/>
          <w:kern w:val="2"/>
          <w:sz w:val="32"/>
          <w:szCs w:val="32"/>
          <w:lang w:val="en-US" w:eastAsia="zh-CN" w:bidi="ar"/>
        </w:rPr>
        <w:t>01</w:t>
      </w:r>
      <w:r>
        <w:rPr>
          <w:rFonts w:hint="eastAsia" w:ascii="仿宋_GB2312" w:hAnsi="仿宋_GB2312" w:eastAsia="仿宋_GB2312" w:cs="仿宋_GB2312"/>
          <w:b/>
          <w:bCs/>
          <w:color w:val="000000"/>
          <w:kern w:val="2"/>
          <w:sz w:val="32"/>
          <w:szCs w:val="32"/>
          <w:lang w:val="en-US" w:eastAsia="zh-CN" w:bidi="ar"/>
        </w:rPr>
        <w:t>（项）</w:t>
      </w:r>
      <w:r>
        <w:rPr>
          <w:rFonts w:hint="eastAsia" w:ascii="仿宋_GB2312" w:hAnsi="仿宋_GB2312" w:cs="仿宋_GB2312"/>
          <w:b w:val="0"/>
          <w:bCs w:val="0"/>
          <w:color w:val="000000"/>
          <w:kern w:val="2"/>
          <w:sz w:val="32"/>
          <w:szCs w:val="32"/>
          <w:lang w:val="en-US" w:eastAsia="zh-CN" w:bidi="ar"/>
        </w:rPr>
        <w:t>指</w:t>
      </w:r>
      <w:r>
        <w:rPr>
          <w:rFonts w:hint="eastAsia" w:ascii="仿宋_GB2312" w:hAnsi="仿宋_GB2312" w:eastAsia="仿宋_GB2312" w:cs="仿宋_GB2312"/>
          <w:b w:val="0"/>
          <w:bCs w:val="0"/>
          <w:color w:val="000000"/>
          <w:kern w:val="2"/>
          <w:sz w:val="32"/>
          <w:szCs w:val="32"/>
          <w:lang w:val="en-US" w:eastAsia="zh-CN" w:bidi="ar"/>
        </w:rPr>
        <w:t>发展与改革事务行政运行</w:t>
      </w:r>
      <w:r>
        <w:rPr>
          <w:rFonts w:hint="eastAsia" w:ascii="仿宋_GB2312" w:hAnsi="仿宋_GB2312" w:cs="仿宋_GB2312"/>
          <w:b w:val="0"/>
          <w:bCs w:val="0"/>
          <w:color w:val="000000"/>
          <w:kern w:val="2"/>
          <w:sz w:val="32"/>
          <w:szCs w:val="32"/>
          <w:lang w:val="en-US" w:eastAsia="zh-CN" w:bidi="ar"/>
        </w:rPr>
        <w:t>，</w:t>
      </w:r>
      <w:r>
        <w:rPr>
          <w:rFonts w:hint="eastAsia" w:ascii="仿宋_GB2312" w:hAnsi="仿宋_GB2312" w:eastAsia="仿宋_GB2312" w:cs="仿宋_GB2312"/>
          <w:b w:val="0"/>
          <w:bCs w:val="0"/>
          <w:sz w:val="32"/>
          <w:szCs w:val="32"/>
        </w:rPr>
        <w:t>反映行政单位（包括实行公务员管理的事业单位）的基本支出。</w:t>
      </w:r>
    </w:p>
    <w:p>
      <w:pPr>
        <w:keepNext w:val="0"/>
        <w:keepLines w:val="0"/>
        <w:pageBreakBefore w:val="0"/>
        <w:kinsoku/>
        <w:wordWrap/>
        <w:overflowPunct/>
        <w:topLinePunct w:val="0"/>
        <w:autoSpaceDE/>
        <w:autoSpaceDN/>
        <w:bidi w:val="0"/>
        <w:adjustRightInd/>
        <w:snapToGrid/>
        <w:spacing w:line="576" w:lineRule="exact"/>
        <w:ind w:left="0" w:leftChars="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cs="仿宋_GB2312"/>
          <w:b/>
          <w:bCs/>
          <w:color w:val="000000"/>
          <w:kern w:val="2"/>
          <w:sz w:val="32"/>
          <w:szCs w:val="32"/>
          <w:lang w:val="en-US" w:eastAsia="zh-CN" w:bidi="ar"/>
        </w:rPr>
        <w:t>3</w:t>
      </w:r>
      <w:r>
        <w:rPr>
          <w:rFonts w:hint="eastAsia" w:ascii="仿宋_GB2312" w:hAnsi="仿宋_GB2312" w:eastAsia="仿宋_GB2312" w:cs="仿宋_GB2312"/>
          <w:b/>
          <w:bCs/>
          <w:color w:val="000000"/>
          <w:kern w:val="2"/>
          <w:sz w:val="32"/>
          <w:szCs w:val="32"/>
          <w:lang w:val="en-US" w:eastAsia="zh-CN" w:bidi="ar"/>
        </w:rPr>
        <w:t>.一般公共服务支出（类）</w:t>
      </w:r>
      <w:r>
        <w:rPr>
          <w:rFonts w:hint="eastAsia" w:ascii="仿宋_GB2312" w:hAnsi="仿宋_GB2312" w:cs="仿宋_GB2312"/>
          <w:b/>
          <w:bCs/>
          <w:color w:val="000000"/>
          <w:kern w:val="2"/>
          <w:sz w:val="32"/>
          <w:szCs w:val="32"/>
          <w:lang w:val="en-US" w:eastAsia="zh-CN" w:bidi="ar"/>
        </w:rPr>
        <w:t>04</w:t>
      </w:r>
      <w:r>
        <w:rPr>
          <w:rFonts w:hint="eastAsia" w:ascii="仿宋_GB2312" w:hAnsi="仿宋_GB2312" w:eastAsia="仿宋_GB2312" w:cs="仿宋_GB2312"/>
          <w:b/>
          <w:bCs/>
          <w:color w:val="000000"/>
          <w:kern w:val="2"/>
          <w:sz w:val="32"/>
          <w:szCs w:val="32"/>
          <w:lang w:val="en-US" w:eastAsia="zh-CN" w:bidi="ar"/>
        </w:rPr>
        <w:t>（款）</w:t>
      </w:r>
      <w:r>
        <w:rPr>
          <w:rFonts w:hint="eastAsia" w:ascii="仿宋_GB2312" w:hAnsi="仿宋_GB2312" w:cs="仿宋_GB2312"/>
          <w:b/>
          <w:bCs/>
          <w:color w:val="000000"/>
          <w:kern w:val="2"/>
          <w:sz w:val="32"/>
          <w:szCs w:val="32"/>
          <w:lang w:val="en-US" w:eastAsia="zh-CN" w:bidi="ar"/>
        </w:rPr>
        <w:t>02</w:t>
      </w:r>
      <w:r>
        <w:rPr>
          <w:rFonts w:hint="eastAsia" w:ascii="仿宋_GB2312" w:hAnsi="仿宋_GB2312" w:eastAsia="仿宋_GB2312" w:cs="仿宋_GB2312"/>
          <w:b/>
          <w:bCs/>
          <w:color w:val="000000"/>
          <w:kern w:val="2"/>
          <w:sz w:val="32"/>
          <w:szCs w:val="32"/>
          <w:lang w:val="en-US" w:eastAsia="zh-CN" w:bidi="ar"/>
        </w:rPr>
        <w:t>（项）</w:t>
      </w:r>
      <w:r>
        <w:rPr>
          <w:rFonts w:hint="eastAsia" w:ascii="仿宋_GB2312" w:hAnsi="仿宋_GB2312" w:cs="仿宋_GB2312"/>
          <w:b w:val="0"/>
          <w:bCs w:val="0"/>
          <w:color w:val="000000"/>
          <w:kern w:val="2"/>
          <w:sz w:val="32"/>
          <w:szCs w:val="32"/>
          <w:lang w:val="en-US" w:eastAsia="zh-CN" w:bidi="ar"/>
        </w:rPr>
        <w:t>指</w:t>
      </w:r>
      <w:r>
        <w:rPr>
          <w:rFonts w:hint="eastAsia" w:ascii="仿宋_GB2312" w:hAnsi="仿宋_GB2312" w:eastAsia="仿宋_GB2312" w:cs="仿宋_GB2312"/>
          <w:b w:val="0"/>
          <w:bCs w:val="0"/>
          <w:color w:val="000000"/>
          <w:kern w:val="2"/>
          <w:sz w:val="32"/>
          <w:szCs w:val="32"/>
          <w:lang w:val="en-US" w:eastAsia="zh-CN" w:bidi="ar"/>
        </w:rPr>
        <w:t>发展与改革一般行政管理事务</w:t>
      </w:r>
      <w:r>
        <w:rPr>
          <w:rFonts w:hint="eastAsia" w:ascii="仿宋_GB2312" w:hAnsi="仿宋_GB2312" w:cs="仿宋_GB2312"/>
          <w:b w:val="0"/>
          <w:bCs w:val="0"/>
          <w:color w:val="000000"/>
          <w:kern w:val="2"/>
          <w:sz w:val="32"/>
          <w:szCs w:val="32"/>
          <w:lang w:val="en-US" w:eastAsia="zh-CN" w:bidi="ar"/>
        </w:rPr>
        <w:t>，</w:t>
      </w:r>
      <w:r>
        <w:rPr>
          <w:rFonts w:hint="eastAsia" w:ascii="仿宋_GB2312" w:hAnsi="仿宋_GB2312" w:eastAsia="仿宋_GB2312" w:cs="仿宋_GB2312"/>
          <w:b w:val="0"/>
          <w:bCs w:val="0"/>
          <w:sz w:val="32"/>
          <w:szCs w:val="32"/>
        </w:rPr>
        <w:t>反映行政单位（包括实行公务员管理的事业</w:t>
      </w:r>
      <w:r>
        <w:rPr>
          <w:rFonts w:hint="eastAsia" w:ascii="仿宋_GB2312" w:hAnsi="仿宋_GB2312" w:eastAsia="仿宋_GB2312" w:cs="仿宋_GB2312"/>
          <w:sz w:val="32"/>
          <w:szCs w:val="32"/>
        </w:rPr>
        <w:t>单位）未单独设置项级科目的其他项目支出。</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pacing w:val="-11"/>
          <w:sz w:val="32"/>
          <w:szCs w:val="32"/>
        </w:rPr>
      </w:pPr>
      <w:r>
        <w:rPr>
          <w:rFonts w:hint="eastAsia" w:cs="仿宋_GB2312"/>
          <w:b/>
          <w:bCs/>
          <w:color w:val="000000"/>
          <w:kern w:val="2"/>
          <w:sz w:val="32"/>
          <w:szCs w:val="32"/>
          <w:lang w:val="en-US" w:eastAsia="zh-CN" w:bidi="ar"/>
        </w:rPr>
        <w:t>4</w:t>
      </w:r>
      <w:r>
        <w:rPr>
          <w:rFonts w:hint="eastAsia" w:ascii="仿宋_GB2312" w:hAnsi="仿宋_GB2312" w:eastAsia="仿宋_GB2312" w:cs="仿宋_GB2312"/>
          <w:b/>
          <w:bCs/>
          <w:color w:val="000000"/>
          <w:kern w:val="2"/>
          <w:sz w:val="32"/>
          <w:szCs w:val="32"/>
          <w:lang w:val="en-US" w:eastAsia="zh-CN" w:bidi="ar"/>
        </w:rPr>
        <w:t>.</w:t>
      </w:r>
      <w:r>
        <w:rPr>
          <w:rFonts w:hint="eastAsia" w:ascii="仿宋_GB2312" w:hAnsi="仿宋_GB2312" w:eastAsia="仿宋_GB2312" w:cs="仿宋_GB2312"/>
          <w:b/>
          <w:bCs/>
          <w:color w:val="000000"/>
          <w:spacing w:val="-11"/>
          <w:kern w:val="2"/>
          <w:sz w:val="32"/>
          <w:szCs w:val="32"/>
          <w:lang w:val="en-US" w:eastAsia="zh-CN" w:bidi="ar"/>
        </w:rPr>
        <w:t>社会保障和就业支出（类）</w:t>
      </w:r>
      <w:r>
        <w:rPr>
          <w:rFonts w:hint="eastAsia" w:ascii="仿宋_GB2312" w:hAnsi="仿宋_GB2312" w:cs="仿宋_GB2312"/>
          <w:b/>
          <w:bCs/>
          <w:color w:val="000000"/>
          <w:spacing w:val="-11"/>
          <w:kern w:val="2"/>
          <w:sz w:val="32"/>
          <w:szCs w:val="32"/>
          <w:lang w:val="en-US" w:eastAsia="zh-CN" w:bidi="ar"/>
        </w:rPr>
        <w:t>05</w:t>
      </w:r>
      <w:r>
        <w:rPr>
          <w:rFonts w:hint="eastAsia" w:ascii="仿宋_GB2312" w:hAnsi="仿宋_GB2312" w:eastAsia="仿宋_GB2312" w:cs="仿宋_GB2312"/>
          <w:b/>
          <w:bCs/>
          <w:color w:val="000000"/>
          <w:spacing w:val="-11"/>
          <w:kern w:val="2"/>
          <w:sz w:val="32"/>
          <w:szCs w:val="32"/>
          <w:lang w:val="en-US" w:eastAsia="zh-CN" w:bidi="ar"/>
        </w:rPr>
        <w:t>（款）</w:t>
      </w:r>
      <w:r>
        <w:rPr>
          <w:rFonts w:hint="eastAsia" w:ascii="仿宋_GB2312" w:hAnsi="仿宋_GB2312" w:cs="仿宋_GB2312"/>
          <w:b/>
          <w:bCs/>
          <w:color w:val="000000"/>
          <w:spacing w:val="-11"/>
          <w:kern w:val="2"/>
          <w:sz w:val="32"/>
          <w:szCs w:val="32"/>
          <w:lang w:val="en-US" w:eastAsia="zh-CN" w:bidi="ar"/>
        </w:rPr>
        <w:t>05</w:t>
      </w:r>
      <w:r>
        <w:rPr>
          <w:rFonts w:hint="eastAsia" w:ascii="仿宋_GB2312" w:hAnsi="仿宋_GB2312" w:eastAsia="仿宋_GB2312" w:cs="仿宋_GB2312"/>
          <w:b/>
          <w:bCs/>
          <w:color w:val="000000"/>
          <w:kern w:val="2"/>
          <w:sz w:val="32"/>
          <w:szCs w:val="32"/>
          <w:lang w:val="en-US" w:eastAsia="zh-CN" w:bidi="ar"/>
        </w:rPr>
        <w:t>（项）</w:t>
      </w:r>
      <w:r>
        <w:rPr>
          <w:rFonts w:hint="eastAsia" w:ascii="仿宋_GB2312" w:hAnsi="仿宋_GB2312" w:cs="仿宋_GB2312"/>
          <w:b w:val="0"/>
          <w:bCs w:val="0"/>
          <w:color w:val="000000"/>
          <w:spacing w:val="-11"/>
          <w:kern w:val="2"/>
          <w:sz w:val="32"/>
          <w:szCs w:val="32"/>
          <w:lang w:val="en-US" w:eastAsia="zh-CN" w:bidi="ar"/>
        </w:rPr>
        <w:t>指</w:t>
      </w:r>
      <w:r>
        <w:rPr>
          <w:rFonts w:hint="eastAsia" w:ascii="仿宋_GB2312" w:hAnsi="仿宋_GB2312" w:eastAsia="仿宋_GB2312" w:cs="仿宋_GB2312"/>
          <w:b w:val="0"/>
          <w:bCs w:val="0"/>
          <w:color w:val="000000"/>
          <w:spacing w:val="-11"/>
          <w:kern w:val="2"/>
          <w:sz w:val="32"/>
          <w:szCs w:val="32"/>
          <w:lang w:val="en-US" w:eastAsia="zh-CN" w:bidi="ar"/>
        </w:rPr>
        <w:t>机关事业单位基本养老保险缴费支出</w:t>
      </w:r>
      <w:r>
        <w:rPr>
          <w:rFonts w:hint="eastAsia" w:ascii="仿宋_GB2312" w:hAnsi="仿宋_GB2312" w:cs="仿宋_GB2312"/>
          <w:b w:val="0"/>
          <w:bCs w:val="0"/>
          <w:color w:val="000000"/>
          <w:spacing w:val="-11"/>
          <w:kern w:val="2"/>
          <w:sz w:val="32"/>
          <w:szCs w:val="32"/>
          <w:lang w:val="en-US" w:eastAsia="zh-CN" w:bidi="ar"/>
        </w:rPr>
        <w:t>，</w:t>
      </w:r>
      <w:r>
        <w:rPr>
          <w:rFonts w:hint="eastAsia" w:ascii="仿宋_GB2312" w:hAnsi="仿宋_GB2312" w:eastAsia="仿宋_GB2312" w:cs="仿宋_GB2312"/>
          <w:spacing w:val="-11"/>
          <w:sz w:val="32"/>
          <w:szCs w:val="32"/>
        </w:rPr>
        <w:t>反映机关事业单位实施养老保险制度由单位缴纳的基本养老保险缴费支出。</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cs="仿宋_GB2312"/>
          <w:b/>
          <w:bCs/>
          <w:color w:val="000000"/>
          <w:kern w:val="2"/>
          <w:sz w:val="32"/>
          <w:szCs w:val="32"/>
          <w:lang w:val="en-US" w:eastAsia="zh-CN" w:bidi="ar"/>
        </w:rPr>
        <w:t>5</w:t>
      </w:r>
      <w:r>
        <w:rPr>
          <w:rFonts w:hint="eastAsia" w:ascii="仿宋_GB2312" w:hAnsi="仿宋_GB2312" w:eastAsia="仿宋_GB2312" w:cs="仿宋_GB2312"/>
          <w:b/>
          <w:bCs/>
          <w:color w:val="000000"/>
          <w:kern w:val="2"/>
          <w:sz w:val="32"/>
          <w:szCs w:val="32"/>
          <w:lang w:val="en-US" w:eastAsia="zh-CN" w:bidi="ar"/>
        </w:rPr>
        <w:t>.住房保障支出（类）</w:t>
      </w:r>
      <w:r>
        <w:rPr>
          <w:rFonts w:hint="eastAsia" w:ascii="仿宋_GB2312" w:hAnsi="仿宋_GB2312" w:cs="仿宋_GB2312"/>
          <w:b/>
          <w:bCs/>
          <w:color w:val="000000"/>
          <w:kern w:val="2"/>
          <w:sz w:val="32"/>
          <w:szCs w:val="32"/>
          <w:lang w:val="en-US" w:eastAsia="zh-CN" w:bidi="ar"/>
        </w:rPr>
        <w:t>02</w:t>
      </w:r>
      <w:r>
        <w:rPr>
          <w:rFonts w:hint="eastAsia" w:ascii="仿宋_GB2312" w:hAnsi="仿宋_GB2312" w:eastAsia="仿宋_GB2312" w:cs="仿宋_GB2312"/>
          <w:b/>
          <w:bCs/>
          <w:color w:val="000000"/>
          <w:kern w:val="2"/>
          <w:sz w:val="32"/>
          <w:szCs w:val="32"/>
          <w:lang w:val="en-US" w:eastAsia="zh-CN" w:bidi="ar"/>
        </w:rPr>
        <w:t>（款）</w:t>
      </w:r>
      <w:r>
        <w:rPr>
          <w:rFonts w:hint="eastAsia" w:ascii="仿宋_GB2312" w:hAnsi="仿宋_GB2312" w:cs="仿宋_GB2312"/>
          <w:b/>
          <w:bCs/>
          <w:color w:val="000000"/>
          <w:kern w:val="2"/>
          <w:sz w:val="32"/>
          <w:szCs w:val="32"/>
          <w:lang w:val="en-US" w:eastAsia="zh-CN" w:bidi="ar"/>
        </w:rPr>
        <w:t>01</w:t>
      </w:r>
      <w:r>
        <w:rPr>
          <w:rFonts w:hint="eastAsia" w:ascii="仿宋_GB2312" w:hAnsi="仿宋_GB2312" w:eastAsia="仿宋_GB2312" w:cs="仿宋_GB2312"/>
          <w:b/>
          <w:bCs/>
          <w:color w:val="000000"/>
          <w:kern w:val="2"/>
          <w:sz w:val="32"/>
          <w:szCs w:val="32"/>
          <w:lang w:val="en-US" w:eastAsia="zh-CN" w:bidi="ar"/>
        </w:rPr>
        <w:t>（项）</w:t>
      </w:r>
      <w:r>
        <w:rPr>
          <w:rFonts w:hint="eastAsia" w:ascii="仿宋_GB2312" w:hAnsi="仿宋_GB2312" w:cs="仿宋_GB2312"/>
          <w:b w:val="0"/>
          <w:bCs w:val="0"/>
          <w:color w:val="000000"/>
          <w:kern w:val="2"/>
          <w:sz w:val="32"/>
          <w:szCs w:val="32"/>
          <w:lang w:val="en-US" w:eastAsia="zh-CN" w:bidi="ar"/>
        </w:rPr>
        <w:t>住房公积金，</w:t>
      </w:r>
      <w:r>
        <w:rPr>
          <w:rFonts w:hint="eastAsia" w:ascii="仿宋_GB2312" w:hAnsi="仿宋_GB2312" w:eastAsia="仿宋_GB2312" w:cs="仿宋_GB2312"/>
          <w:b w:val="0"/>
          <w:bCs w:val="0"/>
          <w:sz w:val="32"/>
          <w:szCs w:val="32"/>
        </w:rPr>
        <w:t>指</w:t>
      </w:r>
      <w:r>
        <w:rPr>
          <w:rFonts w:hint="eastAsia" w:ascii="仿宋_GB2312" w:hAnsi="仿宋_GB2312" w:eastAsia="仿宋_GB2312" w:cs="仿宋_GB2312"/>
          <w:sz w:val="32"/>
          <w:szCs w:val="32"/>
        </w:rPr>
        <w:t>反映行政事业单位按人力资源和社会保障部、财政部规定的基本工资和津贴补贴以及规定比例为职工缴纳的住房公积金。</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cs="仿宋_GB2312"/>
          <w:b/>
          <w:bCs/>
          <w:color w:val="000000"/>
          <w:kern w:val="2"/>
          <w:sz w:val="32"/>
          <w:szCs w:val="32"/>
          <w:lang w:val="en-US" w:eastAsia="zh-CN" w:bidi="ar"/>
        </w:rPr>
        <w:t>6</w:t>
      </w:r>
      <w:r>
        <w:rPr>
          <w:rFonts w:hint="eastAsia" w:ascii="仿宋_GB2312" w:hAnsi="仿宋_GB2312" w:eastAsia="仿宋_GB2312" w:cs="仿宋_GB2312"/>
          <w:b/>
          <w:bCs/>
          <w:color w:val="000000"/>
          <w:kern w:val="2"/>
          <w:sz w:val="32"/>
          <w:szCs w:val="32"/>
          <w:lang w:val="en-US" w:eastAsia="zh-CN" w:bidi="ar"/>
        </w:rPr>
        <w:t>.医疗卫生与计划生育（类</w:t>
      </w:r>
      <w:r>
        <w:rPr>
          <w:rFonts w:hint="eastAsia" w:ascii="仿宋_GB2312" w:hAnsi="仿宋_GB2312" w:cs="仿宋_GB2312"/>
          <w:b/>
          <w:bCs/>
          <w:color w:val="000000"/>
          <w:kern w:val="2"/>
          <w:sz w:val="32"/>
          <w:szCs w:val="32"/>
          <w:lang w:val="en-US" w:eastAsia="zh-CN" w:bidi="ar"/>
        </w:rPr>
        <w:t>）11</w:t>
      </w:r>
      <w:r>
        <w:rPr>
          <w:rFonts w:hint="eastAsia" w:ascii="仿宋_GB2312" w:hAnsi="仿宋_GB2312" w:eastAsia="仿宋_GB2312" w:cs="仿宋_GB2312"/>
          <w:b/>
          <w:bCs/>
          <w:color w:val="000000"/>
          <w:kern w:val="2"/>
          <w:sz w:val="32"/>
          <w:szCs w:val="32"/>
          <w:lang w:val="en-US" w:eastAsia="zh-CN" w:bidi="ar"/>
        </w:rPr>
        <w:t>（款）</w:t>
      </w:r>
      <w:r>
        <w:rPr>
          <w:rFonts w:hint="eastAsia" w:ascii="仿宋_GB2312" w:hAnsi="仿宋_GB2312" w:cs="仿宋_GB2312"/>
          <w:b/>
          <w:bCs/>
          <w:color w:val="000000"/>
          <w:kern w:val="2"/>
          <w:sz w:val="32"/>
          <w:szCs w:val="32"/>
          <w:lang w:val="en-US" w:eastAsia="zh-CN" w:bidi="ar"/>
        </w:rPr>
        <w:t>01</w:t>
      </w:r>
      <w:r>
        <w:rPr>
          <w:rFonts w:hint="eastAsia" w:ascii="仿宋_GB2312" w:hAnsi="仿宋_GB2312" w:eastAsia="仿宋_GB2312" w:cs="仿宋_GB2312"/>
          <w:b/>
          <w:bCs/>
          <w:color w:val="000000"/>
          <w:kern w:val="2"/>
          <w:sz w:val="32"/>
          <w:szCs w:val="32"/>
          <w:lang w:val="en-US" w:eastAsia="zh-CN" w:bidi="ar"/>
        </w:rPr>
        <w:t>（项）</w:t>
      </w:r>
      <w:r>
        <w:rPr>
          <w:rFonts w:hint="eastAsia" w:ascii="仿宋_GB2312" w:hAnsi="仿宋_GB2312" w:eastAsia="仿宋_GB2312" w:cs="仿宋_GB2312"/>
          <w:b w:val="0"/>
          <w:bCs w:val="0"/>
          <w:color w:val="000000"/>
          <w:kern w:val="2"/>
          <w:sz w:val="32"/>
          <w:szCs w:val="32"/>
          <w:lang w:val="en-US" w:eastAsia="zh-CN" w:bidi="ar"/>
        </w:rPr>
        <w:t>行政单位医疗</w:t>
      </w:r>
      <w:r>
        <w:rPr>
          <w:rFonts w:hint="eastAsia" w:ascii="仿宋_GB2312" w:hAnsi="仿宋_GB2312" w:cs="仿宋_GB2312"/>
          <w:b w:val="0"/>
          <w:bCs w:val="0"/>
          <w:color w:val="000000"/>
          <w:kern w:val="2"/>
          <w:sz w:val="32"/>
          <w:szCs w:val="32"/>
          <w:lang w:val="en-US" w:eastAsia="zh-CN" w:bidi="ar"/>
        </w:rPr>
        <w:t>，</w:t>
      </w:r>
      <w:r>
        <w:rPr>
          <w:rFonts w:hint="eastAsia" w:ascii="仿宋_GB2312" w:hAnsi="仿宋_GB2312" w:eastAsia="仿宋_GB2312" w:cs="仿宋_GB2312"/>
          <w:sz w:val="32"/>
          <w:szCs w:val="32"/>
        </w:rPr>
        <w:t>指单位职工医疗保险等支出。</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cs="仿宋_GB2312"/>
          <w:b/>
          <w:bCs/>
          <w:color w:val="000000"/>
          <w:kern w:val="2"/>
          <w:sz w:val="32"/>
          <w:szCs w:val="32"/>
          <w:lang w:val="en-US" w:eastAsia="zh-CN" w:bidi="ar"/>
        </w:rPr>
        <w:t>7</w:t>
      </w:r>
      <w:r>
        <w:rPr>
          <w:rFonts w:hint="eastAsia" w:ascii="仿宋_GB2312" w:hAnsi="仿宋_GB2312" w:eastAsia="仿宋_GB2312" w:cs="仿宋_GB2312"/>
          <w:b/>
          <w:bCs/>
          <w:color w:val="000000"/>
          <w:kern w:val="2"/>
          <w:sz w:val="32"/>
          <w:szCs w:val="32"/>
          <w:lang w:val="en-US" w:eastAsia="zh-CN" w:bidi="ar"/>
        </w:rPr>
        <w:t>.基本支出：</w:t>
      </w:r>
      <w:r>
        <w:rPr>
          <w:rFonts w:hint="eastAsia" w:ascii="仿宋_GB2312" w:hAnsi="仿宋_GB2312" w:eastAsia="仿宋_GB2312" w:cs="仿宋_GB2312"/>
          <w:sz w:val="32"/>
          <w:szCs w:val="32"/>
        </w:rPr>
        <w:t>指为保障机构正常运转、完成日常工作任务而发生的人员支出和公用支出。</w:t>
      </w:r>
    </w:p>
    <w:p>
      <w:pPr>
        <w:pStyle w:val="14"/>
        <w:keepNext w:val="0"/>
        <w:keepLines w:val="0"/>
        <w:pageBreakBefore w:val="0"/>
        <w:kinsoku/>
        <w:wordWrap/>
        <w:overflowPunct/>
        <w:topLinePunct w:val="0"/>
        <w:autoSpaceDE/>
        <w:autoSpaceDN/>
        <w:bidi w:val="0"/>
        <w:spacing w:line="576" w:lineRule="exact"/>
        <w:ind w:left="0" w:leftChars="0" w:firstLine="642" w:firstLineChars="200"/>
        <w:textAlignment w:val="auto"/>
        <w:rPr>
          <w:rFonts w:hint="default" w:ascii="仿宋_GB2312" w:hAnsi="仿宋_GB2312" w:eastAsia="仿宋_GB2312" w:cs="仿宋_GB2312"/>
          <w:sz w:val="32"/>
          <w:szCs w:val="32"/>
          <w:lang w:val="en-US" w:eastAsia="zh-CN"/>
        </w:rPr>
      </w:pPr>
      <w:r>
        <w:rPr>
          <w:rFonts w:hint="eastAsia" w:cs="仿宋_GB2312"/>
          <w:b/>
          <w:bCs/>
          <w:color w:val="000000"/>
          <w:kern w:val="2"/>
          <w:sz w:val="32"/>
          <w:szCs w:val="32"/>
          <w:lang w:val="en-US" w:eastAsia="zh-CN" w:bidi="ar"/>
        </w:rPr>
        <w:t>8</w:t>
      </w:r>
      <w:r>
        <w:rPr>
          <w:rFonts w:hint="eastAsia" w:ascii="仿宋_GB2312" w:hAnsi="仿宋_GB2312" w:eastAsia="仿宋_GB2312" w:cs="仿宋_GB2312"/>
          <w:b/>
          <w:bCs/>
          <w:color w:val="000000"/>
          <w:kern w:val="2"/>
          <w:sz w:val="32"/>
          <w:szCs w:val="32"/>
          <w:lang w:val="en-US" w:eastAsia="zh-CN" w:bidi="ar"/>
        </w:rPr>
        <w:t>.</w:t>
      </w:r>
      <w:r>
        <w:rPr>
          <w:rFonts w:hint="eastAsia" w:ascii="仿宋_GB2312" w:hAnsi="仿宋_GB2312" w:cs="仿宋_GB2312"/>
          <w:b/>
          <w:bCs/>
          <w:color w:val="000000"/>
          <w:kern w:val="2"/>
          <w:sz w:val="32"/>
          <w:szCs w:val="32"/>
          <w:lang w:val="en-US" w:eastAsia="zh-CN" w:bidi="ar"/>
        </w:rPr>
        <w:t>粮油物资储备支出</w:t>
      </w:r>
      <w:r>
        <w:rPr>
          <w:rFonts w:hint="eastAsia" w:ascii="仿宋_GB2312" w:hAnsi="仿宋_GB2312" w:eastAsia="仿宋_GB2312" w:cs="仿宋_GB2312"/>
          <w:b/>
          <w:bCs/>
          <w:color w:val="000000"/>
          <w:kern w:val="2"/>
          <w:sz w:val="32"/>
          <w:szCs w:val="32"/>
          <w:lang w:val="en-US" w:eastAsia="zh-CN" w:bidi="ar"/>
        </w:rPr>
        <w:t>（类）</w:t>
      </w:r>
      <w:r>
        <w:rPr>
          <w:rFonts w:hint="eastAsia" w:ascii="仿宋_GB2312" w:hAnsi="仿宋_GB2312" w:cs="仿宋_GB2312"/>
          <w:b/>
          <w:bCs/>
          <w:color w:val="000000"/>
          <w:kern w:val="2"/>
          <w:sz w:val="32"/>
          <w:szCs w:val="32"/>
          <w:lang w:val="en-US" w:eastAsia="zh-CN" w:bidi="ar"/>
        </w:rPr>
        <w:t>01</w:t>
      </w:r>
      <w:r>
        <w:rPr>
          <w:rFonts w:hint="eastAsia" w:ascii="仿宋_GB2312" w:hAnsi="仿宋_GB2312" w:eastAsia="仿宋_GB2312" w:cs="仿宋_GB2312"/>
          <w:b/>
          <w:bCs/>
          <w:color w:val="000000"/>
          <w:kern w:val="2"/>
          <w:sz w:val="32"/>
          <w:szCs w:val="32"/>
          <w:lang w:val="en-US" w:eastAsia="zh-CN" w:bidi="ar"/>
        </w:rPr>
        <w:t>（款）</w:t>
      </w:r>
      <w:r>
        <w:rPr>
          <w:rFonts w:hint="eastAsia" w:ascii="仿宋_GB2312" w:hAnsi="仿宋_GB2312" w:cs="仿宋_GB2312"/>
          <w:b/>
          <w:bCs/>
          <w:color w:val="000000"/>
          <w:kern w:val="2"/>
          <w:sz w:val="32"/>
          <w:szCs w:val="32"/>
          <w:lang w:val="en-US" w:eastAsia="zh-CN" w:bidi="ar"/>
        </w:rPr>
        <w:t>99</w:t>
      </w:r>
      <w:r>
        <w:rPr>
          <w:rFonts w:hint="eastAsia" w:ascii="仿宋_GB2312" w:hAnsi="仿宋_GB2312" w:eastAsia="仿宋_GB2312" w:cs="仿宋_GB2312"/>
          <w:b/>
          <w:bCs/>
          <w:color w:val="000000"/>
          <w:kern w:val="2"/>
          <w:sz w:val="32"/>
          <w:szCs w:val="32"/>
          <w:lang w:val="en-US" w:eastAsia="zh-CN" w:bidi="ar"/>
        </w:rPr>
        <w:t>（项）</w:t>
      </w:r>
      <w:r>
        <w:rPr>
          <w:rFonts w:hint="eastAsia" w:ascii="仿宋_GB2312" w:hAnsi="仿宋_GB2312" w:eastAsia="仿宋_GB2312" w:cs="仿宋_GB2312"/>
          <w:b w:val="0"/>
          <w:bCs w:val="0"/>
          <w:color w:val="000000"/>
          <w:kern w:val="2"/>
          <w:sz w:val="32"/>
          <w:szCs w:val="32"/>
          <w:lang w:val="en-US" w:eastAsia="zh-CN" w:bidi="ar"/>
        </w:rPr>
        <w:t>其他</w:t>
      </w:r>
      <w:r>
        <w:rPr>
          <w:rFonts w:hint="eastAsia" w:ascii="仿宋_GB2312" w:hAnsi="仿宋_GB2312" w:cs="仿宋_GB2312"/>
          <w:b w:val="0"/>
          <w:bCs w:val="0"/>
          <w:color w:val="000000"/>
          <w:kern w:val="2"/>
          <w:sz w:val="32"/>
          <w:szCs w:val="32"/>
          <w:lang w:val="en-US" w:eastAsia="zh-CN" w:bidi="ar"/>
        </w:rPr>
        <w:t>粮油物资事务</w:t>
      </w:r>
      <w:r>
        <w:rPr>
          <w:rFonts w:hint="eastAsia" w:ascii="仿宋_GB2312" w:hAnsi="仿宋_GB2312" w:eastAsia="仿宋_GB2312" w:cs="仿宋_GB2312"/>
          <w:b w:val="0"/>
          <w:bCs w:val="0"/>
          <w:color w:val="000000"/>
          <w:kern w:val="2"/>
          <w:sz w:val="32"/>
          <w:szCs w:val="32"/>
          <w:lang w:val="en-US" w:eastAsia="zh-CN" w:bidi="ar"/>
        </w:rPr>
        <w:t>支出</w:t>
      </w:r>
      <w:r>
        <w:rPr>
          <w:rFonts w:hint="eastAsia" w:ascii="仿宋_GB2312" w:hAnsi="仿宋_GB2312" w:cs="仿宋_GB2312"/>
          <w:b w:val="0"/>
          <w:bCs w:val="0"/>
          <w:color w:val="000000"/>
          <w:kern w:val="2"/>
          <w:sz w:val="32"/>
          <w:szCs w:val="32"/>
          <w:lang w:val="en-US" w:eastAsia="zh-CN" w:bidi="ar"/>
        </w:rPr>
        <w:t>，</w:t>
      </w:r>
      <w:r>
        <w:rPr>
          <w:rFonts w:hint="eastAsia" w:ascii="仿宋_GB2312" w:hAnsi="仿宋_GB2312" w:eastAsia="仿宋_GB2312" w:cs="仿宋_GB2312"/>
          <w:sz w:val="32"/>
          <w:szCs w:val="32"/>
          <w:lang w:val="en-US" w:eastAsia="zh-CN"/>
        </w:rPr>
        <w:t>指</w:t>
      </w:r>
      <w:r>
        <w:rPr>
          <w:rFonts w:hint="eastAsia" w:ascii="仿宋_GB2312" w:hAnsi="仿宋_GB2312" w:cs="仿宋_GB2312"/>
          <w:sz w:val="32"/>
          <w:szCs w:val="32"/>
          <w:lang w:val="en-US" w:eastAsia="zh-CN"/>
        </w:rPr>
        <w:t>地方性储备粮油物资事务监督管理工作</w:t>
      </w:r>
      <w:r>
        <w:rPr>
          <w:rFonts w:hint="eastAsia" w:ascii="仿宋_GB2312" w:hAnsi="仿宋_GB2312" w:eastAsia="仿宋_GB2312" w:cs="仿宋_GB2312"/>
          <w:sz w:val="32"/>
          <w:szCs w:val="32"/>
          <w:lang w:val="en-US" w:eastAsia="zh-CN"/>
        </w:rPr>
        <w:t>经</w:t>
      </w:r>
      <w:r>
        <w:rPr>
          <w:rFonts w:hint="eastAsia" w:ascii="仿宋_GB2312" w:hAnsi="仿宋_GB2312" w:cs="仿宋_GB2312"/>
          <w:sz w:val="32"/>
          <w:szCs w:val="32"/>
          <w:lang w:val="en-US" w:eastAsia="zh-CN"/>
        </w:rPr>
        <w:t>费</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cs="仿宋_GB2312"/>
          <w:b/>
          <w:bCs/>
          <w:color w:val="000000"/>
          <w:kern w:val="2"/>
          <w:sz w:val="32"/>
          <w:szCs w:val="32"/>
          <w:lang w:val="en-US" w:eastAsia="zh-CN" w:bidi="ar"/>
        </w:rPr>
        <w:t>9</w:t>
      </w:r>
      <w:r>
        <w:rPr>
          <w:rFonts w:hint="eastAsia" w:ascii="仿宋_GB2312" w:hAnsi="仿宋_GB2312" w:eastAsia="仿宋_GB2312" w:cs="仿宋_GB2312"/>
          <w:b/>
          <w:bCs/>
          <w:color w:val="000000"/>
          <w:kern w:val="2"/>
          <w:sz w:val="32"/>
          <w:szCs w:val="32"/>
          <w:lang w:val="en-US" w:eastAsia="zh-CN" w:bidi="ar"/>
        </w:rPr>
        <w:t>.项目支出：</w:t>
      </w:r>
      <w:r>
        <w:rPr>
          <w:rFonts w:hint="eastAsia" w:ascii="仿宋_GB2312" w:hAnsi="仿宋_GB2312" w:eastAsia="仿宋_GB2312" w:cs="仿宋_GB2312"/>
          <w:sz w:val="32"/>
          <w:szCs w:val="32"/>
        </w:rPr>
        <w:t xml:space="preserve">指在基本支出之外为完成特定行政任务和事业发展目标所发生的支出。 </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cs="仿宋_GB2312"/>
          <w:b/>
          <w:bCs/>
          <w:color w:val="000000"/>
          <w:kern w:val="2"/>
          <w:sz w:val="32"/>
          <w:szCs w:val="32"/>
          <w:lang w:val="en-US" w:eastAsia="zh-CN" w:bidi="ar"/>
        </w:rPr>
        <w:t>10</w:t>
      </w:r>
      <w:r>
        <w:rPr>
          <w:rFonts w:hint="eastAsia" w:ascii="仿宋_GB2312" w:hAnsi="仿宋_GB2312" w:eastAsia="仿宋_GB2312" w:cs="仿宋_GB2312"/>
          <w:b/>
          <w:bCs/>
          <w:color w:val="000000"/>
          <w:kern w:val="2"/>
          <w:sz w:val="32"/>
          <w:szCs w:val="32"/>
          <w:lang w:val="en-US" w:eastAsia="zh-CN" w:bidi="ar"/>
        </w:rPr>
        <w:t>.“三公”经费：</w:t>
      </w:r>
      <w:r>
        <w:rPr>
          <w:rFonts w:hint="eastAsia" w:ascii="仿宋_GB2312" w:hAnsi="仿宋_GB2312" w:eastAsia="仿宋_GB2312" w:cs="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bidi w:val="0"/>
      </w:pPr>
      <w:bookmarkStart w:id="87" w:name="_Toc32667"/>
      <w:bookmarkStart w:id="88" w:name="_Toc8267"/>
      <w:bookmarkStart w:id="89" w:name="_Toc7963"/>
      <w:r>
        <w:rPr>
          <w:rFonts w:hint="eastAsia"/>
          <w:b/>
          <w:bCs/>
          <w:lang w:val="en-US" w:eastAsia="zh-CN"/>
        </w:rPr>
        <w:t>11.机关运行经费：</w:t>
      </w:r>
      <w:r>
        <w:rPr>
          <w:rFonts w:hint="eastAsia"/>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w:t>
      </w:r>
      <w:bookmarkEnd w:id="87"/>
      <w:bookmarkEnd w:id="88"/>
      <w:bookmarkEnd w:id="89"/>
      <w:r>
        <w:rPr>
          <w:rFonts w:hint="eastAsia"/>
          <w:lang w:eastAsia="zh-CN"/>
        </w:rPr>
        <w:t>等</w:t>
      </w:r>
      <w:r>
        <w:rPr>
          <w:rFonts w:hint="eastAsia"/>
        </w:rPr>
        <w:t>其他费用。</w:t>
      </w:r>
    </w:p>
    <w:p>
      <w:pPr>
        <w:bidi w:val="0"/>
        <w:rPr>
          <w:rFonts w:hint="eastAsia"/>
        </w:rPr>
      </w:pPr>
      <w:bookmarkStart w:id="90" w:name="_Toc15396614"/>
      <w:bookmarkStart w:id="91" w:name="_Toc18900"/>
      <w:bookmarkStart w:id="92" w:name="_Toc15377226"/>
    </w:p>
    <w:p>
      <w:pPr>
        <w:pStyle w:val="2"/>
        <w:rPr>
          <w:rFonts w:hint="eastAsia"/>
        </w:rPr>
      </w:pPr>
    </w:p>
    <w:p>
      <w:pPr>
        <w:spacing w:line="600" w:lineRule="exact"/>
        <w:ind w:left="0" w:leftChars="0" w:firstLine="0" w:firstLineChars="0"/>
        <w:jc w:val="center"/>
        <w:outlineLvl w:val="0"/>
        <w:rPr>
          <w:rStyle w:val="22"/>
          <w:rFonts w:hint="eastAsia"/>
        </w:rPr>
      </w:pPr>
    </w:p>
    <w:p>
      <w:pPr>
        <w:spacing w:line="600" w:lineRule="exact"/>
        <w:ind w:left="0" w:leftChars="0" w:firstLine="0" w:firstLineChars="0"/>
        <w:jc w:val="center"/>
        <w:outlineLvl w:val="0"/>
        <w:rPr>
          <w:rStyle w:val="22"/>
          <w:rFonts w:hint="eastAsia"/>
        </w:rPr>
      </w:pPr>
    </w:p>
    <w:p>
      <w:pPr>
        <w:spacing w:line="600" w:lineRule="exact"/>
        <w:ind w:left="0" w:leftChars="0" w:firstLine="0" w:firstLineChars="0"/>
        <w:jc w:val="center"/>
        <w:outlineLvl w:val="0"/>
        <w:rPr>
          <w:rStyle w:val="22"/>
          <w:rFonts w:hint="eastAsia"/>
        </w:rPr>
      </w:pPr>
    </w:p>
    <w:p>
      <w:pPr>
        <w:spacing w:line="600" w:lineRule="exact"/>
        <w:ind w:left="0" w:leftChars="0" w:firstLine="0" w:firstLineChars="0"/>
        <w:jc w:val="center"/>
        <w:outlineLvl w:val="0"/>
        <w:rPr>
          <w:rStyle w:val="22"/>
          <w:rFonts w:hint="eastAsia"/>
        </w:rPr>
      </w:pPr>
    </w:p>
    <w:p>
      <w:pPr>
        <w:spacing w:line="600" w:lineRule="exact"/>
        <w:ind w:left="0" w:leftChars="0" w:firstLine="0" w:firstLineChars="0"/>
        <w:jc w:val="center"/>
        <w:outlineLvl w:val="0"/>
        <w:rPr>
          <w:rStyle w:val="22"/>
          <w:rFonts w:hint="eastAsia"/>
        </w:rPr>
      </w:pPr>
    </w:p>
    <w:p>
      <w:pPr>
        <w:spacing w:line="600" w:lineRule="exact"/>
        <w:ind w:left="0" w:leftChars="0" w:firstLine="0" w:firstLineChars="0"/>
        <w:jc w:val="center"/>
        <w:outlineLvl w:val="0"/>
        <w:rPr>
          <w:rStyle w:val="22"/>
          <w:rFonts w:hint="eastAsia"/>
        </w:rPr>
      </w:pPr>
    </w:p>
    <w:p>
      <w:pPr>
        <w:spacing w:line="600" w:lineRule="exact"/>
        <w:ind w:left="0" w:leftChars="0" w:firstLine="0" w:firstLineChars="0"/>
        <w:jc w:val="center"/>
        <w:outlineLvl w:val="0"/>
        <w:rPr>
          <w:rStyle w:val="22"/>
          <w:rFonts w:hint="eastAsia" w:ascii="黑体" w:hAnsi="黑体" w:eastAsia="黑体"/>
          <w:b w:val="0"/>
          <w:color w:val="auto"/>
          <w:highlight w:val="none"/>
          <w:lang w:eastAsia="zh-CN"/>
        </w:rPr>
      </w:pPr>
      <w:r>
        <w:rPr>
          <w:rStyle w:val="22"/>
          <w:rFonts w:hint="eastAsia"/>
        </w:rPr>
        <w:t>第四部分 附件</w:t>
      </w:r>
      <w:bookmarkEnd w:id="90"/>
      <w:bookmarkEnd w:id="91"/>
    </w:p>
    <w:p>
      <w:pPr>
        <w:widowControl/>
        <w:spacing w:line="580" w:lineRule="exact"/>
        <w:ind w:left="0" w:leftChars="0" w:firstLine="0" w:firstLineChars="0"/>
        <w:contextualSpacing/>
        <w:jc w:val="both"/>
        <w:rPr>
          <w:rFonts w:hint="eastAsia" w:ascii="宋体" w:hAnsi="宋体" w:eastAsia="宋体" w:cs="Times New Roman"/>
          <w:b/>
          <w:sz w:val="44"/>
          <w:szCs w:val="44"/>
          <w:shd w:val="clear" w:color="auto" w:fill="FFFFFF"/>
        </w:rPr>
      </w:pPr>
    </w:p>
    <w:p>
      <w:pPr>
        <w:widowControl/>
        <w:spacing w:line="580" w:lineRule="exact"/>
        <w:ind w:left="0" w:leftChars="0" w:firstLine="880" w:firstLineChars="200"/>
        <w:contextualSpacing/>
        <w:jc w:val="both"/>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shd w:val="clear" w:color="auto" w:fill="FFFFFF"/>
        </w:rPr>
        <w:t>202</w:t>
      </w:r>
      <w:r>
        <w:rPr>
          <w:rFonts w:hint="eastAsia" w:ascii="方正小标宋简体" w:hAnsi="方正小标宋简体" w:eastAsia="方正小标宋简体" w:cs="方正小标宋简体"/>
          <w:b w:val="0"/>
          <w:bCs/>
          <w:sz w:val="44"/>
          <w:szCs w:val="44"/>
          <w:shd w:val="clear" w:color="auto" w:fill="FFFFFF"/>
          <w:lang w:val="en-US" w:eastAsia="zh-CN"/>
        </w:rPr>
        <w:t>2</w:t>
      </w:r>
      <w:r>
        <w:rPr>
          <w:rFonts w:hint="eastAsia" w:ascii="方正小标宋简体" w:hAnsi="方正小标宋简体" w:eastAsia="方正小标宋简体" w:cs="方正小标宋简体"/>
          <w:b w:val="0"/>
          <w:bCs/>
          <w:sz w:val="44"/>
          <w:szCs w:val="44"/>
          <w:shd w:val="clear" w:color="auto" w:fill="FFFFFF"/>
        </w:rPr>
        <w:t>年部门整体支出绩效自评报告</w:t>
      </w:r>
    </w:p>
    <w:p>
      <w:pPr>
        <w:widowControl/>
        <w:autoSpaceDE w:val="0"/>
        <w:adjustRightInd w:val="0"/>
        <w:snapToGrid w:val="0"/>
        <w:spacing w:line="500" w:lineRule="exact"/>
        <w:ind w:firstLine="640" w:firstLineChars="200"/>
        <w:contextualSpacing/>
        <w:jc w:val="center"/>
        <w:rPr>
          <w:rFonts w:hint="eastAsia" w:ascii="黑体" w:hAnsi="黑体" w:eastAsia="黑体" w:cs="黑体"/>
          <w:color w:val="000000"/>
          <w:kern w:val="0"/>
          <w:sz w:val="32"/>
          <w:szCs w:val="32"/>
          <w:shd w:val="clear" w:color="auto" w:fill="FFFFFF"/>
        </w:rPr>
      </w:pPr>
    </w:p>
    <w:p>
      <w:pPr>
        <w:pStyle w:val="4"/>
        <w:numPr>
          <w:ilvl w:val="0"/>
          <w:numId w:val="2"/>
        </w:numPr>
        <w:bidi w:val="0"/>
        <w:rPr>
          <w:rFonts w:hint="eastAsia"/>
        </w:rPr>
      </w:pPr>
      <w:bookmarkStart w:id="93" w:name="_Toc29794"/>
      <w:bookmarkStart w:id="94" w:name="_Toc12657"/>
      <w:bookmarkStart w:id="95" w:name="_Toc19837"/>
      <w:r>
        <w:rPr>
          <w:rFonts w:hint="eastAsia"/>
        </w:rPr>
        <w:t>部门概况</w:t>
      </w:r>
      <w:bookmarkEnd w:id="93"/>
      <w:bookmarkEnd w:id="94"/>
      <w:bookmarkEnd w:id="95"/>
    </w:p>
    <w:p>
      <w:pPr>
        <w:widowControl/>
        <w:autoSpaceDE w:val="0"/>
        <w:adjustRightInd w:val="0"/>
        <w:snapToGrid w:val="0"/>
        <w:spacing w:line="500" w:lineRule="exact"/>
        <w:ind w:firstLine="640" w:firstLineChars="200"/>
        <w:contextualSpacing/>
        <w:jc w:val="left"/>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（一）机构组成</w:t>
      </w:r>
    </w:p>
    <w:p>
      <w:pPr>
        <w:widowControl/>
        <w:autoSpaceDE w:val="0"/>
        <w:adjustRightInd w:val="0"/>
        <w:snapToGrid w:val="0"/>
        <w:spacing w:line="500" w:lineRule="exact"/>
        <w:ind w:firstLine="640" w:firstLineChars="200"/>
        <w:contextualSpacing/>
        <w:jc w:val="left"/>
        <w:rPr>
          <w:rFonts w:hint="eastAsia" w:ascii="楷体_GB2312" w:hAnsi="Times New Roman" w:eastAsia="楷体_GB2312" w:cs="Times New Roman"/>
          <w:color w:val="000000"/>
          <w:kern w:val="0"/>
          <w:sz w:val="32"/>
          <w:szCs w:val="32"/>
          <w:shd w:val="clear" w:color="auto" w:fill="FFFFFF"/>
        </w:rPr>
      </w:pPr>
      <w:r>
        <w:rPr>
          <w:rFonts w:hint="eastAsia" w:ascii="仿宋_GB2312" w:hAnsi="仿宋_GB2312" w:eastAsia="仿宋_GB2312" w:cstheme="minorBidi"/>
          <w:kern w:val="2"/>
          <w:sz w:val="32"/>
          <w:szCs w:val="32"/>
          <w:lang w:val="en-US" w:eastAsia="zh-CN" w:bidi="ar-SA"/>
        </w:rPr>
        <w:t>朝天区粮食和物资储备中心下设三股一室，分别是办公室、粮食调控股、物资储备股、粮食流通股。</w:t>
      </w:r>
    </w:p>
    <w:p>
      <w:pPr>
        <w:widowControl/>
        <w:autoSpaceDE w:val="0"/>
        <w:adjustRightInd w:val="0"/>
        <w:snapToGrid w:val="0"/>
        <w:spacing w:line="500" w:lineRule="exact"/>
        <w:ind w:firstLine="640" w:firstLineChars="200"/>
        <w:contextualSpacing/>
        <w:jc w:val="left"/>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（二）机构职能</w:t>
      </w:r>
    </w:p>
    <w:p>
      <w:pPr>
        <w:pStyle w:val="7"/>
        <w:rPr>
          <w:rFonts w:hint="eastAsia" w:ascii="楷体_GB2312" w:hAnsi="Times New Roman" w:eastAsia="楷体_GB2312" w:cs="Times New Roman"/>
          <w:color w:val="000000"/>
          <w:kern w:val="0"/>
          <w:sz w:val="32"/>
          <w:szCs w:val="32"/>
          <w:shd w:val="clear" w:color="auto" w:fill="FFFFFF"/>
        </w:rPr>
      </w:pPr>
      <w:r>
        <w:rPr>
          <w:rFonts w:hint="eastAsia" w:hAnsi="仿宋_GB2312"/>
          <w:szCs w:val="32"/>
        </w:rPr>
        <w:t>广元市朝天区粮食</w:t>
      </w:r>
      <w:r>
        <w:rPr>
          <w:rFonts w:hint="eastAsia" w:hAnsi="仿宋_GB2312"/>
          <w:szCs w:val="32"/>
          <w:lang w:eastAsia="zh-CN"/>
        </w:rPr>
        <w:t>和物资储备中心</w:t>
      </w:r>
      <w:r>
        <w:rPr>
          <w:rFonts w:hint="eastAsia" w:hAnsi="仿宋_GB2312"/>
          <w:szCs w:val="32"/>
        </w:rPr>
        <w:t>作为区政府职能部门，负责国家粮食购销及价格政策的执行和全区储备粮的管理、粮食流通领域的行政执法、管理与协调工作；引导全区粮食种植结构调整；加强粮食购销、储运和市场供应管理，切实履行粮食总量平衡、稳定市场粮价、粮食安全预警、救灾救济等行政职能。</w:t>
      </w:r>
    </w:p>
    <w:p>
      <w:pPr>
        <w:widowControl/>
        <w:numPr>
          <w:ilvl w:val="0"/>
          <w:numId w:val="3"/>
        </w:numPr>
        <w:autoSpaceDE w:val="0"/>
        <w:adjustRightInd w:val="0"/>
        <w:snapToGrid w:val="0"/>
        <w:spacing w:line="500" w:lineRule="exact"/>
        <w:ind w:firstLine="640" w:firstLineChars="200"/>
        <w:contextualSpacing/>
        <w:jc w:val="left"/>
        <w:rPr>
          <w:rFonts w:hint="default" w:ascii="楷体_GB2312" w:hAnsi="Times New Roman" w:eastAsia="楷体_GB2312" w:cs="Times New Roman"/>
          <w:color w:val="000000"/>
          <w:kern w:val="0"/>
          <w:sz w:val="32"/>
          <w:szCs w:val="32"/>
          <w:shd w:val="clear" w:color="auto" w:fill="FFFFFF"/>
          <w:lang w:val="en-US" w:eastAsia="zh-CN"/>
        </w:rPr>
      </w:pPr>
      <w:r>
        <w:rPr>
          <w:rFonts w:hint="eastAsia" w:ascii="楷体_GB2312" w:hAnsi="Times New Roman" w:eastAsia="楷体_GB2312" w:cs="Times New Roman"/>
          <w:color w:val="000000"/>
          <w:kern w:val="0"/>
          <w:sz w:val="32"/>
          <w:szCs w:val="32"/>
          <w:shd w:val="clear" w:color="auto" w:fill="FFFFFF"/>
        </w:rPr>
        <w:t>人员概况</w:t>
      </w:r>
    </w:p>
    <w:p>
      <w:pPr>
        <w:widowControl/>
        <w:numPr>
          <w:ilvl w:val="0"/>
          <w:numId w:val="0"/>
        </w:numPr>
        <w:autoSpaceDE w:val="0"/>
        <w:adjustRightInd w:val="0"/>
        <w:snapToGrid w:val="0"/>
        <w:spacing w:line="500" w:lineRule="exact"/>
        <w:ind w:firstLine="640" w:firstLineChars="200"/>
        <w:contextualSpacing/>
        <w:jc w:val="left"/>
        <w:rPr>
          <w:rFonts w:hint="default" w:eastAsia="仿宋_GB2312"/>
          <w:lang w:val="en-US" w:eastAsia="zh-CN"/>
        </w:rPr>
      </w:pPr>
      <w:r>
        <w:rPr>
          <w:rFonts w:hint="eastAsia" w:ascii="仿宋_GB2312" w:hAnsi="仿宋_GB2312" w:eastAsia="仿宋_GB2312" w:cstheme="minorBidi"/>
          <w:kern w:val="2"/>
          <w:sz w:val="32"/>
          <w:szCs w:val="32"/>
          <w:lang w:val="en-US" w:eastAsia="zh-CN" w:bidi="ar-SA"/>
        </w:rPr>
        <w:t>朝天区粮食和物资储备中心参公事业编制人数9人，实有人员1</w:t>
      </w:r>
      <w:r>
        <w:rPr>
          <w:rFonts w:hint="eastAsia" w:cstheme="minorBidi"/>
          <w:kern w:val="2"/>
          <w:sz w:val="32"/>
          <w:szCs w:val="32"/>
          <w:lang w:val="en-US" w:eastAsia="zh-CN" w:bidi="ar-SA"/>
        </w:rPr>
        <w:t>1</w:t>
      </w:r>
      <w:r>
        <w:rPr>
          <w:rFonts w:hint="eastAsia" w:ascii="仿宋_GB2312" w:hAnsi="仿宋_GB2312" w:eastAsia="仿宋_GB2312" w:cstheme="minorBidi"/>
          <w:kern w:val="2"/>
          <w:sz w:val="32"/>
          <w:szCs w:val="32"/>
          <w:lang w:val="en-US" w:eastAsia="zh-CN" w:bidi="ar-SA"/>
        </w:rPr>
        <w:t>人，公务员</w:t>
      </w:r>
      <w:r>
        <w:rPr>
          <w:rFonts w:hint="eastAsia" w:cstheme="minorBidi"/>
          <w:kern w:val="2"/>
          <w:sz w:val="32"/>
          <w:szCs w:val="32"/>
          <w:lang w:val="en-US" w:eastAsia="zh-CN" w:bidi="ar-SA"/>
        </w:rPr>
        <w:t>8</w:t>
      </w:r>
      <w:r>
        <w:rPr>
          <w:rFonts w:hint="eastAsia" w:ascii="仿宋_GB2312" w:hAnsi="仿宋_GB2312" w:eastAsia="仿宋_GB2312" w:cstheme="minorBidi"/>
          <w:kern w:val="2"/>
          <w:sz w:val="32"/>
          <w:szCs w:val="32"/>
          <w:lang w:val="en-US" w:eastAsia="zh-CN" w:bidi="ar-SA"/>
        </w:rPr>
        <w:t>人，机关工勤人员3人。</w:t>
      </w:r>
    </w:p>
    <w:p>
      <w:pPr>
        <w:pStyle w:val="4"/>
        <w:numPr>
          <w:ilvl w:val="0"/>
          <w:numId w:val="2"/>
        </w:numPr>
        <w:bidi w:val="0"/>
        <w:ind w:left="0" w:leftChars="0" w:firstLine="640" w:firstLineChars="200"/>
        <w:rPr>
          <w:rFonts w:hint="eastAsia"/>
        </w:rPr>
      </w:pPr>
      <w:bookmarkStart w:id="96" w:name="_Toc25745"/>
      <w:bookmarkStart w:id="97" w:name="_Toc8561"/>
      <w:bookmarkStart w:id="98" w:name="_Toc20323"/>
      <w:r>
        <w:rPr>
          <w:rFonts w:hint="eastAsia"/>
        </w:rPr>
        <w:t>部门财政资金收支情况</w:t>
      </w:r>
      <w:bookmarkEnd w:id="96"/>
      <w:bookmarkEnd w:id="97"/>
      <w:bookmarkEnd w:id="98"/>
    </w:p>
    <w:p>
      <w:pPr>
        <w:widowControl/>
        <w:autoSpaceDE w:val="0"/>
        <w:adjustRightInd w:val="0"/>
        <w:snapToGrid w:val="0"/>
        <w:spacing w:line="500" w:lineRule="exact"/>
        <w:ind w:firstLine="640" w:firstLineChars="200"/>
        <w:contextualSpacing/>
        <w:jc w:val="left"/>
        <w:rPr>
          <w:rFonts w:hint="eastAsia" w:ascii="楷体_GB2312" w:hAnsi="Times New Roman" w:eastAsia="仿宋" w:cs="Times New Roman"/>
          <w:color w:val="000000"/>
          <w:kern w:val="0"/>
          <w:sz w:val="32"/>
          <w:szCs w:val="32"/>
          <w:shd w:val="clear" w:color="auto" w:fill="FFFFFF"/>
          <w:lang w:eastAsia="zh-CN"/>
        </w:rPr>
      </w:pPr>
      <w:r>
        <w:rPr>
          <w:rFonts w:hint="eastAsia" w:ascii="楷体_GB2312" w:hAnsi="Times New Roman" w:eastAsia="楷体_GB2312" w:cs="Times New Roman"/>
          <w:color w:val="000000"/>
          <w:kern w:val="0"/>
          <w:sz w:val="32"/>
          <w:szCs w:val="32"/>
          <w:shd w:val="clear" w:color="auto" w:fill="FFFFFF"/>
        </w:rPr>
        <w:t>（一）部门财政资金收入情况。</w:t>
      </w:r>
      <w:r>
        <w:rPr>
          <w:rFonts w:hint="eastAsia" w:ascii="仿宋" w:hAnsi="仿宋" w:eastAsia="仿宋" w:cs="仿宋"/>
          <w:sz w:val="32"/>
          <w:szCs w:val="32"/>
          <w:lang w:eastAsia="zh-CN"/>
        </w:rPr>
        <w:t>粮食和物资储备中心</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年部门预算收入总数</w:t>
      </w:r>
      <w:r>
        <w:rPr>
          <w:rFonts w:hint="eastAsia" w:ascii="Arial" w:hAnsi="Arial" w:cs="Arial"/>
          <w:sz w:val="28"/>
          <w:szCs w:val="28"/>
          <w:lang w:val="en-US" w:eastAsia="zh-CN"/>
        </w:rPr>
        <w:t>581.25</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widowControl/>
        <w:autoSpaceDE w:val="0"/>
        <w:adjustRightInd w:val="0"/>
        <w:snapToGrid w:val="0"/>
        <w:spacing w:line="500" w:lineRule="exact"/>
        <w:ind w:firstLine="640" w:firstLineChars="200"/>
        <w:contextualSpacing/>
        <w:jc w:val="left"/>
        <w:rPr>
          <w:rFonts w:hint="default" w:ascii="仿宋_GB2312" w:hAnsi="Times New Roman" w:eastAsia="仿宋" w:cs="Times New Roman"/>
          <w:color w:val="000000"/>
          <w:kern w:val="0"/>
          <w:sz w:val="32"/>
          <w:szCs w:val="32"/>
          <w:shd w:val="clear" w:color="auto" w:fill="FFFFFF"/>
          <w:lang w:val="en-US" w:eastAsia="zh-CN"/>
        </w:rPr>
      </w:pPr>
      <w:r>
        <w:rPr>
          <w:rFonts w:hint="eastAsia" w:ascii="楷体_GB2312" w:hAnsi="Times New Roman" w:eastAsia="楷体_GB2312" w:cs="Times New Roman"/>
          <w:color w:val="000000"/>
          <w:kern w:val="0"/>
          <w:sz w:val="32"/>
          <w:szCs w:val="32"/>
          <w:shd w:val="clear" w:color="auto" w:fill="FFFFFF"/>
        </w:rPr>
        <w:t>（二）部门财政资金支出情况。</w:t>
      </w:r>
      <w:r>
        <w:rPr>
          <w:rFonts w:hint="eastAsia" w:ascii="仿宋" w:hAnsi="仿宋" w:eastAsia="仿宋" w:cs="仿宋"/>
          <w:sz w:val="32"/>
          <w:szCs w:val="32"/>
          <w:lang w:eastAsia="zh-CN"/>
        </w:rPr>
        <w:t>粮食和物资储备中心</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年部门预算</w:t>
      </w:r>
      <w:r>
        <w:rPr>
          <w:rFonts w:hint="eastAsia" w:ascii="仿宋" w:hAnsi="仿宋" w:eastAsia="仿宋" w:cs="仿宋"/>
          <w:sz w:val="32"/>
          <w:szCs w:val="32"/>
          <w:lang w:eastAsia="zh-CN"/>
        </w:rPr>
        <w:t>支</w:t>
      </w:r>
      <w:r>
        <w:rPr>
          <w:rFonts w:hint="eastAsia" w:ascii="仿宋" w:hAnsi="仿宋" w:eastAsia="仿宋" w:cs="仿宋"/>
          <w:sz w:val="32"/>
          <w:szCs w:val="32"/>
        </w:rPr>
        <w:t>入总数</w:t>
      </w:r>
      <w:r>
        <w:rPr>
          <w:rFonts w:hint="eastAsia" w:ascii="Arial" w:hAnsi="Arial" w:cs="Arial"/>
          <w:sz w:val="28"/>
          <w:szCs w:val="28"/>
          <w:lang w:val="en-US" w:eastAsia="zh-CN"/>
        </w:rPr>
        <w:t>543.16</w:t>
      </w:r>
      <w:r>
        <w:rPr>
          <w:rFonts w:hint="eastAsia" w:ascii="仿宋" w:hAnsi="仿宋" w:eastAsia="仿宋" w:cs="仿宋"/>
          <w:sz w:val="32"/>
          <w:szCs w:val="32"/>
        </w:rPr>
        <w:t>万元，</w:t>
      </w:r>
      <w:r>
        <w:rPr>
          <w:rFonts w:hint="eastAsia" w:ascii="仿宋" w:hAnsi="仿宋" w:eastAsia="仿宋" w:cs="仿宋"/>
          <w:sz w:val="32"/>
          <w:szCs w:val="32"/>
          <w:lang w:eastAsia="zh-CN"/>
        </w:rPr>
        <w:t>年末结余资金</w:t>
      </w:r>
      <w:r>
        <w:rPr>
          <w:rFonts w:hint="eastAsia" w:ascii="仿宋" w:hAnsi="仿宋" w:eastAsia="仿宋" w:cs="仿宋"/>
          <w:sz w:val="32"/>
          <w:szCs w:val="32"/>
          <w:lang w:val="en-US" w:eastAsia="zh-CN"/>
        </w:rPr>
        <w:t>38.09万元。</w:t>
      </w:r>
    </w:p>
    <w:p>
      <w:pPr>
        <w:pStyle w:val="4"/>
        <w:bidi w:val="0"/>
        <w:ind w:left="0" w:leftChars="0" w:firstLine="640" w:firstLineChars="200"/>
        <w:rPr>
          <w:rFonts w:hint="eastAsia"/>
        </w:rPr>
      </w:pPr>
      <w:bookmarkStart w:id="99" w:name="_Toc30961"/>
      <w:bookmarkStart w:id="100" w:name="_Toc4402"/>
      <w:bookmarkStart w:id="101" w:name="_Toc18984"/>
      <w:r>
        <w:rPr>
          <w:rFonts w:hint="eastAsia"/>
        </w:rPr>
        <w:t>三、部门整体预算绩效管理情况</w:t>
      </w:r>
      <w:bookmarkEnd w:id="99"/>
      <w:bookmarkEnd w:id="100"/>
      <w:bookmarkEnd w:id="101"/>
    </w:p>
    <w:p>
      <w:pPr>
        <w:pStyle w:val="5"/>
        <w:bidi w:val="0"/>
        <w:ind w:left="0" w:leftChars="0" w:firstLine="640" w:firstLineChars="200"/>
        <w:rPr>
          <w:rFonts w:hint="eastAsia"/>
        </w:rPr>
      </w:pPr>
      <w:bookmarkStart w:id="102" w:name="_Toc14731"/>
      <w:bookmarkStart w:id="103" w:name="_Toc30629"/>
      <w:bookmarkStart w:id="104" w:name="_Toc2321"/>
      <w:r>
        <w:rPr>
          <w:rFonts w:hint="eastAsia"/>
        </w:rPr>
        <w:t>（一）部门预算项目绩效管理</w:t>
      </w:r>
      <w:bookmarkEnd w:id="102"/>
      <w:bookmarkEnd w:id="103"/>
      <w:bookmarkEnd w:id="104"/>
    </w:p>
    <w:p>
      <w:pPr>
        <w:bidi w:val="0"/>
        <w:rPr>
          <w:rFonts w:hint="eastAsia"/>
        </w:rPr>
      </w:pPr>
      <w:r>
        <w:rPr>
          <w:rFonts w:hint="eastAsia"/>
          <w:lang w:val="en-US" w:eastAsia="zh-CN"/>
        </w:rPr>
        <w:t>1.</w:t>
      </w:r>
      <w:r>
        <w:rPr>
          <w:rFonts w:hint="eastAsia"/>
          <w:lang w:eastAsia="zh-CN"/>
        </w:rPr>
        <w:t>进一步</w:t>
      </w:r>
      <w:r>
        <w:rPr>
          <w:rFonts w:hint="eastAsia"/>
        </w:rPr>
        <w:t>健全项目绩效评价管理</w:t>
      </w:r>
      <w:r>
        <w:rPr>
          <w:rFonts w:hint="eastAsia"/>
          <w:lang w:eastAsia="zh-CN"/>
        </w:rPr>
        <w:t>工作制度及管理办法</w:t>
      </w:r>
      <w:r>
        <w:rPr>
          <w:rFonts w:hint="eastAsia"/>
        </w:rPr>
        <w:t>。</w:t>
      </w:r>
      <w:r>
        <w:rPr>
          <w:rFonts w:hint="eastAsia"/>
          <w:lang w:eastAsia="zh-CN"/>
        </w:rPr>
        <w:t>健全绩效评价管理干部队伍、项目绩效评价体系、</w:t>
      </w:r>
      <w:r>
        <w:rPr>
          <w:rFonts w:hint="eastAsia"/>
        </w:rPr>
        <w:t>项目绩效目标编报质量</w:t>
      </w:r>
      <w:r>
        <w:rPr>
          <w:rFonts w:hint="eastAsia"/>
          <w:lang w:eastAsia="zh-CN"/>
        </w:rPr>
        <w:t>。进一步</w:t>
      </w:r>
      <w:r>
        <w:rPr>
          <w:rFonts w:hint="eastAsia"/>
        </w:rPr>
        <w:t>完善重大项目支出绩效评价机制，加强项目绩效信息公开。全面开展项目绩效目标执行监控，确保绩效自评结果客观、准确。</w:t>
      </w:r>
    </w:p>
    <w:p>
      <w:pPr>
        <w:bidi w:val="0"/>
        <w:rPr>
          <w:rFonts w:hint="eastAsia"/>
        </w:rPr>
      </w:pPr>
      <w:r>
        <w:rPr>
          <w:rFonts w:hint="eastAsia"/>
          <w:lang w:val="en-US" w:eastAsia="zh-CN"/>
        </w:rPr>
        <w:t>2.</w:t>
      </w:r>
      <w:r>
        <w:rPr>
          <w:rFonts w:hint="eastAsia"/>
          <w:lang w:eastAsia="zh-CN"/>
        </w:rPr>
        <w:t>严格按照人员类、特定目标类项目高质量编制年初预算、绩效目标、目标实现管理制度。在绩效管理过程中，严格监控管理，始终将资金使用与绩效目标完成、目标实现相结合，当资金使用与绩效目标完成出现偏差时给予了及时分析、处置，确保了年度内项目执行进度与预算完成有效衔接，大大提高资金使用效率，杜绝年内项目资金大量结余、项目低效和资金使用违规等行为发生，确保了项目绩效目标的全面完成。</w:t>
      </w:r>
    </w:p>
    <w:p>
      <w:pPr>
        <w:pStyle w:val="5"/>
        <w:numPr>
          <w:ilvl w:val="0"/>
          <w:numId w:val="0"/>
        </w:numPr>
        <w:bidi w:val="0"/>
        <w:ind w:firstLine="320" w:firstLineChars="100"/>
        <w:rPr>
          <w:rFonts w:hint="eastAsia"/>
        </w:rPr>
      </w:pPr>
      <w:bookmarkStart w:id="105" w:name="_Toc23081"/>
      <w:bookmarkStart w:id="106" w:name="_Toc13904"/>
      <w:bookmarkStart w:id="107" w:name="_Toc23222"/>
      <w:r>
        <w:rPr>
          <w:rFonts w:hint="eastAsia"/>
          <w:lang w:eastAsia="zh-CN"/>
        </w:rPr>
        <w:t>（二）综合管理情况</w:t>
      </w:r>
      <w:bookmarkEnd w:id="105"/>
      <w:bookmarkEnd w:id="106"/>
      <w:bookmarkEnd w:id="107"/>
    </w:p>
    <w:p>
      <w:pPr>
        <w:bidi w:val="0"/>
        <w:rPr>
          <w:rFonts w:hint="eastAsia"/>
        </w:rPr>
      </w:pPr>
      <w:r>
        <w:rPr>
          <w:rFonts w:hint="eastAsia"/>
          <w:lang w:val="en-US" w:eastAsia="zh-CN"/>
        </w:rPr>
        <w:t>1.</w:t>
      </w:r>
      <w:r>
        <w:rPr>
          <w:rFonts w:hint="eastAsia"/>
        </w:rPr>
        <w:t>一是进一步建立健全本单位资产管理的相关制度，完善资产管理信息系统，确保系统信息与账面、实物相符；二是按季度对单位固定资产的种类和数量进行清理核实，及时核销和更新资产台账；三是按月对固定资产进行计提折旧和摊销；四是按月向资产管理部门上报资产清查报表，切实提升资产管理的质量和水平。</w:t>
      </w:r>
    </w:p>
    <w:p>
      <w:pPr>
        <w:bidi w:val="0"/>
        <w:rPr>
          <w:rFonts w:hint="eastAsia"/>
        </w:rPr>
      </w:pPr>
      <w:r>
        <w:rPr>
          <w:rFonts w:hint="eastAsia"/>
          <w:lang w:val="en-US" w:eastAsia="zh-CN"/>
        </w:rPr>
        <w:t>2.</w:t>
      </w:r>
      <w:r>
        <w:rPr>
          <w:rFonts w:hint="eastAsia"/>
        </w:rPr>
        <w:t>建立健全部门内部控制制度，加强财务管理，强化财务监督，增强法纪观念，遵守规章制度，保证了财务管理有法可依、有章可循，财务工作质量水平大幅提升。</w:t>
      </w:r>
    </w:p>
    <w:p>
      <w:pPr>
        <w:bidi w:val="0"/>
        <w:rPr>
          <w:rFonts w:hint="eastAsia"/>
        </w:rPr>
      </w:pPr>
      <w:r>
        <w:rPr>
          <w:rFonts w:hint="eastAsia"/>
          <w:lang w:val="en-US" w:eastAsia="zh-CN"/>
        </w:rPr>
        <w:t>3.</w:t>
      </w:r>
      <w:r>
        <w:rPr>
          <w:rFonts w:hint="eastAsia"/>
        </w:rPr>
        <w:t>按照上级及业务主管部门的统一要求，及时在政府网站上公开预决算及绩效信息情况。</w:t>
      </w:r>
    </w:p>
    <w:p>
      <w:pPr>
        <w:bidi w:val="0"/>
        <w:rPr>
          <w:rFonts w:hint="eastAsia"/>
        </w:rPr>
      </w:pPr>
      <w:r>
        <w:rPr>
          <w:rFonts w:hint="eastAsia"/>
        </w:rPr>
        <w:t>4.积极开展部门整体支出绩效评价工作，</w:t>
      </w:r>
      <w:r>
        <w:rPr>
          <w:rFonts w:hint="eastAsia"/>
          <w:lang w:eastAsia="zh-CN"/>
        </w:rPr>
        <w:t>对财政部门针对评价结果所反馈</w:t>
      </w:r>
      <w:r>
        <w:rPr>
          <w:rFonts w:hint="eastAsia"/>
        </w:rPr>
        <w:t>的问题进行</w:t>
      </w:r>
      <w:r>
        <w:rPr>
          <w:rFonts w:hint="eastAsia"/>
          <w:lang w:eastAsia="zh-CN"/>
        </w:rPr>
        <w:t>了</w:t>
      </w:r>
      <w:r>
        <w:rPr>
          <w:rFonts w:hint="eastAsia"/>
        </w:rPr>
        <w:t>及时整改</w:t>
      </w:r>
      <w:r>
        <w:rPr>
          <w:rFonts w:hint="eastAsia"/>
          <w:lang w:eastAsia="zh-CN"/>
        </w:rPr>
        <w:t>上报</w:t>
      </w:r>
      <w:r>
        <w:rPr>
          <w:rFonts w:hint="eastAsia"/>
        </w:rPr>
        <w:t>。</w:t>
      </w:r>
    </w:p>
    <w:p>
      <w:pPr>
        <w:pStyle w:val="4"/>
        <w:bidi w:val="0"/>
        <w:rPr>
          <w:rFonts w:hint="eastAsia"/>
        </w:rPr>
      </w:pPr>
      <w:bookmarkStart w:id="108" w:name="_Toc28376"/>
      <w:bookmarkStart w:id="109" w:name="_Toc19509"/>
      <w:bookmarkStart w:id="110" w:name="_Toc10868"/>
      <w:r>
        <w:rPr>
          <w:rFonts w:hint="eastAsia"/>
        </w:rPr>
        <w:t>四、自评结论及建议</w:t>
      </w:r>
      <w:bookmarkEnd w:id="108"/>
      <w:bookmarkEnd w:id="109"/>
      <w:bookmarkEnd w:id="110"/>
    </w:p>
    <w:p>
      <w:pPr>
        <w:pStyle w:val="5"/>
        <w:bidi w:val="0"/>
        <w:rPr>
          <w:rFonts w:hint="eastAsia"/>
          <w:lang w:eastAsia="zh-CN"/>
        </w:rPr>
      </w:pPr>
      <w:bookmarkStart w:id="111" w:name="_Toc23578"/>
      <w:bookmarkStart w:id="112" w:name="_Toc22456"/>
      <w:bookmarkStart w:id="113" w:name="_Toc15021"/>
      <w:r>
        <w:rPr>
          <w:rFonts w:hint="eastAsia"/>
          <w:lang w:eastAsia="zh-CN"/>
        </w:rPr>
        <w:t>（一）自评结论</w:t>
      </w:r>
      <w:bookmarkEnd w:id="111"/>
      <w:bookmarkEnd w:id="112"/>
      <w:bookmarkEnd w:id="113"/>
    </w:p>
    <w:p>
      <w:pPr>
        <w:bidi w:val="0"/>
        <w:rPr>
          <w:rFonts w:hint="default"/>
          <w:lang w:val="en-US" w:eastAsia="zh-CN"/>
        </w:rPr>
      </w:pPr>
      <w:r>
        <w:rPr>
          <w:rFonts w:hint="eastAsia"/>
          <w:lang w:eastAsia="zh-CN"/>
        </w:rPr>
        <w:t>本次自评得分</w:t>
      </w:r>
      <w:r>
        <w:rPr>
          <w:rFonts w:hint="eastAsia"/>
          <w:lang w:val="en-US" w:eastAsia="zh-CN"/>
        </w:rPr>
        <w:t>96分，等次为优秀。</w:t>
      </w:r>
    </w:p>
    <w:p>
      <w:pPr>
        <w:pStyle w:val="5"/>
        <w:bidi w:val="0"/>
        <w:rPr>
          <w:rFonts w:hint="eastAsia"/>
        </w:rPr>
      </w:pPr>
      <w:bookmarkStart w:id="114" w:name="_Toc29858"/>
      <w:bookmarkStart w:id="115" w:name="_Toc17646"/>
      <w:bookmarkStart w:id="116" w:name="_Toc5169"/>
      <w:r>
        <w:rPr>
          <w:rFonts w:hint="eastAsia"/>
        </w:rPr>
        <w:t>（</w:t>
      </w:r>
      <w:r>
        <w:rPr>
          <w:rFonts w:hint="eastAsia"/>
          <w:lang w:eastAsia="zh-CN"/>
        </w:rPr>
        <w:t>二</w:t>
      </w:r>
      <w:r>
        <w:rPr>
          <w:rFonts w:hint="eastAsia"/>
        </w:rPr>
        <w:t>）</w:t>
      </w:r>
      <w:r>
        <w:rPr>
          <w:rFonts w:hint="eastAsia"/>
          <w:lang w:eastAsia="zh-CN"/>
        </w:rPr>
        <w:t>存在的</w:t>
      </w:r>
      <w:r>
        <w:rPr>
          <w:rFonts w:hint="eastAsia"/>
        </w:rPr>
        <w:t>主要问题</w:t>
      </w:r>
      <w:bookmarkEnd w:id="114"/>
      <w:bookmarkEnd w:id="115"/>
      <w:bookmarkEnd w:id="116"/>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1.重视程度有待加强，绩效目标设定不够精细合理；</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2.绩效评价思想上存在误区，绩效评价方式比较单一，形式和内容不够全面；</w:t>
      </w:r>
    </w:p>
    <w:p>
      <w:pPr>
        <w:spacing w:line="600" w:lineRule="exac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3.项目支出绩效目标设置不够精细，指标数量不够明晰，结构不太合理。</w:t>
      </w:r>
    </w:p>
    <w:p>
      <w:pPr>
        <w:pStyle w:val="5"/>
        <w:bidi w:val="0"/>
        <w:ind w:firstLine="1440"/>
        <w:rPr>
          <w:rFonts w:hint="eastAsia" w:ascii="Times New Roman" w:hAnsi="Times New Roman"/>
          <w:b w:val="0"/>
        </w:rPr>
      </w:pPr>
      <w:bookmarkStart w:id="117" w:name="_Toc28668"/>
      <w:bookmarkStart w:id="118" w:name="_Toc23437"/>
      <w:bookmarkStart w:id="119" w:name="_Toc3980"/>
      <w:r>
        <w:rPr>
          <w:rFonts w:hint="eastAsia" w:ascii="Times New Roman" w:hAnsi="Times New Roman"/>
          <w:b w:val="0"/>
        </w:rPr>
        <w:t>（</w:t>
      </w:r>
      <w:r>
        <w:rPr>
          <w:rFonts w:hint="eastAsia" w:ascii="Times New Roman" w:hAnsi="Times New Roman"/>
          <w:b w:val="0"/>
          <w:lang w:eastAsia="zh-CN"/>
        </w:rPr>
        <w:t>三</w:t>
      </w:r>
      <w:r>
        <w:rPr>
          <w:rFonts w:hint="eastAsia" w:ascii="Times New Roman" w:hAnsi="Times New Roman"/>
          <w:b w:val="0"/>
        </w:rPr>
        <w:t>）改进的方向和具体措施</w:t>
      </w:r>
      <w:bookmarkEnd w:id="117"/>
      <w:bookmarkEnd w:id="118"/>
      <w:bookmarkEnd w:id="119"/>
    </w:p>
    <w:p>
      <w:pPr>
        <w:bidi w:val="0"/>
        <w:rPr>
          <w:rFonts w:hint="eastAsia"/>
        </w:rPr>
      </w:pPr>
      <w:r>
        <w:rPr>
          <w:rFonts w:hint="eastAsia"/>
        </w:rPr>
        <w:t>1.进一步树立正确的绩效评价观，加强绩效评价工作中的预算编制、预算管理和预算执行等基础工作建设；</w:t>
      </w:r>
    </w:p>
    <w:p>
      <w:pPr>
        <w:bidi w:val="0"/>
        <w:rPr>
          <w:rFonts w:hint="eastAsia"/>
        </w:rPr>
      </w:pPr>
      <w:r>
        <w:rPr>
          <w:rFonts w:hint="eastAsia"/>
        </w:rPr>
        <w:t>2.进一步加强财务管理，建立健全财务管理制度及体系，规范财务行为，强化绩效目标完成与预算执行相互衔接、相互促进，确保绩效目标全面完成；</w:t>
      </w:r>
    </w:p>
    <w:p>
      <w:pPr>
        <w:bidi w:val="0"/>
        <w:rPr>
          <w:rFonts w:hint="eastAsia"/>
        </w:rPr>
      </w:pPr>
      <w:r>
        <w:rPr>
          <w:rFonts w:hint="eastAsia"/>
          <w:lang w:val="en-US" w:eastAsia="zh-CN"/>
        </w:rPr>
        <w:t>3.</w:t>
      </w:r>
      <w:r>
        <w:rPr>
          <w:rFonts w:hint="eastAsia"/>
        </w:rPr>
        <w:t>加强业务培训学习，提升业务技能水平，切实提高预算编制、绩效目标设置的质量和水平。</w:t>
      </w:r>
    </w:p>
    <w:p>
      <w:pPr>
        <w:bidi w:val="0"/>
        <w:rPr>
          <w:rFonts w:hint="eastAsia"/>
        </w:rPr>
      </w:pPr>
      <w:r>
        <w:rPr>
          <w:rFonts w:hint="eastAsia"/>
        </w:rPr>
        <w:t>4.改进绩效评价工作方法。一是加强预算编制与目标设置的一致性；二是加强预算执行与绩效目标完成的一致性；三是构建合理、适当、可操作的评价体系；四是对绩效评价的结果充分</w:t>
      </w:r>
      <w:r>
        <w:rPr>
          <w:rFonts w:hint="eastAsia"/>
          <w:lang w:eastAsia="zh-CN"/>
        </w:rPr>
        <w:t>利用，为进一步提升绩效目标管理</w:t>
      </w:r>
      <w:r>
        <w:rPr>
          <w:rFonts w:hint="eastAsia"/>
        </w:rPr>
        <w:t>发挥作用。</w:t>
      </w:r>
    </w:p>
    <w:p>
      <w:pPr>
        <w:autoSpaceDE w:val="0"/>
        <w:spacing w:line="576" w:lineRule="exact"/>
        <w:ind w:firstLine="3520" w:firstLineChars="1100"/>
        <w:rPr>
          <w:rFonts w:hint="eastAsia"/>
        </w:rPr>
      </w:pPr>
    </w:p>
    <w:p>
      <w:pPr>
        <w:pStyle w:val="2"/>
        <w:ind w:left="0" w:leftChars="0" w:firstLine="0" w:firstLineChars="0"/>
        <w:rPr>
          <w:rFonts w:hint="eastAsia"/>
        </w:rPr>
      </w:pPr>
    </w:p>
    <w:p>
      <w:pPr>
        <w:pStyle w:val="3"/>
        <w:bidi w:val="0"/>
        <w:rPr>
          <w:rFonts w:hint="eastAsia"/>
        </w:rPr>
      </w:pPr>
      <w:r>
        <w:rPr>
          <w:rFonts w:hint="eastAsia"/>
          <w:lang w:val="en-US" w:eastAsia="zh-CN"/>
        </w:rPr>
        <w:t>部门预算项目支出绩效自评表（2022年度）</w:t>
      </w:r>
    </w:p>
    <w:tbl>
      <w:tblPr>
        <w:tblStyle w:val="1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860"/>
        <w:gridCol w:w="670"/>
        <w:gridCol w:w="1058"/>
        <w:gridCol w:w="580"/>
        <w:gridCol w:w="798"/>
        <w:gridCol w:w="758"/>
        <w:gridCol w:w="858"/>
        <w:gridCol w:w="691"/>
        <w:gridCol w:w="690"/>
        <w:gridCol w:w="1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0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51081221R000000033316-其他对个人和家庭补助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广元市朝天区粮食和物资储备中心部门</w:t>
            </w:r>
          </w:p>
        </w:tc>
        <w:tc>
          <w:tcPr>
            <w:tcW w:w="474"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广元市朝天区粮食和物资储备中心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7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21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07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0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39.89</w:t>
            </w: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39.89</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39.89</w:t>
            </w: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39.89</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40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6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项目负责人：李治国</w:t>
            </w:r>
          </w:p>
        </w:tc>
        <w:tc>
          <w:tcPr>
            <w:tcW w:w="293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财务负责人：甘丽莉</w:t>
            </w:r>
          </w:p>
        </w:tc>
      </w:tr>
    </w:tbl>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lang w:val="en-US" w:eastAsia="zh-CN"/>
        </w:rPr>
      </w:pPr>
      <w:r>
        <w:rPr>
          <w:rFonts w:hint="eastAsia"/>
          <w:lang w:val="en-US" w:eastAsia="zh-CN"/>
        </w:rPr>
        <w:t>部门预算项目支出绩效自评表（2022年度）</w:t>
      </w:r>
    </w:p>
    <w:tbl>
      <w:tblPr>
        <w:tblStyle w:val="1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860"/>
        <w:gridCol w:w="670"/>
        <w:gridCol w:w="1058"/>
        <w:gridCol w:w="580"/>
        <w:gridCol w:w="798"/>
        <w:gridCol w:w="758"/>
        <w:gridCol w:w="858"/>
        <w:gridCol w:w="691"/>
        <w:gridCol w:w="690"/>
        <w:gridCol w:w="1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0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广元市朝天区粮食和物资储备中心部门</w:t>
            </w:r>
          </w:p>
        </w:tc>
        <w:tc>
          <w:tcPr>
            <w:tcW w:w="474"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广元市朝天区粮食和物资储备中心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7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21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207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0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0.01</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0.01</w:t>
            </w: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0.01</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0.01</w:t>
            </w: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0.01</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40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6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项目负责人：李治国</w:t>
            </w:r>
          </w:p>
        </w:tc>
        <w:tc>
          <w:tcPr>
            <w:tcW w:w="293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财务负责人：甘丽莉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18"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75"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369"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584"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32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18"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74"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381"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381"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835"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r>
    </w:tbl>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黑体" w:hAnsi="宋体" w:eastAsia="黑体" w:cs="黑体"/>
          <w:b/>
          <w:bCs/>
          <w:i w:val="0"/>
          <w:iCs w:val="0"/>
          <w:color w:val="000000"/>
          <w:kern w:val="0"/>
          <w:sz w:val="30"/>
          <w:szCs w:val="30"/>
          <w:u w:val="none"/>
          <w:lang w:val="en-US" w:eastAsia="zh-CN" w:bidi="ar"/>
        </w:rPr>
      </w:pPr>
      <w:r>
        <w:rPr>
          <w:rFonts w:hint="eastAsia" w:ascii="黑体" w:hAnsi="宋体" w:eastAsia="黑体" w:cs="黑体"/>
          <w:b/>
          <w:bCs/>
          <w:i w:val="0"/>
          <w:iCs w:val="0"/>
          <w:color w:val="000000"/>
          <w:kern w:val="0"/>
          <w:sz w:val="30"/>
          <w:szCs w:val="30"/>
          <w:u w:val="none"/>
          <w:lang w:val="en-US" w:eastAsia="zh-CN" w:bidi="ar"/>
        </w:rPr>
        <w:br w:type="page"/>
      </w:r>
    </w:p>
    <w:p>
      <w:pPr>
        <w:pStyle w:val="3"/>
        <w:bidi w:val="0"/>
        <w:rPr>
          <w:rFonts w:hint="eastAsia"/>
          <w:lang w:val="en-US" w:eastAsia="zh-CN"/>
        </w:rPr>
      </w:pPr>
      <w:r>
        <w:rPr>
          <w:rFonts w:hint="eastAsia"/>
          <w:lang w:val="en-US" w:eastAsia="zh-CN"/>
        </w:rPr>
        <w:t>部门预算项目支出绩效自评表（2022年度）</w:t>
      </w:r>
    </w:p>
    <w:tbl>
      <w:tblPr>
        <w:tblStyle w:val="1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860"/>
        <w:gridCol w:w="670"/>
        <w:gridCol w:w="1058"/>
        <w:gridCol w:w="580"/>
        <w:gridCol w:w="798"/>
        <w:gridCol w:w="758"/>
        <w:gridCol w:w="858"/>
        <w:gridCol w:w="691"/>
        <w:gridCol w:w="690"/>
        <w:gridCol w:w="1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0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51081221R000000033753-遗属生活补助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广元市朝天区粮食和物资储备中心部门</w:t>
            </w:r>
          </w:p>
        </w:tc>
        <w:tc>
          <w:tcPr>
            <w:tcW w:w="474"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广元市朝天区粮食和物资储备中心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7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21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07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0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0.62</w:t>
            </w: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0.62</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0.62</w:t>
            </w: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0.62</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40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6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项目负责人：李治国</w:t>
            </w:r>
          </w:p>
        </w:tc>
        <w:tc>
          <w:tcPr>
            <w:tcW w:w="293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财务负责人：甘丽莉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18"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75"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369"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584"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32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18"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74"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381"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381"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835"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r>
    </w:tbl>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黑体" w:hAnsi="宋体" w:eastAsia="黑体" w:cs="黑体"/>
          <w:b/>
          <w:bCs/>
          <w:i w:val="0"/>
          <w:iCs w:val="0"/>
          <w:color w:val="000000"/>
          <w:kern w:val="0"/>
          <w:sz w:val="30"/>
          <w:szCs w:val="30"/>
          <w:u w:val="none"/>
          <w:lang w:val="en-US" w:eastAsia="zh-CN" w:bidi="ar"/>
        </w:rPr>
      </w:pPr>
      <w:r>
        <w:rPr>
          <w:rFonts w:hint="eastAsia" w:ascii="黑体" w:hAnsi="宋体" w:eastAsia="黑体" w:cs="黑体"/>
          <w:b/>
          <w:bCs/>
          <w:i w:val="0"/>
          <w:iCs w:val="0"/>
          <w:color w:val="000000"/>
          <w:kern w:val="0"/>
          <w:sz w:val="30"/>
          <w:szCs w:val="30"/>
          <w:u w:val="none"/>
          <w:lang w:val="en-US" w:eastAsia="zh-CN" w:bidi="ar"/>
        </w:rPr>
        <w:br w:type="page"/>
      </w:r>
    </w:p>
    <w:p>
      <w:pPr>
        <w:pStyle w:val="3"/>
        <w:bidi w:val="0"/>
        <w:rPr>
          <w:rFonts w:hint="eastAsia"/>
          <w:lang w:val="en-US" w:eastAsia="zh-CN"/>
        </w:rPr>
      </w:pPr>
      <w:r>
        <w:rPr>
          <w:rFonts w:hint="eastAsia"/>
          <w:lang w:val="en-US" w:eastAsia="zh-CN"/>
        </w:rPr>
        <w:t>部门预算项目支出绩效自评表（2022年度）</w:t>
      </w:r>
    </w:p>
    <w:tbl>
      <w:tblPr>
        <w:tblStyle w:val="1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860"/>
        <w:gridCol w:w="670"/>
        <w:gridCol w:w="1058"/>
        <w:gridCol w:w="580"/>
        <w:gridCol w:w="798"/>
        <w:gridCol w:w="758"/>
        <w:gridCol w:w="858"/>
        <w:gridCol w:w="691"/>
        <w:gridCol w:w="690"/>
        <w:gridCol w:w="1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0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广元市朝天区粮食和物资储备中心部门</w:t>
            </w:r>
          </w:p>
        </w:tc>
        <w:tc>
          <w:tcPr>
            <w:tcW w:w="474"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广元市朝天区粮食和物资储备中心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7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21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207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0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32.40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32.40</w:t>
            </w: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32.40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32.40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32.40</w:t>
            </w: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32.40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40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06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项目负责人：李治国</w:t>
            </w:r>
          </w:p>
        </w:tc>
        <w:tc>
          <w:tcPr>
            <w:tcW w:w="293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财务负责人：甘丽莉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8"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75"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369"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584"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32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18"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74"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381"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381"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835"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r>
    </w:tbl>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黑体" w:hAnsi="宋体" w:eastAsia="黑体" w:cs="黑体"/>
          <w:b/>
          <w:bCs/>
          <w:i w:val="0"/>
          <w:iCs w:val="0"/>
          <w:color w:val="000000"/>
          <w:kern w:val="0"/>
          <w:sz w:val="30"/>
          <w:szCs w:val="30"/>
          <w:u w:val="none"/>
          <w:lang w:val="en-US" w:eastAsia="zh-CN" w:bidi="ar"/>
        </w:rPr>
      </w:pPr>
      <w:r>
        <w:rPr>
          <w:rFonts w:hint="eastAsia" w:ascii="黑体" w:hAnsi="宋体" w:eastAsia="黑体" w:cs="黑体"/>
          <w:b/>
          <w:bCs/>
          <w:i w:val="0"/>
          <w:iCs w:val="0"/>
          <w:color w:val="000000"/>
          <w:kern w:val="0"/>
          <w:sz w:val="30"/>
          <w:szCs w:val="30"/>
          <w:u w:val="none"/>
          <w:lang w:val="en-US" w:eastAsia="zh-CN" w:bidi="ar"/>
        </w:rPr>
        <w:br w:type="page"/>
      </w:r>
    </w:p>
    <w:p>
      <w:pPr>
        <w:pStyle w:val="3"/>
        <w:bidi w:val="0"/>
        <w:rPr>
          <w:rFonts w:hint="eastAsia"/>
          <w:lang w:val="en-US" w:eastAsia="zh-CN"/>
        </w:rPr>
      </w:pPr>
      <w:r>
        <w:rPr>
          <w:rFonts w:hint="eastAsia"/>
          <w:lang w:val="en-US" w:eastAsia="zh-CN"/>
        </w:rPr>
        <w:t>部门预算项目支出绩效自评表（2022年度）</w:t>
      </w:r>
    </w:p>
    <w:tbl>
      <w:tblPr>
        <w:tblStyle w:val="1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860"/>
        <w:gridCol w:w="670"/>
        <w:gridCol w:w="1058"/>
        <w:gridCol w:w="580"/>
        <w:gridCol w:w="798"/>
        <w:gridCol w:w="758"/>
        <w:gridCol w:w="858"/>
        <w:gridCol w:w="691"/>
        <w:gridCol w:w="690"/>
        <w:gridCol w:w="1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0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广元市朝天区粮食和物资储备中心部门</w:t>
            </w:r>
          </w:p>
        </w:tc>
        <w:tc>
          <w:tcPr>
            <w:tcW w:w="474"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广元市朝天区粮食和物资储备中心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7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213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07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0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10.17</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10.65</w:t>
            </w: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10.65</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99.97%</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10.17</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10.65</w:t>
            </w: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10.65</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99.97%</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40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6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项目负责人：李治国</w:t>
            </w:r>
          </w:p>
        </w:tc>
        <w:tc>
          <w:tcPr>
            <w:tcW w:w="293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财务负责人：甘丽莉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18"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75"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369"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584"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32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40"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18"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74"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381"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381"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835" w:type="pct"/>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r>
    </w:tbl>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黑体" w:hAnsi="宋体" w:eastAsia="黑体" w:cs="黑体"/>
          <w:b/>
          <w:bCs/>
          <w:i w:val="0"/>
          <w:iCs w:val="0"/>
          <w:color w:val="000000"/>
          <w:kern w:val="0"/>
          <w:sz w:val="30"/>
          <w:szCs w:val="30"/>
          <w:u w:val="none"/>
          <w:lang w:val="en-US" w:eastAsia="zh-CN" w:bidi="ar"/>
        </w:rPr>
      </w:pPr>
      <w:r>
        <w:rPr>
          <w:rFonts w:hint="eastAsia" w:ascii="黑体" w:hAnsi="宋体" w:eastAsia="黑体" w:cs="黑体"/>
          <w:b/>
          <w:bCs/>
          <w:i w:val="0"/>
          <w:iCs w:val="0"/>
          <w:color w:val="000000"/>
          <w:kern w:val="0"/>
          <w:sz w:val="30"/>
          <w:szCs w:val="30"/>
          <w:u w:val="none"/>
          <w:lang w:val="en-US" w:eastAsia="zh-CN" w:bidi="ar"/>
        </w:rPr>
        <w:br w:type="page"/>
      </w:r>
    </w:p>
    <w:p>
      <w:pPr>
        <w:pStyle w:val="3"/>
        <w:bidi w:val="0"/>
        <w:rPr>
          <w:rFonts w:hint="eastAsia"/>
          <w:lang w:val="en-US" w:eastAsia="zh-CN"/>
        </w:rPr>
      </w:pPr>
      <w:r>
        <w:rPr>
          <w:rFonts w:hint="eastAsia"/>
          <w:lang w:val="en-US" w:eastAsia="zh-CN"/>
        </w:rPr>
        <w:t>部门预算项目支出绩效自评表（2022年度）</w:t>
      </w:r>
    </w:p>
    <w:tbl>
      <w:tblPr>
        <w:tblStyle w:val="17"/>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7"/>
        <w:gridCol w:w="860"/>
        <w:gridCol w:w="670"/>
        <w:gridCol w:w="1058"/>
        <w:gridCol w:w="580"/>
        <w:gridCol w:w="798"/>
        <w:gridCol w:w="758"/>
        <w:gridCol w:w="858"/>
        <w:gridCol w:w="691"/>
        <w:gridCol w:w="690"/>
        <w:gridCol w:w="1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0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51081221R000000052055-05年以前退休人员医疗保险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广元市朝天区粮食和物资储备中心部门</w:t>
            </w:r>
          </w:p>
        </w:tc>
        <w:tc>
          <w:tcPr>
            <w:tcW w:w="473"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59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广元市朝天区粮食和物资储备中心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207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21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207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20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2.12</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2.12</w:t>
            </w: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2.12</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2.12</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2.12</w:t>
            </w: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2.12</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117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40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8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8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8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6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项目负责人：李治国</w:t>
            </w:r>
          </w:p>
        </w:tc>
        <w:tc>
          <w:tcPr>
            <w:tcW w:w="293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财务负责人：甘丽莉</w:t>
            </w:r>
          </w:p>
        </w:tc>
      </w:tr>
    </w:tbl>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黑体" w:hAnsi="宋体" w:eastAsia="黑体" w:cs="黑体"/>
          <w:b/>
          <w:bCs/>
          <w:i w:val="0"/>
          <w:iCs w:val="0"/>
          <w:color w:val="000000"/>
          <w:kern w:val="0"/>
          <w:sz w:val="30"/>
          <w:szCs w:val="30"/>
          <w:u w:val="none"/>
          <w:lang w:val="en-US" w:eastAsia="zh-CN" w:bidi="ar"/>
        </w:rPr>
      </w:pPr>
      <w:r>
        <w:rPr>
          <w:rFonts w:hint="eastAsia" w:ascii="黑体" w:hAnsi="宋体" w:eastAsia="黑体" w:cs="黑体"/>
          <w:b/>
          <w:bCs/>
          <w:i w:val="0"/>
          <w:iCs w:val="0"/>
          <w:color w:val="000000"/>
          <w:kern w:val="0"/>
          <w:sz w:val="30"/>
          <w:szCs w:val="30"/>
          <w:u w:val="none"/>
          <w:lang w:val="en-US" w:eastAsia="zh-CN" w:bidi="ar"/>
        </w:rPr>
        <w:br w:type="page"/>
      </w:r>
    </w:p>
    <w:p>
      <w:pPr>
        <w:pStyle w:val="3"/>
        <w:bidi w:val="0"/>
        <w:rPr>
          <w:rFonts w:hint="eastAsia"/>
          <w:lang w:val="en-US" w:eastAsia="zh-CN"/>
        </w:rPr>
      </w:pPr>
      <w:r>
        <w:rPr>
          <w:rFonts w:hint="eastAsia"/>
          <w:lang w:val="en-US" w:eastAsia="zh-CN"/>
        </w:rPr>
        <w:t>部门预算项目支出绩效自评表（2022年度）</w:t>
      </w:r>
    </w:p>
    <w:tbl>
      <w:tblPr>
        <w:tblStyle w:val="17"/>
        <w:tblW w:w="533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950"/>
        <w:gridCol w:w="666"/>
        <w:gridCol w:w="1442"/>
        <w:gridCol w:w="580"/>
        <w:gridCol w:w="798"/>
        <w:gridCol w:w="758"/>
        <w:gridCol w:w="858"/>
        <w:gridCol w:w="691"/>
        <w:gridCol w:w="690"/>
        <w:gridCol w:w="1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3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广元市朝天区粮食和物资储备中心部门</w:t>
            </w:r>
          </w:p>
        </w:tc>
        <w:tc>
          <w:tcPr>
            <w:tcW w:w="444"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4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广元市朝天区粮食和物资储备中心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21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9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3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1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11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0.24</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11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350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2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2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2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2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项目负责人：李治国</w:t>
            </w:r>
          </w:p>
        </w:tc>
        <w:tc>
          <w:tcPr>
            <w:tcW w:w="274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财务负责人：甘丽莉</w:t>
            </w:r>
          </w:p>
        </w:tc>
      </w:tr>
    </w:tbl>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p>
      <w:pPr>
        <w:pStyle w:val="3"/>
        <w:bidi w:val="0"/>
        <w:rPr>
          <w:rFonts w:hint="eastAsia"/>
        </w:rPr>
      </w:pPr>
      <w:r>
        <w:rPr>
          <w:rFonts w:hint="eastAsia"/>
          <w:lang w:val="en-US" w:eastAsia="zh-CN"/>
        </w:rPr>
        <w:t>部门预算项目支出绩效自评表（2022年度）</w:t>
      </w:r>
    </w:p>
    <w:tbl>
      <w:tblPr>
        <w:tblStyle w:val="17"/>
        <w:tblW w:w="533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950"/>
        <w:gridCol w:w="666"/>
        <w:gridCol w:w="1442"/>
        <w:gridCol w:w="580"/>
        <w:gridCol w:w="798"/>
        <w:gridCol w:w="758"/>
        <w:gridCol w:w="858"/>
        <w:gridCol w:w="691"/>
        <w:gridCol w:w="690"/>
        <w:gridCol w:w="1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3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1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广元市朝天区粮食和物资储备中心部门</w:t>
            </w:r>
          </w:p>
        </w:tc>
        <w:tc>
          <w:tcPr>
            <w:tcW w:w="443"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49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广元市朝天区粮食和物资储备中心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1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9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21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194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13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1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89.80</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94.17</w:t>
            </w:r>
          </w:p>
        </w:tc>
        <w:tc>
          <w:tcPr>
            <w:tcW w:w="11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93.61</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99.40%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89.80</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94.17</w:t>
            </w:r>
          </w:p>
        </w:tc>
        <w:tc>
          <w:tcPr>
            <w:tcW w:w="11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93.61</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99.40%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110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50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2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2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2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25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项目负责人：李治国</w:t>
            </w:r>
          </w:p>
        </w:tc>
        <w:tc>
          <w:tcPr>
            <w:tcW w:w="274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财务负责人：甘丽莉</w:t>
            </w:r>
          </w:p>
        </w:tc>
      </w:tr>
    </w:tbl>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黑体" w:hAnsi="宋体" w:eastAsia="黑体" w:cs="黑体"/>
          <w:b/>
          <w:bCs/>
          <w:i w:val="0"/>
          <w:iCs w:val="0"/>
          <w:color w:val="000000"/>
          <w:kern w:val="0"/>
          <w:sz w:val="30"/>
          <w:szCs w:val="30"/>
          <w:u w:val="none"/>
          <w:lang w:val="en-US" w:eastAsia="zh-CN" w:bidi="ar"/>
        </w:rPr>
      </w:pPr>
      <w:r>
        <w:rPr>
          <w:rFonts w:hint="eastAsia" w:ascii="黑体" w:hAnsi="宋体" w:eastAsia="黑体" w:cs="黑体"/>
          <w:b/>
          <w:bCs/>
          <w:i w:val="0"/>
          <w:iCs w:val="0"/>
          <w:color w:val="000000"/>
          <w:kern w:val="0"/>
          <w:sz w:val="30"/>
          <w:szCs w:val="30"/>
          <w:u w:val="none"/>
          <w:lang w:val="en-US" w:eastAsia="zh-CN" w:bidi="ar"/>
        </w:rPr>
        <w:br w:type="page"/>
      </w:r>
    </w:p>
    <w:p>
      <w:pPr>
        <w:pStyle w:val="3"/>
        <w:bidi w:val="0"/>
        <w:rPr>
          <w:rFonts w:hint="eastAsia"/>
          <w:lang w:val="en-US" w:eastAsia="zh-CN"/>
        </w:rPr>
      </w:pPr>
      <w:r>
        <w:rPr>
          <w:rFonts w:hint="eastAsia"/>
          <w:lang w:val="en-US" w:eastAsia="zh-CN"/>
        </w:rPr>
        <w:t>部门预算项目支出绩效自评表（2022年度）</w:t>
      </w:r>
    </w:p>
    <w:tbl>
      <w:tblPr>
        <w:tblStyle w:val="17"/>
        <w:tblW w:w="5315" w:type="pct"/>
        <w:tblInd w:w="-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8"/>
        <w:gridCol w:w="952"/>
        <w:gridCol w:w="664"/>
        <w:gridCol w:w="483"/>
        <w:gridCol w:w="440"/>
        <w:gridCol w:w="679"/>
        <w:gridCol w:w="511"/>
        <w:gridCol w:w="496"/>
        <w:gridCol w:w="523"/>
        <w:gridCol w:w="401"/>
        <w:gridCol w:w="962"/>
        <w:gridCol w:w="1263"/>
        <w:gridCol w:w="443"/>
        <w:gridCol w:w="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81"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69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广元市朝天区粮食和物资储备中心部门</w:t>
            </w:r>
          </w:p>
        </w:tc>
        <w:tc>
          <w:tcPr>
            <w:tcW w:w="479" w:type="pct"/>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90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广元市朝天区粮食和物资储备中心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48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5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48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81"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5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14.28</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14.71</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14.70</w:t>
            </w:r>
          </w:p>
        </w:tc>
        <w:tc>
          <w:tcPr>
            <w:tcW w:w="15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99.95%</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14.28</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14.71</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14.70</w:t>
            </w:r>
          </w:p>
        </w:tc>
        <w:tc>
          <w:tcPr>
            <w:tcW w:w="15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99.95%</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150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000000"/>
                <w:sz w:val="18"/>
                <w:szCs w:val="18"/>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4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8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57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57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575"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9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项目负责人：李治国</w:t>
            </w:r>
          </w:p>
        </w:tc>
        <w:tc>
          <w:tcPr>
            <w:tcW w:w="290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财务负责人：甘丽莉</w:t>
            </w:r>
          </w:p>
        </w:tc>
      </w:tr>
    </w:tbl>
    <w:p>
      <w:pPr>
        <w:ind w:left="0" w:leftChars="0" w:firstLine="0" w:firstLineChars="0"/>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br w:type="page"/>
      </w:r>
    </w:p>
    <w:p>
      <w:pPr>
        <w:pStyle w:val="3"/>
        <w:bidi w:val="0"/>
        <w:rPr>
          <w:rFonts w:hint="eastAsia"/>
        </w:rPr>
      </w:pPr>
      <w:r>
        <w:rPr>
          <w:rFonts w:hint="eastAsia"/>
          <w:lang w:val="en-US" w:eastAsia="zh-CN"/>
        </w:rPr>
        <w:t>部门预算项目支出绩效自评表（2022年度）</w:t>
      </w:r>
    </w:p>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lang w:val="en-US" w:eastAsia="zh-CN"/>
        </w:rPr>
      </w:pPr>
    </w:p>
    <w:tbl>
      <w:tblPr>
        <w:tblStyle w:val="17"/>
        <w:tblW w:w="529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7"/>
        <w:gridCol w:w="941"/>
        <w:gridCol w:w="892"/>
        <w:gridCol w:w="1313"/>
        <w:gridCol w:w="640"/>
        <w:gridCol w:w="980"/>
        <w:gridCol w:w="821"/>
        <w:gridCol w:w="1079"/>
        <w:gridCol w:w="713"/>
        <w:gridCol w:w="714"/>
        <w:gridCol w:w="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项目名称</w:t>
            </w:r>
          </w:p>
        </w:tc>
        <w:tc>
          <w:tcPr>
            <w:tcW w:w="406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51081222T000005475561-2021年养老保险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主管部门</w:t>
            </w:r>
          </w:p>
        </w:tc>
        <w:tc>
          <w:tcPr>
            <w:tcW w:w="242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广元市朝天区粮食和物资储备中心部门</w:t>
            </w:r>
          </w:p>
        </w:tc>
        <w:tc>
          <w:tcPr>
            <w:tcW w:w="562"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0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4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42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242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164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066"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4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年初预算</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2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预算执行数</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总额</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3.00</w:t>
            </w:r>
          </w:p>
        </w:tc>
        <w:tc>
          <w:tcPr>
            <w:tcW w:w="12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2.99</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99.72%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3.00</w:t>
            </w:r>
          </w:p>
        </w:tc>
        <w:tc>
          <w:tcPr>
            <w:tcW w:w="12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2.99</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99.72%</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2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单位资金</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2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其他资金</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12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4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一级指标</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二级指标</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三级指标</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指标性质</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指标值</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度量单位</w:t>
            </w: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完成值</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391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合计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评价结论</w:t>
            </w:r>
          </w:p>
        </w:tc>
        <w:tc>
          <w:tcPr>
            <w:tcW w:w="45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存在问题</w:t>
            </w:r>
          </w:p>
        </w:tc>
        <w:tc>
          <w:tcPr>
            <w:tcW w:w="45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改进措施</w:t>
            </w:r>
          </w:p>
        </w:tc>
        <w:tc>
          <w:tcPr>
            <w:tcW w:w="45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4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项目负责人：李治国</w:t>
            </w:r>
          </w:p>
        </w:tc>
        <w:tc>
          <w:tcPr>
            <w:tcW w:w="258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财务负责人：甘丽莉</w:t>
            </w:r>
          </w:p>
        </w:tc>
      </w:tr>
    </w:tbl>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lang w:val="en-US" w:eastAsia="zh-CN"/>
        </w:rPr>
      </w:pPr>
      <w:r>
        <w:rPr>
          <w:rFonts w:hint="eastAsia"/>
          <w:sz w:val="20"/>
          <w:szCs w:val="20"/>
          <w:lang w:val="en-US" w:eastAsia="zh-CN"/>
        </w:rPr>
        <w:br w:type="page"/>
      </w:r>
    </w:p>
    <w:p>
      <w:pPr>
        <w:pStyle w:val="3"/>
        <w:bidi w:val="0"/>
        <w:jc w:val="center"/>
        <w:rPr>
          <w:rFonts w:hint="eastAsia"/>
          <w:lang w:val="en-US" w:eastAsia="zh-CN"/>
        </w:rPr>
      </w:pPr>
      <w:r>
        <w:rPr>
          <w:rFonts w:hint="eastAsia"/>
          <w:lang w:val="en-US" w:eastAsia="zh-CN"/>
        </w:rPr>
        <w:t>部门预算项目支出绩效自评表（2022年度）</w:t>
      </w:r>
    </w:p>
    <w:tbl>
      <w:tblPr>
        <w:tblStyle w:val="17"/>
        <w:tblW w:w="517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962"/>
        <w:gridCol w:w="892"/>
        <w:gridCol w:w="1314"/>
        <w:gridCol w:w="648"/>
        <w:gridCol w:w="978"/>
        <w:gridCol w:w="815"/>
        <w:gridCol w:w="1083"/>
        <w:gridCol w:w="713"/>
        <w:gridCol w:w="713"/>
        <w:gridCol w:w="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8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项目名称</w:t>
            </w:r>
          </w:p>
        </w:tc>
        <w:tc>
          <w:tcPr>
            <w:tcW w:w="415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51081222T000005565148-其他粮油事务支出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8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主管部门</w:t>
            </w:r>
          </w:p>
        </w:tc>
        <w:tc>
          <w:tcPr>
            <w:tcW w:w="247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广元市朝天区粮食和物资储备中心部门</w:t>
            </w:r>
          </w:p>
        </w:tc>
        <w:tc>
          <w:tcPr>
            <w:tcW w:w="577"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1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47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247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16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5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年初预算</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2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预算执行数</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总额</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5.00</w:t>
            </w:r>
          </w:p>
        </w:tc>
        <w:tc>
          <w:tcPr>
            <w:tcW w:w="12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5.00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5.00</w:t>
            </w:r>
          </w:p>
        </w:tc>
        <w:tc>
          <w:tcPr>
            <w:tcW w:w="12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5.00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2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单位资金</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2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其他资金</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12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一级指标</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二级指标</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三级指标</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指标性质</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指标值</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度量单位</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完成值</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jc w:val="center"/>
        </w:trPr>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389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合计</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评价结论</w:t>
            </w:r>
          </w:p>
        </w:tc>
        <w:tc>
          <w:tcPr>
            <w:tcW w:w="467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存在问题</w:t>
            </w:r>
          </w:p>
        </w:tc>
        <w:tc>
          <w:tcPr>
            <w:tcW w:w="467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改进措施</w:t>
            </w:r>
          </w:p>
        </w:tc>
        <w:tc>
          <w:tcPr>
            <w:tcW w:w="467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36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项目负责人：李治国</w:t>
            </w:r>
          </w:p>
        </w:tc>
        <w:tc>
          <w:tcPr>
            <w:tcW w:w="263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财务负责人：甘丽莉</w:t>
            </w:r>
          </w:p>
        </w:tc>
      </w:tr>
    </w:tbl>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jc w:val="center"/>
        <w:textAlignment w:val="auto"/>
        <w:rPr>
          <w:rFonts w:hint="eastAsia"/>
          <w:sz w:val="20"/>
          <w:szCs w:val="20"/>
        </w:rPr>
      </w:pPr>
      <w:r>
        <w:rPr>
          <w:rFonts w:hint="eastAsia"/>
          <w:sz w:val="20"/>
          <w:szCs w:val="20"/>
        </w:rPr>
        <w:br w:type="page"/>
      </w:r>
      <w:r>
        <w:rPr>
          <w:rStyle w:val="22"/>
          <w:rFonts w:hint="eastAsia"/>
          <w:lang w:val="en-US" w:eastAsia="zh-CN"/>
        </w:rPr>
        <w:t>部门预算项目支出绩效自评表（2022年度）</w:t>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7"/>
        <w:gridCol w:w="885"/>
        <w:gridCol w:w="691"/>
        <w:gridCol w:w="339"/>
        <w:gridCol w:w="1196"/>
        <w:gridCol w:w="339"/>
        <w:gridCol w:w="255"/>
        <w:gridCol w:w="339"/>
        <w:gridCol w:w="582"/>
        <w:gridCol w:w="339"/>
        <w:gridCol w:w="478"/>
        <w:gridCol w:w="1035"/>
        <w:gridCol w:w="667"/>
        <w:gridCol w:w="667"/>
        <w:gridCol w:w="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项目名称</w:t>
            </w:r>
          </w:p>
        </w:tc>
        <w:tc>
          <w:tcPr>
            <w:tcW w:w="414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51081222T000005565248-非贫困村第一书记工作经费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主管部门</w:t>
            </w: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广元市朝天区粮食和物资储备中心部门</w:t>
            </w:r>
          </w:p>
        </w:tc>
        <w:tc>
          <w:tcPr>
            <w:tcW w:w="571"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4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年初预算</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总额</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0.40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0.40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0.40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0.40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单位资金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其他资金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一级指标</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二级指标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三级指标</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指标性质</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指标值</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度量单位</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完成值</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93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合计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评价结论</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存在问题</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改进措施</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项目负责人：李治国</w:t>
            </w:r>
          </w:p>
        </w:tc>
        <w:tc>
          <w:tcPr>
            <w:tcW w:w="259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财务负责人：甘丽莉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eastAsia"/>
                <w:szCs w:val="20"/>
              </w:rPr>
            </w:pPr>
            <w:r>
              <w:rPr>
                <w:rFonts w:hint="eastAsia"/>
                <w:lang w:val="en-US" w:eastAsia="zh-CN"/>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项目名称</w:t>
            </w:r>
          </w:p>
        </w:tc>
        <w:tc>
          <w:tcPr>
            <w:tcW w:w="414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51081222T000005942419-2500吨地方储备粮保管费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主管部门</w:t>
            </w: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广元市朝天区粮食和物资储备中心部门</w:t>
            </w:r>
          </w:p>
        </w:tc>
        <w:tc>
          <w:tcPr>
            <w:tcW w:w="571"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粮食储备管理（小麦1500吨，稻谷1000吨），保证数量真实，质量良好和储存安全，有效发挥区级储备粮在保障安全中的作用，维护粮食市场稳定。结合我区实际，按照储备粮管理相关要求，实施储备粮管理项目。主要用于：二次运输费、装卸费及保管员工资、熏蒸杀虫药品、日常管理费、机械设施维护保养费等。2021年初预算区级储备粮管理项目管理费25万元。</w:t>
            </w: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4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年初预算</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总额</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25.00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25.00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25.00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25.00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25.00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25.00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单位资金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其他资金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一级指标</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二级指标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三级指标</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指标性质</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指标值</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度量单位</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完成值</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产出指标</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数量指标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粮食库房管理员</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元/人·次</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通风设备和托盘采购等</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个（套）</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粮食熏蒸杀虫药品及库房外围消杀</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40</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吨</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地方储备粮数量</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2500</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吨</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质量指标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地方储备粮储存合格率</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时效指标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完成时间</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2022</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成本指标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机械维护保养费及通风设施</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96000</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元/台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粮食质量检测费</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21500</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元/人·次</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保管人员工资2人，保险</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125000</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元/人年</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粮食杀虫放药及零工工资</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7500</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元/人·次</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效益指标</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经济效益指标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通过粮食储备保障对突发灾害提供保障</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社会效益指标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对粮食保管工作的促进作用</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80</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可持续发展指标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储备粮管理年限</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3</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93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合计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评价结论</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存在问题</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改进措施</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项目负责人：李治国</w:t>
            </w:r>
          </w:p>
        </w:tc>
        <w:tc>
          <w:tcPr>
            <w:tcW w:w="259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财务负责人：甘丽莉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eastAsia"/>
                <w:szCs w:val="20"/>
              </w:rPr>
            </w:pPr>
            <w:r>
              <w:rPr>
                <w:rFonts w:hint="eastAsia"/>
                <w:lang w:val="en-US" w:eastAsia="zh-CN"/>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项目名称</w:t>
            </w:r>
          </w:p>
        </w:tc>
        <w:tc>
          <w:tcPr>
            <w:tcW w:w="414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51081222T000005942428-2021年地方储备粮轮换价差费用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主管部门</w:t>
            </w: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广元市朝天区粮食和物资储备中心部门</w:t>
            </w:r>
          </w:p>
        </w:tc>
        <w:tc>
          <w:tcPr>
            <w:tcW w:w="571"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地方储备粮每三年轮换一次，1000吨小麦，小麦价差30万，500吨稻谷价差25.6万</w:t>
            </w: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4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年初预算</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总额</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55.60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55.60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55.60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55.60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55.60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55.60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单位资金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其他资金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一级指标</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二级指标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三级指标</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指标性质</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指标值</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度量单位</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完成值</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产出指标</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数量指标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储备粮储存合格率</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小麦轮换数量</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吨</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稻谷轮换数量</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500</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吨</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时效指标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储备补贴完成时间</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定性</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高中低</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成本指标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小麦轮换价差费用</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30</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万</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稻谷轮换价差费用</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25.6</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万</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效益指标</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经济效益指标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减少粮库损失</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80</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社会效益指标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保障粮库储粮安全</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80</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轮换过程中产生灰尘</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80</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满意度指标</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服务对象满意度指标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社会群众满意度</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90</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93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合计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评价结论</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200" w:firstLineChars="100"/>
              <w:textAlignment w:val="auto"/>
              <w:rPr>
                <w:rFonts w:hint="eastAsia"/>
                <w:sz w:val="20"/>
                <w:szCs w:val="20"/>
              </w:rPr>
            </w:pPr>
            <w:r>
              <w:rPr>
                <w:rFonts w:hint="eastAsia"/>
                <w:sz w:val="20"/>
                <w:szCs w:val="20"/>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存在问题</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eastAsia="仿宋_GB2312"/>
                <w:sz w:val="20"/>
                <w:szCs w:val="20"/>
                <w:lang w:eastAsia="zh-CN"/>
              </w:rPr>
            </w:pPr>
            <w:r>
              <w:rPr>
                <w:rFonts w:hint="eastAsia"/>
                <w:sz w:val="20"/>
                <w:szCs w:val="20"/>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改进措施</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eastAsia="仿宋_GB2312"/>
                <w:sz w:val="20"/>
                <w:szCs w:val="20"/>
                <w:lang w:eastAsia="zh-CN"/>
              </w:rPr>
            </w:pPr>
            <w:r>
              <w:rPr>
                <w:rFonts w:hint="eastAsia"/>
                <w:sz w:val="20"/>
                <w:szCs w:val="20"/>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项目负责人：李治国</w:t>
            </w:r>
          </w:p>
        </w:tc>
        <w:tc>
          <w:tcPr>
            <w:tcW w:w="259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财务负责人：甘丽莉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eastAsia"/>
                <w:szCs w:val="20"/>
              </w:rPr>
            </w:pPr>
            <w:r>
              <w:rPr>
                <w:rFonts w:hint="eastAsia"/>
                <w:lang w:val="en-US" w:eastAsia="zh-CN"/>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项目名称</w:t>
            </w:r>
          </w:p>
        </w:tc>
        <w:tc>
          <w:tcPr>
            <w:tcW w:w="414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51081222T000005942443-2022年小包装大米及菜籽油轮换费用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主管部门</w:t>
            </w:r>
          </w:p>
        </w:tc>
        <w:tc>
          <w:tcPr>
            <w:tcW w:w="300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广元市朝天区粮食和物资储备中心部门</w:t>
            </w:r>
          </w:p>
        </w:tc>
        <w:tc>
          <w:tcPr>
            <w:tcW w:w="571"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4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年初预算</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0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总额</w:t>
            </w: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7.68</w:t>
            </w:r>
          </w:p>
        </w:tc>
        <w:tc>
          <w:tcPr>
            <w:tcW w:w="10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7.68</w:t>
            </w:r>
          </w:p>
        </w:tc>
        <w:tc>
          <w:tcPr>
            <w:tcW w:w="10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0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单位资金</w:t>
            </w: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0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其他资金</w:t>
            </w: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10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一级指标</w:t>
            </w: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二级指标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三级指标</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指标性质</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指标值</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度量单位</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完成值</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93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合计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评价结论</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存在问题</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改进措施</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项目负责人：李治国</w:t>
            </w:r>
          </w:p>
        </w:tc>
        <w:tc>
          <w:tcPr>
            <w:tcW w:w="259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财务负责人：甘丽莉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eastAsia"/>
                <w:szCs w:val="20"/>
              </w:rPr>
            </w:pPr>
            <w:r>
              <w:rPr>
                <w:rFonts w:hint="eastAsia"/>
                <w:lang w:val="en-US" w:eastAsia="zh-CN"/>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项目名称</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51081222T000005942446-小包装保管费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主管部门</w:t>
            </w:r>
          </w:p>
        </w:tc>
        <w:tc>
          <w:tcPr>
            <w:tcW w:w="300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广元市朝天区粮食和物资储备中心部门</w:t>
            </w:r>
          </w:p>
        </w:tc>
        <w:tc>
          <w:tcPr>
            <w:tcW w:w="571"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小包装大米，菜籽油保管，保证数量真实，质量良好储存安全，有效发挥区级储备粮在保障安全中的作用，维护粮食市场稳定，小包装保管费，大米200吨，标准400元一吨，菜籽油40吨，标准850一吨。</w:t>
            </w: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4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年初预算</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0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总额</w:t>
            </w: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11.40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11.40</w:t>
            </w:r>
          </w:p>
        </w:tc>
        <w:tc>
          <w:tcPr>
            <w:tcW w:w="10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1.36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11.93%</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11.40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11.40</w:t>
            </w:r>
          </w:p>
        </w:tc>
        <w:tc>
          <w:tcPr>
            <w:tcW w:w="10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1.36</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11.93%</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0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单位资金</w:t>
            </w: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0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其他资金</w:t>
            </w: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109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一级指标</w:t>
            </w: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二级指标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三级指标</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指标性质</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指标值</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度量单位</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完成值</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产出指标</w:t>
            </w:r>
          </w:p>
        </w:tc>
        <w:tc>
          <w:tcPr>
            <w:tcW w:w="56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数量指标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大米储备数</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吨</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粮食熏蒸杀药品及库房外围消杀</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40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公斤</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仓库保管员</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元/人年</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菜籽油储备数</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40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吨</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质量指标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通风设备和托盘采购</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元/个</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时效指标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完成时间</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定性</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高中低</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6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成本指标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粮食杀虫放药等零工工资</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7500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元/月</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机械设施维护保养费</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元/个</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保管员工资</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37500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元/人年</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6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粮食质量检测费</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21500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元/人·次</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效益指标</w:t>
            </w: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社会效益指标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对粮食保管工作促进作用</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可持续影响指标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储备粮管理</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定性</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高中低</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满意度指标</w:t>
            </w:r>
          </w:p>
        </w:tc>
        <w:tc>
          <w:tcPr>
            <w:tcW w:w="5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服务对象满意度指标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地方储备粮管理部门满意度</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80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93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合计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评价结论</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存在问题</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eastAsia="仿宋_GB2312"/>
                <w:sz w:val="20"/>
                <w:szCs w:val="20"/>
                <w:lang w:eastAsia="zh-CN"/>
              </w:rPr>
            </w:pPr>
            <w:r>
              <w:rPr>
                <w:rFonts w:hint="eastAsia"/>
                <w:sz w:val="20"/>
                <w:szCs w:val="20"/>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改进措施</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eastAsia="仿宋_GB2312"/>
                <w:sz w:val="20"/>
                <w:szCs w:val="20"/>
                <w:lang w:eastAsia="zh-CN"/>
              </w:rPr>
            </w:pPr>
            <w:r>
              <w:rPr>
                <w:rFonts w:hint="eastAsia"/>
                <w:sz w:val="20"/>
                <w:szCs w:val="20"/>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项目负责人：李治国</w:t>
            </w:r>
          </w:p>
        </w:tc>
        <w:tc>
          <w:tcPr>
            <w:tcW w:w="259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财务负责人：甘丽莉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eastAsia"/>
                <w:szCs w:val="20"/>
              </w:rPr>
            </w:pPr>
            <w:r>
              <w:rPr>
                <w:rFonts w:hint="eastAsia"/>
                <w:lang w:val="en-US" w:eastAsia="zh-CN"/>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项目名称</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51081222T000005945803-2021年小麦、稻谷轮换费用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主管部门</w:t>
            </w:r>
          </w:p>
        </w:tc>
        <w:tc>
          <w:tcPr>
            <w:tcW w:w="3003"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广元市朝天区粮食和物资储备中心部门</w:t>
            </w:r>
          </w:p>
        </w:tc>
        <w:tc>
          <w:tcPr>
            <w:tcW w:w="571"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2" w:type="pct"/>
            <w:vMerge w:val="restart"/>
            <w:tcBorders>
              <w:top w:val="single" w:color="000000" w:sz="4" w:space="0"/>
              <w:left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地方储备粮轮换费用，每三年轮换一次，1000吨小麦，500吨稻谷，轮换费用均120元一吨。</w:t>
            </w: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4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年初预算</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总额</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18.00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18.00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18.00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eastAsia="仿宋_GB2312"/>
                <w:sz w:val="20"/>
                <w:szCs w:val="20"/>
                <w:lang w:eastAsia="zh-CN"/>
              </w:rPr>
            </w:pPr>
            <w:r>
              <w:rPr>
                <w:rFonts w:hint="eastAsia"/>
                <w:sz w:val="20"/>
                <w:szCs w:val="20"/>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18.00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18.00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18.00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单位资金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其他资金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一级指标</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二级指标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三级指标</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指标性质</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指标值</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度量单位</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完成值</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产出指标</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数量指标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小麦轮换数量</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吨</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稻谷轮换数量</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500</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吨</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质量指标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储备粮储存合格率</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时效指标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完成时间</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定性</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高中低</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成本指标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小麦轮换费用</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12</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万</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稻谷轮换费用</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6</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万</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效益指标</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经济效益指标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减少粮库损失</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90</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社会效益指标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保障粮库储粮安全</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90</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轮换过程中产生灰尘</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80</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满意度指标</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服务对象满意度指标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社会群众满意度</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90</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93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合计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评价结论</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存在问题</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改进措施</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项目负责人：李治国</w:t>
            </w:r>
          </w:p>
        </w:tc>
        <w:tc>
          <w:tcPr>
            <w:tcW w:w="259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财务负责人：甘丽莉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eastAsia"/>
                <w:szCs w:val="20"/>
              </w:rPr>
            </w:pPr>
            <w:r>
              <w:rPr>
                <w:rFonts w:hint="eastAsia"/>
                <w:lang w:val="en-US" w:eastAsia="zh-CN"/>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项目名称</w:t>
            </w:r>
          </w:p>
        </w:tc>
        <w:tc>
          <w:tcPr>
            <w:tcW w:w="414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51081222T000006573137-国家石油储备基地建设项目前期工作经费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主管部门</w:t>
            </w: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广元市朝天区粮食和物资储备中心部门</w:t>
            </w:r>
          </w:p>
        </w:tc>
        <w:tc>
          <w:tcPr>
            <w:tcW w:w="571"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4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年初预算</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总额</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eastAsia="仿宋_GB2312"/>
                <w:sz w:val="20"/>
                <w:szCs w:val="20"/>
                <w:lang w:eastAsia="zh-CN"/>
              </w:rPr>
            </w:pPr>
            <w:r>
              <w:rPr>
                <w:rFonts w:hint="eastAsia"/>
                <w:sz w:val="20"/>
                <w:szCs w:val="20"/>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单位资金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其他资金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一级指标</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二级指标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三级指标</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指标性质</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指标值</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度量单位</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完成值</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93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合计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评价结论</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存在问题</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改进措施</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项目负责人：李治国</w:t>
            </w:r>
          </w:p>
        </w:tc>
        <w:tc>
          <w:tcPr>
            <w:tcW w:w="259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财务负责人：甘丽莉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2"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gridSpan w:val="2"/>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08" w:type="pct"/>
            <w:gridSpan w:val="2"/>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50" w:type="pct"/>
            <w:gridSpan w:val="2"/>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eastAsia"/>
                <w:szCs w:val="20"/>
              </w:rPr>
            </w:pPr>
            <w:r>
              <w:rPr>
                <w:rFonts w:hint="eastAsia"/>
                <w:lang w:val="en-US" w:eastAsia="zh-CN"/>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项目名称</w:t>
            </w:r>
          </w:p>
        </w:tc>
        <w:tc>
          <w:tcPr>
            <w:tcW w:w="414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51081222T000006776142-2021年储备成品粮油小包装保管及轮换费（大米、菜籽油）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主管部门</w:t>
            </w: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广元市朝天区粮食和物资储备中心部门</w:t>
            </w:r>
          </w:p>
        </w:tc>
        <w:tc>
          <w:tcPr>
            <w:tcW w:w="571"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4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年初预算</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总额</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10.87</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10.87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10.87</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10.87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单位资金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其他资金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一级指标</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二级指标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三级指标</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指标性质</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指标值</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度量单位</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完成值</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93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合计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评价结论</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存在问题</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改进措施</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项目负责人：李治国</w:t>
            </w:r>
          </w:p>
        </w:tc>
        <w:tc>
          <w:tcPr>
            <w:tcW w:w="259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财务负责人：甘丽莉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2"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gridSpan w:val="2"/>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08" w:type="pct"/>
            <w:gridSpan w:val="2"/>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50" w:type="pct"/>
            <w:gridSpan w:val="2"/>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eastAsia"/>
                <w:szCs w:val="20"/>
              </w:rPr>
            </w:pPr>
            <w:r>
              <w:rPr>
                <w:rFonts w:hint="eastAsia"/>
                <w:lang w:val="en-US" w:eastAsia="zh-CN"/>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项目名称</w:t>
            </w:r>
          </w:p>
        </w:tc>
        <w:tc>
          <w:tcPr>
            <w:tcW w:w="414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51081222T000006776172-2000吨地方储备粮保管费（2021年）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主管部门</w:t>
            </w: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广元市朝天区粮食和物资储备中心部门</w:t>
            </w:r>
          </w:p>
        </w:tc>
        <w:tc>
          <w:tcPr>
            <w:tcW w:w="571"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4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年初预算</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总额</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单位资金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其他资金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一级指标</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二级指标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三级指标</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指标性质</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指标值</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度量单位</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完成值</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93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合计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评价结论</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存在问题</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改进措施</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项目负责人：李治国</w:t>
            </w:r>
          </w:p>
        </w:tc>
        <w:tc>
          <w:tcPr>
            <w:tcW w:w="259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财务负责人：甘丽莉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2"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gridSpan w:val="2"/>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08" w:type="pct"/>
            <w:gridSpan w:val="2"/>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50" w:type="pct"/>
            <w:gridSpan w:val="2"/>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eastAsia"/>
                <w:szCs w:val="20"/>
              </w:rPr>
            </w:pPr>
            <w:r>
              <w:rPr>
                <w:rFonts w:hint="eastAsia"/>
                <w:lang w:val="en-US" w:eastAsia="zh-CN"/>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项目名称</w:t>
            </w:r>
          </w:p>
        </w:tc>
        <w:tc>
          <w:tcPr>
            <w:tcW w:w="414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51081222T000006776613-2021年夏粮（小麦）重金属镉超标回收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主管部门</w:t>
            </w: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广元市朝天区粮食和物资储备中心部门</w:t>
            </w:r>
          </w:p>
        </w:tc>
        <w:tc>
          <w:tcPr>
            <w:tcW w:w="571"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4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年初预算</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总额</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0.15</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0.15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0.15</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0.15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单位资金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其他资金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一级指标</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二级指标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三级指标</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指标性质</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指标值</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度量单位</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完成值</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93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合计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评价结论</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存在问题</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改进措施</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项目负责人：李治国</w:t>
            </w:r>
          </w:p>
        </w:tc>
        <w:tc>
          <w:tcPr>
            <w:tcW w:w="259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财务负责人：甘丽莉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2"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gridSpan w:val="2"/>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08" w:type="pct"/>
            <w:gridSpan w:val="2"/>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50" w:type="pct"/>
            <w:gridSpan w:val="2"/>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eastAsia"/>
                <w:szCs w:val="20"/>
              </w:rPr>
            </w:pPr>
            <w:r>
              <w:rPr>
                <w:rFonts w:hint="eastAsia"/>
                <w:lang w:val="en-US" w:eastAsia="zh-CN"/>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项目名称</w:t>
            </w:r>
          </w:p>
        </w:tc>
        <w:tc>
          <w:tcPr>
            <w:tcW w:w="414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51081222T000006776650-粮库洪灾水毁修建资金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主管部门</w:t>
            </w: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广元市朝天区粮食和物资储备中心部门</w:t>
            </w:r>
          </w:p>
        </w:tc>
        <w:tc>
          <w:tcPr>
            <w:tcW w:w="571"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4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年初预算</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总额</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25.00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25.00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25.00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25.00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单位资金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其他资金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一级指标</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二级指标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三级指标</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指标性质</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指标值</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度量单位</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完成值</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93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合计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评价结论</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存在问题</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改进措施</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项目负责人：李治国</w:t>
            </w:r>
          </w:p>
        </w:tc>
        <w:tc>
          <w:tcPr>
            <w:tcW w:w="259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财务负责人：甘丽莉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2"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gridSpan w:val="2"/>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08" w:type="pct"/>
            <w:gridSpan w:val="2"/>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50" w:type="pct"/>
            <w:gridSpan w:val="2"/>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eastAsia"/>
                <w:szCs w:val="20"/>
              </w:rPr>
            </w:pPr>
            <w:r>
              <w:rPr>
                <w:rFonts w:hint="eastAsia"/>
                <w:lang w:val="en-US" w:eastAsia="zh-CN"/>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项目名称</w:t>
            </w:r>
          </w:p>
        </w:tc>
        <w:tc>
          <w:tcPr>
            <w:tcW w:w="414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51081222T000006786058-2021年地方储备粮轮换价差（11.15万元）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主管部门</w:t>
            </w: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广元市朝天区粮食和物资储备中心部门</w:t>
            </w:r>
          </w:p>
        </w:tc>
        <w:tc>
          <w:tcPr>
            <w:tcW w:w="571"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4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年初预算</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总额</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11.15</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11.15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11.15</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11.15</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单位资金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其他资金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一级指标</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二级指标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三级指标</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指标性质</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指标值</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度量单位</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完成值</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93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合计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评价结论</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存在问题</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改进措施</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项目负责人：李治国</w:t>
            </w:r>
          </w:p>
        </w:tc>
        <w:tc>
          <w:tcPr>
            <w:tcW w:w="259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财务负责人：甘丽莉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2"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gridSpan w:val="2"/>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jc w:val="left"/>
              <w:textAlignment w:val="auto"/>
              <w:rPr>
                <w:rFonts w:hint="eastAsia"/>
                <w:sz w:val="20"/>
                <w:szCs w:val="20"/>
              </w:rPr>
            </w:pPr>
          </w:p>
        </w:tc>
        <w:tc>
          <w:tcPr>
            <w:tcW w:w="508" w:type="pct"/>
            <w:gridSpan w:val="2"/>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50" w:type="pct"/>
            <w:gridSpan w:val="2"/>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jc w:val="center"/>
              <w:rPr>
                <w:rFonts w:hint="eastAsia"/>
                <w:szCs w:val="20"/>
              </w:rPr>
            </w:pPr>
            <w:r>
              <w:rPr>
                <w:rFonts w:hint="eastAsia"/>
                <w:lang w:val="en-US" w:eastAsia="zh-CN"/>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项目名称</w:t>
            </w:r>
          </w:p>
        </w:tc>
        <w:tc>
          <w:tcPr>
            <w:tcW w:w="414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51081222T000007363669-2022年促进粮油产业高质量发展项目（粮食仓储设施升级改造）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主管部门</w:t>
            </w: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广元市朝天区粮食和物资储备中心部门</w:t>
            </w:r>
          </w:p>
        </w:tc>
        <w:tc>
          <w:tcPr>
            <w:tcW w:w="571"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4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年初预算</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总额</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65.00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65.00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65.00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65.00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单位资金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其他资金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一级指标</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二级指标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三级指标</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指标性质</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指标值</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度量单位</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完成值</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93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合计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评价结论</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存在问题</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改进措施</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项目负责人：李治国</w:t>
            </w:r>
          </w:p>
        </w:tc>
        <w:tc>
          <w:tcPr>
            <w:tcW w:w="259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财务负责人：甘丽莉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2"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gridSpan w:val="2"/>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08" w:type="pct"/>
            <w:gridSpan w:val="2"/>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50" w:type="pct"/>
            <w:gridSpan w:val="2"/>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eastAsia"/>
                <w:szCs w:val="20"/>
              </w:rPr>
            </w:pPr>
            <w:r>
              <w:rPr>
                <w:rFonts w:hint="eastAsia"/>
                <w:lang w:val="en-US" w:eastAsia="zh-CN"/>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项目名称</w:t>
            </w:r>
          </w:p>
        </w:tc>
        <w:tc>
          <w:tcPr>
            <w:tcW w:w="414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主管部门</w:t>
            </w: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广元市朝天区粮食和物资储备中心部门</w:t>
            </w:r>
          </w:p>
        </w:tc>
        <w:tc>
          <w:tcPr>
            <w:tcW w:w="571"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提高预算编制质量，严格执行预算，保障单位日常运转。</w:t>
            </w: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4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年初预算</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总额</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12.00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11.57</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11.47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99.09%</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12.00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11.57</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11.47</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99.09%</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单位资金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其他资金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5"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一级指标</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二级指标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三级指标</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指标性质</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指标值</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度量单位</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完成值</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产出指标</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数量指标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科目调整次数</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次</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质量指标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预算编制准确率（计算方法为：∣（执行数-预算数）/预算数∣）</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30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30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效益指标</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经济效益指标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“三公经费”控制率[计算方法为：（三公经费实际支出数/预算安排数]×100%）</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社会效益指标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运转保障率</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93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合计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评价结论</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存在问题</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改进措施</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项目负责人：李治国</w:t>
            </w:r>
          </w:p>
        </w:tc>
        <w:tc>
          <w:tcPr>
            <w:tcW w:w="259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财务负责人：甘丽莉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2"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gridSpan w:val="2"/>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08" w:type="pct"/>
            <w:gridSpan w:val="2"/>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50" w:type="pct"/>
            <w:gridSpan w:val="2"/>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bidi w:val="0"/>
              <w:rPr>
                <w:rFonts w:hint="eastAsia"/>
                <w:szCs w:val="20"/>
              </w:rPr>
            </w:pPr>
            <w:r>
              <w:rPr>
                <w:rFonts w:hint="eastAsia"/>
                <w:lang w:val="en-US" w:eastAsia="zh-CN"/>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项目名称</w:t>
            </w:r>
          </w:p>
        </w:tc>
        <w:tc>
          <w:tcPr>
            <w:tcW w:w="414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51081223T000007810308-追加2021年夏粮（小麦）重金属镉超标回收费用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主管部门</w:t>
            </w: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广元市朝天区粮食和物资储备中心部门</w:t>
            </w:r>
          </w:p>
        </w:tc>
        <w:tc>
          <w:tcPr>
            <w:tcW w:w="571" w:type="pct"/>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实施单位 （盖章）</w:t>
            </w:r>
          </w:p>
        </w:tc>
        <w:tc>
          <w:tcPr>
            <w:tcW w:w="10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广元市朝天区粮食和物资储备中心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项目基本情况</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1.项目年度目标完成情况</w:t>
            </w: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项目年度目标</w:t>
            </w: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251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16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2.项目实施内容及过程概述</w:t>
            </w:r>
          </w:p>
        </w:tc>
        <w:tc>
          <w:tcPr>
            <w:tcW w:w="414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预算执行情况（10分）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年度预算数（万元）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年初预算</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调整后预算数</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预算执行数</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预算执行率</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总额</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2.64</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2.64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其中：财政资金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2.64</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2.64</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财政专户管理资金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单位资金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0.00%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其他资金</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12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w:t>
            </w: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绩效指标（90分）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一级指标</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二级指标</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三级指标</w:t>
            </w: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指标性质</w:t>
            </w: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指标值</w:t>
            </w: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度量单位</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完成值</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权重</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得分</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4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93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合计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评价结论</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项目实施达到了预期的经济效益、社会效益，绩效目标完全实现，为我局在下一年工作推进和预算安排上提供了对比数据。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存在问题</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改进措施</w:t>
            </w:r>
          </w:p>
        </w:tc>
        <w:tc>
          <w:tcPr>
            <w:tcW w:w="463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40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项目负责人：李治国</w:t>
            </w:r>
          </w:p>
        </w:tc>
        <w:tc>
          <w:tcPr>
            <w:tcW w:w="259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ind w:firstLine="0" w:firstLineChars="0"/>
              <w:textAlignment w:val="auto"/>
              <w:rPr>
                <w:rFonts w:hint="eastAsia"/>
                <w:sz w:val="20"/>
                <w:szCs w:val="20"/>
              </w:rPr>
            </w:pPr>
            <w:r>
              <w:rPr>
                <w:rFonts w:hint="eastAsia"/>
                <w:sz w:val="20"/>
                <w:szCs w:val="20"/>
                <w:lang w:val="en-US" w:eastAsia="zh-CN"/>
              </w:rPr>
              <w:t>财务负责人：甘丽莉</w:t>
            </w:r>
          </w:p>
        </w:tc>
      </w:tr>
    </w:tbl>
    <w:p>
      <w:pPr>
        <w:jc w:val="center"/>
        <w:rPr>
          <w:rFonts w:hint="eastAsia" w:ascii="宋体" w:hAnsi="宋体" w:eastAsia="宋体" w:cs="Arial"/>
          <w:b/>
          <w:bCs/>
          <w:sz w:val="44"/>
          <w:szCs w:val="44"/>
        </w:rPr>
      </w:pPr>
      <w:r>
        <w:rPr>
          <w:rFonts w:hint="eastAsia" w:ascii="宋体" w:hAnsi="宋体" w:eastAsia="宋体" w:cs="Arial"/>
          <w:b/>
          <w:bCs/>
          <w:sz w:val="44"/>
          <w:szCs w:val="44"/>
          <w:lang w:val="en-US" w:eastAsia="zh-CN"/>
        </w:rPr>
        <w:t>2500吨储备粮管理</w:t>
      </w:r>
      <w:r>
        <w:rPr>
          <w:rFonts w:hint="eastAsia" w:ascii="宋体" w:hAnsi="宋体" w:eastAsia="宋体" w:cs="Arial"/>
          <w:b/>
          <w:bCs/>
          <w:sz w:val="44"/>
          <w:szCs w:val="44"/>
        </w:rPr>
        <w:t>项目支出</w:t>
      </w:r>
      <w:r>
        <w:rPr>
          <w:rFonts w:ascii="宋体" w:hAnsi="宋体" w:eastAsia="宋体" w:cs="Arial"/>
          <w:b/>
          <w:bCs/>
          <w:sz w:val="44"/>
          <w:szCs w:val="44"/>
        </w:rPr>
        <w:t>绩效</w:t>
      </w:r>
      <w:r>
        <w:rPr>
          <w:rFonts w:hint="eastAsia" w:ascii="宋体" w:hAnsi="宋体" w:eastAsia="宋体" w:cs="Arial"/>
          <w:b/>
          <w:bCs/>
          <w:sz w:val="44"/>
          <w:szCs w:val="44"/>
        </w:rPr>
        <w:t>评价</w:t>
      </w:r>
    </w:p>
    <w:p>
      <w:pPr>
        <w:jc w:val="center"/>
        <w:rPr>
          <w:rFonts w:ascii="仿宋_GB2312"/>
        </w:rPr>
      </w:pPr>
      <w:r>
        <w:rPr>
          <w:rFonts w:hint="eastAsia" w:ascii="宋体" w:hAnsi="宋体" w:eastAsia="宋体" w:cs="Arial"/>
          <w:b/>
          <w:bCs/>
          <w:sz w:val="44"/>
          <w:szCs w:val="44"/>
        </w:rPr>
        <w:t>报</w:t>
      </w:r>
      <w:r>
        <w:rPr>
          <w:rFonts w:hint="eastAsia" w:ascii="宋体" w:hAnsi="宋体" w:eastAsia="宋体" w:cs="Arial"/>
          <w:b/>
          <w:bCs/>
          <w:sz w:val="44"/>
          <w:szCs w:val="44"/>
          <w:lang w:val="en-US" w:eastAsia="zh-CN"/>
        </w:rPr>
        <w:t xml:space="preserve">  </w:t>
      </w:r>
      <w:r>
        <w:rPr>
          <w:rFonts w:hint="eastAsia" w:ascii="宋体" w:hAnsi="宋体" w:eastAsia="宋体" w:cs="Arial"/>
          <w:b/>
          <w:bCs/>
          <w:sz w:val="44"/>
          <w:szCs w:val="44"/>
        </w:rPr>
        <w:t>告</w:t>
      </w:r>
    </w:p>
    <w:p>
      <w:pPr>
        <w:widowControl/>
        <w:spacing w:line="578" w:lineRule="exact"/>
        <w:ind w:firstLine="564" w:firstLineChars="188"/>
        <w:jc w:val="left"/>
        <w:rPr>
          <w:rFonts w:hint="eastAsia" w:ascii="仿宋" w:hAnsi="仿宋" w:eastAsia="黑体" w:cs="宋体"/>
          <w:kern w:val="0"/>
          <w:sz w:val="30"/>
          <w:szCs w:val="30"/>
          <w:lang w:eastAsia="zh-CN"/>
        </w:rPr>
      </w:pPr>
      <w:r>
        <w:rPr>
          <w:rFonts w:hint="eastAsia" w:ascii="黑体" w:hAnsi="黑体" w:eastAsia="黑体"/>
          <w:sz w:val="30"/>
          <w:szCs w:val="30"/>
        </w:rPr>
        <w:t>一、项目</w:t>
      </w:r>
      <w:r>
        <w:rPr>
          <w:rFonts w:hint="eastAsia" w:ascii="黑体" w:hAnsi="黑体" w:eastAsia="黑体"/>
          <w:sz w:val="30"/>
          <w:szCs w:val="30"/>
          <w:lang w:eastAsia="zh-CN"/>
        </w:rPr>
        <w:t>概况</w:t>
      </w:r>
    </w:p>
    <w:p>
      <w:pPr>
        <w:widowControl/>
        <w:spacing w:line="578" w:lineRule="exact"/>
        <w:ind w:firstLine="564" w:firstLineChars="188"/>
        <w:jc w:val="left"/>
        <w:rPr>
          <w:rFonts w:hint="eastAsia" w:ascii="仿宋_GB2312"/>
          <w:sz w:val="30"/>
          <w:szCs w:val="30"/>
        </w:rPr>
      </w:pPr>
      <w:r>
        <w:rPr>
          <w:rFonts w:hint="eastAsia" w:ascii="仿宋_GB2312"/>
          <w:sz w:val="30"/>
          <w:szCs w:val="30"/>
        </w:rPr>
        <w:t>（一）项目基本情况。</w:t>
      </w:r>
    </w:p>
    <w:p>
      <w:pPr>
        <w:widowControl/>
        <w:spacing w:line="578" w:lineRule="exact"/>
        <w:ind w:firstLine="564" w:firstLineChars="188"/>
        <w:jc w:val="left"/>
        <w:rPr>
          <w:rFonts w:hint="eastAsia" w:ascii="仿宋_GB2312" w:cs="宋体"/>
          <w:kern w:val="0"/>
          <w:sz w:val="30"/>
          <w:szCs w:val="30"/>
          <w:lang w:val="en-US" w:eastAsia="zh-CN"/>
        </w:rPr>
      </w:pPr>
      <w:r>
        <w:rPr>
          <w:rFonts w:hint="eastAsia" w:ascii="仿宋_GB2312"/>
          <w:sz w:val="30"/>
          <w:szCs w:val="30"/>
          <w:lang w:eastAsia="zh-CN"/>
        </w:rPr>
        <w:t>区级粮食储备管理，保证数量真实，质量良好和储存安全，有效发挥区级储备粮在保障安全中的作用，维护粮食市场稳定。</w:t>
      </w:r>
      <w:r>
        <w:rPr>
          <w:rFonts w:hint="eastAsia" w:ascii="仿宋_GB2312"/>
          <w:sz w:val="30"/>
          <w:szCs w:val="30"/>
        </w:rPr>
        <w:t>结合我区实际，按照</w:t>
      </w:r>
      <w:r>
        <w:rPr>
          <w:rFonts w:hint="eastAsia" w:ascii="仿宋_GB2312"/>
          <w:sz w:val="30"/>
          <w:szCs w:val="30"/>
          <w:lang w:eastAsia="zh-CN"/>
        </w:rPr>
        <w:t>储备粮管理</w:t>
      </w:r>
      <w:r>
        <w:rPr>
          <w:rFonts w:hint="eastAsia" w:ascii="仿宋_GB2312"/>
          <w:sz w:val="30"/>
          <w:szCs w:val="30"/>
        </w:rPr>
        <w:t>相关要求，实施</w:t>
      </w:r>
      <w:r>
        <w:rPr>
          <w:rFonts w:hint="eastAsia" w:ascii="仿宋_GB2312"/>
          <w:sz w:val="30"/>
          <w:szCs w:val="30"/>
          <w:lang w:eastAsia="zh-CN"/>
        </w:rPr>
        <w:t>储备粮管理</w:t>
      </w:r>
      <w:r>
        <w:rPr>
          <w:rFonts w:hint="eastAsia" w:ascii="仿宋_GB2312" w:cs="宋体"/>
          <w:kern w:val="0"/>
          <w:sz w:val="30"/>
          <w:szCs w:val="30"/>
        </w:rPr>
        <w:t>项目。</w:t>
      </w:r>
      <w:r>
        <w:rPr>
          <w:rFonts w:hint="eastAsia" w:ascii="仿宋_GB2312" w:cs="宋体"/>
          <w:kern w:val="0"/>
          <w:sz w:val="30"/>
          <w:szCs w:val="30"/>
          <w:lang w:val="en-US" w:eastAsia="zh-CN"/>
        </w:rPr>
        <w:t xml:space="preserve"> </w:t>
      </w:r>
    </w:p>
    <w:p>
      <w:pPr>
        <w:widowControl/>
        <w:spacing w:line="578" w:lineRule="exact"/>
        <w:ind w:firstLine="564" w:firstLineChars="188"/>
        <w:jc w:val="left"/>
        <w:rPr>
          <w:rFonts w:ascii="仿宋" w:hAnsi="仿宋" w:eastAsia="仿宋" w:cs="宋体"/>
          <w:kern w:val="0"/>
          <w:sz w:val="30"/>
          <w:szCs w:val="30"/>
        </w:rPr>
      </w:pPr>
      <w:r>
        <w:rPr>
          <w:rFonts w:hint="eastAsia" w:ascii="仿宋" w:hAnsi="仿宋" w:eastAsia="仿宋" w:cs="宋体"/>
          <w:kern w:val="0"/>
          <w:sz w:val="30"/>
          <w:szCs w:val="30"/>
        </w:rPr>
        <w:t>（二）项目预算情况：项目资金预算</w:t>
      </w:r>
      <w:r>
        <w:rPr>
          <w:rFonts w:hint="eastAsia" w:ascii="仿宋" w:hAnsi="仿宋" w:eastAsia="仿宋" w:cs="宋体"/>
          <w:kern w:val="0"/>
          <w:sz w:val="30"/>
          <w:szCs w:val="30"/>
          <w:lang w:val="en-US" w:eastAsia="zh-CN"/>
        </w:rPr>
        <w:t>25万</w:t>
      </w:r>
      <w:r>
        <w:rPr>
          <w:rFonts w:hint="eastAsia" w:ascii="仿宋" w:hAnsi="仿宋" w:eastAsia="仿宋" w:cs="宋体"/>
          <w:kern w:val="0"/>
          <w:sz w:val="30"/>
          <w:szCs w:val="30"/>
        </w:rPr>
        <w:t>；</w:t>
      </w:r>
    </w:p>
    <w:p>
      <w:pPr>
        <w:widowControl/>
        <w:spacing w:line="578" w:lineRule="exact"/>
        <w:ind w:firstLine="564" w:firstLineChars="188"/>
        <w:jc w:val="left"/>
        <w:rPr>
          <w:rFonts w:ascii="仿宋" w:hAnsi="仿宋" w:eastAsia="仿宋" w:cs="宋体"/>
          <w:kern w:val="0"/>
          <w:sz w:val="30"/>
          <w:szCs w:val="30"/>
        </w:rPr>
      </w:pPr>
      <w:r>
        <w:rPr>
          <w:rFonts w:hint="eastAsia" w:ascii="仿宋" w:hAnsi="仿宋" w:eastAsia="仿宋" w:cs="宋体"/>
          <w:kern w:val="0"/>
          <w:sz w:val="30"/>
          <w:szCs w:val="30"/>
        </w:rPr>
        <w:t>（三）</w:t>
      </w:r>
      <w:r>
        <w:rPr>
          <w:rFonts w:hint="eastAsia" w:ascii="仿宋_GB2312"/>
          <w:spacing w:val="-17"/>
          <w:sz w:val="30"/>
          <w:szCs w:val="30"/>
        </w:rPr>
        <w:t>项目绩效目标。</w:t>
      </w:r>
      <w:r>
        <w:rPr>
          <w:rFonts w:hint="eastAsia" w:ascii="仿宋" w:hAnsi="仿宋" w:eastAsia="仿宋" w:cs="宋体"/>
          <w:spacing w:val="-17"/>
          <w:kern w:val="0"/>
          <w:sz w:val="30"/>
          <w:szCs w:val="30"/>
        </w:rPr>
        <w:t>项目预期预算绩效目标和绩效指标设定情况：包括预期总目标及阶段性目标，衡量绩效目标实现程度的评价指标、标准等。</w:t>
      </w:r>
    </w:p>
    <w:p>
      <w:pPr>
        <w:widowControl/>
        <w:spacing w:line="578" w:lineRule="exact"/>
        <w:ind w:firstLine="564" w:firstLineChars="188"/>
        <w:jc w:val="left"/>
        <w:rPr>
          <w:rFonts w:ascii="黑体" w:hAnsi="黑体" w:eastAsia="黑体" w:cs="宋体"/>
          <w:kern w:val="0"/>
          <w:sz w:val="30"/>
          <w:szCs w:val="30"/>
        </w:rPr>
      </w:pPr>
      <w:r>
        <w:rPr>
          <w:rFonts w:hint="eastAsia" w:ascii="黑体" w:hAnsi="黑体" w:eastAsia="黑体"/>
          <w:sz w:val="30"/>
          <w:szCs w:val="30"/>
        </w:rPr>
        <w:t>二、项目</w:t>
      </w:r>
      <w:r>
        <w:rPr>
          <w:rFonts w:hint="eastAsia" w:ascii="黑体" w:hAnsi="黑体" w:eastAsia="黑体" w:cs="宋体"/>
          <w:kern w:val="0"/>
          <w:sz w:val="30"/>
          <w:szCs w:val="30"/>
        </w:rPr>
        <w:t>资金管理情况</w:t>
      </w:r>
    </w:p>
    <w:p>
      <w:pPr>
        <w:ind w:firstLine="600" w:firstLineChars="200"/>
        <w:rPr>
          <w:rFonts w:hint="eastAsia" w:ascii="仿宋_GB2312"/>
          <w:sz w:val="30"/>
          <w:szCs w:val="30"/>
        </w:rPr>
      </w:pPr>
      <w:r>
        <w:rPr>
          <w:rFonts w:hint="eastAsia" w:ascii="仿宋" w:hAnsi="仿宋" w:eastAsia="仿宋" w:cs="宋体"/>
          <w:kern w:val="0"/>
          <w:sz w:val="30"/>
          <w:szCs w:val="30"/>
        </w:rPr>
        <w:t>（一）</w:t>
      </w:r>
      <w:r>
        <w:rPr>
          <w:rFonts w:hint="eastAsia" w:ascii="仿宋_GB2312"/>
          <w:sz w:val="30"/>
          <w:szCs w:val="30"/>
        </w:rPr>
        <w:t>资金计划及到位情况：经上级批准该项目省级专项资金2</w:t>
      </w:r>
      <w:r>
        <w:rPr>
          <w:rFonts w:hint="eastAsia" w:ascii="仿宋_GB2312"/>
          <w:sz w:val="30"/>
          <w:szCs w:val="30"/>
          <w:lang w:val="en-US" w:eastAsia="zh-CN"/>
        </w:rPr>
        <w:t>5</w:t>
      </w:r>
      <w:r>
        <w:rPr>
          <w:rFonts w:hint="eastAsia" w:ascii="仿宋_GB2312"/>
          <w:sz w:val="30"/>
          <w:szCs w:val="30"/>
        </w:rPr>
        <w:t>万元，已到位2</w:t>
      </w:r>
      <w:r>
        <w:rPr>
          <w:rFonts w:hint="eastAsia" w:ascii="仿宋_GB2312"/>
          <w:sz w:val="30"/>
          <w:szCs w:val="30"/>
          <w:lang w:val="en-US" w:eastAsia="zh-CN"/>
        </w:rPr>
        <w:t>5</w:t>
      </w:r>
      <w:r>
        <w:rPr>
          <w:rFonts w:hint="eastAsia" w:ascii="仿宋_GB2312"/>
          <w:sz w:val="30"/>
          <w:szCs w:val="30"/>
        </w:rPr>
        <w:t>万元。</w:t>
      </w:r>
    </w:p>
    <w:p>
      <w:pPr>
        <w:widowControl/>
        <w:spacing w:line="578" w:lineRule="exact"/>
        <w:ind w:firstLine="414" w:firstLineChars="138"/>
        <w:jc w:val="left"/>
        <w:rPr>
          <w:rFonts w:hint="eastAsia" w:ascii="仿宋" w:hAnsi="仿宋" w:eastAsia="仿宋" w:cs="宋体"/>
          <w:kern w:val="0"/>
          <w:sz w:val="30"/>
          <w:szCs w:val="30"/>
        </w:rPr>
      </w:pPr>
      <w:r>
        <w:rPr>
          <w:rFonts w:hint="eastAsia" w:ascii="仿宋" w:hAnsi="仿宋" w:eastAsia="仿宋" w:cs="宋体"/>
          <w:kern w:val="0"/>
          <w:sz w:val="30"/>
          <w:szCs w:val="30"/>
        </w:rPr>
        <w:t>（二）预算资金执行</w:t>
      </w:r>
      <w:r>
        <w:rPr>
          <w:rFonts w:hint="eastAsia" w:ascii="仿宋" w:hAnsi="仿宋" w:eastAsia="仿宋" w:cs="宋体"/>
          <w:kern w:val="0"/>
          <w:sz w:val="30"/>
          <w:szCs w:val="30"/>
          <w:lang w:val="en-US" w:eastAsia="zh-CN"/>
        </w:rPr>
        <w:t>25万元</w:t>
      </w:r>
      <w:r>
        <w:rPr>
          <w:rFonts w:hint="eastAsia" w:ascii="仿宋" w:hAnsi="仿宋" w:eastAsia="仿宋" w:cs="宋体"/>
          <w:kern w:val="0"/>
          <w:sz w:val="30"/>
          <w:szCs w:val="30"/>
        </w:rPr>
        <w:t>。</w:t>
      </w:r>
    </w:p>
    <w:p>
      <w:pPr>
        <w:widowControl/>
        <w:spacing w:line="578" w:lineRule="exact"/>
        <w:ind w:firstLine="414" w:firstLineChars="138"/>
        <w:jc w:val="left"/>
        <w:rPr>
          <w:rFonts w:hint="eastAsia"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rPr>
        <w:t>（三）项目资金规范运行情况</w:t>
      </w:r>
      <w:r>
        <w:rPr>
          <w:rFonts w:hint="eastAsia" w:ascii="仿宋" w:hAnsi="仿宋" w:eastAsia="仿宋" w:cs="宋体"/>
          <w:color w:val="000000"/>
          <w:kern w:val="0"/>
          <w:sz w:val="30"/>
          <w:szCs w:val="30"/>
          <w:lang w:eastAsia="zh-CN"/>
        </w:rPr>
        <w:t>；该资金用于储备粮保管，保管员工资，保防药品材料等。</w:t>
      </w:r>
    </w:p>
    <w:p>
      <w:pPr>
        <w:widowControl/>
        <w:spacing w:line="578" w:lineRule="exact"/>
        <w:ind w:firstLine="414" w:firstLineChars="138"/>
        <w:jc w:val="left"/>
        <w:rPr>
          <w:rFonts w:hint="eastAsia" w:ascii="仿宋_GB2312"/>
          <w:sz w:val="30"/>
          <w:szCs w:val="30"/>
        </w:rPr>
      </w:pPr>
      <w:r>
        <w:rPr>
          <w:rFonts w:hint="eastAsia" w:ascii="仿宋" w:hAnsi="仿宋" w:eastAsia="仿宋" w:cs="宋体"/>
          <w:kern w:val="0"/>
          <w:sz w:val="30"/>
          <w:szCs w:val="30"/>
        </w:rPr>
        <w:t>（四）财务管理情况：</w:t>
      </w:r>
      <w:r>
        <w:rPr>
          <w:rFonts w:hint="eastAsia" w:ascii="仿宋_GB2312"/>
          <w:sz w:val="30"/>
          <w:szCs w:val="30"/>
        </w:rPr>
        <w:t>严格按财务管理制度管理资金，做到专款专用，管理和使用规范合理，帐务处理及时、规范。</w:t>
      </w:r>
    </w:p>
    <w:p>
      <w:pPr>
        <w:widowControl/>
        <w:spacing w:line="578" w:lineRule="exact"/>
        <w:ind w:firstLine="564" w:firstLineChars="188"/>
        <w:jc w:val="left"/>
        <w:rPr>
          <w:rFonts w:ascii="黑体" w:hAnsi="黑体" w:eastAsia="黑体" w:cs="宋体"/>
          <w:kern w:val="0"/>
          <w:sz w:val="30"/>
          <w:szCs w:val="30"/>
        </w:rPr>
      </w:pPr>
      <w:r>
        <w:rPr>
          <w:rFonts w:hint="eastAsia" w:ascii="黑体" w:hAnsi="黑体" w:eastAsia="黑体" w:cs="宋体"/>
          <w:kern w:val="0"/>
          <w:sz w:val="30"/>
          <w:szCs w:val="30"/>
        </w:rPr>
        <w:t>三、项目组织实施情况</w:t>
      </w:r>
    </w:p>
    <w:p>
      <w:pPr>
        <w:widowControl/>
        <w:spacing w:line="578" w:lineRule="exact"/>
        <w:ind w:firstLine="414" w:firstLineChars="138"/>
        <w:jc w:val="left"/>
        <w:rPr>
          <w:rFonts w:hint="eastAsia" w:ascii="仿宋" w:hAnsi="仿宋" w:eastAsia="仿宋" w:cs="宋体"/>
          <w:kern w:val="0"/>
          <w:sz w:val="30"/>
          <w:szCs w:val="30"/>
        </w:rPr>
      </w:pPr>
      <w:r>
        <w:rPr>
          <w:rFonts w:hint="eastAsia" w:ascii="仿宋" w:hAnsi="仿宋" w:eastAsia="仿宋" w:cs="宋体"/>
          <w:kern w:val="0"/>
          <w:sz w:val="30"/>
          <w:szCs w:val="30"/>
        </w:rPr>
        <w:t>（一）项目组织机构与职责落实情况</w:t>
      </w:r>
    </w:p>
    <w:p>
      <w:pPr>
        <w:ind w:firstLine="600" w:firstLineChars="200"/>
        <w:rPr>
          <w:rFonts w:hint="eastAsia" w:ascii="仿宋" w:hAnsi="仿宋" w:eastAsia="仿宋" w:cs="宋体"/>
          <w:kern w:val="0"/>
          <w:sz w:val="30"/>
          <w:szCs w:val="30"/>
        </w:rPr>
      </w:pPr>
      <w:r>
        <w:rPr>
          <w:rFonts w:hint="eastAsia" w:ascii="仿宋_GB2312"/>
          <w:sz w:val="30"/>
          <w:szCs w:val="30"/>
        </w:rPr>
        <w:t>我区成立了项目工作领导小组，区粮食</w:t>
      </w:r>
      <w:r>
        <w:rPr>
          <w:rFonts w:hint="eastAsia" w:ascii="仿宋_GB2312"/>
          <w:sz w:val="30"/>
          <w:szCs w:val="30"/>
          <w:lang w:val="en-US" w:eastAsia="zh-CN"/>
        </w:rPr>
        <w:t>和物资储备中心</w:t>
      </w:r>
      <w:r>
        <w:rPr>
          <w:rFonts w:hint="eastAsia" w:ascii="仿宋_GB2312"/>
          <w:sz w:val="30"/>
          <w:szCs w:val="30"/>
        </w:rPr>
        <w:t>成立了项目实施工作领导小组，对项目进行监管和指导，项目严格按照程序操作，实行政府公开招标，施工过程中严格按照质量要求进行，项目组织管理有序、实施规范、建设顺利。</w:t>
      </w:r>
    </w:p>
    <w:p>
      <w:pPr>
        <w:widowControl/>
        <w:numPr>
          <w:ilvl w:val="0"/>
          <w:numId w:val="4"/>
        </w:numPr>
        <w:spacing w:line="578" w:lineRule="exact"/>
        <w:ind w:firstLine="414" w:firstLineChars="138"/>
        <w:jc w:val="left"/>
        <w:rPr>
          <w:rFonts w:hint="eastAsia" w:ascii="仿宋" w:hAnsi="仿宋" w:eastAsia="仿宋" w:cs="宋体"/>
          <w:kern w:val="0"/>
          <w:sz w:val="30"/>
          <w:szCs w:val="30"/>
        </w:rPr>
      </w:pPr>
      <w:r>
        <w:rPr>
          <w:rFonts w:hint="eastAsia" w:ascii="仿宋" w:hAnsi="仿宋" w:eastAsia="仿宋" w:cs="宋体"/>
          <w:kern w:val="0"/>
          <w:sz w:val="30"/>
          <w:szCs w:val="30"/>
        </w:rPr>
        <w:t>项目管理制度建设情况</w:t>
      </w:r>
    </w:p>
    <w:p>
      <w:pPr>
        <w:widowControl/>
        <w:numPr>
          <w:ilvl w:val="0"/>
          <w:numId w:val="0"/>
        </w:numPr>
        <w:spacing w:line="578" w:lineRule="exact"/>
        <w:ind w:firstLine="600" w:firstLineChars="200"/>
        <w:jc w:val="left"/>
        <w:rPr>
          <w:rFonts w:hint="eastAsia" w:ascii="仿宋" w:hAnsi="仿宋" w:eastAsia="仿宋" w:cs="宋体"/>
          <w:kern w:val="0"/>
          <w:sz w:val="30"/>
          <w:szCs w:val="30"/>
        </w:rPr>
      </w:pPr>
      <w:r>
        <w:rPr>
          <w:rFonts w:hint="eastAsia" w:ascii="仿宋_GB2312"/>
          <w:sz w:val="30"/>
          <w:szCs w:val="30"/>
        </w:rPr>
        <w:t>对项目进行监管和指导，项目严格按照程序操作，实行政府公开招标，施工过程中严格按照质量要求进行，项目组织管理有序、实施规范、建设顺利。</w:t>
      </w:r>
    </w:p>
    <w:p>
      <w:pPr>
        <w:widowControl/>
        <w:numPr>
          <w:ilvl w:val="0"/>
          <w:numId w:val="4"/>
        </w:numPr>
        <w:spacing w:line="578" w:lineRule="exact"/>
        <w:ind w:left="0" w:leftChars="0" w:firstLine="414" w:firstLineChars="138"/>
        <w:jc w:val="left"/>
        <w:rPr>
          <w:rFonts w:hint="eastAsia" w:ascii="仿宋" w:hAnsi="仿宋" w:eastAsia="仿宋" w:cs="宋体"/>
          <w:kern w:val="0"/>
          <w:sz w:val="30"/>
          <w:szCs w:val="30"/>
        </w:rPr>
      </w:pPr>
      <w:r>
        <w:rPr>
          <w:rFonts w:hint="eastAsia" w:ascii="仿宋" w:hAnsi="仿宋" w:eastAsia="仿宋" w:cs="宋体"/>
          <w:kern w:val="0"/>
          <w:sz w:val="30"/>
          <w:szCs w:val="30"/>
        </w:rPr>
        <w:t>项目组织管理落实情况</w:t>
      </w:r>
    </w:p>
    <w:p>
      <w:pPr>
        <w:widowControl/>
        <w:numPr>
          <w:ilvl w:val="0"/>
          <w:numId w:val="0"/>
        </w:numPr>
        <w:spacing w:line="578" w:lineRule="exact"/>
        <w:ind w:firstLine="600" w:firstLineChars="200"/>
        <w:jc w:val="left"/>
        <w:rPr>
          <w:rFonts w:hint="eastAsia" w:ascii="仿宋" w:hAnsi="仿宋" w:eastAsia="仿宋" w:cs="宋体"/>
          <w:kern w:val="0"/>
          <w:sz w:val="30"/>
          <w:szCs w:val="30"/>
          <w:lang w:eastAsia="zh-CN"/>
        </w:rPr>
      </w:pPr>
      <w:r>
        <w:rPr>
          <w:rFonts w:hint="eastAsia" w:ascii="仿宋_GB2312"/>
          <w:sz w:val="30"/>
          <w:szCs w:val="30"/>
        </w:rPr>
        <w:t>对项目进行监管和指导，项目严格按照程序操作，实行政府公开招标，施工过程中严格按照质量要求进行，项目组织管理有序、实施规范、建设顺利。</w:t>
      </w:r>
    </w:p>
    <w:p>
      <w:pPr>
        <w:spacing w:line="600" w:lineRule="exact"/>
        <w:ind w:firstLine="600" w:firstLineChars="200"/>
        <w:rPr>
          <w:rFonts w:ascii="黑体" w:hAnsi="黑体" w:eastAsia="黑体"/>
          <w:sz w:val="30"/>
          <w:szCs w:val="30"/>
        </w:rPr>
      </w:pPr>
      <w:r>
        <w:rPr>
          <w:rFonts w:hint="eastAsia" w:ascii="黑体" w:hAnsi="黑体" w:eastAsia="黑体"/>
          <w:sz w:val="30"/>
          <w:szCs w:val="30"/>
        </w:rPr>
        <w:t>四、项目绩效情况</w:t>
      </w:r>
    </w:p>
    <w:p>
      <w:pPr>
        <w:adjustRightInd w:val="0"/>
        <w:snapToGrid w:val="0"/>
        <w:spacing w:line="580" w:lineRule="exact"/>
        <w:ind w:firstLine="720"/>
        <w:rPr>
          <w:rFonts w:ascii="楷体_GB2312" w:hAnsi="宋体" w:eastAsia="楷体_GB2312"/>
          <w:b/>
          <w:sz w:val="30"/>
          <w:szCs w:val="30"/>
          <w:lang w:val="zh-CN"/>
        </w:rPr>
      </w:pPr>
      <w:r>
        <w:rPr>
          <w:rFonts w:hint="eastAsia" w:ascii="楷体_GB2312" w:hAnsi="宋体" w:eastAsia="楷体_GB2312"/>
          <w:b/>
          <w:sz w:val="30"/>
          <w:szCs w:val="30"/>
          <w:lang w:val="zh-CN"/>
        </w:rPr>
        <w:t>（一）项目完成情况。</w:t>
      </w:r>
    </w:p>
    <w:p>
      <w:pPr>
        <w:adjustRightInd w:val="0"/>
        <w:snapToGrid w:val="0"/>
        <w:spacing w:line="580" w:lineRule="exact"/>
        <w:ind w:firstLine="720"/>
        <w:rPr>
          <w:rFonts w:ascii="楷体_GB2312" w:hAnsi="宋体" w:eastAsia="楷体_GB2312"/>
          <w:b/>
          <w:sz w:val="30"/>
          <w:szCs w:val="30"/>
          <w:lang w:val="zh-CN"/>
        </w:rPr>
      </w:pPr>
      <w:r>
        <w:rPr>
          <w:rFonts w:hint="eastAsia" w:ascii="仿宋_GB2312" w:hAnsi="宋体"/>
          <w:sz w:val="30"/>
          <w:szCs w:val="30"/>
          <w:lang w:val="zh-CN"/>
        </w:rPr>
        <w:t>包括项目完成数量、质量、时效、成本等情况，对照项目计划完成目标，对截止评价时点的任务量完成、质量标准、进度计划、成本控制目标的实现程度进行评价，并进行分析说明。</w:t>
      </w:r>
    </w:p>
    <w:p>
      <w:pPr>
        <w:adjustRightInd w:val="0"/>
        <w:snapToGrid w:val="0"/>
        <w:spacing w:line="580" w:lineRule="exact"/>
        <w:ind w:firstLine="720"/>
        <w:rPr>
          <w:rFonts w:ascii="楷体_GB2312" w:hAnsi="宋体" w:eastAsia="楷体_GB2312"/>
          <w:b/>
          <w:sz w:val="30"/>
          <w:szCs w:val="30"/>
          <w:lang w:val="zh-CN"/>
        </w:rPr>
      </w:pPr>
      <w:r>
        <w:rPr>
          <w:rFonts w:hint="eastAsia" w:ascii="楷体_GB2312" w:hAnsi="宋体" w:eastAsia="楷体_GB2312"/>
          <w:b/>
          <w:sz w:val="30"/>
          <w:szCs w:val="30"/>
          <w:lang w:val="zh-CN"/>
        </w:rPr>
        <w:t>（二）项目效益情况。</w:t>
      </w:r>
    </w:p>
    <w:p>
      <w:pPr>
        <w:adjustRightInd w:val="0"/>
        <w:snapToGrid w:val="0"/>
        <w:spacing w:line="580" w:lineRule="exact"/>
        <w:ind w:firstLine="720"/>
        <w:rPr>
          <w:rFonts w:ascii="仿宋_GB2312" w:hAnsi="宋体"/>
          <w:sz w:val="30"/>
          <w:szCs w:val="30"/>
          <w:lang w:val="zh-CN"/>
        </w:rPr>
      </w:pPr>
      <w:r>
        <w:rPr>
          <w:rFonts w:hint="eastAsia" w:ascii="仿宋_GB2312" w:hAnsi="宋体"/>
          <w:sz w:val="30"/>
          <w:szCs w:val="30"/>
          <w:lang w:val="zh-CN"/>
        </w:rPr>
        <w:t>从项目经济效益、社会效益、生态效益、可持续效益、公平性以及服务对象满意度等方面对项目效益进行全面分析评价。</w:t>
      </w:r>
    </w:p>
    <w:p>
      <w:pPr>
        <w:numPr>
          <w:ilvl w:val="0"/>
          <w:numId w:val="5"/>
        </w:numPr>
        <w:spacing w:line="600" w:lineRule="exact"/>
        <w:ind w:firstLine="600" w:firstLineChars="200"/>
        <w:rPr>
          <w:rFonts w:hint="default" w:ascii="黑体" w:hAnsi="黑体" w:eastAsia="黑体"/>
          <w:sz w:val="30"/>
          <w:szCs w:val="30"/>
          <w:lang w:val="en-US" w:eastAsia="zh-CN"/>
        </w:rPr>
      </w:pPr>
      <w:r>
        <w:rPr>
          <w:rFonts w:hint="eastAsia" w:ascii="黑体" w:hAnsi="黑体" w:eastAsia="黑体"/>
          <w:sz w:val="30"/>
          <w:szCs w:val="30"/>
        </w:rPr>
        <w:t>主要经验及做法、存在的问题及原因分析</w:t>
      </w:r>
      <w:r>
        <w:rPr>
          <w:rFonts w:hint="eastAsia" w:ascii="黑体" w:hAnsi="黑体" w:eastAsia="黑体"/>
          <w:sz w:val="30"/>
          <w:szCs w:val="30"/>
          <w:lang w:val="en-US" w:eastAsia="zh-CN"/>
        </w:rPr>
        <w:t xml:space="preserve">  </w:t>
      </w:r>
    </w:p>
    <w:p>
      <w:pPr>
        <w:numPr>
          <w:ilvl w:val="0"/>
          <w:numId w:val="0"/>
        </w:numPr>
        <w:spacing w:line="600" w:lineRule="exact"/>
        <w:ind w:firstLine="600" w:firstLineChars="200"/>
        <w:rPr>
          <w:rFonts w:hint="eastAsia" w:ascii="仿宋_GB2312"/>
          <w:sz w:val="30"/>
          <w:szCs w:val="30"/>
        </w:rPr>
      </w:pPr>
      <w:r>
        <w:rPr>
          <w:rFonts w:hint="eastAsia" w:ascii="仿宋_GB2312"/>
          <w:sz w:val="30"/>
          <w:szCs w:val="30"/>
        </w:rPr>
        <w:t>因地方财力有限，资金配套有一定困难。</w:t>
      </w:r>
    </w:p>
    <w:p>
      <w:pPr>
        <w:numPr>
          <w:ilvl w:val="0"/>
          <w:numId w:val="0"/>
        </w:numPr>
        <w:spacing w:line="600" w:lineRule="exact"/>
        <w:rPr>
          <w:rFonts w:hint="eastAsia"/>
          <w:sz w:val="30"/>
          <w:szCs w:val="30"/>
          <w:lang w:val="en-US" w:eastAsia="zh-CN"/>
        </w:rPr>
      </w:pPr>
      <w:r>
        <w:rPr>
          <w:rFonts w:hint="eastAsia" w:ascii="仿宋_GB2312"/>
          <w:sz w:val="30"/>
          <w:szCs w:val="30"/>
          <w:lang w:val="en-US" w:eastAsia="zh-CN"/>
        </w:rPr>
        <w:t xml:space="preserve">                      </w:t>
      </w:r>
      <w:r>
        <w:rPr>
          <w:rFonts w:hint="eastAsia"/>
          <w:sz w:val="30"/>
          <w:szCs w:val="30"/>
          <w:lang w:val="en-US" w:eastAsia="zh-CN"/>
        </w:rPr>
        <w:t xml:space="preserve">                </w:t>
      </w:r>
    </w:p>
    <w:p>
      <w:pPr>
        <w:pStyle w:val="2"/>
        <w:rPr>
          <w:rFonts w:hint="default"/>
          <w:lang w:val="en-US" w:eastAsia="zh-CN"/>
        </w:rPr>
      </w:pPr>
    </w:p>
    <w:p>
      <w:pPr>
        <w:jc w:val="center"/>
        <w:rPr>
          <w:rFonts w:ascii="仿宋_GB2312"/>
          <w:sz w:val="44"/>
          <w:szCs w:val="44"/>
        </w:rPr>
      </w:pPr>
      <w:r>
        <w:rPr>
          <w:rFonts w:hint="eastAsia" w:ascii="宋体" w:hAnsi="宋体" w:eastAsia="宋体" w:cs="Arial"/>
          <w:b/>
          <w:bCs/>
          <w:sz w:val="44"/>
          <w:szCs w:val="44"/>
          <w:lang w:val="en-US" w:eastAsia="zh-CN"/>
        </w:rPr>
        <w:t>2022年仓储设施升级改造</w:t>
      </w:r>
      <w:r>
        <w:rPr>
          <w:rFonts w:hint="eastAsia" w:ascii="宋体" w:hAnsi="宋体" w:eastAsia="宋体" w:cs="Arial"/>
          <w:b/>
          <w:bCs/>
          <w:sz w:val="44"/>
          <w:szCs w:val="44"/>
        </w:rPr>
        <w:t>项目支出</w:t>
      </w:r>
      <w:r>
        <w:rPr>
          <w:rFonts w:hint="eastAsia" w:ascii="宋体" w:hAnsi="宋体" w:eastAsia="宋体" w:cs="Arial"/>
          <w:b/>
          <w:bCs/>
          <w:sz w:val="44"/>
          <w:szCs w:val="44"/>
          <w:lang w:val="en-US" w:eastAsia="zh-CN"/>
        </w:rPr>
        <w:t xml:space="preserve">           </w:t>
      </w:r>
      <w:r>
        <w:rPr>
          <w:rFonts w:ascii="宋体" w:hAnsi="宋体" w:eastAsia="宋体" w:cs="Arial"/>
          <w:b/>
          <w:bCs/>
          <w:sz w:val="44"/>
          <w:szCs w:val="44"/>
        </w:rPr>
        <w:t>绩效</w:t>
      </w:r>
      <w:r>
        <w:rPr>
          <w:rFonts w:hint="eastAsia" w:ascii="宋体" w:hAnsi="宋体" w:eastAsia="宋体" w:cs="Arial"/>
          <w:b/>
          <w:bCs/>
          <w:sz w:val="44"/>
          <w:szCs w:val="44"/>
        </w:rPr>
        <w:t>评价报告</w:t>
      </w:r>
    </w:p>
    <w:p>
      <w:pPr>
        <w:rPr>
          <w:rFonts w:ascii="仿宋_GB2312"/>
        </w:rPr>
      </w:pPr>
    </w:p>
    <w:p>
      <w:pPr>
        <w:widowControl/>
        <w:spacing w:line="578" w:lineRule="exact"/>
        <w:ind w:firstLine="564" w:firstLineChars="188"/>
        <w:jc w:val="left"/>
        <w:rPr>
          <w:rFonts w:hint="eastAsia" w:ascii="仿宋" w:hAnsi="仿宋" w:eastAsia="黑体" w:cs="宋体"/>
          <w:kern w:val="0"/>
          <w:sz w:val="30"/>
          <w:szCs w:val="30"/>
          <w:lang w:eastAsia="zh-CN"/>
        </w:rPr>
      </w:pPr>
      <w:r>
        <w:rPr>
          <w:rFonts w:hint="eastAsia" w:ascii="黑体" w:hAnsi="黑体" w:eastAsia="黑体"/>
          <w:sz w:val="30"/>
          <w:szCs w:val="30"/>
        </w:rPr>
        <w:t>一、项目</w:t>
      </w:r>
      <w:r>
        <w:rPr>
          <w:rFonts w:hint="eastAsia" w:ascii="黑体" w:hAnsi="黑体" w:eastAsia="黑体"/>
          <w:sz w:val="30"/>
          <w:szCs w:val="30"/>
          <w:lang w:eastAsia="zh-CN"/>
        </w:rPr>
        <w:t>概况</w:t>
      </w:r>
    </w:p>
    <w:p>
      <w:pPr>
        <w:widowControl/>
        <w:spacing w:line="578" w:lineRule="exact"/>
        <w:ind w:firstLine="564" w:firstLineChars="188"/>
        <w:jc w:val="left"/>
        <w:rPr>
          <w:rFonts w:hint="eastAsia" w:ascii="仿宋_GB2312"/>
          <w:sz w:val="30"/>
          <w:szCs w:val="30"/>
        </w:rPr>
      </w:pPr>
      <w:r>
        <w:rPr>
          <w:rFonts w:hint="eastAsia" w:ascii="仿宋_GB2312"/>
          <w:sz w:val="30"/>
          <w:szCs w:val="30"/>
        </w:rPr>
        <w:t>（一）项目基本情况。</w:t>
      </w:r>
    </w:p>
    <w:p>
      <w:pPr>
        <w:pStyle w:val="9"/>
        <w:spacing w:line="560" w:lineRule="exact"/>
        <w:ind w:left="0" w:leftChars="0" w:firstLine="640" w:firstLineChars="200"/>
        <w:rPr>
          <w:rFonts w:hint="eastAsia" w:ascii="仿宋_GB2312" w:cs="宋体"/>
          <w:kern w:val="0"/>
          <w:sz w:val="30"/>
          <w:szCs w:val="30"/>
          <w:lang w:val="en-US" w:eastAsia="zh-CN"/>
        </w:rPr>
      </w:pPr>
      <w:r>
        <w:rPr>
          <w:rFonts w:hint="eastAsia" w:hAnsi="仿宋"/>
          <w:color w:val="000000"/>
          <w:szCs w:val="32"/>
          <w:lang w:eastAsia="zh-CN"/>
        </w:rPr>
        <w:t>根据四川省财政厅《关于下达</w:t>
      </w:r>
      <w:r>
        <w:rPr>
          <w:rFonts w:hint="eastAsia" w:hAnsi="仿宋"/>
          <w:color w:val="000000"/>
          <w:szCs w:val="32"/>
          <w:lang w:val="en-US" w:eastAsia="zh-CN"/>
        </w:rPr>
        <w:t>2021年商品粮大市商品粮大县奖励资金专项预算的通知</w:t>
      </w:r>
      <w:r>
        <w:rPr>
          <w:rFonts w:hint="eastAsia" w:hAnsi="仿宋"/>
          <w:color w:val="000000"/>
          <w:szCs w:val="32"/>
          <w:lang w:eastAsia="zh-CN"/>
        </w:rPr>
        <w:t>》（川财建</w:t>
      </w:r>
      <w:r>
        <w:rPr>
          <w:rFonts w:hint="eastAsia" w:hAnsi="仿宋"/>
          <w:color w:val="000000"/>
          <w:szCs w:val="32"/>
          <w:lang w:val="en-US" w:eastAsia="zh-CN"/>
        </w:rPr>
        <w:t>[2021]294号</w:t>
      </w:r>
      <w:r>
        <w:rPr>
          <w:rFonts w:hint="eastAsia" w:hAnsi="仿宋"/>
          <w:color w:val="000000"/>
          <w:szCs w:val="32"/>
          <w:lang w:eastAsia="zh-CN"/>
        </w:rPr>
        <w:t>）的相关要求，</w:t>
      </w:r>
      <w:r>
        <w:rPr>
          <w:rFonts w:hint="eastAsia" w:hAnsi="仿宋"/>
          <w:color w:val="000000"/>
          <w:szCs w:val="32"/>
        </w:rPr>
        <w:t>为加强我区地方储备粮油的</w:t>
      </w:r>
      <w:r>
        <w:rPr>
          <w:rFonts w:hint="eastAsia" w:hAnsi="仿宋"/>
          <w:color w:val="000000"/>
          <w:szCs w:val="32"/>
          <w:lang w:eastAsia="zh-CN"/>
        </w:rPr>
        <w:t>管理</w:t>
      </w:r>
      <w:r>
        <w:rPr>
          <w:rFonts w:hint="eastAsia" w:hAnsi="仿宋"/>
          <w:color w:val="000000"/>
          <w:szCs w:val="32"/>
        </w:rPr>
        <w:t>，</w:t>
      </w:r>
      <w:r>
        <w:rPr>
          <w:rFonts w:hint="eastAsia" w:hAnsi="仿宋"/>
          <w:color w:val="000000"/>
          <w:szCs w:val="32"/>
          <w:lang w:eastAsia="zh-CN"/>
        </w:rPr>
        <w:t>提升仓储智能化水平，完善仓储设施设备提档升级，</w:t>
      </w:r>
      <w:r>
        <w:rPr>
          <w:rFonts w:hint="eastAsia" w:hAnsi="仿宋"/>
          <w:color w:val="000000"/>
          <w:szCs w:val="32"/>
        </w:rPr>
        <w:t>加快</w:t>
      </w:r>
      <w:r>
        <w:rPr>
          <w:rFonts w:hint="eastAsia" w:hAnsi="仿宋"/>
          <w:color w:val="000000"/>
          <w:szCs w:val="32"/>
          <w:lang w:eastAsia="zh-CN"/>
        </w:rPr>
        <w:t>科学化储粮步伐，确保粮库储粮安全稳定，结合行业实际，实施</w:t>
      </w:r>
      <w:r>
        <w:rPr>
          <w:rFonts w:hint="eastAsia" w:hAnsi="仿宋"/>
          <w:color w:val="000000"/>
          <w:szCs w:val="32"/>
          <w:lang w:val="en-US" w:eastAsia="zh-CN"/>
        </w:rPr>
        <w:t>2022年仓储设施升级改造项目</w:t>
      </w:r>
      <w:r>
        <w:rPr>
          <w:rFonts w:hint="eastAsia" w:hAnsi="仿宋"/>
          <w:color w:val="000000"/>
          <w:szCs w:val="32"/>
        </w:rPr>
        <w:t>。</w:t>
      </w:r>
    </w:p>
    <w:p>
      <w:pPr>
        <w:numPr>
          <w:ilvl w:val="0"/>
          <w:numId w:val="6"/>
        </w:numPr>
        <w:ind w:firstLine="576" w:firstLineChars="200"/>
        <w:rPr>
          <w:rFonts w:hint="eastAsia" w:ascii="仿宋" w:hAnsi="仿宋" w:eastAsia="仿宋" w:cs="宋体"/>
          <w:color w:val="000000"/>
          <w:spacing w:val="-6"/>
          <w:kern w:val="0"/>
          <w:sz w:val="30"/>
          <w:szCs w:val="30"/>
          <w:lang w:eastAsia="zh-CN"/>
        </w:rPr>
      </w:pPr>
      <w:r>
        <w:rPr>
          <w:rFonts w:hint="eastAsia" w:ascii="仿宋" w:hAnsi="仿宋" w:eastAsia="仿宋" w:cs="宋体"/>
          <w:color w:val="000000"/>
          <w:spacing w:val="-6"/>
          <w:kern w:val="0"/>
          <w:sz w:val="30"/>
          <w:szCs w:val="30"/>
          <w:lang w:eastAsia="zh-CN"/>
        </w:rPr>
        <w:t>实施项目名称：朝天区</w:t>
      </w:r>
      <w:r>
        <w:rPr>
          <w:rFonts w:hint="eastAsia" w:ascii="仿宋" w:hAnsi="仿宋" w:eastAsia="仿宋" w:cs="宋体"/>
          <w:color w:val="000000"/>
          <w:spacing w:val="-6"/>
          <w:kern w:val="0"/>
          <w:sz w:val="30"/>
          <w:szCs w:val="30"/>
          <w:lang w:val="en-US" w:eastAsia="zh-CN"/>
        </w:rPr>
        <w:t>2022年</w:t>
      </w:r>
      <w:r>
        <w:rPr>
          <w:rFonts w:hint="eastAsia" w:ascii="仿宋" w:hAnsi="仿宋" w:eastAsia="仿宋" w:cs="宋体"/>
          <w:color w:val="000000"/>
          <w:spacing w:val="-6"/>
          <w:kern w:val="0"/>
          <w:sz w:val="30"/>
          <w:szCs w:val="30"/>
          <w:lang w:eastAsia="zh-CN"/>
        </w:rPr>
        <w:t>仓储设施升级改造项目。</w:t>
      </w:r>
    </w:p>
    <w:p>
      <w:pPr>
        <w:numPr>
          <w:ilvl w:val="0"/>
          <w:numId w:val="6"/>
        </w:numPr>
        <w:ind w:firstLine="600" w:firstLineChars="200"/>
        <w:rPr>
          <w:rFonts w:hint="eastAsia" w:ascii="仿宋" w:hAnsi="仿宋" w:eastAsia="仿宋" w:cs="宋体"/>
          <w:color w:val="000000"/>
          <w:kern w:val="0"/>
          <w:sz w:val="30"/>
          <w:szCs w:val="30"/>
          <w:lang w:eastAsia="zh-CN"/>
        </w:rPr>
      </w:pPr>
      <w:r>
        <w:rPr>
          <w:rFonts w:hint="eastAsia" w:ascii="仿宋" w:hAnsi="仿宋" w:eastAsia="仿宋" w:cs="宋体"/>
          <w:color w:val="000000"/>
          <w:kern w:val="0"/>
          <w:sz w:val="30"/>
          <w:szCs w:val="30"/>
          <w:lang w:eastAsia="zh-CN"/>
        </w:rPr>
        <w:t>实施时间</w:t>
      </w:r>
      <w:r>
        <w:rPr>
          <w:rFonts w:hint="eastAsia" w:ascii="仿宋" w:hAnsi="仿宋" w:eastAsia="仿宋" w:cs="宋体"/>
          <w:color w:val="000000"/>
          <w:kern w:val="0"/>
          <w:sz w:val="30"/>
          <w:szCs w:val="30"/>
          <w:lang w:val="en-US" w:eastAsia="zh-CN"/>
        </w:rPr>
        <w:t>:</w:t>
      </w:r>
      <w:r>
        <w:rPr>
          <w:rFonts w:hint="eastAsia" w:ascii="仿宋" w:hAnsi="仿宋" w:eastAsia="仿宋" w:cs="宋体"/>
          <w:color w:val="000000"/>
          <w:kern w:val="0"/>
          <w:sz w:val="30"/>
          <w:szCs w:val="30"/>
          <w:lang w:eastAsia="zh-CN"/>
        </w:rPr>
        <w:t>202</w:t>
      </w:r>
      <w:r>
        <w:rPr>
          <w:rFonts w:hint="eastAsia" w:ascii="仿宋" w:hAnsi="仿宋" w:eastAsia="仿宋" w:cs="宋体"/>
          <w:color w:val="000000"/>
          <w:kern w:val="0"/>
          <w:sz w:val="30"/>
          <w:szCs w:val="30"/>
          <w:lang w:val="en-US" w:eastAsia="zh-CN"/>
        </w:rPr>
        <w:t>2</w:t>
      </w:r>
      <w:r>
        <w:rPr>
          <w:rFonts w:hint="eastAsia" w:ascii="仿宋" w:hAnsi="仿宋" w:eastAsia="仿宋" w:cs="宋体"/>
          <w:color w:val="000000"/>
          <w:kern w:val="0"/>
          <w:sz w:val="30"/>
          <w:szCs w:val="30"/>
          <w:lang w:eastAsia="zh-CN"/>
        </w:rPr>
        <w:t>年</w:t>
      </w:r>
      <w:r>
        <w:rPr>
          <w:rFonts w:hint="eastAsia" w:ascii="仿宋" w:hAnsi="仿宋" w:eastAsia="仿宋" w:cs="宋体"/>
          <w:color w:val="000000"/>
          <w:kern w:val="0"/>
          <w:sz w:val="30"/>
          <w:szCs w:val="30"/>
          <w:lang w:val="en-US" w:eastAsia="zh-CN"/>
        </w:rPr>
        <w:t>1</w:t>
      </w:r>
      <w:r>
        <w:rPr>
          <w:rFonts w:hint="eastAsia" w:ascii="仿宋" w:hAnsi="仿宋" w:eastAsia="仿宋" w:cs="宋体"/>
          <w:color w:val="000000"/>
          <w:kern w:val="0"/>
          <w:sz w:val="30"/>
          <w:szCs w:val="30"/>
          <w:lang w:eastAsia="zh-CN"/>
        </w:rPr>
        <w:t>月</w:t>
      </w:r>
      <w:r>
        <w:rPr>
          <w:rFonts w:hint="eastAsia" w:ascii="仿宋" w:hAnsi="仿宋" w:eastAsia="仿宋" w:cs="宋体"/>
          <w:color w:val="000000"/>
          <w:kern w:val="0"/>
          <w:sz w:val="30"/>
          <w:szCs w:val="30"/>
          <w:lang w:val="en-US" w:eastAsia="zh-CN"/>
        </w:rPr>
        <w:t>1</w:t>
      </w:r>
      <w:r>
        <w:rPr>
          <w:rFonts w:hint="eastAsia" w:ascii="仿宋" w:hAnsi="仿宋" w:eastAsia="仿宋" w:cs="宋体"/>
          <w:color w:val="000000"/>
          <w:kern w:val="0"/>
          <w:sz w:val="30"/>
          <w:szCs w:val="30"/>
          <w:lang w:eastAsia="zh-CN"/>
        </w:rPr>
        <w:t>日----</w:t>
      </w:r>
      <w:r>
        <w:rPr>
          <w:rFonts w:hint="eastAsia" w:ascii="仿宋" w:hAnsi="仿宋" w:eastAsia="仿宋" w:cs="宋体"/>
          <w:color w:val="000000"/>
          <w:kern w:val="0"/>
          <w:sz w:val="30"/>
          <w:szCs w:val="30"/>
          <w:lang w:val="en-US" w:eastAsia="zh-CN"/>
        </w:rPr>
        <w:t>4</w:t>
      </w:r>
      <w:r>
        <w:rPr>
          <w:rFonts w:hint="eastAsia" w:ascii="仿宋" w:hAnsi="仿宋" w:eastAsia="仿宋" w:cs="宋体"/>
          <w:color w:val="000000"/>
          <w:kern w:val="0"/>
          <w:sz w:val="30"/>
          <w:szCs w:val="30"/>
          <w:lang w:eastAsia="zh-CN"/>
        </w:rPr>
        <w:t>月3</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lang w:eastAsia="zh-CN"/>
        </w:rPr>
        <w:t>日。</w:t>
      </w:r>
    </w:p>
    <w:p>
      <w:pPr>
        <w:ind w:firstLine="600" w:firstLineChars="200"/>
        <w:rPr>
          <w:rFonts w:hint="eastAsia" w:ascii="仿宋" w:hAnsi="仿宋" w:eastAsia="仿宋" w:cs="宋体"/>
          <w:color w:val="000000"/>
          <w:kern w:val="0"/>
          <w:sz w:val="30"/>
          <w:szCs w:val="30"/>
          <w:lang w:eastAsia="zh-CN"/>
        </w:rPr>
      </w:pPr>
      <w:r>
        <w:rPr>
          <w:rFonts w:hint="eastAsia" w:ascii="仿宋" w:hAnsi="仿宋" w:eastAsia="仿宋" w:cs="宋体"/>
          <w:color w:val="000000"/>
          <w:kern w:val="0"/>
          <w:sz w:val="30"/>
          <w:szCs w:val="30"/>
          <w:lang w:eastAsia="zh-CN"/>
        </w:rPr>
        <w:t>（四）实施地点</w:t>
      </w:r>
      <w:r>
        <w:rPr>
          <w:rFonts w:hint="eastAsia" w:ascii="仿宋" w:hAnsi="仿宋" w:eastAsia="仿宋" w:cs="宋体"/>
          <w:color w:val="000000"/>
          <w:kern w:val="0"/>
          <w:sz w:val="30"/>
          <w:szCs w:val="30"/>
          <w:lang w:val="en-US" w:eastAsia="zh-CN"/>
        </w:rPr>
        <w:t>:</w:t>
      </w:r>
      <w:r>
        <w:rPr>
          <w:rFonts w:hint="eastAsia" w:ascii="仿宋" w:hAnsi="仿宋" w:eastAsia="仿宋" w:cs="宋体"/>
          <w:color w:val="000000"/>
          <w:kern w:val="0"/>
          <w:sz w:val="30"/>
          <w:szCs w:val="30"/>
          <w:lang w:eastAsia="zh-CN"/>
        </w:rPr>
        <w:t>朝天镇、中子镇。</w:t>
      </w:r>
    </w:p>
    <w:p>
      <w:pPr>
        <w:ind w:firstLine="600" w:firstLineChars="200"/>
        <w:rPr>
          <w:rFonts w:hint="eastAsia" w:ascii="仿宋" w:hAnsi="仿宋" w:eastAsia="仿宋" w:cs="宋体"/>
          <w:color w:val="000000"/>
          <w:kern w:val="0"/>
          <w:sz w:val="30"/>
          <w:szCs w:val="30"/>
          <w:lang w:eastAsia="zh-CN"/>
        </w:rPr>
      </w:pPr>
      <w:r>
        <w:rPr>
          <w:rFonts w:hint="eastAsia" w:ascii="仿宋" w:hAnsi="仿宋" w:eastAsia="仿宋" w:cs="宋体"/>
          <w:color w:val="000000"/>
          <w:kern w:val="0"/>
          <w:sz w:val="30"/>
          <w:szCs w:val="30"/>
          <w:lang w:eastAsia="zh-CN"/>
        </w:rPr>
        <w:t>（五）实施内容</w:t>
      </w:r>
      <w:r>
        <w:rPr>
          <w:rFonts w:hint="eastAsia" w:ascii="仿宋" w:hAnsi="仿宋" w:eastAsia="仿宋" w:cs="宋体"/>
          <w:color w:val="000000"/>
          <w:kern w:val="0"/>
          <w:sz w:val="30"/>
          <w:szCs w:val="30"/>
          <w:lang w:val="en-US" w:eastAsia="zh-CN"/>
        </w:rPr>
        <w:t>:</w:t>
      </w:r>
      <w:r>
        <w:rPr>
          <w:rFonts w:hint="eastAsia" w:ascii="仿宋" w:hAnsi="仿宋" w:eastAsia="仿宋" w:cs="宋体"/>
          <w:color w:val="000000"/>
          <w:kern w:val="0"/>
          <w:sz w:val="30"/>
          <w:szCs w:val="30"/>
          <w:lang w:eastAsia="zh-CN"/>
        </w:rPr>
        <w:t>新建</w:t>
      </w:r>
      <w:r>
        <w:rPr>
          <w:rFonts w:hint="eastAsia" w:ascii="仿宋" w:hAnsi="仿宋" w:eastAsia="仿宋" w:cs="宋体"/>
          <w:color w:val="000000"/>
          <w:kern w:val="0"/>
          <w:sz w:val="30"/>
          <w:szCs w:val="30"/>
          <w:lang w:val="en-US" w:eastAsia="zh-CN"/>
        </w:rPr>
        <w:t>600平方米的环保除尘设施钢罩棚、5000吨仓容的智能化升级、粮油风险防控、中子粮库排险等相应附属设施建设。</w:t>
      </w:r>
    </w:p>
    <w:p>
      <w:pPr>
        <w:ind w:firstLine="600" w:firstLineChars="200"/>
        <w:rPr>
          <w:rFonts w:hint="eastAsia" w:ascii="仿宋" w:hAnsi="仿宋" w:eastAsia="仿宋" w:cs="宋体"/>
          <w:color w:val="000000"/>
          <w:kern w:val="0"/>
          <w:sz w:val="30"/>
          <w:szCs w:val="30"/>
          <w:lang w:eastAsia="zh-CN"/>
        </w:rPr>
      </w:pPr>
      <w:r>
        <w:rPr>
          <w:rFonts w:hint="eastAsia" w:ascii="仿宋" w:hAnsi="仿宋" w:eastAsia="仿宋" w:cs="宋体"/>
          <w:color w:val="000000"/>
          <w:kern w:val="0"/>
          <w:sz w:val="30"/>
          <w:szCs w:val="30"/>
          <w:lang w:eastAsia="zh-CN"/>
        </w:rPr>
        <w:t>（六）实施方式</w:t>
      </w:r>
      <w:r>
        <w:rPr>
          <w:rFonts w:hint="eastAsia" w:ascii="仿宋" w:hAnsi="仿宋" w:eastAsia="仿宋" w:cs="宋体"/>
          <w:color w:val="000000"/>
          <w:kern w:val="0"/>
          <w:sz w:val="30"/>
          <w:szCs w:val="30"/>
          <w:lang w:val="en-US" w:eastAsia="zh-CN"/>
        </w:rPr>
        <w:t>:</w:t>
      </w:r>
      <w:r>
        <w:rPr>
          <w:rFonts w:hint="eastAsia" w:ascii="仿宋" w:hAnsi="仿宋" w:eastAsia="仿宋" w:cs="宋体"/>
          <w:color w:val="000000"/>
          <w:kern w:val="0"/>
          <w:sz w:val="30"/>
          <w:szCs w:val="30"/>
          <w:lang w:eastAsia="zh-CN"/>
        </w:rPr>
        <w:t>以区裕宏粮油购销有限公司实施主体，区粮食和物资储备中心监督。</w:t>
      </w:r>
    </w:p>
    <w:p>
      <w:pPr>
        <w:widowControl/>
        <w:spacing w:line="578" w:lineRule="exact"/>
        <w:ind w:firstLine="564" w:firstLineChars="188"/>
        <w:jc w:val="left"/>
        <w:rPr>
          <w:rFonts w:ascii="黑体" w:hAnsi="黑体" w:eastAsia="黑体" w:cs="宋体"/>
          <w:kern w:val="0"/>
          <w:sz w:val="30"/>
          <w:szCs w:val="30"/>
        </w:rPr>
      </w:pPr>
      <w:r>
        <w:rPr>
          <w:rFonts w:hint="eastAsia" w:ascii="黑体" w:hAnsi="黑体" w:eastAsia="黑体"/>
          <w:sz w:val="30"/>
          <w:szCs w:val="30"/>
        </w:rPr>
        <w:t>二、项目</w:t>
      </w:r>
      <w:r>
        <w:rPr>
          <w:rFonts w:hint="eastAsia" w:ascii="黑体" w:hAnsi="黑体" w:eastAsia="黑体" w:cs="宋体"/>
          <w:kern w:val="0"/>
          <w:sz w:val="30"/>
          <w:szCs w:val="30"/>
        </w:rPr>
        <w:t>资金管理情况</w:t>
      </w:r>
    </w:p>
    <w:p>
      <w:pPr>
        <w:ind w:firstLine="600" w:firstLineChars="200"/>
        <w:rPr>
          <w:rFonts w:hint="eastAsia" w:ascii="仿宋" w:hAnsi="仿宋" w:eastAsia="仿宋" w:cs="宋体"/>
          <w:color w:val="000000"/>
          <w:kern w:val="0"/>
          <w:sz w:val="30"/>
          <w:szCs w:val="30"/>
          <w:lang w:eastAsia="zh-CN"/>
        </w:rPr>
      </w:pPr>
      <w:r>
        <w:rPr>
          <w:rFonts w:hint="eastAsia" w:ascii="仿宋" w:hAnsi="仿宋" w:eastAsia="仿宋" w:cs="宋体"/>
          <w:kern w:val="0"/>
          <w:sz w:val="30"/>
          <w:szCs w:val="30"/>
        </w:rPr>
        <w:t>（一）</w:t>
      </w:r>
      <w:r>
        <w:rPr>
          <w:rFonts w:hint="eastAsia" w:ascii="仿宋" w:hAnsi="仿宋" w:eastAsia="仿宋" w:cs="宋体"/>
          <w:color w:val="000000"/>
          <w:kern w:val="0"/>
          <w:sz w:val="30"/>
          <w:szCs w:val="30"/>
          <w:lang w:eastAsia="zh-CN"/>
        </w:rPr>
        <w:t>资金计划及到位情况：经上级批准该项目中央专项资金</w:t>
      </w:r>
      <w:r>
        <w:rPr>
          <w:rFonts w:hint="eastAsia" w:ascii="仿宋" w:hAnsi="仿宋" w:eastAsia="仿宋" w:cs="宋体"/>
          <w:color w:val="000000"/>
          <w:kern w:val="0"/>
          <w:sz w:val="30"/>
          <w:szCs w:val="30"/>
          <w:lang w:val="en-US" w:eastAsia="zh-CN"/>
        </w:rPr>
        <w:t>10</w:t>
      </w:r>
      <w:r>
        <w:rPr>
          <w:rFonts w:hint="eastAsia" w:ascii="仿宋" w:hAnsi="仿宋" w:eastAsia="仿宋" w:cs="宋体"/>
          <w:color w:val="000000"/>
          <w:kern w:val="0"/>
          <w:sz w:val="30"/>
          <w:szCs w:val="30"/>
          <w:lang w:eastAsia="zh-CN"/>
        </w:rPr>
        <w:t>0万元，资金已到达区本级财政。</w:t>
      </w:r>
    </w:p>
    <w:p>
      <w:pPr>
        <w:ind w:firstLine="600" w:firstLineChars="200"/>
        <w:rPr>
          <w:rFonts w:hint="eastAsia" w:ascii="仿宋" w:hAnsi="仿宋" w:eastAsia="仿宋" w:cs="宋体"/>
          <w:kern w:val="0"/>
          <w:sz w:val="30"/>
          <w:szCs w:val="30"/>
        </w:rPr>
      </w:pPr>
      <w:r>
        <w:rPr>
          <w:rFonts w:hint="eastAsia" w:ascii="仿宋" w:hAnsi="仿宋" w:eastAsia="仿宋" w:cs="宋体"/>
          <w:kern w:val="0"/>
          <w:sz w:val="30"/>
          <w:szCs w:val="30"/>
        </w:rPr>
        <w:t>（二）预算资金执行</w:t>
      </w:r>
      <w:r>
        <w:rPr>
          <w:rFonts w:hint="eastAsia" w:ascii="仿宋" w:hAnsi="仿宋" w:eastAsia="仿宋" w:cs="宋体"/>
          <w:kern w:val="0"/>
          <w:sz w:val="30"/>
          <w:szCs w:val="30"/>
          <w:lang w:val="en-US" w:eastAsia="zh-CN"/>
        </w:rPr>
        <w:t>100万元</w:t>
      </w:r>
      <w:r>
        <w:rPr>
          <w:rFonts w:hint="eastAsia" w:ascii="仿宋" w:hAnsi="仿宋" w:eastAsia="仿宋" w:cs="宋体"/>
          <w:kern w:val="0"/>
          <w:sz w:val="30"/>
          <w:szCs w:val="30"/>
        </w:rPr>
        <w:t>。</w:t>
      </w:r>
    </w:p>
    <w:p>
      <w:pPr>
        <w:widowControl/>
        <w:spacing w:line="578" w:lineRule="exact"/>
        <w:ind w:firstLine="414" w:firstLineChars="138"/>
        <w:jc w:val="left"/>
        <w:rPr>
          <w:rFonts w:hint="eastAsia"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rPr>
        <w:t>（三）</w:t>
      </w:r>
      <w:r>
        <w:rPr>
          <w:rFonts w:hint="eastAsia" w:ascii="仿宋" w:hAnsi="仿宋" w:eastAsia="仿宋" w:cs="宋体"/>
          <w:color w:val="000000"/>
          <w:kern w:val="0"/>
          <w:sz w:val="30"/>
          <w:szCs w:val="30"/>
          <w:lang w:eastAsia="zh-CN"/>
        </w:rPr>
        <w:t>该资金用于新建</w:t>
      </w:r>
      <w:r>
        <w:rPr>
          <w:rFonts w:hint="eastAsia" w:ascii="仿宋" w:hAnsi="仿宋" w:eastAsia="仿宋" w:cs="宋体"/>
          <w:color w:val="000000"/>
          <w:kern w:val="0"/>
          <w:sz w:val="30"/>
          <w:szCs w:val="30"/>
          <w:lang w:val="en-US" w:eastAsia="zh-CN"/>
        </w:rPr>
        <w:t>600平方米的环保除尘设施钢罩棚、5000吨仓容的智能化升级、粮油风险防控、中子粮库排险等相应附属设施建设。</w:t>
      </w:r>
    </w:p>
    <w:p>
      <w:pPr>
        <w:widowControl/>
        <w:spacing w:line="578" w:lineRule="exact"/>
        <w:ind w:firstLine="414" w:firstLineChars="138"/>
        <w:jc w:val="left"/>
        <w:rPr>
          <w:rFonts w:hint="eastAsia" w:ascii="仿宋" w:hAnsi="仿宋" w:eastAsia="仿宋" w:cs="宋体"/>
          <w:kern w:val="0"/>
          <w:sz w:val="30"/>
          <w:szCs w:val="30"/>
        </w:rPr>
      </w:pPr>
      <w:r>
        <w:rPr>
          <w:rFonts w:hint="eastAsia" w:ascii="仿宋" w:hAnsi="仿宋" w:eastAsia="仿宋" w:cs="宋体"/>
          <w:kern w:val="0"/>
          <w:sz w:val="30"/>
          <w:szCs w:val="30"/>
        </w:rPr>
        <w:t>（四）财务管理情况：严格按财务管理制度管理资金，做到专款专用，管理和使用规范合理，帐务处理及时、规范。</w:t>
      </w:r>
    </w:p>
    <w:p>
      <w:pPr>
        <w:widowControl/>
        <w:spacing w:line="578" w:lineRule="exact"/>
        <w:ind w:firstLine="564" w:firstLineChars="188"/>
        <w:jc w:val="left"/>
        <w:rPr>
          <w:rFonts w:ascii="黑体" w:hAnsi="黑体" w:eastAsia="黑体" w:cs="宋体"/>
          <w:kern w:val="0"/>
          <w:sz w:val="30"/>
          <w:szCs w:val="30"/>
        </w:rPr>
      </w:pPr>
      <w:r>
        <w:rPr>
          <w:rFonts w:hint="eastAsia" w:ascii="黑体" w:hAnsi="黑体" w:eastAsia="黑体" w:cs="宋体"/>
          <w:kern w:val="0"/>
          <w:sz w:val="30"/>
          <w:szCs w:val="30"/>
        </w:rPr>
        <w:t>三、项目组织实施情况</w:t>
      </w:r>
    </w:p>
    <w:p>
      <w:pPr>
        <w:widowControl/>
        <w:spacing w:line="578" w:lineRule="exact"/>
        <w:ind w:firstLine="414" w:firstLineChars="138"/>
        <w:jc w:val="left"/>
        <w:rPr>
          <w:rFonts w:hint="eastAsia" w:ascii="仿宋" w:hAnsi="仿宋" w:eastAsia="仿宋" w:cs="宋体"/>
          <w:kern w:val="0"/>
          <w:sz w:val="30"/>
          <w:szCs w:val="30"/>
        </w:rPr>
      </w:pPr>
      <w:r>
        <w:rPr>
          <w:rFonts w:hint="eastAsia" w:ascii="仿宋" w:hAnsi="仿宋" w:eastAsia="仿宋" w:cs="宋体"/>
          <w:kern w:val="0"/>
          <w:sz w:val="30"/>
          <w:szCs w:val="30"/>
        </w:rPr>
        <w:t>（一）项目组织机构与职责落实情况</w:t>
      </w:r>
    </w:p>
    <w:p>
      <w:pPr>
        <w:widowControl/>
        <w:spacing w:line="578" w:lineRule="exact"/>
        <w:ind w:firstLine="714" w:firstLineChars="238"/>
        <w:jc w:val="left"/>
        <w:rPr>
          <w:rFonts w:hint="eastAsia" w:ascii="仿宋" w:hAnsi="仿宋" w:eastAsia="仿宋" w:cs="宋体"/>
          <w:kern w:val="0"/>
          <w:sz w:val="30"/>
          <w:szCs w:val="30"/>
        </w:rPr>
      </w:pPr>
      <w:r>
        <w:rPr>
          <w:rFonts w:hint="eastAsia" w:ascii="仿宋" w:hAnsi="仿宋" w:eastAsia="仿宋" w:cs="宋体"/>
          <w:kern w:val="0"/>
          <w:sz w:val="30"/>
          <w:szCs w:val="30"/>
        </w:rPr>
        <w:t>区粮食</w:t>
      </w:r>
      <w:r>
        <w:rPr>
          <w:rFonts w:hint="eastAsia" w:ascii="仿宋" w:hAnsi="仿宋" w:eastAsia="仿宋" w:cs="宋体"/>
          <w:kern w:val="0"/>
          <w:sz w:val="30"/>
          <w:szCs w:val="30"/>
          <w:lang w:val="en-US" w:eastAsia="zh-CN"/>
        </w:rPr>
        <w:t>和物资储备中心</w:t>
      </w:r>
      <w:r>
        <w:rPr>
          <w:rFonts w:hint="eastAsia" w:ascii="仿宋" w:hAnsi="仿宋" w:eastAsia="仿宋" w:cs="宋体"/>
          <w:kern w:val="0"/>
          <w:sz w:val="30"/>
          <w:szCs w:val="30"/>
        </w:rPr>
        <w:t>成立了项目实施工作领导小组，对项目进行监管和指导，项目严格按照程序操作，实行政府公开招标，施工过程中严格按照质量要求进行，项目组织管理有序、实施规范。</w:t>
      </w:r>
    </w:p>
    <w:p>
      <w:pPr>
        <w:widowControl/>
        <w:numPr>
          <w:ilvl w:val="0"/>
          <w:numId w:val="4"/>
        </w:numPr>
        <w:spacing w:line="578" w:lineRule="exact"/>
        <w:ind w:firstLine="414" w:firstLineChars="138"/>
        <w:jc w:val="left"/>
        <w:rPr>
          <w:rFonts w:hint="eastAsia" w:ascii="仿宋" w:hAnsi="仿宋" w:eastAsia="仿宋" w:cs="宋体"/>
          <w:kern w:val="0"/>
          <w:sz w:val="30"/>
          <w:szCs w:val="30"/>
        </w:rPr>
      </w:pPr>
      <w:r>
        <w:rPr>
          <w:rFonts w:hint="eastAsia" w:ascii="仿宋" w:hAnsi="仿宋" w:eastAsia="仿宋" w:cs="宋体"/>
          <w:kern w:val="0"/>
          <w:sz w:val="30"/>
          <w:szCs w:val="30"/>
        </w:rPr>
        <w:t>项目管理制度建设情况</w:t>
      </w:r>
    </w:p>
    <w:p>
      <w:pPr>
        <w:widowControl/>
        <w:numPr>
          <w:ilvl w:val="0"/>
          <w:numId w:val="0"/>
        </w:numPr>
        <w:spacing w:line="578" w:lineRule="exact"/>
        <w:ind w:firstLine="600" w:firstLineChars="200"/>
        <w:jc w:val="left"/>
        <w:rPr>
          <w:rFonts w:hint="eastAsia" w:ascii="仿宋" w:hAnsi="仿宋" w:eastAsia="仿宋" w:cs="宋体"/>
          <w:kern w:val="0"/>
          <w:sz w:val="30"/>
          <w:szCs w:val="30"/>
        </w:rPr>
      </w:pPr>
      <w:r>
        <w:rPr>
          <w:rFonts w:hint="eastAsia" w:ascii="仿宋" w:hAnsi="仿宋" w:eastAsia="仿宋" w:cs="宋体"/>
          <w:kern w:val="0"/>
          <w:sz w:val="30"/>
          <w:szCs w:val="30"/>
        </w:rPr>
        <w:t>对项目进行监管和指导，项目严格按照程序操作，实行政府公开招标，施工过程中严格按照质量要求进行，项目组织管理有序、实施规范。</w:t>
      </w:r>
    </w:p>
    <w:p>
      <w:pPr>
        <w:widowControl/>
        <w:numPr>
          <w:ilvl w:val="0"/>
          <w:numId w:val="4"/>
        </w:numPr>
        <w:spacing w:line="578" w:lineRule="exact"/>
        <w:ind w:left="0" w:leftChars="0" w:firstLine="414" w:firstLineChars="138"/>
        <w:jc w:val="left"/>
        <w:rPr>
          <w:rFonts w:hint="eastAsia" w:ascii="仿宋" w:hAnsi="仿宋" w:eastAsia="仿宋" w:cs="宋体"/>
          <w:kern w:val="0"/>
          <w:sz w:val="30"/>
          <w:szCs w:val="30"/>
          <w:lang w:eastAsia="zh-CN"/>
        </w:rPr>
      </w:pPr>
      <w:r>
        <w:rPr>
          <w:rFonts w:hint="eastAsia" w:ascii="仿宋" w:hAnsi="仿宋" w:eastAsia="仿宋" w:cs="宋体"/>
          <w:kern w:val="0"/>
          <w:sz w:val="30"/>
          <w:szCs w:val="30"/>
        </w:rPr>
        <w:t>项目组织管理落实情况</w:t>
      </w:r>
    </w:p>
    <w:p>
      <w:pPr>
        <w:widowControl/>
        <w:numPr>
          <w:ilvl w:val="0"/>
          <w:numId w:val="0"/>
        </w:numPr>
        <w:spacing w:line="578" w:lineRule="exact"/>
        <w:ind w:firstLine="600" w:firstLineChars="200"/>
        <w:jc w:val="left"/>
        <w:rPr>
          <w:rFonts w:hint="eastAsia" w:ascii="仿宋" w:hAnsi="仿宋" w:eastAsia="仿宋" w:cs="宋体"/>
          <w:kern w:val="0"/>
          <w:sz w:val="30"/>
          <w:szCs w:val="30"/>
          <w:lang w:eastAsia="zh-CN"/>
        </w:rPr>
      </w:pPr>
      <w:r>
        <w:rPr>
          <w:rFonts w:hint="eastAsia" w:ascii="仿宋" w:hAnsi="仿宋" w:eastAsia="仿宋" w:cs="宋体"/>
          <w:kern w:val="0"/>
          <w:sz w:val="30"/>
          <w:szCs w:val="30"/>
        </w:rPr>
        <w:t>对项目进行监管和指导，项目严格按照程序操作，实行政府公开招标，施工过程中严格按照质量要求进行，项目组织管理有序、实施规范、建设顺利。</w:t>
      </w:r>
    </w:p>
    <w:p>
      <w:pPr>
        <w:spacing w:line="600" w:lineRule="exact"/>
        <w:ind w:firstLine="600" w:firstLineChars="200"/>
        <w:rPr>
          <w:rFonts w:ascii="黑体" w:hAnsi="黑体" w:eastAsia="黑体"/>
          <w:sz w:val="30"/>
          <w:szCs w:val="30"/>
        </w:rPr>
      </w:pPr>
      <w:r>
        <w:rPr>
          <w:rFonts w:hint="eastAsia" w:ascii="黑体" w:hAnsi="黑体" w:eastAsia="黑体"/>
          <w:sz w:val="30"/>
          <w:szCs w:val="30"/>
        </w:rPr>
        <w:t>四、项目绩效情况</w:t>
      </w:r>
    </w:p>
    <w:p>
      <w:pPr>
        <w:adjustRightInd w:val="0"/>
        <w:snapToGrid w:val="0"/>
        <w:spacing w:line="580" w:lineRule="exact"/>
        <w:ind w:firstLine="720"/>
        <w:rPr>
          <w:rFonts w:ascii="楷体_GB2312" w:hAnsi="宋体" w:eastAsia="楷体_GB2312"/>
          <w:b/>
          <w:sz w:val="30"/>
          <w:szCs w:val="30"/>
          <w:lang w:val="zh-CN"/>
        </w:rPr>
      </w:pPr>
      <w:r>
        <w:rPr>
          <w:rFonts w:hint="eastAsia" w:ascii="楷体_GB2312" w:hAnsi="宋体" w:eastAsia="楷体_GB2312"/>
          <w:b/>
          <w:sz w:val="30"/>
          <w:szCs w:val="30"/>
          <w:lang w:val="zh-CN"/>
        </w:rPr>
        <w:t>（一）项目完成情况。</w:t>
      </w:r>
    </w:p>
    <w:p>
      <w:pPr>
        <w:widowControl/>
        <w:numPr>
          <w:ilvl w:val="0"/>
          <w:numId w:val="0"/>
        </w:numPr>
        <w:spacing w:line="578" w:lineRule="exact"/>
        <w:ind w:firstLine="600" w:firstLineChars="200"/>
        <w:jc w:val="left"/>
        <w:rPr>
          <w:rFonts w:hint="eastAsia" w:ascii="仿宋" w:hAnsi="仿宋" w:eastAsia="仿宋" w:cs="宋体"/>
          <w:kern w:val="0"/>
          <w:sz w:val="30"/>
          <w:szCs w:val="30"/>
          <w:lang w:val="zh-CN"/>
        </w:rPr>
      </w:pPr>
      <w:r>
        <w:rPr>
          <w:rFonts w:hint="eastAsia" w:ascii="仿宋" w:hAnsi="仿宋" w:eastAsia="仿宋" w:cs="宋体"/>
          <w:kern w:val="0"/>
          <w:sz w:val="30"/>
          <w:szCs w:val="30"/>
          <w:lang w:val="zh-CN"/>
        </w:rPr>
        <w:t>包括项目完成数量、质量、时效、成本等情况，对照项目计划完成目标，对截止评价时点的任务量完成、质量标准、进度计划、成本控制目标的实现程度进行评价，并进行分析说明。</w:t>
      </w:r>
    </w:p>
    <w:p>
      <w:pPr>
        <w:adjustRightInd w:val="0"/>
        <w:snapToGrid w:val="0"/>
        <w:spacing w:line="580" w:lineRule="exact"/>
        <w:ind w:firstLine="720"/>
        <w:rPr>
          <w:rFonts w:ascii="楷体_GB2312" w:hAnsi="宋体" w:eastAsia="楷体_GB2312"/>
          <w:b/>
          <w:sz w:val="30"/>
          <w:szCs w:val="30"/>
          <w:lang w:val="zh-CN"/>
        </w:rPr>
      </w:pPr>
      <w:r>
        <w:rPr>
          <w:rFonts w:hint="eastAsia" w:ascii="楷体_GB2312" w:hAnsi="宋体" w:eastAsia="楷体_GB2312"/>
          <w:b/>
          <w:sz w:val="30"/>
          <w:szCs w:val="30"/>
          <w:lang w:val="zh-CN"/>
        </w:rPr>
        <w:t>（二）项目效益情况。</w:t>
      </w:r>
    </w:p>
    <w:p>
      <w:pPr>
        <w:adjustRightInd w:val="0"/>
        <w:snapToGrid w:val="0"/>
        <w:spacing w:line="580" w:lineRule="exact"/>
        <w:ind w:firstLine="720"/>
        <w:rPr>
          <w:rFonts w:ascii="仿宋_GB2312" w:hAnsi="宋体"/>
          <w:sz w:val="30"/>
          <w:szCs w:val="30"/>
          <w:lang w:val="zh-CN"/>
        </w:rPr>
      </w:pPr>
      <w:r>
        <w:rPr>
          <w:rFonts w:hint="eastAsia" w:ascii="仿宋" w:hAnsi="仿宋" w:eastAsia="仿宋" w:cs="宋体"/>
          <w:kern w:val="0"/>
          <w:sz w:val="30"/>
          <w:szCs w:val="30"/>
          <w:lang w:val="zh-CN"/>
        </w:rPr>
        <w:t>从项目经济效益、社会效益、生态效益、可持续效益、公平性以及服务对象满意度等方面对项目效益进行全面分析评价</w:t>
      </w:r>
      <w:r>
        <w:rPr>
          <w:rFonts w:hint="eastAsia" w:ascii="仿宋_GB2312" w:hAnsi="宋体"/>
          <w:sz w:val="30"/>
          <w:szCs w:val="30"/>
          <w:lang w:val="zh-CN"/>
        </w:rPr>
        <w:t>。</w:t>
      </w:r>
    </w:p>
    <w:p>
      <w:pPr>
        <w:numPr>
          <w:ilvl w:val="0"/>
          <w:numId w:val="5"/>
        </w:numPr>
        <w:spacing w:line="600" w:lineRule="exact"/>
        <w:ind w:firstLine="600" w:firstLineChars="200"/>
        <w:rPr>
          <w:rFonts w:hint="default" w:ascii="黑体" w:hAnsi="黑体" w:eastAsia="黑体"/>
          <w:sz w:val="30"/>
          <w:szCs w:val="30"/>
          <w:lang w:val="en-US" w:eastAsia="zh-CN"/>
        </w:rPr>
      </w:pPr>
      <w:r>
        <w:rPr>
          <w:rFonts w:hint="eastAsia" w:ascii="黑体" w:hAnsi="黑体" w:eastAsia="黑体"/>
          <w:sz w:val="30"/>
          <w:szCs w:val="30"/>
        </w:rPr>
        <w:t>主要经验及做法、存在的问题及原因分析</w:t>
      </w:r>
      <w:r>
        <w:rPr>
          <w:rFonts w:hint="eastAsia" w:ascii="黑体" w:hAnsi="黑体" w:eastAsia="黑体"/>
          <w:sz w:val="30"/>
          <w:szCs w:val="30"/>
          <w:lang w:val="en-US" w:eastAsia="zh-CN"/>
        </w:rPr>
        <w:t xml:space="preserve">  </w:t>
      </w:r>
    </w:p>
    <w:p>
      <w:pPr>
        <w:adjustRightInd w:val="0"/>
        <w:snapToGrid w:val="0"/>
        <w:spacing w:line="580" w:lineRule="exact"/>
        <w:ind w:firstLine="720"/>
        <w:rPr>
          <w:rFonts w:hint="eastAsia" w:ascii="仿宋" w:hAnsi="仿宋" w:eastAsia="仿宋" w:cs="宋体"/>
          <w:kern w:val="0"/>
          <w:sz w:val="30"/>
          <w:szCs w:val="30"/>
          <w:lang w:val="zh-CN"/>
        </w:rPr>
      </w:pPr>
      <w:r>
        <w:rPr>
          <w:rFonts w:hint="eastAsia" w:ascii="仿宋" w:hAnsi="仿宋" w:eastAsia="仿宋" w:cs="宋体"/>
          <w:kern w:val="0"/>
          <w:sz w:val="30"/>
          <w:szCs w:val="30"/>
          <w:lang w:val="zh-CN"/>
        </w:rPr>
        <w:t>因地方财力有限，资金配套有一定困难。</w:t>
      </w:r>
    </w:p>
    <w:p>
      <w:pPr>
        <w:numPr>
          <w:ilvl w:val="0"/>
          <w:numId w:val="0"/>
        </w:numPr>
        <w:spacing w:line="600" w:lineRule="exact"/>
        <w:rPr>
          <w:rFonts w:hint="eastAsia" w:ascii="仿宋_GB2312"/>
          <w:sz w:val="30"/>
          <w:szCs w:val="30"/>
          <w:lang w:val="en-US" w:eastAsia="zh-CN"/>
        </w:rPr>
      </w:pPr>
      <w:r>
        <w:rPr>
          <w:rFonts w:hint="eastAsia" w:ascii="仿宋_GB2312"/>
          <w:sz w:val="30"/>
          <w:szCs w:val="30"/>
          <w:lang w:val="en-US" w:eastAsia="zh-CN"/>
        </w:rPr>
        <w:t xml:space="preserve">                      </w:t>
      </w:r>
    </w:p>
    <w:p>
      <w:pPr>
        <w:pStyle w:val="2"/>
        <w:rPr>
          <w:rFonts w:hint="eastAsia" w:ascii="仿宋_GB2312"/>
          <w:sz w:val="30"/>
          <w:szCs w:val="30"/>
          <w:lang w:val="en-US" w:eastAsia="zh-CN"/>
        </w:rPr>
      </w:pPr>
    </w:p>
    <w:p>
      <w:pPr>
        <w:pStyle w:val="2"/>
        <w:rPr>
          <w:rFonts w:hint="eastAsia" w:ascii="仿宋_GB2312"/>
          <w:sz w:val="30"/>
          <w:szCs w:val="30"/>
          <w:lang w:val="en-US" w:eastAsia="zh-CN"/>
        </w:rPr>
      </w:pPr>
    </w:p>
    <w:p>
      <w:pPr>
        <w:pStyle w:val="2"/>
        <w:rPr>
          <w:rFonts w:hint="eastAsia" w:ascii="仿宋_GB2312"/>
          <w:sz w:val="30"/>
          <w:szCs w:val="30"/>
          <w:lang w:val="en-US" w:eastAsia="zh-CN"/>
        </w:rPr>
      </w:pPr>
    </w:p>
    <w:p>
      <w:pPr>
        <w:pStyle w:val="2"/>
        <w:rPr>
          <w:rFonts w:hint="eastAsia" w:ascii="仿宋_GB2312"/>
          <w:sz w:val="30"/>
          <w:szCs w:val="30"/>
          <w:lang w:val="en-US" w:eastAsia="zh-CN"/>
        </w:rPr>
      </w:pPr>
    </w:p>
    <w:p>
      <w:pPr>
        <w:pStyle w:val="2"/>
        <w:rPr>
          <w:rFonts w:hint="eastAsia" w:ascii="仿宋_GB2312"/>
          <w:sz w:val="30"/>
          <w:szCs w:val="30"/>
          <w:lang w:val="en-US" w:eastAsia="zh-CN"/>
        </w:rPr>
      </w:pPr>
    </w:p>
    <w:p>
      <w:pPr>
        <w:pStyle w:val="2"/>
        <w:rPr>
          <w:rFonts w:hint="eastAsia" w:ascii="仿宋_GB2312"/>
          <w:sz w:val="30"/>
          <w:szCs w:val="30"/>
          <w:lang w:val="en-US" w:eastAsia="zh-CN"/>
        </w:rPr>
      </w:pPr>
    </w:p>
    <w:p>
      <w:pPr>
        <w:pStyle w:val="2"/>
        <w:rPr>
          <w:rFonts w:hint="eastAsia" w:ascii="仿宋_GB2312"/>
          <w:sz w:val="30"/>
          <w:szCs w:val="30"/>
          <w:lang w:val="en-US" w:eastAsia="zh-CN"/>
        </w:rPr>
      </w:pPr>
    </w:p>
    <w:p>
      <w:pPr>
        <w:pStyle w:val="2"/>
        <w:rPr>
          <w:rFonts w:hint="eastAsia" w:ascii="仿宋_GB2312"/>
          <w:sz w:val="30"/>
          <w:szCs w:val="30"/>
          <w:lang w:val="en-US" w:eastAsia="zh-CN"/>
        </w:rPr>
      </w:pPr>
    </w:p>
    <w:p>
      <w:pPr>
        <w:pStyle w:val="2"/>
        <w:rPr>
          <w:rFonts w:hint="eastAsia" w:ascii="仿宋_GB2312"/>
          <w:sz w:val="30"/>
          <w:szCs w:val="30"/>
          <w:lang w:val="en-US" w:eastAsia="zh-CN"/>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eastAsia="zh-CN"/>
        </w:rPr>
      </w:pPr>
    </w:p>
    <w:p>
      <w:pPr>
        <w:autoSpaceDE w:val="0"/>
        <w:spacing w:line="540" w:lineRule="exact"/>
        <w:ind w:left="0" w:leftChars="0" w:firstLine="0" w:firstLineChars="0"/>
        <w:jc w:val="center"/>
        <w:rPr>
          <w:rFonts w:hint="eastAsia" w:ascii="宋体" w:hAnsi="Times New Roman" w:eastAsia="宋体" w:cs="Times New Roman"/>
          <w:spacing w:val="-6"/>
          <w:szCs w:val="21"/>
        </w:rPr>
      </w:pPr>
      <w:bookmarkStart w:id="134" w:name="_GoBack"/>
      <w:bookmarkEnd w:id="134"/>
      <w:r>
        <w:rPr>
          <w:rFonts w:hint="eastAsia" w:ascii="方正大标宋简体" w:hAnsi="??" w:eastAsia="方正大标宋简体" w:cs="Times New Roman"/>
          <w:b/>
          <w:color w:val="000000"/>
          <w:spacing w:val="-6"/>
          <w:kern w:val="0"/>
          <w:sz w:val="44"/>
          <w:szCs w:val="44"/>
          <w:lang w:eastAsia="zh-CN"/>
        </w:rPr>
        <w:t>粮库</w:t>
      </w:r>
      <w:r>
        <w:rPr>
          <w:rFonts w:hint="eastAsia" w:ascii="方正大标宋简体" w:hAnsi="??" w:eastAsia="方正大标宋简体" w:cs="Times New Roman"/>
          <w:b/>
          <w:color w:val="000000"/>
          <w:spacing w:val="-6"/>
          <w:kern w:val="0"/>
          <w:sz w:val="44"/>
          <w:szCs w:val="44"/>
          <w:lang w:val="en-US" w:eastAsia="zh-CN"/>
        </w:rPr>
        <w:t>洪灾水毁修复</w:t>
      </w:r>
      <w:r>
        <w:rPr>
          <w:rFonts w:hint="eastAsia" w:ascii="方正大标宋简体" w:hAnsi="??" w:eastAsia="方正大标宋简体" w:cs="Times New Roman"/>
          <w:b/>
          <w:color w:val="000000"/>
          <w:spacing w:val="-6"/>
          <w:kern w:val="0"/>
          <w:sz w:val="44"/>
          <w:szCs w:val="44"/>
        </w:rPr>
        <w:t>项目支出绩效自评报告</w:t>
      </w:r>
    </w:p>
    <w:p>
      <w:pPr>
        <w:autoSpaceDE w:val="0"/>
        <w:spacing w:line="540" w:lineRule="exact"/>
        <w:ind w:firstLine="616" w:firstLineChars="200"/>
        <w:rPr>
          <w:rFonts w:hint="eastAsia" w:ascii="黑体" w:hAnsi="黑体" w:eastAsia="黑体" w:cs="Times New Roman"/>
          <w:spacing w:val="-6"/>
          <w:sz w:val="32"/>
          <w:szCs w:val="32"/>
        </w:rPr>
      </w:pP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widowControl/>
        <w:spacing w:line="578" w:lineRule="exact"/>
        <w:ind w:firstLine="564" w:firstLineChars="188"/>
        <w:jc w:val="left"/>
        <w:rPr>
          <w:rFonts w:hint="eastAsia" w:ascii="仿宋_GB2312"/>
          <w:sz w:val="30"/>
          <w:szCs w:val="30"/>
        </w:rPr>
      </w:pPr>
      <w:r>
        <w:rPr>
          <w:rFonts w:hint="eastAsia" w:ascii="仿宋_GB2312"/>
          <w:sz w:val="30"/>
          <w:szCs w:val="30"/>
        </w:rPr>
        <w:t>（一）项目基本情况。</w:t>
      </w:r>
    </w:p>
    <w:p>
      <w:pPr>
        <w:spacing w:line="576" w:lineRule="exact"/>
        <w:ind w:firstLine="640" w:firstLineChars="200"/>
        <w:rPr>
          <w:rFonts w:hint="eastAsia" w:ascii="仿宋_GB2312" w:cs="宋体"/>
          <w:kern w:val="0"/>
          <w:sz w:val="30"/>
          <w:szCs w:val="30"/>
          <w:lang w:val="en-US" w:eastAsia="zh-CN"/>
        </w:rPr>
      </w:pPr>
      <w:r>
        <w:rPr>
          <w:rFonts w:hint="eastAsia" w:ascii="仿宋_GB2312" w:hAnsi="仿宋_GB2312" w:eastAsia="仿宋_GB2312" w:cs="仿宋_GB2312"/>
          <w:sz w:val="32"/>
          <w:szCs w:val="32"/>
        </w:rPr>
        <w:t>为深入贯彻习近平总书记关于防汛减灾重要指示批示精神，全面落实省、市、区委政府关于防汛减灾工作的相关部署，坚持人民至上、生命至上，始终保持高度警惕，全力抓好行业安全生产工作。今年入汛以来，我区多地普降大到暴雨持续时间较长，造成朝天、羊木、文昌路粮库、道路、堡坎、院墙院坝等不同程度的受灾受损，为及时对受灾受损的粮库设施进行修复，确保粮库储粮安全稳定</w:t>
      </w:r>
      <w:r>
        <w:rPr>
          <w:rFonts w:hint="eastAsia" w:ascii="仿宋_GB2312" w:hAnsi="仿宋_GB2312" w:eastAsia="仿宋_GB2312" w:cs="仿宋_GB2312"/>
          <w:sz w:val="32"/>
          <w:szCs w:val="32"/>
          <w:lang w:eastAsia="zh-CN"/>
        </w:rPr>
        <w:t>。</w:t>
      </w:r>
      <w:r>
        <w:rPr>
          <w:rFonts w:hint="eastAsia" w:ascii="仿宋_GB2312" w:cs="宋体"/>
          <w:kern w:val="0"/>
          <w:sz w:val="30"/>
          <w:szCs w:val="30"/>
          <w:lang w:val="en-US" w:eastAsia="zh-CN"/>
        </w:rPr>
        <w:t xml:space="preserve"> </w:t>
      </w:r>
      <w:r>
        <w:rPr>
          <w:rFonts w:hint="eastAsia" w:ascii="仿宋_GB2312" w:hAnsi="Times New Roman" w:eastAsia="仿宋_GB2312"/>
          <w:bCs/>
          <w:sz w:val="32"/>
          <w:szCs w:val="32"/>
        </w:rPr>
        <w:t>进一步排查摸清我区粮食行业今年因暴雨导致的受灾受损情况，排除安全隐患，力争在10月底对各粮库水毁设施全面修复完成，为行业安全生产提供坚实保障。</w:t>
      </w:r>
    </w:p>
    <w:p>
      <w:pPr>
        <w:pageBreakBefore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sz w:val="32"/>
          <w:szCs w:val="32"/>
        </w:rPr>
        <w:t>（二）项目预算情况：</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年初预算</w:t>
      </w:r>
      <w:r>
        <w:rPr>
          <w:rFonts w:hint="eastAsia" w:ascii="仿宋_GB2312" w:hAnsi="宋体" w:eastAsia="仿宋_GB2312" w:cs="Times New Roman"/>
          <w:spacing w:val="-6"/>
          <w:sz w:val="32"/>
          <w:szCs w:val="32"/>
          <w:lang w:eastAsia="zh-CN"/>
        </w:rPr>
        <w:t>粮库</w:t>
      </w:r>
      <w:r>
        <w:rPr>
          <w:rFonts w:hint="eastAsia" w:ascii="仿宋_GB2312" w:hAnsi="宋体" w:eastAsia="仿宋_GB2312" w:cs="Times New Roman"/>
          <w:spacing w:val="-6"/>
          <w:sz w:val="32"/>
          <w:szCs w:val="32"/>
          <w:lang w:val="en-US" w:eastAsia="zh-CN"/>
        </w:rPr>
        <w:t>洪灾水毁修复资金40</w:t>
      </w:r>
      <w:r>
        <w:rPr>
          <w:rFonts w:hint="eastAsia" w:ascii="仿宋_GB2312" w:hAnsi="仿宋_GB2312" w:eastAsia="仿宋_GB2312" w:cs="仿宋_GB2312"/>
          <w:sz w:val="32"/>
          <w:szCs w:val="32"/>
        </w:rPr>
        <w:t>万元，项目资金经财政局批复下达后，全部用于项目支出，申报及批复均符合资金管理办法等相关规定。</w:t>
      </w:r>
    </w:p>
    <w:p>
      <w:pPr>
        <w:spacing w:line="560" w:lineRule="exact"/>
        <w:ind w:firstLine="640" w:firstLineChars="200"/>
        <w:rPr>
          <w:rFonts w:hint="eastAsia" w:ascii="黑体" w:hAnsi="黑体" w:eastAsia="黑体"/>
          <w:b/>
          <w:sz w:val="32"/>
          <w:szCs w:val="32"/>
        </w:rPr>
      </w:pPr>
      <w:r>
        <w:rPr>
          <w:rFonts w:hint="eastAsia" w:ascii="仿宋_GB2312" w:hAnsi="仿宋" w:eastAsia="仿宋_GB2312"/>
          <w:sz w:val="32"/>
          <w:szCs w:val="32"/>
        </w:rPr>
        <w:t>（三）项目绩效目标：项目预期预算绩效目标和绩效指标设定情况，包括预期总目标及阶段性目标，衡量绩效目标实现程度的评价指标、标准等。</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pageBreakBefore w:val="0"/>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sz w:val="32"/>
          <w:szCs w:val="32"/>
        </w:rPr>
      </w:pPr>
      <w:r>
        <w:rPr>
          <w:rFonts w:hint="eastAsia" w:ascii="仿宋_GB2312" w:hAnsi="Times New Roman" w:eastAsia="仿宋_GB2312" w:cs="Times New Roman"/>
          <w:spacing w:val="-6"/>
          <w:sz w:val="32"/>
          <w:szCs w:val="32"/>
        </w:rPr>
        <w:t>1.资金计划及到位。</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年初预算</w:t>
      </w:r>
      <w:r>
        <w:rPr>
          <w:rFonts w:hint="eastAsia" w:ascii="仿宋_GB2312" w:hAnsi="宋体" w:eastAsia="仿宋_GB2312" w:cs="Times New Roman"/>
          <w:spacing w:val="-6"/>
          <w:sz w:val="32"/>
          <w:szCs w:val="32"/>
          <w:lang w:eastAsia="zh-CN"/>
        </w:rPr>
        <w:t>粮库</w:t>
      </w:r>
      <w:r>
        <w:rPr>
          <w:rFonts w:hint="eastAsia" w:ascii="仿宋_GB2312" w:hAnsi="宋体" w:eastAsia="仿宋_GB2312" w:cs="Times New Roman"/>
          <w:spacing w:val="-6"/>
          <w:sz w:val="32"/>
          <w:szCs w:val="32"/>
          <w:lang w:val="en-US" w:eastAsia="zh-CN"/>
        </w:rPr>
        <w:t>洪灾水毁修复资金40</w:t>
      </w:r>
      <w:r>
        <w:rPr>
          <w:rFonts w:hint="eastAsia" w:ascii="仿宋_GB2312" w:hAnsi="仿宋_GB2312" w:eastAsia="仿宋_GB2312" w:cs="仿宋_GB2312"/>
          <w:sz w:val="32"/>
          <w:szCs w:val="32"/>
        </w:rPr>
        <w:t>万元，项目资金经财政局批复下达后，全部用于项目支出，申报及批复均符合资金管理办法等相关规定。</w:t>
      </w:r>
    </w:p>
    <w:p>
      <w:pPr>
        <w:autoSpaceDE w:val="0"/>
        <w:spacing w:line="540" w:lineRule="exact"/>
        <w:ind w:firstLine="616" w:firstLineChars="200"/>
        <w:rPr>
          <w:rFonts w:hint="eastAsia" w:ascii="仿宋_GB2312" w:hAnsi="仿宋_GB2312" w:eastAsia="仿宋_GB2312" w:cs="仿宋_GB2312"/>
          <w:sz w:val="32"/>
          <w:szCs w:val="32"/>
          <w:lang w:val="zh-CN"/>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eastAsia="zh-CN"/>
        </w:rPr>
        <w:t>。</w:t>
      </w:r>
      <w:r>
        <w:rPr>
          <w:rFonts w:hint="eastAsia" w:ascii="仿宋_GB2312" w:hAnsi="仿宋_GB2312" w:eastAsia="仿宋_GB2312" w:cs="仿宋_GB2312"/>
          <w:sz w:val="32"/>
          <w:szCs w:val="32"/>
          <w:lang w:val="zh-CN"/>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val="zh-CN"/>
        </w:rPr>
        <w:t>年全年支出</w:t>
      </w:r>
      <w:r>
        <w:rPr>
          <w:rFonts w:hint="eastAsia" w:ascii="仿宋_GB2312" w:hAnsi="宋体" w:eastAsia="仿宋_GB2312" w:cs="Times New Roman"/>
          <w:spacing w:val="-6"/>
          <w:sz w:val="32"/>
          <w:szCs w:val="32"/>
          <w:lang w:eastAsia="zh-CN"/>
        </w:rPr>
        <w:t>粮库</w:t>
      </w:r>
      <w:r>
        <w:rPr>
          <w:rFonts w:hint="eastAsia" w:ascii="仿宋_GB2312" w:hAnsi="宋体" w:eastAsia="仿宋_GB2312" w:cs="Times New Roman"/>
          <w:spacing w:val="-6"/>
          <w:sz w:val="32"/>
          <w:szCs w:val="32"/>
          <w:lang w:val="en-US" w:eastAsia="zh-CN"/>
        </w:rPr>
        <w:t>洪灾水毁修复资金15</w:t>
      </w:r>
      <w:r>
        <w:rPr>
          <w:rFonts w:hint="eastAsia" w:ascii="仿宋_GB2312" w:hAnsi="仿宋_GB2312" w:eastAsia="仿宋_GB2312" w:cs="仿宋_GB2312"/>
          <w:sz w:val="32"/>
          <w:szCs w:val="32"/>
          <w:lang w:val="zh-CN"/>
        </w:rPr>
        <w:t>万元，结余</w:t>
      </w:r>
      <w:r>
        <w:rPr>
          <w:rFonts w:hint="eastAsia" w:ascii="仿宋_GB2312" w:hAnsi="仿宋_GB2312" w:eastAsia="仿宋_GB2312" w:cs="仿宋_GB2312"/>
          <w:sz w:val="32"/>
          <w:szCs w:val="32"/>
          <w:lang w:val="en-US" w:eastAsia="zh-CN"/>
        </w:rPr>
        <w:t>25万元。</w:t>
      </w:r>
      <w:r>
        <w:rPr>
          <w:rFonts w:hint="eastAsia" w:ascii="仿宋_GB2312" w:hAnsi="仿宋_GB2312" w:eastAsia="仿宋_GB2312" w:cs="仿宋_GB2312"/>
          <w:sz w:val="32"/>
          <w:szCs w:val="32"/>
          <w:lang w:val="zh-CN"/>
        </w:rPr>
        <w:t>主要用于新打</w:t>
      </w:r>
      <w:r>
        <w:rPr>
          <w:rFonts w:hint="eastAsia" w:cs="仿宋_GB2312"/>
          <w:sz w:val="32"/>
          <w:szCs w:val="32"/>
          <w:lang w:val="zh-CN"/>
        </w:rPr>
        <w:t>混凝土</w:t>
      </w:r>
      <w:r>
        <w:rPr>
          <w:rFonts w:hint="eastAsia" w:ascii="仿宋_GB2312" w:hAnsi="仿宋_GB2312" w:eastAsia="仿宋_GB2312" w:cs="仿宋_GB2312"/>
          <w:sz w:val="32"/>
          <w:szCs w:val="32"/>
          <w:lang w:val="zh-CN"/>
        </w:rPr>
        <w:t>院坝1000平方米、堡坎20米、花台、围墙，预埋钢结构底座，配套附属设施；恢复羊木粮库路面15米；排危伐树，回填原水池，维修文昌路仓房屋顶600平方米，墙面翻新，恢复院坝200平方米。新做花台80米，堡坎10米，新建</w:t>
      </w:r>
      <w:r>
        <w:rPr>
          <w:rFonts w:hint="eastAsia" w:cs="仿宋_GB2312"/>
          <w:sz w:val="32"/>
          <w:szCs w:val="32"/>
          <w:lang w:val="zh-CN"/>
        </w:rPr>
        <w:t>混凝土</w:t>
      </w:r>
      <w:r>
        <w:rPr>
          <w:rFonts w:hint="eastAsia" w:ascii="仿宋_GB2312" w:hAnsi="仿宋_GB2312" w:eastAsia="仿宋_GB2312" w:cs="仿宋_GB2312"/>
          <w:sz w:val="32"/>
          <w:szCs w:val="32"/>
          <w:lang w:val="zh-CN"/>
        </w:rPr>
        <w:t xml:space="preserve">梯步、栏杆，维修大门，绿化，健身器材等。                                  </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pageBreakBefore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1.依法设立会计机构，分设了出纳。</w:t>
      </w:r>
    </w:p>
    <w:p>
      <w:pPr>
        <w:pageBreakBefore w:val="0"/>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2.内部管理制度。内部财务管理制度健全，主要建立了《货币资金管理制度》、《岗位责任书》、《财务费用审批制度》、《会计档案管理制度》、《资产管理制度》等。</w:t>
      </w:r>
    </w:p>
    <w:p>
      <w:pPr>
        <w:pageBreakBefore w:val="0"/>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会计核算。依法建账，使用政府财务会计制度，建立了《总账》、《现金日记账》、《银行存款日记账》以及相应的《明细账》，使用合法、内容真实、要素齐全并经审核的原始单据作为编制记账凭证依据，正确核算收支、往来款项及各项资产。</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仿宋_GB2312" w:hAnsi="Times New Roman" w:eastAsia="仿宋_GB2312" w:cs="Times New Roman"/>
          <w:spacing w:val="-6"/>
          <w:sz w:val="32"/>
          <w:szCs w:val="32"/>
        </w:rPr>
        <w:t>说明项目组织管理架构及具体实施流程，主要包括机构设置、监管措施、执行相关管理制度（如招投标、政府采购、项目公示等）相关情况，其中：基建项目还应介绍基本建设程序执行情况，并对相关问题进行说明。</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（一）项目完成情况</w:t>
      </w:r>
    </w:p>
    <w:p>
      <w:pPr>
        <w:autoSpaceDE w:val="0"/>
        <w:spacing w:line="540" w:lineRule="exact"/>
        <w:ind w:firstLine="600" w:firstLineChars="200"/>
        <w:rPr>
          <w:rFonts w:hint="eastAsia" w:ascii="仿宋_GB2312"/>
          <w:sz w:val="30"/>
          <w:szCs w:val="30"/>
        </w:rPr>
      </w:pPr>
      <w:r>
        <w:rPr>
          <w:rFonts w:hint="eastAsia" w:ascii="仿宋_GB2312"/>
          <w:sz w:val="30"/>
          <w:szCs w:val="30"/>
        </w:rPr>
        <w:t>我区成立了项目工作领导小组，区粮食</w:t>
      </w:r>
      <w:r>
        <w:rPr>
          <w:rFonts w:hint="eastAsia" w:ascii="仿宋_GB2312"/>
          <w:sz w:val="30"/>
          <w:szCs w:val="30"/>
          <w:lang w:val="en-US" w:eastAsia="zh-CN"/>
        </w:rPr>
        <w:t>和物资储备中心</w:t>
      </w:r>
      <w:r>
        <w:rPr>
          <w:rFonts w:hint="eastAsia" w:ascii="仿宋_GB2312"/>
          <w:sz w:val="30"/>
          <w:szCs w:val="30"/>
        </w:rPr>
        <w:t>成立了项目实施工作领导小组，对项目进行监管和指导，项目严格按照程序操作，实行政府公开招标，施工过程中严格按照质量要求进行，项目组织管理有序、实施规范、建设顺利。</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（二）项目效益情况</w:t>
      </w:r>
    </w:p>
    <w:p>
      <w:pPr>
        <w:adjustRightInd w:val="0"/>
        <w:snapToGrid w:val="0"/>
        <w:spacing w:line="580" w:lineRule="exact"/>
        <w:ind w:firstLine="720"/>
        <w:rPr>
          <w:rFonts w:ascii="仿宋_GB2312" w:hAnsi="宋体"/>
          <w:sz w:val="30"/>
          <w:szCs w:val="30"/>
          <w:lang w:val="zh-CN"/>
        </w:rPr>
      </w:pPr>
      <w:r>
        <w:rPr>
          <w:rFonts w:hint="eastAsia" w:ascii="仿宋_GB2312" w:hAnsi="宋体"/>
          <w:sz w:val="30"/>
          <w:szCs w:val="30"/>
          <w:lang w:val="zh-CN"/>
        </w:rPr>
        <w:t>从项目经济效益、社会效益、生态效益、可持续效益、公平性以及服务对象满意度等方面对项目效益进行全面分析评价。</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四、问题及建议</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楷体_GB2312" w:hAnsi="Times New Roman" w:eastAsia="楷体_GB2312" w:cs="Times New Roman"/>
          <w:bCs/>
          <w:spacing w:val="-6"/>
          <w:sz w:val="32"/>
          <w:szCs w:val="32"/>
          <w:lang w:eastAsia="zh-CN"/>
        </w:rPr>
      </w:pPr>
      <w:r>
        <w:rPr>
          <w:rFonts w:hint="eastAsia" w:ascii="楷体_GB2312" w:hAnsi="Times New Roman" w:eastAsia="楷体_GB2312" w:cs="Times New Roman"/>
          <w:bCs/>
          <w:spacing w:val="-6"/>
          <w:sz w:val="32"/>
          <w:szCs w:val="32"/>
        </w:rPr>
        <w:t>（一）存在的问题</w:t>
      </w:r>
      <w:r>
        <w:rPr>
          <w:rFonts w:hint="eastAsia" w:ascii="楷体_GB2312" w:hAnsi="Times New Roman" w:eastAsia="楷体_GB2312" w:cs="Times New Roman"/>
          <w:bCs/>
          <w:spacing w:val="-6"/>
          <w:sz w:val="32"/>
          <w:szCs w:val="32"/>
          <w:lang w:eastAsia="zh-CN"/>
        </w:rPr>
        <w:t>：</w:t>
      </w:r>
      <w:r>
        <w:rPr>
          <w:rFonts w:hint="eastAsia" w:ascii="仿宋_GB2312" w:hAnsi="Times New Roman" w:eastAsia="仿宋_GB2312" w:cs="Times New Roman"/>
          <w:color w:val="000000"/>
          <w:kern w:val="0"/>
          <w:sz w:val="32"/>
          <w:szCs w:val="32"/>
          <w:shd w:val="clear" w:color="auto" w:fill="FFFFFF"/>
          <w:lang w:val="en-US" w:eastAsia="zh-CN" w:bidi="ar-SA"/>
        </w:rPr>
        <w:t>财政管理还不够规范，财经纪律还有待进一步加强。</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楷体_GB2312" w:hAnsi="Times New Roman" w:eastAsia="楷体_GB2312" w:cs="Times New Roman"/>
          <w:bCs/>
          <w:spacing w:val="-6"/>
          <w:sz w:val="32"/>
          <w:szCs w:val="32"/>
          <w:lang w:val="en-US" w:eastAsia="zh-TW"/>
        </w:rPr>
      </w:pPr>
      <w:r>
        <w:rPr>
          <w:rFonts w:hint="eastAsia" w:ascii="楷体_GB2312" w:hAnsi="Times New Roman" w:eastAsia="楷体_GB2312" w:cs="Times New Roman"/>
          <w:bCs/>
          <w:spacing w:val="-6"/>
          <w:sz w:val="32"/>
          <w:szCs w:val="32"/>
        </w:rPr>
        <w:t>（二）相关建议。</w:t>
      </w:r>
      <w:r>
        <w:rPr>
          <w:rFonts w:hint="eastAsia" w:ascii="楷体_GB2312" w:hAnsi="Times New Roman" w:eastAsia="楷体_GB2312" w:cs="Times New Roman"/>
          <w:bCs/>
          <w:spacing w:val="-6"/>
          <w:sz w:val="32"/>
          <w:szCs w:val="32"/>
          <w:lang w:val="en-US" w:eastAsia="zh-TW"/>
        </w:rPr>
        <w:t>提高舆论引导水平，壮大工作队伍，扩大对外</w:t>
      </w:r>
      <w:r>
        <w:rPr>
          <w:rFonts w:hint="eastAsia" w:ascii="楷体_GB2312" w:hAnsi="Times New Roman" w:eastAsia="楷体_GB2312" w:cs="Times New Roman"/>
          <w:bCs/>
          <w:spacing w:val="-6"/>
          <w:sz w:val="32"/>
          <w:szCs w:val="32"/>
          <w:lang w:val="en-US" w:eastAsia="zh-CN"/>
        </w:rPr>
        <w:t>宣传</w:t>
      </w:r>
      <w:r>
        <w:rPr>
          <w:rFonts w:hint="eastAsia" w:ascii="楷体_GB2312" w:hAnsi="Times New Roman" w:eastAsia="楷体_GB2312" w:cs="Times New Roman"/>
          <w:bCs/>
          <w:spacing w:val="-6"/>
          <w:sz w:val="32"/>
          <w:szCs w:val="32"/>
          <w:lang w:val="en-US" w:eastAsia="zh-TW"/>
        </w:rPr>
        <w:t>力度，拓宽舆情收集渠道和化解途径，努力在理论武装、舆论引导等意识形态工作方面取得新进展。</w:t>
      </w:r>
    </w:p>
    <w:p>
      <w:pPr>
        <w:pStyle w:val="3"/>
        <w:bidi w:val="0"/>
        <w:ind w:left="0" w:leftChars="0" w:right="0" w:rightChars="0" w:firstLine="0" w:firstLineChars="0"/>
        <w:jc w:val="center"/>
        <w:rPr>
          <w:rFonts w:hint="eastAsia" w:ascii="黑体" w:hAnsi="黑体" w:eastAsia="黑体" w:cs="黑体"/>
        </w:rPr>
      </w:pPr>
      <w:bookmarkStart w:id="120" w:name="_Toc28913"/>
      <w:bookmarkStart w:id="121" w:name="_Toc15396618"/>
    </w:p>
    <w:p>
      <w:pPr>
        <w:pStyle w:val="3"/>
        <w:bidi w:val="0"/>
        <w:ind w:left="0" w:leftChars="0" w:right="0" w:rightChars="0" w:firstLine="0" w:firstLineChars="0"/>
        <w:jc w:val="center"/>
        <w:rPr>
          <w:rFonts w:hint="eastAsia" w:ascii="黑体" w:hAnsi="黑体" w:eastAsia="黑体" w:cs="黑体"/>
        </w:rPr>
      </w:pPr>
    </w:p>
    <w:p>
      <w:pPr>
        <w:pStyle w:val="3"/>
        <w:bidi w:val="0"/>
        <w:ind w:left="0" w:leftChars="0" w:right="0" w:rightChars="0" w:firstLine="0" w:firstLineChars="0"/>
        <w:jc w:val="center"/>
        <w:rPr>
          <w:rFonts w:hint="eastAsia" w:ascii="黑体" w:hAnsi="黑体" w:eastAsia="黑体" w:cs="黑体"/>
        </w:rPr>
      </w:pPr>
    </w:p>
    <w:p>
      <w:pPr>
        <w:pStyle w:val="3"/>
        <w:bidi w:val="0"/>
        <w:ind w:left="0" w:leftChars="0" w:right="0" w:rightChars="0" w:firstLine="0" w:firstLineChars="0"/>
        <w:jc w:val="both"/>
        <w:rPr>
          <w:rFonts w:hint="eastAsia" w:ascii="黑体" w:hAnsi="黑体" w:eastAsia="黑体" w:cs="黑体"/>
        </w:rPr>
      </w:pPr>
    </w:p>
    <w:p>
      <w:pPr>
        <w:rPr>
          <w:rFonts w:hint="eastAsia"/>
        </w:rPr>
      </w:pPr>
    </w:p>
    <w:p>
      <w:pPr>
        <w:pStyle w:val="3"/>
        <w:bidi w:val="0"/>
        <w:ind w:left="0" w:leftChars="0" w:right="0" w:rightChars="0" w:firstLine="0" w:firstLineChars="0"/>
        <w:jc w:val="center"/>
        <w:rPr>
          <w:rFonts w:hint="eastAsia" w:ascii="黑体" w:hAnsi="黑体" w:eastAsia="黑体" w:cs="黑体"/>
        </w:rPr>
      </w:pPr>
    </w:p>
    <w:p>
      <w:pPr>
        <w:pStyle w:val="3"/>
        <w:bidi w:val="0"/>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rPr>
        <w:t xml:space="preserve">第五部分 </w:t>
      </w:r>
      <w:r>
        <w:rPr>
          <w:rFonts w:hint="eastAsia" w:ascii="黑体" w:hAnsi="黑体" w:eastAsia="黑体" w:cs="黑体"/>
          <w:lang w:val="en-US" w:eastAsia="zh-CN"/>
        </w:rPr>
        <w:t xml:space="preserve"> </w:t>
      </w:r>
      <w:r>
        <w:rPr>
          <w:rFonts w:hint="eastAsia" w:ascii="黑体" w:hAnsi="黑体" w:eastAsia="黑体" w:cs="黑体"/>
        </w:rPr>
        <w:t>附表</w:t>
      </w:r>
      <w:bookmarkEnd w:id="120"/>
    </w:p>
    <w:p>
      <w:pPr>
        <w:bidi w:val="0"/>
        <w:rPr>
          <w:rFonts w:hint="eastAsia"/>
        </w:rPr>
      </w:pPr>
      <w:bookmarkStart w:id="122" w:name="_Toc6439"/>
    </w:p>
    <w:p>
      <w:pPr>
        <w:pStyle w:val="4"/>
        <w:bidi w:val="0"/>
        <w:rPr>
          <w:rFonts w:hint="eastAsia"/>
        </w:rPr>
      </w:pPr>
      <w:r>
        <w:rPr>
          <w:rFonts w:hint="eastAsia"/>
        </w:rPr>
        <w:t>一、收入支出决算总表</w:t>
      </w:r>
      <w:bookmarkEnd w:id="122"/>
    </w:p>
    <w:p>
      <w:pPr>
        <w:pStyle w:val="4"/>
        <w:bidi w:val="0"/>
        <w:rPr>
          <w:rFonts w:hint="eastAsia"/>
        </w:rPr>
      </w:pPr>
      <w:bookmarkStart w:id="123" w:name="_Toc19183"/>
      <w:r>
        <w:rPr>
          <w:rFonts w:hint="eastAsia"/>
        </w:rPr>
        <w:t>二、收入决算表</w:t>
      </w:r>
      <w:bookmarkEnd w:id="123"/>
    </w:p>
    <w:p>
      <w:pPr>
        <w:pStyle w:val="4"/>
        <w:bidi w:val="0"/>
        <w:rPr>
          <w:rFonts w:hint="eastAsia"/>
        </w:rPr>
      </w:pPr>
      <w:bookmarkStart w:id="124" w:name="_Toc29513"/>
      <w:r>
        <w:rPr>
          <w:rFonts w:hint="eastAsia"/>
        </w:rPr>
        <w:t>三、支出决算表</w:t>
      </w:r>
      <w:bookmarkEnd w:id="124"/>
    </w:p>
    <w:p>
      <w:pPr>
        <w:pStyle w:val="4"/>
        <w:bidi w:val="0"/>
        <w:rPr>
          <w:rFonts w:hint="eastAsia"/>
        </w:rPr>
      </w:pPr>
      <w:bookmarkStart w:id="125" w:name="_Toc19035"/>
      <w:r>
        <w:rPr>
          <w:rFonts w:hint="eastAsia"/>
        </w:rPr>
        <w:t>四、财政拨款收入支出决算总表</w:t>
      </w:r>
      <w:bookmarkEnd w:id="125"/>
    </w:p>
    <w:p>
      <w:pPr>
        <w:pStyle w:val="4"/>
        <w:bidi w:val="0"/>
        <w:rPr>
          <w:rFonts w:hint="eastAsia"/>
        </w:rPr>
      </w:pPr>
      <w:bookmarkStart w:id="126" w:name="_Toc31033"/>
      <w:r>
        <w:rPr>
          <w:rFonts w:hint="eastAsia"/>
        </w:rPr>
        <w:t>五、财政拨款支出决算明细表</w:t>
      </w:r>
      <w:bookmarkEnd w:id="126"/>
    </w:p>
    <w:p>
      <w:pPr>
        <w:pStyle w:val="4"/>
        <w:bidi w:val="0"/>
        <w:rPr>
          <w:rFonts w:hint="eastAsia"/>
        </w:rPr>
      </w:pPr>
      <w:bookmarkStart w:id="127" w:name="_Toc8976"/>
      <w:r>
        <w:rPr>
          <w:rFonts w:hint="eastAsia"/>
        </w:rPr>
        <w:t>六、一般公共预算财政拨款支出决算表</w:t>
      </w:r>
      <w:bookmarkEnd w:id="127"/>
    </w:p>
    <w:p>
      <w:pPr>
        <w:pStyle w:val="4"/>
        <w:bidi w:val="0"/>
        <w:rPr>
          <w:rFonts w:hint="eastAsia"/>
        </w:rPr>
      </w:pPr>
      <w:bookmarkStart w:id="128" w:name="_Toc20285"/>
      <w:r>
        <w:rPr>
          <w:rFonts w:hint="eastAsia"/>
          <w:lang w:val="en-US" w:eastAsia="zh-CN"/>
        </w:rPr>
        <w:t>七、一般公共预算财政拨款支出决算明细表</w:t>
      </w:r>
    </w:p>
    <w:p>
      <w:pPr>
        <w:pStyle w:val="4"/>
        <w:bidi w:val="0"/>
        <w:rPr>
          <w:rFonts w:hint="eastAsia"/>
        </w:rPr>
      </w:pPr>
      <w:r>
        <w:rPr>
          <w:rFonts w:hint="eastAsia"/>
        </w:rPr>
        <w:t>八、一般公共预算财政拨款基本支出决算表</w:t>
      </w:r>
      <w:bookmarkEnd w:id="128"/>
    </w:p>
    <w:p>
      <w:pPr>
        <w:pStyle w:val="4"/>
        <w:bidi w:val="0"/>
        <w:rPr>
          <w:rFonts w:hint="eastAsia"/>
        </w:rPr>
      </w:pPr>
      <w:bookmarkStart w:id="129" w:name="_Toc22619"/>
      <w:r>
        <w:rPr>
          <w:rFonts w:hint="eastAsia"/>
        </w:rPr>
        <w:t>九、一般公共预算财政拨款项目支出决算表</w:t>
      </w:r>
      <w:bookmarkEnd w:id="129"/>
    </w:p>
    <w:p>
      <w:pPr>
        <w:pStyle w:val="4"/>
        <w:bidi w:val="0"/>
        <w:rPr>
          <w:rFonts w:hint="eastAsia"/>
        </w:rPr>
      </w:pPr>
      <w:bookmarkStart w:id="130" w:name="_Toc7571"/>
      <w:r>
        <w:rPr>
          <w:rFonts w:hint="eastAsia"/>
        </w:rPr>
        <w:t>十、政府性基金预算财政拨款收入支出决算表</w:t>
      </w:r>
      <w:bookmarkEnd w:id="130"/>
    </w:p>
    <w:p>
      <w:pPr>
        <w:pStyle w:val="4"/>
        <w:bidi w:val="0"/>
        <w:rPr>
          <w:rFonts w:hint="eastAsia"/>
        </w:rPr>
      </w:pPr>
      <w:bookmarkStart w:id="131" w:name="_Toc28448"/>
      <w:r>
        <w:rPr>
          <w:rFonts w:hint="eastAsia"/>
        </w:rPr>
        <w:t>十一、国有资本经营预算</w:t>
      </w:r>
      <w:r>
        <w:rPr>
          <w:rFonts w:hint="eastAsia"/>
          <w:lang w:eastAsia="zh-CN"/>
        </w:rPr>
        <w:t>财政拨款收入</w:t>
      </w:r>
      <w:r>
        <w:rPr>
          <w:rFonts w:hint="eastAsia"/>
        </w:rPr>
        <w:t>支出决算表</w:t>
      </w:r>
      <w:bookmarkEnd w:id="131"/>
    </w:p>
    <w:p>
      <w:pPr>
        <w:pStyle w:val="4"/>
        <w:bidi w:val="0"/>
        <w:rPr>
          <w:rFonts w:hint="eastAsia"/>
        </w:rPr>
      </w:pPr>
      <w:bookmarkStart w:id="132" w:name="_Toc3597"/>
      <w:r>
        <w:rPr>
          <w:rFonts w:hint="eastAsia"/>
        </w:rPr>
        <w:t>十二、</w:t>
      </w:r>
      <w:bookmarkEnd w:id="132"/>
      <w:r>
        <w:rPr>
          <w:rFonts w:hint="eastAsia"/>
          <w:lang w:eastAsia="zh-CN"/>
        </w:rPr>
        <w:t>国有资本经营预算财政拨款支出决算表</w:t>
      </w:r>
    </w:p>
    <w:p>
      <w:pPr>
        <w:pStyle w:val="4"/>
        <w:bidi w:val="0"/>
        <w:rPr>
          <w:rFonts w:hint="eastAsia"/>
          <w:lang w:eastAsia="zh-CN"/>
        </w:rPr>
      </w:pPr>
      <w:bookmarkStart w:id="133" w:name="_Toc20729"/>
      <w:r>
        <w:rPr>
          <w:rFonts w:hint="eastAsia"/>
        </w:rPr>
        <w:t>十三、财政拨款“三公”经费支出决算表</w:t>
      </w:r>
      <w:bookmarkEnd w:id="92"/>
      <w:bookmarkEnd w:id="121"/>
      <w:bookmarkEnd w:id="133"/>
    </w:p>
    <w:sectPr>
      <w:footerReference r:id="rId9" w:type="first"/>
      <w:headerReference r:id="rId7" w:type="default"/>
      <w:footerReference r:id="rId8" w:type="default"/>
      <w:pgSz w:w="11906" w:h="16838"/>
      <w:pgMar w:top="2098" w:right="1474" w:bottom="1984" w:left="1587" w:header="851" w:footer="1417" w:gutter="0"/>
      <w:pgBorders>
        <w:top w:val="none" w:sz="0" w:space="0"/>
        <w:left w:val="none" w:sz="0" w:space="0"/>
        <w:bottom w:val="none" w:sz="0" w:space="0"/>
        <w:right w:val="none" w:sz="0" w:space="0"/>
      </w:pgBorders>
      <w:pgNumType w:fmt="decimal" w:start="1"/>
      <w:cols w:space="0" w:num="1"/>
      <w:titlePg/>
      <w:rtlGutter w:val="0"/>
      <w:docGrid w:type="lines" w:linePitch="45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Wingdings 2">
    <w:panose1 w:val="05020102010507070707"/>
    <w:charset w:val="00"/>
    <w:family w:val="auto"/>
    <w:pitch w:val="default"/>
    <w:sig w:usb0="00000000" w:usb1="00000000" w:usb2="00000000" w:usb3="00000000" w:csb0="80000000" w:csb1="00000000"/>
  </w:font>
  <w:font w:name="微软雅黑">
    <w:altName w:val="黑体"/>
    <w:panose1 w:val="020B0503020204020204"/>
    <w:charset w:val="86"/>
    <w:family w:val="auto"/>
    <w:pitch w:val="default"/>
    <w:sig w:usb0="00000000" w:usb1="00000000" w:usb2="00000016" w:usb3="00000000" w:csb0="0004001F" w:csb1="00000000"/>
  </w:font>
  <w:font w:name="方正大标宋简体">
    <w:altName w:val="宋体"/>
    <w:panose1 w:val="03000509000000000000"/>
    <w:charset w:val="86"/>
    <w:family w:val="script"/>
    <w:pitch w:val="default"/>
    <w:sig w:usb0="00000000" w:usb1="00000000" w:usb2="00000000" w:usb3="00000000" w:csb0="00040001" w:csb1="00000000"/>
  </w:font>
  <w:font w:name="??">
    <w:altName w:val="Mangal"/>
    <w:panose1 w:val="00000000000000000000"/>
    <w:charset w:val="00"/>
    <w:family w:val="auto"/>
    <w:pitch w:val="default"/>
    <w:sig w:usb0="0000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7108"/>
        <w:tab w:val="clear" w:pos="4153"/>
      </w:tabs>
      <w:rPr>
        <w:rFonts w:hint="eastAsia" w:eastAsia="仿宋_GB2312"/>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jc w:val="both"/>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fldChar w:fldCharType="begin"/>
                          </w:r>
                          <w:r>
                            <w:rPr>
                              <w:rFonts w:hint="eastAsia" w:ascii="Times New Roman" w:hAnsi="Times New Roman" w:cs="Times New Roman"/>
                              <w:sz w:val="28"/>
                              <w:szCs w:val="28"/>
                              <w:lang w:val="en-US" w:eastAsia="zh-CN"/>
                            </w:rPr>
                            <w:instrText xml:space="preserve"> PAGE  \* MERGEFORMAT </w:instrText>
                          </w:r>
                          <w:r>
                            <w:rPr>
                              <w:rFonts w:hint="eastAsia" w:ascii="Times New Roman" w:hAnsi="Times New Roman" w:cs="Times New Roman"/>
                              <w:sz w:val="28"/>
                              <w:szCs w:val="28"/>
                              <w:lang w:val="en-US" w:eastAsia="zh-CN"/>
                            </w:rPr>
                            <w:fldChar w:fldCharType="separate"/>
                          </w:r>
                          <w:r>
                            <w:rPr>
                              <w:rFonts w:hint="eastAsia" w:ascii="Times New Roman" w:hAnsi="Times New Roman" w:cs="Times New Roman"/>
                              <w:sz w:val="28"/>
                              <w:szCs w:val="28"/>
                              <w:lang w:val="en-US" w:eastAsia="zh-CN"/>
                            </w:rPr>
                            <w:t>2</w:t>
                          </w:r>
                          <w:r>
                            <w:rPr>
                              <w:rFonts w:hint="eastAsia" w:ascii="Times New Roman" w:hAnsi="Times New Roman" w:cs="Times New Roman"/>
                              <w:sz w:val="28"/>
                              <w:szCs w:val="28"/>
                              <w:lang w:val="en-US"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1"/>
                      <w:rPr>
                        <w:rFonts w:hint="eastAsia"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fldChar w:fldCharType="begin"/>
                    </w:r>
                    <w:r>
                      <w:rPr>
                        <w:rFonts w:hint="eastAsia" w:ascii="Times New Roman" w:hAnsi="Times New Roman" w:cs="Times New Roman"/>
                        <w:sz w:val="28"/>
                        <w:szCs w:val="28"/>
                        <w:lang w:val="en-US" w:eastAsia="zh-CN"/>
                      </w:rPr>
                      <w:instrText xml:space="preserve"> PAGE  \* MERGEFORMAT </w:instrText>
                    </w:r>
                    <w:r>
                      <w:rPr>
                        <w:rFonts w:hint="eastAsia" w:ascii="Times New Roman" w:hAnsi="Times New Roman" w:cs="Times New Roman"/>
                        <w:sz w:val="28"/>
                        <w:szCs w:val="28"/>
                        <w:lang w:val="en-US" w:eastAsia="zh-CN"/>
                      </w:rPr>
                      <w:fldChar w:fldCharType="separate"/>
                    </w:r>
                    <w:r>
                      <w:rPr>
                        <w:rFonts w:hint="eastAsia" w:ascii="Times New Roman" w:hAnsi="Times New Roman" w:cs="Times New Roman"/>
                        <w:sz w:val="28"/>
                        <w:szCs w:val="28"/>
                        <w:lang w:val="en-US" w:eastAsia="zh-CN"/>
                      </w:rPr>
                      <w:t>2</w:t>
                    </w:r>
                    <w:r>
                      <w:rPr>
                        <w:rFonts w:hint="eastAsia" w:ascii="Times New Roman" w:hAnsi="Times New Roman" w:cs="Times New Roman"/>
                        <w:sz w:val="28"/>
                        <w:szCs w:val="28"/>
                        <w:lang w:val="en-US"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fldChar w:fldCharType="begin"/>
                          </w:r>
                          <w:r>
                            <w:rPr>
                              <w:rFonts w:hint="eastAsia" w:ascii="Times New Roman" w:hAnsi="Times New Roman" w:cs="Times New Roman"/>
                              <w:sz w:val="28"/>
                              <w:szCs w:val="28"/>
                              <w:lang w:val="en-US" w:eastAsia="zh-CN"/>
                            </w:rPr>
                            <w:instrText xml:space="preserve"> PAGE  \* MERGEFORMAT </w:instrText>
                          </w:r>
                          <w:r>
                            <w:rPr>
                              <w:rFonts w:hint="eastAsia" w:ascii="Times New Roman" w:hAnsi="Times New Roman" w:cs="Times New Roman"/>
                              <w:sz w:val="28"/>
                              <w:szCs w:val="28"/>
                              <w:lang w:val="en-US" w:eastAsia="zh-CN"/>
                            </w:rPr>
                            <w:fldChar w:fldCharType="separate"/>
                          </w:r>
                          <w:r>
                            <w:rPr>
                              <w:rFonts w:hint="eastAsia" w:ascii="Times New Roman" w:hAnsi="Times New Roman" w:cs="Times New Roman"/>
                              <w:sz w:val="28"/>
                              <w:szCs w:val="28"/>
                              <w:lang w:val="en-US" w:eastAsia="zh-CN"/>
                            </w:rPr>
                            <w:t>1</w:t>
                          </w:r>
                          <w:r>
                            <w:rPr>
                              <w:rFonts w:hint="eastAsia" w:ascii="Times New Roman" w:hAnsi="Times New Roman" w:cs="Times New Roman"/>
                              <w:sz w:val="28"/>
                              <w:szCs w:val="28"/>
                              <w:lang w:val="en-US"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11"/>
                      <w:rPr>
                        <w:rFonts w:hint="eastAsia" w:ascii="Times New Roman" w:hAnsi="Times New Roman" w:eastAsia="仿宋_GB2312" w:cs="Times New Roman"/>
                        <w:sz w:val="28"/>
                        <w:szCs w:val="28"/>
                        <w:lang w:val="en-US" w:eastAsia="zh-CN"/>
                      </w:rPr>
                    </w:pPr>
                    <w:r>
                      <w:rPr>
                        <w:rFonts w:hint="eastAsia" w:ascii="Times New Roman" w:hAnsi="Times New Roman" w:cs="Times New Roman"/>
                        <w:sz w:val="28"/>
                        <w:szCs w:val="28"/>
                        <w:lang w:val="en-US" w:eastAsia="zh-CN"/>
                      </w:rPr>
                      <w:fldChar w:fldCharType="begin"/>
                    </w:r>
                    <w:r>
                      <w:rPr>
                        <w:rFonts w:hint="eastAsia" w:ascii="Times New Roman" w:hAnsi="Times New Roman" w:cs="Times New Roman"/>
                        <w:sz w:val="28"/>
                        <w:szCs w:val="28"/>
                        <w:lang w:val="en-US" w:eastAsia="zh-CN"/>
                      </w:rPr>
                      <w:instrText xml:space="preserve"> PAGE  \* MERGEFORMAT </w:instrText>
                    </w:r>
                    <w:r>
                      <w:rPr>
                        <w:rFonts w:hint="eastAsia" w:ascii="Times New Roman" w:hAnsi="Times New Roman" w:cs="Times New Roman"/>
                        <w:sz w:val="28"/>
                        <w:szCs w:val="28"/>
                        <w:lang w:val="en-US" w:eastAsia="zh-CN"/>
                      </w:rPr>
                      <w:fldChar w:fldCharType="separate"/>
                    </w:r>
                    <w:r>
                      <w:rPr>
                        <w:rFonts w:hint="eastAsia" w:ascii="Times New Roman" w:hAnsi="Times New Roman" w:cs="Times New Roman"/>
                        <w:sz w:val="28"/>
                        <w:szCs w:val="28"/>
                        <w:lang w:val="en-US" w:eastAsia="zh-CN"/>
                      </w:rPr>
                      <w:t>1</w:t>
                    </w:r>
                    <w:r>
                      <w:rPr>
                        <w:rFonts w:hint="eastAsia" w:ascii="Times New Roman" w:hAnsi="Times New Roman" w:cs="Times New Roman"/>
                        <w:sz w:val="28"/>
                        <w:szCs w:val="28"/>
                        <w:lang w:val="en-US"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3BDCDC"/>
    <w:multiLevelType w:val="singleLevel"/>
    <w:tmpl w:val="333BDCDC"/>
    <w:lvl w:ilvl="0" w:tentative="0">
      <w:start w:val="3"/>
      <w:numFmt w:val="chineseCounting"/>
      <w:suff w:val="nothing"/>
      <w:lvlText w:val="（%1）"/>
      <w:lvlJc w:val="left"/>
      <w:rPr>
        <w:rFonts w:hint="eastAsia"/>
      </w:rPr>
    </w:lvl>
  </w:abstractNum>
  <w:abstractNum w:abstractNumId="1">
    <w:nsid w:val="365A3C74"/>
    <w:multiLevelType w:val="singleLevel"/>
    <w:tmpl w:val="365A3C74"/>
    <w:lvl w:ilvl="0" w:tentative="0">
      <w:start w:val="3"/>
      <w:numFmt w:val="chineseCounting"/>
      <w:suff w:val="nothing"/>
      <w:lvlText w:val="%1、"/>
      <w:lvlJc w:val="left"/>
      <w:rPr>
        <w:rFonts w:hint="eastAsia"/>
      </w:rPr>
    </w:lvl>
  </w:abstractNum>
  <w:abstractNum w:abstractNumId="2">
    <w:nsid w:val="42931D97"/>
    <w:multiLevelType w:val="singleLevel"/>
    <w:tmpl w:val="42931D97"/>
    <w:lvl w:ilvl="0" w:tentative="0">
      <w:start w:val="2"/>
      <w:numFmt w:val="chineseCounting"/>
      <w:suff w:val="nothing"/>
      <w:lvlText w:val="（%1）"/>
      <w:lvlJc w:val="left"/>
      <w:rPr>
        <w:rFonts w:hint="eastAsia"/>
      </w:rPr>
    </w:lvl>
  </w:abstractNum>
  <w:abstractNum w:abstractNumId="3">
    <w:nsid w:val="531DAD7C"/>
    <w:multiLevelType w:val="singleLevel"/>
    <w:tmpl w:val="531DAD7C"/>
    <w:lvl w:ilvl="0" w:tentative="0">
      <w:start w:val="2"/>
      <w:numFmt w:val="chineseCounting"/>
      <w:suff w:val="nothing"/>
      <w:lvlText w:val="（%1）"/>
      <w:lvlJc w:val="left"/>
      <w:rPr>
        <w:rFonts w:hint="eastAsia"/>
      </w:rPr>
    </w:lvl>
  </w:abstractNum>
  <w:abstractNum w:abstractNumId="4">
    <w:nsid w:val="631BDBC4"/>
    <w:multiLevelType w:val="singleLevel"/>
    <w:tmpl w:val="631BDBC4"/>
    <w:lvl w:ilvl="0" w:tentative="0">
      <w:start w:val="5"/>
      <w:numFmt w:val="chineseCounting"/>
      <w:suff w:val="nothing"/>
      <w:lvlText w:val="%1、"/>
      <w:lvlJc w:val="left"/>
      <w:rPr>
        <w:rFonts w:hint="eastAsia"/>
      </w:rPr>
    </w:lvl>
  </w:abstractNum>
  <w:abstractNum w:abstractNumId="5">
    <w:nsid w:val="6F569E39"/>
    <w:multiLevelType w:val="singleLevel"/>
    <w:tmpl w:val="6F569E39"/>
    <w:lvl w:ilvl="0" w:tentative="0">
      <w:start w:val="1"/>
      <w:numFmt w:val="chineseCounting"/>
      <w:suff w:val="nothing"/>
      <w:lvlText w:val="%1、"/>
      <w:lvlJc w:val="left"/>
      <w:rPr>
        <w:rFonts w:hint="eastAsia"/>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22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TVhNGRkZDBjMjQ0NWMxNjc2MGFlN2QzYmRmOTgifQ=="/>
  </w:docVars>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81F62"/>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1A2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2D7"/>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06943"/>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C0BE0"/>
    <w:rsid w:val="012A0989"/>
    <w:rsid w:val="01562C2D"/>
    <w:rsid w:val="017D237E"/>
    <w:rsid w:val="017D614D"/>
    <w:rsid w:val="01FC748B"/>
    <w:rsid w:val="02014773"/>
    <w:rsid w:val="021C29C7"/>
    <w:rsid w:val="02293D79"/>
    <w:rsid w:val="02644677"/>
    <w:rsid w:val="026E42E0"/>
    <w:rsid w:val="02D40DC6"/>
    <w:rsid w:val="03070C1E"/>
    <w:rsid w:val="030C2CEC"/>
    <w:rsid w:val="03536E0E"/>
    <w:rsid w:val="038D35D1"/>
    <w:rsid w:val="03A24A21"/>
    <w:rsid w:val="03E7777A"/>
    <w:rsid w:val="03F73578"/>
    <w:rsid w:val="04784101"/>
    <w:rsid w:val="049A225F"/>
    <w:rsid w:val="049E5B69"/>
    <w:rsid w:val="04B94ECB"/>
    <w:rsid w:val="04D70E27"/>
    <w:rsid w:val="04FF229E"/>
    <w:rsid w:val="0511189C"/>
    <w:rsid w:val="05153ABB"/>
    <w:rsid w:val="053B1A72"/>
    <w:rsid w:val="05451E0C"/>
    <w:rsid w:val="054F5A6C"/>
    <w:rsid w:val="055A1641"/>
    <w:rsid w:val="05A85BFA"/>
    <w:rsid w:val="05C04DF3"/>
    <w:rsid w:val="05C72146"/>
    <w:rsid w:val="05F7621A"/>
    <w:rsid w:val="066E0107"/>
    <w:rsid w:val="067575AB"/>
    <w:rsid w:val="06A84EEF"/>
    <w:rsid w:val="06BA4A98"/>
    <w:rsid w:val="06BC2051"/>
    <w:rsid w:val="06C266EC"/>
    <w:rsid w:val="072A5902"/>
    <w:rsid w:val="07340ADC"/>
    <w:rsid w:val="073F4A62"/>
    <w:rsid w:val="076C1C3E"/>
    <w:rsid w:val="07996F6E"/>
    <w:rsid w:val="07D57174"/>
    <w:rsid w:val="07DB0C2F"/>
    <w:rsid w:val="08702488"/>
    <w:rsid w:val="0885365E"/>
    <w:rsid w:val="088B4FD4"/>
    <w:rsid w:val="08D14CB7"/>
    <w:rsid w:val="08E21B49"/>
    <w:rsid w:val="090078B2"/>
    <w:rsid w:val="095771C5"/>
    <w:rsid w:val="09595CA6"/>
    <w:rsid w:val="09A602B3"/>
    <w:rsid w:val="0A2032A3"/>
    <w:rsid w:val="0A390A59"/>
    <w:rsid w:val="0AC012A3"/>
    <w:rsid w:val="0ACA7A9D"/>
    <w:rsid w:val="0B2A17B7"/>
    <w:rsid w:val="0B4D62CA"/>
    <w:rsid w:val="0B626571"/>
    <w:rsid w:val="0BC419DA"/>
    <w:rsid w:val="0BC50A72"/>
    <w:rsid w:val="0BF210EA"/>
    <w:rsid w:val="0C4A000E"/>
    <w:rsid w:val="0C53424B"/>
    <w:rsid w:val="0C9532A4"/>
    <w:rsid w:val="0CA25E5E"/>
    <w:rsid w:val="0CD10852"/>
    <w:rsid w:val="0D142080"/>
    <w:rsid w:val="0D372F0B"/>
    <w:rsid w:val="0D4C401D"/>
    <w:rsid w:val="0D5943C3"/>
    <w:rsid w:val="0D9C1B3D"/>
    <w:rsid w:val="0DB30DF6"/>
    <w:rsid w:val="0DBD0513"/>
    <w:rsid w:val="0DCA7ED0"/>
    <w:rsid w:val="0DE10621"/>
    <w:rsid w:val="0DF73A01"/>
    <w:rsid w:val="0E3B2427"/>
    <w:rsid w:val="0E6A77F2"/>
    <w:rsid w:val="0E8E19C6"/>
    <w:rsid w:val="0E992CF7"/>
    <w:rsid w:val="0EB14CF1"/>
    <w:rsid w:val="0EC35C2E"/>
    <w:rsid w:val="0EFF5696"/>
    <w:rsid w:val="0F0F7410"/>
    <w:rsid w:val="0F870A59"/>
    <w:rsid w:val="0F895CEC"/>
    <w:rsid w:val="0FAB7138"/>
    <w:rsid w:val="0FB00135"/>
    <w:rsid w:val="0FB103FC"/>
    <w:rsid w:val="10071870"/>
    <w:rsid w:val="101860EC"/>
    <w:rsid w:val="10413292"/>
    <w:rsid w:val="10850A97"/>
    <w:rsid w:val="10C055FF"/>
    <w:rsid w:val="10C613BC"/>
    <w:rsid w:val="10D00DAB"/>
    <w:rsid w:val="10ED552F"/>
    <w:rsid w:val="10EF574B"/>
    <w:rsid w:val="112D550A"/>
    <w:rsid w:val="117C6E5A"/>
    <w:rsid w:val="118107EC"/>
    <w:rsid w:val="11AE4016"/>
    <w:rsid w:val="11B15721"/>
    <w:rsid w:val="11B87BB9"/>
    <w:rsid w:val="11E43503"/>
    <w:rsid w:val="123077D7"/>
    <w:rsid w:val="12557610"/>
    <w:rsid w:val="12700CF2"/>
    <w:rsid w:val="128D5046"/>
    <w:rsid w:val="12A46623"/>
    <w:rsid w:val="12D1335A"/>
    <w:rsid w:val="12F37F05"/>
    <w:rsid w:val="12F77F92"/>
    <w:rsid w:val="135950FD"/>
    <w:rsid w:val="137631C3"/>
    <w:rsid w:val="13897791"/>
    <w:rsid w:val="13945107"/>
    <w:rsid w:val="13D50BC4"/>
    <w:rsid w:val="14293776"/>
    <w:rsid w:val="146D0249"/>
    <w:rsid w:val="148541EE"/>
    <w:rsid w:val="14EC7429"/>
    <w:rsid w:val="154C316C"/>
    <w:rsid w:val="15681AFE"/>
    <w:rsid w:val="15831486"/>
    <w:rsid w:val="15A4727D"/>
    <w:rsid w:val="15B66837"/>
    <w:rsid w:val="15CD447E"/>
    <w:rsid w:val="1618304E"/>
    <w:rsid w:val="16295BDE"/>
    <w:rsid w:val="163C1EED"/>
    <w:rsid w:val="16685F04"/>
    <w:rsid w:val="166D233F"/>
    <w:rsid w:val="16726912"/>
    <w:rsid w:val="16750EBC"/>
    <w:rsid w:val="16B9240D"/>
    <w:rsid w:val="16BB723D"/>
    <w:rsid w:val="16CB6312"/>
    <w:rsid w:val="17065A2F"/>
    <w:rsid w:val="171E6442"/>
    <w:rsid w:val="174D4F79"/>
    <w:rsid w:val="174F1950"/>
    <w:rsid w:val="1766644C"/>
    <w:rsid w:val="17B0285C"/>
    <w:rsid w:val="17CF0771"/>
    <w:rsid w:val="17F30319"/>
    <w:rsid w:val="188E3A9B"/>
    <w:rsid w:val="18A46A59"/>
    <w:rsid w:val="18AB30CD"/>
    <w:rsid w:val="18B52DD6"/>
    <w:rsid w:val="18D06104"/>
    <w:rsid w:val="18DC421D"/>
    <w:rsid w:val="19076BF7"/>
    <w:rsid w:val="19434886"/>
    <w:rsid w:val="19A2405A"/>
    <w:rsid w:val="19A27FE7"/>
    <w:rsid w:val="19E2561F"/>
    <w:rsid w:val="1A361CF4"/>
    <w:rsid w:val="1A4103FC"/>
    <w:rsid w:val="1A5F3E44"/>
    <w:rsid w:val="1A785670"/>
    <w:rsid w:val="1A864F87"/>
    <w:rsid w:val="1B422CD5"/>
    <w:rsid w:val="1B6D3662"/>
    <w:rsid w:val="1B8A571B"/>
    <w:rsid w:val="1B917B2A"/>
    <w:rsid w:val="1B9E2247"/>
    <w:rsid w:val="1BE8440E"/>
    <w:rsid w:val="1C0B727F"/>
    <w:rsid w:val="1C0C771B"/>
    <w:rsid w:val="1C681A65"/>
    <w:rsid w:val="1CB4154D"/>
    <w:rsid w:val="1D155CEE"/>
    <w:rsid w:val="1D8D60CF"/>
    <w:rsid w:val="1DA32AC2"/>
    <w:rsid w:val="1DFA25BE"/>
    <w:rsid w:val="1E430A8F"/>
    <w:rsid w:val="1E591D1A"/>
    <w:rsid w:val="1E5D7F77"/>
    <w:rsid w:val="1E7F595E"/>
    <w:rsid w:val="1E9F255E"/>
    <w:rsid w:val="1ECD0317"/>
    <w:rsid w:val="1ED11DCD"/>
    <w:rsid w:val="1EF12684"/>
    <w:rsid w:val="1EF81C6E"/>
    <w:rsid w:val="1F092464"/>
    <w:rsid w:val="1F0D396C"/>
    <w:rsid w:val="1F164995"/>
    <w:rsid w:val="1F8616A8"/>
    <w:rsid w:val="1F981479"/>
    <w:rsid w:val="1FA57990"/>
    <w:rsid w:val="1FC34680"/>
    <w:rsid w:val="20043B32"/>
    <w:rsid w:val="20196340"/>
    <w:rsid w:val="203E1903"/>
    <w:rsid w:val="20661098"/>
    <w:rsid w:val="207C6812"/>
    <w:rsid w:val="21083C35"/>
    <w:rsid w:val="21246D4B"/>
    <w:rsid w:val="21256ADF"/>
    <w:rsid w:val="21321E93"/>
    <w:rsid w:val="215A2410"/>
    <w:rsid w:val="215D400B"/>
    <w:rsid w:val="219746CE"/>
    <w:rsid w:val="21A2432F"/>
    <w:rsid w:val="21B245C4"/>
    <w:rsid w:val="2249551C"/>
    <w:rsid w:val="2294224E"/>
    <w:rsid w:val="22A3543A"/>
    <w:rsid w:val="22AA3478"/>
    <w:rsid w:val="231E0661"/>
    <w:rsid w:val="232132C2"/>
    <w:rsid w:val="232B70B2"/>
    <w:rsid w:val="23654758"/>
    <w:rsid w:val="237A7F73"/>
    <w:rsid w:val="23860B96"/>
    <w:rsid w:val="23B05355"/>
    <w:rsid w:val="23CB28C1"/>
    <w:rsid w:val="23DE0ACC"/>
    <w:rsid w:val="23F3504A"/>
    <w:rsid w:val="240371BF"/>
    <w:rsid w:val="2433251E"/>
    <w:rsid w:val="2438146A"/>
    <w:rsid w:val="24407DF2"/>
    <w:rsid w:val="24553EB9"/>
    <w:rsid w:val="24575689"/>
    <w:rsid w:val="24725679"/>
    <w:rsid w:val="24B324D0"/>
    <w:rsid w:val="25114AD7"/>
    <w:rsid w:val="25922D9E"/>
    <w:rsid w:val="25A733C4"/>
    <w:rsid w:val="26270419"/>
    <w:rsid w:val="262775FD"/>
    <w:rsid w:val="263C0693"/>
    <w:rsid w:val="26592BBE"/>
    <w:rsid w:val="265A664E"/>
    <w:rsid w:val="26AF390F"/>
    <w:rsid w:val="26BA34D0"/>
    <w:rsid w:val="26E306E5"/>
    <w:rsid w:val="270D0F81"/>
    <w:rsid w:val="276F31A3"/>
    <w:rsid w:val="277167F5"/>
    <w:rsid w:val="278E663F"/>
    <w:rsid w:val="279E2E15"/>
    <w:rsid w:val="27C7133E"/>
    <w:rsid w:val="27D22BB5"/>
    <w:rsid w:val="27EC05D9"/>
    <w:rsid w:val="2810627B"/>
    <w:rsid w:val="284D302B"/>
    <w:rsid w:val="286604D8"/>
    <w:rsid w:val="2869201D"/>
    <w:rsid w:val="28A27C17"/>
    <w:rsid w:val="28B42D36"/>
    <w:rsid w:val="28D948BF"/>
    <w:rsid w:val="29142CBC"/>
    <w:rsid w:val="292E4CA7"/>
    <w:rsid w:val="29A0362E"/>
    <w:rsid w:val="29A109BC"/>
    <w:rsid w:val="29A94D25"/>
    <w:rsid w:val="29B6075C"/>
    <w:rsid w:val="29BE5C79"/>
    <w:rsid w:val="29FD04D3"/>
    <w:rsid w:val="2A285C83"/>
    <w:rsid w:val="2A587AE6"/>
    <w:rsid w:val="2A717EA6"/>
    <w:rsid w:val="2B074BFF"/>
    <w:rsid w:val="2B1020EE"/>
    <w:rsid w:val="2B6B65B7"/>
    <w:rsid w:val="2B7E04D9"/>
    <w:rsid w:val="2BC977B4"/>
    <w:rsid w:val="2BFE6777"/>
    <w:rsid w:val="2C2A633C"/>
    <w:rsid w:val="2C4C53A8"/>
    <w:rsid w:val="2C887938"/>
    <w:rsid w:val="2C8A61B5"/>
    <w:rsid w:val="2CBE4D9B"/>
    <w:rsid w:val="2CD252C1"/>
    <w:rsid w:val="2CD31625"/>
    <w:rsid w:val="2D142369"/>
    <w:rsid w:val="2D2D1DD1"/>
    <w:rsid w:val="2D71020A"/>
    <w:rsid w:val="2D806606"/>
    <w:rsid w:val="2D823D61"/>
    <w:rsid w:val="2DB15AF7"/>
    <w:rsid w:val="2DCE076A"/>
    <w:rsid w:val="2DF04E50"/>
    <w:rsid w:val="2DF24188"/>
    <w:rsid w:val="2DF24B92"/>
    <w:rsid w:val="2DF8136A"/>
    <w:rsid w:val="2E0C1292"/>
    <w:rsid w:val="2E6E3CFB"/>
    <w:rsid w:val="2E7D79F3"/>
    <w:rsid w:val="2EFD0648"/>
    <w:rsid w:val="2F2E04A5"/>
    <w:rsid w:val="2F553B82"/>
    <w:rsid w:val="2F5A1D85"/>
    <w:rsid w:val="2F601896"/>
    <w:rsid w:val="2F6A44C2"/>
    <w:rsid w:val="2FD1009E"/>
    <w:rsid w:val="2FE7356B"/>
    <w:rsid w:val="3098505F"/>
    <w:rsid w:val="30CB2040"/>
    <w:rsid w:val="30F77FD8"/>
    <w:rsid w:val="310C0C59"/>
    <w:rsid w:val="310F5453"/>
    <w:rsid w:val="311F33A2"/>
    <w:rsid w:val="313B4368"/>
    <w:rsid w:val="31794E91"/>
    <w:rsid w:val="319F7F4E"/>
    <w:rsid w:val="31D71BB7"/>
    <w:rsid w:val="32100904"/>
    <w:rsid w:val="32157FF2"/>
    <w:rsid w:val="322007B0"/>
    <w:rsid w:val="32227B13"/>
    <w:rsid w:val="322F6902"/>
    <w:rsid w:val="32333292"/>
    <w:rsid w:val="32ED60E6"/>
    <w:rsid w:val="33207A35"/>
    <w:rsid w:val="34075FE9"/>
    <w:rsid w:val="346449C5"/>
    <w:rsid w:val="349A7205"/>
    <w:rsid w:val="35374E47"/>
    <w:rsid w:val="358931C8"/>
    <w:rsid w:val="359F7AA1"/>
    <w:rsid w:val="35C661CB"/>
    <w:rsid w:val="35DC21CF"/>
    <w:rsid w:val="360235C1"/>
    <w:rsid w:val="36374E98"/>
    <w:rsid w:val="36591D51"/>
    <w:rsid w:val="369112C2"/>
    <w:rsid w:val="36AA5135"/>
    <w:rsid w:val="36AB44F2"/>
    <w:rsid w:val="36AD3E38"/>
    <w:rsid w:val="36C505C0"/>
    <w:rsid w:val="36FA2F09"/>
    <w:rsid w:val="37030298"/>
    <w:rsid w:val="37532CCC"/>
    <w:rsid w:val="376B773B"/>
    <w:rsid w:val="37C130EE"/>
    <w:rsid w:val="37E16F03"/>
    <w:rsid w:val="38387570"/>
    <w:rsid w:val="383E051C"/>
    <w:rsid w:val="38463812"/>
    <w:rsid w:val="3884237F"/>
    <w:rsid w:val="38B94138"/>
    <w:rsid w:val="38DD3F57"/>
    <w:rsid w:val="38E71907"/>
    <w:rsid w:val="395376B0"/>
    <w:rsid w:val="396A05FC"/>
    <w:rsid w:val="39D864CC"/>
    <w:rsid w:val="39E60BE9"/>
    <w:rsid w:val="39E82BB3"/>
    <w:rsid w:val="39F41558"/>
    <w:rsid w:val="3A1B417C"/>
    <w:rsid w:val="3A4F49E1"/>
    <w:rsid w:val="3A54162D"/>
    <w:rsid w:val="3A75774A"/>
    <w:rsid w:val="3A780240"/>
    <w:rsid w:val="3A96260F"/>
    <w:rsid w:val="3AAA4098"/>
    <w:rsid w:val="3B0A0908"/>
    <w:rsid w:val="3B3809CB"/>
    <w:rsid w:val="3B542821"/>
    <w:rsid w:val="3B896353"/>
    <w:rsid w:val="3B9D2A65"/>
    <w:rsid w:val="3BBD1E1E"/>
    <w:rsid w:val="3BCC317C"/>
    <w:rsid w:val="3BF53E16"/>
    <w:rsid w:val="3BF70E8C"/>
    <w:rsid w:val="3C0E2679"/>
    <w:rsid w:val="3C2925E9"/>
    <w:rsid w:val="3C5739F9"/>
    <w:rsid w:val="3C94070A"/>
    <w:rsid w:val="3C9A25AD"/>
    <w:rsid w:val="3CA8487C"/>
    <w:rsid w:val="3CCA6088"/>
    <w:rsid w:val="3D000214"/>
    <w:rsid w:val="3D1F748A"/>
    <w:rsid w:val="3D8A4880"/>
    <w:rsid w:val="3D98207C"/>
    <w:rsid w:val="3DDC2A2F"/>
    <w:rsid w:val="3DFF0210"/>
    <w:rsid w:val="3E1A5306"/>
    <w:rsid w:val="3E353EED"/>
    <w:rsid w:val="3E381D12"/>
    <w:rsid w:val="3E391AAE"/>
    <w:rsid w:val="3E4900E7"/>
    <w:rsid w:val="3E846EBC"/>
    <w:rsid w:val="3E974BA8"/>
    <w:rsid w:val="3EAA24B9"/>
    <w:rsid w:val="3EB32D5D"/>
    <w:rsid w:val="3F055AFB"/>
    <w:rsid w:val="3F201F18"/>
    <w:rsid w:val="3F6054C6"/>
    <w:rsid w:val="3F8D3533"/>
    <w:rsid w:val="3FA0645E"/>
    <w:rsid w:val="3FE94909"/>
    <w:rsid w:val="40013D05"/>
    <w:rsid w:val="40093884"/>
    <w:rsid w:val="40167CB3"/>
    <w:rsid w:val="410C5900"/>
    <w:rsid w:val="41B415CD"/>
    <w:rsid w:val="41D03370"/>
    <w:rsid w:val="41F52311"/>
    <w:rsid w:val="425025C6"/>
    <w:rsid w:val="428269A0"/>
    <w:rsid w:val="42977566"/>
    <w:rsid w:val="42A764C5"/>
    <w:rsid w:val="42B60ED1"/>
    <w:rsid w:val="42BD6A4B"/>
    <w:rsid w:val="42E91D9F"/>
    <w:rsid w:val="4315398C"/>
    <w:rsid w:val="432E715D"/>
    <w:rsid w:val="436F170D"/>
    <w:rsid w:val="43813731"/>
    <w:rsid w:val="43B96DFE"/>
    <w:rsid w:val="43BD0C0D"/>
    <w:rsid w:val="43D9531B"/>
    <w:rsid w:val="44207EBE"/>
    <w:rsid w:val="443076C3"/>
    <w:rsid w:val="443B1A01"/>
    <w:rsid w:val="447A02DD"/>
    <w:rsid w:val="449511F9"/>
    <w:rsid w:val="44A771C7"/>
    <w:rsid w:val="44D66F02"/>
    <w:rsid w:val="44DE1D54"/>
    <w:rsid w:val="44E268DA"/>
    <w:rsid w:val="450B7F4D"/>
    <w:rsid w:val="452B1116"/>
    <w:rsid w:val="455530C7"/>
    <w:rsid w:val="45715FB8"/>
    <w:rsid w:val="45BE23EF"/>
    <w:rsid w:val="4622744D"/>
    <w:rsid w:val="464078D3"/>
    <w:rsid w:val="4646138E"/>
    <w:rsid w:val="46DB13AA"/>
    <w:rsid w:val="47147C8B"/>
    <w:rsid w:val="472B2331"/>
    <w:rsid w:val="476A2E5A"/>
    <w:rsid w:val="47743CD8"/>
    <w:rsid w:val="478921F5"/>
    <w:rsid w:val="478D5088"/>
    <w:rsid w:val="47A56CCF"/>
    <w:rsid w:val="47CF53B3"/>
    <w:rsid w:val="47D242E5"/>
    <w:rsid w:val="486C641C"/>
    <w:rsid w:val="487970CD"/>
    <w:rsid w:val="48896476"/>
    <w:rsid w:val="488F68F0"/>
    <w:rsid w:val="48BF71D5"/>
    <w:rsid w:val="48D82045"/>
    <w:rsid w:val="48EC3D42"/>
    <w:rsid w:val="49494F00"/>
    <w:rsid w:val="495A7B67"/>
    <w:rsid w:val="49747070"/>
    <w:rsid w:val="49883A6B"/>
    <w:rsid w:val="49CD05C3"/>
    <w:rsid w:val="49D7054F"/>
    <w:rsid w:val="4A3B3E6F"/>
    <w:rsid w:val="4A532998"/>
    <w:rsid w:val="4A567E05"/>
    <w:rsid w:val="4A627F82"/>
    <w:rsid w:val="4A710EFC"/>
    <w:rsid w:val="4A875AD1"/>
    <w:rsid w:val="4AA96FA0"/>
    <w:rsid w:val="4ABB2F02"/>
    <w:rsid w:val="4AC214EB"/>
    <w:rsid w:val="4AF55761"/>
    <w:rsid w:val="4B005387"/>
    <w:rsid w:val="4B09298A"/>
    <w:rsid w:val="4B2D3436"/>
    <w:rsid w:val="4B4F25DA"/>
    <w:rsid w:val="4B553899"/>
    <w:rsid w:val="4BB87F0C"/>
    <w:rsid w:val="4BE068DB"/>
    <w:rsid w:val="4BE317B3"/>
    <w:rsid w:val="4C6B152E"/>
    <w:rsid w:val="4CC8211F"/>
    <w:rsid w:val="4CD75BB6"/>
    <w:rsid w:val="4CF87F00"/>
    <w:rsid w:val="4D1F45CA"/>
    <w:rsid w:val="4D577224"/>
    <w:rsid w:val="4D793243"/>
    <w:rsid w:val="4D90722C"/>
    <w:rsid w:val="4D9C2F2D"/>
    <w:rsid w:val="4DB8285C"/>
    <w:rsid w:val="4DD4775C"/>
    <w:rsid w:val="4DF02C21"/>
    <w:rsid w:val="4E2D4BE1"/>
    <w:rsid w:val="4E393586"/>
    <w:rsid w:val="4E6C36B7"/>
    <w:rsid w:val="4E712EFA"/>
    <w:rsid w:val="4E7520E4"/>
    <w:rsid w:val="4EAB630A"/>
    <w:rsid w:val="4ECE2238"/>
    <w:rsid w:val="4EE92CB2"/>
    <w:rsid w:val="4EEE3337"/>
    <w:rsid w:val="4F775197"/>
    <w:rsid w:val="4F7B22CD"/>
    <w:rsid w:val="4F8C2F1C"/>
    <w:rsid w:val="4F9D1D60"/>
    <w:rsid w:val="4FCC21D8"/>
    <w:rsid w:val="4FF260E2"/>
    <w:rsid w:val="50173A5C"/>
    <w:rsid w:val="503A1792"/>
    <w:rsid w:val="50624832"/>
    <w:rsid w:val="5072031B"/>
    <w:rsid w:val="50EA605B"/>
    <w:rsid w:val="50FA12FF"/>
    <w:rsid w:val="51750D79"/>
    <w:rsid w:val="51791EEB"/>
    <w:rsid w:val="51E63A25"/>
    <w:rsid w:val="51E73F50"/>
    <w:rsid w:val="527903F5"/>
    <w:rsid w:val="52BD6977"/>
    <w:rsid w:val="52C31527"/>
    <w:rsid w:val="52D74925"/>
    <w:rsid w:val="52DC0984"/>
    <w:rsid w:val="534B69FB"/>
    <w:rsid w:val="5361482E"/>
    <w:rsid w:val="53AE40CE"/>
    <w:rsid w:val="53E255A0"/>
    <w:rsid w:val="53E350D7"/>
    <w:rsid w:val="53E36AC3"/>
    <w:rsid w:val="53EB5313"/>
    <w:rsid w:val="53FB308C"/>
    <w:rsid w:val="541505F1"/>
    <w:rsid w:val="542F2607"/>
    <w:rsid w:val="54471D37"/>
    <w:rsid w:val="544872B4"/>
    <w:rsid w:val="544D50D9"/>
    <w:rsid w:val="54641D9D"/>
    <w:rsid w:val="550A74B1"/>
    <w:rsid w:val="556F788D"/>
    <w:rsid w:val="55C25A29"/>
    <w:rsid w:val="56252ED4"/>
    <w:rsid w:val="56AE5C4F"/>
    <w:rsid w:val="56AF79C4"/>
    <w:rsid w:val="56BA24C5"/>
    <w:rsid w:val="56F51D94"/>
    <w:rsid w:val="56FB76C0"/>
    <w:rsid w:val="574A7412"/>
    <w:rsid w:val="578647C5"/>
    <w:rsid w:val="57B04668"/>
    <w:rsid w:val="57CC1B6A"/>
    <w:rsid w:val="57DB023E"/>
    <w:rsid w:val="582232DD"/>
    <w:rsid w:val="587873A1"/>
    <w:rsid w:val="587A0405"/>
    <w:rsid w:val="589D5B99"/>
    <w:rsid w:val="58AE7E2B"/>
    <w:rsid w:val="58F135AA"/>
    <w:rsid w:val="59044615"/>
    <w:rsid w:val="590470D0"/>
    <w:rsid w:val="59292138"/>
    <w:rsid w:val="59B57AB7"/>
    <w:rsid w:val="59EA1BD8"/>
    <w:rsid w:val="5A023B97"/>
    <w:rsid w:val="5A0B6736"/>
    <w:rsid w:val="5A566962"/>
    <w:rsid w:val="5A821D2C"/>
    <w:rsid w:val="5AC36177"/>
    <w:rsid w:val="5AF92295"/>
    <w:rsid w:val="5AFC32B1"/>
    <w:rsid w:val="5B003C0F"/>
    <w:rsid w:val="5B7D3E40"/>
    <w:rsid w:val="5BB84ABA"/>
    <w:rsid w:val="5BED3C02"/>
    <w:rsid w:val="5BF1653A"/>
    <w:rsid w:val="5C0E2225"/>
    <w:rsid w:val="5C62791E"/>
    <w:rsid w:val="5C677510"/>
    <w:rsid w:val="5C762060"/>
    <w:rsid w:val="5CAC0D97"/>
    <w:rsid w:val="5CD71FC4"/>
    <w:rsid w:val="5D2604C7"/>
    <w:rsid w:val="5D392D35"/>
    <w:rsid w:val="5D4E06D0"/>
    <w:rsid w:val="5D553ADA"/>
    <w:rsid w:val="5D63417B"/>
    <w:rsid w:val="5D8D11F8"/>
    <w:rsid w:val="5DDE1A54"/>
    <w:rsid w:val="5DFC31B0"/>
    <w:rsid w:val="5E345B18"/>
    <w:rsid w:val="5EB90EE3"/>
    <w:rsid w:val="5F1F0576"/>
    <w:rsid w:val="5F2A342A"/>
    <w:rsid w:val="5F923DCE"/>
    <w:rsid w:val="5FB05672"/>
    <w:rsid w:val="5FE570CA"/>
    <w:rsid w:val="5FF311A7"/>
    <w:rsid w:val="606C3347"/>
    <w:rsid w:val="61073B28"/>
    <w:rsid w:val="611B4D6D"/>
    <w:rsid w:val="612F744A"/>
    <w:rsid w:val="619012B7"/>
    <w:rsid w:val="61936200"/>
    <w:rsid w:val="62066B5B"/>
    <w:rsid w:val="622E2E60"/>
    <w:rsid w:val="62445ADC"/>
    <w:rsid w:val="628A36FF"/>
    <w:rsid w:val="628C698F"/>
    <w:rsid w:val="62D63B90"/>
    <w:rsid w:val="62F42376"/>
    <w:rsid w:val="632873F2"/>
    <w:rsid w:val="6367429A"/>
    <w:rsid w:val="63754A1B"/>
    <w:rsid w:val="63A70753"/>
    <w:rsid w:val="63ED71B0"/>
    <w:rsid w:val="63F37C15"/>
    <w:rsid w:val="64205AE1"/>
    <w:rsid w:val="64504D2E"/>
    <w:rsid w:val="648A46E4"/>
    <w:rsid w:val="649410BE"/>
    <w:rsid w:val="651C72B0"/>
    <w:rsid w:val="65221F74"/>
    <w:rsid w:val="65242442"/>
    <w:rsid w:val="652C12F7"/>
    <w:rsid w:val="65731CAE"/>
    <w:rsid w:val="660122F3"/>
    <w:rsid w:val="66376316"/>
    <w:rsid w:val="665D65E6"/>
    <w:rsid w:val="66915262"/>
    <w:rsid w:val="66C33EDD"/>
    <w:rsid w:val="66C53466"/>
    <w:rsid w:val="66DD6769"/>
    <w:rsid w:val="66FD73EF"/>
    <w:rsid w:val="67544B35"/>
    <w:rsid w:val="67572BFE"/>
    <w:rsid w:val="67604923"/>
    <w:rsid w:val="67B85767"/>
    <w:rsid w:val="67BC1058"/>
    <w:rsid w:val="67FC3B23"/>
    <w:rsid w:val="68152516"/>
    <w:rsid w:val="683926A8"/>
    <w:rsid w:val="68531405"/>
    <w:rsid w:val="688A17C5"/>
    <w:rsid w:val="68B03FED"/>
    <w:rsid w:val="68D400D8"/>
    <w:rsid w:val="68ED27E7"/>
    <w:rsid w:val="690A6908"/>
    <w:rsid w:val="69274384"/>
    <w:rsid w:val="69277897"/>
    <w:rsid w:val="693A47FC"/>
    <w:rsid w:val="69946DAD"/>
    <w:rsid w:val="69E97A2E"/>
    <w:rsid w:val="6A0740E0"/>
    <w:rsid w:val="6A3672A7"/>
    <w:rsid w:val="6A3E4C35"/>
    <w:rsid w:val="6A42015E"/>
    <w:rsid w:val="6A7774B8"/>
    <w:rsid w:val="6A7A2B85"/>
    <w:rsid w:val="6AE2497F"/>
    <w:rsid w:val="6AF028C5"/>
    <w:rsid w:val="6AFB3C45"/>
    <w:rsid w:val="6B4A332B"/>
    <w:rsid w:val="6B60619E"/>
    <w:rsid w:val="6B8912D0"/>
    <w:rsid w:val="6BA442DD"/>
    <w:rsid w:val="6BCD57CB"/>
    <w:rsid w:val="6C2E10E7"/>
    <w:rsid w:val="6C391B0D"/>
    <w:rsid w:val="6C411580"/>
    <w:rsid w:val="6C4A05C8"/>
    <w:rsid w:val="6C5C6C49"/>
    <w:rsid w:val="6C6C46CF"/>
    <w:rsid w:val="6C8956A7"/>
    <w:rsid w:val="6CB00A5F"/>
    <w:rsid w:val="6CBB6F39"/>
    <w:rsid w:val="6CC37ADF"/>
    <w:rsid w:val="6CD81D64"/>
    <w:rsid w:val="6CFD3D9C"/>
    <w:rsid w:val="6D056D88"/>
    <w:rsid w:val="6D0E68AB"/>
    <w:rsid w:val="6D13615B"/>
    <w:rsid w:val="6D9B26A3"/>
    <w:rsid w:val="6E7E3605"/>
    <w:rsid w:val="6EBE3777"/>
    <w:rsid w:val="6ED70525"/>
    <w:rsid w:val="6EFA19D4"/>
    <w:rsid w:val="6F0309DE"/>
    <w:rsid w:val="6F3230FE"/>
    <w:rsid w:val="6F55769C"/>
    <w:rsid w:val="6FF5CC65"/>
    <w:rsid w:val="702C69F7"/>
    <w:rsid w:val="7053007F"/>
    <w:rsid w:val="709427D5"/>
    <w:rsid w:val="70D80585"/>
    <w:rsid w:val="71090D38"/>
    <w:rsid w:val="71122B35"/>
    <w:rsid w:val="71287C29"/>
    <w:rsid w:val="7133745D"/>
    <w:rsid w:val="71445C1A"/>
    <w:rsid w:val="715C0E4B"/>
    <w:rsid w:val="71B96C45"/>
    <w:rsid w:val="71FE06CE"/>
    <w:rsid w:val="72194E62"/>
    <w:rsid w:val="72734D90"/>
    <w:rsid w:val="728A1E32"/>
    <w:rsid w:val="72FD0776"/>
    <w:rsid w:val="733B74E1"/>
    <w:rsid w:val="73484CAB"/>
    <w:rsid w:val="73877AC8"/>
    <w:rsid w:val="73A74B01"/>
    <w:rsid w:val="73AD73D5"/>
    <w:rsid w:val="73B6EB34"/>
    <w:rsid w:val="73BE471D"/>
    <w:rsid w:val="73D0523D"/>
    <w:rsid w:val="73D77352"/>
    <w:rsid w:val="73D9089C"/>
    <w:rsid w:val="740F6B94"/>
    <w:rsid w:val="74BA57D2"/>
    <w:rsid w:val="75284F15"/>
    <w:rsid w:val="756F3599"/>
    <w:rsid w:val="758474AB"/>
    <w:rsid w:val="75C246F5"/>
    <w:rsid w:val="75C946C8"/>
    <w:rsid w:val="76105F0C"/>
    <w:rsid w:val="76271A1F"/>
    <w:rsid w:val="76457A3B"/>
    <w:rsid w:val="765F422A"/>
    <w:rsid w:val="76651C26"/>
    <w:rsid w:val="768317F7"/>
    <w:rsid w:val="76934DC0"/>
    <w:rsid w:val="769E7691"/>
    <w:rsid w:val="76AC798B"/>
    <w:rsid w:val="76C37D85"/>
    <w:rsid w:val="76F679B7"/>
    <w:rsid w:val="77036546"/>
    <w:rsid w:val="770D59E8"/>
    <w:rsid w:val="777D3C34"/>
    <w:rsid w:val="77B37656"/>
    <w:rsid w:val="77CE4490"/>
    <w:rsid w:val="77D01FEC"/>
    <w:rsid w:val="77D64F07"/>
    <w:rsid w:val="77D84854"/>
    <w:rsid w:val="77F43418"/>
    <w:rsid w:val="789321A8"/>
    <w:rsid w:val="78AA2E96"/>
    <w:rsid w:val="78BA4842"/>
    <w:rsid w:val="78FB188C"/>
    <w:rsid w:val="7927224B"/>
    <w:rsid w:val="792A0C9E"/>
    <w:rsid w:val="79301661"/>
    <w:rsid w:val="79496EA3"/>
    <w:rsid w:val="795B3873"/>
    <w:rsid w:val="796B468C"/>
    <w:rsid w:val="79994B66"/>
    <w:rsid w:val="79A313E4"/>
    <w:rsid w:val="79A75202"/>
    <w:rsid w:val="79C478F8"/>
    <w:rsid w:val="79DD4BA7"/>
    <w:rsid w:val="79DE77A8"/>
    <w:rsid w:val="79DF0BD6"/>
    <w:rsid w:val="79EE5BA4"/>
    <w:rsid w:val="79F07734"/>
    <w:rsid w:val="79FE6DB9"/>
    <w:rsid w:val="7A456F99"/>
    <w:rsid w:val="7A5D37D1"/>
    <w:rsid w:val="7A633442"/>
    <w:rsid w:val="7A696317"/>
    <w:rsid w:val="7A894339"/>
    <w:rsid w:val="7AB92EC7"/>
    <w:rsid w:val="7AF26E04"/>
    <w:rsid w:val="7AF45EAA"/>
    <w:rsid w:val="7B182AD1"/>
    <w:rsid w:val="7B364826"/>
    <w:rsid w:val="7B542EFE"/>
    <w:rsid w:val="7BAE7D2C"/>
    <w:rsid w:val="7C083774"/>
    <w:rsid w:val="7C117066"/>
    <w:rsid w:val="7C1F3677"/>
    <w:rsid w:val="7C566DF5"/>
    <w:rsid w:val="7C684EB3"/>
    <w:rsid w:val="7C8968E1"/>
    <w:rsid w:val="7CC3F86F"/>
    <w:rsid w:val="7D035D55"/>
    <w:rsid w:val="7D1D78B2"/>
    <w:rsid w:val="7D821FA4"/>
    <w:rsid w:val="7DAC0DCF"/>
    <w:rsid w:val="7DD65FF7"/>
    <w:rsid w:val="7E024A8C"/>
    <w:rsid w:val="7E1A215E"/>
    <w:rsid w:val="7E520F33"/>
    <w:rsid w:val="7E5956A9"/>
    <w:rsid w:val="7E5A1E5C"/>
    <w:rsid w:val="7E6814AC"/>
    <w:rsid w:val="7E877211"/>
    <w:rsid w:val="7EC15CDF"/>
    <w:rsid w:val="7ED62CA1"/>
    <w:rsid w:val="7EEF11D3"/>
    <w:rsid w:val="7F5D1964"/>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ind w:firstLine="1440" w:firstLineChars="200"/>
      <w:jc w:val="both"/>
    </w:pPr>
    <w:rPr>
      <w:rFonts w:ascii="仿宋_GB2312" w:hAnsi="仿宋_GB2312" w:eastAsia="仿宋_GB2312" w:cs="仿宋_GB2312"/>
      <w:kern w:val="2"/>
      <w:sz w:val="32"/>
      <w:szCs w:val="32"/>
      <w:lang w:val="en-US" w:eastAsia="zh-CN" w:bidi="ar-SA"/>
    </w:rPr>
  </w:style>
  <w:style w:type="paragraph" w:styleId="3">
    <w:name w:val="heading 1"/>
    <w:basedOn w:val="1"/>
    <w:next w:val="1"/>
    <w:link w:val="22"/>
    <w:qFormat/>
    <w:uiPriority w:val="9"/>
    <w:pPr>
      <w:keepNext w:val="0"/>
      <w:keepLines w:val="0"/>
      <w:spacing w:line="576" w:lineRule="exact"/>
      <w:ind w:firstLine="0" w:firstLineChars="0"/>
      <w:jc w:val="center"/>
      <w:outlineLvl w:val="0"/>
    </w:pPr>
    <w:rPr>
      <w:rFonts w:ascii="方正公文小标宋" w:hAnsi="方正公文小标宋" w:eastAsia="方正小标宋简体" w:cs="方正公文小标宋"/>
      <w:bCs/>
      <w:kern w:val="44"/>
      <w:sz w:val="44"/>
      <w:szCs w:val="44"/>
    </w:rPr>
  </w:style>
  <w:style w:type="paragraph" w:styleId="4">
    <w:name w:val="heading 2"/>
    <w:basedOn w:val="1"/>
    <w:next w:val="1"/>
    <w:link w:val="23"/>
    <w:unhideWhenUsed/>
    <w:qFormat/>
    <w:uiPriority w:val="9"/>
    <w:pPr>
      <w:keepNext w:val="0"/>
      <w:keepLines w:val="0"/>
      <w:spacing w:line="576" w:lineRule="exact"/>
      <w:ind w:firstLine="1440" w:firstLineChars="200"/>
      <w:jc w:val="left"/>
      <w:outlineLvl w:val="1"/>
    </w:pPr>
    <w:rPr>
      <w:rFonts w:ascii="黑体" w:hAnsi="黑体" w:eastAsia="黑体" w:cs="黑体"/>
      <w:bCs/>
    </w:rPr>
  </w:style>
  <w:style w:type="paragraph" w:styleId="5">
    <w:name w:val="heading 3"/>
    <w:basedOn w:val="1"/>
    <w:next w:val="1"/>
    <w:link w:val="24"/>
    <w:unhideWhenUsed/>
    <w:qFormat/>
    <w:uiPriority w:val="9"/>
    <w:pPr>
      <w:keepNext w:val="0"/>
      <w:keepLines w:val="0"/>
      <w:spacing w:line="576" w:lineRule="exact"/>
      <w:ind w:firstLine="1440" w:firstLineChars="200"/>
      <w:outlineLvl w:val="2"/>
    </w:pPr>
    <w:rPr>
      <w:rFonts w:ascii="楷体_GB2312" w:hAnsi="楷体_GB2312" w:eastAsia="楷体_GB2312" w:cs="楷体_GB2312"/>
      <w:bCs/>
    </w:rPr>
  </w:style>
  <w:style w:type="paragraph" w:styleId="6">
    <w:name w:val="heading 4"/>
    <w:basedOn w:val="1"/>
    <w:next w:val="1"/>
    <w:link w:val="43"/>
    <w:unhideWhenUsed/>
    <w:qFormat/>
    <w:uiPriority w:val="9"/>
    <w:pPr>
      <w:keepNext w:val="0"/>
      <w:keepLines w:val="0"/>
      <w:spacing w:beforeLines="0" w:beforeAutospacing="0" w:afterLines="0" w:afterAutospacing="0" w:line="576" w:lineRule="exact"/>
      <w:ind w:firstLine="540" w:firstLineChars="200"/>
      <w:outlineLvl w:val="3"/>
    </w:pPr>
    <w:rPr>
      <w:b/>
      <w:szCs w:val="32"/>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1"/>
    <w:qFormat/>
    <w:uiPriority w:val="99"/>
    <w:pPr>
      <w:spacing w:beforeLines="30"/>
    </w:pPr>
    <w:rPr>
      <w:rFonts w:ascii="仿宋_GB2312" w:eastAsia="仿宋_GB2312"/>
      <w:kern w:val="0"/>
      <w:sz w:val="30"/>
    </w:rPr>
  </w:style>
  <w:style w:type="paragraph" w:styleId="7">
    <w:name w:val="Body Text Indent"/>
    <w:basedOn w:val="1"/>
    <w:qFormat/>
    <w:uiPriority w:val="0"/>
    <w:pPr>
      <w:ind w:firstLine="640" w:firstLineChars="200"/>
    </w:pPr>
    <w:rPr>
      <w:rFonts w:ascii="仿宋_GB2312" w:eastAsia="仿宋_GB2312"/>
      <w:sz w:val="32"/>
    </w:rPr>
  </w:style>
  <w:style w:type="paragraph" w:styleId="8">
    <w:name w:val="toc 3"/>
    <w:basedOn w:val="1"/>
    <w:next w:val="1"/>
    <w:unhideWhenUsed/>
    <w:qFormat/>
    <w:uiPriority w:val="39"/>
    <w:pPr>
      <w:tabs>
        <w:tab w:val="right" w:leader="dot" w:pos="8296"/>
      </w:tabs>
      <w:ind w:left="840" w:leftChars="400"/>
    </w:pPr>
  </w:style>
  <w:style w:type="paragraph" w:styleId="9">
    <w:name w:val="Body Text Indent 2"/>
    <w:basedOn w:val="1"/>
    <w:qFormat/>
    <w:uiPriority w:val="0"/>
    <w:pPr>
      <w:spacing w:line="460" w:lineRule="atLeast"/>
      <w:ind w:firstLine="640" w:firstLineChars="200"/>
    </w:pPr>
    <w:rPr>
      <w:rFonts w:ascii="仿宋_GB2312" w:eastAsia="仿宋_GB2312"/>
      <w:sz w:val="32"/>
    </w:rPr>
  </w:style>
  <w:style w:type="paragraph" w:styleId="10">
    <w:name w:val="Balloon Text"/>
    <w:basedOn w:val="1"/>
    <w:link w:val="34"/>
    <w:semiHidden/>
    <w:unhideWhenUsed/>
    <w:qFormat/>
    <w:uiPriority w:val="99"/>
    <w:rPr>
      <w:sz w:val="18"/>
      <w:szCs w:val="18"/>
    </w:rPr>
  </w:style>
  <w:style w:type="paragraph" w:styleId="11">
    <w:name w:val="footer"/>
    <w:basedOn w:val="1"/>
    <w:link w:val="29"/>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able of figures"/>
    <w:basedOn w:val="1"/>
    <w:next w:val="1"/>
    <w:qFormat/>
    <w:uiPriority w:val="99"/>
    <w:pPr>
      <w:ind w:left="200" w:leftChars="200" w:hanging="200" w:hangingChars="200"/>
    </w:pPr>
    <w:rPr>
      <w:szCs w:val="22"/>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spacing w:beforeAutospacing="1" w:afterAutospacing="1"/>
      <w:jc w:val="left"/>
    </w:pPr>
    <w:rPr>
      <w:kern w:val="0"/>
      <w:sz w:val="24"/>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customStyle="1" w:styleId="22">
    <w:name w:val="标题 1 Char"/>
    <w:basedOn w:val="19"/>
    <w:link w:val="3"/>
    <w:qFormat/>
    <w:uiPriority w:val="9"/>
    <w:rPr>
      <w:rFonts w:ascii="方正公文小标宋" w:hAnsi="方正公文小标宋" w:eastAsia="方正小标宋简体" w:cs="方正公文小标宋"/>
      <w:bCs/>
      <w:kern w:val="44"/>
      <w:sz w:val="44"/>
      <w:szCs w:val="44"/>
    </w:rPr>
  </w:style>
  <w:style w:type="character" w:customStyle="1" w:styleId="23">
    <w:name w:val="标题 2 Char"/>
    <w:basedOn w:val="19"/>
    <w:link w:val="4"/>
    <w:qFormat/>
    <w:uiPriority w:val="9"/>
    <w:rPr>
      <w:rFonts w:ascii="黑体" w:hAnsi="黑体" w:eastAsia="黑体" w:cs="黑体"/>
      <w:bCs/>
      <w:kern w:val="2"/>
      <w:sz w:val="32"/>
      <w:szCs w:val="32"/>
    </w:rPr>
  </w:style>
  <w:style w:type="character" w:customStyle="1" w:styleId="24">
    <w:name w:val="标题 3 Char"/>
    <w:basedOn w:val="19"/>
    <w:link w:val="5"/>
    <w:qFormat/>
    <w:uiPriority w:val="9"/>
    <w:rPr>
      <w:rFonts w:ascii="楷体_GB2312" w:hAnsi="楷体_GB2312" w:eastAsia="楷体_GB2312" w:cs="楷体_GB2312"/>
      <w:bCs/>
      <w:kern w:val="2"/>
      <w:sz w:val="32"/>
      <w:szCs w:val="32"/>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6">
    <w:name w:val="Header Char"/>
    <w:basedOn w:val="19"/>
    <w:semiHidden/>
    <w:qFormat/>
    <w:uiPriority w:val="99"/>
    <w:rPr>
      <w:rFonts w:ascii="Times New Roman" w:hAnsi="Times New Roman"/>
      <w:sz w:val="18"/>
      <w:szCs w:val="18"/>
    </w:rPr>
  </w:style>
  <w:style w:type="character" w:customStyle="1" w:styleId="27">
    <w:name w:val="页眉 Char"/>
    <w:link w:val="12"/>
    <w:semiHidden/>
    <w:qFormat/>
    <w:locked/>
    <w:uiPriority w:val="99"/>
    <w:rPr>
      <w:sz w:val="18"/>
    </w:rPr>
  </w:style>
  <w:style w:type="character" w:customStyle="1" w:styleId="28">
    <w:name w:val="Footer Char"/>
    <w:basedOn w:val="19"/>
    <w:semiHidden/>
    <w:qFormat/>
    <w:uiPriority w:val="99"/>
    <w:rPr>
      <w:rFonts w:ascii="Times New Roman" w:hAnsi="Times New Roman"/>
      <w:sz w:val="18"/>
      <w:szCs w:val="18"/>
    </w:rPr>
  </w:style>
  <w:style w:type="character" w:customStyle="1" w:styleId="29">
    <w:name w:val="页脚 Char"/>
    <w:link w:val="11"/>
    <w:qFormat/>
    <w:locked/>
    <w:uiPriority w:val="99"/>
    <w:rPr>
      <w:sz w:val="18"/>
    </w:rPr>
  </w:style>
  <w:style w:type="character" w:customStyle="1" w:styleId="30">
    <w:name w:val="Body Text Char"/>
    <w:basedOn w:val="19"/>
    <w:semiHidden/>
    <w:qFormat/>
    <w:uiPriority w:val="99"/>
    <w:rPr>
      <w:rFonts w:ascii="Times New Roman" w:hAnsi="Times New Roman"/>
      <w:szCs w:val="24"/>
    </w:rPr>
  </w:style>
  <w:style w:type="character" w:customStyle="1" w:styleId="31">
    <w:name w:val="正文文本 Char"/>
    <w:link w:val="2"/>
    <w:qFormat/>
    <w:locked/>
    <w:uiPriority w:val="99"/>
    <w:rPr>
      <w:rFonts w:ascii="仿宋_GB2312" w:hAnsi="Times New Roman" w:eastAsia="仿宋_GB2312"/>
      <w:sz w:val="24"/>
    </w:rPr>
  </w:style>
  <w:style w:type="paragraph" w:styleId="32">
    <w:name w:val="List Paragraph"/>
    <w:basedOn w:val="1"/>
    <w:qFormat/>
    <w:uiPriority w:val="34"/>
    <w:pPr>
      <w:ind w:firstLine="420" w:firstLineChars="200"/>
    </w:p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Char"/>
    <w:basedOn w:val="19"/>
    <w:link w:val="10"/>
    <w:semiHidden/>
    <w:qFormat/>
    <w:uiPriority w:val="99"/>
    <w:rPr>
      <w:rFonts w:ascii="Times New Roman" w:hAnsi="Times New Roman"/>
      <w:kern w:val="2"/>
      <w:sz w:val="18"/>
      <w:szCs w:val="18"/>
    </w:rPr>
  </w:style>
  <w:style w:type="paragraph" w:customStyle="1" w:styleId="3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font01"/>
    <w:basedOn w:val="19"/>
    <w:qFormat/>
    <w:uiPriority w:val="0"/>
    <w:rPr>
      <w:rFonts w:hint="eastAsia" w:ascii="宋体" w:hAnsi="宋体" w:eastAsia="宋体" w:cs="宋体"/>
      <w:color w:val="000000"/>
      <w:sz w:val="24"/>
      <w:szCs w:val="24"/>
      <w:u w:val="none"/>
    </w:rPr>
  </w:style>
  <w:style w:type="character" w:customStyle="1" w:styleId="37">
    <w:name w:val="font71"/>
    <w:basedOn w:val="19"/>
    <w:qFormat/>
    <w:uiPriority w:val="0"/>
    <w:rPr>
      <w:rFonts w:hint="default" w:ascii="Times New Roman" w:hAnsi="Times New Roman" w:cs="Times New Roman"/>
      <w:color w:val="000000"/>
      <w:sz w:val="24"/>
      <w:szCs w:val="24"/>
      <w:u w:val="none"/>
    </w:rPr>
  </w:style>
  <w:style w:type="character" w:customStyle="1" w:styleId="38">
    <w:name w:val="font11"/>
    <w:basedOn w:val="19"/>
    <w:qFormat/>
    <w:uiPriority w:val="0"/>
    <w:rPr>
      <w:rFonts w:hint="eastAsia" w:ascii="宋体" w:hAnsi="宋体" w:eastAsia="宋体" w:cs="宋体"/>
      <w:b/>
      <w:bCs/>
      <w:color w:val="000000"/>
      <w:sz w:val="18"/>
      <w:szCs w:val="18"/>
      <w:u w:val="none"/>
    </w:rPr>
  </w:style>
  <w:style w:type="character" w:customStyle="1" w:styleId="39">
    <w:name w:val="font81"/>
    <w:basedOn w:val="19"/>
    <w:qFormat/>
    <w:uiPriority w:val="0"/>
    <w:rPr>
      <w:rFonts w:hint="eastAsia" w:ascii="宋体" w:hAnsi="宋体" w:eastAsia="宋体" w:cs="宋体"/>
      <w:color w:val="000000"/>
      <w:sz w:val="16"/>
      <w:szCs w:val="16"/>
      <w:u w:val="none"/>
    </w:rPr>
  </w:style>
  <w:style w:type="character" w:customStyle="1" w:styleId="40">
    <w:name w:val="font31"/>
    <w:basedOn w:val="19"/>
    <w:qFormat/>
    <w:uiPriority w:val="0"/>
    <w:rPr>
      <w:rFonts w:hint="eastAsia" w:ascii="宋体" w:hAnsi="宋体" w:eastAsia="宋体" w:cs="宋体"/>
      <w:color w:val="000000"/>
      <w:sz w:val="18"/>
      <w:szCs w:val="18"/>
      <w:u w:val="none"/>
    </w:rPr>
  </w:style>
  <w:style w:type="character" w:customStyle="1" w:styleId="41">
    <w:name w:val="font61"/>
    <w:basedOn w:val="19"/>
    <w:qFormat/>
    <w:uiPriority w:val="0"/>
    <w:rPr>
      <w:rFonts w:ascii="宋体" w:hAnsi="宋体" w:eastAsia="宋体" w:cs="宋体"/>
      <w:color w:val="000000"/>
      <w:sz w:val="18"/>
      <w:szCs w:val="18"/>
      <w:u w:val="none"/>
    </w:rPr>
  </w:style>
  <w:style w:type="character" w:customStyle="1" w:styleId="42">
    <w:name w:val="font41"/>
    <w:basedOn w:val="19"/>
    <w:qFormat/>
    <w:uiPriority w:val="0"/>
    <w:rPr>
      <w:rFonts w:ascii="Wingdings 2" w:hAnsi="Wingdings 2" w:eastAsia="Wingdings 2" w:cs="Wingdings 2"/>
      <w:color w:val="000000"/>
      <w:sz w:val="16"/>
      <w:szCs w:val="16"/>
      <w:u w:val="none"/>
    </w:rPr>
  </w:style>
  <w:style w:type="character" w:customStyle="1" w:styleId="43">
    <w:name w:val="标题 4 Char"/>
    <w:link w:val="6"/>
    <w:qFormat/>
    <w:uiPriority w:val="9"/>
    <w:rPr>
      <w:b/>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200"/>
              <a:t>收、支决算总计变动情况图</a:t>
            </a:r>
            <a:endParaRPr sz="1200"/>
          </a:p>
          <a:p>
            <a:pPr defTabSz="914400">
              <a:defRPr lang="zh-CN" sz="1400" b="0" i="0" u="none" strike="noStrike" kern="1200" spc="0" baseline="0">
                <a:solidFill>
                  <a:schemeClr val="tx1">
                    <a:lumMod val="65000"/>
                    <a:lumOff val="35000"/>
                  </a:schemeClr>
                </a:solidFill>
                <a:latin typeface="+mn-lt"/>
                <a:ea typeface="+mn-ea"/>
                <a:cs typeface="+mn-cs"/>
              </a:defRPr>
            </a:pPr>
            <a:r>
              <a:rPr sz="1200"/>
              <a:t>单位：万元</a:t>
            </a:r>
            <a:endParaRPr sz="1200"/>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2022年</c:v>
                </c:pt>
              </c:strCache>
            </c:strRef>
          </c:tx>
          <c:spPr>
            <a:solidFill>
              <a:schemeClr val="accent1"/>
            </a:solidFill>
            <a:ln>
              <a:noFill/>
            </a:ln>
            <a:effectLst/>
          </c:spPr>
          <c:invertIfNegative val="false"/>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581.25</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General</c:formatCode>
                <c:ptCount val="1"/>
                <c:pt idx="0">
                  <c:v>581.25</c:v>
                </c:pt>
              </c:numCache>
            </c:numRef>
          </c:val>
        </c:ser>
        <c:ser>
          <c:idx val="1"/>
          <c:order val="1"/>
          <c:tx>
            <c:strRef>
              <c:f>Sheet1!$C$1</c:f>
              <c:strCache>
                <c:ptCount val="1"/>
                <c:pt idx="0">
                  <c:v>2021年</c:v>
                </c:pt>
              </c:strCache>
            </c:strRef>
          </c:tx>
          <c:spPr>
            <a:solidFill>
              <a:schemeClr val="accent2"/>
            </a:solidFill>
            <a:ln>
              <a:noFill/>
            </a:ln>
            <a:effectLst/>
          </c:spPr>
          <c:invertIfNegative val="false"/>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697</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General</c:formatCode>
                <c:ptCount val="1"/>
                <c:pt idx="0">
                  <c:v>697.26</c:v>
                </c:pt>
              </c:numCache>
            </c:numRef>
          </c:val>
        </c:ser>
        <c:dLbls>
          <c:showLegendKey val="false"/>
          <c:showVal val="true"/>
          <c:showCatName val="false"/>
          <c:showSerName val="false"/>
          <c:showPercent val="false"/>
          <c:showBubbleSize val="false"/>
        </c:dLbls>
        <c:gapWidth val="423"/>
        <c:overlap val="-100"/>
        <c:axId val="36641408"/>
        <c:axId val="36647296"/>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false"/>
                <c:dLbls>
                  <c:delete val="true"/>
                </c:dLbls>
                <c:cat>
                  <c:strRef>
                    <c:extLst>
                      <c:ext uri="{02D57815-91ED-43cb-92C2-25804820EDAC}">
                        <c15:fullRef>
                          <c15:sqref/>
                        </c15:fullRef>
                        <c15:formulaRef>
                          <c15:sqref>Sheet1!$A$2</c15:sqref>
                        </c15:formulaRef>
                      </c:ext>
                    </c:extLst>
                    <c:strCache>
                      <c:ptCount val="1"/>
                      <c:pt idx="0">
                        <c:v>类别 1</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36641408"/>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6647296"/>
        <c:crosses val="autoZero"/>
        <c:auto val="true"/>
        <c:lblAlgn val="ctr"/>
        <c:lblOffset val="100"/>
        <c:noMultiLvlLbl val="false"/>
      </c:catAx>
      <c:valAx>
        <c:axId val="3664729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6641408"/>
        <c:crosses val="autoZero"/>
        <c:crossBetween val="between"/>
      </c:valAx>
      <c:spPr>
        <a:noFill/>
        <a:ln>
          <a:noFill/>
        </a:ln>
        <a:effectLst/>
      </c:spPr>
    </c:plotArea>
    <c:legend>
      <c:legendPos val="b"/>
      <c:layout>
        <c:manualLayout>
          <c:xMode val="edge"/>
          <c:yMode val="edge"/>
          <c:x val="0.396875"/>
          <c:y val="0.914881297046902"/>
          <c:w val="0.264125"/>
          <c:h val="0.0619571511291256"/>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r>
              <a:rPr lang="en-US" altLang="zh-CN"/>
              <a:t>                     </a:t>
            </a:r>
            <a:r>
              <a:rPr sz="1200"/>
              <a:t>单位：万元</a:t>
            </a:r>
            <a:endParaRPr sz="1200"/>
          </a:p>
        </c:rich>
      </c:tx>
      <c:layout>
        <c:manualLayout>
          <c:xMode val="edge"/>
          <c:yMode val="edge"/>
          <c:x val="0.335201954865603"/>
          <c:y val="0.00794491525423729"/>
        </c:manualLayout>
      </c:layout>
      <c:overlay val="false"/>
      <c:spPr>
        <a:noFill/>
        <a:ln>
          <a:noFill/>
        </a:ln>
        <a:effectLst/>
      </c:spPr>
    </c:title>
    <c:autoTitleDeleted val="false"/>
    <c:plotArea>
      <c:layout/>
      <c:pieChart>
        <c:varyColors val="true"/>
        <c:ser>
          <c:idx val="0"/>
          <c:order val="0"/>
          <c:tx>
            <c:strRef>
              <c:f>Sheet1!$B$1</c:f>
              <c:strCache>
                <c:ptCount val="1"/>
                <c:pt idx="0">
                  <c:v>收入决算结构图</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Sheet1!$A$2:$A$8</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Sheet1!$B$2:$B$8</c:f>
              <c:numCache>
                <c:formatCode>General</c:formatCode>
                <c:ptCount val="7"/>
                <c:pt idx="0">
                  <c:v>581.25</c:v>
                </c:pt>
                <c:pt idx="1">
                  <c:v>0</c:v>
                </c:pt>
                <c:pt idx="2">
                  <c:v>0</c:v>
                </c:pt>
                <c:pt idx="3">
                  <c:v>0</c:v>
                </c:pt>
                <c:pt idx="4">
                  <c:v>0</c:v>
                </c:pt>
                <c:pt idx="5">
                  <c:v>0</c:v>
                </c:pt>
                <c:pt idx="6">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manualLayout>
          <c:xMode val="edge"/>
          <c:yMode val="edge"/>
          <c:x val="0.00386697602474865"/>
          <c:y val="0.624050632911392"/>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r>
              <a:rPr lang="en-US" altLang="zh-CN"/>
              <a:t>               </a:t>
            </a:r>
            <a:r>
              <a:rPr lang="en-US" altLang="zh-CN" sz="1200"/>
              <a:t> </a:t>
            </a:r>
            <a:r>
              <a:rPr altLang="en-US" sz="1200"/>
              <a:t>单位：万元</a:t>
            </a:r>
            <a:endParaRPr lang="en-US" altLang="en-US" sz="1200"/>
          </a:p>
        </c:rich>
      </c:tx>
      <c:layout>
        <c:manualLayout>
          <c:xMode val="edge"/>
          <c:yMode val="edge"/>
          <c:x val="0.372125"/>
          <c:y val="0.025974025974026"/>
        </c:manualLayout>
      </c:layout>
      <c:overlay val="false"/>
      <c:spPr>
        <a:noFill/>
        <a:ln>
          <a:noFill/>
        </a:ln>
        <a:effectLst/>
      </c:spPr>
    </c:title>
    <c:autoTitleDeleted val="false"/>
    <c:plotArea>
      <c:layout>
        <c:manualLayout>
          <c:layoutTarget val="inner"/>
          <c:xMode val="edge"/>
          <c:yMode val="edge"/>
          <c:x val="0.326325"/>
          <c:y val="0.193311688311688"/>
          <c:w val="0.35035"/>
          <c:h val="0.606666666666667"/>
        </c:manualLayout>
      </c:layout>
      <c:pieChart>
        <c:varyColors val="true"/>
        <c:ser>
          <c:idx val="0"/>
          <c:order val="0"/>
          <c:tx>
            <c:strRef>
              <c:f>Sheet1!$B$1</c:f>
              <c:strCache>
                <c:ptCount val="1"/>
                <c:pt idx="0">
                  <c:v>支出决算结构图</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243.27</c:v>
                </c:pt>
                <c:pt idx="1">
                  <c:v>337.98</c:v>
                </c:pt>
                <c:pt idx="2">
                  <c:v>0</c:v>
                </c:pt>
                <c:pt idx="3">
                  <c:v>0</c:v>
                </c:pt>
                <c:pt idx="4">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财政拨款收、支决算总计变动情况图</a:t>
            </a:r>
          </a:p>
          <a:p>
            <a:pPr defTabSz="914400">
              <a:defRPr lang="zh-CN" sz="1400" b="0" i="0" u="none" strike="noStrike" kern="1200" spc="0" baseline="0">
                <a:solidFill>
                  <a:schemeClr val="tx1">
                    <a:lumMod val="65000"/>
                    <a:lumOff val="35000"/>
                  </a:schemeClr>
                </a:solidFill>
                <a:latin typeface="+mn-lt"/>
                <a:ea typeface="+mn-ea"/>
                <a:cs typeface="+mn-cs"/>
              </a:defRPr>
            </a:pPr>
            <a:r>
              <a:rPr sz="1200"/>
              <a:t>单位：万元</a:t>
            </a:r>
            <a:endParaRPr sz="1200"/>
          </a:p>
        </c:rich>
      </c:tx>
      <c:layout/>
      <c:overlay val="false"/>
      <c:spPr>
        <a:noFill/>
        <a:ln>
          <a:noFill/>
        </a:ln>
        <a:effectLst/>
      </c:spPr>
    </c:title>
    <c:autoTitleDeleted val="false"/>
    <c:plotArea>
      <c:layout>
        <c:manualLayout>
          <c:layoutTarget val="inner"/>
          <c:xMode val="edge"/>
          <c:yMode val="edge"/>
          <c:x val="0.0792662446712311"/>
          <c:y val="0.266990291262136"/>
          <c:w val="0.890246738147526"/>
          <c:h val="0.517815533980583"/>
        </c:manualLayout>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numRef>
              <c:f>Sheet1!$A$2:$A$3</c:f>
              <c:numCache>
                <c:formatCode>General</c:formatCode>
                <c:ptCount val="2"/>
                <c:pt idx="0">
                  <c:v>2022</c:v>
                </c:pt>
                <c:pt idx="1">
                  <c:v>2021</c:v>
                </c:pt>
              </c:numCache>
            </c:numRef>
          </c:cat>
          <c:val>
            <c:numRef>
              <c:f>Sheet1!$B$2:$B$3</c:f>
              <c:numCache>
                <c:formatCode>General</c:formatCode>
                <c:ptCount val="2"/>
                <c:pt idx="0">
                  <c:v>581.25</c:v>
                </c:pt>
                <c:pt idx="1">
                  <c:v>697.26</c:v>
                </c:pt>
              </c:numCache>
            </c:numRef>
          </c:val>
        </c:ser>
        <c:ser>
          <c:idx val="1"/>
          <c:order val="1"/>
          <c:tx>
            <c:strRef>
              <c:f>Sheet1!$C$1</c:f>
              <c:strCache>
                <c:ptCount val="1"/>
                <c:pt idx="0">
                  <c:v>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numRef>
              <c:f>Sheet1!$A$2:$A$3</c:f>
              <c:numCache>
                <c:formatCode>General</c:formatCode>
                <c:ptCount val="2"/>
                <c:pt idx="0">
                  <c:v>2022</c:v>
                </c:pt>
                <c:pt idx="1">
                  <c:v>2021</c:v>
                </c:pt>
              </c:numCache>
            </c:numRef>
          </c:cat>
          <c:val>
            <c:numRef>
              <c:f>Sheet1!$C$2:$C$3</c:f>
              <c:numCache>
                <c:formatCode>General</c:formatCode>
                <c:ptCount val="2"/>
                <c:pt idx="0">
                  <c:v>581.25</c:v>
                </c:pt>
                <c:pt idx="1">
                  <c:v>697.26</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numRef>
              <c:f>Sheet1!$A$2:$A$3</c:f>
              <c:numCache>
                <c:formatCode>General</c:formatCode>
                <c:ptCount val="2"/>
                <c:pt idx="0">
                  <c:v>2022</c:v>
                </c:pt>
                <c:pt idx="1">
                  <c:v>2021</c:v>
                </c:pt>
              </c:numCache>
            </c:num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36600832"/>
        <c:axId val="36610816"/>
      </c:barChart>
      <c:catAx>
        <c:axId val="36600832"/>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6610816"/>
        <c:crosses val="autoZero"/>
        <c:auto val="true"/>
        <c:lblAlgn val="ctr"/>
        <c:lblOffset val="100"/>
        <c:noMultiLvlLbl val="false"/>
      </c:catAx>
      <c:valAx>
        <c:axId val="36610816"/>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660083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一般公共预算财政拨款支出决算变动情况图</a:t>
            </a:r>
          </a:p>
          <a:p>
            <a:pPr defTabSz="914400">
              <a:defRPr lang="zh-CN" sz="1400" b="0" i="0" u="none" strike="noStrike" kern="1200" spc="0" baseline="0">
                <a:solidFill>
                  <a:schemeClr val="tx1">
                    <a:lumMod val="65000"/>
                    <a:lumOff val="35000"/>
                  </a:schemeClr>
                </a:solidFill>
                <a:latin typeface="+mn-lt"/>
                <a:ea typeface="+mn-ea"/>
                <a:cs typeface="+mn-cs"/>
              </a:defRPr>
            </a:pPr>
            <a:r>
              <a:rPr sz="1200"/>
              <a:t>单位：万元</a:t>
            </a:r>
            <a:endParaRPr sz="1200"/>
          </a:p>
        </c:rich>
      </c:tx>
      <c:layout/>
      <c:overlay val="false"/>
      <c:spPr>
        <a:noFill/>
        <a:ln>
          <a:noFill/>
        </a:ln>
        <a:effectLst/>
      </c:spPr>
    </c:title>
    <c:autoTitleDeleted val="false"/>
    <c:plotArea>
      <c:layout>
        <c:manualLayout>
          <c:layoutTarget val="inner"/>
          <c:xMode val="edge"/>
          <c:yMode val="edge"/>
          <c:x val="0.0705226850623508"/>
          <c:y val="0.252827817343946"/>
          <c:w val="0.900291854603343"/>
          <c:h val="0.605781315458735"/>
        </c:manualLayout>
      </c:layout>
      <c:barChart>
        <c:barDir val="col"/>
        <c:grouping val="clustered"/>
        <c:varyColors val="false"/>
        <c:ser>
          <c:idx val="0"/>
          <c:order val="0"/>
          <c:tx>
            <c:strRef>
              <c:f>Sheet1!$B$1</c:f>
              <c:strCache>
                <c:ptCount val="1"/>
                <c:pt idx="0">
                  <c:v>2022年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General</c:formatCode>
                <c:ptCount val="1"/>
                <c:pt idx="0">
                  <c:v>581.25</c:v>
                </c:pt>
              </c:numCache>
            </c:numRef>
          </c:val>
        </c:ser>
        <c:ser>
          <c:idx val="1"/>
          <c:order val="1"/>
          <c:tx>
            <c:strRef>
              <c:f>Sheet1!$C$1</c:f>
              <c:strCache>
                <c:ptCount val="1"/>
                <c:pt idx="0">
                  <c:v>2021年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General</c:formatCode>
                <c:ptCount val="1"/>
                <c:pt idx="0">
                  <c:v>697.26</c:v>
                </c:pt>
              </c:numCache>
            </c:numRef>
          </c:val>
        </c:ser>
        <c:dLbls>
          <c:showLegendKey val="false"/>
          <c:showVal val="true"/>
          <c:showCatName val="false"/>
          <c:showSerName val="false"/>
          <c:showPercent val="false"/>
          <c:showBubbleSize val="false"/>
        </c:dLbls>
        <c:gapWidth val="388"/>
        <c:overlap val="-100"/>
        <c:axId val="36641408"/>
        <c:axId val="36647296"/>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false"/>
                <c:dLbls>
                  <c:delete val="true"/>
                </c:dLbls>
                <c:cat>
                  <c:strRef>
                    <c:extLst>
                      <c:ext uri="{02D57815-91ED-43cb-92C2-25804820EDAC}">
                        <c15:fullRef>
                          <c15:sqref/>
                        </c15:fullRef>
                        <c15:formulaRef>
                          <c15:sqref>Sheet1!$A$2</c15:sqref>
                        </c15:formulaRef>
                      </c:ext>
                    </c:extLst>
                    <c:strCache>
                      <c:ptCount val="1"/>
                      <c:pt idx="0">
                        <c:v>类别 1</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36641408"/>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6647296"/>
        <c:crosses val="autoZero"/>
        <c:auto val="true"/>
        <c:lblAlgn val="ctr"/>
        <c:lblOffset val="100"/>
        <c:noMultiLvlLbl val="false"/>
      </c:catAx>
      <c:valAx>
        <c:axId val="3664729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6641408"/>
        <c:crosses val="autoZero"/>
        <c:crossBetween val="between"/>
      </c:valAx>
      <c:spPr>
        <a:noFill/>
        <a:ln>
          <a:noFill/>
        </a:ln>
        <a:effectLst/>
      </c:spPr>
    </c:plotArea>
    <c:legend>
      <c:legendPos val="b"/>
      <c:layout>
        <c:manualLayout>
          <c:xMode val="edge"/>
          <c:yMode val="edge"/>
          <c:x val="0.396875"/>
          <c:y val="0.914881297046902"/>
          <c:w val="0.264125"/>
          <c:h val="0.0619571511291256"/>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一般公共预算财政拨款支出决算结构图</a:t>
            </a:r>
          </a:p>
          <a:p>
            <a:pPr defTabSz="914400">
              <a:defRPr lang="zh-CN" sz="1400" b="0" i="0" u="none" strike="noStrike" kern="1200" spc="0" baseline="0">
                <a:solidFill>
                  <a:schemeClr val="tx1">
                    <a:lumMod val="65000"/>
                    <a:lumOff val="35000"/>
                  </a:schemeClr>
                </a:solidFill>
                <a:latin typeface="+mn-lt"/>
                <a:ea typeface="+mn-ea"/>
                <a:cs typeface="+mn-cs"/>
              </a:defRPr>
            </a:pPr>
            <a:r>
              <a:rPr sz="1200"/>
              <a:t>单位：万元</a:t>
            </a:r>
            <a:endParaRPr sz="1200"/>
          </a:p>
        </c:rich>
      </c:tx>
      <c:layout/>
      <c:overlay val="false"/>
      <c:spPr>
        <a:noFill/>
        <a:ln>
          <a:noFill/>
        </a:ln>
        <a:effectLst/>
      </c:spPr>
    </c:title>
    <c:autoTitleDeleted val="false"/>
    <c:plotArea>
      <c:layout/>
      <c:pieChart>
        <c:varyColors val="true"/>
        <c:ser>
          <c:idx val="0"/>
          <c:order val="0"/>
          <c:tx>
            <c:strRef>
              <c:f>Sheet1!$B$1</c:f>
              <c:strCache>
                <c:ptCount val="1"/>
                <c:pt idx="0">
                  <c:v>一般公共预算财政拨款支出决算结构</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行政运行</c:v>
                </c:pt>
                <c:pt idx="1">
                  <c:v>社会保障和就业</c:v>
                </c:pt>
                <c:pt idx="2">
                  <c:v>卫生健康支出</c:v>
                </c:pt>
                <c:pt idx="3">
                  <c:v>住房保障支出</c:v>
                </c:pt>
                <c:pt idx="4">
                  <c:v>其他粮油物资事务支出</c:v>
                </c:pt>
              </c:strCache>
            </c:strRef>
          </c:cat>
          <c:val>
            <c:numRef>
              <c:f>Sheet1!$B$2:$B$6</c:f>
              <c:numCache>
                <c:formatCode>General</c:formatCode>
                <c:ptCount val="5"/>
                <c:pt idx="0">
                  <c:v>207.25</c:v>
                </c:pt>
                <c:pt idx="1">
                  <c:v>14.34</c:v>
                </c:pt>
                <c:pt idx="2">
                  <c:v>7.11</c:v>
                </c:pt>
                <c:pt idx="3">
                  <c:v>14.57</c:v>
                </c:pt>
                <c:pt idx="4">
                  <c:v>337.98</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“三公”经费财政拨款支出决算结构图</a:t>
            </a:r>
          </a:p>
          <a:p>
            <a:pPr defTabSz="914400">
              <a:defRPr lang="zh-CN" sz="1400" b="0" i="0" u="none" strike="noStrike" kern="1200" spc="0" baseline="0">
                <a:solidFill>
                  <a:schemeClr val="tx1">
                    <a:lumMod val="65000"/>
                    <a:lumOff val="35000"/>
                  </a:schemeClr>
                </a:solidFill>
                <a:latin typeface="+mn-lt"/>
                <a:ea typeface="+mn-ea"/>
                <a:cs typeface="+mn-cs"/>
              </a:defRPr>
            </a:pPr>
            <a:endParaRPr lang="en-US" altLang="zh-CN" sz="1200"/>
          </a:p>
        </c:rich>
      </c:tx>
      <c:layout/>
      <c:overlay val="false"/>
      <c:spPr>
        <a:noFill/>
        <a:ln>
          <a:noFill/>
        </a:ln>
        <a:effectLst/>
      </c:spPr>
    </c:title>
    <c:autoTitleDeleted val="false"/>
    <c:plotArea>
      <c:layout/>
      <c:pieChart>
        <c:varyColors val="true"/>
        <c:ser>
          <c:idx val="0"/>
          <c:order val="0"/>
          <c:tx>
            <c:strRef>
              <c:f>Sheet1!$B$1</c:f>
              <c:strCache>
                <c:ptCount val="1"/>
                <c:pt idx="0">
                  <c:v>“三公”经费财政拨款支出决算结构</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因公出国（境）经费支出</c:v>
                </c:pt>
                <c:pt idx="1">
                  <c:v>公务用车购置及运行维护费支出</c:v>
                </c:pt>
                <c:pt idx="2">
                  <c:v>公务接待费支出</c:v>
                </c:pt>
              </c:strCache>
            </c:strRef>
          </c:cat>
          <c:val>
            <c:numRef>
              <c:f>Sheet1!$B$2:$B$4</c:f>
              <c:numCache>
                <c:formatCode>General</c:formatCode>
                <c:ptCount val="3"/>
                <c:pt idx="0">
                  <c:v>0</c:v>
                </c:pt>
                <c:pt idx="1">
                  <c:v>0</c:v>
                </c:pt>
                <c:pt idx="2" c:formatCode="0%">
                  <c:v>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Pages>
  <Words>20110</Words>
  <Characters>23543</Characters>
  <Lines>1</Lines>
  <Paragraphs>1</Paragraphs>
  <TotalTime>7</TotalTime>
  <ScaleCrop>false</ScaleCrop>
  <LinksUpToDate>false</LinksUpToDate>
  <CharactersWithSpaces>23703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2022-08-08T17:11:00Z</cp:lastPrinted>
  <dcterms:modified xsi:type="dcterms:W3CDTF">2023-11-02T16:27:52Z</dcterms:modified>
  <dc:title>四川省***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158AFDB255D34FCF86C49EA26A4A6278_13</vt:lpwstr>
  </property>
</Properties>
</file>