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597"/>
      <w:bookmarkStart w:id="2" w:name="_Toc15396475"/>
      <w:bookmarkStart w:id="3" w:name="_Toc1537742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8400"/>
      <w:bookmarkStart w:id="7" w:name="_Toc19552"/>
      <w:bookmarkStart w:id="8" w:name="_Toc289"/>
      <w:r>
        <w:rPr>
          <w:rFonts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2</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6"/>
      <w:bookmarkEnd w:id="7"/>
      <w:bookmarkEnd w:id="8"/>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9" w:name="_Toc25404"/>
      <w:bookmarkStart w:id="10" w:name="_Toc30751"/>
      <w:bookmarkStart w:id="11" w:name="_Toc25060"/>
      <w:bookmarkStart w:id="12" w:name="_Toc22800"/>
      <w:bookmarkStart w:id="13" w:name="_Toc31493"/>
      <w:bookmarkStart w:id="14" w:name="_Toc31694"/>
      <w:bookmarkStart w:id="15" w:name="_Toc27721"/>
      <w:bookmarkStart w:id="16" w:name="_Toc12"/>
      <w:r>
        <w:rPr>
          <w:rFonts w:hint="eastAsia" w:ascii="方正小标宋简体" w:hAnsi="方正小标宋简体" w:eastAsia="方正小标宋简体" w:cs="方正小标宋简体"/>
          <w:color w:val="auto"/>
          <w:sz w:val="72"/>
          <w:szCs w:val="72"/>
          <w:highlight w:val="none"/>
        </w:rPr>
        <w:t>四川省广元市朝天区</w:t>
      </w:r>
      <w:bookmarkEnd w:id="9"/>
      <w:bookmarkEnd w:id="10"/>
      <w:bookmarkEnd w:id="11"/>
      <w:bookmarkEnd w:id="12"/>
      <w:bookmarkEnd w:id="13"/>
      <w:bookmarkEnd w:id="14"/>
      <w:bookmarkEnd w:id="15"/>
      <w:bookmarkEnd w:id="16"/>
      <w:bookmarkStart w:id="17" w:name="_Toc24683"/>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8" w:name="_Toc23935"/>
      <w:bookmarkStart w:id="19" w:name="_Toc32317"/>
      <w:bookmarkStart w:id="20" w:name="_Toc7334"/>
      <w:bookmarkStart w:id="21" w:name="_Toc17834"/>
      <w:bookmarkStart w:id="22" w:name="_Toc7936"/>
      <w:bookmarkStart w:id="23" w:name="_Toc8211"/>
      <w:bookmarkStart w:id="24" w:name="_Toc31984"/>
      <w:bookmarkStart w:id="25" w:name="_Toc25983"/>
      <w:r>
        <w:rPr>
          <w:rFonts w:hint="eastAsia" w:ascii="方正小标宋简体" w:hAnsi="方正小标宋简体" w:eastAsia="方正小标宋简体" w:cs="方正小标宋简体"/>
          <w:color w:val="auto"/>
          <w:sz w:val="72"/>
          <w:szCs w:val="72"/>
          <w:highlight w:val="none"/>
          <w:lang w:eastAsia="zh-CN"/>
        </w:rPr>
        <w:t>李家</w:t>
      </w:r>
      <w:r>
        <w:rPr>
          <w:rFonts w:hint="eastAsia" w:ascii="方正小标宋简体" w:hAnsi="方正小标宋简体" w:eastAsia="方正小标宋简体" w:cs="方正小标宋简体"/>
          <w:color w:val="auto"/>
          <w:sz w:val="72"/>
          <w:szCs w:val="72"/>
          <w:highlight w:val="none"/>
        </w:rPr>
        <w:t>镇人民政府</w:t>
      </w:r>
      <w:bookmarkEnd w:id="18"/>
      <w:bookmarkEnd w:id="19"/>
      <w:bookmarkStart w:id="26" w:name="_Toc27149"/>
      <w:bookmarkStart w:id="27" w:name="_Toc25074"/>
      <w:r>
        <w:rPr>
          <w:rFonts w:hint="eastAsia" w:ascii="方正小标宋简体" w:hAnsi="方正小标宋简体" w:eastAsia="方正小标宋简体" w:cs="方正小标宋简体"/>
          <w:color w:val="auto"/>
          <w:sz w:val="72"/>
          <w:szCs w:val="72"/>
          <w:highlight w:val="none"/>
        </w:rPr>
        <w:t>部门决算</w:t>
      </w:r>
      <w:bookmarkEnd w:id="17"/>
      <w:bookmarkEnd w:id="20"/>
      <w:bookmarkEnd w:id="21"/>
      <w:bookmarkEnd w:id="22"/>
      <w:bookmarkEnd w:id="23"/>
      <w:bookmarkEnd w:id="24"/>
      <w:bookmarkEnd w:id="25"/>
      <w:bookmarkEnd w:id="26"/>
      <w:bookmarkEnd w:id="27"/>
    </w:p>
    <w:p>
      <w:pPr>
        <w:widowControl/>
        <w:jc w:val="both"/>
        <w:rPr>
          <w:rFonts w:ascii="黑体" w:hAnsi="黑体" w:eastAsia="黑体"/>
          <w:sz w:val="28"/>
          <w:szCs w:val="28"/>
        </w:rPr>
      </w:pPr>
    </w:p>
    <w:p>
      <w:pPr>
        <w:pStyle w:val="13"/>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30"/>
          <w:szCs w:val="30"/>
        </w:rPr>
      </w:pPr>
    </w:p>
    <w:p>
      <w:pPr>
        <w:pStyle w:val="13"/>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30"/>
          <w:szCs w:val="30"/>
        </w:rPr>
      </w:pPr>
    </w:p>
    <w:p>
      <w:pPr>
        <w:pStyle w:val="13"/>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30"/>
          <w:szCs w:val="30"/>
        </w:rPr>
      </w:pPr>
    </w:p>
    <w:p>
      <w:pPr>
        <w:pStyle w:val="13"/>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30"/>
          <w:szCs w:val="30"/>
        </w:rPr>
      </w:pPr>
    </w:p>
    <w:p>
      <w:pPr>
        <w:pStyle w:val="13"/>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30"/>
          <w:szCs w:val="30"/>
        </w:rPr>
      </w:pPr>
    </w:p>
    <w:p>
      <w:pPr>
        <w:pStyle w:val="13"/>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30"/>
          <w:szCs w:val="30"/>
        </w:rPr>
      </w:pPr>
    </w:p>
    <w:p>
      <w:pPr>
        <w:pStyle w:val="13"/>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30"/>
          <w:szCs w:val="30"/>
        </w:rPr>
      </w:pPr>
    </w:p>
    <w:p>
      <w:pPr>
        <w:pStyle w:val="13"/>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30"/>
          <w:szCs w:val="30"/>
        </w:rPr>
      </w:pPr>
    </w:p>
    <w:p>
      <w:pPr>
        <w:pStyle w:val="13"/>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30"/>
          <w:szCs w:val="30"/>
        </w:rPr>
      </w:pPr>
    </w:p>
    <w:p>
      <w:pPr>
        <w:pStyle w:val="13"/>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30"/>
          <w:szCs w:val="30"/>
        </w:rPr>
      </w:pPr>
    </w:p>
    <w:p>
      <w:pPr>
        <w:pStyle w:val="13"/>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30"/>
          <w:szCs w:val="30"/>
        </w:rPr>
      </w:pPr>
    </w:p>
    <w:p>
      <w:pPr>
        <w:pStyle w:val="13"/>
        <w:keepNext w:val="0"/>
        <w:keepLines w:val="0"/>
        <w:pageBreakBefore w:val="0"/>
        <w:widowControl w:val="0"/>
        <w:kinsoku/>
        <w:wordWrap/>
        <w:overflowPunct/>
        <w:topLinePunct w:val="0"/>
        <w:autoSpaceDE/>
        <w:autoSpaceDN/>
        <w:bidi w:val="0"/>
        <w:spacing w:line="440" w:lineRule="exact"/>
        <w:jc w:val="center"/>
        <w:textAlignment w:val="auto"/>
        <w:rPr>
          <w:rFonts w:ascii="仿宋" w:hAnsi="仿宋" w:eastAsia="仿宋" w:cs="Times New Roman"/>
          <w:kern w:val="2"/>
          <w:sz w:val="28"/>
          <w:szCs w:val="28"/>
          <w:lang w:val="en-US" w:eastAsia="zh-CN" w:bidi="ar-SA"/>
        </w:rPr>
      </w:pPr>
      <w:r>
        <w:rPr>
          <w:rFonts w:hint="eastAsia" w:ascii="仿宋" w:hAnsi="仿宋" w:eastAsia="仿宋" w:cs="仿宋"/>
          <w:sz w:val="30"/>
          <w:szCs w:val="30"/>
        </w:rPr>
        <w:t>公开时间：202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28</w:t>
      </w:r>
      <w:r>
        <w:rPr>
          <w:rFonts w:hint="eastAsia" w:ascii="仿宋" w:hAnsi="仿宋" w:eastAsia="仿宋" w:cs="仿宋"/>
          <w:sz w:val="30"/>
          <w:szCs w:val="30"/>
        </w:rPr>
        <w:t>日</w:t>
      </w:r>
      <w:r>
        <w:fldChar w:fldCharType="begin"/>
      </w:r>
      <w:r>
        <w:instrText xml:space="preserve">TOC \o "1-2" \h \u </w:instrText>
      </w:r>
      <w:r>
        <w:fldChar w:fldCharType="separate"/>
      </w:r>
    </w:p>
    <w:p>
      <w:pPr>
        <w:pStyle w:val="13"/>
        <w:tabs>
          <w:tab w:val="right" w:leader="dot" w:pos="8306"/>
          <w:tab w:val="clear" w:pos="8296"/>
        </w:tabs>
        <w:rPr>
          <w:rFonts w:hint="eastAsia" w:eastAsia="仿宋"/>
          <w:lang w:eastAsia="zh-CN"/>
        </w:rPr>
      </w:pPr>
      <w:r>
        <w:rPr>
          <w:rFonts w:hint="eastAsia"/>
          <w:lang w:eastAsia="zh-CN"/>
        </w:rPr>
        <w:t>目</w:t>
      </w:r>
      <w:r>
        <w:rPr>
          <w:rFonts w:hint="eastAsia"/>
          <w:lang w:val="en-US" w:eastAsia="zh-CN"/>
        </w:rPr>
        <w:t xml:space="preserve">  </w:t>
      </w:r>
      <w:r>
        <w:rPr>
          <w:rFonts w:hint="eastAsia"/>
          <w:lang w:eastAsia="zh-CN"/>
        </w:rPr>
        <w:t>录</w:t>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_Toc17772 </w:instrText>
      </w:r>
      <w:r>
        <w:fldChar w:fldCharType="separate"/>
      </w:r>
      <w:r>
        <w:rPr>
          <w:rFonts w:hint="eastAsia" w:ascii="黑体" w:hAnsi="黑体" w:eastAsia="黑体"/>
        </w:rPr>
        <w:t>第一部分</w:t>
      </w:r>
      <w:r>
        <w:rPr>
          <w:rFonts w:ascii="黑体" w:hAnsi="黑体" w:eastAsia="黑体"/>
        </w:rPr>
        <w:t xml:space="preserve"> </w:t>
      </w:r>
      <w:r>
        <w:rPr>
          <w:rFonts w:hint="eastAsia" w:ascii="黑体" w:hAnsi="黑体" w:eastAsia="黑体"/>
          <w:bCs w:val="0"/>
        </w:rPr>
        <w:t>部门概况</w:t>
      </w:r>
      <w:r>
        <w:tab/>
      </w:r>
      <w:r>
        <w:fldChar w:fldCharType="begin"/>
      </w:r>
      <w:r>
        <w:instrText xml:space="preserve"> PAGEREF _Toc17772 </w:instrText>
      </w:r>
      <w:r>
        <w:fldChar w:fldCharType="separate"/>
      </w:r>
      <w:r>
        <w:t>3</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_Toc32707 </w:instrText>
      </w:r>
      <w:r>
        <w:fldChar w:fldCharType="separate"/>
      </w:r>
      <w:r>
        <w:rPr>
          <w:rFonts w:hint="eastAsia" w:ascii="黑体" w:hAnsi="黑体" w:eastAsia="黑体"/>
        </w:rPr>
        <w:t>一、</w:t>
      </w:r>
      <w:r>
        <w:rPr>
          <w:rFonts w:hint="eastAsia" w:ascii="黑体" w:hAnsi="黑体" w:eastAsia="黑体"/>
          <w:lang w:eastAsia="zh-CN"/>
        </w:rPr>
        <w:t>部门职责</w:t>
      </w:r>
      <w:r>
        <w:tab/>
      </w:r>
      <w:r>
        <w:fldChar w:fldCharType="begin"/>
      </w:r>
      <w:r>
        <w:instrText xml:space="preserve"> PAGEREF _Toc32707 </w:instrText>
      </w:r>
      <w:r>
        <w:fldChar w:fldCharType="separate"/>
      </w:r>
      <w:r>
        <w:t>3</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_Toc24980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rPr>
          <w:rFonts w:hint="eastAsia" w:ascii="黑体" w:hAnsi="黑体" w:eastAsia="黑体"/>
          <w:bCs w:val="0"/>
          <w:lang w:eastAsia="zh-CN"/>
        </w:rPr>
        <w:t>及人员情况</w:t>
      </w:r>
      <w:r>
        <w:tab/>
      </w:r>
      <w:r>
        <w:fldChar w:fldCharType="begin"/>
      </w:r>
      <w:r>
        <w:instrText xml:space="preserve"> PAGEREF _Toc24980 </w:instrText>
      </w:r>
      <w:r>
        <w:fldChar w:fldCharType="separate"/>
      </w:r>
      <w:r>
        <w:t>4</w:t>
      </w:r>
      <w:r>
        <w:fldChar w:fldCharType="end"/>
      </w:r>
      <w: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_Toc27665 </w:instrText>
      </w:r>
      <w:r>
        <w:fldChar w:fldCharType="separate"/>
      </w:r>
      <w:r>
        <w:rPr>
          <w:rFonts w:hint="eastAsia" w:ascii="黑体" w:hAnsi="黑体" w:eastAsia="黑体"/>
        </w:rPr>
        <w:t>第二部分</w:t>
      </w:r>
      <w:r>
        <w:rPr>
          <w:rFonts w:ascii="黑体" w:hAnsi="黑体" w:eastAsia="黑体"/>
        </w:rPr>
        <w:t xml:space="preserve"> 202</w:t>
      </w:r>
      <w:r>
        <w:rPr>
          <w:rFonts w:hint="eastAsia" w:ascii="黑体" w:hAnsi="黑体" w:eastAsia="黑体"/>
          <w:lang w:val="en-US" w:eastAsia="zh-CN"/>
        </w:rPr>
        <w:t>2</w:t>
      </w:r>
      <w:r>
        <w:rPr>
          <w:rFonts w:hint="eastAsia" w:ascii="黑体" w:hAnsi="黑体" w:eastAsia="黑体"/>
        </w:rPr>
        <w:t>年度</w:t>
      </w:r>
      <w:r>
        <w:rPr>
          <w:rFonts w:hint="eastAsia" w:ascii="黑体" w:hAnsi="黑体" w:eastAsia="黑体"/>
          <w:bCs/>
        </w:rPr>
        <w:t>部门决算情况说明</w:t>
      </w:r>
      <w:r>
        <w:tab/>
      </w:r>
      <w:r>
        <w:fldChar w:fldCharType="begin"/>
      </w:r>
      <w:r>
        <w:instrText xml:space="preserve"> PAGEREF _Toc27665 </w:instrText>
      </w:r>
      <w:r>
        <w:fldChar w:fldCharType="separate"/>
      </w:r>
      <w:r>
        <w:t>5</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_Toc21886 </w:instrText>
      </w:r>
      <w:r>
        <w:fldChar w:fldCharType="separate"/>
      </w:r>
      <w:r>
        <w:rPr>
          <w:rFonts w:hint="default" w:ascii="黑体" w:hAnsi="黑体" w:eastAsia="黑体" w:cs="Times New Roman"/>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_Toc21886 </w:instrText>
      </w:r>
      <w:r>
        <w:fldChar w:fldCharType="separate"/>
      </w:r>
      <w:r>
        <w:t>5</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_Toc29816 </w:instrText>
      </w:r>
      <w:r>
        <w:fldChar w:fldCharType="separate"/>
      </w:r>
      <w:r>
        <w:rPr>
          <w:rFonts w:hint="default" w:ascii="仿宋" w:hAnsi="仿宋" w:eastAsia="仿宋" w:cs="Times New Roman"/>
          <w:szCs w:val="32"/>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_Toc29816 </w:instrText>
      </w:r>
      <w:r>
        <w:fldChar w:fldCharType="separate"/>
      </w:r>
      <w:r>
        <w:t>5</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_Toc25590 </w:instrText>
      </w:r>
      <w:r>
        <w:fldChar w:fldCharType="separate"/>
      </w:r>
      <w:r>
        <w:rPr>
          <w:rFonts w:hint="default" w:cs="Times New Roman"/>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_Toc25590 </w:instrText>
      </w:r>
      <w:r>
        <w:fldChar w:fldCharType="separate"/>
      </w:r>
      <w:r>
        <w:t>6</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_Toc21932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_Toc21932 </w:instrText>
      </w:r>
      <w:r>
        <w:fldChar w:fldCharType="separate"/>
      </w:r>
      <w:r>
        <w:t>6</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_Toc4010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_Toc4010 </w:instrText>
      </w:r>
      <w:r>
        <w:fldChar w:fldCharType="separate"/>
      </w:r>
      <w:r>
        <w:t>7</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_Toc1346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_Toc1346 </w:instrText>
      </w:r>
      <w:r>
        <w:fldChar w:fldCharType="separate"/>
      </w:r>
      <w:r>
        <w:t>11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_Toc1780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_Toc1780 </w:instrText>
      </w:r>
      <w:r>
        <w:fldChar w:fldCharType="separate"/>
      </w:r>
      <w:r>
        <w:t>11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_Toc13019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_Toc13019 </w:instrText>
      </w:r>
      <w:r>
        <w:fldChar w:fldCharType="separate"/>
      </w:r>
      <w:r>
        <w:t>12</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_Toc21213 </w:instrText>
      </w:r>
      <w:r>
        <w:fldChar w:fldCharType="separate"/>
      </w:r>
      <w:r>
        <w:rPr>
          <w:rFonts w:hint="eastAsia" w:ascii="黑体" w:hAnsi="黑体" w:eastAsia="黑体" w:cs="Times New Roman"/>
        </w:rPr>
        <w:t xml:space="preserve">九、 </w:t>
      </w:r>
      <w:r>
        <w:rPr>
          <w:rFonts w:hint="eastAsia" w:ascii="黑体" w:hAnsi="黑体" w:eastAsia="黑体"/>
        </w:rPr>
        <w:t>国有资本经营预算支出决算情况说明</w:t>
      </w:r>
      <w:r>
        <w:tab/>
      </w:r>
      <w:r>
        <w:fldChar w:fldCharType="begin"/>
      </w:r>
      <w:r>
        <w:instrText xml:space="preserve"> PAGEREF _Toc21213 </w:instrText>
      </w:r>
      <w:r>
        <w:fldChar w:fldCharType="separate"/>
      </w:r>
      <w:r>
        <w:t>12</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_Toc9124 </w:instrText>
      </w:r>
      <w:r>
        <w:fldChar w:fldCharType="separate"/>
      </w:r>
      <w:r>
        <w:rPr>
          <w:rFonts w:hint="eastAsia" w:ascii="黑体" w:hAnsi="黑体" w:eastAsia="黑体" w:cs="Times New Roman"/>
        </w:rPr>
        <w:t xml:space="preserve">十、 </w:t>
      </w:r>
      <w:r>
        <w:rPr>
          <w:rFonts w:hint="eastAsia" w:ascii="黑体" w:hAnsi="黑体" w:eastAsia="黑体"/>
        </w:rPr>
        <w:t>其他重要事项的情况说明</w:t>
      </w:r>
      <w:r>
        <w:tab/>
      </w:r>
      <w:r>
        <w:fldChar w:fldCharType="begin"/>
      </w:r>
      <w:r>
        <w:instrText xml:space="preserve"> PAGEREF _Toc9124 </w:instrText>
      </w:r>
      <w:r>
        <w:fldChar w:fldCharType="separate"/>
      </w:r>
      <w:r>
        <w:t>12</w:t>
      </w:r>
      <w:r>
        <w:fldChar w:fldCharType="end"/>
      </w:r>
      <w: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_Toc2841 </w:instrText>
      </w:r>
      <w:r>
        <w:fldChar w:fldCharType="separate"/>
      </w:r>
      <w:r>
        <w:rPr>
          <w:rFonts w:hint="eastAsia" w:ascii="黑体" w:hAnsi="黑体" w:eastAsia="黑体" w:cs="Times New Roman"/>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_Toc2841 </w:instrText>
      </w:r>
      <w:r>
        <w:fldChar w:fldCharType="separate"/>
      </w:r>
      <w:r>
        <w:t>14</w:t>
      </w:r>
      <w:r>
        <w:fldChar w:fldCharType="end"/>
      </w:r>
      <w: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_Toc17104 </w:instrText>
      </w:r>
      <w:r>
        <w:fldChar w:fldCharType="separate"/>
      </w:r>
      <w:r>
        <w:rPr>
          <w:rFonts w:hint="eastAsia" w:ascii="黑体" w:hAnsi="黑体" w:eastAsia="黑体"/>
          <w:szCs w:val="44"/>
        </w:rPr>
        <w:t>第</w:t>
      </w:r>
      <w:r>
        <w:rPr>
          <w:rFonts w:hint="eastAsia" w:ascii="黑体" w:hAnsi="黑体" w:eastAsia="黑体"/>
        </w:rPr>
        <w:t>四部分</w:t>
      </w:r>
      <w:r>
        <w:rPr>
          <w:rFonts w:ascii="黑体" w:hAnsi="黑体" w:eastAsia="黑体"/>
        </w:rPr>
        <w:t xml:space="preserve"> </w:t>
      </w:r>
      <w:r>
        <w:rPr>
          <w:rFonts w:hint="eastAsia" w:ascii="黑体" w:hAnsi="黑体" w:eastAsia="黑体"/>
        </w:rPr>
        <w:t>附件</w:t>
      </w:r>
      <w:r>
        <w:tab/>
      </w:r>
      <w:r>
        <w:fldChar w:fldCharType="begin"/>
      </w:r>
      <w:r>
        <w:instrText xml:space="preserve"> PAGEREF _Toc17104 </w:instrText>
      </w:r>
      <w:r>
        <w:fldChar w:fldCharType="separate"/>
      </w:r>
      <w:r>
        <w:t>17</w:t>
      </w:r>
      <w:r>
        <w:fldChar w:fldCharType="end"/>
      </w:r>
      <w: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ind w:firstLine="420" w:firstLineChars="200"/>
        <w:jc w:val="both"/>
        <w:textAlignment w:val="auto"/>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_Toc7955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附件1：2022年李家镇部门整体绩效评价报告</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_Toc7955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17</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ind w:firstLine="420" w:firstLineChars="200"/>
        <w:jc w:val="both"/>
        <w:textAlignment w:val="auto"/>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_Toc22272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zh-CN" w:eastAsia="zh-CN" w:bidi="ar-SA"/>
        </w:rPr>
        <w:t>附件</w:t>
      </w:r>
      <w:r>
        <w:rPr>
          <w:rFonts w:hint="eastAsia" w:ascii="黑体" w:hAnsi="黑体" w:eastAsia="黑体" w:cs="Times New Roman"/>
          <w:kern w:val="2"/>
          <w:sz w:val="21"/>
          <w:szCs w:val="24"/>
          <w:lang w:val="en-US" w:eastAsia="zh-CN" w:bidi="ar-SA"/>
        </w:rPr>
        <w:t>2：2022年城乡社区环境卫生整治项目支出绩效自评报告</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_Toc22272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73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ind w:firstLine="420" w:firstLineChars="200"/>
        <w:jc w:val="both"/>
        <w:textAlignment w:val="auto"/>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_Toc1098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zh-CN" w:eastAsia="zh-CN" w:bidi="ar-SA"/>
        </w:rPr>
        <w:t>附件</w:t>
      </w:r>
      <w:r>
        <w:rPr>
          <w:rFonts w:hint="eastAsia" w:ascii="黑体" w:hAnsi="黑体" w:eastAsia="黑体" w:cs="Times New Roman"/>
          <w:kern w:val="2"/>
          <w:sz w:val="21"/>
          <w:szCs w:val="24"/>
          <w:lang w:val="en-US" w:eastAsia="zh-CN" w:bidi="ar-SA"/>
        </w:rPr>
        <w:t>3：</w:t>
      </w:r>
      <w:r>
        <w:rPr>
          <w:rFonts w:hint="eastAsia" w:ascii="黑体" w:hAnsi="黑体" w:eastAsia="黑体" w:cs="Times New Roman"/>
          <w:kern w:val="2"/>
          <w:sz w:val="20"/>
          <w:szCs w:val="20"/>
          <w:lang w:val="en-US" w:eastAsia="zh-CN" w:bidi="ar-SA"/>
        </w:rPr>
        <w:t>农村公共服务运行维护及社区服务群众专项活动经费项目支出绩效自评报告</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_Toc1098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77</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ind w:firstLine="420" w:firstLineChars="200"/>
        <w:jc w:val="both"/>
        <w:textAlignment w:val="auto"/>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_Toc2986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zh-CN" w:eastAsia="zh-CN" w:bidi="ar-SA"/>
        </w:rPr>
        <w:t>附件</w:t>
      </w:r>
      <w:r>
        <w:rPr>
          <w:rFonts w:hint="eastAsia" w:ascii="黑体" w:hAnsi="黑体" w:eastAsia="黑体" w:cs="Times New Roman"/>
          <w:kern w:val="2"/>
          <w:sz w:val="21"/>
          <w:szCs w:val="24"/>
          <w:lang w:val="en-US" w:eastAsia="zh-CN" w:bidi="ar-SA"/>
        </w:rPr>
        <w:t>4：2022年乡镇干部周转房建设项目支出绩效自评报告</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_Toc2986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83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ind w:firstLine="420" w:firstLineChars="200"/>
        <w:jc w:val="both"/>
        <w:textAlignment w:val="auto"/>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_Toc23683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zh-CN" w:eastAsia="zh-CN" w:bidi="ar-SA"/>
        </w:rPr>
        <w:t>附件</w:t>
      </w:r>
      <w:r>
        <w:rPr>
          <w:rFonts w:hint="eastAsia" w:ascii="黑体" w:hAnsi="黑体" w:eastAsia="黑体" w:cs="Times New Roman"/>
          <w:kern w:val="2"/>
          <w:sz w:val="21"/>
          <w:szCs w:val="24"/>
          <w:lang w:val="en-US" w:eastAsia="zh-CN" w:bidi="ar-SA"/>
        </w:rPr>
        <w:t>5：2022年青林中药材产业配套设施建设项目支出绩效自评报告</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_Toc23683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87</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ind w:firstLine="420" w:firstLineChars="200"/>
        <w:jc w:val="both"/>
        <w:textAlignment w:val="auto"/>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_Toc14080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附件6：部门预算项目支出绩效自评表</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_Toc14080 </w:instrText>
      </w:r>
      <w:r>
        <w:rPr>
          <w:rFonts w:hint="eastAsia" w:ascii="黑体" w:hAnsi="黑体" w:eastAsia="黑体" w:cs="Times New Roman"/>
          <w:kern w:val="2"/>
          <w:sz w:val="21"/>
          <w:szCs w:val="24"/>
          <w:lang w:val="en-US" w:eastAsia="zh-CN" w:bidi="ar-SA"/>
        </w:rPr>
        <w:fldChar w:fldCharType="separate"/>
      </w:r>
      <w:r>
        <w:rPr>
          <w:b/>
        </w:rPr>
        <w:t>错误！未定义书签。</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_Toc18419 </w:instrText>
      </w:r>
      <w:r>
        <w:fldChar w:fldCharType="separate"/>
      </w:r>
      <w:r>
        <w:rPr>
          <w:rFonts w:hint="eastAsia" w:ascii="黑体" w:hAnsi="黑体" w:eastAsia="黑体"/>
          <w:szCs w:val="44"/>
        </w:rPr>
        <w:t>第</w:t>
      </w:r>
      <w:r>
        <w:rPr>
          <w:rFonts w:hint="eastAsia" w:ascii="黑体" w:hAnsi="黑体" w:eastAsia="黑体"/>
        </w:rPr>
        <w:t>五部分</w:t>
      </w:r>
      <w:r>
        <w:rPr>
          <w:rFonts w:ascii="黑体" w:hAnsi="黑体" w:eastAsia="黑体"/>
        </w:rPr>
        <w:t xml:space="preserve"> </w:t>
      </w:r>
      <w:r>
        <w:rPr>
          <w:rFonts w:hint="eastAsia" w:ascii="黑体" w:hAnsi="黑体" w:eastAsia="黑体"/>
        </w:rPr>
        <w:t>附表</w:t>
      </w:r>
      <w:r>
        <w:tab/>
      </w:r>
      <w:r>
        <w:fldChar w:fldCharType="begin"/>
      </w:r>
      <w:r>
        <w:instrText xml:space="preserve"> PAGEREF _Toc18419 </w:instrText>
      </w:r>
      <w:r>
        <w:fldChar w:fldCharType="separate"/>
      </w:r>
      <w:r>
        <w:t>91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_Toc8982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_Toc8982 </w:instrText>
      </w:r>
      <w:r>
        <w:fldChar w:fldCharType="separate"/>
      </w:r>
      <w:r>
        <w:t>91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_Toc25909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_Toc25909 </w:instrText>
      </w:r>
      <w:r>
        <w:fldChar w:fldCharType="separate"/>
      </w:r>
      <w:r>
        <w:t>91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_Toc3440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_Toc3440 </w:instrText>
      </w:r>
      <w:r>
        <w:fldChar w:fldCharType="separate"/>
      </w:r>
      <w:r>
        <w:t>91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_Toc19821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_Toc19821 </w:instrText>
      </w:r>
      <w:r>
        <w:fldChar w:fldCharType="separate"/>
      </w:r>
      <w:r>
        <w:t>91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_Toc5662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_Toc5662 </w:instrText>
      </w:r>
      <w:r>
        <w:fldChar w:fldCharType="separate"/>
      </w:r>
      <w:r>
        <w:t>91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_Toc18942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_Toc18942 </w:instrText>
      </w:r>
      <w:r>
        <w:fldChar w:fldCharType="separate"/>
      </w:r>
      <w:r>
        <w:t>91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_Toc19634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_Toc19634 </w:instrText>
      </w:r>
      <w:r>
        <w:fldChar w:fldCharType="separate"/>
      </w:r>
      <w:r>
        <w:t>91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_Toc20750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_Toc20750 </w:instrText>
      </w:r>
      <w:r>
        <w:fldChar w:fldCharType="separate"/>
      </w:r>
      <w:r>
        <w:t>91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_Toc10309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_Toc10309 </w:instrText>
      </w:r>
      <w:r>
        <w:fldChar w:fldCharType="separate"/>
      </w:r>
      <w:r>
        <w:t>91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_Toc6316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_Toc6316 </w:instrText>
      </w:r>
      <w:r>
        <w:fldChar w:fldCharType="separate"/>
      </w:r>
      <w:r>
        <w:t>91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_Toc15491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_Toc15491 </w:instrText>
      </w:r>
      <w:r>
        <w:fldChar w:fldCharType="separate"/>
      </w:r>
      <w:r>
        <w:t>91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_Toc11337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_Toc11337 </w:instrText>
      </w:r>
      <w:r>
        <w:fldChar w:fldCharType="separate"/>
      </w:r>
      <w:r>
        <w:t>91</w:t>
      </w:r>
      <w:r>
        <w:fldChar w:fldCharType="end"/>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pPr>
      <w:r>
        <w:fldChar w:fldCharType="begin"/>
      </w:r>
      <w:r>
        <w:instrText xml:space="preserve"> HYPERLINK \l _Toc23491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_Toc23491 </w:instrText>
      </w:r>
      <w:r>
        <w:fldChar w:fldCharType="separate"/>
      </w:r>
      <w:r>
        <w:t>91</w:t>
      </w:r>
      <w:r>
        <w:fldChar w:fldCharType="end"/>
      </w:r>
      <w:r>
        <w:fldChar w:fldCharType="end"/>
      </w:r>
    </w:p>
    <w:p>
      <w:pPr>
        <w:keepNext w:val="0"/>
        <w:keepLines w:val="0"/>
        <w:pageBreakBefore w:val="0"/>
        <w:widowControl w:val="0"/>
        <w:tabs>
          <w:tab w:val="right" w:leader="dot" w:pos="8296"/>
        </w:tabs>
        <w:kinsoku/>
        <w:wordWrap/>
        <w:overflowPunct/>
        <w:topLinePunct w:val="0"/>
        <w:autoSpaceDE/>
        <w:autoSpaceDN/>
        <w:bidi w:val="0"/>
        <w:spacing w:line="440" w:lineRule="exact"/>
        <w:jc w:val="center"/>
        <w:textAlignment w:val="auto"/>
        <w:rPr>
          <w:rFonts w:hint="eastAsia" w:ascii="黑体" w:hAnsi="黑体" w:eastAsia="黑体"/>
          <w:b w:val="0"/>
        </w:rPr>
      </w:pPr>
      <w:r>
        <w:fldChar w:fldCharType="end"/>
      </w:r>
      <w:bookmarkStart w:id="28" w:name="_Toc15377196"/>
      <w:bookmarkStart w:id="29" w:name="_Toc15396599"/>
    </w:p>
    <w:p>
      <w:pPr>
        <w:pStyle w:val="4"/>
        <w:jc w:val="center"/>
        <w:rPr>
          <w:rFonts w:ascii="黑体" w:eastAsia="黑体"/>
          <w:sz w:val="32"/>
          <w:szCs w:val="32"/>
        </w:rPr>
      </w:pPr>
      <w:bookmarkStart w:id="30" w:name="_Toc17772"/>
      <w:r>
        <w:rPr>
          <w:rFonts w:hint="eastAsia" w:ascii="黑体" w:hAnsi="黑体" w:eastAsia="黑体"/>
          <w:b w:val="0"/>
        </w:rPr>
        <w:t>第一部分</w:t>
      </w:r>
      <w:r>
        <w:rPr>
          <w:rFonts w:ascii="黑体" w:hAnsi="黑体" w:eastAsia="黑体"/>
          <w:b w:val="0"/>
        </w:rPr>
        <w:t xml:space="preserve"> </w:t>
      </w:r>
      <w:r>
        <w:rPr>
          <w:rStyle w:val="21"/>
          <w:rFonts w:hint="eastAsia" w:ascii="黑体" w:hAnsi="黑体" w:eastAsia="黑体"/>
          <w:b w:val="0"/>
          <w:bCs w:val="0"/>
        </w:rPr>
        <w:t>部门概况</w:t>
      </w:r>
      <w:bookmarkEnd w:id="28"/>
      <w:bookmarkEnd w:id="29"/>
      <w:bookmarkEnd w:id="30"/>
    </w:p>
    <w:p>
      <w:pPr>
        <w:pStyle w:val="5"/>
        <w:rPr>
          <w:rFonts w:hint="eastAsia" w:ascii="仿宋" w:hAnsi="仿宋" w:eastAsia="黑体"/>
          <w:bCs/>
          <w:sz w:val="32"/>
          <w:szCs w:val="32"/>
          <w:lang w:eastAsia="zh-CN"/>
        </w:rPr>
      </w:pPr>
      <w:bookmarkStart w:id="31" w:name="_Toc15377197"/>
      <w:bookmarkStart w:id="32" w:name="_Toc15396600"/>
      <w:bookmarkStart w:id="33" w:name="_Toc32707"/>
      <w:r>
        <w:rPr>
          <w:rFonts w:hint="eastAsia" w:ascii="黑体" w:hAnsi="黑体" w:eastAsia="黑体"/>
          <w:b w:val="0"/>
        </w:rPr>
        <w:t>一、</w:t>
      </w:r>
      <w:bookmarkEnd w:id="31"/>
      <w:bookmarkEnd w:id="32"/>
      <w:r>
        <w:rPr>
          <w:rFonts w:hint="eastAsia" w:ascii="黑体" w:hAnsi="黑体" w:eastAsia="黑体"/>
          <w:b w:val="0"/>
          <w:lang w:eastAsia="zh-CN"/>
        </w:rPr>
        <w:t>部门职责</w:t>
      </w:r>
      <w:bookmarkEnd w:id="33"/>
      <w:bookmarkStart w:id="136" w:name="_GoBack"/>
      <w:bookmarkEnd w:id="136"/>
    </w:p>
    <w:p>
      <w:pPr>
        <w:pStyle w:val="8"/>
        <w:keepNext w:val="0"/>
        <w:keepLines w:val="0"/>
        <w:pageBreakBefore w:val="0"/>
        <w:widowControl w:val="0"/>
        <w:kinsoku/>
        <w:wordWrap/>
        <w:overflowPunct/>
        <w:topLinePunct w:val="0"/>
        <w:autoSpaceDE/>
        <w:autoSpaceDN/>
        <w:bidi w:val="0"/>
        <w:adjustRightInd w:val="0"/>
        <w:snapToGrid w:val="0"/>
        <w:spacing w:before="93" w:line="560" w:lineRule="exact"/>
        <w:ind w:firstLine="672" w:firstLineChars="210"/>
        <w:textAlignment w:val="auto"/>
        <w:outlineLvl w:val="2"/>
        <w:rPr>
          <w:rFonts w:hint="eastAsia" w:ascii="仿宋" w:hAnsi="仿宋" w:eastAsia="仿宋"/>
          <w:bCs/>
          <w:sz w:val="32"/>
          <w:szCs w:val="32"/>
        </w:rPr>
      </w:pPr>
      <w:r>
        <w:rPr>
          <w:rFonts w:hint="eastAsia" w:ascii="仿宋" w:hAnsi="仿宋" w:eastAsia="仿宋"/>
          <w:bCs/>
          <w:sz w:val="32"/>
          <w:szCs w:val="32"/>
        </w:rPr>
        <w:t xml:space="preserve">1.执行上级国家行政机关的决定、命令和国家制定的法令、法规，接受同级党委的领导，执行本级人民代表大会的各项决议，并报告执行决议、决定和命令的情况。 </w:t>
      </w:r>
    </w:p>
    <w:p>
      <w:pPr>
        <w:pStyle w:val="8"/>
        <w:keepNext w:val="0"/>
        <w:keepLines w:val="0"/>
        <w:pageBreakBefore w:val="0"/>
        <w:widowControl w:val="0"/>
        <w:kinsoku/>
        <w:wordWrap/>
        <w:overflowPunct/>
        <w:topLinePunct w:val="0"/>
        <w:autoSpaceDE/>
        <w:autoSpaceDN/>
        <w:bidi w:val="0"/>
        <w:adjustRightInd w:val="0"/>
        <w:snapToGrid w:val="0"/>
        <w:spacing w:before="93" w:line="560" w:lineRule="exact"/>
        <w:ind w:firstLine="672" w:firstLineChars="210"/>
        <w:textAlignment w:val="auto"/>
        <w:outlineLvl w:val="2"/>
        <w:rPr>
          <w:rFonts w:hint="eastAsia" w:ascii="仿宋" w:hAnsi="仿宋" w:eastAsia="仿宋"/>
          <w:bCs/>
          <w:sz w:val="32"/>
          <w:szCs w:val="32"/>
        </w:rPr>
      </w:pPr>
      <w:r>
        <w:rPr>
          <w:rFonts w:hint="eastAsia" w:ascii="仿宋" w:hAnsi="仿宋" w:eastAsia="仿宋"/>
          <w:bCs/>
          <w:sz w:val="32"/>
          <w:szCs w:val="32"/>
        </w:rPr>
        <w:t>2.整及其他经济保持平衡协调发展，全面提高人民群众的生活水平和生活质量。</w:t>
      </w:r>
    </w:p>
    <w:p>
      <w:pPr>
        <w:pStyle w:val="8"/>
        <w:keepNext w:val="0"/>
        <w:keepLines w:val="0"/>
        <w:pageBreakBefore w:val="0"/>
        <w:widowControl w:val="0"/>
        <w:kinsoku/>
        <w:wordWrap/>
        <w:overflowPunct/>
        <w:topLinePunct w:val="0"/>
        <w:autoSpaceDE/>
        <w:autoSpaceDN/>
        <w:bidi w:val="0"/>
        <w:adjustRightInd w:val="0"/>
        <w:snapToGrid w:val="0"/>
        <w:spacing w:before="93" w:line="560" w:lineRule="exact"/>
        <w:ind w:firstLine="672" w:firstLineChars="210"/>
        <w:textAlignment w:val="auto"/>
        <w:outlineLvl w:val="2"/>
        <w:rPr>
          <w:rFonts w:hint="eastAsia" w:ascii="仿宋" w:hAnsi="仿宋" w:eastAsia="仿宋"/>
          <w:bCs/>
          <w:sz w:val="32"/>
          <w:szCs w:val="32"/>
        </w:rPr>
      </w:pPr>
      <w:r>
        <w:rPr>
          <w:rFonts w:hint="eastAsia" w:ascii="仿宋" w:hAnsi="仿宋" w:eastAsia="仿宋"/>
          <w:bCs/>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pStyle w:val="8"/>
        <w:keepNext w:val="0"/>
        <w:keepLines w:val="0"/>
        <w:pageBreakBefore w:val="0"/>
        <w:widowControl w:val="0"/>
        <w:kinsoku/>
        <w:wordWrap/>
        <w:overflowPunct/>
        <w:topLinePunct w:val="0"/>
        <w:autoSpaceDE/>
        <w:autoSpaceDN/>
        <w:bidi w:val="0"/>
        <w:adjustRightInd w:val="0"/>
        <w:snapToGrid w:val="0"/>
        <w:spacing w:before="93" w:line="560" w:lineRule="exact"/>
        <w:ind w:firstLine="672" w:firstLineChars="210"/>
        <w:textAlignment w:val="auto"/>
        <w:outlineLvl w:val="2"/>
        <w:rPr>
          <w:rFonts w:hint="eastAsia" w:ascii="仿宋" w:hAnsi="仿宋" w:eastAsia="仿宋"/>
          <w:bCs/>
          <w:sz w:val="32"/>
          <w:szCs w:val="32"/>
        </w:rPr>
      </w:pPr>
      <w:r>
        <w:rPr>
          <w:rFonts w:hint="eastAsia" w:ascii="仿宋" w:hAnsi="仿宋" w:eastAsia="仿宋"/>
          <w:bCs/>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pStyle w:val="8"/>
        <w:keepNext w:val="0"/>
        <w:keepLines w:val="0"/>
        <w:pageBreakBefore w:val="0"/>
        <w:widowControl w:val="0"/>
        <w:kinsoku/>
        <w:wordWrap/>
        <w:overflowPunct/>
        <w:topLinePunct w:val="0"/>
        <w:autoSpaceDE/>
        <w:autoSpaceDN/>
        <w:bidi w:val="0"/>
        <w:adjustRightInd w:val="0"/>
        <w:snapToGrid w:val="0"/>
        <w:spacing w:before="93" w:line="560" w:lineRule="exact"/>
        <w:ind w:firstLine="672" w:firstLineChars="210"/>
        <w:textAlignment w:val="auto"/>
        <w:outlineLvl w:val="2"/>
        <w:rPr>
          <w:rFonts w:hint="eastAsia" w:ascii="仿宋" w:hAnsi="仿宋" w:eastAsia="仿宋"/>
          <w:bCs/>
          <w:sz w:val="32"/>
          <w:szCs w:val="32"/>
        </w:rPr>
      </w:pPr>
      <w:r>
        <w:rPr>
          <w:rFonts w:hint="eastAsia" w:ascii="仿宋" w:hAnsi="仿宋" w:eastAsia="仿宋"/>
          <w:bCs/>
          <w:sz w:val="32"/>
          <w:szCs w:val="32"/>
        </w:rPr>
        <w:t xml:space="preserve">5.制定社会各项事业发展计划，发展教育、卫生、科技、民政、广播电视、文化、体育事业;组织实施义务教育和其他各类教育;加强计划生育工作;推进社会保障、社会福利事业和养老保险工作;做好劳动管理、科普、老龄及宗教、侨务等工作。 </w:t>
      </w:r>
    </w:p>
    <w:p>
      <w:pPr>
        <w:pStyle w:val="8"/>
        <w:keepNext w:val="0"/>
        <w:keepLines w:val="0"/>
        <w:pageBreakBefore w:val="0"/>
        <w:widowControl w:val="0"/>
        <w:kinsoku/>
        <w:wordWrap/>
        <w:overflowPunct/>
        <w:topLinePunct w:val="0"/>
        <w:autoSpaceDE/>
        <w:autoSpaceDN/>
        <w:bidi w:val="0"/>
        <w:adjustRightInd w:val="0"/>
        <w:snapToGrid w:val="0"/>
        <w:spacing w:before="93" w:line="560" w:lineRule="exact"/>
        <w:ind w:firstLine="672" w:firstLineChars="210"/>
        <w:textAlignment w:val="auto"/>
        <w:outlineLvl w:val="2"/>
        <w:rPr>
          <w:rFonts w:hint="eastAsia" w:ascii="仿宋" w:hAnsi="仿宋" w:eastAsia="仿宋"/>
          <w:bCs/>
          <w:sz w:val="32"/>
          <w:szCs w:val="32"/>
        </w:rPr>
      </w:pPr>
      <w:r>
        <w:rPr>
          <w:rFonts w:hint="eastAsia" w:ascii="仿宋" w:hAnsi="仿宋" w:eastAsia="仿宋"/>
          <w:bCs/>
          <w:sz w:val="32"/>
          <w:szCs w:val="32"/>
        </w:rPr>
        <w:t xml:space="preserve">6.加强镇级财政的监督和管理，按计划组织、管理镇财政收入和支出，执行国家有关财经纪律和政策，保证国家财政收入的完成;做好统计工作。 </w:t>
      </w:r>
    </w:p>
    <w:p>
      <w:pPr>
        <w:pStyle w:val="8"/>
        <w:keepNext w:val="0"/>
        <w:keepLines w:val="0"/>
        <w:pageBreakBefore w:val="0"/>
        <w:widowControl w:val="0"/>
        <w:kinsoku/>
        <w:wordWrap/>
        <w:overflowPunct/>
        <w:topLinePunct w:val="0"/>
        <w:autoSpaceDE/>
        <w:autoSpaceDN/>
        <w:bidi w:val="0"/>
        <w:adjustRightInd w:val="0"/>
        <w:snapToGrid w:val="0"/>
        <w:spacing w:before="93" w:line="560" w:lineRule="exact"/>
        <w:ind w:firstLine="672" w:firstLineChars="210"/>
        <w:textAlignment w:val="auto"/>
        <w:outlineLvl w:val="2"/>
        <w:rPr>
          <w:rFonts w:hint="eastAsia" w:ascii="仿宋" w:hAnsi="仿宋" w:eastAsia="仿宋"/>
          <w:bCs/>
          <w:sz w:val="32"/>
          <w:szCs w:val="32"/>
        </w:rPr>
      </w:pPr>
      <w:r>
        <w:rPr>
          <w:rFonts w:hint="eastAsia" w:ascii="仿宋" w:hAnsi="仿宋" w:eastAsia="仿宋"/>
          <w:bCs/>
          <w:sz w:val="32"/>
          <w:szCs w:val="32"/>
        </w:rPr>
        <w:t xml:space="preserve">7.指导、支持、帮助村(居)民委员会的组织制度建设和业务建设，促进村(居)民委员会民主自治。 </w:t>
      </w:r>
    </w:p>
    <w:p>
      <w:pPr>
        <w:pStyle w:val="8"/>
        <w:keepNext w:val="0"/>
        <w:keepLines w:val="0"/>
        <w:pageBreakBefore w:val="0"/>
        <w:widowControl w:val="0"/>
        <w:kinsoku/>
        <w:wordWrap/>
        <w:overflowPunct/>
        <w:topLinePunct w:val="0"/>
        <w:autoSpaceDE/>
        <w:autoSpaceDN/>
        <w:bidi w:val="0"/>
        <w:adjustRightInd w:val="0"/>
        <w:snapToGrid w:val="0"/>
        <w:spacing w:before="93" w:line="560" w:lineRule="exact"/>
        <w:ind w:firstLine="672" w:firstLineChars="210"/>
        <w:textAlignment w:val="auto"/>
        <w:outlineLvl w:val="2"/>
        <w:rPr>
          <w:rFonts w:hint="eastAsia" w:ascii="仿宋" w:hAnsi="仿宋" w:eastAsia="仿宋"/>
          <w:bCs/>
          <w:sz w:val="32"/>
          <w:szCs w:val="32"/>
        </w:rPr>
      </w:pPr>
      <w:r>
        <w:rPr>
          <w:rFonts w:hint="eastAsia" w:ascii="仿宋" w:hAnsi="仿宋" w:eastAsia="仿宋"/>
          <w:bCs/>
          <w:sz w:val="32"/>
          <w:szCs w:val="32"/>
        </w:rPr>
        <w:t xml:space="preserve">8.制定和组织实施镇村建设规划;加强公用、市政设施、水利建设和管理以及房屋土地管理和环境综合整治工作，保护和改善生活环境和生态环境。 </w:t>
      </w:r>
    </w:p>
    <w:p>
      <w:pPr>
        <w:pStyle w:val="8"/>
        <w:keepNext w:val="0"/>
        <w:keepLines w:val="0"/>
        <w:pageBreakBefore w:val="0"/>
        <w:widowControl w:val="0"/>
        <w:kinsoku/>
        <w:wordWrap/>
        <w:overflowPunct/>
        <w:topLinePunct w:val="0"/>
        <w:autoSpaceDE/>
        <w:autoSpaceDN/>
        <w:bidi w:val="0"/>
        <w:adjustRightInd w:val="0"/>
        <w:snapToGrid w:val="0"/>
        <w:spacing w:before="93" w:line="560" w:lineRule="exact"/>
        <w:ind w:firstLine="672" w:firstLineChars="210"/>
        <w:textAlignment w:val="auto"/>
        <w:outlineLvl w:val="2"/>
        <w:rPr>
          <w:rFonts w:hint="eastAsia" w:ascii="仿宋" w:hAnsi="仿宋" w:eastAsia="仿宋"/>
          <w:bCs/>
          <w:sz w:val="32"/>
          <w:szCs w:val="32"/>
        </w:rPr>
      </w:pPr>
      <w:r>
        <w:rPr>
          <w:rFonts w:hint="eastAsia" w:ascii="仿宋" w:hAnsi="仿宋" w:eastAsia="仿宋"/>
          <w:bCs/>
          <w:sz w:val="32"/>
          <w:szCs w:val="32"/>
        </w:rPr>
        <w:t xml:space="preserve">9.协助和支持设置在本行政区域内不隶属于镇的国家机关和企事业单位工作，监督其遵守和执行国家的法律、法规和政策。  </w:t>
      </w:r>
    </w:p>
    <w:p>
      <w:pPr>
        <w:pStyle w:val="8"/>
        <w:keepNext w:val="0"/>
        <w:keepLines w:val="0"/>
        <w:pageBreakBefore w:val="0"/>
        <w:widowControl w:val="0"/>
        <w:kinsoku/>
        <w:wordWrap/>
        <w:overflowPunct/>
        <w:topLinePunct w:val="0"/>
        <w:autoSpaceDE/>
        <w:autoSpaceDN/>
        <w:bidi w:val="0"/>
        <w:adjustRightInd w:val="0"/>
        <w:snapToGrid w:val="0"/>
        <w:spacing w:before="93" w:line="560" w:lineRule="exact"/>
        <w:ind w:firstLine="672" w:firstLineChars="210"/>
        <w:textAlignment w:val="auto"/>
        <w:outlineLvl w:val="2"/>
        <w:rPr>
          <w:rFonts w:hint="eastAsia" w:ascii="仿宋" w:hAnsi="仿宋" w:eastAsia="仿宋"/>
          <w:bCs/>
          <w:sz w:val="32"/>
          <w:szCs w:val="32"/>
        </w:rPr>
      </w:pPr>
      <w:r>
        <w:rPr>
          <w:rFonts w:hint="eastAsia" w:ascii="仿宋" w:hAnsi="仿宋" w:eastAsia="仿宋"/>
          <w:bCs/>
          <w:sz w:val="32"/>
          <w:szCs w:val="32"/>
        </w:rPr>
        <w:t>10.承办区委、区政府及上级主管部门交办的其他事项。</w:t>
      </w:r>
    </w:p>
    <w:p>
      <w:pPr>
        <w:pStyle w:val="5"/>
        <w:rPr>
          <w:rStyle w:val="22"/>
          <w:rFonts w:hint="eastAsia" w:eastAsia="黑体"/>
          <w:b w:val="0"/>
          <w:bCs w:val="0"/>
          <w:color w:val="auto"/>
          <w:lang w:eastAsia="zh-CN"/>
        </w:rPr>
      </w:pPr>
      <w:bookmarkStart w:id="34" w:name="_Toc15377200"/>
      <w:bookmarkStart w:id="35" w:name="_Toc15396601"/>
      <w:bookmarkStart w:id="36" w:name="_Toc24980"/>
      <w:r>
        <w:rPr>
          <w:rFonts w:hint="eastAsia" w:ascii="黑体" w:eastAsia="黑体"/>
          <w:b w:val="0"/>
          <w:color w:val="auto"/>
        </w:rPr>
        <w:t>二、</w:t>
      </w:r>
      <w:r>
        <w:rPr>
          <w:rFonts w:hint="eastAsia" w:ascii="黑体" w:hAnsi="黑体" w:eastAsia="黑体"/>
          <w:b w:val="0"/>
          <w:color w:val="auto"/>
        </w:rPr>
        <w:t>机</w:t>
      </w:r>
      <w:r>
        <w:rPr>
          <w:rStyle w:val="22"/>
          <w:rFonts w:hint="eastAsia" w:ascii="黑体" w:hAnsi="黑体" w:eastAsia="黑体"/>
          <w:b w:val="0"/>
          <w:bCs w:val="0"/>
          <w:color w:val="auto"/>
        </w:rPr>
        <w:t>构设置</w:t>
      </w:r>
      <w:bookmarkEnd w:id="34"/>
      <w:bookmarkEnd w:id="35"/>
      <w:r>
        <w:rPr>
          <w:rStyle w:val="22"/>
          <w:rFonts w:hint="eastAsia" w:ascii="黑体" w:hAnsi="黑体" w:eastAsia="黑体"/>
          <w:b w:val="0"/>
          <w:bCs w:val="0"/>
          <w:color w:val="auto"/>
          <w:lang w:eastAsia="zh-CN"/>
        </w:rPr>
        <w:t>及人员情况</w:t>
      </w:r>
      <w:bookmarkEnd w:id="36"/>
    </w:p>
    <w:p>
      <w:pPr>
        <w:widowControl/>
        <w:ind w:firstLine="640" w:firstLineChars="200"/>
        <w:jc w:val="left"/>
        <w:rPr>
          <w:rFonts w:hint="eastAsia" w:ascii="黑体" w:hAnsi="黑体" w:eastAsia="黑体"/>
          <w:b w:val="0"/>
        </w:rPr>
      </w:pPr>
      <w:r>
        <w:rPr>
          <w:rFonts w:hint="eastAsia" w:ascii="仿宋_GB2312" w:eastAsia="仿宋_GB2312"/>
          <w:b w:val="0"/>
          <w:bCs/>
          <w:sz w:val="32"/>
          <w:szCs w:val="32"/>
          <w:lang w:eastAsia="zh-CN"/>
        </w:rPr>
        <w:t>广元市朝天区李家镇人民政府</w:t>
      </w:r>
      <w:r>
        <w:rPr>
          <w:rFonts w:hint="eastAsia" w:ascii="仿宋_GB2312" w:eastAsia="仿宋_GB2312"/>
          <w:b w:val="0"/>
          <w:bCs/>
          <w:sz w:val="32"/>
          <w:szCs w:val="32"/>
        </w:rPr>
        <w:t>隶属行政单位，执行行政会计制度，一级预算单位</w:t>
      </w:r>
      <w:r>
        <w:rPr>
          <w:rFonts w:hint="eastAsia" w:ascii="仿宋_GB2312" w:eastAsia="仿宋_GB2312"/>
          <w:b w:val="0"/>
          <w:bCs/>
          <w:sz w:val="32"/>
          <w:szCs w:val="32"/>
          <w:lang w:eastAsia="zh-CN"/>
        </w:rPr>
        <w:t>。单位</w:t>
      </w:r>
      <w:r>
        <w:rPr>
          <w:rFonts w:hint="eastAsia" w:ascii="仿宋_GB2312" w:eastAsia="仿宋_GB2312"/>
          <w:color w:val="auto"/>
          <w:kern w:val="0"/>
          <w:sz w:val="32"/>
          <w:szCs w:val="32"/>
          <w:highlight w:val="none"/>
          <w:lang w:val="en-US" w:eastAsia="zh-CN"/>
        </w:rPr>
        <w:t>内设机构7个：党政综合与乡村振兴办公室、党建工作办公室、综合行政执法办公室 、社会事务办公室、经济发展办公室、社会治理工作办公室、财政所。直属公益一类事业单位</w:t>
      </w:r>
      <w:r>
        <w:rPr>
          <w:rFonts w:hint="eastAsia" w:ascii="仿宋_GB2312" w:eastAsia="仿宋_GB2312"/>
          <w:b w:val="0"/>
          <w:bCs/>
          <w:sz w:val="32"/>
          <w:szCs w:val="32"/>
          <w:lang w:val="en-US" w:eastAsia="zh-CN"/>
        </w:rPr>
        <w:t>4个，分别为</w:t>
      </w:r>
      <w:r>
        <w:rPr>
          <w:rFonts w:hint="eastAsia" w:ascii="仿宋_GB2312" w:eastAsia="仿宋_GB2312"/>
          <w:b w:val="0"/>
          <w:bCs/>
          <w:sz w:val="32"/>
          <w:szCs w:val="32"/>
          <w:lang w:eastAsia="zh-CN"/>
        </w:rPr>
        <w:t>：便民服务中心、农业综合服务中心、乡村建设和旅游服务中心、社会治安综合治理中心。</w:t>
      </w:r>
      <w:r>
        <w:rPr>
          <w:rFonts w:hint="eastAsia" w:ascii="仿宋_GB2312" w:eastAsia="仿宋_GB2312"/>
          <w:color w:val="auto"/>
          <w:kern w:val="0"/>
          <w:sz w:val="32"/>
          <w:szCs w:val="32"/>
          <w:highlight w:val="none"/>
          <w:lang w:val="en-US" w:eastAsia="zh-CN"/>
        </w:rPr>
        <w:t>核定编制人数为51人，其中：行政编制24人，机关工勤人员2人，事业编制25人。在职在岗人数49人，其中：行政编制22人，机关工勤人员3人，事业编制24人。</w:t>
      </w:r>
      <w:r>
        <w:rPr>
          <w:rFonts w:hint="eastAsia" w:ascii="仿宋_GB2312" w:eastAsia="仿宋_GB2312"/>
          <w:b w:val="0"/>
          <w:bCs/>
          <w:sz w:val="32"/>
          <w:szCs w:val="32"/>
        </w:rPr>
        <w:t>决算汇编户数1个。</w:t>
      </w:r>
      <w:r>
        <w:rPr>
          <w:rFonts w:ascii="仿宋" w:hAnsi="仿宋" w:eastAsia="仿宋"/>
          <w:sz w:val="32"/>
          <w:szCs w:val="32"/>
        </w:rPr>
        <w:br w:type="page"/>
      </w:r>
      <w:bookmarkStart w:id="37" w:name="_Toc15396602"/>
      <w:bookmarkStart w:id="38" w:name="_Toc15377204"/>
    </w:p>
    <w:p>
      <w:pPr>
        <w:pStyle w:val="4"/>
        <w:ind w:right="440"/>
        <w:jc w:val="center"/>
        <w:rPr>
          <w:rStyle w:val="21"/>
          <w:rFonts w:ascii="黑体" w:hAnsi="黑体" w:eastAsia="黑体"/>
          <w:b w:val="0"/>
          <w:bCs/>
        </w:rPr>
      </w:pPr>
      <w:bookmarkStart w:id="39" w:name="_Toc27665"/>
      <w:r>
        <w:rPr>
          <w:rFonts w:hint="eastAsia" w:ascii="黑体" w:hAnsi="黑体" w:eastAsia="黑体"/>
          <w:b w:val="0"/>
        </w:rPr>
        <w:t>第二部分</w:t>
      </w:r>
      <w:r>
        <w:rPr>
          <w:rFonts w:ascii="黑体" w:hAnsi="黑体" w:eastAsia="黑体"/>
          <w:b w:val="0"/>
        </w:rPr>
        <w:t xml:space="preserve"> 202</w:t>
      </w:r>
      <w:r>
        <w:rPr>
          <w:rFonts w:hint="eastAsia" w:ascii="黑体" w:hAnsi="黑体" w:eastAsia="黑体"/>
          <w:b w:val="0"/>
          <w:lang w:val="en-US" w:eastAsia="zh-CN"/>
        </w:rPr>
        <w:t>2</w:t>
      </w:r>
      <w:r>
        <w:rPr>
          <w:rFonts w:hint="eastAsia" w:ascii="黑体" w:hAnsi="黑体" w:eastAsia="黑体"/>
          <w:b w:val="0"/>
        </w:rPr>
        <w:t>年度</w:t>
      </w:r>
      <w:r>
        <w:rPr>
          <w:rStyle w:val="21"/>
          <w:rFonts w:hint="eastAsia" w:ascii="黑体" w:hAnsi="黑体" w:eastAsia="黑体"/>
          <w:b w:val="0"/>
          <w:bCs/>
        </w:rPr>
        <w:t>部门决算情况说明</w:t>
      </w:r>
      <w:bookmarkEnd w:id="37"/>
      <w:bookmarkEnd w:id="38"/>
      <w:bookmarkEnd w:id="39"/>
    </w:p>
    <w:p/>
    <w:p>
      <w:pPr>
        <w:pStyle w:val="32"/>
        <w:numPr>
          <w:ilvl w:val="0"/>
          <w:numId w:val="1"/>
        </w:numPr>
        <w:spacing w:line="600" w:lineRule="exact"/>
        <w:ind w:firstLineChars="0"/>
        <w:outlineLvl w:val="1"/>
        <w:rPr>
          <w:rStyle w:val="22"/>
          <w:rFonts w:ascii="黑体" w:hAnsi="黑体" w:eastAsia="黑体"/>
          <w:b w:val="0"/>
        </w:rPr>
      </w:pPr>
      <w:bookmarkStart w:id="40" w:name="_Toc15377205"/>
      <w:bookmarkStart w:id="41" w:name="_Toc21886"/>
      <w:bookmarkStart w:id="42" w:name="_Toc15396603"/>
      <w:r>
        <w:rPr>
          <w:rFonts w:hint="eastAsia" w:ascii="黑体" w:hAnsi="黑体" w:eastAsia="黑体"/>
          <w:sz w:val="32"/>
          <w:szCs w:val="32"/>
        </w:rPr>
        <w:t>收</w:t>
      </w:r>
      <w:r>
        <w:rPr>
          <w:rStyle w:val="22"/>
          <w:rFonts w:hint="eastAsia" w:ascii="黑体" w:hAnsi="黑体" w:eastAsia="黑体"/>
          <w:b w:val="0"/>
        </w:rPr>
        <w:t>入支出决算总体情况说明</w:t>
      </w:r>
      <w:bookmarkEnd w:id="40"/>
      <w:bookmarkEnd w:id="41"/>
      <w:bookmarkEnd w:id="42"/>
    </w:p>
    <w:p>
      <w:pPr>
        <w:spacing w:line="600" w:lineRule="exact"/>
        <w:ind w:firstLine="640" w:firstLineChars="200"/>
        <w:rPr>
          <w:rFonts w:hint="eastAsia" w:ascii="仿宋_GB2312" w:eastAsia="仿宋_GB2312"/>
          <w:b w:val="0"/>
          <w:bCs/>
          <w:color w:val="auto"/>
          <w:sz w:val="32"/>
          <w:szCs w:val="32"/>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年度收、支总计</w:t>
      </w:r>
      <w:r>
        <w:rPr>
          <w:rFonts w:hint="eastAsia" w:ascii="仿宋" w:hAnsi="仿宋" w:eastAsia="仿宋"/>
          <w:color w:val="auto"/>
          <w:sz w:val="32"/>
          <w:szCs w:val="32"/>
          <w:lang w:val="en-US" w:eastAsia="zh-CN"/>
        </w:rPr>
        <w:t>1724.39</w:t>
      </w:r>
      <w:r>
        <w:rPr>
          <w:rFonts w:hint="eastAsia" w:ascii="仿宋" w:hAnsi="仿宋" w:eastAsia="仿宋"/>
          <w:sz w:val="32"/>
          <w:szCs w:val="32"/>
        </w:rPr>
        <w:t>万元。与</w:t>
      </w:r>
      <w:r>
        <w:rPr>
          <w:rFonts w:hint="eastAsia" w:ascii="仿宋" w:hAnsi="仿宋" w:eastAsia="仿宋"/>
          <w:sz w:val="32"/>
          <w:szCs w:val="32"/>
          <w:lang w:eastAsia="zh-CN"/>
        </w:rPr>
        <w:t>2022年</w:t>
      </w:r>
      <w:r>
        <w:rPr>
          <w:rFonts w:hint="eastAsia" w:ascii="仿宋" w:hAnsi="仿宋" w:eastAsia="仿宋"/>
          <w:sz w:val="32"/>
          <w:szCs w:val="32"/>
        </w:rPr>
        <w:t>相比，收、支总计各增加</w:t>
      </w:r>
      <w:r>
        <w:rPr>
          <w:rFonts w:hint="eastAsia" w:ascii="仿宋" w:hAnsi="仿宋" w:eastAsia="仿宋"/>
          <w:sz w:val="32"/>
          <w:szCs w:val="32"/>
          <w:lang w:val="en-US" w:eastAsia="zh-CN"/>
        </w:rPr>
        <w:t>464.11</w:t>
      </w:r>
      <w:r>
        <w:rPr>
          <w:rFonts w:hint="eastAsia" w:ascii="仿宋" w:hAnsi="仿宋" w:eastAsia="仿宋"/>
          <w:sz w:val="32"/>
          <w:szCs w:val="32"/>
        </w:rPr>
        <w:t>万元，增长</w:t>
      </w:r>
      <w:r>
        <w:rPr>
          <w:rFonts w:hint="eastAsia" w:ascii="仿宋" w:hAnsi="仿宋" w:eastAsia="仿宋"/>
          <w:sz w:val="32"/>
          <w:szCs w:val="32"/>
          <w:lang w:val="en-US" w:eastAsia="zh-CN"/>
        </w:rPr>
        <w:t>36.8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rPr>
        <w:t>主要变动原因是</w:t>
      </w:r>
      <w:r>
        <w:rPr>
          <w:rFonts w:hint="eastAsia" w:ascii="仿宋_GB2312" w:eastAsia="仿宋_GB2312"/>
          <w:b w:val="0"/>
          <w:bCs/>
          <w:color w:val="auto"/>
          <w:sz w:val="32"/>
          <w:szCs w:val="32"/>
          <w:lang w:eastAsia="zh-CN"/>
        </w:rPr>
        <w:t>人员增加和正常调资，</w:t>
      </w:r>
      <w:r>
        <w:rPr>
          <w:rFonts w:hint="eastAsia" w:ascii="仿宋_GB2312" w:eastAsia="仿宋_GB2312"/>
          <w:b w:val="0"/>
          <w:bCs/>
          <w:color w:val="auto"/>
          <w:sz w:val="32"/>
          <w:szCs w:val="32"/>
        </w:rPr>
        <w:t>年初未纳入预算，</w:t>
      </w:r>
      <w:r>
        <w:rPr>
          <w:rFonts w:hint="eastAsia" w:ascii="仿宋_GB2312" w:eastAsia="仿宋_GB2312"/>
          <w:b w:val="0"/>
          <w:bCs/>
          <w:color w:val="auto"/>
          <w:sz w:val="32"/>
          <w:szCs w:val="32"/>
          <w:lang w:eastAsia="zh-CN"/>
        </w:rPr>
        <w:t>中</w:t>
      </w:r>
      <w:r>
        <w:rPr>
          <w:rFonts w:hint="eastAsia" w:ascii="仿宋_GB2312" w:eastAsia="仿宋_GB2312"/>
          <w:b w:val="0"/>
          <w:bCs/>
          <w:color w:val="auto"/>
          <w:sz w:val="32"/>
          <w:szCs w:val="32"/>
        </w:rPr>
        <w:t>期新增</w:t>
      </w:r>
      <w:r>
        <w:rPr>
          <w:rFonts w:hint="eastAsia" w:ascii="仿宋_GB2312" w:eastAsia="仿宋_GB2312"/>
          <w:b w:val="0"/>
          <w:bCs/>
          <w:color w:val="auto"/>
          <w:sz w:val="32"/>
          <w:szCs w:val="32"/>
          <w:lang w:eastAsia="zh-CN"/>
        </w:rPr>
        <w:t>项目</w:t>
      </w:r>
      <w:r>
        <w:rPr>
          <w:rFonts w:hint="eastAsia" w:ascii="仿宋_GB2312" w:eastAsia="仿宋_GB2312"/>
          <w:b w:val="0"/>
          <w:bCs/>
          <w:color w:val="auto"/>
          <w:sz w:val="32"/>
          <w:szCs w:val="32"/>
        </w:rPr>
        <w:t>支出指标。</w:t>
      </w:r>
    </w:p>
    <w:p>
      <w:pPr>
        <w:pStyle w:val="2"/>
        <w:rPr>
          <w:rFonts w:hint="eastAsia" w:ascii="仿宋" w:hAnsi="仿宋" w:eastAsia="仿宋"/>
          <w:sz w:val="32"/>
          <w:szCs w:val="32"/>
        </w:rPr>
      </w:pPr>
      <w:r>
        <w:drawing>
          <wp:inline distT="0" distB="0" distL="114300" distR="114300">
            <wp:extent cx="4641215" cy="2360930"/>
            <wp:effectExtent l="4445" t="4445" r="21590" b="1587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32"/>
        <w:numPr>
          <w:ilvl w:val="0"/>
          <w:numId w:val="1"/>
        </w:numPr>
        <w:spacing w:line="600" w:lineRule="exact"/>
        <w:ind w:firstLineChars="0"/>
        <w:outlineLvl w:val="1"/>
        <w:rPr>
          <w:rFonts w:hint="eastAsia" w:ascii="仿宋" w:hAnsi="仿宋" w:eastAsia="仿宋"/>
          <w:sz w:val="32"/>
          <w:szCs w:val="32"/>
        </w:rPr>
      </w:pPr>
      <w:bookmarkStart w:id="43" w:name="_Toc29816"/>
      <w:bookmarkStart w:id="44" w:name="_Toc15377206"/>
      <w:bookmarkStart w:id="45" w:name="_Toc15396604"/>
      <w:r>
        <w:rPr>
          <w:rFonts w:hint="eastAsia" w:ascii="黑体" w:hAnsi="黑体" w:eastAsia="黑体"/>
          <w:sz w:val="32"/>
          <w:szCs w:val="32"/>
        </w:rPr>
        <w:t>收</w:t>
      </w:r>
      <w:r>
        <w:rPr>
          <w:rStyle w:val="22"/>
          <w:rFonts w:hint="eastAsia" w:ascii="黑体" w:hAnsi="黑体" w:eastAsia="黑体"/>
          <w:b w:val="0"/>
        </w:rPr>
        <w:t>入决算情况说明</w:t>
      </w:r>
      <w:bookmarkEnd w:id="43"/>
      <w:bookmarkEnd w:id="44"/>
      <w:bookmarkEnd w:id="45"/>
      <w:bookmarkStart w:id="46" w:name="_Toc29332"/>
      <w:bookmarkStart w:id="47" w:name="_Toc4437"/>
      <w:bookmarkStart w:id="48" w:name="_Toc14313"/>
    </w:p>
    <w:p>
      <w:pPr>
        <w:spacing w:line="600" w:lineRule="exact"/>
        <w:ind w:firstLine="640" w:firstLineChars="200"/>
        <w:rPr>
          <w:rFonts w:hint="eastAsia" w:ascii="仿宋" w:hAnsi="仿宋" w:eastAsia="仿宋"/>
          <w:sz w:val="32"/>
          <w:szCs w:val="32"/>
        </w:rPr>
      </w:pPr>
      <w:bookmarkStart w:id="49" w:name="_Toc32011"/>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年本年收入合计</w:t>
      </w:r>
      <w:r>
        <w:rPr>
          <w:rFonts w:hint="eastAsia" w:ascii="仿宋" w:hAnsi="仿宋" w:eastAsia="仿宋"/>
          <w:sz w:val="32"/>
          <w:szCs w:val="32"/>
          <w:lang w:val="en-US" w:eastAsia="zh-CN"/>
        </w:rPr>
        <w:t>1683.06</w:t>
      </w:r>
      <w:r>
        <w:rPr>
          <w:rFonts w:hint="eastAsia" w:ascii="仿宋" w:hAnsi="仿宋" w:eastAsia="仿宋"/>
          <w:sz w:val="32"/>
          <w:szCs w:val="32"/>
        </w:rPr>
        <w:t>万元，其中：一般公共预</w:t>
      </w:r>
      <w:bookmarkEnd w:id="46"/>
      <w:bookmarkEnd w:id="47"/>
      <w:bookmarkEnd w:id="48"/>
      <w:bookmarkEnd w:id="49"/>
    </w:p>
    <w:p>
      <w:pPr>
        <w:spacing w:line="600" w:lineRule="exact"/>
        <w:ind w:firstLine="640" w:firstLineChars="200"/>
        <w:rPr>
          <w:rFonts w:hint="eastAsia" w:ascii="仿宋" w:hAnsi="仿宋" w:eastAsia="仿宋"/>
          <w:sz w:val="32"/>
          <w:szCs w:val="32"/>
        </w:rPr>
      </w:pPr>
      <w:bookmarkStart w:id="50" w:name="_Toc10181"/>
      <w:bookmarkStart w:id="51" w:name="_Toc29405"/>
      <w:bookmarkStart w:id="52" w:name="_Toc2805"/>
      <w:bookmarkStart w:id="53" w:name="_Toc31678"/>
      <w:r>
        <w:rPr>
          <w:rFonts w:hint="eastAsia" w:ascii="仿宋" w:hAnsi="仿宋" w:eastAsia="仿宋"/>
          <w:sz w:val="32"/>
          <w:szCs w:val="32"/>
        </w:rPr>
        <w:t>算财政拨款收入</w:t>
      </w:r>
      <w:r>
        <w:rPr>
          <w:rFonts w:hint="eastAsia" w:ascii="仿宋" w:hAnsi="仿宋" w:eastAsia="仿宋"/>
          <w:sz w:val="32"/>
          <w:szCs w:val="32"/>
          <w:lang w:val="en-US" w:eastAsia="zh-CN"/>
        </w:rPr>
        <w:t>1681.06</w:t>
      </w:r>
      <w:r>
        <w:rPr>
          <w:rFonts w:hint="eastAsia" w:ascii="仿宋" w:hAnsi="仿宋" w:eastAsia="仿宋"/>
          <w:sz w:val="32"/>
          <w:szCs w:val="32"/>
        </w:rPr>
        <w:t>万元，占</w:t>
      </w:r>
      <w:r>
        <w:rPr>
          <w:rFonts w:hint="eastAsia" w:ascii="仿宋" w:hAnsi="仿宋" w:eastAsia="仿宋"/>
          <w:sz w:val="32"/>
          <w:szCs w:val="32"/>
          <w:lang w:val="en-US" w:eastAsia="zh-CN"/>
        </w:rPr>
        <w:t>99.9</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2.01</w:t>
      </w:r>
      <w:r>
        <w:rPr>
          <w:rFonts w:hint="eastAsia" w:ascii="仿宋" w:hAnsi="仿宋" w:eastAsia="仿宋"/>
          <w:sz w:val="32"/>
          <w:szCs w:val="32"/>
        </w:rPr>
        <w:t>万元，占</w:t>
      </w:r>
      <w:r>
        <w:rPr>
          <w:rFonts w:hint="eastAsia" w:ascii="仿宋" w:hAnsi="仿宋" w:eastAsia="仿宋"/>
          <w:sz w:val="32"/>
          <w:szCs w:val="32"/>
          <w:lang w:val="en-US" w:eastAsia="zh-CN"/>
        </w:rPr>
        <w:t>0.1</w:t>
      </w:r>
      <w:r>
        <w:rPr>
          <w:rFonts w:ascii="仿宋" w:hAnsi="仿宋" w:eastAsia="仿宋"/>
          <w:sz w:val="32"/>
          <w:szCs w:val="32"/>
        </w:rPr>
        <w:t>%</w:t>
      </w:r>
      <w:r>
        <w:rPr>
          <w:rFonts w:hint="eastAsia" w:ascii="仿宋" w:hAnsi="仿宋" w:eastAsia="仿宋"/>
          <w:sz w:val="32"/>
          <w:szCs w:val="32"/>
        </w:rPr>
        <w:t>。</w:t>
      </w:r>
      <w:bookmarkEnd w:id="50"/>
      <w:bookmarkEnd w:id="51"/>
      <w:bookmarkEnd w:id="52"/>
      <w:bookmarkEnd w:id="53"/>
    </w:p>
    <w:p>
      <w:pPr>
        <w:pStyle w:val="2"/>
        <w:ind w:left="0" w:leftChars="0" w:firstLine="0" w:firstLineChars="0"/>
        <w:rPr>
          <w:rFonts w:hint="eastAsia" w:ascii="仿宋" w:hAnsi="仿宋" w:eastAsia="仿宋"/>
          <w:sz w:val="32"/>
          <w:szCs w:val="32"/>
        </w:rPr>
      </w:pPr>
    </w:p>
    <w:p>
      <w:pPr>
        <w:pStyle w:val="2"/>
        <w:rPr>
          <w:rFonts w:hint="eastAsia" w:ascii="仿宋" w:hAnsi="仿宋" w:eastAsia="仿宋"/>
          <w:sz w:val="32"/>
          <w:szCs w:val="32"/>
        </w:rPr>
      </w:pPr>
      <w:r>
        <w:drawing>
          <wp:inline distT="0" distB="0" distL="114300" distR="114300">
            <wp:extent cx="4572000" cy="27432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1600" w:firstLineChars="500"/>
        <w:jc w:val="both"/>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w:t>
      </w:r>
    </w:p>
    <w:p>
      <w:pPr>
        <w:pStyle w:val="32"/>
        <w:numPr>
          <w:ilvl w:val="0"/>
          <w:numId w:val="1"/>
        </w:numPr>
        <w:spacing w:line="600" w:lineRule="exact"/>
        <w:ind w:firstLineChars="0"/>
        <w:outlineLvl w:val="1"/>
        <w:rPr>
          <w:rFonts w:hint="eastAsia"/>
        </w:rPr>
      </w:pPr>
      <w:bookmarkStart w:id="54" w:name="_Toc15396605"/>
      <w:bookmarkStart w:id="55" w:name="_Toc25590"/>
      <w:bookmarkStart w:id="56" w:name="_Toc15377207"/>
      <w:r>
        <w:rPr>
          <w:rFonts w:hint="eastAsia" w:ascii="黑体" w:hAnsi="黑体" w:eastAsia="黑体"/>
          <w:sz w:val="32"/>
          <w:szCs w:val="32"/>
        </w:rPr>
        <w:t>支</w:t>
      </w:r>
      <w:r>
        <w:rPr>
          <w:rStyle w:val="22"/>
          <w:rFonts w:hint="eastAsia" w:ascii="黑体" w:hAnsi="黑体" w:eastAsia="黑体"/>
          <w:b w:val="0"/>
        </w:rPr>
        <w:t>出决算情况说明</w:t>
      </w:r>
      <w:bookmarkEnd w:id="54"/>
      <w:bookmarkEnd w:id="55"/>
      <w:bookmarkEnd w:id="56"/>
      <w:bookmarkStart w:id="57" w:name="_Toc16721"/>
      <w:bookmarkStart w:id="58" w:name="_Toc16217"/>
      <w:bookmarkStart w:id="59" w:name="_Toc27659"/>
    </w:p>
    <w:p>
      <w:pPr>
        <w:spacing w:line="600" w:lineRule="exact"/>
        <w:ind w:firstLine="640" w:firstLineChars="200"/>
        <w:rPr>
          <w:rFonts w:hint="eastAsia" w:ascii="仿宋" w:hAnsi="仿宋" w:eastAsia="仿宋"/>
          <w:sz w:val="32"/>
          <w:szCs w:val="32"/>
        </w:rPr>
      </w:pPr>
      <w:bookmarkStart w:id="60" w:name="_Toc10743"/>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年本年支出合计</w:t>
      </w:r>
      <w:r>
        <w:rPr>
          <w:rFonts w:hint="eastAsia" w:ascii="仿宋" w:hAnsi="仿宋" w:eastAsia="仿宋"/>
          <w:sz w:val="32"/>
          <w:szCs w:val="32"/>
          <w:lang w:val="en-US" w:eastAsia="zh-CN"/>
        </w:rPr>
        <w:t>1724.39</w:t>
      </w:r>
      <w:r>
        <w:rPr>
          <w:rFonts w:hint="eastAsia" w:ascii="仿宋" w:hAnsi="仿宋" w:eastAsia="仿宋"/>
          <w:sz w:val="32"/>
          <w:szCs w:val="32"/>
        </w:rPr>
        <w:t>万元，其中：基本支出</w:t>
      </w:r>
      <w:r>
        <w:rPr>
          <w:rFonts w:hint="eastAsia" w:ascii="仿宋" w:hAnsi="仿宋" w:eastAsia="仿宋"/>
          <w:sz w:val="32"/>
          <w:szCs w:val="32"/>
          <w:lang w:val="en-US" w:eastAsia="zh-CN"/>
        </w:rPr>
        <w:t>860.73</w:t>
      </w:r>
      <w:r>
        <w:rPr>
          <w:rFonts w:hint="eastAsia" w:ascii="仿宋" w:hAnsi="仿宋" w:eastAsia="仿宋"/>
          <w:sz w:val="32"/>
          <w:szCs w:val="32"/>
        </w:rPr>
        <w:t>万元，占</w:t>
      </w:r>
      <w:r>
        <w:rPr>
          <w:rFonts w:hint="eastAsia" w:ascii="仿宋" w:hAnsi="仿宋" w:eastAsia="仿宋"/>
          <w:sz w:val="32"/>
          <w:szCs w:val="32"/>
          <w:lang w:val="en-US" w:eastAsia="zh-CN"/>
        </w:rPr>
        <w:t>49.9</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863.66</w:t>
      </w:r>
      <w:r>
        <w:rPr>
          <w:rFonts w:hint="eastAsia" w:ascii="仿宋" w:hAnsi="仿宋" w:eastAsia="仿宋"/>
          <w:sz w:val="32"/>
          <w:szCs w:val="32"/>
        </w:rPr>
        <w:t>万元，占</w:t>
      </w:r>
      <w:r>
        <w:rPr>
          <w:rFonts w:hint="eastAsia" w:ascii="仿宋" w:hAnsi="仿宋" w:eastAsia="仿宋"/>
          <w:sz w:val="32"/>
          <w:szCs w:val="32"/>
          <w:lang w:val="en-US" w:eastAsia="zh-CN"/>
        </w:rPr>
        <w:t>50.1</w:t>
      </w:r>
      <w:r>
        <w:rPr>
          <w:rFonts w:ascii="仿宋" w:hAnsi="仿宋" w:eastAsia="仿宋"/>
          <w:sz w:val="32"/>
          <w:szCs w:val="32"/>
        </w:rPr>
        <w:t>%</w:t>
      </w:r>
      <w:r>
        <w:rPr>
          <w:rFonts w:hint="eastAsia" w:ascii="仿宋" w:hAnsi="仿宋" w:eastAsia="仿宋"/>
          <w:sz w:val="32"/>
          <w:szCs w:val="32"/>
        </w:rPr>
        <w:t>。</w:t>
      </w:r>
      <w:bookmarkEnd w:id="57"/>
      <w:bookmarkEnd w:id="58"/>
      <w:bookmarkEnd w:id="59"/>
      <w:bookmarkEnd w:id="60"/>
    </w:p>
    <w:p>
      <w:pPr>
        <w:pStyle w:val="2"/>
        <w:jc w:val="center"/>
      </w:pPr>
      <w:r>
        <w:drawing>
          <wp:inline distT="0" distB="0" distL="114300" distR="114300">
            <wp:extent cx="4572000" cy="257175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w:t>
      </w:r>
    </w:p>
    <w:p>
      <w:pPr>
        <w:spacing w:line="600" w:lineRule="exact"/>
        <w:ind w:firstLine="640" w:firstLineChars="200"/>
        <w:outlineLvl w:val="1"/>
        <w:rPr>
          <w:rStyle w:val="22"/>
          <w:rFonts w:ascii="黑体" w:hAnsi="黑体" w:eastAsia="黑体"/>
          <w:b w:val="0"/>
        </w:rPr>
      </w:pPr>
      <w:bookmarkStart w:id="61" w:name="_Toc21932"/>
      <w:bookmarkStart w:id="62" w:name="_Toc15377208"/>
      <w:bookmarkStart w:id="63" w:name="_Toc15396606"/>
      <w:r>
        <w:rPr>
          <w:rFonts w:hint="eastAsia" w:ascii="黑体" w:hAnsi="黑体" w:eastAsia="黑体"/>
          <w:sz w:val="32"/>
          <w:szCs w:val="32"/>
        </w:rPr>
        <w:t>四、财</w:t>
      </w:r>
      <w:r>
        <w:rPr>
          <w:rStyle w:val="22"/>
          <w:rFonts w:hint="eastAsia" w:ascii="黑体" w:hAnsi="黑体" w:eastAsia="黑体"/>
          <w:b w:val="0"/>
        </w:rPr>
        <w:t>政拨款收入支出决算总体情况说明</w:t>
      </w:r>
      <w:bookmarkEnd w:id="61"/>
      <w:bookmarkEnd w:id="62"/>
      <w:bookmarkEnd w:id="63"/>
    </w:p>
    <w:p>
      <w:pPr>
        <w:spacing w:line="600" w:lineRule="exact"/>
        <w:ind w:firstLine="640" w:firstLineChars="200"/>
        <w:rPr>
          <w:rFonts w:hint="eastAsia" w:ascii="仿宋_GB2312" w:eastAsia="仿宋_GB2312"/>
          <w:b w:val="0"/>
          <w:bCs/>
          <w:sz w:val="32"/>
          <w:szCs w:val="32"/>
          <w:lang w:eastAsia="zh-CN"/>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年财政拨款收、支总计</w:t>
      </w:r>
      <w:r>
        <w:rPr>
          <w:rFonts w:hint="eastAsia" w:ascii="仿宋" w:hAnsi="仿宋" w:eastAsia="仿宋"/>
          <w:sz w:val="32"/>
          <w:szCs w:val="32"/>
          <w:lang w:val="en-US" w:eastAsia="zh-CN"/>
        </w:rPr>
        <w:t>1722.39</w:t>
      </w:r>
      <w:r>
        <w:rPr>
          <w:rFonts w:hint="eastAsia" w:ascii="仿宋" w:hAnsi="仿宋" w:eastAsia="仿宋"/>
          <w:sz w:val="32"/>
          <w:szCs w:val="32"/>
        </w:rPr>
        <w:t>万元。与</w:t>
      </w:r>
      <w:r>
        <w:rPr>
          <w:rFonts w:hint="eastAsia" w:ascii="仿宋" w:hAnsi="仿宋" w:eastAsia="仿宋"/>
          <w:sz w:val="32"/>
          <w:szCs w:val="32"/>
          <w:lang w:eastAsia="zh-CN"/>
        </w:rPr>
        <w:t>2022年</w:t>
      </w:r>
      <w:r>
        <w:rPr>
          <w:rFonts w:hint="eastAsia" w:ascii="仿宋" w:hAnsi="仿宋" w:eastAsia="仿宋"/>
          <w:sz w:val="32"/>
          <w:szCs w:val="32"/>
        </w:rPr>
        <w:t>相比，财政拨款收、支总计各增加</w:t>
      </w:r>
      <w:r>
        <w:rPr>
          <w:rFonts w:hint="eastAsia" w:ascii="仿宋" w:hAnsi="仿宋" w:eastAsia="仿宋"/>
          <w:sz w:val="32"/>
          <w:szCs w:val="32"/>
          <w:lang w:val="en-US" w:eastAsia="zh-CN"/>
        </w:rPr>
        <w:t>463.76</w:t>
      </w:r>
      <w:r>
        <w:rPr>
          <w:rFonts w:hint="eastAsia" w:ascii="仿宋" w:hAnsi="仿宋" w:eastAsia="仿宋"/>
          <w:sz w:val="32"/>
          <w:szCs w:val="32"/>
        </w:rPr>
        <w:t>万元，增长</w:t>
      </w:r>
      <w:r>
        <w:rPr>
          <w:rFonts w:hint="eastAsia" w:ascii="仿宋" w:hAnsi="仿宋" w:eastAsia="仿宋"/>
          <w:sz w:val="32"/>
          <w:szCs w:val="32"/>
          <w:lang w:val="en-US" w:eastAsia="zh-CN"/>
        </w:rPr>
        <w:t>36.8</w:t>
      </w:r>
      <w:r>
        <w:rPr>
          <w:rFonts w:ascii="仿宋" w:hAnsi="仿宋" w:eastAsia="仿宋"/>
          <w:sz w:val="32"/>
          <w:szCs w:val="32"/>
        </w:rPr>
        <w:t>%</w:t>
      </w:r>
      <w:r>
        <w:rPr>
          <w:rFonts w:hint="eastAsia" w:ascii="仿宋" w:hAnsi="仿宋" w:eastAsia="仿宋"/>
          <w:sz w:val="32"/>
          <w:szCs w:val="32"/>
        </w:rPr>
        <w:t>。主要变动原因是是</w:t>
      </w:r>
      <w:r>
        <w:rPr>
          <w:rFonts w:hint="eastAsia" w:ascii="仿宋_GB2312" w:eastAsia="仿宋_GB2312"/>
          <w:b w:val="0"/>
          <w:bCs/>
          <w:sz w:val="32"/>
          <w:szCs w:val="32"/>
        </w:rPr>
        <w:t>人员</w:t>
      </w:r>
      <w:r>
        <w:rPr>
          <w:rFonts w:hint="eastAsia" w:ascii="仿宋_GB2312" w:eastAsia="仿宋_GB2312"/>
          <w:b w:val="0"/>
          <w:bCs/>
          <w:sz w:val="32"/>
          <w:szCs w:val="32"/>
          <w:lang w:eastAsia="zh-CN"/>
        </w:rPr>
        <w:t>变动及</w:t>
      </w:r>
      <w:r>
        <w:rPr>
          <w:rFonts w:hint="eastAsia" w:ascii="仿宋_GB2312" w:eastAsia="仿宋_GB2312"/>
          <w:b w:val="0"/>
          <w:bCs/>
          <w:sz w:val="32"/>
          <w:szCs w:val="32"/>
        </w:rPr>
        <w:t>基本工资增加，养老、医疗保险及住房公积金缴费基数增加</w:t>
      </w:r>
      <w:r>
        <w:rPr>
          <w:rFonts w:hint="eastAsia" w:ascii="仿宋_GB2312" w:eastAsia="仿宋_GB2312"/>
          <w:b w:val="0"/>
          <w:bCs/>
          <w:sz w:val="32"/>
          <w:szCs w:val="32"/>
          <w:lang w:eastAsia="zh-CN"/>
        </w:rPr>
        <w:t>。</w:t>
      </w:r>
    </w:p>
    <w:p>
      <w:pPr>
        <w:pStyle w:val="2"/>
        <w:rPr>
          <w:rFonts w:ascii="仿宋" w:hAnsi="仿宋" w:eastAsia="仿宋"/>
          <w:sz w:val="32"/>
          <w:szCs w:val="32"/>
        </w:rPr>
      </w:pPr>
      <w:r>
        <w:drawing>
          <wp:inline distT="0" distB="0" distL="114300" distR="114300">
            <wp:extent cx="4546600" cy="2294255"/>
            <wp:effectExtent l="4445" t="4445" r="20955" b="635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w:t>
      </w:r>
    </w:p>
    <w:p>
      <w:pPr>
        <w:spacing w:line="600" w:lineRule="exact"/>
        <w:ind w:firstLine="640" w:firstLineChars="200"/>
        <w:outlineLvl w:val="1"/>
        <w:rPr>
          <w:rStyle w:val="22"/>
          <w:rFonts w:ascii="黑体" w:hAnsi="黑体" w:eastAsia="黑体"/>
          <w:b w:val="0"/>
        </w:rPr>
      </w:pPr>
      <w:bookmarkStart w:id="64" w:name="_Toc15377209"/>
      <w:bookmarkStart w:id="65" w:name="_Toc15396607"/>
      <w:bookmarkStart w:id="66" w:name="_Toc4010"/>
      <w:r>
        <w:rPr>
          <w:rFonts w:hint="eastAsia" w:ascii="黑体" w:hAnsi="黑体" w:eastAsia="黑体"/>
          <w:sz w:val="32"/>
          <w:szCs w:val="32"/>
        </w:rPr>
        <w:t>五、</w:t>
      </w:r>
      <w:r>
        <w:rPr>
          <w:rFonts w:hint="eastAsia" w:ascii="黑体" w:hAnsi="黑体" w:eastAsia="黑体"/>
          <w:b/>
          <w:sz w:val="32"/>
          <w:szCs w:val="32"/>
        </w:rPr>
        <w:t>一</w:t>
      </w:r>
      <w:r>
        <w:rPr>
          <w:rStyle w:val="22"/>
          <w:rFonts w:hint="eastAsia" w:ascii="黑体" w:hAnsi="黑体" w:eastAsia="黑体"/>
          <w:b w:val="0"/>
        </w:rPr>
        <w:t>般公共预算财政拨款支出决算情况说明</w:t>
      </w:r>
      <w:bookmarkEnd w:id="64"/>
      <w:bookmarkEnd w:id="65"/>
      <w:bookmarkEnd w:id="66"/>
    </w:p>
    <w:p>
      <w:pPr>
        <w:spacing w:line="600" w:lineRule="exact"/>
        <w:ind w:firstLine="643" w:firstLineChars="200"/>
        <w:outlineLvl w:val="2"/>
        <w:rPr>
          <w:rFonts w:ascii="仿宋" w:hAnsi="仿宋" w:eastAsia="仿宋"/>
          <w:b/>
          <w:sz w:val="32"/>
          <w:szCs w:val="32"/>
        </w:rPr>
      </w:pPr>
      <w:bookmarkStart w:id="67" w:name="_Toc15377210"/>
      <w:r>
        <w:rPr>
          <w:rFonts w:hint="eastAsia" w:ascii="仿宋" w:hAnsi="仿宋" w:eastAsia="仿宋"/>
          <w:b/>
          <w:sz w:val="32"/>
          <w:szCs w:val="32"/>
        </w:rPr>
        <w:t>（一）一般公共预算财政拨款支出决算总体情况</w:t>
      </w:r>
      <w:bookmarkEnd w:id="67"/>
    </w:p>
    <w:p>
      <w:pPr>
        <w:spacing w:line="600" w:lineRule="exact"/>
        <w:ind w:firstLine="640" w:firstLineChars="200"/>
        <w:rPr>
          <w:rFonts w:hint="eastAsia" w:ascii="仿宋_GB2312" w:eastAsia="仿宋_GB2312"/>
          <w:b w:val="0"/>
          <w:bCs/>
          <w:sz w:val="32"/>
          <w:szCs w:val="32"/>
          <w:lang w:eastAsia="zh-CN"/>
        </w:rPr>
      </w:pPr>
      <w:r>
        <w:rPr>
          <w:rFonts w:hint="eastAsia" w:ascii="仿宋" w:hAnsi="仿宋" w:eastAsia="仿宋"/>
          <w:sz w:val="32"/>
          <w:szCs w:val="32"/>
          <w:lang w:eastAsia="zh-CN"/>
        </w:rPr>
        <w:t>2022年</w:t>
      </w:r>
      <w:r>
        <w:rPr>
          <w:rFonts w:hint="eastAsia" w:ascii="仿宋" w:hAnsi="仿宋" w:eastAsia="仿宋"/>
          <w:sz w:val="32"/>
          <w:szCs w:val="32"/>
        </w:rPr>
        <w:t>一般公共预算财政拨款支出</w:t>
      </w:r>
      <w:r>
        <w:rPr>
          <w:rFonts w:hint="eastAsia" w:ascii="仿宋" w:hAnsi="仿宋" w:eastAsia="仿宋"/>
          <w:sz w:val="32"/>
          <w:szCs w:val="32"/>
          <w:lang w:val="en-US" w:eastAsia="zh-CN"/>
        </w:rPr>
        <w:t>1722.39</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hint="eastAsia" w:ascii="仿宋" w:hAnsi="仿宋" w:eastAsia="仿宋"/>
          <w:sz w:val="32"/>
          <w:szCs w:val="32"/>
          <w:lang w:eastAsia="zh-CN"/>
        </w:rPr>
        <w:t>2022年</w:t>
      </w:r>
      <w:r>
        <w:rPr>
          <w:rFonts w:hint="eastAsia" w:ascii="仿宋" w:hAnsi="仿宋" w:eastAsia="仿宋"/>
          <w:sz w:val="32"/>
          <w:szCs w:val="32"/>
        </w:rPr>
        <w:t>相比，一般公共预算财政拨款支出增加</w:t>
      </w:r>
      <w:r>
        <w:rPr>
          <w:rFonts w:hint="eastAsia" w:ascii="仿宋" w:hAnsi="仿宋" w:eastAsia="仿宋"/>
          <w:sz w:val="32"/>
          <w:szCs w:val="32"/>
          <w:lang w:val="en-US" w:eastAsia="zh-CN"/>
        </w:rPr>
        <w:t>463.76</w:t>
      </w:r>
      <w:r>
        <w:rPr>
          <w:rFonts w:hint="eastAsia" w:ascii="仿宋" w:hAnsi="仿宋" w:eastAsia="仿宋"/>
          <w:sz w:val="32"/>
          <w:szCs w:val="32"/>
        </w:rPr>
        <w:t>万元，增长</w:t>
      </w:r>
      <w:r>
        <w:rPr>
          <w:rFonts w:hint="eastAsia" w:ascii="仿宋" w:hAnsi="仿宋" w:eastAsia="仿宋"/>
          <w:sz w:val="32"/>
          <w:szCs w:val="32"/>
          <w:lang w:val="en-US" w:eastAsia="zh-CN"/>
        </w:rPr>
        <w:t>36.8</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eastAsia="仿宋_GB2312"/>
          <w:b w:val="0"/>
          <w:bCs/>
          <w:sz w:val="32"/>
          <w:szCs w:val="32"/>
        </w:rPr>
        <w:t>人员</w:t>
      </w:r>
      <w:r>
        <w:rPr>
          <w:rFonts w:hint="eastAsia" w:ascii="仿宋_GB2312" w:eastAsia="仿宋_GB2312"/>
          <w:b w:val="0"/>
          <w:bCs/>
          <w:sz w:val="32"/>
          <w:szCs w:val="32"/>
          <w:lang w:eastAsia="zh-CN"/>
        </w:rPr>
        <w:t>变动及</w:t>
      </w:r>
      <w:r>
        <w:rPr>
          <w:rFonts w:hint="eastAsia" w:ascii="仿宋_GB2312" w:eastAsia="仿宋_GB2312"/>
          <w:b w:val="0"/>
          <w:bCs/>
          <w:sz w:val="32"/>
          <w:szCs w:val="32"/>
        </w:rPr>
        <w:t>基本工资增加，养老、医疗保险及住房公积金缴费基数增加</w:t>
      </w:r>
      <w:r>
        <w:rPr>
          <w:rFonts w:hint="eastAsia" w:ascii="仿宋_GB2312" w:eastAsia="仿宋_GB2312"/>
          <w:b w:val="0"/>
          <w:bCs/>
          <w:sz w:val="32"/>
          <w:szCs w:val="32"/>
          <w:lang w:eastAsia="zh-CN"/>
        </w:rPr>
        <w:t>，项目预算收支增加。</w:t>
      </w:r>
    </w:p>
    <w:p>
      <w:pPr>
        <w:pStyle w:val="8"/>
        <w:jc w:val="center"/>
        <w:rPr>
          <w:rFonts w:hint="eastAsia"/>
        </w:rPr>
      </w:pPr>
      <w:r>
        <w:drawing>
          <wp:inline distT="0" distB="0" distL="114300" distR="114300">
            <wp:extent cx="4579620" cy="1610995"/>
            <wp:effectExtent l="5080" t="4445" r="6350" b="2286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w:t>
      </w:r>
    </w:p>
    <w:p>
      <w:pPr>
        <w:spacing w:line="600" w:lineRule="exact"/>
        <w:ind w:firstLine="643" w:firstLineChars="200"/>
        <w:outlineLvl w:val="2"/>
        <w:rPr>
          <w:rFonts w:ascii="仿宋" w:hAnsi="仿宋" w:eastAsia="仿宋"/>
          <w:b/>
          <w:sz w:val="32"/>
          <w:szCs w:val="32"/>
        </w:rPr>
      </w:pPr>
      <w:bookmarkStart w:id="68" w:name="_Toc15377211"/>
      <w:r>
        <w:rPr>
          <w:rFonts w:hint="eastAsia" w:ascii="仿宋" w:hAnsi="仿宋" w:eastAsia="仿宋"/>
          <w:b/>
          <w:sz w:val="32"/>
          <w:szCs w:val="32"/>
        </w:rPr>
        <w:t>（二）一般公共预算财政拨款支出决算结构情况</w:t>
      </w:r>
      <w:bookmarkEnd w:id="68"/>
    </w:p>
    <w:p>
      <w:pPr>
        <w:spacing w:line="600" w:lineRule="exact"/>
        <w:ind w:firstLine="640"/>
        <w:rPr>
          <w:rFonts w:hint="eastAsia"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bookmarkStart w:id="69" w:name="OLE_LINK1"/>
      <w:r>
        <w:rPr>
          <w:rFonts w:hint="eastAsia" w:ascii="仿宋" w:hAnsi="仿宋" w:eastAsia="仿宋"/>
          <w:sz w:val="32"/>
          <w:szCs w:val="32"/>
        </w:rPr>
        <w:t>一般公共预算财政拨款支出</w:t>
      </w:r>
      <w:bookmarkEnd w:id="69"/>
      <w:r>
        <w:rPr>
          <w:rFonts w:hint="eastAsia" w:ascii="仿宋" w:hAnsi="仿宋" w:eastAsia="仿宋"/>
          <w:sz w:val="32"/>
          <w:szCs w:val="32"/>
          <w:lang w:val="en-US" w:eastAsia="zh-CN"/>
        </w:rPr>
        <w:t>1722.39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879.32</w:t>
      </w:r>
      <w:r>
        <w:rPr>
          <w:rFonts w:hint="eastAsia" w:ascii="仿宋" w:hAnsi="仿宋" w:eastAsia="仿宋"/>
          <w:sz w:val="32"/>
          <w:szCs w:val="32"/>
        </w:rPr>
        <w:t>万元，占</w:t>
      </w:r>
      <w:r>
        <w:rPr>
          <w:rFonts w:hint="eastAsia" w:ascii="仿宋" w:hAnsi="仿宋" w:eastAsia="仿宋"/>
          <w:sz w:val="32"/>
          <w:szCs w:val="32"/>
          <w:lang w:val="en-US" w:eastAsia="zh-CN"/>
        </w:rPr>
        <w:t>51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129.38</w:t>
      </w:r>
      <w:r>
        <w:rPr>
          <w:rFonts w:hint="eastAsia" w:ascii="仿宋" w:hAnsi="仿宋" w:eastAsia="仿宋"/>
          <w:sz w:val="32"/>
          <w:szCs w:val="32"/>
        </w:rPr>
        <w:t>万元，占</w:t>
      </w:r>
      <w:r>
        <w:rPr>
          <w:rFonts w:hint="eastAsia" w:ascii="仿宋" w:hAnsi="仿宋" w:eastAsia="仿宋"/>
          <w:sz w:val="32"/>
          <w:szCs w:val="32"/>
          <w:lang w:val="en-US" w:eastAsia="zh-CN"/>
        </w:rPr>
        <w:t>7.5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38.4</w:t>
      </w:r>
      <w:r>
        <w:rPr>
          <w:rFonts w:hint="eastAsia" w:ascii="仿宋" w:hAnsi="仿宋" w:eastAsia="仿宋"/>
          <w:sz w:val="32"/>
          <w:szCs w:val="32"/>
        </w:rPr>
        <w:t>万元，占</w:t>
      </w:r>
      <w:r>
        <w:rPr>
          <w:rFonts w:hint="eastAsia" w:ascii="仿宋" w:hAnsi="仿宋" w:eastAsia="仿宋"/>
          <w:sz w:val="32"/>
          <w:szCs w:val="32"/>
          <w:lang w:val="en-US" w:eastAsia="zh-CN"/>
        </w:rPr>
        <w:t>2.2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城乡社区（类）</w:t>
      </w:r>
      <w:r>
        <w:rPr>
          <w:rFonts w:hint="eastAsia" w:ascii="仿宋" w:hAnsi="仿宋" w:eastAsia="仿宋"/>
          <w:sz w:val="32"/>
          <w:szCs w:val="32"/>
          <w:lang w:eastAsia="zh-CN"/>
        </w:rPr>
        <w:t>支出</w:t>
      </w:r>
      <w:r>
        <w:rPr>
          <w:rFonts w:hint="eastAsia" w:ascii="仿宋" w:hAnsi="仿宋" w:eastAsia="仿宋"/>
          <w:sz w:val="32"/>
          <w:szCs w:val="32"/>
          <w:lang w:val="en-US" w:eastAsia="zh-CN"/>
        </w:rPr>
        <w:t>16.93万元，</w:t>
      </w:r>
      <w:r>
        <w:rPr>
          <w:rFonts w:hint="eastAsia" w:ascii="仿宋" w:hAnsi="仿宋" w:eastAsia="仿宋"/>
          <w:sz w:val="32"/>
          <w:szCs w:val="32"/>
        </w:rPr>
        <w:t>占</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b/>
          <w:bCs/>
          <w:sz w:val="32"/>
          <w:szCs w:val="32"/>
          <w:lang w:eastAsia="zh-CN"/>
        </w:rPr>
        <w:t>农林水（类）</w:t>
      </w:r>
      <w:r>
        <w:rPr>
          <w:rFonts w:hint="eastAsia" w:ascii="仿宋" w:hAnsi="仿宋" w:eastAsia="仿宋"/>
          <w:sz w:val="32"/>
          <w:szCs w:val="32"/>
          <w:lang w:eastAsia="zh-CN"/>
        </w:rPr>
        <w:t>支出</w:t>
      </w:r>
      <w:r>
        <w:rPr>
          <w:rFonts w:hint="eastAsia" w:ascii="仿宋" w:hAnsi="仿宋" w:eastAsia="仿宋"/>
          <w:sz w:val="32"/>
          <w:szCs w:val="32"/>
          <w:lang w:val="en-US" w:eastAsia="zh-CN"/>
        </w:rPr>
        <w:t>598.94万元，</w:t>
      </w:r>
      <w:r>
        <w:rPr>
          <w:rFonts w:hint="eastAsia" w:ascii="仿宋" w:hAnsi="仿宋" w:eastAsia="仿宋"/>
          <w:sz w:val="32"/>
          <w:szCs w:val="32"/>
        </w:rPr>
        <w:t>占</w:t>
      </w:r>
      <w:r>
        <w:rPr>
          <w:rFonts w:hint="eastAsia" w:ascii="仿宋" w:hAnsi="仿宋" w:eastAsia="仿宋"/>
          <w:sz w:val="32"/>
          <w:szCs w:val="32"/>
          <w:lang w:val="en-US" w:eastAsia="zh-CN"/>
        </w:rPr>
        <w:t>34.8</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59.44</w:t>
      </w:r>
      <w:r>
        <w:rPr>
          <w:rFonts w:hint="eastAsia" w:ascii="仿宋" w:hAnsi="仿宋" w:eastAsia="仿宋"/>
          <w:sz w:val="32"/>
          <w:szCs w:val="32"/>
        </w:rPr>
        <w:t>万元，占</w:t>
      </w:r>
      <w:r>
        <w:rPr>
          <w:rFonts w:hint="eastAsia" w:ascii="仿宋" w:hAnsi="仿宋" w:eastAsia="仿宋"/>
          <w:sz w:val="32"/>
          <w:szCs w:val="32"/>
          <w:lang w:val="en-US" w:eastAsia="zh-CN"/>
        </w:rPr>
        <w:t>3.5</w:t>
      </w:r>
      <w:r>
        <w:rPr>
          <w:rFonts w:ascii="仿宋" w:hAnsi="仿宋" w:eastAsia="仿宋"/>
          <w:sz w:val="32"/>
          <w:szCs w:val="32"/>
        </w:rPr>
        <w:t>%</w:t>
      </w:r>
      <w:r>
        <w:rPr>
          <w:rFonts w:hint="eastAsia" w:ascii="仿宋" w:hAnsi="仿宋" w:eastAsia="仿宋"/>
          <w:sz w:val="32"/>
          <w:szCs w:val="32"/>
        </w:rPr>
        <w:t>；。</w:t>
      </w:r>
    </w:p>
    <w:p>
      <w:pPr>
        <w:pStyle w:val="8"/>
        <w:jc w:val="center"/>
        <w:rPr>
          <w:rFonts w:hint="eastAsia" w:ascii="仿宋" w:hAnsi="仿宋" w:eastAsia="仿宋"/>
          <w:sz w:val="32"/>
          <w:szCs w:val="32"/>
        </w:rPr>
      </w:pPr>
      <w:r>
        <w:drawing>
          <wp:inline distT="0" distB="0" distL="114300" distR="114300">
            <wp:extent cx="4572000" cy="2743200"/>
            <wp:effectExtent l="4445" t="4445" r="14605" b="14605"/>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w:t>
      </w:r>
    </w:p>
    <w:p>
      <w:pPr>
        <w:spacing w:line="600" w:lineRule="exact"/>
        <w:ind w:firstLine="643" w:firstLineChars="200"/>
        <w:outlineLvl w:val="2"/>
        <w:rPr>
          <w:rFonts w:ascii="仿宋" w:hAnsi="仿宋" w:eastAsia="仿宋"/>
          <w:b/>
          <w:sz w:val="32"/>
          <w:szCs w:val="32"/>
        </w:rPr>
      </w:pPr>
      <w:bookmarkStart w:id="70" w:name="_Toc15377212"/>
      <w:r>
        <w:rPr>
          <w:rFonts w:hint="eastAsia" w:ascii="仿宋" w:hAnsi="仿宋" w:eastAsia="仿宋"/>
          <w:b/>
          <w:sz w:val="32"/>
          <w:szCs w:val="32"/>
        </w:rPr>
        <w:t>（三）一般公共预算财政拨款支出决算具体情况</w:t>
      </w:r>
      <w:bookmarkEnd w:id="70"/>
    </w:p>
    <w:p>
      <w:pPr>
        <w:spacing w:line="600" w:lineRule="exact"/>
        <w:ind w:firstLine="643" w:firstLineChars="200"/>
        <w:outlineLvl w:val="2"/>
        <w:rPr>
          <w:rFonts w:ascii="仿宋" w:hAnsi="仿宋" w:eastAsia="仿宋"/>
          <w:sz w:val="32"/>
          <w:szCs w:val="32"/>
        </w:rPr>
      </w:pPr>
      <w:bookmarkStart w:id="71" w:name="_Toc15377444"/>
      <w:bookmarkStart w:id="72" w:name="_Toc15378460"/>
      <w:bookmarkStart w:id="73" w:name="_Toc15377213"/>
      <w:r>
        <w:rPr>
          <w:rFonts w:hint="eastAsia" w:ascii="仿宋" w:hAnsi="仿宋" w:eastAsia="仿宋"/>
          <w:b/>
          <w:sz w:val="32"/>
          <w:szCs w:val="32"/>
          <w:lang w:eastAsia="zh-CN"/>
        </w:rPr>
        <w:t>2022年</w:t>
      </w:r>
      <w:r>
        <w:rPr>
          <w:rFonts w:hint="eastAsia" w:ascii="仿宋" w:hAnsi="仿宋" w:eastAsia="仿宋"/>
          <w:b/>
          <w:sz w:val="32"/>
          <w:szCs w:val="32"/>
        </w:rPr>
        <w:t>一般公共预算支出决算数为</w:t>
      </w:r>
      <w:r>
        <w:rPr>
          <w:rFonts w:hint="eastAsia" w:ascii="仿宋" w:hAnsi="仿宋" w:eastAsia="仿宋"/>
          <w:b/>
          <w:sz w:val="32"/>
          <w:szCs w:val="32"/>
          <w:lang w:val="en-US" w:eastAsia="zh-CN"/>
        </w:rPr>
        <w:t>1722.39</w:t>
      </w:r>
      <w:r>
        <w:rPr>
          <w:rFonts w:hint="eastAsia" w:ascii="仿宋" w:hAnsi="仿宋" w:eastAsia="仿宋"/>
          <w:sz w:val="32"/>
          <w:szCs w:val="32"/>
        </w:rPr>
        <w:t>，</w:t>
      </w:r>
      <w:r>
        <w:rPr>
          <w:rStyle w:val="19"/>
          <w:rFonts w:hint="eastAsia" w:ascii="仿宋" w:hAnsi="仿宋" w:eastAsia="仿宋"/>
          <w:bCs/>
          <w:sz w:val="32"/>
          <w:szCs w:val="32"/>
        </w:rPr>
        <w:t>完成预算</w:t>
      </w:r>
      <w:r>
        <w:rPr>
          <w:rStyle w:val="19"/>
          <w:rFonts w:hint="eastAsia" w:ascii="仿宋" w:hAnsi="仿宋" w:eastAsia="仿宋"/>
          <w:bCs/>
          <w:sz w:val="32"/>
          <w:szCs w:val="32"/>
          <w:lang w:val="en-US" w:eastAsia="zh-CN"/>
        </w:rPr>
        <w:t>100</w:t>
      </w:r>
      <w:r>
        <w:rPr>
          <w:rStyle w:val="19"/>
          <w:rFonts w:ascii="仿宋" w:hAnsi="仿宋" w:eastAsia="仿宋"/>
          <w:bCs/>
          <w:sz w:val="32"/>
          <w:szCs w:val="32"/>
        </w:rPr>
        <w:t>%</w:t>
      </w:r>
      <w:r>
        <w:rPr>
          <w:rStyle w:val="19"/>
          <w:rFonts w:hint="eastAsia" w:ascii="仿宋" w:hAnsi="仿宋" w:eastAsia="仿宋"/>
          <w:bCs/>
          <w:sz w:val="32"/>
          <w:szCs w:val="32"/>
        </w:rPr>
        <w:t>。其中：</w:t>
      </w:r>
      <w:bookmarkEnd w:id="71"/>
      <w:bookmarkEnd w:id="72"/>
      <w:bookmarkEnd w:id="73"/>
    </w:p>
    <w:p>
      <w:pPr>
        <w:numPr>
          <w:ilvl w:val="0"/>
          <w:numId w:val="2"/>
        </w:numPr>
        <w:spacing w:line="600" w:lineRule="exact"/>
        <w:ind w:firstLine="643" w:firstLineChars="200"/>
        <w:rPr>
          <w:rFonts w:ascii="仿宋" w:hAnsi="仿宋" w:eastAsia="仿宋"/>
          <w:b/>
          <w:color w:val="auto"/>
          <w:sz w:val="32"/>
          <w:szCs w:val="32"/>
        </w:rPr>
      </w:pPr>
      <w:r>
        <w:rPr>
          <w:rStyle w:val="19"/>
          <w:rFonts w:hint="eastAsia" w:ascii="仿宋" w:hAnsi="仿宋" w:eastAsia="仿宋"/>
          <w:bCs/>
          <w:color w:val="auto"/>
          <w:sz w:val="32"/>
          <w:szCs w:val="32"/>
        </w:rPr>
        <w:t>一般公共服务</w:t>
      </w:r>
      <w:r>
        <w:rPr>
          <w:rStyle w:val="19"/>
          <w:rFonts w:hint="eastAsia" w:ascii="仿宋" w:hAnsi="仿宋" w:eastAsia="仿宋"/>
          <w:bCs/>
          <w:color w:val="auto"/>
          <w:sz w:val="32"/>
          <w:szCs w:val="32"/>
          <w:lang w:eastAsia="zh-CN"/>
        </w:rPr>
        <w:t>（</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eastAsia="zh-CN"/>
        </w:rPr>
        <w:t>）人大事务</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行政运行</w:t>
      </w:r>
      <w:r>
        <w:rPr>
          <w:rStyle w:val="19"/>
          <w:rFonts w:hint="eastAsia" w:ascii="仿宋" w:hAnsi="仿宋" w:eastAsia="仿宋"/>
          <w:bCs/>
          <w:sz w:val="32"/>
          <w:szCs w:val="32"/>
        </w:rPr>
        <w:t>（项）</w:t>
      </w:r>
      <w:r>
        <w:rPr>
          <w:rStyle w:val="19"/>
          <w:rFonts w:ascii="仿宋" w:hAnsi="仿宋" w:eastAsia="仿宋"/>
          <w:b w:val="0"/>
          <w:bCs/>
          <w:color w:val="auto"/>
          <w:sz w:val="32"/>
          <w:szCs w:val="32"/>
        </w:rPr>
        <w:t xml:space="preserve"> </w:t>
      </w:r>
      <w:r>
        <w:rPr>
          <w:rStyle w:val="19"/>
          <w:rFonts w:hint="eastAsia" w:ascii="仿宋" w:hAnsi="仿宋" w:eastAsia="仿宋"/>
          <w:b w:val="0"/>
          <w:bCs/>
          <w:color w:val="auto"/>
          <w:sz w:val="32"/>
          <w:szCs w:val="32"/>
          <w:lang w:eastAsia="zh-CN"/>
        </w:rPr>
        <w:t>：基本</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15.16</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numPr>
          <w:ilvl w:val="0"/>
          <w:numId w:val="0"/>
        </w:numPr>
        <w:spacing w:line="600" w:lineRule="exact"/>
        <w:ind w:firstLine="643" w:firstLineChars="200"/>
        <w:rPr>
          <w:rStyle w:val="19"/>
          <w:rFonts w:hint="eastAsia" w:ascii="仿宋" w:hAnsi="仿宋" w:eastAsia="仿宋"/>
          <w:b w:val="0"/>
          <w:bCs/>
          <w:color w:val="auto"/>
          <w:sz w:val="32"/>
          <w:szCs w:val="32"/>
          <w:lang w:eastAsia="zh-CN"/>
        </w:rPr>
      </w:pPr>
      <w:r>
        <w:rPr>
          <w:rStyle w:val="19"/>
          <w:rFonts w:hint="eastAsia" w:ascii="仿宋" w:hAnsi="仿宋" w:eastAsia="仿宋"/>
          <w:bCs/>
          <w:color w:val="auto"/>
          <w:sz w:val="32"/>
          <w:szCs w:val="32"/>
        </w:rPr>
        <w:t>一般公共服务</w:t>
      </w:r>
      <w:r>
        <w:rPr>
          <w:rStyle w:val="19"/>
          <w:rFonts w:hint="eastAsia" w:ascii="仿宋" w:hAnsi="仿宋" w:eastAsia="仿宋"/>
          <w:bCs/>
          <w:color w:val="auto"/>
          <w:sz w:val="32"/>
          <w:szCs w:val="32"/>
          <w:lang w:eastAsia="zh-CN"/>
        </w:rPr>
        <w:t>（</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eastAsia="zh-CN"/>
        </w:rPr>
        <w:t>）政府办公厅（室）及相关机构事务</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行政运行</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cs="Times New Roman"/>
          <w:b w:val="0"/>
          <w:bCs/>
          <w:color w:val="auto"/>
          <w:sz w:val="32"/>
          <w:szCs w:val="32"/>
          <w:lang w:eastAsia="zh-CN"/>
        </w:rPr>
        <w:t>基本</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261.5</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numPr>
          <w:ilvl w:val="0"/>
          <w:numId w:val="0"/>
        </w:numPr>
        <w:spacing w:line="600" w:lineRule="exact"/>
        <w:ind w:firstLine="643" w:firstLineChars="200"/>
        <w:rPr>
          <w:rStyle w:val="19"/>
          <w:rFonts w:hint="eastAsia" w:ascii="仿宋" w:hAnsi="仿宋" w:eastAsia="仿宋"/>
          <w:b w:val="0"/>
          <w:bCs/>
          <w:color w:val="auto"/>
          <w:sz w:val="32"/>
          <w:szCs w:val="32"/>
          <w:lang w:eastAsia="zh-CN"/>
        </w:rPr>
      </w:pPr>
      <w:r>
        <w:rPr>
          <w:rStyle w:val="19"/>
          <w:rFonts w:hint="eastAsia" w:ascii="仿宋" w:hAnsi="仿宋" w:eastAsia="仿宋"/>
          <w:bCs/>
          <w:color w:val="auto"/>
          <w:sz w:val="32"/>
          <w:szCs w:val="32"/>
        </w:rPr>
        <w:t>一般公共服务</w:t>
      </w:r>
      <w:r>
        <w:rPr>
          <w:rStyle w:val="19"/>
          <w:rFonts w:hint="eastAsia" w:ascii="仿宋" w:hAnsi="仿宋" w:eastAsia="仿宋"/>
          <w:bCs/>
          <w:color w:val="auto"/>
          <w:sz w:val="32"/>
          <w:szCs w:val="32"/>
          <w:lang w:eastAsia="zh-CN"/>
        </w:rPr>
        <w:t>（</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eastAsia="zh-CN"/>
        </w:rPr>
        <w:t>）政府办公厅（室）及相关机构事务</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一般行政管理事务</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cs="Times New Roman"/>
          <w:b w:val="0"/>
          <w:bCs/>
          <w:color w:val="auto"/>
          <w:sz w:val="32"/>
          <w:szCs w:val="32"/>
          <w:lang w:eastAsia="zh-CN"/>
        </w:rPr>
        <w:t>项目</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2.4</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numPr>
          <w:ilvl w:val="0"/>
          <w:numId w:val="0"/>
        </w:numPr>
        <w:spacing w:line="600" w:lineRule="exact"/>
        <w:ind w:firstLine="643" w:firstLineChars="200"/>
        <w:rPr>
          <w:rStyle w:val="19"/>
          <w:rFonts w:hint="eastAsia" w:ascii="仿宋" w:hAnsi="仿宋" w:eastAsia="仿宋"/>
          <w:b w:val="0"/>
          <w:bCs/>
          <w:color w:val="auto"/>
          <w:sz w:val="32"/>
          <w:szCs w:val="32"/>
          <w:lang w:eastAsia="zh-CN"/>
        </w:rPr>
      </w:pPr>
      <w:r>
        <w:rPr>
          <w:rStyle w:val="19"/>
          <w:rFonts w:hint="eastAsia" w:ascii="仿宋" w:hAnsi="仿宋" w:eastAsia="仿宋"/>
          <w:bCs/>
          <w:color w:val="auto"/>
          <w:sz w:val="32"/>
          <w:szCs w:val="32"/>
        </w:rPr>
        <w:t>一般公共服务</w:t>
      </w:r>
      <w:r>
        <w:rPr>
          <w:rStyle w:val="19"/>
          <w:rFonts w:hint="eastAsia" w:ascii="仿宋" w:hAnsi="仿宋" w:eastAsia="仿宋"/>
          <w:bCs/>
          <w:color w:val="auto"/>
          <w:sz w:val="32"/>
          <w:szCs w:val="32"/>
          <w:lang w:eastAsia="zh-CN"/>
        </w:rPr>
        <w:t>（</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eastAsia="zh-CN"/>
        </w:rPr>
        <w:t>）政府办公厅（室）及相关机构事务</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事业运行</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cs="Times New Roman"/>
          <w:b w:val="0"/>
          <w:bCs/>
          <w:color w:val="auto"/>
          <w:sz w:val="32"/>
          <w:szCs w:val="32"/>
          <w:lang w:eastAsia="zh-CN"/>
        </w:rPr>
        <w:t>基本</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90.06</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numPr>
          <w:ilvl w:val="0"/>
          <w:numId w:val="0"/>
        </w:numPr>
        <w:spacing w:line="600" w:lineRule="exact"/>
        <w:ind w:firstLine="643" w:firstLineChars="200"/>
        <w:rPr>
          <w:rStyle w:val="19"/>
          <w:rFonts w:hint="eastAsia" w:ascii="仿宋" w:hAnsi="仿宋" w:eastAsia="仿宋"/>
          <w:b w:val="0"/>
          <w:bCs/>
          <w:color w:val="auto"/>
          <w:sz w:val="32"/>
          <w:szCs w:val="32"/>
          <w:lang w:eastAsia="zh-CN"/>
        </w:rPr>
      </w:pPr>
      <w:r>
        <w:rPr>
          <w:rStyle w:val="19"/>
          <w:rFonts w:hint="eastAsia" w:ascii="仿宋" w:hAnsi="仿宋" w:eastAsia="仿宋"/>
          <w:bCs/>
          <w:color w:val="auto"/>
          <w:sz w:val="32"/>
          <w:szCs w:val="32"/>
        </w:rPr>
        <w:t>一般公共服务</w:t>
      </w:r>
      <w:r>
        <w:rPr>
          <w:rStyle w:val="19"/>
          <w:rFonts w:hint="eastAsia" w:ascii="仿宋" w:hAnsi="仿宋" w:eastAsia="仿宋"/>
          <w:bCs/>
          <w:color w:val="auto"/>
          <w:sz w:val="32"/>
          <w:szCs w:val="32"/>
          <w:lang w:eastAsia="zh-CN"/>
        </w:rPr>
        <w:t>（</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eastAsia="zh-CN"/>
        </w:rPr>
        <w:t>）政府办公厅（室）及相关机构事务</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其他政府办公厅（室）及相关机构事务</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cs="Times New Roman"/>
          <w:b w:val="0"/>
          <w:bCs/>
          <w:color w:val="auto"/>
          <w:sz w:val="32"/>
          <w:szCs w:val="32"/>
          <w:lang w:eastAsia="zh-CN"/>
        </w:rPr>
        <w:t>项目</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410.35</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numPr>
          <w:ilvl w:val="0"/>
          <w:numId w:val="0"/>
        </w:numPr>
        <w:spacing w:line="600" w:lineRule="exact"/>
        <w:ind w:firstLine="643" w:firstLineChars="200"/>
        <w:rPr>
          <w:rStyle w:val="19"/>
          <w:rFonts w:hint="eastAsia" w:ascii="仿宋" w:hAnsi="仿宋" w:eastAsia="仿宋"/>
          <w:b w:val="0"/>
          <w:bCs/>
          <w:color w:val="auto"/>
          <w:sz w:val="32"/>
          <w:szCs w:val="32"/>
          <w:lang w:eastAsia="zh-CN"/>
        </w:rPr>
      </w:pPr>
      <w:r>
        <w:rPr>
          <w:rStyle w:val="19"/>
          <w:rFonts w:hint="eastAsia" w:ascii="仿宋" w:hAnsi="仿宋" w:eastAsia="仿宋"/>
          <w:bCs/>
          <w:color w:val="auto"/>
          <w:sz w:val="32"/>
          <w:szCs w:val="32"/>
        </w:rPr>
        <w:t>一般公共服务</w:t>
      </w:r>
      <w:r>
        <w:rPr>
          <w:rStyle w:val="19"/>
          <w:rFonts w:hint="eastAsia" w:ascii="仿宋" w:hAnsi="仿宋" w:eastAsia="仿宋"/>
          <w:bCs/>
          <w:color w:val="auto"/>
          <w:sz w:val="32"/>
          <w:szCs w:val="32"/>
          <w:lang w:eastAsia="zh-CN"/>
        </w:rPr>
        <w:t>（</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eastAsia="zh-CN"/>
        </w:rPr>
        <w:t>）财政事务</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事业运行</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cs="Times New Roman"/>
          <w:b w:val="0"/>
          <w:bCs/>
          <w:color w:val="auto"/>
          <w:sz w:val="32"/>
          <w:szCs w:val="32"/>
          <w:lang w:eastAsia="zh-CN"/>
        </w:rPr>
        <w:t>基本</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39.82</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numPr>
          <w:ilvl w:val="0"/>
          <w:numId w:val="0"/>
        </w:numPr>
        <w:spacing w:line="600" w:lineRule="exact"/>
        <w:ind w:firstLine="643" w:firstLineChars="200"/>
        <w:rPr>
          <w:rFonts w:ascii="仿宋" w:hAnsi="仿宋" w:eastAsia="仿宋"/>
          <w:b/>
          <w:color w:val="auto"/>
          <w:sz w:val="32"/>
          <w:szCs w:val="32"/>
        </w:rPr>
      </w:pPr>
      <w:r>
        <w:rPr>
          <w:rStyle w:val="19"/>
          <w:rFonts w:hint="eastAsia" w:ascii="仿宋" w:hAnsi="仿宋" w:eastAsia="仿宋"/>
          <w:bCs/>
          <w:color w:val="auto"/>
          <w:sz w:val="32"/>
          <w:szCs w:val="32"/>
        </w:rPr>
        <w:t>一般公共服务</w:t>
      </w:r>
      <w:r>
        <w:rPr>
          <w:rStyle w:val="19"/>
          <w:rFonts w:hint="eastAsia" w:ascii="仿宋" w:hAnsi="仿宋" w:eastAsia="仿宋"/>
          <w:bCs/>
          <w:color w:val="auto"/>
          <w:sz w:val="32"/>
          <w:szCs w:val="32"/>
          <w:lang w:eastAsia="zh-CN"/>
        </w:rPr>
        <w:t>（</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eastAsia="zh-CN"/>
        </w:rPr>
        <w:t>）党委办公厅（室）及相关机构事务</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行政运行</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cs="Times New Roman"/>
          <w:b w:val="0"/>
          <w:bCs/>
          <w:color w:val="auto"/>
          <w:sz w:val="32"/>
          <w:szCs w:val="32"/>
          <w:lang w:eastAsia="zh-CN"/>
        </w:rPr>
        <w:t>基本</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58.2</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numPr>
          <w:ilvl w:val="0"/>
          <w:numId w:val="2"/>
        </w:numPr>
        <w:spacing w:line="600" w:lineRule="exact"/>
        <w:ind w:left="0" w:leftChars="0" w:firstLine="643" w:firstLineChars="200"/>
        <w:rPr>
          <w:rFonts w:hint="eastAsia" w:ascii="仿宋" w:hAnsi="仿宋" w:eastAsia="仿宋"/>
          <w:b/>
          <w:color w:val="auto"/>
          <w:sz w:val="32"/>
          <w:szCs w:val="32"/>
          <w:lang w:eastAsia="zh-CN"/>
        </w:rPr>
      </w:pPr>
      <w:r>
        <w:rPr>
          <w:rStyle w:val="19"/>
          <w:rFonts w:hint="eastAsia" w:ascii="仿宋" w:hAnsi="仿宋" w:eastAsia="仿宋"/>
          <w:bCs/>
          <w:color w:val="auto"/>
          <w:sz w:val="32"/>
          <w:szCs w:val="32"/>
        </w:rPr>
        <w:t>社会保障和就业</w:t>
      </w:r>
      <w:r>
        <w:rPr>
          <w:rStyle w:val="19"/>
          <w:rFonts w:hint="eastAsia" w:ascii="仿宋" w:hAnsi="仿宋" w:eastAsia="仿宋"/>
          <w:bCs/>
          <w:color w:val="auto"/>
          <w:sz w:val="32"/>
          <w:szCs w:val="32"/>
          <w:lang w:eastAsia="zh-CN"/>
        </w:rPr>
        <w:t>支出（</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eastAsia="zh-CN"/>
        </w:rPr>
        <w:t>）人力资源和社会管理保障事务</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事业运行</w:t>
      </w:r>
      <w:r>
        <w:rPr>
          <w:rStyle w:val="19"/>
          <w:rFonts w:hint="eastAsia" w:ascii="仿宋" w:hAnsi="仿宋" w:eastAsia="仿宋"/>
          <w:bCs/>
          <w:sz w:val="32"/>
          <w:szCs w:val="32"/>
        </w:rPr>
        <w:t>（项）</w:t>
      </w:r>
      <w:r>
        <w:rPr>
          <w:rStyle w:val="19"/>
          <w:rFonts w:ascii="仿宋" w:hAnsi="仿宋" w:eastAsia="仿宋"/>
          <w:bCs/>
          <w:color w:val="auto"/>
          <w:sz w:val="32"/>
          <w:szCs w:val="32"/>
        </w:rPr>
        <w:t>:</w:t>
      </w:r>
      <w:r>
        <w:rPr>
          <w:rStyle w:val="19"/>
          <w:rFonts w:ascii="仿宋" w:hAnsi="仿宋" w:eastAsia="仿宋"/>
          <w:b w:val="0"/>
          <w:bCs/>
          <w:color w:val="auto"/>
          <w:sz w:val="32"/>
          <w:szCs w:val="32"/>
        </w:rPr>
        <w:t xml:space="preserve"> </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52.23</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numPr>
          <w:ilvl w:val="0"/>
          <w:numId w:val="0"/>
        </w:numPr>
        <w:spacing w:line="600" w:lineRule="exact"/>
        <w:ind w:firstLine="643" w:firstLineChars="200"/>
        <w:jc w:val="left"/>
        <w:rPr>
          <w:rStyle w:val="19"/>
          <w:rFonts w:hint="eastAsia" w:ascii="仿宋" w:hAnsi="仿宋" w:eastAsia="仿宋"/>
          <w:b w:val="0"/>
          <w:bCs/>
          <w:color w:val="auto"/>
          <w:sz w:val="32"/>
          <w:szCs w:val="32"/>
          <w:lang w:eastAsia="zh-CN"/>
        </w:rPr>
      </w:pPr>
      <w:r>
        <w:rPr>
          <w:rStyle w:val="19"/>
          <w:rFonts w:hint="eastAsia" w:ascii="仿宋" w:hAnsi="仿宋" w:eastAsia="仿宋"/>
          <w:bCs/>
          <w:color w:val="auto"/>
          <w:sz w:val="32"/>
          <w:szCs w:val="32"/>
        </w:rPr>
        <w:t>社会保障和就业</w:t>
      </w:r>
      <w:r>
        <w:rPr>
          <w:rStyle w:val="19"/>
          <w:rFonts w:hint="eastAsia" w:ascii="仿宋" w:hAnsi="仿宋" w:eastAsia="仿宋"/>
          <w:bCs/>
          <w:color w:val="auto"/>
          <w:sz w:val="32"/>
          <w:szCs w:val="32"/>
          <w:lang w:eastAsia="zh-CN"/>
        </w:rPr>
        <w:t>支出（</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eastAsia="zh-CN"/>
        </w:rPr>
        <w:t>）行政事业单位养老</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机关事业单位基本养老保险缴费</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59.35</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numPr>
          <w:ilvl w:val="0"/>
          <w:numId w:val="0"/>
        </w:numPr>
        <w:spacing w:line="600" w:lineRule="exact"/>
        <w:ind w:firstLine="643" w:firstLineChars="200"/>
        <w:jc w:val="left"/>
        <w:rPr>
          <w:rStyle w:val="19"/>
          <w:rFonts w:hint="eastAsia" w:ascii="仿宋" w:hAnsi="仿宋" w:eastAsia="仿宋"/>
          <w:b w:val="0"/>
          <w:bCs/>
          <w:color w:val="auto"/>
          <w:sz w:val="32"/>
          <w:szCs w:val="32"/>
          <w:lang w:eastAsia="zh-CN"/>
        </w:rPr>
      </w:pPr>
      <w:r>
        <w:rPr>
          <w:rStyle w:val="19"/>
          <w:rFonts w:hint="eastAsia" w:ascii="仿宋" w:hAnsi="仿宋" w:eastAsia="仿宋"/>
          <w:bCs/>
          <w:color w:val="auto"/>
          <w:sz w:val="32"/>
          <w:szCs w:val="32"/>
        </w:rPr>
        <w:t>社会保障和就业</w:t>
      </w:r>
      <w:r>
        <w:rPr>
          <w:rStyle w:val="19"/>
          <w:rFonts w:hint="eastAsia" w:ascii="仿宋" w:hAnsi="仿宋" w:eastAsia="仿宋"/>
          <w:bCs/>
          <w:color w:val="auto"/>
          <w:sz w:val="32"/>
          <w:szCs w:val="32"/>
          <w:lang w:eastAsia="zh-CN"/>
        </w:rPr>
        <w:t>支出（</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eastAsia="zh-CN"/>
        </w:rPr>
        <w:t>）行政事业单位养老</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机关事业单位基本养老保险缴费</w:t>
      </w:r>
      <w:r>
        <w:rPr>
          <w:rStyle w:val="19"/>
          <w:rFonts w:hint="eastAsia" w:ascii="仿宋" w:hAnsi="仿宋" w:eastAsia="仿宋"/>
          <w:bCs/>
          <w:sz w:val="32"/>
          <w:szCs w:val="32"/>
        </w:rPr>
        <w:t>（项）</w:t>
      </w:r>
      <w:r>
        <w:rPr>
          <w:rStyle w:val="19"/>
          <w:rFonts w:hint="eastAsia" w:ascii="仿宋" w:hAnsi="仿宋" w:eastAsia="仿宋"/>
          <w:bCs/>
          <w:color w:val="auto"/>
          <w:sz w:val="32"/>
          <w:szCs w:val="32"/>
          <w:lang w:eastAsia="zh-CN"/>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14.84</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numPr>
          <w:ilvl w:val="0"/>
          <w:numId w:val="0"/>
        </w:numPr>
        <w:spacing w:line="600" w:lineRule="exact"/>
        <w:ind w:firstLine="643" w:firstLineChars="200"/>
        <w:jc w:val="left"/>
        <w:rPr>
          <w:rFonts w:hint="eastAsia" w:ascii="仿宋" w:hAnsi="仿宋" w:eastAsia="仿宋"/>
          <w:b/>
          <w:color w:val="auto"/>
          <w:sz w:val="32"/>
          <w:szCs w:val="32"/>
          <w:lang w:eastAsia="zh-CN"/>
        </w:rPr>
      </w:pPr>
      <w:r>
        <w:rPr>
          <w:rStyle w:val="19"/>
          <w:rFonts w:hint="eastAsia" w:ascii="仿宋" w:hAnsi="仿宋" w:eastAsia="仿宋"/>
          <w:bCs/>
          <w:color w:val="auto"/>
          <w:sz w:val="32"/>
          <w:szCs w:val="32"/>
          <w:lang w:eastAsia="zh-CN"/>
        </w:rPr>
        <w:t>其他社会保障和就业</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其他社会保障和就业</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2.96</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numPr>
          <w:ilvl w:val="0"/>
          <w:numId w:val="2"/>
        </w:numPr>
        <w:spacing w:line="600" w:lineRule="exact"/>
        <w:ind w:left="0" w:leftChars="0" w:firstLine="643" w:firstLineChars="200"/>
        <w:rPr>
          <w:rStyle w:val="19"/>
          <w:rFonts w:hint="eastAsia" w:ascii="仿宋" w:hAnsi="仿宋" w:eastAsia="仿宋"/>
          <w:b w:val="0"/>
          <w:bCs/>
          <w:color w:val="auto"/>
          <w:sz w:val="32"/>
          <w:szCs w:val="32"/>
          <w:lang w:eastAsia="zh-CN"/>
        </w:rPr>
      </w:pPr>
      <w:r>
        <w:rPr>
          <w:rFonts w:hint="eastAsia" w:ascii="仿宋" w:hAnsi="仿宋" w:eastAsia="仿宋"/>
          <w:b/>
          <w:bCs/>
          <w:sz w:val="32"/>
          <w:szCs w:val="32"/>
        </w:rPr>
        <w:t>卫生健康</w:t>
      </w:r>
      <w:r>
        <w:rPr>
          <w:rStyle w:val="19"/>
          <w:rFonts w:hint="eastAsia" w:ascii="仿宋" w:hAnsi="仿宋" w:eastAsia="仿宋"/>
          <w:bCs/>
          <w:sz w:val="32"/>
          <w:szCs w:val="32"/>
        </w:rPr>
        <w:t>（类）</w:t>
      </w:r>
      <w:r>
        <w:rPr>
          <w:rStyle w:val="19"/>
          <w:rFonts w:hint="eastAsia" w:ascii="仿宋" w:hAnsi="仿宋" w:eastAsia="仿宋"/>
          <w:bCs/>
          <w:sz w:val="32"/>
          <w:szCs w:val="32"/>
          <w:lang w:eastAsia="zh-CN"/>
        </w:rPr>
        <w:t>卫生健康管理事务</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机关服务</w:t>
      </w:r>
      <w:r>
        <w:rPr>
          <w:rStyle w:val="19"/>
          <w:rFonts w:hint="eastAsia" w:ascii="仿宋" w:hAnsi="仿宋" w:eastAsia="仿宋"/>
          <w:bCs/>
          <w:sz w:val="32"/>
          <w:szCs w:val="32"/>
        </w:rPr>
        <w:t>（项）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23.67</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numPr>
          <w:ilvl w:val="0"/>
          <w:numId w:val="0"/>
        </w:numPr>
        <w:spacing w:line="600" w:lineRule="exact"/>
        <w:ind w:firstLine="643" w:firstLineChars="200"/>
        <w:jc w:val="left"/>
        <w:rPr>
          <w:rStyle w:val="19"/>
          <w:rFonts w:hint="eastAsia" w:ascii="仿宋" w:hAnsi="仿宋" w:eastAsia="仿宋"/>
          <w:b w:val="0"/>
          <w:bCs/>
          <w:color w:val="auto"/>
          <w:sz w:val="32"/>
          <w:szCs w:val="32"/>
          <w:lang w:eastAsia="zh-CN"/>
        </w:rPr>
      </w:pPr>
      <w:r>
        <w:rPr>
          <w:rFonts w:hint="eastAsia" w:ascii="仿宋" w:hAnsi="仿宋" w:eastAsia="仿宋"/>
          <w:b/>
          <w:bCs/>
          <w:sz w:val="32"/>
          <w:szCs w:val="32"/>
        </w:rPr>
        <w:t>卫生健康</w:t>
      </w:r>
      <w:r>
        <w:rPr>
          <w:rStyle w:val="19"/>
          <w:rFonts w:hint="eastAsia" w:ascii="仿宋" w:hAnsi="仿宋" w:eastAsia="仿宋"/>
          <w:bCs/>
          <w:sz w:val="32"/>
          <w:szCs w:val="32"/>
        </w:rPr>
        <w:t>（类）</w:t>
      </w:r>
      <w:r>
        <w:rPr>
          <w:rStyle w:val="19"/>
          <w:rFonts w:hint="eastAsia" w:ascii="仿宋" w:hAnsi="仿宋" w:eastAsia="仿宋"/>
          <w:bCs/>
          <w:sz w:val="32"/>
          <w:szCs w:val="32"/>
          <w:lang w:eastAsia="zh-CN"/>
        </w:rPr>
        <w:t>行政事业单位医疗</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行政事业单位医疗</w:t>
      </w:r>
      <w:r>
        <w:rPr>
          <w:rStyle w:val="19"/>
          <w:rFonts w:hint="eastAsia" w:ascii="仿宋" w:hAnsi="仿宋" w:eastAsia="仿宋"/>
          <w:bCs/>
          <w:sz w:val="32"/>
          <w:szCs w:val="32"/>
        </w:rPr>
        <w:t>（项）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14.73</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spacing w:line="600" w:lineRule="exact"/>
        <w:ind w:firstLine="643" w:firstLineChars="200"/>
        <w:rPr>
          <w:rFonts w:ascii="仿宋" w:hAnsi="仿宋" w:eastAsia="仿宋"/>
          <w:b/>
          <w:color w:val="auto"/>
          <w:sz w:val="32"/>
          <w:szCs w:val="32"/>
        </w:rPr>
      </w:pPr>
      <w:r>
        <w:rPr>
          <w:rStyle w:val="19"/>
          <w:rFonts w:hint="eastAsia" w:ascii="仿宋" w:hAnsi="仿宋" w:eastAsia="仿宋"/>
          <w:bCs/>
          <w:color w:val="auto"/>
          <w:sz w:val="32"/>
          <w:szCs w:val="32"/>
          <w:lang w:val="en-US" w:eastAsia="zh-CN"/>
        </w:rPr>
        <w:t>4</w:t>
      </w:r>
      <w:r>
        <w:rPr>
          <w:rFonts w:hint="eastAsia" w:ascii="仿宋_GB2312" w:hAnsi="宋体" w:eastAsia="仿宋_GB2312"/>
          <w:color w:val="auto"/>
          <w:sz w:val="32"/>
          <w:szCs w:val="32"/>
          <w:lang w:val="zh-CN"/>
        </w:rPr>
        <w:t>．</w:t>
      </w:r>
      <w:r>
        <w:rPr>
          <w:rFonts w:hint="eastAsia" w:ascii="仿宋" w:hAnsi="仿宋" w:eastAsia="仿宋"/>
          <w:b/>
          <w:bCs/>
          <w:sz w:val="32"/>
          <w:szCs w:val="32"/>
          <w:lang w:eastAsia="zh-CN"/>
        </w:rPr>
        <w:t>城乡社区</w:t>
      </w:r>
      <w:r>
        <w:rPr>
          <w:rStyle w:val="19"/>
          <w:rFonts w:hint="eastAsia" w:ascii="仿宋" w:hAnsi="仿宋" w:eastAsia="仿宋"/>
          <w:bCs/>
          <w:sz w:val="32"/>
          <w:szCs w:val="32"/>
        </w:rPr>
        <w:t>（类）</w:t>
      </w:r>
      <w:r>
        <w:rPr>
          <w:rStyle w:val="19"/>
          <w:rFonts w:hint="eastAsia" w:ascii="仿宋" w:hAnsi="仿宋" w:eastAsia="仿宋"/>
          <w:bCs/>
          <w:sz w:val="32"/>
          <w:szCs w:val="32"/>
          <w:lang w:eastAsia="zh-CN"/>
        </w:rPr>
        <w:t>其他城乡社区支出</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其他城乡社区支出</w:t>
      </w:r>
      <w:r>
        <w:rPr>
          <w:rStyle w:val="19"/>
          <w:rFonts w:hint="eastAsia" w:ascii="仿宋" w:hAnsi="仿宋" w:eastAsia="仿宋"/>
          <w:bCs/>
          <w:sz w:val="32"/>
          <w:szCs w:val="32"/>
        </w:rPr>
        <w:t>（项）</w:t>
      </w:r>
      <w:r>
        <w:rPr>
          <w:rStyle w:val="19"/>
          <w:rFonts w:ascii="仿宋" w:hAnsi="仿宋" w:eastAsia="仿宋"/>
          <w:bCs/>
          <w:color w:val="auto"/>
          <w:sz w:val="32"/>
          <w:szCs w:val="32"/>
        </w:rPr>
        <w:t>:</w:t>
      </w:r>
      <w:r>
        <w:rPr>
          <w:rStyle w:val="19"/>
          <w:rFonts w:ascii="仿宋" w:hAnsi="仿宋" w:eastAsia="仿宋"/>
          <w:b w:val="0"/>
          <w:bCs/>
          <w:color w:val="auto"/>
          <w:sz w:val="32"/>
          <w:szCs w:val="32"/>
        </w:rPr>
        <w:t xml:space="preserve"> </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16.93</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pStyle w:val="8"/>
        <w:ind w:firstLine="643" w:firstLineChars="200"/>
        <w:rPr>
          <w:rStyle w:val="19"/>
          <w:rFonts w:hint="eastAsia" w:ascii="仿宋" w:hAnsi="仿宋" w:eastAsia="仿宋"/>
          <w:b w:val="0"/>
          <w:bCs/>
          <w:color w:val="auto"/>
          <w:sz w:val="32"/>
          <w:szCs w:val="32"/>
          <w:lang w:eastAsia="zh-CN"/>
        </w:rPr>
      </w:pPr>
      <w:r>
        <w:rPr>
          <w:rStyle w:val="19"/>
          <w:rFonts w:hint="eastAsia" w:ascii="仿宋" w:hAnsi="仿宋" w:eastAsia="仿宋"/>
          <w:bCs/>
          <w:color w:val="auto"/>
          <w:sz w:val="32"/>
          <w:szCs w:val="32"/>
          <w:lang w:val="en-US" w:eastAsia="zh-CN"/>
        </w:rPr>
        <w:t>5</w:t>
      </w:r>
      <w:r>
        <w:rPr>
          <w:rFonts w:hint="eastAsia" w:ascii="仿宋_GB2312" w:hAnsi="宋体" w:eastAsia="仿宋_GB2312"/>
          <w:color w:val="auto"/>
          <w:sz w:val="32"/>
          <w:szCs w:val="32"/>
          <w:lang w:val="zh-CN"/>
        </w:rPr>
        <w:t>．</w:t>
      </w:r>
      <w:r>
        <w:rPr>
          <w:rStyle w:val="19"/>
          <w:rFonts w:hint="eastAsia" w:ascii="仿宋" w:hAnsi="仿宋" w:eastAsia="仿宋"/>
          <w:bCs/>
          <w:sz w:val="32"/>
          <w:szCs w:val="32"/>
          <w:lang w:eastAsia="zh-CN"/>
        </w:rPr>
        <w:t>农林水</w:t>
      </w:r>
      <w:r>
        <w:rPr>
          <w:rStyle w:val="19"/>
          <w:rFonts w:hint="eastAsia" w:ascii="仿宋" w:hAnsi="仿宋" w:eastAsia="仿宋"/>
          <w:bCs/>
          <w:sz w:val="32"/>
          <w:szCs w:val="32"/>
        </w:rPr>
        <w:t>（类）</w:t>
      </w:r>
      <w:r>
        <w:rPr>
          <w:rStyle w:val="19"/>
          <w:rFonts w:hint="eastAsia" w:ascii="仿宋" w:hAnsi="仿宋" w:eastAsia="仿宋"/>
          <w:bCs/>
          <w:sz w:val="32"/>
          <w:szCs w:val="32"/>
          <w:lang w:eastAsia="zh-CN"/>
        </w:rPr>
        <w:t>农业农村</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事业运行</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106.38</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pStyle w:val="8"/>
        <w:ind w:firstLine="643" w:firstLineChars="200"/>
        <w:rPr>
          <w:rStyle w:val="19"/>
          <w:rFonts w:hint="eastAsia" w:ascii="仿宋" w:hAnsi="仿宋" w:eastAsia="仿宋"/>
          <w:b w:val="0"/>
          <w:bCs/>
          <w:color w:val="auto"/>
          <w:sz w:val="32"/>
          <w:szCs w:val="32"/>
          <w:lang w:eastAsia="zh-CN"/>
        </w:rPr>
      </w:pPr>
      <w:r>
        <w:rPr>
          <w:rStyle w:val="19"/>
          <w:rFonts w:hint="eastAsia" w:ascii="仿宋" w:hAnsi="仿宋" w:eastAsia="仿宋"/>
          <w:bCs/>
          <w:sz w:val="32"/>
          <w:szCs w:val="32"/>
          <w:lang w:eastAsia="zh-CN"/>
        </w:rPr>
        <w:t>农林水</w:t>
      </w:r>
      <w:r>
        <w:rPr>
          <w:rStyle w:val="19"/>
          <w:rFonts w:hint="eastAsia" w:ascii="仿宋" w:hAnsi="仿宋" w:eastAsia="仿宋"/>
          <w:bCs/>
          <w:sz w:val="32"/>
          <w:szCs w:val="32"/>
        </w:rPr>
        <w:t>（类）</w:t>
      </w:r>
      <w:r>
        <w:rPr>
          <w:rStyle w:val="19"/>
          <w:rFonts w:hint="eastAsia" w:ascii="仿宋" w:hAnsi="仿宋" w:eastAsia="仿宋"/>
          <w:bCs/>
          <w:sz w:val="32"/>
          <w:szCs w:val="32"/>
          <w:lang w:eastAsia="zh-CN"/>
        </w:rPr>
        <w:t>农业农村</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农村道路建设</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98.6</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pStyle w:val="8"/>
        <w:ind w:firstLine="643" w:firstLineChars="200"/>
        <w:rPr>
          <w:rStyle w:val="19"/>
          <w:rFonts w:hint="eastAsia" w:ascii="仿宋" w:hAnsi="仿宋" w:eastAsia="仿宋"/>
          <w:b w:val="0"/>
          <w:bCs/>
          <w:color w:val="auto"/>
          <w:sz w:val="32"/>
          <w:szCs w:val="32"/>
          <w:lang w:eastAsia="zh-CN"/>
        </w:rPr>
      </w:pPr>
      <w:r>
        <w:rPr>
          <w:rStyle w:val="19"/>
          <w:rFonts w:hint="eastAsia" w:ascii="仿宋" w:hAnsi="仿宋" w:eastAsia="仿宋"/>
          <w:bCs/>
          <w:sz w:val="32"/>
          <w:szCs w:val="32"/>
          <w:lang w:eastAsia="zh-CN"/>
        </w:rPr>
        <w:t>农林水</w:t>
      </w:r>
      <w:r>
        <w:rPr>
          <w:rStyle w:val="19"/>
          <w:rFonts w:hint="eastAsia" w:ascii="仿宋" w:hAnsi="仿宋" w:eastAsia="仿宋"/>
          <w:bCs/>
          <w:sz w:val="32"/>
          <w:szCs w:val="32"/>
        </w:rPr>
        <w:t>（类）</w:t>
      </w:r>
      <w:r>
        <w:rPr>
          <w:rStyle w:val="19"/>
          <w:rFonts w:hint="eastAsia" w:ascii="仿宋" w:hAnsi="仿宋" w:eastAsia="仿宋"/>
          <w:bCs/>
          <w:sz w:val="32"/>
          <w:szCs w:val="32"/>
          <w:lang w:eastAsia="zh-CN"/>
        </w:rPr>
        <w:t>林业和草原</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事业机构</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27.65</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pStyle w:val="8"/>
        <w:ind w:firstLine="643" w:firstLineChars="200"/>
        <w:rPr>
          <w:rStyle w:val="19"/>
          <w:rFonts w:hint="eastAsia" w:ascii="仿宋" w:hAnsi="仿宋" w:eastAsia="仿宋"/>
          <w:b w:val="0"/>
          <w:bCs/>
          <w:color w:val="auto"/>
          <w:sz w:val="32"/>
          <w:szCs w:val="32"/>
          <w:lang w:eastAsia="zh-CN"/>
        </w:rPr>
      </w:pPr>
      <w:r>
        <w:rPr>
          <w:rStyle w:val="19"/>
          <w:rFonts w:hint="eastAsia" w:ascii="仿宋" w:hAnsi="仿宋" w:eastAsia="仿宋"/>
          <w:bCs/>
          <w:sz w:val="32"/>
          <w:szCs w:val="32"/>
          <w:lang w:eastAsia="zh-CN"/>
        </w:rPr>
        <w:t>农林水</w:t>
      </w:r>
      <w:r>
        <w:rPr>
          <w:rStyle w:val="19"/>
          <w:rFonts w:hint="eastAsia" w:ascii="仿宋" w:hAnsi="仿宋" w:eastAsia="仿宋"/>
          <w:bCs/>
          <w:sz w:val="32"/>
          <w:szCs w:val="32"/>
        </w:rPr>
        <w:t>（类）</w:t>
      </w:r>
      <w:r>
        <w:rPr>
          <w:rStyle w:val="19"/>
          <w:rFonts w:hint="eastAsia" w:ascii="仿宋" w:hAnsi="仿宋" w:eastAsia="仿宋"/>
          <w:bCs/>
          <w:sz w:val="32"/>
          <w:szCs w:val="32"/>
          <w:lang w:eastAsia="zh-CN"/>
        </w:rPr>
        <w:t>水利</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机关服务</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28.76</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pStyle w:val="8"/>
        <w:ind w:firstLine="643" w:firstLineChars="200"/>
        <w:rPr>
          <w:rStyle w:val="19"/>
          <w:rFonts w:hint="eastAsia" w:ascii="仿宋" w:hAnsi="仿宋" w:eastAsia="仿宋"/>
          <w:b w:val="0"/>
          <w:bCs/>
          <w:color w:val="auto"/>
          <w:sz w:val="32"/>
          <w:szCs w:val="32"/>
          <w:lang w:eastAsia="zh-CN"/>
        </w:rPr>
      </w:pPr>
      <w:r>
        <w:rPr>
          <w:rStyle w:val="19"/>
          <w:rFonts w:hint="eastAsia" w:ascii="仿宋" w:hAnsi="仿宋" w:eastAsia="仿宋"/>
          <w:bCs/>
          <w:sz w:val="32"/>
          <w:szCs w:val="32"/>
          <w:lang w:eastAsia="zh-CN"/>
        </w:rPr>
        <w:t>农林水</w:t>
      </w:r>
      <w:r>
        <w:rPr>
          <w:rStyle w:val="19"/>
          <w:rFonts w:hint="eastAsia" w:ascii="仿宋" w:hAnsi="仿宋" w:eastAsia="仿宋"/>
          <w:bCs/>
          <w:sz w:val="32"/>
          <w:szCs w:val="32"/>
        </w:rPr>
        <w:t>（类）</w:t>
      </w:r>
      <w:r>
        <w:rPr>
          <w:rStyle w:val="19"/>
          <w:rFonts w:hint="eastAsia" w:ascii="仿宋" w:hAnsi="仿宋" w:eastAsia="仿宋"/>
          <w:bCs/>
          <w:sz w:val="32"/>
          <w:szCs w:val="32"/>
          <w:lang w:eastAsia="zh-CN"/>
        </w:rPr>
        <w:t>农村综合改革</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对村民委员会和村党支部的补助</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235.44</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pStyle w:val="8"/>
        <w:ind w:firstLine="643" w:firstLineChars="200"/>
        <w:rPr>
          <w:rFonts w:hint="eastAsia" w:eastAsia="仿宋"/>
          <w:lang w:eastAsia="zh-CN"/>
        </w:rPr>
      </w:pPr>
      <w:r>
        <w:rPr>
          <w:rStyle w:val="19"/>
          <w:rFonts w:hint="eastAsia" w:ascii="仿宋" w:hAnsi="仿宋" w:eastAsia="仿宋"/>
          <w:bCs/>
          <w:sz w:val="32"/>
          <w:szCs w:val="32"/>
          <w:lang w:eastAsia="zh-CN"/>
        </w:rPr>
        <w:t>农林水</w:t>
      </w:r>
      <w:r>
        <w:rPr>
          <w:rStyle w:val="19"/>
          <w:rFonts w:hint="eastAsia" w:ascii="仿宋" w:hAnsi="仿宋" w:eastAsia="仿宋"/>
          <w:bCs/>
          <w:sz w:val="32"/>
          <w:szCs w:val="32"/>
        </w:rPr>
        <w:t>（类）</w:t>
      </w:r>
      <w:r>
        <w:rPr>
          <w:rStyle w:val="19"/>
          <w:rFonts w:hint="eastAsia" w:ascii="仿宋" w:hAnsi="仿宋" w:eastAsia="仿宋"/>
          <w:bCs/>
          <w:sz w:val="32"/>
          <w:szCs w:val="32"/>
          <w:lang w:eastAsia="zh-CN"/>
        </w:rPr>
        <w:t>农村综合改革</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农村综合改革示范试点补助</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102.11</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6.</w:t>
      </w:r>
      <w:r>
        <w:rPr>
          <w:rStyle w:val="19"/>
          <w:rFonts w:hint="eastAsia" w:ascii="仿宋" w:hAnsi="仿宋" w:eastAsia="仿宋"/>
          <w:bCs/>
          <w:color w:val="auto"/>
          <w:sz w:val="32"/>
          <w:szCs w:val="32"/>
          <w:lang w:eastAsia="zh-CN"/>
        </w:rPr>
        <w:t>住房保障（类）</w:t>
      </w:r>
      <w:r>
        <w:rPr>
          <w:rStyle w:val="19"/>
          <w:rFonts w:hint="eastAsia" w:ascii="仿宋" w:hAnsi="仿宋" w:eastAsia="仿宋"/>
          <w:bCs/>
          <w:sz w:val="32"/>
          <w:szCs w:val="32"/>
          <w:lang w:eastAsia="zh-CN"/>
        </w:rPr>
        <w:t>住房改革</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住房公积金</w:t>
      </w:r>
      <w:r>
        <w:rPr>
          <w:rStyle w:val="19"/>
          <w:rFonts w:hint="eastAsia" w:ascii="仿宋" w:hAnsi="仿宋" w:eastAsia="仿宋"/>
          <w:bCs/>
          <w:sz w:val="32"/>
          <w:szCs w:val="32"/>
        </w:rPr>
        <w:t>（项）</w:t>
      </w:r>
      <w:r>
        <w:rPr>
          <w:rStyle w:val="19"/>
          <w:rFonts w:ascii="仿宋" w:hAnsi="仿宋" w:eastAsia="仿宋"/>
          <w:bCs/>
          <w:color w:val="auto"/>
          <w:sz w:val="32"/>
          <w:szCs w:val="32"/>
        </w:rPr>
        <w:t>:</w:t>
      </w:r>
      <w:r>
        <w:rPr>
          <w:rStyle w:val="19"/>
          <w:rFonts w:ascii="仿宋" w:hAnsi="仿宋" w:eastAsia="仿宋"/>
          <w:b w:val="0"/>
          <w:bCs/>
          <w:color w:val="auto"/>
          <w:sz w:val="32"/>
          <w:szCs w:val="32"/>
        </w:rPr>
        <w:t xml:space="preserve"> </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59.44</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p>
    <w:p>
      <w:pPr>
        <w:tabs>
          <w:tab w:val="right" w:pos="8306"/>
        </w:tabs>
        <w:spacing w:line="600" w:lineRule="exact"/>
        <w:ind w:firstLine="640"/>
        <w:outlineLvl w:val="1"/>
        <w:rPr>
          <w:rStyle w:val="22"/>
        </w:rPr>
      </w:pPr>
      <w:bookmarkStart w:id="74" w:name="_Toc15377214"/>
      <w:bookmarkStart w:id="75" w:name="_Toc15396608"/>
      <w:bookmarkStart w:id="76" w:name="_Toc1346"/>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2"/>
          <w:rFonts w:hint="eastAsia" w:ascii="黑体" w:hAnsi="黑体" w:eastAsia="黑体"/>
          <w:b w:val="0"/>
        </w:rPr>
        <w:t>般公共预算财政拨款基本支出决算情况说明</w:t>
      </w:r>
      <w:bookmarkEnd w:id="74"/>
      <w:bookmarkEnd w:id="75"/>
      <w:bookmarkEnd w:id="76"/>
      <w:r>
        <w:rPr>
          <w:rStyle w:val="22"/>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一般公共预算财政拨款基本支出</w:t>
      </w:r>
      <w:r>
        <w:rPr>
          <w:rFonts w:hint="eastAsia" w:ascii="仿宋" w:hAnsi="仿宋" w:eastAsia="仿宋"/>
          <w:sz w:val="32"/>
          <w:szCs w:val="32"/>
          <w:lang w:val="en-US" w:eastAsia="zh-CN"/>
        </w:rPr>
        <w:t>858.72</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786.36</w:t>
      </w:r>
      <w:r>
        <w:rPr>
          <w:rFonts w:hint="eastAsia" w:ascii="仿宋" w:hAnsi="仿宋" w:eastAsia="仿宋"/>
          <w:sz w:val="32"/>
          <w:szCs w:val="32"/>
        </w:rPr>
        <w:t>万元，主要包括：基本工资、津贴补贴、奖金、绩效工资、机关事业单位基本养老保险缴费、</w:t>
      </w:r>
      <w:r>
        <w:rPr>
          <w:rFonts w:hint="eastAsia" w:ascii="仿宋" w:hAnsi="仿宋" w:eastAsia="仿宋"/>
          <w:sz w:val="32"/>
          <w:szCs w:val="32"/>
          <w:lang w:eastAsia="zh-CN"/>
        </w:rPr>
        <w:t>职业年金缴费、职工基本医疗保险缴费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sz w:val="32"/>
          <w:szCs w:val="32"/>
          <w:lang w:eastAsia="zh-CN"/>
        </w:rPr>
        <w:t>其</w:t>
      </w:r>
      <w:r>
        <w:rPr>
          <w:rFonts w:hint="eastAsia" w:ascii="仿宋" w:hAnsi="仿宋" w:eastAsia="仿宋"/>
          <w:sz w:val="32"/>
          <w:szCs w:val="32"/>
        </w:rPr>
        <w:t>他社会保障缴费、生活补助、奖励金、住房公积金等。</w:t>
      </w:r>
    </w:p>
    <w:p>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72.36</w:t>
      </w:r>
      <w:r>
        <w:rPr>
          <w:rFonts w:hint="eastAsia" w:ascii="仿宋" w:hAnsi="仿宋" w:eastAsia="仿宋"/>
          <w:sz w:val="32"/>
          <w:szCs w:val="32"/>
        </w:rPr>
        <w:t>万元，主要包括：</w:t>
      </w:r>
      <w:r>
        <w:rPr>
          <w:rFonts w:hint="eastAsia" w:ascii="仿宋" w:hAnsi="仿宋" w:eastAsia="仿宋"/>
          <w:color w:val="auto"/>
          <w:sz w:val="32"/>
          <w:szCs w:val="32"/>
          <w:highlight w:val="none"/>
        </w:rPr>
        <w:t>办公费、印刷费、</w:t>
      </w:r>
      <w:r>
        <w:rPr>
          <w:rFonts w:hint="eastAsia" w:ascii="仿宋" w:hAnsi="仿宋" w:eastAsia="仿宋"/>
          <w:color w:val="auto"/>
          <w:sz w:val="32"/>
          <w:szCs w:val="32"/>
          <w:highlight w:val="none"/>
          <w:lang w:eastAsia="zh-CN"/>
        </w:rPr>
        <w:t>咨询费、手续</w:t>
      </w:r>
      <w:r>
        <w:rPr>
          <w:rFonts w:hint="eastAsia" w:ascii="仿宋" w:hAnsi="仿宋" w:eastAsia="仿宋"/>
          <w:color w:val="auto"/>
          <w:sz w:val="32"/>
          <w:szCs w:val="32"/>
          <w:highlight w:val="none"/>
        </w:rPr>
        <w:t>费、水费、电费、邮电费、</w:t>
      </w:r>
      <w:r>
        <w:rPr>
          <w:rFonts w:hint="eastAsia" w:ascii="仿宋" w:hAnsi="仿宋" w:eastAsia="仿宋"/>
          <w:color w:val="auto"/>
          <w:sz w:val="32"/>
          <w:szCs w:val="32"/>
          <w:highlight w:val="none"/>
          <w:lang w:eastAsia="zh-CN"/>
        </w:rPr>
        <w:t>差旅</w:t>
      </w:r>
      <w:r>
        <w:rPr>
          <w:rFonts w:hint="eastAsia" w:ascii="仿宋" w:hAnsi="仿宋" w:eastAsia="仿宋"/>
          <w:color w:val="auto"/>
          <w:sz w:val="32"/>
          <w:szCs w:val="32"/>
          <w:highlight w:val="none"/>
        </w:rPr>
        <w:t>费、</w:t>
      </w:r>
      <w:r>
        <w:rPr>
          <w:rFonts w:hint="eastAsia" w:ascii="仿宋" w:hAnsi="仿宋" w:eastAsia="仿宋"/>
          <w:color w:val="auto"/>
          <w:sz w:val="32"/>
          <w:szCs w:val="32"/>
          <w:highlight w:val="none"/>
          <w:lang w:eastAsia="zh-CN"/>
        </w:rPr>
        <w:t>维修（护）费、</w:t>
      </w:r>
      <w:r>
        <w:rPr>
          <w:rFonts w:hint="eastAsia" w:ascii="仿宋" w:hAnsi="仿宋" w:eastAsia="仿宋"/>
          <w:color w:val="auto"/>
          <w:sz w:val="32"/>
          <w:szCs w:val="32"/>
          <w:highlight w:val="none"/>
        </w:rPr>
        <w:t>公务接待费、其他交通费等。</w:t>
      </w:r>
    </w:p>
    <w:p>
      <w:pPr>
        <w:spacing w:line="600" w:lineRule="exact"/>
        <w:ind w:firstLine="640"/>
        <w:outlineLvl w:val="1"/>
        <w:rPr>
          <w:rStyle w:val="22"/>
          <w:rFonts w:ascii="黑体" w:hAnsi="黑体" w:eastAsia="黑体"/>
          <w:b w:val="0"/>
        </w:rPr>
      </w:pPr>
      <w:bookmarkStart w:id="77" w:name="_Toc15396609"/>
      <w:bookmarkStart w:id="78" w:name="_Toc15377215"/>
      <w:bookmarkStart w:id="79" w:name="_Toc1780"/>
      <w:r>
        <w:rPr>
          <w:rFonts w:hint="eastAsia" w:ascii="黑体" w:eastAsia="黑体"/>
          <w:sz w:val="32"/>
          <w:szCs w:val="32"/>
        </w:rPr>
        <w:t>七、</w:t>
      </w:r>
      <w:r>
        <w:rPr>
          <w:rStyle w:val="22"/>
          <w:rFonts w:hint="eastAsia" w:ascii="黑体" w:hAnsi="黑体" w:eastAsia="黑体"/>
        </w:rPr>
        <w:t>“</w:t>
      </w:r>
      <w:r>
        <w:rPr>
          <w:rStyle w:val="22"/>
          <w:rFonts w:hint="eastAsia" w:ascii="黑体" w:hAnsi="黑体" w:eastAsia="黑体"/>
          <w:b w:val="0"/>
        </w:rPr>
        <w:t>三公”经费财政拨款支出决算情况说明</w:t>
      </w:r>
      <w:bookmarkEnd w:id="77"/>
      <w:bookmarkEnd w:id="78"/>
      <w:bookmarkEnd w:id="79"/>
    </w:p>
    <w:p>
      <w:pPr>
        <w:spacing w:line="600" w:lineRule="exact"/>
        <w:ind w:firstLine="640"/>
        <w:outlineLvl w:val="2"/>
        <w:rPr>
          <w:rFonts w:ascii="仿宋" w:hAnsi="仿宋" w:eastAsia="仿宋"/>
          <w:b/>
          <w:color w:val="auto"/>
          <w:sz w:val="32"/>
          <w:szCs w:val="32"/>
        </w:rPr>
      </w:pPr>
      <w:bookmarkStart w:id="80" w:name="_Toc15377216"/>
      <w:r>
        <w:rPr>
          <w:rFonts w:hint="eastAsia" w:ascii="仿宋" w:hAnsi="仿宋" w:eastAsia="仿宋"/>
          <w:b/>
          <w:color w:val="auto"/>
          <w:sz w:val="32"/>
          <w:szCs w:val="32"/>
        </w:rPr>
        <w:t>（一）“三公”经费财政拨款支出决算总体情况说明</w:t>
      </w:r>
      <w:bookmarkEnd w:id="80"/>
    </w:p>
    <w:p>
      <w:pPr>
        <w:spacing w:line="600" w:lineRule="exact"/>
        <w:ind w:firstLine="640"/>
        <w:rPr>
          <w:rFonts w:hint="eastAsia" w:ascii="仿宋" w:hAnsi="仿宋" w:eastAsia="仿宋"/>
          <w:color w:val="FF0000"/>
          <w:sz w:val="32"/>
          <w:szCs w:val="32"/>
          <w:lang w:eastAsia="zh-CN"/>
        </w:rPr>
      </w:pPr>
      <w:r>
        <w:rPr>
          <w:rFonts w:hint="eastAsia" w:ascii="仿宋" w:hAnsi="仿宋" w:eastAsia="仿宋"/>
          <w:color w:val="auto"/>
          <w:sz w:val="32"/>
          <w:szCs w:val="32"/>
          <w:lang w:eastAsia="zh-CN"/>
        </w:rPr>
        <w:t>2022年</w:t>
      </w:r>
      <w:r>
        <w:rPr>
          <w:rFonts w:hint="eastAsia" w:ascii="仿宋" w:hAnsi="仿宋" w:eastAsia="仿宋"/>
          <w:color w:val="auto"/>
          <w:sz w:val="32"/>
          <w:szCs w:val="32"/>
        </w:rPr>
        <w:t>“三公”经费财政拨款支出决算为</w:t>
      </w:r>
      <w:r>
        <w:rPr>
          <w:rFonts w:hint="eastAsia" w:ascii="仿宋" w:hAnsi="仿宋" w:eastAsia="仿宋"/>
          <w:color w:val="auto"/>
          <w:sz w:val="32"/>
          <w:szCs w:val="32"/>
          <w:lang w:val="en-US" w:eastAsia="zh-CN"/>
        </w:rPr>
        <w:t>1.05</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lang w:eastAsia="zh-CN"/>
        </w:rPr>
        <w:t>。</w:t>
      </w:r>
    </w:p>
    <w:p>
      <w:pPr>
        <w:spacing w:line="600" w:lineRule="exact"/>
        <w:ind w:firstLine="640"/>
        <w:outlineLvl w:val="2"/>
        <w:rPr>
          <w:rFonts w:ascii="仿宋" w:hAnsi="仿宋" w:eastAsia="仿宋"/>
          <w:b/>
          <w:sz w:val="32"/>
          <w:szCs w:val="32"/>
        </w:rPr>
      </w:pPr>
      <w:bookmarkStart w:id="81" w:name="_Toc15377217"/>
      <w:r>
        <w:rPr>
          <w:rFonts w:hint="eastAsia" w:ascii="仿宋" w:hAnsi="仿宋" w:eastAsia="仿宋"/>
          <w:b/>
          <w:sz w:val="32"/>
          <w:szCs w:val="32"/>
        </w:rPr>
        <w:t>（二）“三公”经费财政拨款支出决算具体情况说明</w:t>
      </w:r>
      <w:bookmarkEnd w:id="81"/>
    </w:p>
    <w:p>
      <w:pPr>
        <w:spacing w:line="600" w:lineRule="exact"/>
        <w:ind w:firstLine="640"/>
        <w:rPr>
          <w:rFonts w:hint="eastAsia"/>
        </w:rPr>
      </w:pPr>
      <w:r>
        <w:rPr>
          <w:rFonts w:hint="eastAsia" w:ascii="仿宋" w:hAnsi="仿宋" w:eastAsia="仿宋"/>
          <w:sz w:val="32"/>
          <w:szCs w:val="32"/>
          <w:lang w:eastAsia="zh-CN"/>
        </w:rPr>
        <w:t>2022年</w:t>
      </w:r>
      <w:r>
        <w:rPr>
          <w:rFonts w:hint="eastAsia" w:ascii="仿宋" w:hAnsi="仿宋" w:eastAsia="仿宋"/>
          <w:sz w:val="32"/>
          <w:szCs w:val="32"/>
        </w:rPr>
        <w:t>“三公”经费财政拨款支出决算中，因公出国（境）费支出决算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1.05</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pStyle w:val="2"/>
        <w:jc w:val="center"/>
        <w:rPr>
          <w:rFonts w:hint="eastAsia" w:ascii="仿宋" w:hAnsi="仿宋" w:eastAsia="仿宋"/>
          <w:sz w:val="32"/>
          <w:szCs w:val="32"/>
        </w:rPr>
      </w:pPr>
      <w:r>
        <w:drawing>
          <wp:inline distT="0" distB="0" distL="114300" distR="114300">
            <wp:extent cx="3869055" cy="2191385"/>
            <wp:effectExtent l="4445" t="5080" r="12700" b="13335"/>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960" w:firstLineChars="300"/>
        <w:jc w:val="cente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w:t>
      </w:r>
    </w:p>
    <w:p>
      <w:pPr>
        <w:spacing w:line="600" w:lineRule="exact"/>
        <w:ind w:firstLine="640"/>
        <w:rPr>
          <w:rFonts w:ascii="仿宋_GB2312" w:eastAsia="仿宋_GB2312"/>
          <w:sz w:val="32"/>
          <w:szCs w:val="32"/>
        </w:rPr>
      </w:pPr>
      <w:r>
        <w:rPr>
          <w:rFonts w:hint="eastAsia" w:ascii="仿宋_GB2312" w:eastAsia="仿宋_GB2312"/>
          <w:b/>
          <w:sz w:val="32"/>
          <w:szCs w:val="32"/>
        </w:rPr>
        <w:t>公务接待费支出</w:t>
      </w:r>
      <w:r>
        <w:rPr>
          <w:rFonts w:hint="eastAsia" w:ascii="仿宋_GB2312" w:eastAsia="仿宋_GB2312"/>
          <w:sz w:val="32"/>
          <w:szCs w:val="32"/>
          <w:lang w:val="en-US" w:eastAsia="zh-CN"/>
        </w:rPr>
        <w:t>1.05</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公务接待费支出决算比</w:t>
      </w:r>
      <w:r>
        <w:rPr>
          <w:rFonts w:hint="eastAsia" w:ascii="仿宋_GB2312" w:eastAsia="仿宋_GB2312"/>
          <w:sz w:val="32"/>
          <w:szCs w:val="32"/>
          <w:lang w:eastAsia="zh-CN"/>
        </w:rPr>
        <w:t>2022年</w:t>
      </w:r>
      <w:r>
        <w:rPr>
          <w:rFonts w:hint="eastAsia" w:ascii="仿宋_GB2312" w:eastAsia="仿宋_GB2312"/>
          <w:sz w:val="32"/>
          <w:szCs w:val="32"/>
        </w:rPr>
        <w:t>减少</w:t>
      </w:r>
      <w:r>
        <w:rPr>
          <w:rFonts w:hint="eastAsia" w:ascii="仿宋_GB2312" w:eastAsia="仿宋_GB2312"/>
          <w:sz w:val="32"/>
          <w:szCs w:val="32"/>
          <w:lang w:val="en-US" w:eastAsia="zh-CN"/>
        </w:rPr>
        <w:t>0.03</w:t>
      </w:r>
      <w:r>
        <w:rPr>
          <w:rFonts w:hint="eastAsia" w:ascii="仿宋_GB2312" w:eastAsia="仿宋_GB2312"/>
          <w:sz w:val="32"/>
          <w:szCs w:val="32"/>
        </w:rPr>
        <w:t>万元，下降</w:t>
      </w:r>
      <w:r>
        <w:rPr>
          <w:rFonts w:hint="eastAsia" w:ascii="仿宋_GB2312" w:eastAsia="仿宋_GB2312"/>
          <w:sz w:val="32"/>
          <w:szCs w:val="32"/>
          <w:lang w:val="en-US" w:eastAsia="zh-CN"/>
        </w:rPr>
        <w:t>2.8</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color w:val="auto"/>
          <w:sz w:val="32"/>
          <w:szCs w:val="32"/>
          <w:highlight w:val="none"/>
        </w:rPr>
        <w:t>控制配餐人数，降低接待成本</w:t>
      </w:r>
      <w:r>
        <w:rPr>
          <w:rFonts w:hint="eastAsia" w:ascii="仿宋_GB2312" w:eastAsia="仿宋_GB2312"/>
          <w:sz w:val="32"/>
          <w:szCs w:val="32"/>
        </w:rPr>
        <w:t>。其中：</w:t>
      </w:r>
    </w:p>
    <w:p>
      <w:pPr>
        <w:spacing w:line="600" w:lineRule="exact"/>
        <w:ind w:firstLine="640"/>
        <w:rPr>
          <w:rFonts w:ascii="黑体" w:eastAsia="黑体"/>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1.05</w:t>
      </w:r>
      <w:r>
        <w:rPr>
          <w:rFonts w:hint="eastAsia" w:ascii="仿宋_GB2312" w:eastAsia="仿宋_GB2312"/>
          <w:sz w:val="32"/>
          <w:szCs w:val="32"/>
        </w:rPr>
        <w:t>万元，</w:t>
      </w:r>
      <w:r>
        <w:rPr>
          <w:rFonts w:hint="eastAsia" w:ascii="仿宋" w:hAnsi="仿宋" w:eastAsia="仿宋"/>
          <w:color w:val="auto"/>
          <w:sz w:val="32"/>
          <w:szCs w:val="32"/>
          <w:highlight w:val="none"/>
        </w:rPr>
        <w:t>执行公务、开展业务活动开支的交通费、住宿费、用餐费等</w:t>
      </w:r>
      <w:r>
        <w:rPr>
          <w:rFonts w:hint="eastAsia" w:ascii="仿宋_GB2312" w:eastAsia="仿宋_GB2312"/>
          <w:sz w:val="32"/>
          <w:szCs w:val="32"/>
        </w:rPr>
        <w:t>。国内公务接待</w:t>
      </w:r>
      <w:r>
        <w:rPr>
          <w:rFonts w:hint="eastAsia" w:ascii="仿宋_GB2312" w:eastAsia="仿宋_GB2312"/>
          <w:color w:val="auto"/>
          <w:sz w:val="32"/>
          <w:szCs w:val="32"/>
          <w:lang w:val="en-US" w:eastAsia="zh-CN"/>
        </w:rPr>
        <w:t>38</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350</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1.05</w:t>
      </w:r>
      <w:r>
        <w:rPr>
          <w:rFonts w:hint="eastAsia" w:ascii="仿宋_GB2312" w:eastAsia="仿宋_GB2312"/>
          <w:color w:val="auto"/>
          <w:sz w:val="32"/>
          <w:szCs w:val="32"/>
        </w:rPr>
        <w:t>万元，</w:t>
      </w:r>
      <w:r>
        <w:rPr>
          <w:rFonts w:hint="eastAsia" w:ascii="仿宋" w:hAnsi="仿宋" w:eastAsia="仿宋"/>
          <w:color w:val="auto"/>
          <w:sz w:val="32"/>
          <w:szCs w:val="32"/>
          <w:highlight w:val="none"/>
        </w:rPr>
        <w:t>具体内容包括：各类项目规划、实施情况检查、项目验收等公务接待。</w:t>
      </w:r>
      <w:bookmarkStart w:id="82" w:name="_Toc15396610"/>
      <w:bookmarkStart w:id="83" w:name="_Toc15377218"/>
    </w:p>
    <w:p>
      <w:pPr>
        <w:spacing w:line="600" w:lineRule="exact"/>
        <w:ind w:firstLine="640"/>
        <w:outlineLvl w:val="1"/>
        <w:rPr>
          <w:rStyle w:val="22"/>
          <w:rFonts w:ascii="黑体" w:hAnsi="黑体" w:eastAsia="黑体"/>
        </w:rPr>
      </w:pPr>
      <w:bookmarkStart w:id="84" w:name="_Toc13019"/>
      <w:r>
        <w:rPr>
          <w:rFonts w:hint="eastAsia" w:ascii="黑体" w:eastAsia="黑体"/>
          <w:sz w:val="32"/>
          <w:szCs w:val="32"/>
        </w:rPr>
        <w:t>八、</w:t>
      </w:r>
      <w:r>
        <w:rPr>
          <w:rStyle w:val="22"/>
          <w:rFonts w:hint="eastAsia" w:ascii="黑体" w:hAnsi="黑体" w:eastAsia="黑体"/>
          <w:b w:val="0"/>
        </w:rPr>
        <w:t>政府性基金预算支出决算情况说明</w:t>
      </w:r>
      <w:bookmarkEnd w:id="82"/>
      <w:bookmarkEnd w:id="83"/>
      <w:bookmarkEnd w:id="84"/>
    </w:p>
    <w:p>
      <w:pPr>
        <w:spacing w:line="600" w:lineRule="exact"/>
        <w:ind w:firstLine="640"/>
        <w:rPr>
          <w:rFonts w:ascii="仿宋_GB2312" w:eastAsia="仿宋_GB2312"/>
          <w:sz w:val="32"/>
          <w:szCs w:val="32"/>
        </w:rPr>
      </w:pPr>
      <w:r>
        <w:rPr>
          <w:rFonts w:hint="eastAsia" w:ascii="仿宋_GB2312" w:eastAsia="仿宋_GB2312"/>
          <w:sz w:val="32"/>
          <w:szCs w:val="32"/>
          <w:lang w:eastAsia="zh-CN"/>
        </w:rPr>
        <w:t>2022年</w:t>
      </w:r>
      <w:r>
        <w:rPr>
          <w:rFonts w:hint="eastAsia" w:ascii="仿宋_GB2312" w:eastAsia="仿宋_GB2312"/>
          <w:sz w:val="32"/>
          <w:szCs w:val="32"/>
        </w:rPr>
        <w:t>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2"/>
          <w:rFonts w:ascii="黑体" w:hAnsi="黑体" w:eastAsia="黑体"/>
          <w:b w:val="0"/>
        </w:rPr>
      </w:pPr>
      <w:bookmarkStart w:id="85" w:name="_Toc15377219"/>
      <w:bookmarkStart w:id="86" w:name="_Toc15396611"/>
      <w:bookmarkStart w:id="87" w:name="_Toc21213"/>
      <w:r>
        <w:rPr>
          <w:rStyle w:val="22"/>
          <w:rFonts w:hint="eastAsia" w:ascii="黑体" w:hAnsi="黑体" w:eastAsia="黑体"/>
          <w:b w:val="0"/>
        </w:rPr>
        <w:t>国有资本经营预算支出决算情况说明</w:t>
      </w:r>
      <w:bookmarkEnd w:id="85"/>
      <w:bookmarkEnd w:id="86"/>
      <w:bookmarkEnd w:id="87"/>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lang w:eastAsia="zh-CN"/>
        </w:rPr>
        <w:t>2022年</w:t>
      </w:r>
      <w:r>
        <w:rPr>
          <w:rFonts w:hint="eastAsia" w:ascii="仿宋_GB2312" w:eastAsia="仿宋_GB2312"/>
          <w:sz w:val="32"/>
          <w:szCs w:val="32"/>
        </w:rPr>
        <w:t>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2"/>
          <w:rFonts w:ascii="黑体" w:hAnsi="黑体" w:eastAsia="黑体"/>
          <w:b w:val="0"/>
        </w:rPr>
      </w:pPr>
      <w:bookmarkStart w:id="88" w:name="_Toc15377221"/>
      <w:bookmarkStart w:id="89" w:name="_Toc15396612"/>
      <w:bookmarkStart w:id="90" w:name="_Toc9124"/>
      <w:r>
        <w:rPr>
          <w:rStyle w:val="22"/>
          <w:rFonts w:hint="eastAsia" w:ascii="黑体" w:hAnsi="黑体" w:eastAsia="黑体"/>
          <w:b w:val="0"/>
        </w:rPr>
        <w:t>其他重要事项的情况说明</w:t>
      </w:r>
      <w:bookmarkEnd w:id="88"/>
      <w:bookmarkEnd w:id="89"/>
      <w:bookmarkEnd w:id="90"/>
    </w:p>
    <w:p>
      <w:pPr>
        <w:spacing w:line="600" w:lineRule="exact"/>
        <w:ind w:firstLine="643" w:firstLineChars="200"/>
        <w:outlineLvl w:val="2"/>
        <w:rPr>
          <w:rFonts w:ascii="仿宋" w:hAnsi="仿宋" w:eastAsia="仿宋"/>
          <w:sz w:val="32"/>
          <w:szCs w:val="32"/>
        </w:rPr>
      </w:pPr>
      <w:bookmarkStart w:id="91" w:name="_Toc15377222"/>
      <w:r>
        <w:rPr>
          <w:rFonts w:hint="eastAsia" w:ascii="仿宋" w:hAnsi="仿宋" w:eastAsia="仿宋"/>
          <w:b/>
          <w:sz w:val="32"/>
          <w:szCs w:val="32"/>
        </w:rPr>
        <w:t>（一）机关运行经费支出情况</w:t>
      </w:r>
      <w:bookmarkEnd w:id="91"/>
    </w:p>
    <w:p>
      <w:pPr>
        <w:pageBreakBefore w:val="0"/>
        <w:kinsoku/>
        <w:wordWrap/>
        <w:overflowPunct/>
        <w:bidi w:val="0"/>
        <w:spacing w:beforeAutospacing="0" w:afterAutospacing="0" w:line="576" w:lineRule="exact"/>
        <w:ind w:firstLine="640" w:firstLineChars="200"/>
        <w:rPr>
          <w:rFonts w:ascii="仿宋_GB2312" w:eastAsia="仿宋_GB2312"/>
          <w:color w:val="FF0000"/>
          <w:sz w:val="32"/>
          <w:szCs w:val="32"/>
        </w:rPr>
      </w:pPr>
      <w:r>
        <w:rPr>
          <w:rFonts w:hint="eastAsia" w:ascii="仿宋_GB2312" w:eastAsia="仿宋_GB2312"/>
          <w:color w:val="auto"/>
          <w:sz w:val="32"/>
          <w:szCs w:val="32"/>
          <w:lang w:eastAsia="zh-CN"/>
        </w:rPr>
        <w:t>2022年</w:t>
      </w:r>
      <w:r>
        <w:rPr>
          <w:rFonts w:hint="eastAsia" w:ascii="仿宋_GB2312" w:eastAsia="仿宋_GB2312"/>
          <w:color w:val="auto"/>
          <w:sz w:val="32"/>
          <w:szCs w:val="32"/>
        </w:rPr>
        <w:t>，</w:t>
      </w:r>
      <w:r>
        <w:rPr>
          <w:rFonts w:hint="eastAsia" w:ascii="仿宋_GB2312" w:eastAsia="仿宋_GB2312"/>
          <w:color w:val="auto"/>
          <w:sz w:val="32"/>
          <w:szCs w:val="32"/>
          <w:lang w:eastAsia="zh-CN"/>
        </w:rPr>
        <w:t>李家镇</w:t>
      </w:r>
      <w:r>
        <w:rPr>
          <w:rFonts w:hint="eastAsia" w:ascii="仿宋_GB2312" w:eastAsia="仿宋_GB2312"/>
          <w:color w:val="auto"/>
          <w:sz w:val="32"/>
          <w:szCs w:val="32"/>
        </w:rPr>
        <w:t>机关运行经费支出</w:t>
      </w:r>
      <w:r>
        <w:rPr>
          <w:rFonts w:hint="eastAsia" w:ascii="仿宋_GB2312" w:eastAsia="仿宋_GB2312"/>
          <w:color w:val="auto"/>
          <w:sz w:val="32"/>
          <w:szCs w:val="32"/>
          <w:lang w:val="en-US" w:eastAsia="zh-CN"/>
        </w:rPr>
        <w:t>72.36</w:t>
      </w:r>
      <w:r>
        <w:rPr>
          <w:rFonts w:hint="eastAsia" w:ascii="仿宋_GB2312" w:eastAsia="仿宋_GB2312"/>
          <w:color w:val="auto"/>
          <w:sz w:val="32"/>
          <w:szCs w:val="32"/>
        </w:rPr>
        <w:t>万元，比</w:t>
      </w:r>
      <w:r>
        <w:rPr>
          <w:rFonts w:hint="eastAsia" w:ascii="仿宋_GB2312" w:eastAsia="仿宋_GB2312"/>
          <w:color w:val="auto"/>
          <w:sz w:val="32"/>
          <w:szCs w:val="32"/>
          <w:lang w:eastAsia="zh-CN"/>
        </w:rPr>
        <w:t>2022年减少</w:t>
      </w:r>
      <w:r>
        <w:rPr>
          <w:rFonts w:hint="eastAsia" w:ascii="仿宋_GB2312" w:eastAsia="仿宋_GB2312"/>
          <w:color w:val="auto"/>
          <w:sz w:val="32"/>
          <w:szCs w:val="32"/>
          <w:lang w:val="en-US" w:eastAsia="zh-CN"/>
        </w:rPr>
        <w:t>13.9</w:t>
      </w:r>
      <w:r>
        <w:rPr>
          <w:rFonts w:hint="eastAsia" w:ascii="仿宋_GB2312" w:eastAsia="仿宋_GB2312"/>
          <w:color w:val="auto"/>
          <w:sz w:val="32"/>
          <w:szCs w:val="32"/>
        </w:rPr>
        <w:t>万元，</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16.1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000000"/>
          <w:sz w:val="32"/>
          <w:szCs w:val="32"/>
          <w:highlight w:val="none"/>
          <w:lang w:eastAsia="zh-CN"/>
        </w:rPr>
        <w:t>：严格落实政府过“紧日子”一系列措施，压缩节俭开支。</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92" w:name="_Toc15377223"/>
      <w:r>
        <w:rPr>
          <w:rFonts w:hint="eastAsia" w:ascii="仿宋" w:hAnsi="仿宋" w:eastAsia="仿宋"/>
          <w:b/>
          <w:sz w:val="32"/>
          <w:szCs w:val="32"/>
        </w:rPr>
        <w:t>（二）政府采购支出情况</w:t>
      </w:r>
      <w:bookmarkEnd w:id="92"/>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2022年</w:t>
      </w:r>
      <w:r>
        <w:rPr>
          <w:rFonts w:hint="eastAsia" w:ascii="仿宋_GB2312" w:eastAsia="仿宋_GB2312"/>
          <w:sz w:val="32"/>
          <w:szCs w:val="32"/>
        </w:rPr>
        <w:t>，</w:t>
      </w:r>
      <w:r>
        <w:rPr>
          <w:rFonts w:hint="eastAsia" w:ascii="仿宋_GB2312" w:eastAsia="仿宋_GB2312"/>
          <w:sz w:val="32"/>
          <w:szCs w:val="32"/>
          <w:lang w:eastAsia="zh-CN"/>
        </w:rPr>
        <w:t>李家镇人民</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93" w:name="_Toc15377224"/>
      <w:r>
        <w:rPr>
          <w:rFonts w:hint="eastAsia" w:ascii="仿宋" w:hAnsi="仿宋" w:eastAsia="仿宋"/>
          <w:b/>
          <w:sz w:val="32"/>
          <w:szCs w:val="32"/>
        </w:rPr>
        <w:t>（三）国有资产占有使用情况</w:t>
      </w:r>
      <w:bookmarkEnd w:id="93"/>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截至202</w:t>
      </w:r>
      <w:r>
        <w:rPr>
          <w:rFonts w:hint="eastAsia" w:ascii="仿宋_GB2312" w:eastAsia="仿宋_GB2312"/>
          <w:sz w:val="32"/>
          <w:szCs w:val="32"/>
          <w:lang w:val="en-US" w:eastAsia="zh-CN"/>
        </w:rPr>
        <w:t>2</w:t>
      </w:r>
      <w:r>
        <w:rPr>
          <w:rFonts w:hint="eastAsia" w:ascii="仿宋_GB2312" w:eastAsia="仿宋_GB2312"/>
          <w:sz w:val="32"/>
          <w:szCs w:val="32"/>
          <w:lang w:eastAsia="zh-CN"/>
        </w:rPr>
        <w:t>年12月31日，李家镇共有车辆</w:t>
      </w:r>
      <w:r>
        <w:rPr>
          <w:rFonts w:hint="eastAsia" w:ascii="仿宋_GB2312" w:eastAsia="仿宋_GB2312"/>
          <w:sz w:val="32"/>
          <w:szCs w:val="32"/>
          <w:lang w:val="en-US" w:eastAsia="zh-CN"/>
        </w:rPr>
        <w:t>0</w:t>
      </w:r>
      <w:r>
        <w:rPr>
          <w:rFonts w:hint="eastAsia" w:ascii="仿宋_GB2312" w:eastAsia="仿宋_GB2312"/>
          <w:sz w:val="32"/>
          <w:szCs w:val="32"/>
          <w:lang w:eastAsia="zh-CN"/>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lang w:eastAsia="zh-CN"/>
        </w:rPr>
        <w:t>辆、机要通信用车</w:t>
      </w:r>
      <w:r>
        <w:rPr>
          <w:rFonts w:hint="eastAsia" w:ascii="仿宋_GB2312" w:eastAsia="仿宋_GB2312"/>
          <w:sz w:val="32"/>
          <w:szCs w:val="32"/>
          <w:lang w:val="en-US" w:eastAsia="zh-CN"/>
        </w:rPr>
        <w:t>0</w:t>
      </w:r>
      <w:r>
        <w:rPr>
          <w:rFonts w:hint="eastAsia" w:ascii="仿宋_GB2312" w:eastAsia="仿宋_GB2312"/>
          <w:sz w:val="32"/>
          <w:szCs w:val="32"/>
          <w:lang w:eastAsia="zh-CN"/>
        </w:rPr>
        <w:t>辆、应急保障用车</w:t>
      </w:r>
      <w:r>
        <w:rPr>
          <w:rFonts w:hint="eastAsia" w:ascii="仿宋_GB2312" w:eastAsia="仿宋_GB2312"/>
          <w:sz w:val="32"/>
          <w:szCs w:val="32"/>
          <w:lang w:val="en-US" w:eastAsia="zh-CN"/>
        </w:rPr>
        <w:t>0</w:t>
      </w:r>
      <w:r>
        <w:rPr>
          <w:rFonts w:hint="eastAsia" w:ascii="仿宋_GB2312" w:eastAsia="仿宋_GB2312"/>
          <w:sz w:val="32"/>
          <w:szCs w:val="32"/>
          <w:lang w:eastAsia="zh-CN"/>
        </w:rPr>
        <w:t>辆、其他用车</w:t>
      </w:r>
      <w:r>
        <w:rPr>
          <w:rFonts w:hint="eastAsia" w:ascii="仿宋_GB2312" w:eastAsia="仿宋_GB2312"/>
          <w:sz w:val="32"/>
          <w:szCs w:val="32"/>
          <w:lang w:val="en-US" w:eastAsia="zh-CN"/>
        </w:rPr>
        <w:t>0</w:t>
      </w:r>
      <w:r>
        <w:rPr>
          <w:rFonts w:hint="eastAsia" w:ascii="仿宋_GB2312" w:eastAsia="仿宋_GB2312"/>
          <w:sz w:val="32"/>
          <w:szCs w:val="32"/>
          <w:lang w:eastAsia="zh-CN"/>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lang w:eastAsia="zh-CN"/>
        </w:rPr>
        <w:t>台（套），单价100万元以上专用设备</w:t>
      </w:r>
      <w:r>
        <w:rPr>
          <w:rFonts w:hint="eastAsia" w:ascii="仿宋_GB2312" w:eastAsia="仿宋_GB2312"/>
          <w:sz w:val="32"/>
          <w:szCs w:val="32"/>
          <w:lang w:val="en-US" w:eastAsia="zh-CN"/>
        </w:rPr>
        <w:t>0</w:t>
      </w:r>
      <w:r>
        <w:rPr>
          <w:rFonts w:hint="eastAsia" w:ascii="仿宋_GB2312" w:eastAsia="仿宋_GB2312"/>
          <w:sz w:val="32"/>
          <w:szCs w:val="32"/>
          <w:lang w:eastAsia="zh-CN"/>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val="en-US" w:eastAsia="zh-CN"/>
        </w:rPr>
        <w:t>农村公共服务运行维护及社区服务群众专项活动经费</w:t>
      </w:r>
      <w:r>
        <w:rPr>
          <w:rFonts w:hint="eastAsia" w:ascii="仿宋_GB2312" w:hAnsi="仿宋_GB2312" w:eastAsia="仿宋_GB2312" w:cs="仿宋_GB2312"/>
          <w:sz w:val="32"/>
          <w:szCs w:val="32"/>
        </w:rPr>
        <w:t>项目等</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个项目开展了预算事前绩效评估，对</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个项目开展了绩效自评</w:t>
      </w:r>
      <w:r>
        <w:rPr>
          <w:rFonts w:hint="eastAsia" w:ascii="仿宋_GB2312" w:hAnsi="仿宋_GB2312" w:eastAsia="仿宋_GB2312" w:cs="仿宋_GB2312"/>
          <w:sz w:val="32"/>
          <w:szCs w:val="32"/>
        </w:rPr>
        <w:t>。同时，本部门对</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部门整体开展绩效自评，《</w:t>
      </w:r>
      <w:r>
        <w:rPr>
          <w:rFonts w:hint="eastAsia" w:ascii="仿宋_GB2312" w:hAnsi="仿宋_GB2312" w:eastAsia="仿宋_GB2312" w:cs="仿宋_GB2312"/>
          <w:sz w:val="32"/>
          <w:szCs w:val="32"/>
          <w:lang w:eastAsia="zh-CN"/>
        </w:rPr>
        <w:t>2022年李家镇</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1"/>
          <w:rFonts w:ascii="黑体" w:hAnsi="黑体" w:eastAsia="黑体"/>
          <w:b w:val="0"/>
        </w:rPr>
      </w:pPr>
      <w:bookmarkStart w:id="94" w:name="_Toc15396613"/>
      <w:bookmarkStart w:id="95" w:name="_Toc15377225"/>
      <w:bookmarkStart w:id="96" w:name="_Toc2841"/>
      <w:r>
        <w:rPr>
          <w:rFonts w:hint="eastAsia" w:ascii="黑体" w:hAnsi="黑体" w:eastAsia="黑体"/>
          <w:sz w:val="44"/>
          <w:szCs w:val="44"/>
        </w:rPr>
        <w:t>名</w:t>
      </w:r>
      <w:r>
        <w:rPr>
          <w:rStyle w:val="21"/>
          <w:rFonts w:hint="eastAsia" w:ascii="黑体" w:hAnsi="黑体" w:eastAsia="黑体"/>
          <w:b w:val="0"/>
        </w:rPr>
        <w:t>词解释</w:t>
      </w:r>
      <w:bookmarkEnd w:id="94"/>
      <w:bookmarkEnd w:id="95"/>
      <w:bookmarkEnd w:id="96"/>
    </w:p>
    <w:p>
      <w:pPr>
        <w:spacing w:line="600" w:lineRule="exact"/>
        <w:jc w:val="left"/>
        <w:rPr>
          <w:rFonts w:ascii="宋体"/>
          <w:b/>
          <w:sz w:val="44"/>
          <w:szCs w:val="44"/>
        </w:rPr>
      </w:pPr>
    </w:p>
    <w:p>
      <w:pPr>
        <w:pStyle w:val="31"/>
        <w:spacing w:line="560"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1</w:t>
      </w:r>
      <w:r>
        <w:rPr>
          <w:rFonts w:hint="eastAsia" w:ascii="仿宋_GB2312" w:eastAsia="仿宋_GB2312"/>
          <w:color w:val="auto"/>
          <w:kern w:val="0"/>
          <w:sz w:val="32"/>
          <w:szCs w:val="32"/>
          <w:highlight w:val="none"/>
          <w:lang w:val="zh-CN"/>
        </w:rPr>
        <w:t>．</w:t>
      </w:r>
      <w:r>
        <w:rPr>
          <w:rFonts w:hint="eastAsia" w:ascii="仿宋_GB2312" w:eastAsia="仿宋_GB2312"/>
          <w:color w:val="auto"/>
          <w:kern w:val="0"/>
          <w:sz w:val="32"/>
          <w:szCs w:val="32"/>
          <w:highlight w:val="none"/>
        </w:rPr>
        <w:t>财政拨款收入：指单位从同级财政部门取得的财政预算资金。</w:t>
      </w:r>
    </w:p>
    <w:p>
      <w:pPr>
        <w:pStyle w:val="31"/>
        <w:spacing w:line="560"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2.其他收入：指单位取得的除上述收入以外的各项收入。主要是</w:t>
      </w:r>
      <w:r>
        <w:rPr>
          <w:rFonts w:hint="eastAsia" w:ascii="仿宋_GB2312" w:eastAsia="仿宋_GB2312"/>
          <w:color w:val="auto"/>
          <w:kern w:val="0"/>
          <w:sz w:val="32"/>
          <w:szCs w:val="32"/>
          <w:highlight w:val="none"/>
          <w:lang w:eastAsia="zh-CN"/>
        </w:rPr>
        <w:t>利息收入</w:t>
      </w:r>
      <w:r>
        <w:rPr>
          <w:rFonts w:hint="eastAsia" w:ascii="仿宋_GB2312" w:eastAsia="仿宋_GB2312"/>
          <w:color w:val="auto"/>
          <w:kern w:val="0"/>
          <w:sz w:val="32"/>
          <w:szCs w:val="32"/>
          <w:highlight w:val="none"/>
        </w:rPr>
        <w:t xml:space="preserve">。 </w:t>
      </w:r>
    </w:p>
    <w:p>
      <w:pPr>
        <w:pStyle w:val="31"/>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val="en-US" w:eastAsia="zh-CN"/>
        </w:rPr>
        <w:t>3.一般公共服务</w:t>
      </w:r>
      <w:r>
        <w:rPr>
          <w:rFonts w:hint="eastAsia" w:ascii="仿宋_GB2312" w:eastAsia="仿宋_GB2312"/>
          <w:color w:val="auto"/>
          <w:kern w:val="0"/>
          <w:sz w:val="32"/>
          <w:szCs w:val="32"/>
          <w:highlight w:val="none"/>
        </w:rPr>
        <w:t>（类）</w:t>
      </w:r>
      <w:r>
        <w:rPr>
          <w:rFonts w:hint="eastAsia" w:ascii="仿宋_GB2312" w:eastAsia="仿宋_GB2312"/>
          <w:color w:val="auto"/>
          <w:kern w:val="0"/>
          <w:sz w:val="32"/>
          <w:szCs w:val="32"/>
          <w:highlight w:val="none"/>
          <w:lang w:val="en-US" w:eastAsia="zh-CN"/>
        </w:rPr>
        <w:t>201</w:t>
      </w:r>
      <w:r>
        <w:rPr>
          <w:rFonts w:hint="eastAsia" w:ascii="仿宋_GB2312" w:eastAsia="仿宋_GB2312"/>
          <w:color w:val="auto"/>
          <w:kern w:val="0"/>
          <w:sz w:val="32"/>
          <w:szCs w:val="32"/>
          <w:highlight w:val="none"/>
        </w:rPr>
        <w:t>：</w:t>
      </w:r>
      <w:r>
        <w:rPr>
          <w:rFonts w:hint="eastAsia" w:ascii="仿宋_GB2312" w:eastAsia="仿宋_GB2312"/>
          <w:color w:val="auto"/>
          <w:kern w:val="0"/>
          <w:sz w:val="32"/>
          <w:szCs w:val="32"/>
          <w:highlight w:val="none"/>
          <w:lang w:val="en-US" w:eastAsia="zh-CN"/>
        </w:rPr>
        <w:t>反映政府提供一般公共服务的支出。其中：</w:t>
      </w:r>
      <w:r>
        <w:rPr>
          <w:rFonts w:hint="eastAsia" w:ascii="仿宋_GB2312" w:eastAsia="仿宋_GB2312"/>
          <w:color w:val="auto"/>
          <w:kern w:val="0"/>
          <w:sz w:val="32"/>
          <w:szCs w:val="32"/>
          <w:highlight w:val="none"/>
        </w:rPr>
        <w:t>人大事务（款</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行政运行（项）</w:t>
      </w:r>
      <w:r>
        <w:rPr>
          <w:rFonts w:hint="eastAsia" w:ascii="仿宋_GB2312" w:eastAsia="仿宋_GB2312"/>
          <w:color w:val="auto"/>
          <w:kern w:val="0"/>
          <w:sz w:val="32"/>
          <w:szCs w:val="32"/>
          <w:highlight w:val="none"/>
          <w:lang w:val="en-US" w:eastAsia="zh-CN"/>
        </w:rPr>
        <w:t>2010101</w:t>
      </w:r>
      <w:r>
        <w:rPr>
          <w:rFonts w:hint="eastAsia" w:ascii="仿宋_GB2312" w:eastAsia="仿宋_GB2312"/>
          <w:color w:val="auto"/>
          <w:kern w:val="0"/>
          <w:sz w:val="32"/>
          <w:szCs w:val="32"/>
          <w:highlight w:val="none"/>
        </w:rPr>
        <w:t>：指行政单位（人大）</w:t>
      </w:r>
      <w:r>
        <w:rPr>
          <w:rFonts w:hint="eastAsia" w:ascii="仿宋_GB2312" w:eastAsia="仿宋_GB2312"/>
          <w:color w:val="auto"/>
          <w:kern w:val="0"/>
          <w:sz w:val="32"/>
          <w:szCs w:val="32"/>
          <w:highlight w:val="none"/>
          <w:lang w:eastAsia="zh-CN"/>
        </w:rPr>
        <w:t>行政运行；政府办公厅及相关机构事务</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行政运行</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2010301</w:t>
      </w:r>
      <w:r>
        <w:rPr>
          <w:rFonts w:hint="eastAsia" w:ascii="仿宋_GB2312" w:eastAsia="仿宋_GB2312"/>
          <w:color w:val="auto"/>
          <w:kern w:val="0"/>
          <w:sz w:val="32"/>
          <w:szCs w:val="32"/>
          <w:highlight w:val="none"/>
        </w:rPr>
        <w:t>：指行政单位（政府）</w:t>
      </w:r>
      <w:r>
        <w:rPr>
          <w:rFonts w:hint="eastAsia" w:ascii="仿宋_GB2312" w:eastAsia="仿宋_GB2312"/>
          <w:color w:val="auto"/>
          <w:kern w:val="0"/>
          <w:sz w:val="32"/>
          <w:szCs w:val="32"/>
          <w:highlight w:val="none"/>
          <w:lang w:eastAsia="zh-CN"/>
        </w:rPr>
        <w:t>行政运行；政府办公厅及相关机构事务</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val="en-US" w:eastAsia="zh-CN"/>
        </w:rPr>
        <w:t>一般行政管理事务（项）2010302：</w:t>
      </w:r>
      <w:r>
        <w:rPr>
          <w:rFonts w:hint="eastAsia" w:ascii="仿宋_GB2312" w:eastAsia="仿宋_GB2312"/>
          <w:color w:val="auto"/>
          <w:kern w:val="0"/>
          <w:sz w:val="32"/>
          <w:szCs w:val="32"/>
          <w:highlight w:val="none"/>
        </w:rPr>
        <w:t>指行政单位（政府）</w:t>
      </w:r>
      <w:r>
        <w:rPr>
          <w:rFonts w:hint="eastAsia" w:ascii="仿宋_GB2312" w:eastAsia="仿宋_GB2312"/>
          <w:color w:val="auto"/>
          <w:kern w:val="0"/>
          <w:sz w:val="32"/>
          <w:szCs w:val="32"/>
          <w:highlight w:val="none"/>
          <w:lang w:eastAsia="zh-CN"/>
        </w:rPr>
        <w:t>一般行政管理事务；政府办公厅及相关机构事务</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val="en-US" w:eastAsia="zh-CN"/>
        </w:rPr>
        <w:t>财政事务（项）2010650：</w:t>
      </w:r>
      <w:r>
        <w:rPr>
          <w:rFonts w:hint="eastAsia" w:ascii="仿宋_GB2312" w:eastAsia="仿宋_GB2312"/>
          <w:color w:val="auto"/>
          <w:kern w:val="0"/>
          <w:sz w:val="32"/>
          <w:szCs w:val="32"/>
          <w:highlight w:val="none"/>
        </w:rPr>
        <w:t>指</w:t>
      </w:r>
      <w:r>
        <w:rPr>
          <w:rFonts w:hint="eastAsia" w:ascii="仿宋_GB2312" w:eastAsia="仿宋_GB2312"/>
          <w:color w:val="auto"/>
          <w:kern w:val="0"/>
          <w:sz w:val="32"/>
          <w:szCs w:val="32"/>
          <w:highlight w:val="none"/>
          <w:lang w:eastAsia="zh-CN"/>
        </w:rPr>
        <w:t>行政</w:t>
      </w:r>
      <w:r>
        <w:rPr>
          <w:rFonts w:hint="eastAsia" w:ascii="仿宋_GB2312" w:eastAsia="仿宋_GB2312"/>
          <w:color w:val="auto"/>
          <w:kern w:val="0"/>
          <w:sz w:val="32"/>
          <w:szCs w:val="32"/>
          <w:highlight w:val="none"/>
        </w:rPr>
        <w:t>单位（政府）</w:t>
      </w:r>
      <w:r>
        <w:rPr>
          <w:rFonts w:hint="eastAsia" w:ascii="仿宋_GB2312" w:eastAsia="仿宋_GB2312"/>
          <w:color w:val="auto"/>
          <w:kern w:val="0"/>
          <w:sz w:val="32"/>
          <w:szCs w:val="32"/>
          <w:highlight w:val="none"/>
          <w:lang w:eastAsia="zh-CN"/>
        </w:rPr>
        <w:t>财政事业运行；</w:t>
      </w:r>
      <w:r>
        <w:rPr>
          <w:rFonts w:hint="eastAsia" w:ascii="仿宋_GB2312" w:eastAsia="仿宋_GB2312"/>
          <w:color w:val="auto"/>
          <w:kern w:val="0"/>
          <w:sz w:val="32"/>
          <w:szCs w:val="32"/>
          <w:highlight w:val="none"/>
          <w:lang w:val="en-US" w:eastAsia="zh-CN"/>
        </w:rPr>
        <w:t>党委办公厅及相关机构事务（款）行政运行（项）2013101</w:t>
      </w:r>
      <w:r>
        <w:rPr>
          <w:rFonts w:hint="eastAsia" w:ascii="仿宋_GB2312" w:eastAsia="仿宋_GB2312"/>
          <w:color w:val="auto"/>
          <w:kern w:val="0"/>
          <w:sz w:val="32"/>
          <w:szCs w:val="32"/>
          <w:highlight w:val="none"/>
        </w:rPr>
        <w:t>：指行政单位（党委）</w:t>
      </w:r>
      <w:r>
        <w:rPr>
          <w:rFonts w:hint="eastAsia" w:ascii="仿宋_GB2312" w:eastAsia="仿宋_GB2312"/>
          <w:color w:val="auto"/>
          <w:kern w:val="0"/>
          <w:sz w:val="32"/>
          <w:szCs w:val="32"/>
          <w:highlight w:val="none"/>
          <w:lang w:eastAsia="zh-CN"/>
        </w:rPr>
        <w:t>行政运行</w:t>
      </w:r>
      <w:r>
        <w:rPr>
          <w:rFonts w:hint="eastAsia" w:ascii="仿宋_GB2312" w:eastAsia="仿宋_GB2312"/>
          <w:color w:val="auto"/>
          <w:kern w:val="0"/>
          <w:sz w:val="32"/>
          <w:szCs w:val="32"/>
          <w:highlight w:val="none"/>
        </w:rPr>
        <w:t>支出</w:t>
      </w:r>
      <w:r>
        <w:rPr>
          <w:rFonts w:hint="eastAsia" w:ascii="仿宋_GB2312" w:eastAsia="仿宋_GB2312"/>
          <w:color w:val="auto"/>
          <w:kern w:val="0"/>
          <w:sz w:val="32"/>
          <w:szCs w:val="32"/>
          <w:highlight w:val="none"/>
          <w:lang w:eastAsia="zh-CN"/>
        </w:rPr>
        <w:t>。</w:t>
      </w:r>
    </w:p>
    <w:p>
      <w:pPr>
        <w:pStyle w:val="31"/>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val="en-US" w:eastAsia="zh-CN"/>
        </w:rPr>
        <w:t>4.</w:t>
      </w:r>
      <w:r>
        <w:rPr>
          <w:rFonts w:hint="eastAsia" w:ascii="仿宋_GB2312" w:eastAsia="仿宋_GB2312"/>
          <w:color w:val="auto"/>
          <w:kern w:val="0"/>
          <w:sz w:val="32"/>
          <w:szCs w:val="32"/>
          <w:highlight w:val="none"/>
        </w:rPr>
        <w:t>社会保障和就业（类）</w:t>
      </w:r>
      <w:r>
        <w:rPr>
          <w:rFonts w:hint="eastAsia" w:ascii="仿宋_GB2312" w:eastAsia="仿宋_GB2312"/>
          <w:color w:val="auto"/>
          <w:kern w:val="0"/>
          <w:sz w:val="32"/>
          <w:szCs w:val="32"/>
          <w:highlight w:val="none"/>
          <w:lang w:val="en-US" w:eastAsia="zh-CN"/>
        </w:rPr>
        <w:t>208：反映</w:t>
      </w:r>
      <w:r>
        <w:rPr>
          <w:rFonts w:hint="eastAsia" w:ascii="仿宋_GB2312" w:eastAsia="仿宋_GB2312"/>
          <w:color w:val="auto"/>
          <w:kern w:val="0"/>
          <w:sz w:val="32"/>
          <w:szCs w:val="32"/>
          <w:highlight w:val="none"/>
          <w:lang w:eastAsia="zh-CN"/>
        </w:rPr>
        <w:t>人力资源和社会保障管理事务的支出。其中：人力资源和社会保障事务</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事业运行</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2080150：指用于事业运行支出；</w:t>
      </w:r>
      <w:r>
        <w:rPr>
          <w:rFonts w:hint="eastAsia" w:ascii="仿宋_GB2312" w:eastAsia="仿宋_GB2312"/>
          <w:color w:val="auto"/>
          <w:kern w:val="0"/>
          <w:sz w:val="32"/>
          <w:szCs w:val="32"/>
          <w:highlight w:val="none"/>
          <w:lang w:eastAsia="zh-CN"/>
        </w:rPr>
        <w:t>机关事业单位养老支出</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机关事业单位基本养老保险缴费支出</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2080505</w:t>
      </w:r>
      <w:r>
        <w:rPr>
          <w:rFonts w:hint="eastAsia" w:ascii="仿宋_GB2312" w:eastAsia="仿宋_GB2312"/>
          <w:color w:val="auto"/>
          <w:kern w:val="0"/>
          <w:sz w:val="32"/>
          <w:szCs w:val="32"/>
          <w:highlight w:val="none"/>
        </w:rPr>
        <w:t>: 指机关事业单位基本养老保险缴费支出</w:t>
      </w:r>
      <w:r>
        <w:rPr>
          <w:rFonts w:hint="eastAsia" w:ascii="仿宋_GB2312" w:eastAsia="仿宋_GB2312"/>
          <w:color w:val="auto"/>
          <w:kern w:val="0"/>
          <w:sz w:val="32"/>
          <w:szCs w:val="32"/>
          <w:highlight w:val="none"/>
          <w:lang w:eastAsia="zh-CN"/>
        </w:rPr>
        <w:t>；机关事业单位养老支出</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机关事业单位基本养老保险缴费支出</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2080506</w:t>
      </w:r>
      <w:r>
        <w:rPr>
          <w:rFonts w:hint="eastAsia" w:ascii="仿宋_GB2312" w:eastAsia="仿宋_GB2312"/>
          <w:color w:val="auto"/>
          <w:kern w:val="0"/>
          <w:sz w:val="32"/>
          <w:szCs w:val="32"/>
          <w:highlight w:val="none"/>
        </w:rPr>
        <w:t>: 指机关事业单位</w:t>
      </w:r>
      <w:r>
        <w:rPr>
          <w:rFonts w:hint="eastAsia" w:ascii="仿宋_GB2312" w:eastAsia="仿宋_GB2312"/>
          <w:color w:val="auto"/>
          <w:kern w:val="0"/>
          <w:sz w:val="32"/>
          <w:szCs w:val="32"/>
          <w:highlight w:val="none"/>
          <w:lang w:eastAsia="zh-CN"/>
        </w:rPr>
        <w:t>职业年金</w:t>
      </w:r>
      <w:r>
        <w:rPr>
          <w:rFonts w:hint="eastAsia" w:ascii="仿宋_GB2312" w:eastAsia="仿宋_GB2312"/>
          <w:color w:val="auto"/>
          <w:kern w:val="0"/>
          <w:sz w:val="32"/>
          <w:szCs w:val="32"/>
          <w:highlight w:val="none"/>
        </w:rPr>
        <w:t>缴费支出</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lang w:val="en-US" w:eastAsia="zh-CN"/>
        </w:rPr>
        <w:t>其他社会保障和就业支出（款）其他社会保障和就业支出（项）2089999</w:t>
      </w:r>
      <w:r>
        <w:rPr>
          <w:rFonts w:hint="eastAsia" w:ascii="仿宋_GB2312" w:eastAsia="仿宋_GB2312"/>
          <w:color w:val="auto"/>
          <w:kern w:val="0"/>
          <w:sz w:val="32"/>
          <w:szCs w:val="32"/>
          <w:highlight w:val="none"/>
        </w:rPr>
        <w:t>: 指机关事业单位失业保险</w:t>
      </w:r>
      <w:r>
        <w:rPr>
          <w:rFonts w:hint="eastAsia" w:ascii="仿宋_GB2312" w:eastAsia="仿宋_GB2312"/>
          <w:color w:val="auto"/>
          <w:kern w:val="0"/>
          <w:sz w:val="32"/>
          <w:szCs w:val="32"/>
          <w:highlight w:val="none"/>
          <w:lang w:eastAsia="zh-CN"/>
        </w:rPr>
        <w:t>、工伤</w:t>
      </w:r>
      <w:r>
        <w:rPr>
          <w:rFonts w:hint="eastAsia" w:ascii="仿宋_GB2312" w:eastAsia="仿宋_GB2312"/>
          <w:color w:val="auto"/>
          <w:kern w:val="0"/>
          <w:sz w:val="32"/>
          <w:szCs w:val="32"/>
          <w:highlight w:val="none"/>
        </w:rPr>
        <w:t>保险</w:t>
      </w:r>
      <w:r>
        <w:rPr>
          <w:rFonts w:hint="eastAsia" w:ascii="仿宋_GB2312" w:eastAsia="仿宋_GB2312"/>
          <w:color w:val="auto"/>
          <w:kern w:val="0"/>
          <w:sz w:val="32"/>
          <w:szCs w:val="32"/>
          <w:highlight w:val="none"/>
          <w:lang w:eastAsia="zh-CN"/>
        </w:rPr>
        <w:t>等</w:t>
      </w:r>
      <w:r>
        <w:rPr>
          <w:rFonts w:hint="eastAsia" w:ascii="仿宋_GB2312" w:eastAsia="仿宋_GB2312"/>
          <w:color w:val="auto"/>
          <w:kern w:val="0"/>
          <w:sz w:val="32"/>
          <w:szCs w:val="32"/>
          <w:highlight w:val="none"/>
        </w:rPr>
        <w:t>缴费支出</w:t>
      </w:r>
      <w:r>
        <w:rPr>
          <w:rFonts w:hint="eastAsia" w:ascii="仿宋_GB2312" w:eastAsia="仿宋_GB2312"/>
          <w:color w:val="auto"/>
          <w:kern w:val="0"/>
          <w:sz w:val="32"/>
          <w:szCs w:val="32"/>
          <w:highlight w:val="none"/>
          <w:lang w:eastAsia="zh-CN"/>
        </w:rPr>
        <w:t>。</w:t>
      </w:r>
    </w:p>
    <w:p>
      <w:pPr>
        <w:pStyle w:val="31"/>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val="en-US" w:eastAsia="zh-CN"/>
        </w:rPr>
        <w:t>5.</w:t>
      </w:r>
      <w:r>
        <w:rPr>
          <w:rFonts w:hint="eastAsia" w:ascii="仿宋_GB2312" w:eastAsia="仿宋_GB2312"/>
          <w:color w:val="auto"/>
          <w:kern w:val="0"/>
          <w:sz w:val="32"/>
          <w:szCs w:val="32"/>
          <w:highlight w:val="none"/>
        </w:rPr>
        <w:t>卫生健康（类）</w:t>
      </w:r>
      <w:r>
        <w:rPr>
          <w:rFonts w:hint="eastAsia" w:ascii="仿宋_GB2312" w:eastAsia="仿宋_GB2312"/>
          <w:color w:val="auto"/>
          <w:kern w:val="0"/>
          <w:sz w:val="32"/>
          <w:szCs w:val="32"/>
          <w:highlight w:val="none"/>
          <w:lang w:val="en-US" w:eastAsia="zh-CN"/>
        </w:rPr>
        <w:t>210：反映政府卫生健康方面的支出。其中：</w:t>
      </w:r>
      <w:r>
        <w:rPr>
          <w:rFonts w:hint="eastAsia" w:ascii="仿宋_GB2312" w:eastAsia="仿宋_GB2312"/>
          <w:color w:val="auto"/>
          <w:kern w:val="0"/>
          <w:sz w:val="32"/>
          <w:szCs w:val="32"/>
          <w:highlight w:val="none"/>
          <w:lang w:eastAsia="zh-CN"/>
        </w:rPr>
        <w:t>卫生健康管理</w:t>
      </w:r>
      <w:r>
        <w:rPr>
          <w:rFonts w:hint="eastAsia" w:ascii="仿宋_GB2312" w:eastAsia="仿宋_GB2312"/>
          <w:color w:val="auto"/>
          <w:kern w:val="0"/>
          <w:sz w:val="32"/>
          <w:szCs w:val="32"/>
          <w:highlight w:val="none"/>
          <w:lang w:val="en-US" w:eastAsia="zh-CN"/>
        </w:rPr>
        <w:t>事务（款）机关服务（项）2100103</w:t>
      </w:r>
      <w:r>
        <w:rPr>
          <w:rFonts w:hint="eastAsia" w:ascii="仿宋_GB2312" w:eastAsia="仿宋_GB2312"/>
          <w:color w:val="auto"/>
          <w:kern w:val="0"/>
          <w:sz w:val="32"/>
          <w:szCs w:val="32"/>
          <w:highlight w:val="none"/>
        </w:rPr>
        <w:t>：指行政单位（计生）基本支出</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lang w:val="en-US" w:eastAsia="zh-CN"/>
        </w:rPr>
        <w:t>行政事业单位医疗（款）行政单位医疗（项）2101101</w:t>
      </w:r>
      <w:r>
        <w:rPr>
          <w:rFonts w:hint="eastAsia" w:ascii="仿宋_GB2312" w:eastAsia="仿宋_GB2312"/>
          <w:color w:val="auto"/>
          <w:kern w:val="0"/>
          <w:sz w:val="32"/>
          <w:szCs w:val="32"/>
          <w:highlight w:val="none"/>
        </w:rPr>
        <w:t>：指部门集中安排的行政单位基本医疗保险缴费</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lang w:val="en-US" w:eastAsia="zh-CN"/>
        </w:rPr>
        <w:t>行政事业单位医疗（款）行政单位医疗（项）2101102</w:t>
      </w:r>
      <w:r>
        <w:rPr>
          <w:rFonts w:hint="eastAsia" w:ascii="仿宋_GB2312" w:eastAsia="仿宋_GB2312"/>
          <w:color w:val="auto"/>
          <w:kern w:val="0"/>
          <w:sz w:val="32"/>
          <w:szCs w:val="32"/>
          <w:highlight w:val="none"/>
        </w:rPr>
        <w:t>：</w:t>
      </w:r>
      <w:r>
        <w:rPr>
          <w:rFonts w:hint="eastAsia" w:ascii="仿宋_GB2312" w:eastAsia="仿宋_GB2312"/>
          <w:color w:val="auto"/>
          <w:kern w:val="0"/>
          <w:sz w:val="32"/>
          <w:szCs w:val="32"/>
          <w:highlight w:val="none"/>
          <w:lang w:eastAsia="zh-CN"/>
        </w:rPr>
        <w:t>指</w:t>
      </w:r>
      <w:r>
        <w:rPr>
          <w:rFonts w:hint="eastAsia" w:ascii="仿宋_GB2312" w:eastAsia="仿宋_GB2312"/>
          <w:color w:val="auto"/>
          <w:kern w:val="0"/>
          <w:sz w:val="32"/>
          <w:szCs w:val="32"/>
          <w:highlight w:val="none"/>
        </w:rPr>
        <w:t>部门集中安排的</w:t>
      </w:r>
      <w:r>
        <w:rPr>
          <w:rFonts w:hint="eastAsia" w:ascii="仿宋_GB2312" w:eastAsia="仿宋_GB2312"/>
          <w:color w:val="auto"/>
          <w:kern w:val="0"/>
          <w:sz w:val="32"/>
          <w:szCs w:val="32"/>
          <w:highlight w:val="none"/>
          <w:lang w:eastAsia="zh-CN"/>
        </w:rPr>
        <w:t>事业</w:t>
      </w:r>
      <w:r>
        <w:rPr>
          <w:rFonts w:hint="eastAsia" w:ascii="仿宋_GB2312" w:eastAsia="仿宋_GB2312"/>
          <w:color w:val="auto"/>
          <w:kern w:val="0"/>
          <w:sz w:val="32"/>
          <w:szCs w:val="32"/>
          <w:highlight w:val="none"/>
        </w:rPr>
        <w:t>单位基本医疗保险缴费</w:t>
      </w:r>
      <w:r>
        <w:rPr>
          <w:rFonts w:hint="eastAsia" w:ascii="仿宋_GB2312" w:eastAsia="仿宋_GB2312"/>
          <w:color w:val="auto"/>
          <w:kern w:val="0"/>
          <w:sz w:val="32"/>
          <w:szCs w:val="32"/>
          <w:highlight w:val="none"/>
          <w:lang w:eastAsia="zh-CN"/>
        </w:rPr>
        <w:t>。</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6.城乡社区支出（类）212：反映政府城乡社区事务支出。其中：其他城乡社区支出（款）其他城乡社会支出（项）2129999：指城乡社区道路清扫、垃圾清运与处理等的支出。</w:t>
      </w:r>
    </w:p>
    <w:p>
      <w:pPr>
        <w:pStyle w:val="31"/>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val="en-US" w:eastAsia="zh-CN"/>
        </w:rPr>
        <w:t>7.农林水（类）213：反映政府农林水事务支出。其中：</w:t>
      </w:r>
      <w:r>
        <w:rPr>
          <w:rFonts w:hint="eastAsia" w:ascii="仿宋_GB2312" w:eastAsia="仿宋_GB2312"/>
          <w:color w:val="auto"/>
          <w:kern w:val="0"/>
          <w:sz w:val="32"/>
          <w:szCs w:val="32"/>
          <w:highlight w:val="none"/>
          <w:lang w:eastAsia="zh-CN"/>
        </w:rPr>
        <w:t>农业农村</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事业运行</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2130104</w:t>
      </w:r>
      <w:r>
        <w:rPr>
          <w:rFonts w:hint="eastAsia" w:ascii="仿宋_GB2312" w:eastAsia="仿宋_GB2312"/>
          <w:color w:val="auto"/>
          <w:kern w:val="0"/>
          <w:sz w:val="32"/>
          <w:szCs w:val="32"/>
          <w:highlight w:val="none"/>
        </w:rPr>
        <w:t>：指行政单位（农业）基本支出</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林业和草原（款）</w:t>
      </w:r>
      <w:r>
        <w:rPr>
          <w:rFonts w:hint="eastAsia" w:ascii="仿宋_GB2312" w:eastAsia="仿宋_GB2312"/>
          <w:color w:val="auto"/>
          <w:kern w:val="0"/>
          <w:sz w:val="32"/>
          <w:szCs w:val="32"/>
          <w:highlight w:val="none"/>
          <w:lang w:eastAsia="zh-CN"/>
        </w:rPr>
        <w:t>机关服务</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2130203</w:t>
      </w:r>
      <w:r>
        <w:rPr>
          <w:rFonts w:hint="eastAsia" w:ascii="仿宋_GB2312" w:eastAsia="仿宋_GB2312"/>
          <w:color w:val="auto"/>
          <w:kern w:val="0"/>
          <w:sz w:val="32"/>
          <w:szCs w:val="32"/>
          <w:highlight w:val="none"/>
        </w:rPr>
        <w:t>: 指行政单位</w:t>
      </w:r>
      <w:r>
        <w:rPr>
          <w:rFonts w:hint="eastAsia" w:ascii="仿宋_GB2312" w:eastAsia="仿宋_GB2312"/>
          <w:color w:val="auto"/>
          <w:kern w:val="0"/>
          <w:sz w:val="32"/>
          <w:szCs w:val="32"/>
          <w:highlight w:val="none"/>
          <w:lang w:eastAsia="zh-CN"/>
        </w:rPr>
        <w:t>用于林业和草原的支出；水利</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机关服务</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2130303</w:t>
      </w:r>
      <w:r>
        <w:rPr>
          <w:rFonts w:hint="eastAsia" w:ascii="仿宋_GB2312" w:eastAsia="仿宋_GB2312"/>
          <w:color w:val="auto"/>
          <w:kern w:val="0"/>
          <w:sz w:val="32"/>
          <w:szCs w:val="32"/>
          <w:highlight w:val="none"/>
        </w:rPr>
        <w:t>: 指行政单位（水利）基本支出</w:t>
      </w:r>
      <w:r>
        <w:rPr>
          <w:rFonts w:hint="eastAsia" w:ascii="仿宋_GB2312" w:eastAsia="仿宋_GB2312"/>
          <w:color w:val="auto"/>
          <w:kern w:val="0"/>
          <w:sz w:val="32"/>
          <w:szCs w:val="32"/>
          <w:highlight w:val="none"/>
          <w:lang w:eastAsia="zh-CN"/>
        </w:rPr>
        <w:t>；农村综合改革</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对村民委员会和村党支部的补助</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2130705</w:t>
      </w:r>
      <w:r>
        <w:rPr>
          <w:rFonts w:hint="eastAsia" w:ascii="仿宋_GB2312" w:eastAsia="仿宋_GB2312"/>
          <w:color w:val="auto"/>
          <w:kern w:val="0"/>
          <w:sz w:val="32"/>
          <w:szCs w:val="32"/>
          <w:highlight w:val="none"/>
        </w:rPr>
        <w:t>: 指</w:t>
      </w:r>
      <w:r>
        <w:rPr>
          <w:rFonts w:hint="eastAsia" w:ascii="仿宋_GB2312" w:eastAsia="仿宋_GB2312"/>
          <w:color w:val="auto"/>
          <w:kern w:val="0"/>
          <w:sz w:val="32"/>
          <w:szCs w:val="32"/>
          <w:highlight w:val="none"/>
          <w:lang w:eastAsia="zh-CN"/>
        </w:rPr>
        <w:t>各级财政对村民委员会和村党支部的补助，</w:t>
      </w:r>
      <w:r>
        <w:rPr>
          <w:rFonts w:hint="eastAsia" w:ascii="仿宋_GB2312" w:eastAsia="仿宋_GB2312"/>
          <w:color w:val="auto"/>
          <w:kern w:val="0"/>
          <w:sz w:val="32"/>
          <w:szCs w:val="32"/>
          <w:highlight w:val="none"/>
        </w:rPr>
        <w:t>以及支持建立县级基本财力保障机制安排的村级组织运转奖补资金</w:t>
      </w:r>
      <w:r>
        <w:rPr>
          <w:rFonts w:hint="eastAsia" w:ascii="仿宋_GB2312" w:eastAsia="仿宋_GB2312"/>
          <w:color w:val="auto"/>
          <w:kern w:val="0"/>
          <w:sz w:val="32"/>
          <w:szCs w:val="32"/>
          <w:highlight w:val="none"/>
          <w:lang w:eastAsia="zh-CN"/>
        </w:rPr>
        <w:t>；农村综合改革</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农村综合改革示范试点补助</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2130707</w:t>
      </w:r>
      <w:r>
        <w:rPr>
          <w:rFonts w:hint="eastAsia" w:ascii="仿宋_GB2312" w:eastAsia="仿宋_GB2312"/>
          <w:color w:val="auto"/>
          <w:kern w:val="0"/>
          <w:sz w:val="32"/>
          <w:szCs w:val="32"/>
          <w:highlight w:val="none"/>
        </w:rPr>
        <w:t>：指各级财政对</w:t>
      </w:r>
      <w:r>
        <w:rPr>
          <w:rFonts w:hint="eastAsia" w:ascii="仿宋_GB2312" w:eastAsia="仿宋_GB2312"/>
          <w:color w:val="auto"/>
          <w:kern w:val="0"/>
          <w:sz w:val="32"/>
          <w:szCs w:val="32"/>
          <w:highlight w:val="none"/>
          <w:lang w:eastAsia="zh-CN"/>
        </w:rPr>
        <w:t>农村综合改革示范试点</w:t>
      </w:r>
      <w:r>
        <w:rPr>
          <w:rFonts w:hint="eastAsia" w:ascii="仿宋_GB2312" w:eastAsia="仿宋_GB2312"/>
          <w:color w:val="auto"/>
          <w:kern w:val="0"/>
          <w:sz w:val="32"/>
          <w:szCs w:val="32"/>
          <w:highlight w:val="none"/>
        </w:rPr>
        <w:t>、</w:t>
      </w:r>
      <w:r>
        <w:rPr>
          <w:rFonts w:hint="eastAsia" w:ascii="仿宋_GB2312" w:eastAsia="仿宋_GB2312"/>
          <w:color w:val="auto"/>
          <w:kern w:val="0"/>
          <w:sz w:val="32"/>
          <w:szCs w:val="32"/>
          <w:highlight w:val="none"/>
          <w:lang w:eastAsia="zh-CN"/>
        </w:rPr>
        <w:t>新型农业社会化服务体系建设等补助支出</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8.住房保障（类）221：反映政府用于住房方面的支出。其中：</w:t>
      </w:r>
      <w:r>
        <w:rPr>
          <w:rFonts w:hint="eastAsia" w:ascii="仿宋_GB2312" w:eastAsia="仿宋_GB2312"/>
          <w:color w:val="auto"/>
          <w:kern w:val="0"/>
          <w:sz w:val="32"/>
          <w:szCs w:val="32"/>
          <w:highlight w:val="none"/>
          <w:lang w:eastAsia="zh-CN"/>
        </w:rPr>
        <w:t>住房改革支出</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住房公积金</w:t>
      </w:r>
      <w:r>
        <w:rPr>
          <w:rFonts w:hint="eastAsia" w:ascii="仿宋_GB2312" w:eastAsia="仿宋_GB2312"/>
          <w:color w:val="auto"/>
          <w:kern w:val="0"/>
          <w:sz w:val="32"/>
          <w:szCs w:val="32"/>
          <w:highlight w:val="none"/>
        </w:rPr>
        <w:t>（项）2210201：</w:t>
      </w:r>
      <w:r>
        <w:rPr>
          <w:rFonts w:hint="eastAsia" w:ascii="仿宋_GB2312" w:eastAsia="仿宋_GB2312"/>
          <w:color w:val="auto"/>
          <w:kern w:val="0"/>
          <w:sz w:val="32"/>
          <w:szCs w:val="32"/>
          <w:highlight w:val="none"/>
          <w:lang w:val="en-US" w:eastAsia="zh-CN"/>
        </w:rPr>
        <w:t>指反映行政事业单位按人力资源和社会保障部、财政部规定的基本工资和津贴补贴以及规定比例为职工缴纳的住房公积金。</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9</w:t>
      </w:r>
      <w:r>
        <w:rPr>
          <w:rFonts w:hint="eastAsia" w:ascii="仿宋_GB2312" w:eastAsia="仿宋_GB2312"/>
          <w:color w:val="auto"/>
          <w:kern w:val="0"/>
          <w:sz w:val="32"/>
          <w:szCs w:val="32"/>
          <w:highlight w:val="none"/>
        </w:rPr>
        <w:t>.基本支出：</w:t>
      </w:r>
      <w:r>
        <w:rPr>
          <w:rFonts w:hint="eastAsia" w:ascii="仿宋_GB2312" w:eastAsia="仿宋_GB2312"/>
          <w:color w:val="auto"/>
          <w:kern w:val="0"/>
          <w:sz w:val="32"/>
          <w:szCs w:val="32"/>
          <w:highlight w:val="none"/>
          <w:lang w:val="en-US" w:eastAsia="zh-CN"/>
        </w:rPr>
        <w:t>指为保障机构正常运转、完成日常工作任务而发生的人员支出和公用支出。</w:t>
      </w:r>
    </w:p>
    <w:p>
      <w:pPr>
        <w:pStyle w:val="31"/>
        <w:spacing w:line="560"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lang w:val="en-US" w:eastAsia="zh-CN"/>
        </w:rPr>
        <w:t>10</w:t>
      </w:r>
      <w:r>
        <w:rPr>
          <w:rFonts w:hint="eastAsia" w:ascii="仿宋_GB2312" w:eastAsia="仿宋_GB2312"/>
          <w:color w:val="auto"/>
          <w:kern w:val="0"/>
          <w:sz w:val="32"/>
          <w:szCs w:val="32"/>
          <w:highlight w:val="none"/>
        </w:rPr>
        <w:t>.项目支出：</w:t>
      </w:r>
      <w:r>
        <w:rPr>
          <w:rFonts w:hint="eastAsia" w:ascii="仿宋_GB2312" w:eastAsia="仿宋_GB2312"/>
          <w:color w:val="auto"/>
          <w:kern w:val="0"/>
          <w:sz w:val="32"/>
          <w:szCs w:val="32"/>
          <w:highlight w:val="none"/>
          <w:lang w:val="en-US" w:eastAsia="zh-CN"/>
        </w:rPr>
        <w:t>指在基本支出之外为完成特定行政任务和事业发展目标所发生的支出。</w:t>
      </w:r>
      <w:r>
        <w:rPr>
          <w:rFonts w:hint="eastAsia" w:ascii="仿宋_GB2312" w:eastAsia="仿宋_GB2312"/>
          <w:color w:val="auto"/>
          <w:kern w:val="0"/>
          <w:sz w:val="32"/>
          <w:szCs w:val="32"/>
          <w:highlight w:val="none"/>
        </w:rPr>
        <w:t xml:space="preserve"> </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11</w:t>
      </w:r>
      <w:r>
        <w:rPr>
          <w:rFonts w:hint="eastAsia" w:ascii="仿宋_GB2312" w:eastAsia="仿宋_GB2312"/>
          <w:color w:val="auto"/>
          <w:kern w:val="0"/>
          <w:sz w:val="32"/>
          <w:szCs w:val="32"/>
          <w:highlight w:val="none"/>
        </w:rPr>
        <w:t>.“三公”经费：</w:t>
      </w:r>
      <w:r>
        <w:rPr>
          <w:rFonts w:hint="eastAsia" w:ascii="仿宋_GB2312" w:eastAsia="仿宋_GB2312"/>
          <w:color w:val="auto"/>
          <w:kern w:val="0"/>
          <w:sz w:val="32"/>
          <w:szCs w:val="32"/>
          <w:highlight w:val="none"/>
          <w:lang w:val="en-US" w:eastAsia="zh-CN"/>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rPr>
        <w:t>1</w:t>
      </w:r>
      <w:r>
        <w:rPr>
          <w:rFonts w:hint="eastAsia" w:ascii="仿宋_GB2312" w:eastAsia="仿宋_GB2312"/>
          <w:color w:val="auto"/>
          <w:kern w:val="0"/>
          <w:sz w:val="32"/>
          <w:szCs w:val="32"/>
          <w:highlight w:val="none"/>
          <w:lang w:val="en-US" w:eastAsia="zh-CN"/>
        </w:rPr>
        <w:t>2</w:t>
      </w:r>
      <w:r>
        <w:rPr>
          <w:rFonts w:hint="eastAsia" w:ascii="仿宋_GB2312" w:eastAsia="仿宋_GB2312"/>
          <w:color w:val="auto"/>
          <w:kern w:val="0"/>
          <w:sz w:val="32"/>
          <w:szCs w:val="32"/>
          <w:highlight w:val="none"/>
        </w:rPr>
        <w:t>.机关运行经费：</w:t>
      </w:r>
      <w:r>
        <w:rPr>
          <w:rFonts w:hint="eastAsia" w:ascii="仿宋_GB2312" w:eastAsia="仿宋_GB2312"/>
          <w:color w:val="auto"/>
          <w:kern w:val="0"/>
          <w:sz w:val="32"/>
          <w:szCs w:val="32"/>
          <w:highlight w:val="none"/>
          <w:lang w:val="en-US"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1"/>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1"/>
          <w:rFonts w:ascii="黑体" w:hAnsi="黑体" w:eastAsia="黑体"/>
          <w:b w:val="0"/>
        </w:rPr>
      </w:pPr>
      <w:bookmarkStart w:id="97" w:name="_Toc15377226"/>
      <w:r>
        <w:rPr>
          <w:rFonts w:ascii="宋体"/>
          <w:b/>
          <w:sz w:val="44"/>
          <w:szCs w:val="44"/>
        </w:rPr>
        <w:br w:type="page"/>
      </w:r>
      <w:bookmarkStart w:id="98" w:name="_Toc15396614"/>
      <w:bookmarkStart w:id="99" w:name="_Toc17104"/>
      <w:r>
        <w:rPr>
          <w:rFonts w:hint="eastAsia" w:ascii="黑体" w:hAnsi="黑体" w:eastAsia="黑体"/>
          <w:sz w:val="44"/>
          <w:szCs w:val="44"/>
        </w:rPr>
        <w:t>第</w:t>
      </w:r>
      <w:r>
        <w:rPr>
          <w:rStyle w:val="21"/>
          <w:rFonts w:hint="eastAsia" w:ascii="黑体" w:hAnsi="黑体" w:eastAsia="黑体"/>
          <w:b w:val="0"/>
        </w:rPr>
        <w:t>四部分</w:t>
      </w:r>
      <w:r>
        <w:rPr>
          <w:rStyle w:val="21"/>
          <w:rFonts w:ascii="黑体" w:hAnsi="黑体" w:eastAsia="黑体"/>
          <w:b w:val="0"/>
        </w:rPr>
        <w:t xml:space="preserve"> </w:t>
      </w:r>
      <w:r>
        <w:rPr>
          <w:rStyle w:val="21"/>
          <w:rFonts w:hint="eastAsia" w:ascii="黑体" w:hAnsi="黑体" w:eastAsia="黑体"/>
          <w:b w:val="0"/>
        </w:rPr>
        <w:t>附件</w:t>
      </w:r>
      <w:bookmarkEnd w:id="98"/>
      <w:bookmarkEnd w:id="99"/>
    </w:p>
    <w:p>
      <w:pPr>
        <w:keepNext w:val="0"/>
        <w:keepLines w:val="0"/>
        <w:pageBreakBefore w:val="0"/>
        <w:widowControl w:val="0"/>
        <w:kinsoku/>
        <w:wordWrap/>
        <w:overflowPunct/>
        <w:topLinePunct w:val="0"/>
        <w:autoSpaceDE/>
        <w:autoSpaceDN/>
        <w:bidi w:val="0"/>
        <w:adjustRightInd/>
        <w:snapToGrid/>
        <w:spacing w:line="572" w:lineRule="exact"/>
        <w:jc w:val="left"/>
        <w:textAlignment w:val="auto"/>
        <w:outlineLvl w:val="0"/>
        <w:rPr>
          <w:rFonts w:hint="eastAsia" w:ascii="方正小标宋简体" w:hAnsi="方正小标宋简体" w:eastAsia="黑体" w:cs="方正小标宋简体"/>
          <w:sz w:val="44"/>
          <w:szCs w:val="44"/>
          <w:lang w:val="en-US" w:eastAsia="zh-CN"/>
        </w:rPr>
      </w:pPr>
      <w:bookmarkStart w:id="100" w:name="_Toc24734"/>
      <w:bookmarkStart w:id="101" w:name="_Toc31184"/>
      <w:bookmarkStart w:id="102" w:name="_Toc7955"/>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End w:id="100"/>
      <w:bookmarkEnd w:id="101"/>
      <w:r>
        <w:rPr>
          <w:rFonts w:hint="eastAsia" w:ascii="黑体" w:hAnsi="黑体" w:eastAsia="黑体" w:cs="黑体"/>
          <w:sz w:val="32"/>
          <w:szCs w:val="32"/>
          <w:lang w:val="en-US" w:eastAsia="zh-CN"/>
        </w:rPr>
        <w:t>：</w:t>
      </w:r>
      <w:bookmarkEnd w:id="102"/>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仿宋_GB2312" w:hAnsi="Times New Roman" w:eastAsia="仿宋_GB2312" w:cs="Times New Roman"/>
          <w:sz w:val="32"/>
          <w:szCs w:val="32"/>
          <w:shd w:val="clear" w:color="auto" w:fill="FFFFFF"/>
        </w:rPr>
      </w:pPr>
      <w:r>
        <w:rPr>
          <w:rFonts w:hint="eastAsia" w:ascii="方正小标宋简体" w:hAnsi="宋体" w:eastAsia="方正小标宋简体"/>
          <w:kern w:val="0"/>
          <w:sz w:val="40"/>
          <w:szCs w:val="44"/>
          <w:lang w:eastAsia="zh-CN"/>
        </w:rPr>
        <w:t>2022年李家镇</w:t>
      </w:r>
      <w:r>
        <w:rPr>
          <w:rFonts w:hint="eastAsia" w:ascii="方正小标宋简体" w:hAnsi="宋体" w:eastAsia="方正小标宋简体"/>
          <w:kern w:val="0"/>
          <w:sz w:val="40"/>
          <w:szCs w:val="44"/>
        </w:rPr>
        <w:t>部门整体绩效评价报告</w:t>
      </w:r>
    </w:p>
    <w:p>
      <w:pPr>
        <w:keepNext w:val="0"/>
        <w:keepLines w:val="0"/>
        <w:pageBreakBefore w:val="0"/>
        <w:widowControl/>
        <w:numPr>
          <w:ilvl w:val="0"/>
          <w:numId w:val="0"/>
        </w:numPr>
        <w:kinsoku/>
        <w:wordWrap/>
        <w:overflowPunct/>
        <w:topLinePunct w:val="0"/>
        <w:autoSpaceDN/>
        <w:bidi w:val="0"/>
        <w:spacing w:line="50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lang w:eastAsia="zh-CN"/>
        </w:rPr>
        <w:t>一、</w:t>
      </w:r>
      <w:r>
        <w:rPr>
          <w:rFonts w:hint="eastAsia" w:ascii="黑体" w:hAnsi="黑体" w:eastAsia="黑体" w:cs="Times New Roman"/>
          <w:color w:val="000000"/>
          <w:spacing w:val="-6"/>
          <w:w w:val="99"/>
          <w:kern w:val="0"/>
          <w:sz w:val="32"/>
          <w:szCs w:val="32"/>
          <w:shd w:val="clear" w:color="auto" w:fill="FFFFFF"/>
        </w:rPr>
        <w:t>部门（单位）概况</w:t>
      </w:r>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（一）机构组成</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李家镇人民政府机关内设机构有：党政综合与乡村振兴办公室、党建工作办公室、综合行政执法办公室 、社会事务办公室、经济发展办公室、社会治理工作办公室、财政所。镇直属公益一类事业单位有：便民服务中心 、农业综合服务中心 、乡村建设和文化旅游服务中心、社会治安综合治理中心。</w:t>
      </w:r>
    </w:p>
    <w:p>
      <w:pPr>
        <w:keepNext w:val="0"/>
        <w:keepLines w:val="0"/>
        <w:pageBreakBefore w:val="0"/>
        <w:widowControl/>
        <w:numPr>
          <w:ilvl w:val="0"/>
          <w:numId w:val="5"/>
        </w:numPr>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机构职能和人员概况</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1、乡镇党委主要职责：</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（1）贯彻执行党的路线方针政策和上级党组织及本镇党员代表大会（党员大会）的决议。</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（2）讨论决定本镇经济建设和社会发展中的重大问题。需由乡镇政权机关或集体经济组织决定的问题，由乡镇政权机关或集体经济组织依照法律和有关规定作出决定。</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（3）领导乡镇政权机关和群众组织，支持和保证乡镇政权机关和群众组织依照国家法律及各自章程充分行使职权。</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（4）加强镇自身建设和以党支部为核心的村级组织建设。</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（5）按照干部管理权限，负责本乡镇干部的教育、培养、选拔和监督工作。协助管理上级有关部门驻乡镇单位的干部</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（6）领导本乡镇社会主义民主法制建设和精神文明建设，做好社会治安综合治理及计划生育工作。</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2、乡镇政府主要职责：</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（1）执行本级人民代表大会的决议和上级国家行政机关的决定和命令，发布决定和命令。</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（2）执行本行政区域内的经济和社会发展计划，加强公共设施的建设和管理，发展各项服务事业。</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（3）依法管理本级财政、执行本级预算。</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（4）为群众提供有效的科技、教育、文化、信息、卫生、体育、医疗、劳动就业、安全生产等方面的服务。</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（5）保护国有资产和集体所有的财产，保护公民私人所有的合法财产、保障公民的人身权利、民主权利和其他权利，保护各种组织的合法权益。</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（6）开展社会主义与法制教育，加强社会法制综合治理，调解民事纠纷，维护社会秩序。</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 xml:space="preserve">（7）推行计划生育，控制人口增长，保护妇女、儿童和老人的合法权益。                                                                                                                                                                                                                                                                                                                                                                                                                                                                                   </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（8）负责民政工作，发展社会福利事业，做好社会保障工作，办理兵役事项。</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（9）承办上级人民政府交办的其他事项。</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（10）设立人民武装部，依法履行国防动员、民兵训练、预备役管理等职能。</w:t>
      </w:r>
    </w:p>
    <w:p>
      <w:pPr>
        <w:pStyle w:val="31"/>
        <w:spacing w:line="560" w:lineRule="exact"/>
        <w:ind w:firstLine="640" w:firstLineChars="200"/>
        <w:rPr>
          <w:rFonts w:hint="eastAsia" w:ascii="楷体_GB2312" w:hAnsi="楷体_GB2312" w:eastAsia="楷体_GB2312" w:cs="楷体_GB2312"/>
          <w:b w:val="0"/>
          <w:bCs/>
          <w:spacing w:val="-6"/>
          <w:w w:val="99"/>
          <w:sz w:val="32"/>
          <w:szCs w:val="32"/>
          <w:lang w:val="en-US" w:eastAsia="zh-CN"/>
        </w:rPr>
      </w:pPr>
      <w:r>
        <w:rPr>
          <w:rFonts w:hint="eastAsia" w:ascii="仿宋_GB2312" w:eastAsia="仿宋_GB2312"/>
          <w:color w:val="auto"/>
          <w:kern w:val="0"/>
          <w:sz w:val="32"/>
          <w:szCs w:val="32"/>
          <w:highlight w:val="none"/>
          <w:lang w:val="en-US" w:eastAsia="zh-CN"/>
        </w:rPr>
        <w:t>3、</w:t>
      </w:r>
      <w:r>
        <w:rPr>
          <w:rFonts w:hint="eastAsia" w:ascii="楷体_GB2312" w:hAnsi="楷体_GB2312" w:eastAsia="楷体_GB2312" w:cs="楷体_GB2312"/>
          <w:b w:val="0"/>
          <w:bCs/>
          <w:spacing w:val="-6"/>
          <w:w w:val="99"/>
          <w:sz w:val="32"/>
          <w:szCs w:val="32"/>
          <w:lang w:val="en-US" w:eastAsia="zh-CN"/>
        </w:rPr>
        <w:t>人员概况</w:t>
      </w:r>
    </w:p>
    <w:p>
      <w:pPr>
        <w:pStyle w:val="31"/>
        <w:spacing w:line="560" w:lineRule="exact"/>
        <w:ind w:firstLine="640" w:firstLineChars="200"/>
        <w:rPr>
          <w:rFonts w:hint="eastAsia" w:ascii="楷体_GB2312" w:hAnsi="楷体_GB2312" w:eastAsia="楷体_GB2312" w:cs="楷体_GB2312"/>
          <w:b w:val="0"/>
          <w:bCs/>
          <w:spacing w:val="-6"/>
          <w:w w:val="99"/>
          <w:sz w:val="32"/>
          <w:szCs w:val="32"/>
          <w:lang w:val="en-US" w:eastAsia="zh-CN"/>
        </w:rPr>
      </w:pPr>
      <w:r>
        <w:rPr>
          <w:rFonts w:hint="eastAsia" w:ascii="仿宋_GB2312" w:eastAsia="仿宋_GB2312"/>
          <w:color w:val="auto"/>
          <w:kern w:val="0"/>
          <w:sz w:val="32"/>
          <w:szCs w:val="32"/>
          <w:highlight w:val="none"/>
          <w:lang w:val="en-US" w:eastAsia="zh-CN"/>
        </w:rPr>
        <w:t>李家镇人民政府经机构管理部门核定编制人数为51人，其中：行政编制24人，机关工勤人员2人，事业编制25人。在职在岗人数49人，其中：行政编制22人，机关工勤人员3人，事业编制24人。</w:t>
      </w:r>
    </w:p>
    <w:p>
      <w:pPr>
        <w:keepNext w:val="0"/>
        <w:keepLines w:val="0"/>
        <w:pageBreakBefore w:val="0"/>
        <w:widowControl/>
        <w:numPr>
          <w:ilvl w:val="0"/>
          <w:numId w:val="5"/>
        </w:numPr>
        <w:kinsoku/>
        <w:wordWrap/>
        <w:overflowPunct/>
        <w:topLinePunct w:val="0"/>
        <w:autoSpaceDE w:val="0"/>
        <w:autoSpaceDN/>
        <w:bidi w:val="0"/>
        <w:adjustRightInd w:val="0"/>
        <w:snapToGrid w:val="0"/>
        <w:spacing w:line="50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年度主要工作任务</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1、切实提高政治站位，坚定对标对表落实。</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2、加快推动项目建设，促进产业提质增效。</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3、巩固拓展脱贫攻坚成果，全面推进乡村振兴战略。</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4、基础设施不断完善，发展基础得到新提升</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5、社会事业长足进步，幸福指数达到新高度。</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6、党的建设全面加强，执政能力实现新跨越。</w:t>
      </w:r>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二、部门财政资金收支情况</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（一）部门财政资金收入情况</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2022年一般公共预算收入1681.06元,较2021年1078.63万，元增长35.8%。2022年政府性基金预算收入0元。</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（二）部门财政资金支出情况</w:t>
      </w:r>
    </w:p>
    <w:p>
      <w:pPr>
        <w:pStyle w:val="31"/>
        <w:spacing w:line="560" w:lineRule="exact"/>
        <w:ind w:firstLine="640" w:firstLineChars="200"/>
        <w:rPr>
          <w:rFonts w:hint="eastAsia" w:ascii="仿宋_GB2312" w:hAnsi="仿宋_GB2312" w:eastAsia="仿宋_GB2312" w:cs="仿宋_GB2312"/>
          <w:color w:val="auto"/>
          <w:spacing w:val="-4"/>
          <w:sz w:val="32"/>
          <w:szCs w:val="32"/>
          <w:lang w:val="en-US" w:eastAsia="zh-CN"/>
        </w:rPr>
      </w:pPr>
      <w:r>
        <w:rPr>
          <w:rFonts w:hint="eastAsia" w:ascii="仿宋_GB2312" w:eastAsia="仿宋_GB2312"/>
          <w:color w:val="auto"/>
          <w:kern w:val="0"/>
          <w:sz w:val="32"/>
          <w:szCs w:val="32"/>
          <w:highlight w:val="none"/>
          <w:lang w:val="en-US" w:eastAsia="zh-CN"/>
        </w:rPr>
        <w:t>2022年一般公共财政预算支出1724.39万元，其中：上年结转结余资金41.33万元、其他收入2.01万元。较2021年1079.49万元增长37.4%。其中：基本支出858.72万元，主要用于工资福利支出、日常办公开支等。项目支出863.67万元，主要用于农业产业、水利、农村道路等基础设施建设方面支出等方面支出。</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43"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shd w:val="clear" w:color="auto" w:fill="FFFFFF"/>
        </w:rPr>
        <w:t>需特别说明的是：</w:t>
      </w:r>
      <w:r>
        <w:rPr>
          <w:rFonts w:hint="eastAsia" w:ascii="仿宋_GB2312" w:hAnsi="Calibri" w:eastAsia="仿宋_GB2312" w:cs="仿宋"/>
          <w:color w:val="auto"/>
          <w:kern w:val="0"/>
          <w:sz w:val="32"/>
          <w:szCs w:val="32"/>
          <w:highlight w:val="none"/>
          <w:lang w:val="en-US" w:eastAsia="zh-CN" w:bidi="ar-SA"/>
        </w:rPr>
        <w:t>2022年“三公”经费支出1.05万元。其中：因公出国（境）经费0元，公务接待费预算1.05万元，较2021年下降2.8%，下降的主要原因：一是严格落实中央八项规定；二是严格控制接待标准和范围。公务用车运行维护费预算0元。</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43" w:firstLineChars="200"/>
        <w:contextualSpacing/>
        <w:jc w:val="left"/>
        <w:textAlignment w:val="auto"/>
        <w:rPr>
          <w:rFonts w:hint="default" w:ascii="仿宋_GB2312" w:hAnsi="Calibri" w:eastAsia="仿宋_GB2312" w:cs="仿宋"/>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shd w:val="clear" w:color="auto" w:fill="FFFFFF"/>
        </w:rPr>
        <w:t>政府性基金预算收支执行情况：</w:t>
      </w:r>
      <w:r>
        <w:rPr>
          <w:rFonts w:hint="eastAsia" w:ascii="仿宋_GB2312" w:hAnsi="Calibri" w:eastAsia="仿宋_GB2312" w:cs="仿宋"/>
          <w:color w:val="auto"/>
          <w:kern w:val="0"/>
          <w:sz w:val="32"/>
          <w:szCs w:val="32"/>
          <w:highlight w:val="none"/>
          <w:lang w:val="en-US" w:eastAsia="zh-CN" w:bidi="ar-SA"/>
        </w:rPr>
        <w:t>2022年政府性基金预算支出0元。</w:t>
      </w:r>
    </w:p>
    <w:p>
      <w:pPr>
        <w:keepNext w:val="0"/>
        <w:keepLines w:val="0"/>
        <w:pageBreakBefore w:val="0"/>
        <w:widowControl/>
        <w:numPr>
          <w:ilvl w:val="0"/>
          <w:numId w:val="6"/>
        </w:numPr>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部门整体预算绩效管理情况</w:t>
      </w:r>
    </w:p>
    <w:p>
      <w:pPr>
        <w:keepNext w:val="0"/>
        <w:keepLines w:val="0"/>
        <w:pageBreakBefore w:val="0"/>
        <w:widowControl/>
        <w:numPr>
          <w:ilvl w:val="0"/>
          <w:numId w:val="7"/>
        </w:numPr>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部门预算项目绩效管理</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我镇编制2022年度部门预算时，全面设置部门、单位和政策项目绩效目标。绩效目标严格设置产出指标中的数量、质量、时效、成本等指标，效益指标中的经济效益、社会效益、可持续性影响和服务对象满意度等绩效指标。</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2022年度我部门预算项目支出总额863.66万元，开展绩效自评项目金额合计515.53万元，开展绩效自评项目支出总额占本部门预算项目支出总额的比例59.7%。项目绩效自评情况如下：部门预算项目总个数4个，自评项目4个，自评价平均分98分。</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项目支出经费使用与工作执行进度紧密结合，年初制定的项目工作任务目标100%按时完成；各项目均达到实际的成效，效率指标达优，工作成本节约，没有出现工作质量不高，工作拖欠的现象；项目的社会效益良好，服务对象满意度高。</w:t>
      </w:r>
    </w:p>
    <w:p>
      <w:pPr>
        <w:keepNext w:val="0"/>
        <w:keepLines w:val="0"/>
        <w:pageBreakBefore w:val="0"/>
        <w:widowControl/>
        <w:numPr>
          <w:ilvl w:val="0"/>
          <w:numId w:val="8"/>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Times New Roman" w:eastAsia="楷体_GB2312" w:cs="Times New Roman"/>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楷体_GB2312" w:hAnsi="Times New Roman" w:eastAsia="楷体_GB2312" w:cs="Times New Roman"/>
          <w:color w:val="auto"/>
          <w:kern w:val="0"/>
          <w:sz w:val="32"/>
          <w:szCs w:val="32"/>
          <w:shd w:val="clear" w:color="auto" w:fill="FFFFFF"/>
        </w:rPr>
        <w:t>结果应用情况</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Calibri" w:eastAsia="仿宋_GB2312" w:cs="仿宋"/>
          <w:color w:val="auto"/>
          <w:kern w:val="0"/>
          <w:sz w:val="32"/>
          <w:szCs w:val="32"/>
          <w:highlight w:val="none"/>
          <w:lang w:val="en-US" w:eastAsia="zh-CN" w:bidi="ar-SA"/>
        </w:rPr>
        <w:t>根据预算绩效管理要求，我镇认真贯彻国家和省、市关于预算绩效管理工作的有关要求，确定部门预算项目和预算额度，清晰描述预算项目开支范围和内容，确定预算项目的绩效目标、绩效指标和评价标准，为预算绩效控制、绩效分析、绩效评价打下好的基础。李家镇人民政府制定了《李家镇人民政府关于全面推进预算绩效管理实施意见》《李家镇</w:t>
      </w:r>
      <w:r>
        <w:rPr>
          <w:rFonts w:hint="eastAsia" w:ascii="仿宋_GB2312" w:hAnsi="仿宋_GB2312" w:eastAsia="仿宋_GB2312" w:cs="仿宋_GB2312"/>
          <w:color w:val="auto"/>
          <w:kern w:val="0"/>
          <w:sz w:val="32"/>
          <w:szCs w:val="32"/>
          <w:shd w:val="clear" w:color="auto" w:fill="FFFFFF"/>
          <w:lang w:val="en-US" w:eastAsia="zh-CN"/>
        </w:rPr>
        <w:t>预算绩效管理工作实施方案》《李家镇预算绩效管理工作考核办法》等，建立了绩效管理贯穿预算全过程的机制。</w:t>
      </w:r>
    </w:p>
    <w:p>
      <w:pPr>
        <w:keepNext w:val="0"/>
        <w:keepLines w:val="0"/>
        <w:pageBreakBefore w:val="0"/>
        <w:widowControl/>
        <w:numPr>
          <w:ilvl w:val="0"/>
          <w:numId w:val="9"/>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Times New Roman" w:eastAsia="仿宋_GB2312" w:cs="Times New Roman"/>
          <w:color w:val="auto"/>
          <w:kern w:val="0"/>
          <w:sz w:val="32"/>
          <w:szCs w:val="32"/>
          <w:shd w:val="clear" w:color="auto" w:fill="FFFFFF"/>
        </w:rPr>
      </w:pPr>
      <w:r>
        <w:rPr>
          <w:rFonts w:hint="eastAsia" w:ascii="楷体_GB2312" w:hAnsi="Times New Roman" w:eastAsia="楷体_GB2312" w:cs="Times New Roman"/>
          <w:color w:val="auto"/>
          <w:kern w:val="0"/>
          <w:sz w:val="32"/>
          <w:szCs w:val="32"/>
          <w:shd w:val="clear" w:color="auto" w:fill="FFFFFF"/>
        </w:rPr>
        <w:t>自评质量</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left="0" w:leftChars="0" w:firstLine="419" w:firstLineChars="131"/>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楷体_GB2312" w:hAnsi="Times New Roman" w:eastAsia="楷体_GB2312" w:cs="Times New Roman"/>
          <w:color w:val="auto"/>
          <w:kern w:val="0"/>
          <w:sz w:val="32"/>
          <w:szCs w:val="32"/>
          <w:shd w:val="clear" w:color="auto" w:fill="FFFFFF"/>
          <w:lang w:val="en-US" w:eastAsia="zh-CN"/>
        </w:rPr>
        <w:t xml:space="preserve"> </w:t>
      </w:r>
      <w:r>
        <w:rPr>
          <w:rFonts w:hint="eastAsia" w:ascii="仿宋_GB2312" w:hAnsi="Calibri" w:eastAsia="仿宋_GB2312" w:cs="仿宋"/>
          <w:color w:val="auto"/>
          <w:kern w:val="0"/>
          <w:sz w:val="32"/>
          <w:szCs w:val="32"/>
          <w:highlight w:val="none"/>
          <w:lang w:val="en-US" w:eastAsia="zh-CN" w:bidi="ar-SA"/>
        </w:rPr>
        <w:t>2022年，我镇努力做好财政预算收入、支出以及各项目的管理工作，将预算及时公开到相关的信息网络平台，对预算的资金进行全方位的监督和管理，使每一笔资金都能起到最大的使用效益。部门预算绩效管理，是财政部门的重点关注部分，一个完整有效的绩效管理方案，需要以预算为导向，结合我镇实际过程中支出进行合理化分配，以达到合理高效地运用资金、提升资金的产出结果、节约成本与资源、提高部门的办事效率的目的。</w:t>
      </w:r>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四、评价结论及建议</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Times New Roman" w:eastAsia="楷体_GB2312" w:cs="Times New Roman"/>
          <w:color w:val="auto"/>
          <w:kern w:val="0"/>
          <w:sz w:val="32"/>
          <w:szCs w:val="32"/>
          <w:shd w:val="clear" w:color="auto" w:fill="FFFFFF"/>
        </w:rPr>
      </w:pPr>
      <w:r>
        <w:rPr>
          <w:rFonts w:hint="eastAsia" w:ascii="楷体_GB2312" w:hAnsi="Times New Roman" w:eastAsia="楷体_GB2312" w:cs="Times New Roman"/>
          <w:color w:val="auto"/>
          <w:kern w:val="0"/>
          <w:sz w:val="32"/>
          <w:szCs w:val="32"/>
          <w:shd w:val="clear" w:color="auto" w:fill="FFFFFF"/>
        </w:rPr>
        <w:t>（一）自评结论</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2022年，我镇积极履职，强化管理，较好地完成了年度工作目标。通过加强预算收支管理，不断建立健全内部管理制度，梳理内部管理流程，部门整体支出管理水平得到提升。根据部门整体支出绩效自评表，我镇2022年度绩效自评得分为98分。部门整体支出绩效情况详见附件2。</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Times New Roman" w:eastAsia="楷体_GB2312" w:cs="Times New Roman"/>
          <w:color w:val="auto"/>
          <w:kern w:val="0"/>
          <w:sz w:val="32"/>
          <w:szCs w:val="32"/>
          <w:shd w:val="clear" w:color="auto" w:fill="FFFFFF"/>
        </w:rPr>
      </w:pPr>
      <w:r>
        <w:rPr>
          <w:rFonts w:hint="eastAsia" w:ascii="楷体_GB2312" w:hAnsi="Times New Roman" w:eastAsia="楷体_GB2312" w:cs="Times New Roman"/>
          <w:color w:val="auto"/>
          <w:kern w:val="0"/>
          <w:sz w:val="32"/>
          <w:szCs w:val="32"/>
          <w:shd w:val="clear" w:color="auto" w:fill="FFFFFF"/>
        </w:rPr>
        <w:t>（二）存在问题</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1.预算控制率有待降低。除政策性因素以外，由于部分临时、紧急或突发的工作任务导致年中追加预算。</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2. 专项资金少，资金压力大。针对我镇农村经济基础薄弱、资金压力大的现状，重点产业项目尚需进一步的加强。</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Times New Roman" w:eastAsia="楷体_GB2312" w:cs="Times New Roman"/>
          <w:color w:val="auto"/>
          <w:kern w:val="0"/>
          <w:sz w:val="32"/>
          <w:szCs w:val="32"/>
          <w:shd w:val="clear" w:color="auto" w:fill="FFFFFF"/>
        </w:rPr>
      </w:pPr>
      <w:r>
        <w:rPr>
          <w:rFonts w:hint="eastAsia" w:ascii="楷体_GB2312" w:hAnsi="Times New Roman" w:eastAsia="楷体_GB2312" w:cs="Times New Roman"/>
          <w:color w:val="auto"/>
          <w:kern w:val="0"/>
          <w:sz w:val="32"/>
          <w:szCs w:val="32"/>
          <w:shd w:val="clear" w:color="auto" w:fill="FFFFFF"/>
        </w:rPr>
        <w:t>（三）改进建议</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1.细化预算编制工作，认真做好预算的编制。进一步加强单位内部机构各站所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确保下拨资金及时足额到位，便于及时有效使用，管理部门开展有效的使用情况跟踪管理。</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2.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p>
      <w:pPr>
        <w:pStyle w:val="31"/>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3.对相关人员加强培训，特别是针对《预算法》、《行政事业单位会计制度》等学习培训，规范部门预算收支核算，切实提高部门预算收支管理水平。</w:t>
      </w:r>
    </w:p>
    <w:p>
      <w:pPr>
        <w:keepNext w:val="0"/>
        <w:keepLines w:val="0"/>
        <w:pageBreakBefore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Times New Roman" w:eastAsia="仿宋_GB2312" w:cs="Times New Roman"/>
          <w:w w:val="99"/>
          <w:sz w:val="32"/>
          <w:szCs w:val="32"/>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6"/>
        <w:gridCol w:w="1303"/>
        <w:gridCol w:w="763"/>
        <w:gridCol w:w="1020"/>
        <w:gridCol w:w="453"/>
        <w:gridCol w:w="660"/>
        <w:gridCol w:w="735"/>
        <w:gridCol w:w="955"/>
        <w:gridCol w:w="390"/>
        <w:gridCol w:w="198"/>
        <w:gridCol w:w="194"/>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14" w:type="pct"/>
          <w:trHeight w:val="655" w:hRule="atLeast"/>
        </w:trPr>
        <w:tc>
          <w:tcPr>
            <w:tcW w:w="4285" w:type="pct"/>
            <w:gridSpan w:val="10"/>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2" w:lineRule="exact"/>
              <w:jc w:val="left"/>
              <w:textAlignment w:val="auto"/>
              <w:outlineLvl w:val="0"/>
              <w:rPr>
                <w:rFonts w:hint="eastAsia" w:ascii="黑体" w:hAnsi="宋体" w:eastAsia="黑体" w:cs="黑体"/>
                <w:b/>
                <w:i w:val="0"/>
                <w:color w:val="000000"/>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严格按照执行相关政策，保障在职人员工资福利支出。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严格按照执行相关政策，保障在职人员工资福利支出。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0.25</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严格按照执行相关政策，预算编制科学合理，减少结余资金。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严格落实相关政策，保障公务员目标绩效奖足额发放。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75.31</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99.61%</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75.31</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99.61%</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3.8</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因人员调动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建议制订年度项目资金预算方案前，认真做好每个项目的市场预测和绩效目标分析,及时向领导通报资金使用情况，以便及时作出调整，实现项目资金利用效率最大化。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严格落实相关政策，保障公务用车改革补贴足额发放。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28.49</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28.49</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认真做好每个项目的市场预测和绩效目标分析,及时向领导通报资金使用情况，以便及时作出调整，实现项目资金利用效率最大化。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51081221R000000051919-村（社区）、组干部报酬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严落实相关政策，保障村（社区）、组干部报酬按时发放。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214.56</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214.56</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214.56</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214.56</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214.56</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214.56</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51081221R000000051921-村（社区）离职干部生活补助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严落实相关政策，保障村（社区离职干部生活补助按时发放。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13.69</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17.72</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17.72</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13.69</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17.72</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17.72</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51081221R000000051929-村（社区）干部社会保险缴费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严落实相关政策，保障村（社区）干部社会保险按时交纳。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5.12</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5.12</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5.12</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5.12</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51081221R000000051956-乡镇干部工作补贴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严格执行相关政策，保障乡镇干部工作补贴足额发放，减少结余资金。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17.28</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18.27</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18.27</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17.28</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18.27</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18.27</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严落实相关政策，保障05年以前退休人员医疗保险及时缴纳。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严格执行相关政策，保障引进人才安家费及工作补助足额发放，无资金结余。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51081221Y000000052160-村(社区)基层组织活动经费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保障金财网使用高效安全，达到办公自动化要求。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178.88</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204.81</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204.81</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178.88</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204.81</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204.81</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建议制订年度项目资金预算方案前，认真做好每个项目的市场预测和绩效目标分析,及时向领导通报资金使用情况，以便及时作出调整，实现项目资金利用效率最大化。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155.04</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183.13</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183.13</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155.04</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183.13</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183.13</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建议制订年度项目资金预算方案前，认真做好每个项目的市场预测和绩效目标分析,及时向领导通报资金使用情况，以便及时作出调整，实现项目资金利用效率最大化。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严格执行相关政策，保障行政人员基本养老保险及时缴纳，预算编制科学合理，无结余资金。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28.48</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32.24</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32.24</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28.48</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32.24</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32.24</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预算控制率有待降低。除政策性因素以外，由于部分临时、紧急或突发的工作任务导致年中追加预算。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严格执行相关政策，保障事业人员基本养老保险及时缴纳，预算编制科学合理，无结余资金。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24.56</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24.56</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预算控制率有待降低。除政策性因素以外，由于部分临时、紧急或突发的工作任务导致年中追加预算。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严格执行相关政策，保障行政人员基本医疗保险及时缴纳，预算编制科学合理，无结余资金。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13.16</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13.16</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13.16</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13.16</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预算控制率有待降低。除政策性因素以外，由于部分临时、紧急或突发的工作任务导致年中追加预算。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严格执行相关政策，保障事业人员基本医疗保险及时缴纳，预算编制科学合理，无结余资金。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12.28</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12.28</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预算控制率有待降低。除政策性因素以外，由于部分临时、紧急或突发的工作任务导致年中追加预算。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严格执行相关政策，保障单位职工住房公积金及时缴纳，预算编制科学合理，无结余资金。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30.65</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30.65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30.65</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30.65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预算控制率有待降低。除政策性因素以外，由于部分临时、紧急或突发的工作任务导致年中追加预算。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严格执行相关政策，保障单位职工住房公积金及时缴纳，预算编制科学合理，无结余资金。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18.42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28.78</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28.78</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18.42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28.78</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28.78</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预算控制率有待降低。除政策性因素以外，由于部分临时、紧急或突发的工作任务导致年中追加预算。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严格执行相关政策，事业人员目标绩效奖及时发放，预算编制科学合理，无结余资金。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80.71</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80.71</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80.71</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80.71</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预算控制率有待降低。除政策性因素以外，由于部分临时、紧急或突发的工作任务导致年中追加预算。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严格执行相关政策，机关工勤人员目标绩效奖及时发放，预算编制科学合理，无结余资金。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51081222T000000357237-2022年社区服务群众专项经费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1.全面推进社区党组织服务群众项目，加强基层服务型党组织建设，提升服务水平。2.切实保障社区内道路、路灯、水利等公益性基础设施正常运转。3.改善村容村貌，为建设美丽社区奠定基础。</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全面推进社区党组织服务群众项目，加强基层服务型党组织建设，提升服务水平，切实保障社区内道路、路灯、水利等公益性基础设施正常运转。改善村容村貌，为建设美丽社区奠定基础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农村道路保洁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汛期应急抢险</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场镇农贸市场保洁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居住环境清洁率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资金精准使用执行率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完工及时率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场镇农贸市场保洁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27160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27160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农村道路保洁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3840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3840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汛期应急抢险</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农村垃圾收储清运</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受益人数比例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51081222T000000357398-2022年村级公共服务运行维护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农村公共服务运行维护项目涉及11个行政村。2.切实保障各村内道路、路灯、水利等公益性基础设施正常运转。3.有效改变农村面貌，通过项目实施，形成村民意愿做事，有钱做事的格局，促进基础设施建设，改善农村生活环境。4.有效调动农民参与的积极性，大大调动群众议事的积极性。</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公共服务运行维护项目涉及11个行政村。2.切实保障各村内道路、路灯、水利等公益性基础设施正常运转。有效改变农村面貌，通过项目实施，形成村民意愿做事，有钱做事的格局，促进基础设施建设，改善农村生活环境。有效调动农民参与的积极性，大大调动群众议事的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61.50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61.50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61.50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61.50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61.50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61.50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农村垃圾收储清运涉及行政村数量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路基维修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农村道路保洁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汛期应急抢险</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水泥路面维修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农村集中供水维护</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工程质量验收</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资金精准使用执行率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路面修补混凝土厚度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0.18</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按期完成率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农村集中供水维护</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水泥路面维修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96400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96400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农村垃圾收储清运</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汛期应急抢险</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路基维修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101000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101000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农村道路保洁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153600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153600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受益人数比例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项目实施过程中存在的具体问题。一是项目实施单位，受其自身条件、村内条件无专业队伍施工等因素的制约，在保证质量的前提下，施工进度有待加快。二是重建设，轻管理，养护管理制度还待进一步完善。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51081222T000005186085-2021年革命老区转移支付资金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完成村组道路建设1.1公里，路面宽3.5米，厚0.18米。</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加强了村组道路维护，保障了资金及时支付。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新建道路</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工程合格率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493" w:type="pc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2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道路建设成本</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带动群众经济发展</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优良中差低</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达96%以上</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项目负责人：马开兴</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51081222T000005450254-2021年农村公共服务运行维护（李家）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1、切实保障各村内道路、路灯、水利等公益性基础设施正常运转。</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2、有效改变农村面貌，通村项目实施，形成村民愿意做事，有钱做事的格局，促进基础设施建设，改善农村生活环境。</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3、有效调动农民参与的积极性，大大调动群众议事的积极性。</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拨付以前年度结转资金。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项目实施过程中存在的具体问题。一是项目实施单位，受其自身条件、村内条件无专业队伍施工等因素的制约，在保证质量的前提下，施工进度有待加快。二是重建设，轻管理，养护管理制度还待进一步完善。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51081222T000005455605-2021年公务交通补贴（李家）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严格落实相关政策，保障公务用车改革补贴足额发放。</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严格按照执行相关政策，持续推进公务用车制度改革，完成各项公务活动。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5.36</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5.36</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5.36</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5.36</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51081222T000005696620-高寒山区干部“温暖过冬”市级补助资金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改善高寒山区冬季取暖问题。</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通过项目实施，消除以往电取暖、天然气取暖器等移动取暖方式带来的安全隐患问题、改善干部办公和生活条件，充分调动其工作积极性。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供暖设备管理用房验收合格率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供暖保障率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天然气供暖消耗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立方米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供暖周期</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改善干部办公和生活条件</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干部、群众满意度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天然气消耗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项目负责人：岳海生</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51081222T000005696779-农村公路建设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改善农村道路脏乱差面貌，保障道路通畅。</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严格按照项目施工进度，方便了群众出行，及时保障资金划拨。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51081222T000005696861-乡村振兴驻村工作队（第一书记）经费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保障乡村振兴工作有效推进，确保驻村工作队（第一书记）经费</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严格执行预算，保障第一书记工作运行。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2.46</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2.46</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2.46</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2.46</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51081222T000005696938-城乡社区环境卫生整治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1、通过项目的实施，解决各村（社区）环境卫生脏乱差的现象，使辖区内的环境治理的优美、干净、舒适。</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2、切实保障各类环卫设施正常高效运转。</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3、完成菜籽坝场镇日常保洁工作，各村民小组230个垃圾收集点垃圾转运任务。</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按质按量全面完成了预期工作目标。改善了项目村的村容村貌，提高了项目村村民的生产发展积极性，推动了社会的进步和发展。促进乡村旅游发展，推动朝天区天府旅游名县的创建，吸引游客消费，带动农副产品销售。全乡环境卫生持续保持，提升各村（社区）的村容村貌，环境优美，路面干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产出指标</w:t>
            </w:r>
          </w:p>
        </w:tc>
        <w:tc>
          <w:tcPr>
            <w:tcW w:w="493"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环卫车辆驾驶员</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增加驾驶人员1人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聘用保洁人员</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环卫车辆运行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辆</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资金精准使用执行率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投诉率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垃圾清运不及时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清运及时率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垃圾清运不及时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驾驶员工资</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保洁人员工资</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环卫车辆运行成本</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降低路面扬尘，有效改善空气质量。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优</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社会满意度和党员群众满意度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94</w:t>
            </w:r>
          </w:p>
        </w:tc>
        <w:tc>
          <w:tcPr>
            <w:tcW w:w="632" w:type="pct"/>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通过加强预算收支管理，不断建立健全内部管理制度，梳理内部管理流程，部门整体支出管理水平得到提升。评分94分。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项目负责人：欧志飞</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51081222T000005697010-办公经费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保障机关日常运行。</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划拨前年度结转结余资金。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15.54</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15.54</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15.54</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15.54</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51081222T000005721219-省级资金李家镇干部周转房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1.拆除房屋869.4平方米，新建干部周转房1504.45平方米，高四层，采用框架结构；购置基本生活设备，配套给排水、强弱电、消防等附属工程。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2.改善职工待遇，稳定乡镇干部队伍，调动乡镇干部工作积极性。</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已按预期目标全面完成全年指标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211.00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274.00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274.00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211.00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274.00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274.00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新建周转房面积</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1504.45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平方米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1504.45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拆除房屋面积</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869.4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平方米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869.4</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验收合格率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资金精准使用率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完工及时率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签约合同价</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393.53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274</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项目未结算审计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稳定乡镇干部队伍</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通过加强预算收支管理，不断建立健全内部管理制度，梳理内部管理流程，部门整体支出管理水平得到提升。评分98分。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综合预算项目绩效评价情况认为，在项目资金预算绩效方面总体上是管理使用到位的，虽完成预算资金使用量,仍然存在较多客观因素，应及时做好汇报和资金调整工作。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项目负责人：向国华</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51081222T000005934174-城乡环境综合治理工作经费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通过项目的实施，解决各村（社区）环境卫生脏乱差的现象，使辖区内的环境治理的优美、干净、舒适。2.切实保障各类环卫设施正常高效运转。3.完成李家场镇日常保洁工作，各村民小组230个垃圾收集点垃圾转运任务。</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通过项目的实施，解决各村（社区）环境卫生脏乱差的现象，使辖区内的环境治理的优美、干净、舒适。切实保障各类环卫设施正常高效运转。完成李家场镇日常保洁工作，各村民小组230个垃圾收集点垃圾转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环卫车辆驾驶员</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聘用保洁人员</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环卫车辆运行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辆</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资金精准使用执行率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投诉率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清运及时率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驾驶员工资</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保洁人员工资</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环卫车辆运行成本</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降低路面扬尘，有效改善空气质量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因工程项目较多，路面扬尘不能及时清理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受益群众满意度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项目负责人：欧志飞</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51081222T000005934291-基层人民武装工作经费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1.保障完成国防动员宣传教育、征兵、应急抢险等工作任务。2.完成区人武部交办的各项工作，响应上级命令参加训练集结工作。</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"2021年区委议军会暨区“两委会”会议要求，保质保量高标准严要求地完成征兵任务，向部队输送身体健康、政治思想品佳优秀的青年入伍。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民兵排人数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国防动员教育宣传</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组织适龄青年应征入伍</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资金精准使用执行率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压缩成本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征兵上站体检任务完成率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民兵集结响应时间</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小时</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国防动员教育宣传</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民兵排装备物资补充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征兵成本</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0.9422</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压缩成本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国防宣传、征兵工作知晓率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应征青年满意度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综合预算项目绩效评价情况认为，在项目资金预算绩效方面总体上是管理使用到位的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项目负责人：雷波</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51081222T000005934332-综合执法专项工作经费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改善辖区内城乡环境，提升城市管理水平。2.开展行政检查事项，保障农产品质量安全、森林防火安全、农村饮水安全等，清理各类违法乱搭乱建，农村建房乱象，乱占耕地等对生态环境造成影响的行为。3.开展法治宣传活动。4.取得执法资格证人数5人以上。</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项目实施改善辖区内城乡环境，提升城市管理水平。开展行政检查事项，保障农产品质量安全、森林防火安全、农村饮水安全等，清理各类违法乱搭乱建，农村建房乱象，乱占耕地等对生态环境造成影响的行为。开展法治宣传活动。取得执法资格证人数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7.67</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95.84%</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7.67</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95.84%</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行政检查</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阵地建设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资金精准使用执行率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安全责任事故发生率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阵地建设达标率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检查上报及时率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小时</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行政检查成本</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4.67 </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压缩节约检查成本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阵地建设成本</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基层治理能力</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项目负责人：马开兴</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51081222T000007091092-青林中药材产业配套设施建设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1.通过项目的实施，硬化产业道路1.5公里，新建中草药晾晒场800平方米，浆砌堡坎211立方米。</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2.切实加快推进农旅文融合发展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3.提高农村人均收入</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通过项目的实施，硬化产业道路1.5公里，新建中草药晾晒场800平方米，浆砌堡坎211立方米。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硬化道路里程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硬化道路宽度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晾晒场面积</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平方米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资金精准使用率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完工及时率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9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浆砌堡坎单价</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元/立方米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混凝土单价</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元/立方米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改善基础设施条件</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改善生态环境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带动地方经济发展</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项目负责人：雷波</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51081222T000007102709-2022年农村公共服务运行维护市级配套资金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农村公共服务运行维护项目涉及11个行政村。2.切实保障各村内道路、路灯、水利等公益性基础设施正常运转。3.有效改变农村面貌，通过项目实施，形成村民意愿做事，有钱做事的格局，促进基础设施建设，改善农村生活环境。4.有效调动农民参与的积极性，大大调动群众议事的积极性。</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公共服务运行维护项目涉及11个行政村。2.切实保障各村内道路、路灯、水利等公益性基础设施正常运转。有效改变农村面貌，通过项目实施，形成村民意愿做事，有钱做事的格局，促进基础设施建设，改善农村生活环境。有效调动农民参与的积极性，大大调动群众议事的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农村垃圾收储清运涉及行政村数量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路基维修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农村道路保洁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汛期应急抢险</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水泥路面维修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农村集中供水维护</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工程质量验收</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资金精准使用执行率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路面修补混凝土厚度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0.18</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按期完成率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农村集中供水维护</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水泥路面维修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96400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96400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农村垃圾收储清运</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汛期应急抢险</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路基维修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101000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101000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农村道路保洁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153600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153600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受益人数比例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项目实施过程中存在的具体问题。一是项目实施单位，受其自身条件、村内条件无专业队伍施工等因素的制约，在保证质量的前提下，施工进度有待加快。二是重建设，轻管理，养护管理制度还待进一步完善。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36.25</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36.25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36.25</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36.25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36.88</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36.88</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36.88</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36.88</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严格执行预算，保障第一书记工作运行。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51081223T000007707697-2022年基层组织活动和运行经费省级配套资金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9"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1、全面推进社区党组织服务群众项目，加强基层服务型党组织建设，提升服务水平。</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2、切实保障社区内道路、路灯、水利等公益性基础设施正常运转。</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3、改善村容村貌，为建设美丽社区奠定基础。</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农村道路保洁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场镇农贸市场保洁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次/月</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汛期应急抢险</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居住环境清洁率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公共区域环境整治不切底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资金精准使用执行率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完工及时率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道路日常保洁不及时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9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农村道路保洁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农村垃圾收储清运</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汛期应急抢险</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场镇农贸市场保洁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27160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27160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受益人数比例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51081223T000007770669-2022年青林村森林防灭火通道建设项目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为认真落实《朝天区森林防火中长期规划（2016-2025年）》精神，预防森林火灾发生，进一步维护林区安全，修建青林村至流水村森林通道2.8千米，其中：新建1.5千米；扩建道路1.3千米。</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修改建青林村至流水村森林通道2.8千米，其中：新建1.5千米；扩建道路1.3千米。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新建防火通道</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千米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改扩建防火通道</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千米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年底项目验收达标情况</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道路宽度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建设期限</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有效降低森林火灾发生</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持续维护森林覆盖</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坚定绿水青山就是金山银山理念</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周边农户满意度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项目建设总资金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项目负责人：雷波</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51081223T000008150190-2022年李家镇抗旱水源工程项目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1.在青林村棺山坪附近建设自来水厂</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2.争取在上沟里规划建设水库</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3.供水车辆2台（一台20方左右、一台10方左右）用于供水运输和森林防火</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4.保障水质健康，购买消毒剂进行消毒等。</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已按预期目标全面完成全年指标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建饮水水源池1口，购洒水车辆1台。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抗旱水源工程项目任务数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3" w:type="pc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按期完成率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93"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抗旱水源工程项目成本</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用水保障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项目负责人：马开兴</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shd w:val="clear" w:color="auto" w:fill="auto"/>
            <w:vAlign w:val="center"/>
          </w:tcPr>
          <w:p>
            <w:pPr>
              <w:rPr>
                <w:rFonts w:hint="eastAsia" w:ascii="宋体" w:hAnsi="宋体" w:eastAsia="宋体" w:cs="宋体"/>
                <w:i w:val="0"/>
                <w:color w:val="000000"/>
                <w:sz w:val="18"/>
                <w:szCs w:val="18"/>
                <w:u w:val="none"/>
              </w:rPr>
            </w:pPr>
          </w:p>
        </w:tc>
        <w:tc>
          <w:tcPr>
            <w:tcW w:w="816" w:type="pct"/>
            <w:shd w:val="clear" w:color="auto" w:fill="auto"/>
            <w:vAlign w:val="center"/>
          </w:tcPr>
          <w:p>
            <w:pPr>
              <w:rPr>
                <w:rFonts w:hint="eastAsia" w:ascii="宋体" w:hAnsi="宋体" w:eastAsia="宋体" w:cs="宋体"/>
                <w:i w:val="0"/>
                <w:color w:val="000000"/>
                <w:sz w:val="18"/>
                <w:szCs w:val="18"/>
                <w:u w:val="none"/>
              </w:rPr>
            </w:pPr>
          </w:p>
        </w:tc>
        <w:tc>
          <w:tcPr>
            <w:tcW w:w="493" w:type="pct"/>
            <w:shd w:val="clear" w:color="auto" w:fill="auto"/>
            <w:vAlign w:val="center"/>
          </w:tcPr>
          <w:p>
            <w:pPr>
              <w:rPr>
                <w:rFonts w:hint="eastAsia" w:ascii="宋体" w:hAnsi="宋体" w:eastAsia="宋体" w:cs="宋体"/>
                <w:i w:val="0"/>
                <w:color w:val="000000"/>
                <w:sz w:val="18"/>
                <w:szCs w:val="18"/>
                <w:u w:val="none"/>
              </w:rPr>
            </w:pPr>
          </w:p>
        </w:tc>
        <w:tc>
          <w:tcPr>
            <w:tcW w:w="620" w:type="pct"/>
            <w:shd w:val="clear" w:color="auto" w:fill="auto"/>
            <w:vAlign w:val="center"/>
          </w:tcPr>
          <w:p>
            <w:pPr>
              <w:rPr>
                <w:rFonts w:hint="eastAsia" w:ascii="宋体" w:hAnsi="宋体" w:eastAsia="宋体" w:cs="宋体"/>
                <w:i w:val="0"/>
                <w:color w:val="000000"/>
                <w:sz w:val="18"/>
                <w:szCs w:val="18"/>
                <w:u w:val="none"/>
              </w:rPr>
            </w:pPr>
          </w:p>
        </w:tc>
        <w:tc>
          <w:tcPr>
            <w:tcW w:w="332" w:type="pct"/>
            <w:shd w:val="clear" w:color="auto" w:fill="auto"/>
            <w:vAlign w:val="center"/>
          </w:tcPr>
          <w:p>
            <w:pPr>
              <w:rPr>
                <w:rFonts w:hint="eastAsia" w:ascii="宋体" w:hAnsi="宋体" w:eastAsia="宋体" w:cs="宋体"/>
                <w:i w:val="0"/>
                <w:color w:val="000000"/>
                <w:sz w:val="18"/>
                <w:szCs w:val="18"/>
                <w:u w:val="none"/>
              </w:rPr>
            </w:pPr>
          </w:p>
        </w:tc>
        <w:tc>
          <w:tcPr>
            <w:tcW w:w="259" w:type="pct"/>
            <w:shd w:val="clear" w:color="auto" w:fill="auto"/>
            <w:vAlign w:val="center"/>
          </w:tcPr>
          <w:p>
            <w:pPr>
              <w:rPr>
                <w:rFonts w:hint="eastAsia" w:ascii="宋体" w:hAnsi="宋体" w:eastAsia="宋体" w:cs="宋体"/>
                <w:i w:val="0"/>
                <w:color w:val="000000"/>
                <w:sz w:val="18"/>
                <w:szCs w:val="18"/>
                <w:u w:val="none"/>
              </w:rPr>
            </w:pPr>
          </w:p>
        </w:tc>
        <w:tc>
          <w:tcPr>
            <w:tcW w:w="476" w:type="pct"/>
            <w:shd w:val="clear" w:color="auto" w:fill="auto"/>
            <w:vAlign w:val="center"/>
          </w:tcPr>
          <w:p>
            <w:pPr>
              <w:rPr>
                <w:rFonts w:hint="eastAsia" w:ascii="宋体" w:hAnsi="宋体" w:eastAsia="宋体" w:cs="宋体"/>
                <w:i w:val="0"/>
                <w:color w:val="000000"/>
                <w:sz w:val="18"/>
                <w:szCs w:val="18"/>
                <w:u w:val="none"/>
              </w:rPr>
            </w:pPr>
          </w:p>
        </w:tc>
        <w:tc>
          <w:tcPr>
            <w:tcW w:w="608" w:type="pct"/>
            <w:shd w:val="clear" w:color="auto" w:fill="auto"/>
            <w:vAlign w:val="center"/>
          </w:tcPr>
          <w:p>
            <w:pPr>
              <w:rPr>
                <w:rFonts w:hint="eastAsia" w:ascii="宋体" w:hAnsi="宋体" w:eastAsia="宋体" w:cs="宋体"/>
                <w:i w:val="0"/>
                <w:color w:val="000000"/>
                <w:sz w:val="18"/>
                <w:szCs w:val="18"/>
                <w:u w:val="none"/>
              </w:rPr>
            </w:pPr>
          </w:p>
        </w:tc>
        <w:tc>
          <w:tcPr>
            <w:tcW w:w="160" w:type="pct"/>
            <w:shd w:val="clear" w:color="auto" w:fill="auto"/>
            <w:vAlign w:val="center"/>
          </w:tcPr>
          <w:p>
            <w:pPr>
              <w:rPr>
                <w:rFonts w:hint="eastAsia" w:ascii="宋体" w:hAnsi="宋体" w:eastAsia="宋体" w:cs="宋体"/>
                <w:i w:val="0"/>
                <w:color w:val="000000"/>
                <w:sz w:val="18"/>
                <w:szCs w:val="18"/>
                <w:u w:val="none"/>
              </w:rPr>
            </w:pPr>
          </w:p>
        </w:tc>
        <w:tc>
          <w:tcPr>
            <w:tcW w:w="164" w:type="pct"/>
            <w:gridSpan w:val="2"/>
            <w:shd w:val="clear" w:color="auto" w:fill="auto"/>
            <w:vAlign w:val="center"/>
          </w:tcPr>
          <w:p>
            <w:pPr>
              <w:rPr>
                <w:rFonts w:hint="eastAsia" w:ascii="宋体" w:hAnsi="宋体" w:eastAsia="宋体" w:cs="宋体"/>
                <w:i w:val="0"/>
                <w:color w:val="000000"/>
                <w:sz w:val="18"/>
                <w:szCs w:val="18"/>
                <w:u w:val="none"/>
              </w:rPr>
            </w:pPr>
          </w:p>
        </w:tc>
        <w:tc>
          <w:tcPr>
            <w:tcW w:w="632" w:type="pct"/>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51081223T000008513180-2022年村党组织带头人学历提升班学习费用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广元市朝天区李家镇人民政府部门</w:t>
            </w:r>
          </w:p>
        </w:tc>
        <w:tc>
          <w:tcPr>
            <w:tcW w:w="608" w:type="pct"/>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广元市朝天区李家镇人民政府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7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通过项目实施，大大加大村（社区）干部的能力水平。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40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通过加强预算收支管理，不断建立健全内部管理制度，梳理内部管理流程，部门整体支出管理水平得到提升。评分100分。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56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进一步提高预算编制的科学性、严谨性和可控性。确保下拨资金及时足额到位，便于及时有效使用，管理部门开展有效的使用情况跟踪管理。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26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项目负责人：孙亮</w:t>
            </w:r>
          </w:p>
        </w:tc>
        <w:tc>
          <w:tcPr>
            <w:tcW w:w="23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财务负责人：刘德培</w:t>
            </w:r>
          </w:p>
        </w:tc>
      </w:tr>
    </w:tbl>
    <w:p>
      <w:pPr>
        <w:keepNext w:val="0"/>
        <w:keepLines w:val="0"/>
        <w:pageBreakBefore w:val="0"/>
        <w:kinsoku/>
        <w:wordWrap/>
        <w:overflowPunct/>
        <w:topLinePunct w:val="0"/>
        <w:autoSpaceDE w:val="0"/>
        <w:autoSpaceDN/>
        <w:bidi w:val="0"/>
        <w:spacing w:line="560" w:lineRule="exact"/>
        <w:ind w:firstLine="4740" w:firstLineChars="1500"/>
        <w:textAlignment w:val="auto"/>
        <w:rPr>
          <w:rFonts w:ascii="Arial" w:hAnsi="Arial" w:eastAsia="仿宋_GB2312" w:cs="Arial"/>
          <w:w w:val="99"/>
          <w:sz w:val="32"/>
          <w:szCs w:val="32"/>
        </w:rPr>
      </w:pPr>
    </w:p>
    <w:p>
      <w:pPr>
        <w:keepNext w:val="0"/>
        <w:keepLines w:val="0"/>
        <w:pageBreakBefore w:val="0"/>
        <w:kinsoku/>
        <w:wordWrap/>
        <w:overflowPunct/>
        <w:topLinePunct w:val="0"/>
        <w:autoSpaceDE w:val="0"/>
        <w:autoSpaceDN/>
        <w:bidi w:val="0"/>
        <w:spacing w:line="560" w:lineRule="exact"/>
        <w:ind w:firstLine="4740" w:firstLineChars="1500"/>
        <w:textAlignment w:val="auto"/>
        <w:rPr>
          <w:rFonts w:ascii="Arial" w:hAnsi="Arial" w:eastAsia="仿宋_GB2312" w:cs="Arial"/>
          <w:w w:val="99"/>
          <w:sz w:val="32"/>
          <w:szCs w:val="32"/>
        </w:rPr>
      </w:pP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Times New Roman" w:eastAsia="仿宋_GB2312" w:cs="Times New Roman"/>
          <w:color w:val="auto"/>
          <w:kern w:val="0"/>
          <w:sz w:val="32"/>
          <w:szCs w:val="32"/>
          <w:shd w:val="clear" w:color="auto" w:fill="FFFFFF"/>
        </w:rPr>
      </w:pP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keepNext w:val="0"/>
        <w:keepLines w:val="0"/>
        <w:pageBreakBefore w:val="0"/>
        <w:widowControl w:val="0"/>
        <w:kinsoku/>
        <w:wordWrap/>
        <w:overflowPunct/>
        <w:topLinePunct w:val="0"/>
        <w:autoSpaceDE/>
        <w:autoSpaceDN/>
        <w:bidi w:val="0"/>
        <w:adjustRightInd/>
        <w:snapToGrid/>
        <w:spacing w:line="572" w:lineRule="exact"/>
        <w:jc w:val="left"/>
        <w:textAlignment w:val="auto"/>
        <w:outlineLvl w:val="0"/>
        <w:rPr>
          <w:rFonts w:hint="eastAsia" w:ascii="黑体" w:hAnsi="黑体" w:eastAsia="黑体" w:cs="黑体"/>
          <w:sz w:val="32"/>
          <w:szCs w:val="32"/>
          <w:lang w:val="en-US" w:eastAsia="zh-CN"/>
        </w:rPr>
      </w:pPr>
      <w:bookmarkStart w:id="103" w:name="_Toc22272"/>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2：</w:t>
      </w:r>
      <w:bookmarkEnd w:id="103"/>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2022年城乡社区环境卫生整治</w:t>
      </w:r>
      <w:r>
        <w:rPr>
          <w:rFonts w:hint="eastAsia" w:ascii="方正小标宋简体" w:hAnsi="方正小标宋简体" w:eastAsia="方正小标宋简体" w:cs="方正小标宋简体"/>
          <w:b w:val="0"/>
          <w:bCs w:val="0"/>
          <w:color w:val="000000"/>
          <w:kern w:val="0"/>
          <w:sz w:val="44"/>
          <w:szCs w:val="44"/>
        </w:rPr>
        <w:t>项目支出</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spacing w:line="600" w:lineRule="exact"/>
        <w:ind w:firstLine="640"/>
        <w:jc w:val="center"/>
        <w:rPr>
          <w:rFonts w:ascii="宋体"/>
          <w:sz w:val="32"/>
          <w:szCs w:val="32"/>
          <w:lang w:val="zh-CN"/>
        </w:rPr>
      </w:pPr>
    </w:p>
    <w:p>
      <w:pPr>
        <w:autoSpaceDE w:val="0"/>
        <w:spacing w:line="540" w:lineRule="exact"/>
        <w:ind w:firstLine="616" w:firstLineChars="200"/>
        <w:rPr>
          <w:rFonts w:hint="eastAsia" w:ascii="黑体" w:hAnsi="黑体" w:eastAsia="黑体" w:cs="Times New Roman"/>
          <w:color w:val="auto"/>
          <w:spacing w:val="-6"/>
          <w:sz w:val="32"/>
          <w:szCs w:val="32"/>
        </w:rPr>
      </w:pPr>
      <w:r>
        <w:rPr>
          <w:rFonts w:hint="eastAsia" w:ascii="黑体" w:hAnsi="黑体" w:eastAsia="黑体" w:cs="Times New Roman"/>
          <w:color w:val="auto"/>
          <w:spacing w:val="-6"/>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color w:val="auto"/>
          <w:lang w:val="en-US" w:eastAsia="zh-CN"/>
        </w:rPr>
      </w:pPr>
      <w:r>
        <w:rPr>
          <w:rFonts w:hint="eastAsia" w:ascii="楷体_GB2312" w:hAnsi="Times New Roman" w:eastAsia="楷体_GB2312" w:cs="Times New Roman"/>
          <w:bCs/>
          <w:color w:val="auto"/>
          <w:spacing w:val="-6"/>
          <w:sz w:val="32"/>
          <w:szCs w:val="32"/>
        </w:rPr>
        <w:t>（一）</w:t>
      </w:r>
      <w:r>
        <w:rPr>
          <w:rFonts w:hint="eastAsia" w:ascii="仿宋_GB2312" w:hAnsi="仿宋_GB2312" w:eastAsia="仿宋_GB2312" w:cs="仿宋_GB2312"/>
          <w:color w:val="auto"/>
          <w:kern w:val="0"/>
          <w:sz w:val="32"/>
          <w:szCs w:val="32"/>
          <w:lang w:val="en-US" w:eastAsia="zh-CN" w:bidi="ar"/>
        </w:rPr>
        <w:t>李家镇2022年城乡社区环境卫生整治。</w:t>
      </w:r>
    </w:p>
    <w:p>
      <w:p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楷体_GB2312" w:hAnsi="Times New Roman" w:eastAsia="楷体_GB2312" w:cs="Times New Roman"/>
          <w:bCs/>
          <w:color w:val="auto"/>
          <w:spacing w:val="-6"/>
          <w:sz w:val="32"/>
          <w:szCs w:val="32"/>
        </w:rPr>
        <w:t>（二）项目绩效目标。</w:t>
      </w:r>
      <w:r>
        <w:rPr>
          <w:rFonts w:hint="eastAsia" w:ascii="仿宋_GB2312" w:eastAsia="仿宋_GB2312"/>
          <w:color w:val="auto"/>
          <w:sz w:val="32"/>
          <w:szCs w:val="32"/>
          <w:lang w:eastAsia="zh-CN"/>
        </w:rPr>
        <w:t>全镇</w:t>
      </w:r>
      <w:r>
        <w:rPr>
          <w:rFonts w:hint="eastAsia" w:ascii="仿宋_GB2312" w:eastAsia="仿宋_GB2312"/>
          <w:color w:val="auto"/>
          <w:sz w:val="32"/>
          <w:szCs w:val="32"/>
        </w:rPr>
        <w:t>环境卫生持续保持，提升各村（社区）的村容村貌，环境优美，路面干净。完成</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个行政村、1个社区垃圾</w:t>
      </w:r>
      <w:r>
        <w:rPr>
          <w:rFonts w:hint="eastAsia" w:ascii="仿宋_GB2312" w:eastAsia="仿宋_GB2312"/>
          <w:color w:val="auto"/>
          <w:sz w:val="32"/>
          <w:szCs w:val="32"/>
          <w:lang w:eastAsia="zh-CN"/>
        </w:rPr>
        <w:t>收集转运</w:t>
      </w:r>
      <w:r>
        <w:rPr>
          <w:rFonts w:hint="eastAsia" w:ascii="仿宋_GB2312" w:eastAsia="仿宋_GB2312"/>
          <w:color w:val="auto"/>
          <w:sz w:val="32"/>
          <w:szCs w:val="32"/>
        </w:rPr>
        <w:t>、垃圾车正常运转和日常保洁；保障垃圾填埋场正常运转，做好城</w:t>
      </w:r>
      <w:r>
        <w:rPr>
          <w:rFonts w:hint="eastAsia" w:ascii="仿宋_GB2312" w:eastAsia="仿宋_GB2312"/>
          <w:color w:val="auto"/>
          <w:sz w:val="32"/>
          <w:szCs w:val="32"/>
          <w:lang w:eastAsia="zh-CN"/>
        </w:rPr>
        <w:t>镇</w:t>
      </w:r>
      <w:r>
        <w:rPr>
          <w:rFonts w:hint="eastAsia" w:ascii="仿宋_GB2312" w:eastAsia="仿宋_GB2312"/>
          <w:color w:val="auto"/>
          <w:sz w:val="32"/>
          <w:szCs w:val="32"/>
        </w:rPr>
        <w:t>环境治理的相关宣传。</w:t>
      </w:r>
    </w:p>
    <w:p>
      <w:pPr>
        <w:ind w:firstLine="616" w:firstLineChars="200"/>
        <w:rPr>
          <w:rFonts w:hint="eastAsia" w:ascii="仿宋_GB2312" w:hAnsi="Times New Roman" w:eastAsia="仿宋_GB2312" w:cs="Times New Roman"/>
          <w:color w:val="auto"/>
          <w:spacing w:val="-6"/>
          <w:sz w:val="32"/>
          <w:szCs w:val="32"/>
        </w:rPr>
      </w:pPr>
      <w:r>
        <w:rPr>
          <w:rFonts w:hint="eastAsia" w:ascii="楷体_GB2312" w:hAnsi="Times New Roman" w:eastAsia="楷体_GB2312" w:cs="Times New Roman"/>
          <w:bCs/>
          <w:color w:val="auto"/>
          <w:spacing w:val="-6"/>
          <w:sz w:val="32"/>
          <w:szCs w:val="32"/>
        </w:rPr>
        <w:t>（三）项目资金申报相符性。</w:t>
      </w:r>
      <w:r>
        <w:rPr>
          <w:rFonts w:hint="eastAsia" w:ascii="仿宋_GB2312" w:eastAsia="仿宋_GB2312"/>
          <w:color w:val="auto"/>
          <w:sz w:val="32"/>
          <w:szCs w:val="32"/>
        </w:rPr>
        <w:t>项目资金使用符合相关的财务管理制度规定，不存在截留、挤占、挪用、虚列支出等情况。</w:t>
      </w:r>
    </w:p>
    <w:p>
      <w:pPr>
        <w:autoSpaceDE w:val="0"/>
        <w:spacing w:line="540" w:lineRule="exact"/>
        <w:ind w:firstLine="616" w:firstLineChars="200"/>
        <w:rPr>
          <w:rFonts w:hint="eastAsia" w:ascii="黑体" w:hAnsi="黑体" w:eastAsia="黑体" w:cs="Times New Roman"/>
          <w:color w:val="auto"/>
          <w:spacing w:val="-6"/>
          <w:sz w:val="32"/>
          <w:szCs w:val="32"/>
        </w:rPr>
      </w:pPr>
      <w:r>
        <w:rPr>
          <w:rFonts w:hint="eastAsia" w:ascii="黑体" w:hAnsi="黑体" w:eastAsia="黑体" w:cs="Times New Roman"/>
          <w:color w:val="auto"/>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1.资金计划及到位。该项目截止评价时点实际到位</w:t>
      </w:r>
      <w:r>
        <w:rPr>
          <w:rFonts w:hint="eastAsia" w:ascii="仿宋_GB2312" w:hAnsi="Times New Roman" w:eastAsia="仿宋_GB2312" w:cs="Times New Roman"/>
          <w:color w:val="auto"/>
          <w:spacing w:val="-6"/>
          <w:sz w:val="32"/>
          <w:szCs w:val="32"/>
          <w:lang w:val="en-US" w:eastAsia="zh-CN"/>
        </w:rPr>
        <w:t>1</w:t>
      </w:r>
      <w:r>
        <w:rPr>
          <w:rFonts w:hint="eastAsia" w:ascii="仿宋_GB2312" w:eastAsia="仿宋_GB2312" w:cs="Times New Roman"/>
          <w:color w:val="auto"/>
          <w:spacing w:val="-6"/>
          <w:sz w:val="32"/>
          <w:szCs w:val="32"/>
          <w:lang w:val="en-US" w:eastAsia="zh-CN"/>
        </w:rPr>
        <w:t>5</w:t>
      </w:r>
      <w:r>
        <w:rPr>
          <w:rFonts w:hint="eastAsia" w:ascii="仿宋_GB2312" w:hAnsi="Times New Roman" w:eastAsia="仿宋_GB2312" w:cs="Times New Roman"/>
          <w:color w:val="auto"/>
          <w:spacing w:val="-6"/>
          <w:sz w:val="32"/>
          <w:szCs w:val="32"/>
        </w:rPr>
        <w:t>万元，其中：本级资金</w:t>
      </w:r>
      <w:r>
        <w:rPr>
          <w:rFonts w:hint="eastAsia" w:ascii="仿宋_GB2312" w:hAnsi="Times New Roman" w:eastAsia="仿宋_GB2312" w:cs="Times New Roman"/>
          <w:color w:val="auto"/>
          <w:spacing w:val="-6"/>
          <w:sz w:val="32"/>
          <w:szCs w:val="32"/>
          <w:lang w:val="en-US" w:eastAsia="zh-CN"/>
        </w:rPr>
        <w:t>1</w:t>
      </w:r>
      <w:r>
        <w:rPr>
          <w:rFonts w:hint="eastAsia" w:ascii="仿宋_GB2312" w:eastAsia="仿宋_GB2312" w:cs="Times New Roman"/>
          <w:color w:val="auto"/>
          <w:spacing w:val="-6"/>
          <w:sz w:val="32"/>
          <w:szCs w:val="32"/>
          <w:lang w:val="en-US" w:eastAsia="zh-CN"/>
        </w:rPr>
        <w:t>5</w:t>
      </w:r>
      <w:r>
        <w:rPr>
          <w:rFonts w:hint="eastAsia" w:ascii="仿宋_GB2312" w:hAnsi="Times New Roman" w:eastAsia="仿宋_GB2312" w:cs="Times New Roman"/>
          <w:color w:val="auto"/>
          <w:spacing w:val="-6"/>
          <w:sz w:val="32"/>
          <w:szCs w:val="32"/>
        </w:rPr>
        <w:t>万元</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rPr>
        <w:t>到位率100%。</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2.资金使用。截止评价时点项目资金的实际支出</w:t>
      </w:r>
      <w:r>
        <w:rPr>
          <w:rFonts w:hint="eastAsia" w:ascii="仿宋_GB2312" w:hAnsi="Times New Roman" w:eastAsia="仿宋_GB2312" w:cs="Times New Roman"/>
          <w:color w:val="auto"/>
          <w:spacing w:val="-6"/>
          <w:sz w:val="32"/>
          <w:szCs w:val="32"/>
          <w:lang w:val="en-US" w:eastAsia="zh-CN"/>
        </w:rPr>
        <w:t>1</w:t>
      </w:r>
      <w:r>
        <w:rPr>
          <w:rFonts w:hint="eastAsia" w:ascii="仿宋_GB2312" w:eastAsia="仿宋_GB2312" w:cs="Times New Roman"/>
          <w:color w:val="auto"/>
          <w:spacing w:val="-6"/>
          <w:sz w:val="32"/>
          <w:szCs w:val="32"/>
          <w:lang w:val="en-US" w:eastAsia="zh-CN"/>
        </w:rPr>
        <w:t>5</w:t>
      </w:r>
      <w:r>
        <w:rPr>
          <w:rFonts w:hint="eastAsia" w:ascii="仿宋_GB2312" w:hAnsi="Times New Roman" w:eastAsia="仿宋_GB2312" w:cs="Times New Roman"/>
          <w:color w:val="auto"/>
          <w:spacing w:val="-6"/>
          <w:sz w:val="32"/>
          <w:szCs w:val="32"/>
        </w:rPr>
        <w:t>万元，严格按照专项资金管理办法规定，加强管理，做到专款专用，提高资金使用效益。主要用于</w:t>
      </w:r>
      <w:r>
        <w:rPr>
          <w:rFonts w:hint="eastAsia" w:ascii="仿宋_GB2312" w:hAnsi="仿宋_GB2312" w:eastAsia="仿宋_GB2312" w:cs="仿宋_GB2312"/>
          <w:color w:val="auto"/>
          <w:kern w:val="0"/>
          <w:sz w:val="32"/>
          <w:szCs w:val="32"/>
          <w:lang w:val="en-US" w:eastAsia="zh-CN" w:bidi="ar"/>
        </w:rPr>
        <w:t>日常保洁劳务、垃圾清运费</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rPr>
        <w:t>使用率100%，无结余。</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（二）项目财务管理情况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lang w:val="en-US" w:eastAsia="zh-CN"/>
        </w:rPr>
        <w:t>本单位</w:t>
      </w:r>
      <w:r>
        <w:rPr>
          <w:rFonts w:hint="eastAsia" w:ascii="仿宋_GB2312" w:hAnsi="Times New Roman" w:eastAsia="仿宋_GB2312" w:cs="Times New Roman"/>
          <w:color w:val="auto"/>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color w:val="auto"/>
          <w:spacing w:val="-6"/>
          <w:sz w:val="32"/>
          <w:szCs w:val="32"/>
          <w:lang w:val="en-US" w:eastAsia="zh-CN"/>
        </w:rPr>
        <w:t>镇</w:t>
      </w:r>
      <w:r>
        <w:rPr>
          <w:rFonts w:hint="eastAsia" w:ascii="仿宋_GB2312" w:hAnsi="Times New Roman" w:eastAsia="仿宋_GB2312" w:cs="Times New Roman"/>
          <w:color w:val="auto"/>
          <w:spacing w:val="-6"/>
          <w:sz w:val="32"/>
          <w:szCs w:val="32"/>
        </w:rPr>
        <w:t>财务管理制度规范执行，坚持“专项核算、专人管理、专款专用”的原则，不存在超标准、截留、挪用、虚列支出等情况。</w:t>
      </w:r>
    </w:p>
    <w:p>
      <w:pPr>
        <w:autoSpaceDE w:val="0"/>
        <w:spacing w:line="540" w:lineRule="exact"/>
        <w:ind w:firstLine="616" w:firstLineChars="200"/>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（三）项目组织实施情况</w:t>
      </w:r>
    </w:p>
    <w:p>
      <w:pPr>
        <w:autoSpaceDE w:val="0"/>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扎实落实创建工作任务，</w:t>
      </w:r>
      <w:r>
        <w:rPr>
          <w:rFonts w:hint="eastAsia" w:ascii="仿宋_GB2312" w:hAnsi="仿宋_GB2312" w:eastAsia="仿宋_GB2312" w:cs="仿宋_GB2312"/>
          <w:color w:val="auto"/>
          <w:sz w:val="32"/>
          <w:szCs w:val="32"/>
          <w:lang w:val="en-US" w:eastAsia="zh-CN"/>
        </w:rPr>
        <w:t>安排专门人员就全过程跟踪管理，确保道路清洁、垃圾清理及时，进度符合预定目标，截止2022年末，项目全部实施完毕</w:t>
      </w:r>
      <w:r>
        <w:rPr>
          <w:rFonts w:hint="eastAsia" w:ascii="仿宋_GB2312" w:hAnsi="仿宋_GB2312" w:eastAsia="仿宋_GB2312" w:cs="仿宋_GB2312"/>
          <w:color w:val="auto"/>
          <w:sz w:val="32"/>
          <w:szCs w:val="32"/>
          <w:lang w:val="zh-CN"/>
        </w:rPr>
        <w:t>。</w:t>
      </w:r>
      <w:r>
        <w:rPr>
          <w:rFonts w:hint="eastAsia" w:ascii="仿宋_GB2312" w:eastAsia="仿宋_GB2312"/>
          <w:color w:val="auto"/>
          <w:sz w:val="32"/>
          <w:szCs w:val="32"/>
        </w:rPr>
        <w:t xml:space="preserve"> </w:t>
      </w:r>
    </w:p>
    <w:p>
      <w:pPr>
        <w:autoSpaceDE w:val="0"/>
        <w:spacing w:line="540" w:lineRule="exact"/>
        <w:ind w:firstLine="616" w:firstLineChars="200"/>
        <w:rPr>
          <w:rFonts w:hint="eastAsia" w:ascii="黑体" w:hAnsi="黑体" w:eastAsia="黑体" w:cs="Times New Roman"/>
          <w:color w:val="auto"/>
          <w:spacing w:val="-6"/>
          <w:sz w:val="32"/>
          <w:szCs w:val="32"/>
        </w:rPr>
      </w:pPr>
      <w:r>
        <w:rPr>
          <w:rFonts w:hint="eastAsia" w:ascii="黑体" w:hAnsi="黑体" w:eastAsia="黑体" w:cs="Times New Roman"/>
          <w:color w:val="auto"/>
          <w:spacing w:val="-6"/>
          <w:sz w:val="32"/>
          <w:szCs w:val="32"/>
        </w:rPr>
        <w:t>三、项目绩效情况</w:t>
      </w:r>
      <w:r>
        <w:rPr>
          <w:rFonts w:hint="eastAsia" w:ascii="黑体" w:hAnsi="黑体" w:eastAsia="黑体" w:cs="Times New Roman"/>
          <w:color w:val="auto"/>
          <w:spacing w:val="-6"/>
          <w:sz w:val="32"/>
          <w:szCs w:val="32"/>
        </w:rPr>
        <w:tab/>
      </w:r>
    </w:p>
    <w:p>
      <w:pPr>
        <w:autoSpaceDE w:val="0"/>
        <w:spacing w:line="540" w:lineRule="exact"/>
        <w:ind w:firstLine="616" w:firstLineChars="200"/>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（一）项目完成情况</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1.项目的经济性分析。</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(1)项目成本(预算)控制情况;</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完成了整个项目支出15万元，项目支出主要包括日常保洁劳务、垃圾清运费。</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项目成本(预算)节约情况。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项目支出过程中均按照厉行节约原则完成。</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2.项目的效率性分析。</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(1)项目的实施进度。</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按时完成2022年城镇环境综合治理的工作任务</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(2)项目完成质量。</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工作任务全部按时完成，我镇环境卫生治理取得了优良的成效，各行政村社区卫生设施的正常运转，改善了项目村的村容村貌，提高了项目村村民的生产发展积极性，推动了社会的进步和发展。</w:t>
      </w:r>
    </w:p>
    <w:p>
      <w:pPr>
        <w:autoSpaceDE w:val="0"/>
        <w:spacing w:line="540" w:lineRule="exact"/>
        <w:ind w:firstLine="616" w:firstLineChars="200"/>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（二）项目效益情况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200" w:firstLine="320" w:firstLineChars="1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1.项目的效益性分析。</w:t>
      </w:r>
    </w:p>
    <w:p>
      <w:pPr>
        <w:pStyle w:val="2"/>
        <w:numPr>
          <w:ilvl w:val="0"/>
          <w:numId w:val="0"/>
        </w:numPr>
        <w:ind w:firstLine="640" w:firstLineChars="200"/>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促进镇村旅游发展，推动朝天区天府旅游名县的创建，吸引游客消费，带动农副产品销售。</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2.项目的可持续性分析。</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全镇环境卫生持续保持，提升各村（社区）的村容村貌，环境优美，路面干净。</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3.项目预算批复的绩效指标完成情况分析</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项目共设置11个绩效指标，绩效目标全部以高标准完成。具体情况如下:</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数量指标：聘请环卫车辆驾驶员1人、保洁人员2人环卫车辆运行维护2辆。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质量指标：资金精准使用执行率100%、投诉率0；</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时效指标：清运及时率100%。</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成本指标：驾驶人员工资60000元/年，保洁人员工资36000元/年，环卫车辆运行维护54000元/年。</w:t>
      </w:r>
    </w:p>
    <w:p>
      <w:pPr>
        <w:pStyle w:val="8"/>
        <w:rPr>
          <w:rFonts w:hint="default"/>
          <w:lang w:val="en-US" w:eastAsia="zh-CN"/>
        </w:rPr>
      </w:pPr>
      <w:r>
        <w:rPr>
          <w:rFonts w:hint="eastAsia" w:hAnsi="仿宋_GB2312" w:cs="仿宋_GB2312"/>
          <w:color w:val="auto"/>
          <w:kern w:val="0"/>
          <w:sz w:val="32"/>
          <w:szCs w:val="32"/>
          <w:lang w:val="en-US" w:eastAsia="zh-CN" w:bidi="ar"/>
        </w:rPr>
        <w:t xml:space="preserve">    生态效益指标：降低路面扬尘，有效改善空气质量。</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Times New Roman" w:eastAsia="仿宋_GB2312" w:cs="Times New Roman"/>
          <w:color w:val="auto"/>
          <w:spacing w:val="-6"/>
          <w:sz w:val="32"/>
          <w:szCs w:val="32"/>
        </w:rPr>
      </w:pPr>
      <w:r>
        <w:rPr>
          <w:rFonts w:hint="eastAsia" w:ascii="仿宋_GB2312" w:hAnsi="仿宋_GB2312" w:eastAsia="仿宋_GB2312" w:cs="仿宋_GB2312"/>
          <w:color w:val="auto"/>
          <w:kern w:val="0"/>
          <w:sz w:val="32"/>
          <w:szCs w:val="32"/>
          <w:lang w:val="en-US" w:eastAsia="zh-CN" w:bidi="ar"/>
        </w:rPr>
        <w:t>满意度指标：群众对城镇环境卫生治理的满意度达90%以上。</w:t>
      </w:r>
    </w:p>
    <w:p>
      <w:pPr>
        <w:autoSpaceDE w:val="0"/>
        <w:spacing w:line="540" w:lineRule="exact"/>
        <w:ind w:firstLine="616" w:firstLineChars="200"/>
        <w:rPr>
          <w:rFonts w:hint="eastAsia" w:ascii="黑体" w:hAnsi="黑体" w:eastAsia="黑体" w:cs="Times New Roman"/>
          <w:color w:val="auto"/>
          <w:spacing w:val="-6"/>
          <w:sz w:val="32"/>
          <w:szCs w:val="32"/>
        </w:rPr>
      </w:pPr>
      <w:r>
        <w:rPr>
          <w:rFonts w:hint="eastAsia" w:ascii="黑体" w:hAnsi="黑体" w:eastAsia="黑体" w:cs="Times New Roman"/>
          <w:color w:val="auto"/>
          <w:spacing w:val="-6"/>
          <w:sz w:val="32"/>
          <w:szCs w:val="32"/>
        </w:rPr>
        <w:t>四、问题及建议</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（一）存在的问题</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_GB2312" w:hAnsi="Times New Roman" w:eastAsia="楷体_GB2312" w:cs="Times New Roman"/>
          <w:bCs/>
          <w:color w:val="auto"/>
          <w:spacing w:val="-6"/>
          <w:sz w:val="32"/>
          <w:szCs w:val="32"/>
        </w:rPr>
      </w:pPr>
      <w:r>
        <w:rPr>
          <w:rFonts w:hint="eastAsia" w:ascii="仿宋_GB2312" w:hAnsi="仿宋_GB2312" w:eastAsia="仿宋_GB2312" w:cs="仿宋_GB2312"/>
          <w:color w:val="auto"/>
          <w:kern w:val="0"/>
          <w:sz w:val="32"/>
          <w:szCs w:val="32"/>
          <w:lang w:val="en-US" w:eastAsia="zh-CN" w:bidi="ar"/>
        </w:rPr>
        <w:t>综合预算项目绩效评价情况认为，在项目资金预算绩效方面总体上是管理使用到位的，个别项目未完成预算资金使用量,虽然存在较多客观因素，但是应及时做好汇报和资金调整工作。</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lang w:val="zh-CN"/>
        </w:rPr>
      </w:pPr>
      <w:r>
        <w:rPr>
          <w:rFonts w:hint="eastAsia" w:ascii="楷体_GB2312" w:hAnsi="Times New Roman" w:eastAsia="楷体_GB2312" w:cs="Times New Roman"/>
          <w:bCs/>
          <w:color w:val="auto"/>
          <w:spacing w:val="-6"/>
          <w:sz w:val="32"/>
          <w:szCs w:val="32"/>
        </w:rPr>
        <w:t>（二）相关建议。</w:t>
      </w:r>
      <w:r>
        <w:rPr>
          <w:rFonts w:hint="eastAsia" w:ascii="仿宋_GB2312" w:hAnsi="仿宋_GB2312" w:eastAsia="仿宋_GB2312" w:cs="仿宋_GB2312"/>
          <w:color w:val="auto"/>
          <w:kern w:val="0"/>
          <w:sz w:val="32"/>
          <w:szCs w:val="32"/>
          <w:lang w:val="en-US" w:eastAsia="zh-CN" w:bidi="ar"/>
        </w:rPr>
        <w:t>建议制订年度项目资金预算方案前，认真做好每个项目的市场预测和绩效目标分析,及时向领导通报资金使用情况，以便及时作出调整，实现项目资金利用效率最大化。</w:t>
      </w:r>
    </w:p>
    <w:p>
      <w:pPr>
        <w:keepNext w:val="0"/>
        <w:keepLines w:val="0"/>
        <w:pageBreakBefore w:val="0"/>
        <w:widowControl w:val="0"/>
        <w:kinsoku/>
        <w:wordWrap/>
        <w:overflowPunct/>
        <w:topLinePunct w:val="0"/>
        <w:autoSpaceDE/>
        <w:autoSpaceDN/>
        <w:bidi w:val="0"/>
        <w:adjustRightInd/>
        <w:snapToGrid/>
        <w:spacing w:line="572" w:lineRule="exact"/>
        <w:jc w:val="left"/>
        <w:textAlignment w:val="auto"/>
        <w:outlineLvl w:val="0"/>
        <w:rPr>
          <w:rFonts w:hint="eastAsia" w:hAnsi="宋体" w:cs="宋体"/>
          <w:sz w:val="32"/>
          <w:szCs w:val="32"/>
          <w:shd w:val="clear" w:color="auto" w:fill="FFFFFF"/>
          <w:lang w:val="en-US" w:eastAsia="zh-CN"/>
        </w:rPr>
      </w:pPr>
      <w:r>
        <w:rPr>
          <w:rFonts w:hAnsi="宋体" w:cs="宋体"/>
          <w:sz w:val="32"/>
          <w:szCs w:val="32"/>
          <w:shd w:val="clear" w:color="auto" w:fill="FFFFFF"/>
          <w:lang w:val="zh-CN"/>
        </w:rPr>
        <w:br w:type="page"/>
      </w:r>
      <w:bookmarkStart w:id="104" w:name="_Toc1098"/>
      <w:r>
        <w:rPr>
          <w:rFonts w:hint="eastAsia" w:ascii="黑体" w:hAnsi="黑体" w:eastAsia="黑体" w:cs="黑体"/>
          <w:kern w:val="2"/>
          <w:sz w:val="32"/>
          <w:szCs w:val="32"/>
          <w:lang w:val="zh-CN" w:eastAsia="zh-CN" w:bidi="ar-SA"/>
        </w:rPr>
        <w:t>附件</w:t>
      </w:r>
      <w:r>
        <w:rPr>
          <w:rFonts w:hint="eastAsia" w:ascii="黑体" w:hAnsi="黑体" w:eastAsia="黑体" w:cs="黑体"/>
          <w:kern w:val="2"/>
          <w:sz w:val="32"/>
          <w:szCs w:val="32"/>
          <w:lang w:val="en-US" w:eastAsia="zh-CN" w:bidi="ar-SA"/>
        </w:rPr>
        <w:t>3：</w:t>
      </w:r>
      <w:bookmarkEnd w:id="104"/>
    </w:p>
    <w:p>
      <w:pPr>
        <w:spacing w:line="600" w:lineRule="exact"/>
        <w:jc w:val="center"/>
        <w:rPr>
          <w:rFonts w:hint="eastAsia" w:ascii="方正小标宋简体" w:hAnsi="方正小标宋简体" w:eastAsia="方正小标宋简体" w:cs="方正小标宋简体"/>
          <w:sz w:val="40"/>
          <w:szCs w:val="40"/>
          <w:lang w:val="zh-CN" w:eastAsia="zh-CN"/>
        </w:rPr>
      </w:pPr>
      <w:r>
        <w:rPr>
          <w:rFonts w:hint="eastAsia" w:ascii="方正小标宋简体" w:hAnsi="方正小标宋简体" w:eastAsia="方正小标宋简体" w:cs="方正小标宋简体"/>
          <w:sz w:val="40"/>
          <w:szCs w:val="40"/>
          <w:lang w:eastAsia="zh-CN"/>
        </w:rPr>
        <w:t>2022年</w:t>
      </w:r>
      <w:r>
        <w:rPr>
          <w:rFonts w:hint="eastAsia" w:ascii="方正小标宋简体" w:hAnsi="方正小标宋简体" w:eastAsia="方正小标宋简体" w:cs="方正小标宋简体"/>
          <w:sz w:val="40"/>
          <w:szCs w:val="40"/>
          <w:lang w:val="en-US" w:eastAsia="zh-CN"/>
        </w:rPr>
        <w:t>农村公共服务运行维护及社区服务群众专项活动经费</w:t>
      </w:r>
      <w:r>
        <w:rPr>
          <w:rFonts w:hint="eastAsia" w:ascii="方正小标宋简体" w:hAnsi="方正小标宋简体" w:eastAsia="方正小标宋简体" w:cs="方正小标宋简体"/>
          <w:sz w:val="40"/>
          <w:szCs w:val="40"/>
          <w:lang w:eastAsia="zh-CN"/>
        </w:rPr>
        <w:t>项目支出绩效自评报告</w:t>
      </w:r>
    </w:p>
    <w:p>
      <w:pPr>
        <w:spacing w:line="600" w:lineRule="exact"/>
        <w:ind w:firstLine="640"/>
        <w:jc w:val="center"/>
        <w:rPr>
          <w:rFonts w:ascii="宋体"/>
          <w:sz w:val="32"/>
          <w:szCs w:val="32"/>
          <w:lang w:val="zh-CN"/>
        </w:rPr>
      </w:pP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16" w:firstLineChars="200"/>
        <w:jc w:val="left"/>
        <w:textAlignment w:val="auto"/>
        <w:rPr>
          <w:rFonts w:hint="default" w:ascii="仿宋_GB2312" w:hAnsi="Arial" w:eastAsia="仿宋_GB2312" w:cs="Arial"/>
          <w:color w:val="000000"/>
          <w:kern w:val="0"/>
          <w:sz w:val="32"/>
          <w:szCs w:val="32"/>
          <w:lang w:val="en-US" w:eastAsia="zh-CN"/>
        </w:rPr>
      </w:pPr>
      <w:r>
        <w:rPr>
          <w:rFonts w:hint="eastAsia" w:ascii="楷体_GB2312" w:hAnsi="Times New Roman" w:eastAsia="楷体_GB2312" w:cs="Times New Roman"/>
          <w:bCs/>
          <w:spacing w:val="-6"/>
          <w:sz w:val="32"/>
          <w:szCs w:val="32"/>
        </w:rPr>
        <w:t>（一）</w:t>
      </w:r>
      <w:r>
        <w:rPr>
          <w:rFonts w:hint="eastAsia" w:ascii="仿宋_GB2312" w:hAnsi="Arial" w:eastAsia="仿宋_GB2312" w:cs="Arial"/>
          <w:color w:val="000000"/>
          <w:kern w:val="0"/>
          <w:sz w:val="32"/>
          <w:szCs w:val="32"/>
        </w:rPr>
        <w:t>农村公共服务运行维护项目是实现公共财政覆盖农村，促进城</w:t>
      </w:r>
      <w:r>
        <w:rPr>
          <w:rFonts w:hint="eastAsia" w:ascii="仿宋_GB2312" w:hAnsi="Arial" w:eastAsia="仿宋_GB2312" w:cs="Arial"/>
          <w:color w:val="000000"/>
          <w:kern w:val="0"/>
          <w:sz w:val="32"/>
          <w:szCs w:val="32"/>
          <w:lang w:eastAsia="zh-CN"/>
        </w:rPr>
        <w:t>镇</w:t>
      </w:r>
      <w:r>
        <w:rPr>
          <w:rFonts w:hint="eastAsia" w:ascii="仿宋_GB2312" w:hAnsi="Arial" w:eastAsia="仿宋_GB2312" w:cs="Arial"/>
          <w:color w:val="000000"/>
          <w:kern w:val="0"/>
          <w:sz w:val="32"/>
          <w:szCs w:val="32"/>
        </w:rPr>
        <w:t>基本服务均等化的一项重大制度创新，是深化农村综合改革的重要抓手和加强基层民主政治建设的助推器。项目涉及我</w:t>
      </w:r>
      <w:r>
        <w:rPr>
          <w:rFonts w:hint="eastAsia" w:ascii="仿宋_GB2312" w:hAnsi="Arial" w:eastAsia="仿宋_GB2312" w:cs="Arial"/>
          <w:color w:val="000000"/>
          <w:kern w:val="0"/>
          <w:sz w:val="32"/>
          <w:szCs w:val="32"/>
          <w:lang w:eastAsia="zh-CN"/>
        </w:rPr>
        <w:t>镇</w:t>
      </w:r>
      <w:r>
        <w:rPr>
          <w:rFonts w:hint="eastAsia" w:ascii="仿宋_GB2312" w:hAnsi="Arial" w:eastAsia="仿宋_GB2312" w:cs="Arial"/>
          <w:color w:val="000000"/>
          <w:kern w:val="0"/>
          <w:sz w:val="32"/>
          <w:szCs w:val="32"/>
          <w:lang w:val="en-US" w:eastAsia="zh-CN"/>
        </w:rPr>
        <w:t>13</w:t>
      </w:r>
      <w:r>
        <w:rPr>
          <w:rFonts w:hint="eastAsia" w:ascii="仿宋_GB2312" w:hAnsi="Arial" w:eastAsia="仿宋_GB2312" w:cs="Arial"/>
          <w:color w:val="000000"/>
          <w:kern w:val="0"/>
          <w:sz w:val="32"/>
          <w:szCs w:val="32"/>
        </w:rPr>
        <w:t>个行政村，惠及群众达到</w:t>
      </w:r>
      <w:r>
        <w:rPr>
          <w:rFonts w:hint="eastAsia" w:ascii="仿宋_GB2312" w:hAnsi="Arial" w:eastAsia="仿宋_GB2312" w:cs="Arial"/>
          <w:color w:val="000000"/>
          <w:kern w:val="0"/>
          <w:sz w:val="32"/>
          <w:szCs w:val="32"/>
          <w:lang w:val="en-US" w:eastAsia="zh-CN"/>
        </w:rPr>
        <w:t>15000</w:t>
      </w:r>
      <w:r>
        <w:rPr>
          <w:rFonts w:hint="eastAsia" w:ascii="仿宋_GB2312" w:hAnsi="Arial" w:eastAsia="仿宋_GB2312" w:cs="Arial"/>
          <w:color w:val="000000"/>
          <w:kern w:val="0"/>
          <w:sz w:val="32"/>
          <w:szCs w:val="32"/>
        </w:rPr>
        <w:t>余人。具体由项目村实施，</w:t>
      </w:r>
      <w:r>
        <w:rPr>
          <w:rFonts w:hint="eastAsia" w:ascii="仿宋_GB2312" w:hAnsi="Arial" w:eastAsia="仿宋_GB2312" w:cs="Arial"/>
          <w:color w:val="000000"/>
          <w:kern w:val="0"/>
          <w:sz w:val="32"/>
          <w:szCs w:val="32"/>
          <w:lang w:eastAsia="zh-CN"/>
        </w:rPr>
        <w:t>镇党委</w:t>
      </w:r>
      <w:r>
        <w:rPr>
          <w:rFonts w:hint="eastAsia" w:ascii="仿宋_GB2312" w:hAnsi="Arial" w:eastAsia="仿宋_GB2312" w:cs="Arial"/>
          <w:color w:val="000000"/>
          <w:kern w:val="0"/>
          <w:sz w:val="32"/>
          <w:szCs w:val="32"/>
        </w:rPr>
        <w:t>政府主导监管的方式进行，同时充分调动村“两委”、农民群众和社会各界的积极性，共同推进农村公共服务运行维护机制建设，确保进一步改善农村基础设施条件</w:t>
      </w:r>
      <w:r>
        <w:rPr>
          <w:rFonts w:hint="eastAsia" w:ascii="仿宋_GB2312" w:hAnsi="Arial" w:eastAsia="仿宋_GB2312" w:cs="Arial"/>
          <w:color w:val="000000"/>
          <w:kern w:val="0"/>
          <w:sz w:val="32"/>
          <w:szCs w:val="32"/>
          <w:lang w:val="en-US" w:eastAsia="zh-CN"/>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Arial" w:eastAsia="仿宋_GB2312" w:cs="Arial"/>
          <w:color w:val="000000"/>
          <w:kern w:val="0"/>
          <w:sz w:val="32"/>
          <w:szCs w:val="32"/>
        </w:rPr>
        <w:t>坚持统筹城乡发展方略，创新体制机制，加大财政投入，加快与生产发展相配套的农村基础设施建设，建立健全农村公共服务运行维护机制，提升农村公共服务和社会管理水平，</w:t>
      </w:r>
      <w:r>
        <w:rPr>
          <w:rFonts w:hint="eastAsia" w:ascii="仿宋_GB2312" w:hAnsi="Arial" w:eastAsia="仿宋_GB2312" w:cs="Arial"/>
          <w:color w:val="000000"/>
          <w:kern w:val="0"/>
          <w:sz w:val="32"/>
          <w:szCs w:val="32"/>
          <w:lang w:val="en-US" w:eastAsia="zh-CN"/>
        </w:rPr>
        <w:t>推进</w:t>
      </w:r>
      <w:r>
        <w:rPr>
          <w:rFonts w:hint="eastAsia" w:ascii="仿宋_GB2312" w:hAnsi="Arial" w:eastAsia="仿宋_GB2312" w:cs="Arial"/>
          <w:color w:val="000000"/>
          <w:kern w:val="0"/>
          <w:sz w:val="32"/>
          <w:szCs w:val="32"/>
        </w:rPr>
        <w:t>农村增收致富和农村繁荣稳定。</w:t>
      </w:r>
    </w:p>
    <w:p>
      <w:pPr>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eastAsia="仿宋_GB2312"/>
          <w:sz w:val="32"/>
          <w:szCs w:val="32"/>
        </w:rPr>
        <w:t>项目资金使用符合相关的财务管理制度规定，不存在截留、挤占、挪用、虚列支出等情况。</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仿宋_GB2312" w:eastAsia="仿宋_GB2312" w:cs="仿宋_GB2312"/>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sz w:val="32"/>
          <w:szCs w:val="32"/>
        </w:rPr>
        <w:t>项目按照每村每年</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万元的补助标准，</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个行政村农村公共服务运行维护项目共补助资金</w:t>
      </w:r>
      <w:r>
        <w:rPr>
          <w:rFonts w:hint="eastAsia" w:ascii="仿宋_GB2312" w:hAnsi="仿宋_GB2312" w:eastAsia="仿宋_GB2312" w:cs="仿宋_GB2312"/>
          <w:sz w:val="32"/>
          <w:szCs w:val="32"/>
          <w:lang w:val="en-US" w:eastAsia="zh-CN"/>
        </w:rPr>
        <w:t>58.5</w:t>
      </w:r>
      <w:r>
        <w:rPr>
          <w:rFonts w:hint="eastAsia" w:ascii="仿宋_GB2312" w:hAnsi="仿宋_GB2312" w:eastAsia="仿宋_GB2312" w:cs="仿宋_GB2312"/>
          <w:sz w:val="32"/>
          <w:szCs w:val="32"/>
        </w:rPr>
        <w:t>万元，全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到位资金</w:t>
      </w:r>
      <w:r>
        <w:rPr>
          <w:rFonts w:hint="eastAsia" w:ascii="仿宋_GB2312" w:hAnsi="仿宋_GB2312" w:eastAsia="仿宋_GB2312" w:cs="仿宋_GB2312"/>
          <w:sz w:val="32"/>
          <w:szCs w:val="32"/>
          <w:lang w:val="en-US" w:eastAsia="zh-CN"/>
        </w:rPr>
        <w:t>58.5</w:t>
      </w:r>
      <w:r>
        <w:rPr>
          <w:rFonts w:hint="eastAsia" w:ascii="仿宋_GB2312" w:hAnsi="仿宋_GB2312" w:eastAsia="仿宋_GB2312" w:cs="仿宋_GB2312"/>
          <w:sz w:val="32"/>
          <w:szCs w:val="32"/>
        </w:rPr>
        <w:t>万元已全部兑付到各村农村运行维护项目专账核算。</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spacing w:val="-6"/>
          <w:sz w:val="32"/>
          <w:szCs w:val="32"/>
        </w:rPr>
        <w:t>2.资金使用。</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将区上统一拨付到</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农村公共服务运行维护项目资金已全部兑付到各村账户，严格执行统一核算，专款专用，没有出现违规使用资金的行为，资金拨付根据工程进度进行划拨，项目完工验收合格并公示无异议后兑付及清算全部资金。为农村公共服务运行维护机制提供了保障。</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（二）项目财务管理情况</w:t>
      </w:r>
    </w:p>
    <w:p>
      <w:pPr>
        <w:autoSpaceDE w:val="0"/>
        <w:spacing w:line="540" w:lineRule="exact"/>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严格按照《项目资金管理制度》，充分认识资金的重要性和特殊性，以高度的责任感、使命感和工作热情，管好用好每一分钱，项目经费专款专用，未发现支出依据不合规、虚列项目支出的情况，也为发现截留、挤占、挪用等情况，资金使用安全</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效。</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widowControl/>
        <w:spacing w:line="560" w:lineRule="exact"/>
        <w:ind w:firstLine="64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加强组织领导。充实和完善农村综合改革领导小组，农村公共服务运行维护机制建设工作领导小组职能并入农村综改领导小组</w:t>
      </w:r>
      <w:r>
        <w:rPr>
          <w:rFonts w:hint="eastAsia" w:ascii="仿宋_GB2312" w:hAnsi="Arial" w:eastAsia="仿宋_GB2312" w:cs="Arial"/>
          <w:color w:val="000000"/>
          <w:kern w:val="0"/>
          <w:sz w:val="32"/>
          <w:szCs w:val="32"/>
          <w:lang w:eastAsia="zh-CN"/>
        </w:rPr>
        <w:t>，成立了由镇人民政府镇长孙亮为组长，镇财政分管领导欧志飞为副组长，项目办、综治服务中心及各村分管常职干部为成员的农村公共运行维护工作领导小组，并成立了由镇党委书记张维平为组长，镇纪委副书记欧志飞为副组长，镇党政办主任以及各村书记为成员的监督小组</w:t>
      </w:r>
      <w:r>
        <w:rPr>
          <w:rFonts w:hint="eastAsia" w:ascii="仿宋_GB2312" w:hAnsi="Arial" w:eastAsia="仿宋_GB2312" w:cs="Arial"/>
          <w:color w:val="000000"/>
          <w:kern w:val="0"/>
          <w:sz w:val="32"/>
          <w:szCs w:val="32"/>
        </w:rPr>
        <w:t>。</w:t>
      </w:r>
    </w:p>
    <w:p>
      <w:pPr>
        <w:widowControl/>
        <w:spacing w:line="560" w:lineRule="exact"/>
        <w:ind w:firstLine="64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建立农村公共服务维护机制建设工作监督检查制度。监督检查的重点是：资金使用范围是否符合规定、是否公开透明、有无截留挪用、使用决策程序是否规范、民主监督措施是否落实、项目建设质量是否符合要求等。根据《广元市朝天区农村公共运行服务运行维护机制建设实施方案》，我</w:t>
      </w:r>
      <w:r>
        <w:rPr>
          <w:rFonts w:hint="eastAsia" w:ascii="仿宋_GB2312" w:hAnsi="Arial" w:eastAsia="仿宋_GB2312" w:cs="Arial"/>
          <w:color w:val="000000"/>
          <w:kern w:val="0"/>
          <w:sz w:val="32"/>
          <w:szCs w:val="32"/>
          <w:lang w:eastAsia="zh-CN"/>
        </w:rPr>
        <w:t>镇</w:t>
      </w:r>
      <w:r>
        <w:rPr>
          <w:rFonts w:hint="eastAsia" w:ascii="仿宋_GB2312" w:hAnsi="Arial" w:eastAsia="仿宋_GB2312" w:cs="Arial"/>
          <w:color w:val="000000"/>
          <w:kern w:val="0"/>
          <w:sz w:val="32"/>
          <w:szCs w:val="32"/>
        </w:rPr>
        <w:t>结合实际，制定了《</w:t>
      </w:r>
      <w:r>
        <w:rPr>
          <w:rFonts w:hint="eastAsia" w:ascii="仿宋_GB2312" w:hAnsi="Arial" w:eastAsia="仿宋_GB2312" w:cs="Arial"/>
          <w:color w:val="000000"/>
          <w:kern w:val="0"/>
          <w:sz w:val="32"/>
          <w:szCs w:val="32"/>
          <w:lang w:eastAsia="zh-CN"/>
        </w:rPr>
        <w:t>李家镇</w:t>
      </w:r>
      <w:r>
        <w:rPr>
          <w:rFonts w:hint="eastAsia" w:ascii="仿宋_GB2312" w:hAnsi="Arial" w:eastAsia="仿宋_GB2312" w:cs="Arial"/>
          <w:color w:val="000000"/>
          <w:kern w:val="0"/>
          <w:sz w:val="32"/>
          <w:szCs w:val="32"/>
        </w:rPr>
        <w:t>农村公共运行服务运行维护机制建设实施方案》，并相继出台了农村公共服务运行维护机制资金管理暂行办法等条例，规范资金使用管理。</w:t>
      </w:r>
    </w:p>
    <w:p>
      <w:pPr>
        <w:widowControl/>
        <w:spacing w:line="560" w:lineRule="exact"/>
        <w:ind w:firstLine="64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搞好政策宣传。为确保村民的知情权、参与权、决策权和监督权，各村应根据实际情况，通过多种方式广泛宣传相关政策，做到家喻户晓、人人皆知，充分调动广大农民群众的积极性，形成推动此项工作的强大合力。</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(一)项目绩效目标完成情况分析。</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1.项目的经济性分析。</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(1)项目成本(预算)控制情况;</w:t>
      </w:r>
    </w:p>
    <w:p>
      <w:pPr>
        <w:spacing w:line="57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项目总预算58.5万元，项目支出主要包括：</w:t>
      </w:r>
      <w:r>
        <w:rPr>
          <w:rFonts w:hint="eastAsia" w:ascii="仿宋_GB2312" w:eastAsia="仿宋_GB2312"/>
          <w:sz w:val="32"/>
          <w:szCs w:val="32"/>
        </w:rPr>
        <w:t>农村道路维护维修</w:t>
      </w:r>
      <w:r>
        <w:rPr>
          <w:rFonts w:hint="eastAsia" w:ascii="仿宋_GB2312" w:eastAsia="仿宋_GB2312"/>
          <w:sz w:val="32"/>
          <w:szCs w:val="32"/>
          <w:lang w:eastAsia="zh-CN"/>
        </w:rPr>
        <w:t>；农村集中供水</w:t>
      </w:r>
      <w:r>
        <w:rPr>
          <w:rFonts w:hint="eastAsia" w:ascii="仿宋_GB2312" w:eastAsia="仿宋_GB2312"/>
          <w:sz w:val="32"/>
          <w:szCs w:val="32"/>
        </w:rPr>
        <w:t>管道维护维修</w:t>
      </w:r>
      <w:r>
        <w:rPr>
          <w:rFonts w:hint="eastAsia" w:ascii="仿宋_GB2312" w:eastAsia="仿宋_GB2312"/>
          <w:sz w:val="32"/>
          <w:szCs w:val="32"/>
          <w:lang w:eastAsia="zh-CN"/>
        </w:rPr>
        <w:t>；</w:t>
      </w:r>
      <w:r>
        <w:rPr>
          <w:rFonts w:hint="eastAsia" w:ascii="仿宋_GB2312" w:eastAsia="仿宋_GB2312"/>
          <w:sz w:val="32"/>
          <w:szCs w:val="32"/>
        </w:rPr>
        <w:t>人居环境改善</w:t>
      </w:r>
      <w:r>
        <w:rPr>
          <w:rFonts w:hint="eastAsia" w:ascii="仿宋_GB2312" w:eastAsia="仿宋_GB2312"/>
          <w:sz w:val="32"/>
          <w:szCs w:val="32"/>
          <w:lang w:eastAsia="zh-CN"/>
        </w:rPr>
        <w:t>；村级公共服务阵地维护</w:t>
      </w:r>
      <w:r>
        <w:rPr>
          <w:rFonts w:hint="eastAsia" w:ascii="仿宋_GB2312" w:hAnsi="仿宋_GB2312" w:eastAsia="仿宋_GB2312" w:cs="仿宋_GB2312"/>
          <w:kern w:val="0"/>
          <w:sz w:val="32"/>
          <w:szCs w:val="32"/>
          <w:lang w:val="en-US" w:eastAsia="zh-CN" w:bidi="ar"/>
        </w:rPr>
        <w:t>等。</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项目成本(预算)节约情况。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项目支出过程中均按照厉行节约原则完成。</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2.项目的效率性分析。</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(1)项目的实施进度。</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截止2022年12月底，全部按时完成了13个村2022年农村公共服务运行维护的工作任务。</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(2)项目完成质量。</w:t>
      </w:r>
    </w:p>
    <w:p>
      <w:pPr>
        <w:spacing w:line="57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及时对道路垮塌进行清理、对</w:t>
      </w:r>
      <w:r>
        <w:rPr>
          <w:rFonts w:hint="eastAsia" w:ascii="仿宋_GB2312" w:hAnsi="仿宋_GB2312" w:eastAsia="仿宋_GB2312" w:cs="仿宋_GB2312"/>
          <w:sz w:val="32"/>
          <w:szCs w:val="32"/>
          <w:lang w:eastAsia="zh-CN"/>
        </w:rPr>
        <w:t>农村集中</w:t>
      </w:r>
      <w:r>
        <w:rPr>
          <w:rFonts w:hint="eastAsia" w:ascii="仿宋_GB2312" w:hAnsi="仿宋_GB2312" w:eastAsia="仿宋_GB2312" w:cs="仿宋_GB2312"/>
          <w:sz w:val="32"/>
          <w:szCs w:val="32"/>
        </w:rPr>
        <w:t>饮水管道进行维护，</w:t>
      </w:r>
      <w:r>
        <w:rPr>
          <w:rFonts w:hint="eastAsia" w:ascii="仿宋_GB2312" w:hAnsi="仿宋_GB2312" w:eastAsia="仿宋_GB2312" w:cs="仿宋_GB2312"/>
          <w:sz w:val="32"/>
          <w:szCs w:val="32"/>
          <w:lang w:eastAsia="zh-CN"/>
        </w:rPr>
        <w:t>村组道路日常保洁、农村生活垃圾集中收集点进行清运，</w:t>
      </w:r>
      <w:r>
        <w:rPr>
          <w:rFonts w:hint="eastAsia" w:ascii="仿宋_GB2312" w:hAnsi="仿宋_GB2312" w:eastAsia="仿宋_GB2312" w:cs="仿宋_GB2312"/>
          <w:sz w:val="32"/>
          <w:szCs w:val="32"/>
        </w:rPr>
        <w:t>确保全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个村道路畅通，饮水畅通，保障了群众的生产生活；及时城</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环境整治垃圾清运，确保了全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垃圾池不存放垃圾。</w:t>
      </w:r>
    </w:p>
    <w:p>
      <w:pPr>
        <w:spacing w:line="57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通过现场评价，对涉及</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个村制定的计划基本完成，项目在各村组的大力配合下，顺利推进，圆满完成任务，各村基础设施和环境卫生等得到了极大的改善，目标完成情况良好。</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1.项目的效益性分析。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坚持长期促进社区和谐稳定发展，增加农村公路使用年限3年以上，改善村容村貌，提升生态环境，推进美丽乡村建设，农民人均收入增加2%以上。</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2.项目的可持续性分析。</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坚持长期促进社区和谐稳定发展，推进基层党组织基础设施建设，提升基层党组织的战斗堡垒作用。</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3.项目预算批复的绩效指标完成情况分析</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项目共设置18个绩效指标，绩效目标基本以高标准完成。具体情况如下:</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数量指标：破损水泥路面修复维护8处，路基维修12处，农村道路保洁10公里，农村集中供水维修7处，汛期应急抢险3次/村、年，农村垃圾收储清运13村。</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质量指标：工程项目质量验收定性为好，资金使用执行率100%。</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时效指标：截止2022年12月底全面完成预定指标；</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成本指标：破损水泥路面修复维护96400元，路基维修101000元，农村道路保洁153600元，农村集中供水维修70000元，汛期应急抢险99000元，农村垃圾收储清运65000元。</w:t>
      </w:r>
    </w:p>
    <w:p>
      <w:pPr>
        <w:pStyle w:val="8"/>
        <w:rPr>
          <w:rFonts w:hint="eastAsia"/>
          <w:lang w:val="en-US" w:eastAsia="zh-CN"/>
        </w:rPr>
      </w:pPr>
      <w:r>
        <w:rPr>
          <w:rFonts w:hint="eastAsia" w:hAnsi="仿宋_GB2312" w:cs="仿宋_GB2312"/>
          <w:kern w:val="0"/>
          <w:sz w:val="32"/>
          <w:szCs w:val="32"/>
          <w:lang w:val="en-US" w:eastAsia="zh-CN" w:bidi="ar"/>
        </w:rPr>
        <w:t xml:space="preserve">    社会效益指标：受益人数比例80%以上。</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满意度指标：社会满意度和党员群众满意度都达到90%。</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spacing w:line="570" w:lineRule="exact"/>
        <w:ind w:firstLine="800" w:firstLineChars="2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项目实施过程中存在的具体问题。一是项目实施单位，受其自身条件、村内条件无专业队伍施工等因素的制约，在保证质量的前提下，施工进度有待加快。二是重建设，轻管理，养护管理制度还待进一步完善。</w:t>
      </w:r>
    </w:p>
    <w:p>
      <w:pPr>
        <w:spacing w:line="570" w:lineRule="exact"/>
        <w:ind w:firstLine="800" w:firstLineChars="250"/>
        <w:rPr>
          <w:rFonts w:ascii="仿宋" w:hAnsi="仿宋" w:eastAsia="仿宋"/>
          <w:sz w:val="32"/>
          <w:szCs w:val="32"/>
        </w:rPr>
      </w:pPr>
      <w:r>
        <w:rPr>
          <w:rFonts w:hint="eastAsia" w:ascii="仿宋_GB2312" w:hAnsi="仿宋_GB2312" w:eastAsia="仿宋_GB2312" w:cs="仿宋_GB2312"/>
          <w:b w:val="0"/>
          <w:bCs w:val="0"/>
          <w:sz w:val="32"/>
          <w:szCs w:val="32"/>
        </w:rPr>
        <w:t>2、补助标准偏低，项目实施困难。虽然我们按照“谁受益、谁分摊的”原则，严格执行国家对农民负担的政策要求，鉴于农村外出务工人员多，在家劳动力少的实际情况，群众筹资酬劳相当困难，补标准偏低，项目实施难度大。</w:t>
      </w:r>
    </w:p>
    <w:p>
      <w:pPr>
        <w:spacing w:line="57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（二）相关建议。</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1、加大督促指导力度，完善农村公共服务运行维护项目程序，简化手续。</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社会主义新农村建设的资金投入。农业基础设施薄弱，要改变这种落后的状况，必须不断开辟新的农业投入渠道，逐步形成农民积极筹资投劳、政府持续加大投入、社会力量广泛参与的多元化投入机制。适当提高补助标准。</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lang w:val="zh-CN"/>
        </w:rPr>
      </w:pPr>
      <w:r>
        <w:rPr>
          <w:rFonts w:hint="eastAsia" w:ascii="仿宋_GB2312" w:hAnsi="仿宋_GB2312" w:eastAsia="仿宋_GB2312" w:cs="仿宋_GB2312"/>
          <w:sz w:val="32"/>
          <w:szCs w:val="32"/>
        </w:rPr>
        <w:t>3、配套一定的工作经费。建议配套一定的工作经费，减轻</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财政压力，更能抓好项目落实。</w:t>
      </w:r>
    </w:p>
    <w:p>
      <w:pPr>
        <w:widowControl/>
        <w:jc w:val="left"/>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keepNext w:val="0"/>
        <w:keepLines w:val="0"/>
        <w:pageBreakBefore w:val="0"/>
        <w:widowControl w:val="0"/>
        <w:kinsoku/>
        <w:wordWrap/>
        <w:overflowPunct/>
        <w:topLinePunct w:val="0"/>
        <w:autoSpaceDE/>
        <w:autoSpaceDN/>
        <w:bidi w:val="0"/>
        <w:adjustRightInd/>
        <w:snapToGrid/>
        <w:spacing w:line="572" w:lineRule="exact"/>
        <w:jc w:val="left"/>
        <w:textAlignment w:val="auto"/>
        <w:outlineLvl w:val="0"/>
        <w:rPr>
          <w:rFonts w:hint="eastAsia" w:ascii="黑体" w:hAnsi="黑体" w:eastAsia="黑体" w:cs="黑体"/>
          <w:sz w:val="32"/>
          <w:szCs w:val="32"/>
          <w:lang w:val="en-US" w:eastAsia="zh-CN"/>
        </w:rPr>
      </w:pPr>
      <w:bookmarkStart w:id="105" w:name="_Toc2986"/>
      <w:r>
        <w:rPr>
          <w:rFonts w:hint="eastAsia" w:ascii="黑体" w:hAnsi="黑体" w:eastAsia="黑体" w:cs="黑体"/>
          <w:sz w:val="32"/>
          <w:szCs w:val="32"/>
          <w:lang w:val="zh-CN" w:eastAsia="zh-CN"/>
        </w:rPr>
        <w:t>附件</w:t>
      </w:r>
      <w:r>
        <w:rPr>
          <w:rFonts w:hint="eastAsia" w:ascii="黑体" w:hAnsi="黑体" w:eastAsia="黑体" w:cs="黑体"/>
          <w:sz w:val="32"/>
          <w:szCs w:val="32"/>
          <w:lang w:val="en-US" w:eastAsia="zh-CN"/>
        </w:rPr>
        <w:t>4：</w:t>
      </w:r>
      <w:bookmarkEnd w:id="105"/>
    </w:p>
    <w:p>
      <w:pPr>
        <w:keepNext w:val="0"/>
        <w:keepLines w:val="0"/>
        <w:pageBreakBefore w:val="0"/>
        <w:kinsoku/>
        <w:wordWrap/>
        <w:overflowPunct/>
        <w:topLinePunct w:val="0"/>
        <w:autoSpaceDE w:val="0"/>
        <w:autoSpaceDN/>
        <w:bidi w:val="0"/>
        <w:spacing w:line="53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2022年乡镇干部周转房建设项目</w:t>
      </w:r>
      <w:r>
        <w:rPr>
          <w:rFonts w:hint="eastAsia" w:ascii="方正小标宋简体" w:hAnsi="方正小标宋简体" w:eastAsia="方正小标宋简体" w:cs="方正小标宋简体"/>
          <w:b w:val="0"/>
          <w:bCs w:val="0"/>
          <w:color w:val="000000"/>
          <w:kern w:val="0"/>
          <w:sz w:val="44"/>
          <w:szCs w:val="44"/>
        </w:rPr>
        <w:t>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pStyle w:val="2"/>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Times New Roman"/>
          <w:w w:val="99"/>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19" w:firstLineChars="200"/>
        <w:jc w:val="left"/>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color w:val="auto"/>
          <w:sz w:val="32"/>
          <w:szCs w:val="32"/>
          <w:lang w:val="en-US" w:eastAsia="zh-CN"/>
        </w:rPr>
        <w:t>为切实改善乡镇机关干部住宿、工作、生活条件，进一步激发乡镇干部扎根基层、干事创业的积极性，</w:t>
      </w:r>
      <w:r>
        <w:rPr>
          <w:rFonts w:hint="eastAsia" w:ascii="仿宋_GB2312" w:hAnsi="Arial" w:eastAsia="仿宋_GB2312" w:cs="Arial"/>
          <w:color w:val="000000"/>
          <w:kern w:val="0"/>
          <w:sz w:val="32"/>
          <w:szCs w:val="32"/>
          <w:lang w:eastAsia="zh-CN"/>
        </w:rPr>
        <w:t>结合李家镇实际申报了乡镇干部周转房项目</w:t>
      </w:r>
      <w:r>
        <w:rPr>
          <w:rFonts w:hint="eastAsia" w:ascii="仿宋_GB2312" w:hAnsi="Arial" w:eastAsia="仿宋_GB2312" w:cs="Arial"/>
          <w:color w:val="000000"/>
          <w:kern w:val="0"/>
          <w:sz w:val="32"/>
          <w:szCs w:val="32"/>
          <w:lang w:val="en-US" w:eastAsia="zh-CN"/>
        </w:rPr>
        <w:t>，经区财政局批复下达了</w:t>
      </w:r>
      <w:r>
        <w:rPr>
          <w:rFonts w:hint="eastAsia" w:ascii="仿宋_GB2312" w:hAnsi="Arial" w:eastAsia="仿宋_GB2312" w:cs="Arial"/>
          <w:color w:val="000000"/>
          <w:kern w:val="0"/>
          <w:sz w:val="32"/>
          <w:szCs w:val="32"/>
          <w:lang w:eastAsia="zh-CN"/>
        </w:rPr>
        <w:t>乡镇干部周转房经费</w:t>
      </w:r>
      <w:r>
        <w:rPr>
          <w:rFonts w:hint="eastAsia" w:ascii="仿宋_GB2312" w:hAnsi="仿宋_GB2312" w:eastAsia="仿宋_GB2312" w:cs="仿宋_GB2312"/>
          <w:color w:val="000000"/>
          <w:sz w:val="32"/>
          <w:szCs w:val="32"/>
          <w:lang w:val="en-US" w:eastAsia="zh-CN"/>
        </w:rPr>
        <w:t>393.53</w:t>
      </w:r>
      <w:r>
        <w:rPr>
          <w:rFonts w:hint="eastAsia" w:ascii="仿宋_GB2312" w:hAnsi="仿宋_GB2312" w:eastAsia="仿宋_GB2312" w:cs="仿宋_GB2312"/>
          <w:kern w:val="0"/>
          <w:sz w:val="32"/>
          <w:szCs w:val="32"/>
          <w:lang w:val="en-US" w:eastAsia="zh-CN" w:bidi="ar"/>
        </w:rPr>
        <w:t>万元，</w:t>
      </w:r>
      <w:r>
        <w:rPr>
          <w:rFonts w:hint="eastAsia" w:ascii="仿宋_GB2312" w:eastAsia="仿宋_GB2312"/>
          <w:sz w:val="32"/>
          <w:szCs w:val="32"/>
        </w:rPr>
        <w:t>项目资金使用符合相关的财务管理制度规定，不存在截留、挤占、挪用、虚列支出等情况</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项目主要内容：拆除房屋869.4平方米，新建干部周转房1504.45平方米，高四层，采用框架结构；购置基本生活设备，配套给排水、强弱电、消防等附属工程；二是改善职工待遇，稳定乡镇干部队伍，调动乡镇干部工作积极性。</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Times New Roman"/>
          <w:color w:val="auto"/>
          <w:w w:val="99"/>
          <w:sz w:val="32"/>
          <w:szCs w:val="32"/>
        </w:rPr>
        <w:t>2．</w:t>
      </w:r>
      <w:r>
        <w:rPr>
          <w:rFonts w:hint="eastAsia" w:ascii="仿宋_GB2312" w:hAnsi="仿宋_GB2312" w:eastAsia="仿宋_GB2312" w:cs="仿宋_GB2312"/>
          <w:kern w:val="0"/>
          <w:sz w:val="32"/>
          <w:szCs w:val="32"/>
          <w:lang w:val="en-US" w:eastAsia="zh-CN" w:bidi="ar"/>
        </w:rPr>
        <w:t>项目共设置8个绩效指标，绩效目标全部以高标准完成，具体情况如下：</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数量指标：新建周转房面积1504.45平方米、拆除房屋面积869.4平方米</w:t>
      </w:r>
      <w:r>
        <w:rPr>
          <w:rFonts w:hint="eastAsia" w:ascii="仿宋_GB2312" w:hAnsi="仿宋_GB2312" w:eastAsia="仿宋_GB2312" w:cs="仿宋_GB2312"/>
          <w:sz w:val="32"/>
          <w:szCs w:val="32"/>
          <w:lang w:val="en-US" w:eastAsia="zh-CN"/>
        </w:rPr>
        <w:t>；</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质量指标</w:t>
      </w:r>
      <w:r>
        <w:rPr>
          <w:rFonts w:hint="eastAsia" w:ascii="仿宋_GB2312" w:hAnsi="仿宋_GB2312" w:eastAsia="仿宋_GB2312" w:cs="仿宋_GB2312"/>
          <w:kern w:val="0"/>
          <w:sz w:val="32"/>
          <w:szCs w:val="32"/>
          <w:lang w:val="en-US" w:eastAsia="zh-CN" w:bidi="ar"/>
        </w:rPr>
        <w:t>：验收合格率100%、资金准确使用率100%；</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时效指标</w:t>
      </w:r>
      <w:r>
        <w:rPr>
          <w:rFonts w:hint="eastAsia" w:ascii="仿宋_GB2312" w:hAnsi="仿宋_GB2312" w:eastAsia="仿宋_GB2312" w:cs="仿宋_GB2312"/>
          <w:kern w:val="0"/>
          <w:sz w:val="32"/>
          <w:szCs w:val="32"/>
          <w:lang w:val="en-US" w:eastAsia="zh-CN" w:bidi="ar"/>
        </w:rPr>
        <w:t>：完工及时率好；</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经济成本指标</w:t>
      </w:r>
      <w:r>
        <w:rPr>
          <w:rFonts w:hint="eastAsia" w:ascii="仿宋_GB2312" w:hAnsi="仿宋_GB2312" w:eastAsia="仿宋_GB2312" w:cs="仿宋_GB2312"/>
          <w:kern w:val="0"/>
          <w:sz w:val="32"/>
          <w:szCs w:val="32"/>
          <w:lang w:val="en-US" w:eastAsia="zh-CN" w:bidi="ar"/>
        </w:rPr>
        <w:t>：签约合同价393.53万元；</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：稳定乡镇干部队伍定性好；</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default"/>
          <w:lang w:val="en-US" w:eastAsia="zh-CN"/>
        </w:rPr>
      </w:pPr>
      <w:r>
        <w:rPr>
          <w:rFonts w:hint="default" w:ascii="仿宋_GB2312" w:hAnsi="仿宋_GB2312" w:eastAsia="仿宋_GB2312" w:cs="仿宋_GB2312"/>
          <w:kern w:val="0"/>
          <w:sz w:val="32"/>
          <w:szCs w:val="32"/>
          <w:lang w:val="en-US" w:eastAsia="zh-CN" w:bidi="ar"/>
        </w:rPr>
        <w:t>满意度指标</w:t>
      </w:r>
      <w:r>
        <w:rPr>
          <w:rFonts w:hint="eastAsia" w:ascii="仿宋_GB2312" w:hAnsi="仿宋_GB2312" w:eastAsia="仿宋_GB2312" w:cs="仿宋_GB2312"/>
          <w:kern w:val="0"/>
          <w:sz w:val="32"/>
          <w:szCs w:val="32"/>
          <w:lang w:val="en-US" w:eastAsia="zh-CN" w:bidi="ar"/>
        </w:rPr>
        <w:t>：服务对象满意度定性好。</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3．项目申报内容与我镇实际情况符合，申报目标合理可行,与国家相关政策契合</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w:t>
      </w:r>
      <w:r>
        <w:rPr>
          <w:rFonts w:hint="eastAsia" w:ascii="仿宋_GB2312" w:hAnsi="Times New Roman" w:eastAsia="仿宋_GB2312"/>
          <w:color w:val="000000"/>
          <w:kern w:val="0"/>
          <w:sz w:val="32"/>
          <w:szCs w:val="32"/>
        </w:rPr>
        <w:t>对本单位</w:t>
      </w:r>
      <w:r>
        <w:rPr>
          <w:rFonts w:hint="eastAsia" w:ascii="仿宋_GB2312" w:hAnsi="Times New Roman" w:eastAsia="仿宋_GB2312"/>
          <w:color w:val="000000"/>
          <w:kern w:val="0"/>
          <w:sz w:val="32"/>
          <w:szCs w:val="32"/>
          <w:lang w:val="en-US" w:eastAsia="zh-CN"/>
        </w:rPr>
        <w:t>2022年预算执行和项目运行进行了全覆盖跟踪监控</w:t>
      </w:r>
      <w:r>
        <w:rPr>
          <w:rFonts w:hint="eastAsia"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lang w:val="en-US" w:eastAsia="zh-CN"/>
        </w:rPr>
        <w:t>2022年度绩效运行监控工作采取的是线上、线下同步推进，其中线下绩效监控主要是对照预算项目绩效目标，从</w:t>
      </w:r>
      <w:r>
        <w:rPr>
          <w:rFonts w:hint="eastAsia" w:ascii="仿宋_GB2312" w:hAnsi="仿宋_GB2312" w:eastAsia="仿宋_GB2312" w:cs="仿宋_GB2312"/>
          <w:sz w:val="32"/>
          <w:szCs w:val="32"/>
        </w:rPr>
        <w:t>项目产出、项目效益、项目实施绩效与年度绩效目标的偏离情况、目标偏离的原因以及整改纠偏措施和落实情况</w:t>
      </w:r>
      <w:r>
        <w:rPr>
          <w:rFonts w:hint="eastAsia" w:ascii="仿宋_GB2312" w:hAnsi="仿宋_GB2312" w:eastAsia="仿宋_GB2312" w:cs="仿宋_GB2312"/>
          <w:sz w:val="32"/>
          <w:szCs w:val="32"/>
          <w:lang w:val="en-US" w:eastAsia="zh-CN"/>
        </w:rPr>
        <w:t>等</w:t>
      </w:r>
      <w:r>
        <w:rPr>
          <w:rFonts w:hint="eastAsia" w:ascii="仿宋_GB2312" w:hAnsi="Times New Roman" w:eastAsia="仿宋_GB2312"/>
          <w:color w:val="000000"/>
          <w:kern w:val="0"/>
          <w:sz w:val="32"/>
          <w:szCs w:val="32"/>
          <w:lang w:val="en-US" w:eastAsia="zh-CN"/>
        </w:rPr>
        <w:t>内容进行了重点监控，</w:t>
      </w:r>
      <w:r>
        <w:rPr>
          <w:rFonts w:hint="eastAsia" w:ascii="仿宋_GB2312" w:eastAsia="仿宋_GB2312"/>
          <w:sz w:val="32"/>
          <w:szCs w:val="32"/>
          <w:lang w:eastAsia="zh-CN"/>
        </w:rPr>
        <w:t>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2022年度下达计划393.53万元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2022年底</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val="en-US" w:eastAsia="zh-CN"/>
        </w:rPr>
        <w:t>393.53</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eastAsia="zh-CN"/>
        </w:rPr>
        <w:t>该项目资金使用</w:t>
      </w:r>
      <w:r>
        <w:rPr>
          <w:rFonts w:hint="eastAsia" w:ascii="仿宋_GB2312" w:hAnsi="Times New Roman" w:eastAsia="仿宋_GB2312" w:cs="Times New Roman"/>
          <w:spacing w:val="-6"/>
          <w:sz w:val="32"/>
          <w:szCs w:val="32"/>
        </w:rPr>
        <w:t>严格按照专项资金管理办法规定，做到专款专用，</w:t>
      </w:r>
      <w:r>
        <w:rPr>
          <w:rFonts w:hint="eastAsia" w:ascii="仿宋_GB2312" w:eastAsia="仿宋_GB2312"/>
          <w:sz w:val="32"/>
          <w:szCs w:val="32"/>
        </w:rPr>
        <w:t>不存在截留、挤占、挪用、虚列支出等情况</w:t>
      </w:r>
      <w:r>
        <w:rPr>
          <w:rFonts w:hint="eastAsia" w:ascii="仿宋_GB2312" w:eastAsia="仿宋_GB2312"/>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仿宋_GB2312" w:eastAsia="仿宋_GB2312" w:cs="仿宋_GB2312"/>
          <w:kern w:val="0"/>
          <w:sz w:val="32"/>
          <w:szCs w:val="32"/>
          <w:lang w:val="en-US" w:eastAsia="zh-CN" w:bidi="ar"/>
        </w:rPr>
        <w:t>基层人民武装相关工作任务，</w:t>
      </w:r>
      <w:r>
        <w:rPr>
          <w:rFonts w:hint="eastAsia" w:ascii="仿宋_GB2312" w:hAnsi="Times New Roman" w:eastAsia="仿宋_GB2312" w:cs="Times New Roman"/>
          <w:spacing w:val="-6"/>
          <w:sz w:val="32"/>
          <w:szCs w:val="32"/>
        </w:rPr>
        <w:t>支付合规合法</w:t>
      </w:r>
      <w:r>
        <w:rPr>
          <w:rFonts w:hint="eastAsia" w:ascii="仿宋_GB2312" w:hAnsi="Times New Roman" w:eastAsia="仿宋_GB2312" w:cs="Times New Roman"/>
          <w:spacing w:val="-6"/>
          <w:sz w:val="32"/>
          <w:szCs w:val="32"/>
          <w:lang w:eastAsia="zh-CN"/>
        </w:rPr>
        <w:t>并</w:t>
      </w:r>
      <w:r>
        <w:rPr>
          <w:rFonts w:hint="eastAsia" w:ascii="仿宋_GB2312" w:hAnsi="Times New Roman" w:eastAsia="仿宋_GB2312" w:cs="Times New Roman"/>
          <w:spacing w:val="-6"/>
          <w:sz w:val="32"/>
          <w:szCs w:val="32"/>
        </w:rPr>
        <w:t>与预算相符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提高</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资金使用效益</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仿宋_GB2312" w:hAnsi="Arial" w:eastAsia="仿宋_GB2312" w:cs="Arial"/>
          <w:color w:val="000000"/>
          <w:kern w:val="0"/>
          <w:sz w:val="32"/>
          <w:szCs w:val="32"/>
        </w:rPr>
      </w:pPr>
      <w:r>
        <w:rPr>
          <w:rFonts w:hint="eastAsia" w:ascii="楷体_GB2312" w:hAnsi="宋体" w:eastAsia="楷体_GB2312" w:cs="Times New Roman"/>
          <w:b/>
          <w:w w:val="99"/>
          <w:sz w:val="32"/>
          <w:szCs w:val="32"/>
          <w:lang w:val="en-US" w:eastAsia="zh-CN"/>
        </w:rPr>
        <w:tab/>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加强组织领导。</w:t>
      </w:r>
      <w:r>
        <w:rPr>
          <w:rFonts w:hint="eastAsia" w:ascii="仿宋_GB2312" w:hAnsi="仿宋_GB2312" w:eastAsia="仿宋_GB2312" w:cs="仿宋_GB2312"/>
          <w:b w:val="0"/>
          <w:bCs/>
          <w:sz w:val="32"/>
          <w:szCs w:val="32"/>
          <w:lang w:val="en-US" w:eastAsia="zh-CN"/>
        </w:rPr>
        <w:t>为确保该项目有序开展，抓好、抓实、抓出亮点，成立了由镇长为组长，分管领导为副组长，财政所负责人、具体负责此项目</w:t>
      </w:r>
      <w:r>
        <w:rPr>
          <w:rFonts w:hint="eastAsia" w:ascii="仿宋_GB2312" w:hAnsi="仿宋_GB2312" w:cs="仿宋_GB2312"/>
          <w:b w:val="0"/>
          <w:bCs/>
          <w:sz w:val="32"/>
          <w:szCs w:val="32"/>
          <w:lang w:val="en-US" w:eastAsia="zh-CN"/>
        </w:rPr>
        <w:t>干部</w:t>
      </w:r>
      <w:r>
        <w:rPr>
          <w:rFonts w:hint="eastAsia" w:ascii="仿宋_GB2312" w:hAnsi="仿宋_GB2312" w:eastAsia="仿宋_GB2312" w:cs="仿宋_GB2312"/>
          <w:b w:val="0"/>
          <w:bCs/>
          <w:sz w:val="32"/>
          <w:szCs w:val="32"/>
          <w:lang w:val="en-US" w:eastAsia="zh-CN"/>
        </w:rPr>
        <w:t>为成员的领导小组</w:t>
      </w:r>
      <w:r>
        <w:rPr>
          <w:rFonts w:hint="eastAsia" w:ascii="仿宋_GB2312" w:hAnsi="Arial" w:eastAsia="仿宋_GB2312" w:cs="Arial"/>
          <w:color w:val="000000"/>
          <w:kern w:val="0"/>
          <w:sz w:val="32"/>
          <w:szCs w:val="32"/>
        </w:rPr>
        <w:t>。</w:t>
      </w:r>
      <w:r>
        <w:rPr>
          <w:rFonts w:hint="eastAsia" w:ascii="仿宋_GB2312" w:hAnsi="仿宋_GB2312" w:eastAsia="仿宋_GB2312" w:cs="仿宋_GB2312"/>
          <w:b w:val="0"/>
          <w:bCs/>
          <w:sz w:val="32"/>
          <w:szCs w:val="32"/>
          <w:lang w:eastAsia="zh-CN"/>
        </w:rPr>
        <w:t>对项目实施全过程、全方位、全覆盖进行监督</w:t>
      </w:r>
      <w:r>
        <w:rPr>
          <w:rFonts w:hint="eastAsia" w:ascii="仿宋_GB2312" w:hAnsi="仿宋_GB2312" w:eastAsia="仿宋_GB2312" w:cs="仿宋_GB2312"/>
          <w:b w:val="0"/>
          <w:bCs/>
          <w:sz w:val="32"/>
          <w:szCs w:val="32"/>
        </w:rPr>
        <w:t>，并相继出台了</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资金管理暂行办法等条例，规范资金使用管理。</w:t>
      </w:r>
    </w:p>
    <w:p>
      <w:pPr>
        <w:keepNext w:val="0"/>
        <w:keepLines w:val="0"/>
        <w:pageBreakBefore w:val="0"/>
        <w:widowControl/>
        <w:kinsoku/>
        <w:wordWrap/>
        <w:overflowPunct/>
        <w:topLinePunct w:val="0"/>
        <w:autoSpaceDN/>
        <w:bidi w:val="0"/>
        <w:spacing w:line="540" w:lineRule="exact"/>
        <w:ind w:firstLine="64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强化监督管理。监督检查的重点是：资金使用范围是否符合规定、是否公开透明、有无截留挪用、使用决策程序是否规范、民主监督措施是否落实、项目建设质量是否符合要求等。要注重项目实施绩效</w:t>
      </w:r>
      <w:r>
        <w:rPr>
          <w:rFonts w:hint="eastAsia" w:ascii="仿宋_GB2312" w:hAnsi="Arial" w:eastAsia="仿宋_GB2312" w:cs="Arial"/>
          <w:color w:val="000000"/>
          <w:kern w:val="0"/>
          <w:sz w:val="32"/>
          <w:szCs w:val="32"/>
          <w:lang w:eastAsia="zh-CN"/>
        </w:rPr>
        <w:t>和结果。</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1.项目成本(预算)控制情况。完成了整个项目支出393.53万元，项目支出主要用于拆除及新建房屋，购置基本生活设备，配套给排水、强弱电、消防等附属工程。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2.项目成本(预算)节约情况。项目支出过程中均按照厉行节约原则完成。</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rPr>
      </w:pPr>
      <w:r>
        <w:rPr>
          <w:rFonts w:hint="eastAsia" w:ascii="仿宋_GB2312" w:hAnsi="仿宋_GB2312" w:eastAsia="仿宋_GB2312" w:cs="仿宋_GB2312"/>
          <w:kern w:val="0"/>
          <w:sz w:val="32"/>
          <w:szCs w:val="32"/>
          <w:lang w:val="en-US" w:eastAsia="zh-CN" w:bidi="ar"/>
        </w:rPr>
        <w:t>3.项目的效率性分析。按时完成2022年乡镇干部周转房项目的工作任务。</w:t>
      </w:r>
    </w:p>
    <w:p>
      <w:pPr>
        <w:pStyle w:val="2"/>
        <w:keepNext w:val="0"/>
        <w:keepLines w:val="0"/>
        <w:pageBreakBefore w:val="0"/>
        <w:numPr>
          <w:ilvl w:val="0"/>
          <w:numId w:val="11"/>
        </w:numPr>
        <w:kinsoku/>
        <w:wordWrap/>
        <w:overflowPunct/>
        <w:topLinePunct w:val="0"/>
        <w:autoSpaceDN/>
        <w:bidi w:val="0"/>
        <w:spacing w:line="540" w:lineRule="exac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pStyle w:val="2"/>
        <w:keepNext w:val="0"/>
        <w:keepLines w:val="0"/>
        <w:pageBreakBefore w:val="0"/>
        <w:numPr>
          <w:ilvl w:val="0"/>
          <w:numId w:val="0"/>
        </w:numPr>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：稳定乡镇干部队伍，调动乡镇干部工作积极性。</w:t>
      </w:r>
    </w:p>
    <w:p>
      <w:pPr>
        <w:keepNext w:val="0"/>
        <w:keepLines w:val="0"/>
        <w:pageBreakBefore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服务对象满意度</w:t>
      </w:r>
      <w:r>
        <w:rPr>
          <w:rFonts w:hint="eastAsia" w:ascii="仿宋_GB2312" w:hAnsi="仿宋_GB2312" w:eastAsia="仿宋_GB2312" w:cs="仿宋_GB2312"/>
          <w:kern w:val="0"/>
          <w:sz w:val="32"/>
          <w:szCs w:val="32"/>
          <w:lang w:val="en-US" w:eastAsia="zh-CN" w:bidi="ar"/>
        </w:rPr>
        <w:t>：满意度达90%，</w:t>
      </w:r>
      <w:r>
        <w:rPr>
          <w:rFonts w:hint="eastAsia" w:ascii="仿宋_GB2312" w:hAnsi="宋体" w:eastAsia="仿宋_GB2312" w:cs="Times New Roman"/>
          <w:w w:val="99"/>
          <w:sz w:val="32"/>
          <w:szCs w:val="32"/>
          <w:lang w:val="en-US" w:eastAsia="zh-CN"/>
        </w:rPr>
        <w:t>效益良好</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_GB2312" w:hAnsi="Times New Roman" w:eastAsia="楷体_GB2312" w:cs="Times New Roman"/>
          <w:bCs/>
          <w:spacing w:val="-6"/>
          <w:sz w:val="32"/>
          <w:szCs w:val="32"/>
        </w:rPr>
      </w:pPr>
      <w:r>
        <w:rPr>
          <w:rFonts w:hint="eastAsia" w:ascii="仿宋_GB2312" w:hAnsi="仿宋_GB2312" w:eastAsia="仿宋_GB2312" w:cs="仿宋_GB2312"/>
          <w:kern w:val="0"/>
          <w:sz w:val="32"/>
          <w:szCs w:val="32"/>
          <w:lang w:val="en-US" w:eastAsia="zh-CN" w:bidi="ar"/>
        </w:rPr>
        <w:t>综合预算项目绩效评价情况认为，在项目资金预算绩效方面总体上是管理使用到位的，虽完成预算资金使用量,仍然存在较多客观因素，应及时做好汇报和资金调整工作。</w:t>
      </w:r>
    </w:p>
    <w:p>
      <w:pPr>
        <w:spacing w:line="570" w:lineRule="exact"/>
        <w:ind w:firstLine="635" w:firstLineChars="20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（二）相关建议。</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强化对资金绩效实现情况的责任约束，对有可能偏离预算绩效目标的支出，及时采取有效措施予以纠正，合理充分利用资金，提高资金使用效率。</w:t>
      </w: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pStyle w:val="2"/>
        <w:ind w:left="0" w:leftChars="0" w:firstLine="0" w:firstLineChars="0"/>
        <w:rPr>
          <w:rFonts w:hint="eastAsia" w:hAnsi="宋体" w:cs="宋体"/>
          <w:sz w:val="32"/>
          <w:szCs w:val="32"/>
          <w:shd w:val="clear" w:color="auto" w:fill="FFFFFF"/>
          <w:lang w:val="en-US" w:eastAsia="zh-CN"/>
        </w:rPr>
      </w:pPr>
    </w:p>
    <w:p>
      <w:pPr>
        <w:pStyle w:val="2"/>
        <w:rPr>
          <w:rStyle w:val="21"/>
          <w:rFonts w:ascii="黑体" w:hAnsi="黑体" w:eastAsia="黑体"/>
          <w:b w:val="0"/>
        </w:rPr>
      </w:pPr>
    </w:p>
    <w:p>
      <w:pPr>
        <w:pStyle w:val="2"/>
        <w:rPr>
          <w:rStyle w:val="21"/>
          <w:rFonts w:ascii="黑体" w:hAnsi="黑体" w:eastAsia="黑体"/>
          <w:b w:val="0"/>
        </w:rPr>
      </w:pPr>
    </w:p>
    <w:p>
      <w:pPr>
        <w:pStyle w:val="2"/>
        <w:rPr>
          <w:rStyle w:val="21"/>
          <w:rFonts w:ascii="黑体" w:hAnsi="黑体" w:eastAsia="黑体"/>
          <w:b w:val="0"/>
        </w:rPr>
      </w:pPr>
    </w:p>
    <w:p>
      <w:pPr>
        <w:keepNext w:val="0"/>
        <w:keepLines w:val="0"/>
        <w:pageBreakBefore w:val="0"/>
        <w:widowControl w:val="0"/>
        <w:kinsoku/>
        <w:wordWrap/>
        <w:overflowPunct/>
        <w:topLinePunct w:val="0"/>
        <w:autoSpaceDE/>
        <w:autoSpaceDN/>
        <w:bidi w:val="0"/>
        <w:adjustRightInd/>
        <w:snapToGrid/>
        <w:spacing w:line="572" w:lineRule="exact"/>
        <w:jc w:val="left"/>
        <w:textAlignment w:val="auto"/>
        <w:outlineLvl w:val="0"/>
        <w:rPr>
          <w:rFonts w:hint="eastAsia" w:ascii="黑体" w:hAnsi="黑体" w:eastAsia="黑体" w:cs="黑体"/>
          <w:sz w:val="32"/>
          <w:szCs w:val="32"/>
          <w:lang w:val="en-US" w:eastAsia="zh-CN"/>
        </w:rPr>
      </w:pPr>
      <w:bookmarkStart w:id="106" w:name="_Toc23683"/>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5：</w:t>
      </w:r>
      <w:bookmarkEnd w:id="106"/>
    </w:p>
    <w:p>
      <w:pPr>
        <w:keepNext w:val="0"/>
        <w:keepLines w:val="0"/>
        <w:pageBreakBefore w:val="0"/>
        <w:kinsoku/>
        <w:wordWrap/>
        <w:overflowPunct/>
        <w:topLinePunct w:val="0"/>
        <w:autoSpaceDE w:val="0"/>
        <w:autoSpaceDN/>
        <w:bidi w:val="0"/>
        <w:spacing w:line="53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2022年青林中药材产业配套设施建设项目</w:t>
      </w:r>
    </w:p>
    <w:p>
      <w:pPr>
        <w:keepNext w:val="0"/>
        <w:keepLines w:val="0"/>
        <w:pageBreakBefore w:val="0"/>
        <w:kinsoku/>
        <w:wordWrap/>
        <w:overflowPunct/>
        <w:topLinePunct w:val="0"/>
        <w:autoSpaceDE w:val="0"/>
        <w:autoSpaceDN/>
        <w:bidi w:val="0"/>
        <w:spacing w:line="53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pStyle w:val="2"/>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Times New Roman"/>
          <w:w w:val="99"/>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19" w:firstLineChars="200"/>
        <w:jc w:val="left"/>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color w:val="auto"/>
          <w:sz w:val="32"/>
          <w:szCs w:val="32"/>
          <w:lang w:val="en-US" w:eastAsia="zh-CN"/>
        </w:rPr>
        <w:t>为切实加快推进农旅文融合发展、提高农村人均收入</w:t>
      </w:r>
      <w:r>
        <w:rPr>
          <w:rFonts w:hint="eastAsia" w:ascii="仿宋_GB2312" w:hAnsi="仿宋_GB2312" w:eastAsia="仿宋_GB2312" w:cs="仿宋_GB2312"/>
          <w:color w:val="000000"/>
          <w:sz w:val="32"/>
          <w:szCs w:val="32"/>
          <w:lang w:val="en-US" w:eastAsia="zh-CN"/>
        </w:rPr>
        <w:t>。</w:t>
      </w:r>
      <w:r>
        <w:rPr>
          <w:rFonts w:hint="eastAsia" w:ascii="仿宋_GB2312" w:hAnsi="Arial" w:eastAsia="仿宋_GB2312" w:cs="Arial"/>
          <w:color w:val="000000"/>
          <w:kern w:val="0"/>
          <w:sz w:val="32"/>
          <w:szCs w:val="32"/>
          <w:lang w:val="en-US" w:eastAsia="zh-CN"/>
        </w:rPr>
        <w:t>2022年初</w:t>
      </w:r>
      <w:r>
        <w:rPr>
          <w:rFonts w:hint="eastAsia" w:ascii="仿宋_GB2312" w:hAnsi="Arial" w:eastAsia="仿宋_GB2312" w:cs="Arial"/>
          <w:color w:val="000000"/>
          <w:kern w:val="0"/>
          <w:sz w:val="32"/>
          <w:szCs w:val="32"/>
          <w:lang w:eastAsia="zh-CN"/>
        </w:rPr>
        <w:t>，结合李家镇实际申报了青林中药材产业配套设施建设项目</w:t>
      </w:r>
      <w:r>
        <w:rPr>
          <w:rFonts w:hint="eastAsia" w:ascii="仿宋_GB2312" w:hAnsi="Arial" w:eastAsia="仿宋_GB2312" w:cs="Arial"/>
          <w:color w:val="000000"/>
          <w:kern w:val="0"/>
          <w:sz w:val="32"/>
          <w:szCs w:val="32"/>
          <w:lang w:val="en-US" w:eastAsia="zh-CN"/>
        </w:rPr>
        <w:t>，经区财政局批复下达了</w:t>
      </w:r>
      <w:r>
        <w:rPr>
          <w:rFonts w:hint="eastAsia" w:ascii="仿宋_GB2312" w:hAnsi="Arial" w:eastAsia="仿宋_GB2312" w:cs="Arial"/>
          <w:color w:val="000000"/>
          <w:kern w:val="0"/>
          <w:sz w:val="32"/>
          <w:szCs w:val="32"/>
          <w:lang w:eastAsia="zh-CN"/>
        </w:rPr>
        <w:t>青林中药材产业配套设施建设经费</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kern w:val="0"/>
          <w:sz w:val="32"/>
          <w:szCs w:val="32"/>
          <w:lang w:val="en-US" w:eastAsia="zh-CN" w:bidi="ar"/>
        </w:rPr>
        <w:t>万元，</w:t>
      </w:r>
      <w:r>
        <w:rPr>
          <w:rFonts w:hint="eastAsia" w:ascii="仿宋_GB2312" w:eastAsia="仿宋_GB2312"/>
          <w:sz w:val="32"/>
          <w:szCs w:val="32"/>
        </w:rPr>
        <w:t>项目资金使用符合相关的财务管理制度规定，不存在截留、挤占、挪用、虚列支出等情况</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1．项目主要内容：，硬化产业道路1.5公里，新建中草药晾晒场800平方米，浆砌堡坎211立方米；二是切实加快推进农旅文融合发展；三是提高农村人均收入。</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Times New Roman"/>
          <w:color w:val="auto"/>
          <w:w w:val="99"/>
          <w:sz w:val="32"/>
          <w:szCs w:val="32"/>
        </w:rPr>
        <w:t>2．</w:t>
      </w:r>
      <w:r>
        <w:rPr>
          <w:rFonts w:hint="eastAsia" w:ascii="仿宋_GB2312" w:hAnsi="仿宋_GB2312" w:eastAsia="仿宋_GB2312" w:cs="仿宋_GB2312"/>
          <w:kern w:val="0"/>
          <w:sz w:val="32"/>
          <w:szCs w:val="32"/>
          <w:lang w:val="en-US" w:eastAsia="zh-CN" w:bidi="ar"/>
        </w:rPr>
        <w:t>项目共设置12个绩效指标，绩效目标全部以高标准完成，具体情况如下：</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数量指标：硬化道路里程1.5公里、硬化道路宽度0.18米、晾晒场面积800平方米</w:t>
      </w:r>
      <w:r>
        <w:rPr>
          <w:rFonts w:hint="eastAsia" w:ascii="仿宋_GB2312" w:hAnsi="仿宋_GB2312" w:eastAsia="仿宋_GB2312" w:cs="仿宋_GB2312"/>
          <w:sz w:val="32"/>
          <w:szCs w:val="32"/>
          <w:lang w:val="en-US" w:eastAsia="zh-CN"/>
        </w:rPr>
        <w:t>；</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质量指标</w:t>
      </w:r>
      <w:r>
        <w:rPr>
          <w:rFonts w:hint="eastAsia" w:ascii="仿宋_GB2312" w:hAnsi="仿宋_GB2312" w:eastAsia="仿宋_GB2312" w:cs="仿宋_GB2312"/>
          <w:kern w:val="0"/>
          <w:sz w:val="32"/>
          <w:szCs w:val="32"/>
          <w:lang w:val="en-US" w:eastAsia="zh-CN" w:bidi="ar"/>
        </w:rPr>
        <w:t>：验收合格率100%、资金准确使用率100%；</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时效指标</w:t>
      </w:r>
      <w:r>
        <w:rPr>
          <w:rFonts w:hint="eastAsia" w:ascii="仿宋_GB2312" w:hAnsi="仿宋_GB2312" w:eastAsia="仿宋_GB2312" w:cs="仿宋_GB2312"/>
          <w:kern w:val="0"/>
          <w:sz w:val="32"/>
          <w:szCs w:val="32"/>
          <w:lang w:val="en-US" w:eastAsia="zh-CN" w:bidi="ar"/>
        </w:rPr>
        <w:t>：完工及时率定性好；</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经济成本指标</w:t>
      </w:r>
      <w:r>
        <w:rPr>
          <w:rFonts w:hint="eastAsia" w:ascii="仿宋_GB2312" w:hAnsi="仿宋_GB2312" w:eastAsia="仿宋_GB2312" w:cs="仿宋_GB2312"/>
          <w:kern w:val="0"/>
          <w:sz w:val="32"/>
          <w:szCs w:val="32"/>
          <w:lang w:val="en-US" w:eastAsia="zh-CN" w:bidi="ar"/>
        </w:rPr>
        <w:t>：浆砌堡坎单价≤300元/立方米、混凝土单价≤600元/立方米、民兵排装备物资补充0.6万元；</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：改善基础设施条件定性好；</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生态效益：改善生态环境定性好；</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经济效益：带动地方经济发展定性好；</w:t>
      </w:r>
    </w:p>
    <w:p>
      <w:pPr>
        <w:pStyle w:val="2"/>
        <w:keepNext w:val="0"/>
        <w:keepLines w:val="0"/>
        <w:pageBreakBefore w:val="0"/>
        <w:kinsoku/>
        <w:wordWrap/>
        <w:overflowPunct/>
        <w:topLinePunct w:val="0"/>
        <w:autoSpaceDN/>
        <w:bidi w:val="0"/>
        <w:spacing w:line="540" w:lineRule="exact"/>
        <w:ind w:left="0" w:leftChars="0" w:firstLine="640" w:firstLineChars="200"/>
        <w:textAlignment w:val="auto"/>
        <w:rPr>
          <w:rFonts w:hint="default"/>
          <w:lang w:val="en-US" w:eastAsia="zh-CN"/>
        </w:rPr>
      </w:pPr>
      <w:r>
        <w:rPr>
          <w:rFonts w:hint="default" w:ascii="仿宋_GB2312" w:hAnsi="仿宋_GB2312" w:eastAsia="仿宋_GB2312" w:cs="仿宋_GB2312"/>
          <w:kern w:val="0"/>
          <w:sz w:val="32"/>
          <w:szCs w:val="32"/>
          <w:lang w:val="en-US" w:eastAsia="zh-CN" w:bidi="ar"/>
        </w:rPr>
        <w:t>满意度指标</w:t>
      </w:r>
      <w:r>
        <w:rPr>
          <w:rFonts w:hint="eastAsia" w:ascii="仿宋_GB2312" w:hAnsi="仿宋_GB2312" w:eastAsia="仿宋_GB2312" w:cs="仿宋_GB2312"/>
          <w:kern w:val="0"/>
          <w:sz w:val="32"/>
          <w:szCs w:val="32"/>
          <w:lang w:val="en-US" w:eastAsia="zh-CN" w:bidi="ar"/>
        </w:rPr>
        <w:t>：服务对象满意度达到95%以上。</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3．项目申报内容与我镇实际情况符合，申报目标合理可行,与国家相关政策契合</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w:t>
      </w:r>
      <w:r>
        <w:rPr>
          <w:rFonts w:hint="eastAsia" w:ascii="仿宋_GB2312" w:hAnsi="Times New Roman" w:eastAsia="仿宋_GB2312"/>
          <w:color w:val="000000"/>
          <w:kern w:val="0"/>
          <w:sz w:val="32"/>
          <w:szCs w:val="32"/>
        </w:rPr>
        <w:t>对本单位</w:t>
      </w:r>
      <w:r>
        <w:rPr>
          <w:rFonts w:hint="eastAsia" w:ascii="仿宋_GB2312" w:hAnsi="Times New Roman" w:eastAsia="仿宋_GB2312"/>
          <w:color w:val="000000"/>
          <w:kern w:val="0"/>
          <w:sz w:val="32"/>
          <w:szCs w:val="32"/>
          <w:lang w:val="en-US" w:eastAsia="zh-CN"/>
        </w:rPr>
        <w:t>2022年预算执行和项目运行进行了全覆盖跟踪监控</w:t>
      </w:r>
      <w:r>
        <w:rPr>
          <w:rFonts w:hint="eastAsia"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lang w:val="en-US" w:eastAsia="zh-CN"/>
        </w:rPr>
        <w:t>2022年度绩效运行监控工作采取的是线上、线下同步推进，其中线下绩效监控主要是对照预算项目绩效目标，从</w:t>
      </w:r>
      <w:r>
        <w:rPr>
          <w:rFonts w:hint="eastAsia" w:ascii="仿宋_GB2312" w:hAnsi="仿宋_GB2312" w:eastAsia="仿宋_GB2312" w:cs="仿宋_GB2312"/>
          <w:sz w:val="32"/>
          <w:szCs w:val="32"/>
        </w:rPr>
        <w:t>项目产出、项目效益、项目实施绩效与年度绩效目标的偏离情况、目标偏离的原因以及整改纠偏措施和落实情况</w:t>
      </w:r>
      <w:r>
        <w:rPr>
          <w:rFonts w:hint="eastAsia" w:ascii="仿宋_GB2312" w:hAnsi="仿宋_GB2312" w:eastAsia="仿宋_GB2312" w:cs="仿宋_GB2312"/>
          <w:sz w:val="32"/>
          <w:szCs w:val="32"/>
          <w:lang w:val="en-US" w:eastAsia="zh-CN"/>
        </w:rPr>
        <w:t>等</w:t>
      </w:r>
      <w:r>
        <w:rPr>
          <w:rFonts w:hint="eastAsia" w:ascii="仿宋_GB2312" w:hAnsi="Times New Roman" w:eastAsia="仿宋_GB2312"/>
          <w:color w:val="000000"/>
          <w:kern w:val="0"/>
          <w:sz w:val="32"/>
          <w:szCs w:val="32"/>
          <w:lang w:val="en-US" w:eastAsia="zh-CN"/>
        </w:rPr>
        <w:t>内容进行了重点监控，</w:t>
      </w:r>
      <w:r>
        <w:rPr>
          <w:rFonts w:hint="eastAsia" w:ascii="仿宋_GB2312" w:eastAsia="仿宋_GB2312"/>
          <w:sz w:val="32"/>
          <w:szCs w:val="32"/>
          <w:lang w:eastAsia="zh-CN"/>
        </w:rPr>
        <w:t>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2022年度下达计划50万元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2022年底</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val="en-US" w:eastAsia="zh-CN"/>
        </w:rPr>
        <w:t>50</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eastAsia="zh-CN"/>
        </w:rPr>
        <w:t>该项目资金使用</w:t>
      </w:r>
      <w:r>
        <w:rPr>
          <w:rFonts w:hint="eastAsia" w:ascii="仿宋_GB2312" w:hAnsi="Times New Roman" w:eastAsia="仿宋_GB2312" w:cs="Times New Roman"/>
          <w:spacing w:val="-6"/>
          <w:sz w:val="32"/>
          <w:szCs w:val="32"/>
        </w:rPr>
        <w:t>严格按照专项资金管理办法规定，做到专款专用，</w:t>
      </w:r>
      <w:r>
        <w:rPr>
          <w:rFonts w:hint="eastAsia" w:ascii="仿宋_GB2312" w:eastAsia="仿宋_GB2312"/>
          <w:sz w:val="32"/>
          <w:szCs w:val="32"/>
        </w:rPr>
        <w:t>不存在截留、挤占、挪用、虚列支出等情况</w:t>
      </w:r>
      <w:r>
        <w:rPr>
          <w:rFonts w:hint="eastAsia" w:ascii="仿宋_GB2312" w:eastAsia="仿宋_GB2312"/>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仿宋_GB2312" w:eastAsia="仿宋_GB2312" w:cs="仿宋_GB2312"/>
          <w:kern w:val="0"/>
          <w:sz w:val="32"/>
          <w:szCs w:val="32"/>
          <w:lang w:val="en-US" w:eastAsia="zh-CN" w:bidi="ar"/>
        </w:rPr>
        <w:t>基层人民武装相关工作任务，</w:t>
      </w:r>
      <w:r>
        <w:rPr>
          <w:rFonts w:hint="eastAsia" w:ascii="仿宋_GB2312" w:hAnsi="Times New Roman" w:eastAsia="仿宋_GB2312" w:cs="Times New Roman"/>
          <w:spacing w:val="-6"/>
          <w:sz w:val="32"/>
          <w:szCs w:val="32"/>
        </w:rPr>
        <w:t>支付合规合法</w:t>
      </w:r>
      <w:r>
        <w:rPr>
          <w:rFonts w:hint="eastAsia" w:ascii="仿宋_GB2312" w:hAnsi="Times New Roman" w:eastAsia="仿宋_GB2312" w:cs="Times New Roman"/>
          <w:spacing w:val="-6"/>
          <w:sz w:val="32"/>
          <w:szCs w:val="32"/>
          <w:lang w:eastAsia="zh-CN"/>
        </w:rPr>
        <w:t>并</w:t>
      </w:r>
      <w:r>
        <w:rPr>
          <w:rFonts w:hint="eastAsia" w:ascii="仿宋_GB2312" w:hAnsi="Times New Roman" w:eastAsia="仿宋_GB2312" w:cs="Times New Roman"/>
          <w:spacing w:val="-6"/>
          <w:sz w:val="32"/>
          <w:szCs w:val="32"/>
        </w:rPr>
        <w:t>与预算相符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提高</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资金使用效益</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仿宋_GB2312" w:hAnsi="Arial" w:eastAsia="仿宋_GB2312" w:cs="Arial"/>
          <w:color w:val="000000"/>
          <w:kern w:val="0"/>
          <w:sz w:val="32"/>
          <w:szCs w:val="32"/>
        </w:rPr>
      </w:pPr>
      <w:r>
        <w:rPr>
          <w:rFonts w:hint="eastAsia" w:ascii="楷体_GB2312" w:hAnsi="宋体" w:eastAsia="楷体_GB2312" w:cs="Times New Roman"/>
          <w:b/>
          <w:w w:val="99"/>
          <w:sz w:val="32"/>
          <w:szCs w:val="32"/>
          <w:lang w:val="en-US" w:eastAsia="zh-CN"/>
        </w:rPr>
        <w:tab/>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加强组织领导。</w:t>
      </w:r>
      <w:r>
        <w:rPr>
          <w:rFonts w:hint="eastAsia" w:ascii="仿宋_GB2312" w:hAnsi="仿宋_GB2312" w:eastAsia="仿宋_GB2312" w:cs="仿宋_GB2312"/>
          <w:b w:val="0"/>
          <w:bCs/>
          <w:sz w:val="32"/>
          <w:szCs w:val="32"/>
          <w:lang w:val="en-US" w:eastAsia="zh-CN"/>
        </w:rPr>
        <w:t>为确保该项目有序开展，抓好、抓实、抓出亮点，成立了由镇长为组长，分管领导为副组长，财政所负责人、具体负责此项目</w:t>
      </w:r>
      <w:r>
        <w:rPr>
          <w:rFonts w:hint="eastAsia" w:ascii="仿宋_GB2312" w:hAnsi="仿宋_GB2312" w:cs="仿宋_GB2312"/>
          <w:b w:val="0"/>
          <w:bCs/>
          <w:sz w:val="32"/>
          <w:szCs w:val="32"/>
          <w:lang w:val="en-US" w:eastAsia="zh-CN"/>
        </w:rPr>
        <w:t>干部</w:t>
      </w:r>
      <w:r>
        <w:rPr>
          <w:rFonts w:hint="eastAsia" w:ascii="仿宋_GB2312" w:hAnsi="仿宋_GB2312" w:eastAsia="仿宋_GB2312" w:cs="仿宋_GB2312"/>
          <w:b w:val="0"/>
          <w:bCs/>
          <w:sz w:val="32"/>
          <w:szCs w:val="32"/>
          <w:lang w:val="en-US" w:eastAsia="zh-CN"/>
        </w:rPr>
        <w:t>为成员的领导小组</w:t>
      </w:r>
      <w:r>
        <w:rPr>
          <w:rFonts w:hint="eastAsia" w:ascii="仿宋_GB2312" w:hAnsi="Arial" w:eastAsia="仿宋_GB2312" w:cs="Arial"/>
          <w:color w:val="000000"/>
          <w:kern w:val="0"/>
          <w:sz w:val="32"/>
          <w:szCs w:val="32"/>
        </w:rPr>
        <w:t>。</w:t>
      </w:r>
      <w:r>
        <w:rPr>
          <w:rFonts w:hint="eastAsia" w:ascii="仿宋_GB2312" w:hAnsi="仿宋_GB2312" w:eastAsia="仿宋_GB2312" w:cs="仿宋_GB2312"/>
          <w:b w:val="0"/>
          <w:bCs/>
          <w:sz w:val="32"/>
          <w:szCs w:val="32"/>
          <w:lang w:eastAsia="zh-CN"/>
        </w:rPr>
        <w:t>对项目实施全过程、全方位、全覆盖进行监督</w:t>
      </w:r>
      <w:r>
        <w:rPr>
          <w:rFonts w:hint="eastAsia" w:ascii="仿宋_GB2312" w:hAnsi="仿宋_GB2312" w:eastAsia="仿宋_GB2312" w:cs="仿宋_GB2312"/>
          <w:b w:val="0"/>
          <w:bCs/>
          <w:sz w:val="32"/>
          <w:szCs w:val="32"/>
        </w:rPr>
        <w:t>，并相继出台了</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资金管理暂行办法等条例，规范资金使用管理。</w:t>
      </w:r>
    </w:p>
    <w:p>
      <w:pPr>
        <w:keepNext w:val="0"/>
        <w:keepLines w:val="0"/>
        <w:pageBreakBefore w:val="0"/>
        <w:widowControl/>
        <w:kinsoku/>
        <w:wordWrap/>
        <w:overflowPunct/>
        <w:topLinePunct w:val="0"/>
        <w:autoSpaceDN/>
        <w:bidi w:val="0"/>
        <w:spacing w:line="540" w:lineRule="exact"/>
        <w:ind w:firstLine="64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强化监督管理。监督检查的重点是：资金使用范围是否符合规定、是否公开透明、有无截留挪用、使用决策程序是否规范、民主监督措施是否落实、项目建设质量是否符合要求等。要注重项目实施绩效</w:t>
      </w:r>
      <w:r>
        <w:rPr>
          <w:rFonts w:hint="eastAsia" w:ascii="仿宋_GB2312" w:hAnsi="Arial" w:eastAsia="仿宋_GB2312" w:cs="Arial"/>
          <w:color w:val="000000"/>
          <w:kern w:val="0"/>
          <w:sz w:val="32"/>
          <w:szCs w:val="32"/>
          <w:lang w:eastAsia="zh-CN"/>
        </w:rPr>
        <w:t>和结果。</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1.项目成本(预算)控制情况。完成了整个项目支出50万元，项目支出主要用于硬化产业道路1.5公里，新建中草药晾晒场800平方米，浆砌堡坎211立方米等工作任务。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2.项目成本(预算)节约情况。项目支出过程中均按照厉行节约原则完成。</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rPr>
      </w:pPr>
      <w:r>
        <w:rPr>
          <w:rFonts w:hint="eastAsia" w:ascii="仿宋_GB2312" w:hAnsi="仿宋_GB2312" w:eastAsia="仿宋_GB2312" w:cs="仿宋_GB2312"/>
          <w:kern w:val="0"/>
          <w:sz w:val="32"/>
          <w:szCs w:val="32"/>
          <w:lang w:val="en-US" w:eastAsia="zh-CN" w:bidi="ar"/>
        </w:rPr>
        <w:t>3.项目的效率性分析。按时完成2022年基层人民武装的工作任务。</w:t>
      </w:r>
    </w:p>
    <w:p>
      <w:pPr>
        <w:pStyle w:val="2"/>
        <w:keepNext w:val="0"/>
        <w:keepLines w:val="0"/>
        <w:pageBreakBefore w:val="0"/>
        <w:numPr>
          <w:ilvl w:val="0"/>
          <w:numId w:val="11"/>
        </w:numPr>
        <w:kinsoku/>
        <w:wordWrap/>
        <w:overflowPunct/>
        <w:topLinePunct w:val="0"/>
        <w:autoSpaceDN/>
        <w:bidi w:val="0"/>
        <w:spacing w:line="540" w:lineRule="exac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pStyle w:val="2"/>
        <w:keepNext w:val="0"/>
        <w:keepLines w:val="0"/>
        <w:pageBreakBefore w:val="0"/>
        <w:numPr>
          <w:ilvl w:val="0"/>
          <w:numId w:val="0"/>
        </w:numPr>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：改善基础设施条件、带动地方经济发展。</w:t>
      </w:r>
    </w:p>
    <w:p>
      <w:pPr>
        <w:keepNext w:val="0"/>
        <w:keepLines w:val="0"/>
        <w:pageBreakBefore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服务对象满意度</w:t>
      </w:r>
      <w:r>
        <w:rPr>
          <w:rFonts w:hint="eastAsia" w:ascii="仿宋_GB2312" w:hAnsi="仿宋_GB2312" w:eastAsia="仿宋_GB2312" w:cs="仿宋_GB2312"/>
          <w:kern w:val="0"/>
          <w:sz w:val="32"/>
          <w:szCs w:val="32"/>
          <w:lang w:val="en-US" w:eastAsia="zh-CN" w:bidi="ar"/>
        </w:rPr>
        <w:t>：服务对象满意度达到95%，</w:t>
      </w:r>
      <w:r>
        <w:rPr>
          <w:rFonts w:hint="eastAsia" w:ascii="仿宋_GB2312" w:hAnsi="宋体" w:eastAsia="仿宋_GB2312" w:cs="Times New Roman"/>
          <w:w w:val="99"/>
          <w:sz w:val="32"/>
          <w:szCs w:val="32"/>
          <w:lang w:val="en-US" w:eastAsia="zh-CN"/>
        </w:rPr>
        <w:t>效益良好</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_GB2312" w:hAnsi="Times New Roman" w:eastAsia="楷体_GB2312" w:cs="Times New Roman"/>
          <w:bCs/>
          <w:spacing w:val="-6"/>
          <w:sz w:val="32"/>
          <w:szCs w:val="32"/>
        </w:rPr>
      </w:pPr>
      <w:r>
        <w:rPr>
          <w:rFonts w:hint="eastAsia" w:ascii="仿宋_GB2312" w:hAnsi="仿宋_GB2312" w:eastAsia="仿宋_GB2312" w:cs="仿宋_GB2312"/>
          <w:kern w:val="0"/>
          <w:sz w:val="32"/>
          <w:szCs w:val="32"/>
          <w:lang w:val="en-US" w:eastAsia="zh-CN" w:bidi="ar"/>
        </w:rPr>
        <w:t>综合预算项目绩效评价情况认为，在项目资金预算绩效方面总体上是管理使用到位的，虽完成预算资金使用量,仍然存在较多客观因素，应及时做好汇报和资金调整工作。</w:t>
      </w:r>
    </w:p>
    <w:p>
      <w:pPr>
        <w:spacing w:line="570" w:lineRule="exact"/>
        <w:ind w:firstLine="635" w:firstLineChars="20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（二）相关建议。</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强化对资金绩效实现情况的责任约束，对有可能偏离预算绩效目标的支出，及时采取有效措施予以纠正，合理充分利用资金，提高资金使用效率。</w:t>
      </w:r>
    </w:p>
    <w:p>
      <w:pPr>
        <w:rPr>
          <w:rFonts w:hint="eastAsia" w:ascii="仿宋_GB2312" w:hAnsi="Times New Roman" w:eastAsia="仿宋_GB2312" w:cs="Times New Roman"/>
          <w:color w:val="auto"/>
          <w:kern w:val="0"/>
          <w:sz w:val="32"/>
          <w:szCs w:val="32"/>
          <w:lang w:val="en-US" w:eastAsia="zh-CN" w:bidi="ar-SA"/>
        </w:rPr>
      </w:pPr>
    </w:p>
    <w:p>
      <w:pPr>
        <w:pStyle w:val="2"/>
        <w:ind w:left="0" w:leftChars="0" w:firstLine="0" w:firstLineChars="0"/>
        <w:rPr>
          <w:rFonts w:hint="eastAsia" w:ascii="仿宋_GB2312" w:hAnsi="Times New Roman" w:eastAsia="仿宋_GB2312" w:cs="Times New Roman"/>
          <w:color w:val="auto"/>
          <w:kern w:val="0"/>
          <w:sz w:val="32"/>
          <w:szCs w:val="32"/>
          <w:lang w:val="en-US" w:eastAsia="zh-CN" w:bidi="ar-SA"/>
        </w:rPr>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pPr>
        <w:spacing w:line="600" w:lineRule="exact"/>
        <w:jc w:val="both"/>
        <w:outlineLvl w:val="0"/>
        <w:rPr>
          <w:rFonts w:hint="eastAsia" w:ascii="黑体" w:hAnsi="黑体" w:eastAsia="黑体"/>
          <w:sz w:val="44"/>
          <w:szCs w:val="44"/>
        </w:rPr>
      </w:pPr>
      <w:bookmarkStart w:id="107" w:name="_Toc15396618"/>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bookmarkStart w:id="108" w:name="_Toc31390"/>
      <w:r>
        <w:rPr>
          <w:rFonts w:hint="eastAsia" w:ascii="黑体" w:hAnsi="黑体" w:eastAsia="黑体"/>
          <w:sz w:val="44"/>
          <w:szCs w:val="44"/>
        </w:rPr>
        <w:br w:type="textWrapping"/>
      </w:r>
      <w:bookmarkEnd w:id="108"/>
    </w:p>
    <w:p>
      <w:pPr>
        <w:numPr>
          <w:ilvl w:val="0"/>
          <w:numId w:val="4"/>
        </w:numPr>
        <w:spacing w:line="600" w:lineRule="exact"/>
        <w:ind w:left="0" w:leftChars="0" w:firstLine="660" w:firstLineChars="150"/>
        <w:jc w:val="center"/>
        <w:outlineLvl w:val="0"/>
        <w:rPr>
          <w:rStyle w:val="21"/>
          <w:rFonts w:hint="eastAsia" w:ascii="黑体" w:hAnsi="黑体" w:eastAsia="黑体"/>
          <w:b w:val="0"/>
        </w:rPr>
      </w:pPr>
      <w:bookmarkStart w:id="109" w:name="_Toc18419"/>
      <w:r>
        <w:rPr>
          <w:rStyle w:val="21"/>
          <w:rFonts w:hint="eastAsia" w:ascii="黑体" w:hAnsi="黑体" w:eastAsia="黑体"/>
          <w:b w:val="0"/>
        </w:rPr>
        <w:t>附表</w:t>
      </w:r>
      <w:bookmarkEnd w:id="97"/>
      <w:bookmarkEnd w:id="107"/>
      <w:bookmarkEnd w:id="109"/>
      <w:bookmarkStart w:id="110" w:name="_Toc15396619"/>
    </w:p>
    <w:p>
      <w:pPr>
        <w:rPr>
          <w:rFonts w:eastAsia="仿宋"/>
        </w:rPr>
      </w:pPr>
    </w:p>
    <w:p>
      <w:pPr>
        <w:pStyle w:val="2"/>
        <w:numPr>
          <w:ilvl w:val="0"/>
          <w:numId w:val="0"/>
        </w:numPr>
        <w:ind w:leftChars="150"/>
      </w:pPr>
    </w:p>
    <w:bookmarkEnd w:id="110"/>
    <w:p>
      <w:pPr>
        <w:pStyle w:val="5"/>
        <w:rPr>
          <w:rFonts w:ascii="仿宋" w:hAnsi="仿宋" w:eastAsia="仿宋"/>
          <w:color w:val="auto"/>
          <w:highlight w:val="none"/>
        </w:rPr>
      </w:pPr>
      <w:bookmarkStart w:id="111" w:name="_Toc8982"/>
      <w:r>
        <w:rPr>
          <w:rFonts w:hint="eastAsia" w:ascii="仿宋" w:hAnsi="仿宋" w:eastAsia="仿宋"/>
          <w:b w:val="0"/>
          <w:color w:val="auto"/>
          <w:highlight w:val="none"/>
        </w:rPr>
        <w:t>一、收</w:t>
      </w:r>
      <w:r>
        <w:rPr>
          <w:rStyle w:val="37"/>
          <w:rFonts w:hint="eastAsia" w:ascii="仿宋" w:hAnsi="仿宋" w:eastAsia="仿宋"/>
          <w:b w:val="0"/>
          <w:bCs w:val="0"/>
          <w:color w:val="auto"/>
          <w:highlight w:val="none"/>
        </w:rPr>
        <w:t>入支出决算总表</w:t>
      </w:r>
      <w:bookmarkEnd w:id="111"/>
    </w:p>
    <w:p>
      <w:pPr>
        <w:pStyle w:val="5"/>
        <w:rPr>
          <w:rFonts w:ascii="仿宋" w:hAnsi="仿宋" w:eastAsia="仿宋"/>
          <w:color w:val="auto"/>
          <w:highlight w:val="none"/>
        </w:rPr>
      </w:pPr>
      <w:bookmarkStart w:id="112" w:name="_Toc15396620"/>
      <w:bookmarkStart w:id="113" w:name="_Toc25909"/>
      <w:r>
        <w:rPr>
          <w:rFonts w:hint="eastAsia" w:ascii="仿宋" w:hAnsi="仿宋" w:eastAsia="仿宋"/>
          <w:b w:val="0"/>
          <w:color w:val="auto"/>
          <w:highlight w:val="none"/>
        </w:rPr>
        <w:t>二、收</w:t>
      </w:r>
      <w:r>
        <w:rPr>
          <w:rStyle w:val="37"/>
          <w:rFonts w:hint="eastAsia" w:ascii="仿宋" w:hAnsi="仿宋" w:eastAsia="仿宋"/>
          <w:b w:val="0"/>
          <w:bCs w:val="0"/>
          <w:color w:val="auto"/>
          <w:highlight w:val="none"/>
        </w:rPr>
        <w:t>入决算表</w:t>
      </w:r>
      <w:bookmarkEnd w:id="112"/>
      <w:bookmarkEnd w:id="113"/>
    </w:p>
    <w:p>
      <w:pPr>
        <w:pStyle w:val="5"/>
        <w:rPr>
          <w:rFonts w:ascii="仿宋" w:hAnsi="仿宋" w:eastAsia="仿宋"/>
          <w:color w:val="auto"/>
          <w:highlight w:val="none"/>
        </w:rPr>
      </w:pPr>
      <w:bookmarkStart w:id="114" w:name="_Toc15396621"/>
      <w:bookmarkStart w:id="115" w:name="_Toc3440"/>
      <w:r>
        <w:rPr>
          <w:rStyle w:val="3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7"/>
          <w:rFonts w:hint="eastAsia" w:ascii="仿宋" w:hAnsi="仿宋" w:eastAsia="仿宋"/>
          <w:b w:val="0"/>
          <w:bCs w:val="0"/>
          <w:color w:val="auto"/>
          <w:highlight w:val="none"/>
        </w:rPr>
        <w:t>出决算表</w:t>
      </w:r>
      <w:bookmarkEnd w:id="114"/>
      <w:bookmarkEnd w:id="115"/>
    </w:p>
    <w:p>
      <w:pPr>
        <w:pStyle w:val="5"/>
        <w:rPr>
          <w:rFonts w:ascii="仿宋" w:hAnsi="仿宋" w:eastAsia="仿宋"/>
          <w:b w:val="0"/>
          <w:color w:val="auto"/>
          <w:highlight w:val="none"/>
        </w:rPr>
      </w:pPr>
      <w:bookmarkStart w:id="116" w:name="_Toc15396622"/>
      <w:bookmarkStart w:id="117" w:name="_Toc19821"/>
      <w:r>
        <w:rPr>
          <w:rStyle w:val="3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7"/>
          <w:rFonts w:hint="eastAsia" w:ascii="仿宋" w:hAnsi="仿宋" w:eastAsia="仿宋"/>
          <w:b w:val="0"/>
          <w:bCs w:val="0"/>
          <w:color w:val="auto"/>
          <w:highlight w:val="none"/>
        </w:rPr>
        <w:t>政拨款收入支出决算总表</w:t>
      </w:r>
      <w:bookmarkEnd w:id="116"/>
      <w:bookmarkEnd w:id="117"/>
    </w:p>
    <w:p>
      <w:pPr>
        <w:pStyle w:val="5"/>
        <w:rPr>
          <w:rStyle w:val="37"/>
          <w:rFonts w:ascii="仿宋" w:hAnsi="仿宋" w:eastAsia="仿宋"/>
          <w:b w:val="0"/>
          <w:bCs w:val="0"/>
          <w:color w:val="auto"/>
          <w:highlight w:val="none"/>
        </w:rPr>
      </w:pPr>
      <w:bookmarkStart w:id="118" w:name="_Toc15396623"/>
      <w:bookmarkStart w:id="119" w:name="_Toc5662"/>
      <w:r>
        <w:rPr>
          <w:rStyle w:val="3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7"/>
          <w:rFonts w:hint="eastAsia" w:ascii="仿宋" w:hAnsi="仿宋" w:eastAsia="仿宋"/>
          <w:b w:val="0"/>
          <w:bCs w:val="0"/>
          <w:color w:val="auto"/>
          <w:highlight w:val="none"/>
        </w:rPr>
        <w:t>政拨款支出决算明细表</w:t>
      </w:r>
      <w:bookmarkEnd w:id="118"/>
      <w:bookmarkEnd w:id="119"/>
      <w:bookmarkStart w:id="120" w:name="_Toc15396624"/>
    </w:p>
    <w:p>
      <w:pPr>
        <w:pStyle w:val="5"/>
        <w:rPr>
          <w:rFonts w:ascii="仿宋" w:hAnsi="仿宋" w:eastAsia="仿宋"/>
          <w:color w:val="auto"/>
          <w:highlight w:val="none"/>
        </w:rPr>
      </w:pPr>
      <w:bookmarkStart w:id="121" w:name="_Toc18942"/>
      <w:r>
        <w:rPr>
          <w:rStyle w:val="3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7"/>
          <w:rFonts w:hint="eastAsia" w:ascii="仿宋" w:hAnsi="仿宋" w:eastAsia="仿宋"/>
          <w:b w:val="0"/>
          <w:bCs w:val="0"/>
          <w:color w:val="auto"/>
          <w:highlight w:val="none"/>
        </w:rPr>
        <w:t>般公共预算财政拨款支出决算表</w:t>
      </w:r>
      <w:bookmarkEnd w:id="120"/>
      <w:bookmarkEnd w:id="121"/>
    </w:p>
    <w:p>
      <w:pPr>
        <w:pStyle w:val="5"/>
        <w:rPr>
          <w:rFonts w:ascii="仿宋" w:hAnsi="仿宋" w:eastAsia="仿宋"/>
          <w:color w:val="auto"/>
          <w:highlight w:val="none"/>
        </w:rPr>
      </w:pPr>
      <w:bookmarkStart w:id="122" w:name="_Toc15396625"/>
      <w:bookmarkStart w:id="123" w:name="_Toc19634"/>
      <w:r>
        <w:rPr>
          <w:rStyle w:val="3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7"/>
          <w:rFonts w:hint="eastAsia" w:ascii="仿宋" w:hAnsi="仿宋" w:eastAsia="仿宋"/>
          <w:b w:val="0"/>
          <w:bCs w:val="0"/>
          <w:color w:val="auto"/>
          <w:highlight w:val="none"/>
        </w:rPr>
        <w:t>般公共预算财政拨款支出决算明细表</w:t>
      </w:r>
      <w:bookmarkEnd w:id="122"/>
      <w:bookmarkEnd w:id="123"/>
    </w:p>
    <w:p>
      <w:pPr>
        <w:pStyle w:val="5"/>
        <w:rPr>
          <w:rFonts w:ascii="仿宋" w:hAnsi="仿宋" w:eastAsia="仿宋"/>
          <w:color w:val="auto"/>
          <w:highlight w:val="none"/>
        </w:rPr>
      </w:pPr>
      <w:bookmarkStart w:id="124" w:name="_Toc15396626"/>
      <w:bookmarkStart w:id="125" w:name="_Toc20750"/>
      <w:r>
        <w:rPr>
          <w:rStyle w:val="3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7"/>
          <w:rFonts w:hint="eastAsia" w:ascii="仿宋" w:hAnsi="仿宋" w:eastAsia="仿宋"/>
          <w:b w:val="0"/>
          <w:bCs w:val="0"/>
          <w:color w:val="auto"/>
          <w:highlight w:val="none"/>
        </w:rPr>
        <w:t>般公共预算财政拨款基本支出决算表</w:t>
      </w:r>
      <w:bookmarkEnd w:id="124"/>
      <w:bookmarkEnd w:id="125"/>
    </w:p>
    <w:p>
      <w:pPr>
        <w:pStyle w:val="5"/>
        <w:rPr>
          <w:rFonts w:ascii="仿宋" w:hAnsi="仿宋" w:eastAsia="仿宋"/>
          <w:color w:val="auto"/>
          <w:highlight w:val="none"/>
        </w:rPr>
      </w:pPr>
      <w:bookmarkStart w:id="126" w:name="_Toc15396627"/>
      <w:bookmarkStart w:id="127" w:name="_Toc10309"/>
      <w:r>
        <w:rPr>
          <w:rStyle w:val="3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7"/>
          <w:rFonts w:hint="eastAsia" w:ascii="仿宋" w:hAnsi="仿宋" w:eastAsia="仿宋"/>
          <w:b w:val="0"/>
          <w:bCs w:val="0"/>
          <w:color w:val="auto"/>
          <w:highlight w:val="none"/>
        </w:rPr>
        <w:t>般公共预算财政拨款项目支出决算表</w:t>
      </w:r>
      <w:bookmarkEnd w:id="126"/>
      <w:bookmarkEnd w:id="127"/>
    </w:p>
    <w:p>
      <w:pPr>
        <w:pStyle w:val="5"/>
        <w:rPr>
          <w:rFonts w:ascii="仿宋" w:hAnsi="仿宋" w:eastAsia="仿宋"/>
          <w:color w:val="auto"/>
          <w:highlight w:val="none"/>
        </w:rPr>
      </w:pPr>
      <w:bookmarkStart w:id="128" w:name="_Toc15396628"/>
      <w:bookmarkStart w:id="129" w:name="_Toc6316"/>
      <w:r>
        <w:rPr>
          <w:rStyle w:val="37"/>
          <w:rFonts w:hint="eastAsia" w:ascii="仿宋" w:hAnsi="仿宋" w:eastAsia="仿宋"/>
          <w:b w:val="0"/>
          <w:bCs w:val="0"/>
          <w:color w:val="auto"/>
          <w:highlight w:val="none"/>
        </w:rPr>
        <w:t>十、</w:t>
      </w:r>
      <w:bookmarkEnd w:id="128"/>
      <w:r>
        <w:rPr>
          <w:rFonts w:hint="eastAsia" w:ascii="仿宋" w:hAnsi="仿宋" w:eastAsia="仿宋"/>
          <w:b w:val="0"/>
          <w:color w:val="auto"/>
          <w:highlight w:val="none"/>
        </w:rPr>
        <w:t>政</w:t>
      </w:r>
      <w:r>
        <w:rPr>
          <w:rStyle w:val="37"/>
          <w:rFonts w:hint="eastAsia" w:ascii="仿宋" w:hAnsi="仿宋" w:eastAsia="仿宋"/>
          <w:b w:val="0"/>
          <w:bCs w:val="0"/>
          <w:color w:val="auto"/>
          <w:highlight w:val="none"/>
        </w:rPr>
        <w:t>府性基金预算财政拨款收入支出决算表</w:t>
      </w:r>
      <w:bookmarkEnd w:id="129"/>
    </w:p>
    <w:p>
      <w:pPr>
        <w:pStyle w:val="5"/>
        <w:rPr>
          <w:rFonts w:ascii="仿宋" w:hAnsi="仿宋" w:eastAsia="仿宋"/>
          <w:color w:val="auto"/>
          <w:highlight w:val="none"/>
        </w:rPr>
      </w:pPr>
      <w:bookmarkStart w:id="130" w:name="_Toc15396629"/>
      <w:bookmarkStart w:id="131" w:name="_Toc15491"/>
      <w:r>
        <w:rPr>
          <w:rStyle w:val="37"/>
          <w:rFonts w:hint="eastAsia" w:ascii="仿宋" w:hAnsi="仿宋" w:eastAsia="仿宋"/>
          <w:b w:val="0"/>
          <w:bCs w:val="0"/>
          <w:color w:val="auto"/>
          <w:highlight w:val="none"/>
        </w:rPr>
        <w:t>十一、</w:t>
      </w:r>
      <w:bookmarkEnd w:id="130"/>
      <w:r>
        <w:rPr>
          <w:rFonts w:hint="eastAsia" w:ascii="仿宋" w:hAnsi="仿宋" w:eastAsia="仿宋"/>
          <w:b w:val="0"/>
          <w:color w:val="auto"/>
          <w:highlight w:val="none"/>
        </w:rPr>
        <w:t>国</w:t>
      </w:r>
      <w:r>
        <w:rPr>
          <w:rStyle w:val="37"/>
          <w:rFonts w:hint="eastAsia" w:ascii="仿宋" w:hAnsi="仿宋" w:eastAsia="仿宋"/>
          <w:b w:val="0"/>
          <w:bCs w:val="0"/>
          <w:color w:val="auto"/>
          <w:highlight w:val="none"/>
        </w:rPr>
        <w:t>有资本经营预算</w:t>
      </w:r>
      <w:r>
        <w:rPr>
          <w:rStyle w:val="37"/>
          <w:rFonts w:hint="eastAsia" w:ascii="仿宋" w:hAnsi="仿宋" w:eastAsia="仿宋"/>
          <w:b w:val="0"/>
          <w:bCs w:val="0"/>
          <w:color w:val="auto"/>
          <w:highlight w:val="none"/>
          <w:lang w:eastAsia="zh-CN"/>
        </w:rPr>
        <w:t>财政拨款收入</w:t>
      </w:r>
      <w:r>
        <w:rPr>
          <w:rStyle w:val="37"/>
          <w:rFonts w:hint="eastAsia" w:ascii="仿宋" w:hAnsi="仿宋" w:eastAsia="仿宋"/>
          <w:b w:val="0"/>
          <w:bCs w:val="0"/>
          <w:color w:val="auto"/>
          <w:highlight w:val="none"/>
        </w:rPr>
        <w:t>支出决算表</w:t>
      </w:r>
      <w:bookmarkEnd w:id="131"/>
    </w:p>
    <w:p>
      <w:pPr>
        <w:pStyle w:val="5"/>
        <w:rPr>
          <w:rFonts w:ascii="仿宋" w:hAnsi="仿宋" w:eastAsia="仿宋"/>
          <w:color w:val="auto"/>
          <w:highlight w:val="none"/>
        </w:rPr>
      </w:pPr>
      <w:bookmarkStart w:id="132" w:name="_Toc15396630"/>
      <w:bookmarkStart w:id="133" w:name="_Toc11337"/>
      <w:r>
        <w:rPr>
          <w:rStyle w:val="37"/>
          <w:rFonts w:hint="eastAsia" w:ascii="仿宋" w:hAnsi="仿宋" w:eastAsia="仿宋"/>
          <w:b w:val="0"/>
          <w:bCs w:val="0"/>
          <w:color w:val="auto"/>
          <w:highlight w:val="none"/>
        </w:rPr>
        <w:t>十二、</w:t>
      </w:r>
      <w:bookmarkEnd w:id="132"/>
      <w:r>
        <w:rPr>
          <w:rStyle w:val="37"/>
          <w:rFonts w:hint="eastAsia" w:ascii="仿宋" w:hAnsi="仿宋" w:eastAsia="仿宋"/>
          <w:b w:val="0"/>
          <w:bCs w:val="0"/>
          <w:color w:val="auto"/>
          <w:highlight w:val="none"/>
          <w:lang w:eastAsia="zh-CN"/>
        </w:rPr>
        <w:t>国有资本经营预算财政拨款支出决算表</w:t>
      </w:r>
      <w:bookmarkEnd w:id="133"/>
    </w:p>
    <w:p>
      <w:pPr>
        <w:pStyle w:val="5"/>
        <w:rPr>
          <w:rFonts w:hint="eastAsia" w:eastAsia="仿宋"/>
          <w:color w:val="auto"/>
          <w:highlight w:val="none"/>
          <w:lang w:eastAsia="zh-CN"/>
        </w:rPr>
      </w:pPr>
      <w:bookmarkStart w:id="134" w:name="_Toc15396631"/>
      <w:bookmarkStart w:id="135" w:name="_Toc23491"/>
      <w:r>
        <w:rPr>
          <w:rStyle w:val="37"/>
          <w:rFonts w:hint="eastAsia" w:ascii="仿宋" w:hAnsi="仿宋" w:eastAsia="仿宋"/>
          <w:b w:val="0"/>
          <w:bCs w:val="0"/>
          <w:color w:val="auto"/>
          <w:highlight w:val="none"/>
        </w:rPr>
        <w:t>十三、</w:t>
      </w:r>
      <w:bookmarkEnd w:id="134"/>
      <w:r>
        <w:rPr>
          <w:rStyle w:val="37"/>
          <w:rFonts w:hint="eastAsia" w:ascii="仿宋" w:hAnsi="仿宋" w:eastAsia="仿宋"/>
          <w:b w:val="0"/>
          <w:bCs w:val="0"/>
          <w:color w:val="auto"/>
          <w:highlight w:val="none"/>
          <w:lang w:eastAsia="zh-CN"/>
        </w:rPr>
        <w:t>财政拨款“三公”经费支出决算表</w:t>
      </w:r>
      <w:bookmarkEnd w:id="135"/>
    </w:p>
    <w:p>
      <w:pPr>
        <w:rPr>
          <w:rFonts w:eastAsia="仿宋"/>
        </w:rPr>
      </w:pPr>
    </w:p>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PAGE   \* MERGEFORMAT</w:instrText>
                          </w:r>
                          <w:r>
                            <w:fldChar w:fldCharType="separate"/>
                          </w:r>
                          <w:r>
                            <w:rPr>
                              <w:lang w:val="zh-CN"/>
                            </w:rPr>
                            <w:t>21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21</w:t>
                    </w:r>
                    <w:r>
                      <w:rPr>
                        <w:lang w:val="zh-C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DDB11"/>
    <w:multiLevelType w:val="singleLevel"/>
    <w:tmpl w:val="C55DDB11"/>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DAB38E75"/>
    <w:multiLevelType w:val="singleLevel"/>
    <w:tmpl w:val="DAB38E75"/>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E972BD98"/>
    <w:multiLevelType w:val="singleLevel"/>
    <w:tmpl w:val="E972BD98"/>
    <w:lvl w:ilvl="0" w:tentative="0">
      <w:start w:val="3"/>
      <w:numFmt w:val="chineseCounting"/>
      <w:suff w:val="nothing"/>
      <w:lvlText w:val="%1、"/>
      <w:lvlJc w:val="left"/>
      <w:rPr>
        <w:rFonts w:hint="eastAsia"/>
      </w:rPr>
    </w:lvl>
  </w:abstractNum>
  <w:abstractNum w:abstractNumId="5">
    <w:nsid w:val="F159DED1"/>
    <w:multiLevelType w:val="singleLevel"/>
    <w:tmpl w:val="F159DED1"/>
    <w:lvl w:ilvl="0" w:tentative="0">
      <w:start w:val="1"/>
      <w:numFmt w:val="decimal"/>
      <w:suff w:val="nothing"/>
      <w:lvlText w:val="%1．"/>
      <w:lvlJc w:val="left"/>
    </w:lvl>
  </w:abstractNum>
  <w:abstractNum w:abstractNumId="6">
    <w:nsid w:val="0E3A2EB0"/>
    <w:multiLevelType w:val="singleLevel"/>
    <w:tmpl w:val="0E3A2EB0"/>
    <w:lvl w:ilvl="0" w:tentative="0">
      <w:start w:val="2"/>
      <w:numFmt w:val="decimal"/>
      <w:lvlText w:val="(%1)"/>
      <w:lvlJc w:val="left"/>
      <w:pPr>
        <w:tabs>
          <w:tab w:val="left" w:pos="312"/>
        </w:tabs>
      </w:p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8">
    <w:nsid w:val="1CE45E12"/>
    <w:multiLevelType w:val="singleLevel"/>
    <w:tmpl w:val="1CE45E12"/>
    <w:lvl w:ilvl="0" w:tentative="0">
      <w:start w:val="2"/>
      <w:numFmt w:val="chineseCounting"/>
      <w:suff w:val="nothing"/>
      <w:lvlText w:val="（%1）"/>
      <w:lvlJc w:val="left"/>
      <w:rPr>
        <w:rFonts w:hint="eastAsia"/>
      </w:rPr>
    </w:lvl>
  </w:abstractNum>
  <w:abstractNum w:abstractNumId="9">
    <w:nsid w:val="35774BD2"/>
    <w:multiLevelType w:val="multilevel"/>
    <w:tmpl w:val="35774BD2"/>
    <w:lvl w:ilvl="0" w:tentative="0">
      <w:start w:val="3"/>
      <w:numFmt w:val="chineseCounting"/>
      <w:suff w:val="nothing"/>
      <w:lvlText w:val="（%1）"/>
      <w:lvlJc w:val="left"/>
      <w:pPr>
        <w:ind w:left="0" w:firstLine="0"/>
      </w:pPr>
      <w:rPr>
        <w:rFonts w:hint="eastAsia" w:ascii="楷体_GB2312" w:hAnsi="楷体_GB2312" w:eastAsia="楷体_GB2312" w:cs="楷体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D55764C"/>
    <w:multiLevelType w:val="singleLevel"/>
    <w:tmpl w:val="6D55764C"/>
    <w:lvl w:ilvl="0" w:tentative="0">
      <w:start w:val="1"/>
      <w:numFmt w:val="chineseCounting"/>
      <w:suff w:val="nothing"/>
      <w:lvlText w:val="（%1）"/>
      <w:lvlJc w:val="left"/>
      <w:rPr>
        <w:rFonts w:hint="eastAsia"/>
      </w:rPr>
    </w:lvl>
  </w:abstractNum>
  <w:num w:numId="1">
    <w:abstractNumId w:val="7"/>
  </w:num>
  <w:num w:numId="2">
    <w:abstractNumId w:val="5"/>
  </w:num>
  <w:num w:numId="3">
    <w:abstractNumId w:val="1"/>
  </w:num>
  <w:num w:numId="4">
    <w:abstractNumId w:val="3"/>
  </w:num>
  <w:num w:numId="5">
    <w:abstractNumId w:val="2"/>
  </w:num>
  <w:num w:numId="6">
    <w:abstractNumId w:val="4"/>
  </w:num>
  <w:num w:numId="7">
    <w:abstractNumId w:val="10"/>
  </w:num>
  <w:num w:numId="8">
    <w:abstractNumId w:val="8"/>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770C2"/>
    <w:rsid w:val="04824A5E"/>
    <w:rsid w:val="05982459"/>
    <w:rsid w:val="05AC6E21"/>
    <w:rsid w:val="064E7EBC"/>
    <w:rsid w:val="066E0107"/>
    <w:rsid w:val="06B62129"/>
    <w:rsid w:val="07996F6E"/>
    <w:rsid w:val="093F5EFC"/>
    <w:rsid w:val="0A2032A3"/>
    <w:rsid w:val="0ACE3E22"/>
    <w:rsid w:val="0C89453B"/>
    <w:rsid w:val="0FA97864"/>
    <w:rsid w:val="101860EC"/>
    <w:rsid w:val="109058C1"/>
    <w:rsid w:val="10C055FF"/>
    <w:rsid w:val="10F45CF4"/>
    <w:rsid w:val="118107EC"/>
    <w:rsid w:val="11C0251B"/>
    <w:rsid w:val="11FB4BEC"/>
    <w:rsid w:val="12981977"/>
    <w:rsid w:val="13D50BC4"/>
    <w:rsid w:val="16BB723D"/>
    <w:rsid w:val="17A27ECB"/>
    <w:rsid w:val="17CA65CA"/>
    <w:rsid w:val="1A6D2F6A"/>
    <w:rsid w:val="1A983FEE"/>
    <w:rsid w:val="1BE8440E"/>
    <w:rsid w:val="1C85621C"/>
    <w:rsid w:val="1C914475"/>
    <w:rsid w:val="1D155CEE"/>
    <w:rsid w:val="1D3644AB"/>
    <w:rsid w:val="21F422C5"/>
    <w:rsid w:val="23860B96"/>
    <w:rsid w:val="240371BF"/>
    <w:rsid w:val="25A01C7C"/>
    <w:rsid w:val="25C92778"/>
    <w:rsid w:val="273C784E"/>
    <w:rsid w:val="27994D02"/>
    <w:rsid w:val="27DB3735"/>
    <w:rsid w:val="29362A15"/>
    <w:rsid w:val="29964B46"/>
    <w:rsid w:val="29FD04D3"/>
    <w:rsid w:val="2B680981"/>
    <w:rsid w:val="2C8A61B5"/>
    <w:rsid w:val="2DF04E50"/>
    <w:rsid w:val="2E96526C"/>
    <w:rsid w:val="319F7F4E"/>
    <w:rsid w:val="333636F0"/>
    <w:rsid w:val="35147614"/>
    <w:rsid w:val="36AA5135"/>
    <w:rsid w:val="36AC0883"/>
    <w:rsid w:val="37BF0D50"/>
    <w:rsid w:val="37E16F03"/>
    <w:rsid w:val="3ADA4261"/>
    <w:rsid w:val="3AF957C3"/>
    <w:rsid w:val="3C7A49FD"/>
    <w:rsid w:val="3D7B4462"/>
    <w:rsid w:val="3D98207C"/>
    <w:rsid w:val="3EC5671A"/>
    <w:rsid w:val="3EF001EA"/>
    <w:rsid w:val="40B722E9"/>
    <w:rsid w:val="41E41DB1"/>
    <w:rsid w:val="43747D20"/>
    <w:rsid w:val="44E268DA"/>
    <w:rsid w:val="470B4E88"/>
    <w:rsid w:val="4A627F82"/>
    <w:rsid w:val="4B4F25DA"/>
    <w:rsid w:val="4BE068DB"/>
    <w:rsid w:val="4D577224"/>
    <w:rsid w:val="4D8B51D0"/>
    <w:rsid w:val="4EAB630A"/>
    <w:rsid w:val="4ECE2238"/>
    <w:rsid w:val="4EF601F8"/>
    <w:rsid w:val="502A67A6"/>
    <w:rsid w:val="53121CE0"/>
    <w:rsid w:val="53576DE1"/>
    <w:rsid w:val="54170D5F"/>
    <w:rsid w:val="5709190A"/>
    <w:rsid w:val="5AF92295"/>
    <w:rsid w:val="5B613B60"/>
    <w:rsid w:val="5C451B48"/>
    <w:rsid w:val="5C9D4D8F"/>
    <w:rsid w:val="5CD71FC4"/>
    <w:rsid w:val="61F03EDC"/>
    <w:rsid w:val="61FD5943"/>
    <w:rsid w:val="63D438A3"/>
    <w:rsid w:val="63E07710"/>
    <w:rsid w:val="643127F0"/>
    <w:rsid w:val="65B2213A"/>
    <w:rsid w:val="65DC450D"/>
    <w:rsid w:val="66BD7DEC"/>
    <w:rsid w:val="67C152A6"/>
    <w:rsid w:val="683E05C7"/>
    <w:rsid w:val="69800A43"/>
    <w:rsid w:val="6ADC573F"/>
    <w:rsid w:val="6C4A05C8"/>
    <w:rsid w:val="6C8B4191"/>
    <w:rsid w:val="6D0C596E"/>
    <w:rsid w:val="6E7E3605"/>
    <w:rsid w:val="6FF5CC65"/>
    <w:rsid w:val="6FF72A26"/>
    <w:rsid w:val="70E71D12"/>
    <w:rsid w:val="715C0E4B"/>
    <w:rsid w:val="72734D90"/>
    <w:rsid w:val="73AD73D5"/>
    <w:rsid w:val="73B6EB34"/>
    <w:rsid w:val="75D64611"/>
    <w:rsid w:val="793144A7"/>
    <w:rsid w:val="79BC7B6F"/>
    <w:rsid w:val="79EE5BA4"/>
    <w:rsid w:val="7A894339"/>
    <w:rsid w:val="7A942BEA"/>
    <w:rsid w:val="7C6D4EBF"/>
    <w:rsid w:val="7D73362D"/>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23"/>
    <w:qFormat/>
    <w:uiPriority w:val="99"/>
    <w:pPr>
      <w:keepNext/>
      <w:keepLines/>
      <w:spacing w:before="260" w:after="260" w:line="416" w:lineRule="auto"/>
      <w:outlineLvl w:val="2"/>
    </w:pPr>
    <w:rPr>
      <w:b/>
      <w:bCs/>
      <w:sz w:val="32"/>
      <w:szCs w:val="32"/>
    </w:rPr>
  </w:style>
  <w:style w:type="character" w:default="1" w:styleId="18">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pPr>
  </w:style>
  <w:style w:type="paragraph" w:styleId="3">
    <w:name w:val="Body Text Indent"/>
    <w:basedOn w:val="1"/>
    <w:qFormat/>
    <w:uiPriority w:val="99"/>
    <w:pPr>
      <w:ind w:firstLine="630"/>
      <w:jc w:val="left"/>
    </w:pPr>
    <w:rPr>
      <w:rFonts w:eastAsia="黑体"/>
      <w:sz w:val="32"/>
      <w:szCs w:val="32"/>
    </w:rPr>
  </w:style>
  <w:style w:type="paragraph" w:styleId="7">
    <w:name w:val="Salutation"/>
    <w:basedOn w:val="1"/>
    <w:next w:val="1"/>
    <w:qFormat/>
    <w:uiPriority w:val="99"/>
  </w:style>
  <w:style w:type="paragraph" w:styleId="8">
    <w:name w:val="Body Text"/>
    <w:basedOn w:val="1"/>
    <w:link w:val="30"/>
    <w:qFormat/>
    <w:uiPriority w:val="99"/>
    <w:pPr>
      <w:spacing w:beforeLines="30"/>
    </w:pPr>
    <w:rPr>
      <w:rFonts w:ascii="仿宋_GB2312" w:eastAsia="仿宋_GB2312"/>
      <w:kern w:val="0"/>
      <w:sz w:val="24"/>
      <w:szCs w:val="20"/>
    </w:rPr>
  </w:style>
  <w:style w:type="paragraph" w:styleId="9">
    <w:name w:val="toc 3"/>
    <w:basedOn w:val="1"/>
    <w:next w:val="1"/>
    <w:qFormat/>
    <w:uiPriority w:val="99"/>
    <w:pPr>
      <w:tabs>
        <w:tab w:val="right" w:leader="dot" w:pos="8296"/>
      </w:tabs>
      <w:ind w:left="840" w:leftChars="400"/>
    </w:pPr>
  </w:style>
  <w:style w:type="paragraph" w:styleId="10">
    <w:name w:val="Balloon Text"/>
    <w:basedOn w:val="1"/>
    <w:link w:val="25"/>
    <w:semiHidden/>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3">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4">
    <w:name w:val="toc 2"/>
    <w:basedOn w:val="1"/>
    <w:next w:val="1"/>
    <w:qFormat/>
    <w:uiPriority w:val="99"/>
    <w:pPr>
      <w:tabs>
        <w:tab w:val="right" w:leader="dot" w:pos="8296"/>
      </w:tabs>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19">
    <w:name w:val="Strong"/>
    <w:basedOn w:val="18"/>
    <w:qFormat/>
    <w:uiPriority w:val="99"/>
    <w:rPr>
      <w:rFonts w:cs="Times New Roman"/>
      <w:b/>
    </w:rPr>
  </w:style>
  <w:style w:type="character" w:styleId="20">
    <w:name w:val="Hyperlink"/>
    <w:basedOn w:val="18"/>
    <w:qFormat/>
    <w:uiPriority w:val="99"/>
    <w:rPr>
      <w:rFonts w:cs="Times New Roman"/>
      <w:color w:val="0000FF"/>
      <w:u w:val="single"/>
    </w:rPr>
  </w:style>
  <w:style w:type="character" w:customStyle="1" w:styleId="21">
    <w:name w:val="Heading 1 Char"/>
    <w:basedOn w:val="18"/>
    <w:link w:val="4"/>
    <w:qFormat/>
    <w:locked/>
    <w:uiPriority w:val="99"/>
    <w:rPr>
      <w:rFonts w:ascii="Times New Roman" w:hAnsi="Times New Roman" w:cs="Times New Roman"/>
      <w:b/>
      <w:bCs/>
      <w:kern w:val="44"/>
      <w:sz w:val="44"/>
      <w:szCs w:val="44"/>
    </w:rPr>
  </w:style>
  <w:style w:type="character" w:customStyle="1" w:styleId="22">
    <w:name w:val="Heading 2 Char"/>
    <w:basedOn w:val="18"/>
    <w:link w:val="5"/>
    <w:qFormat/>
    <w:locked/>
    <w:uiPriority w:val="99"/>
    <w:rPr>
      <w:rFonts w:ascii="Cambria" w:hAnsi="Cambria" w:eastAsia="宋体" w:cs="Times New Roman"/>
      <w:b/>
      <w:bCs/>
      <w:kern w:val="2"/>
      <w:sz w:val="32"/>
      <w:szCs w:val="32"/>
    </w:rPr>
  </w:style>
  <w:style w:type="character" w:customStyle="1" w:styleId="23">
    <w:name w:val="Heading 3 Char"/>
    <w:basedOn w:val="18"/>
    <w:link w:val="6"/>
    <w:qFormat/>
    <w:locked/>
    <w:uiPriority w:val="99"/>
    <w:rPr>
      <w:rFonts w:ascii="Times New Roman" w:hAnsi="Times New Roman" w:cs="Times New Roman"/>
      <w:b/>
      <w:bCs/>
      <w:kern w:val="2"/>
      <w:sz w:val="32"/>
      <w:szCs w:val="32"/>
    </w:rPr>
  </w:style>
  <w:style w:type="character" w:customStyle="1" w:styleId="24">
    <w:name w:val="Body Text Char"/>
    <w:basedOn w:val="18"/>
    <w:link w:val="8"/>
    <w:semiHidden/>
    <w:qFormat/>
    <w:uiPriority w:val="99"/>
    <w:rPr>
      <w:rFonts w:ascii="Times New Roman" w:hAnsi="Times New Roman" w:cs="Times New Roman"/>
      <w:sz w:val="24"/>
      <w:szCs w:val="24"/>
    </w:rPr>
  </w:style>
  <w:style w:type="character" w:customStyle="1" w:styleId="25">
    <w:name w:val="Balloon Text Char"/>
    <w:basedOn w:val="18"/>
    <w:link w:val="10"/>
    <w:semiHidden/>
    <w:qFormat/>
    <w:locked/>
    <w:uiPriority w:val="99"/>
    <w:rPr>
      <w:rFonts w:ascii="Times New Roman" w:hAnsi="Times New Roman" w:cs="Times New Roman"/>
      <w:kern w:val="2"/>
      <w:sz w:val="18"/>
      <w:szCs w:val="18"/>
    </w:rPr>
  </w:style>
  <w:style w:type="character" w:customStyle="1" w:styleId="26">
    <w:name w:val="Footer Char"/>
    <w:basedOn w:val="18"/>
    <w:link w:val="11"/>
    <w:semiHidden/>
    <w:qFormat/>
    <w:uiPriority w:val="99"/>
    <w:rPr>
      <w:rFonts w:ascii="Times New Roman" w:hAnsi="Times New Roman" w:cs="Times New Roman"/>
      <w:sz w:val="18"/>
      <w:szCs w:val="18"/>
    </w:rPr>
  </w:style>
  <w:style w:type="character" w:customStyle="1" w:styleId="27">
    <w:name w:val="Header Char"/>
    <w:basedOn w:val="18"/>
    <w:link w:val="12"/>
    <w:semiHidden/>
    <w:qFormat/>
    <w:uiPriority w:val="99"/>
    <w:rPr>
      <w:rFonts w:ascii="Times New Roman" w:hAnsi="Times New Roman" w:cs="Times New Roman"/>
      <w:sz w:val="18"/>
      <w:szCs w:val="18"/>
    </w:rPr>
  </w:style>
  <w:style w:type="character" w:customStyle="1" w:styleId="28">
    <w:name w:val="Header Char1"/>
    <w:link w:val="12"/>
    <w:semiHidden/>
    <w:qFormat/>
    <w:locked/>
    <w:uiPriority w:val="99"/>
    <w:rPr>
      <w:sz w:val="18"/>
    </w:rPr>
  </w:style>
  <w:style w:type="character" w:customStyle="1" w:styleId="29">
    <w:name w:val="Footer Char1"/>
    <w:link w:val="11"/>
    <w:qFormat/>
    <w:locked/>
    <w:uiPriority w:val="99"/>
    <w:rPr>
      <w:sz w:val="18"/>
    </w:rPr>
  </w:style>
  <w:style w:type="character" w:customStyle="1" w:styleId="30">
    <w:name w:val="Body Text Char1"/>
    <w:link w:val="8"/>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2">
    <w:name w:val="List Paragraph"/>
    <w:basedOn w:val="1"/>
    <w:qFormat/>
    <w:uiPriority w:val="99"/>
    <w:pPr>
      <w:ind w:firstLine="420" w:firstLineChars="200"/>
    </w:pPr>
  </w:style>
  <w:style w:type="paragraph" w:customStyle="1" w:styleId="33">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4">
    <w:name w:val="TOC Heading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5">
    <w:name w:val="font31"/>
    <w:basedOn w:val="18"/>
    <w:qFormat/>
    <w:uiPriority w:val="0"/>
    <w:rPr>
      <w:rFonts w:ascii="宋体" w:hAnsi="宋体" w:eastAsia="宋体" w:cs="宋体"/>
      <w:color w:val="000000"/>
      <w:sz w:val="18"/>
      <w:szCs w:val="18"/>
      <w:u w:val="none"/>
    </w:rPr>
  </w:style>
  <w:style w:type="character" w:customStyle="1" w:styleId="36">
    <w:name w:val="font11"/>
    <w:basedOn w:val="18"/>
    <w:qFormat/>
    <w:uiPriority w:val="0"/>
    <w:rPr>
      <w:rFonts w:hint="eastAsia" w:ascii="宋体" w:hAnsi="宋体" w:eastAsia="宋体" w:cs="宋体"/>
      <w:color w:val="000000"/>
      <w:sz w:val="18"/>
      <w:szCs w:val="18"/>
      <w:u w:val="none"/>
    </w:rPr>
  </w:style>
  <w:style w:type="character" w:customStyle="1" w:styleId="37">
    <w:name w:val="标题 2 Char"/>
    <w:basedOn w:val="18"/>
    <w:link w:val="5"/>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收支决算对比</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[工作簿1]Sheet1!$A$3:$A$4</c:f>
              <c:strCache>
                <c:ptCount val="2"/>
                <c:pt idx="0">
                  <c:v>2021年</c:v>
                </c:pt>
                <c:pt idx="1">
                  <c:v>2022年</c:v>
                </c:pt>
              </c:strCache>
            </c:strRef>
          </c:cat>
          <c:val>
            <c:numRef>
              <c:f>[工作簿1]Sheet1!$B$3:$B$4</c:f>
              <c:numCache>
                <c:formatCode>General</c:formatCode>
                <c:ptCount val="2"/>
                <c:pt idx="0">
                  <c:v>1260.28</c:v>
                </c:pt>
                <c:pt idx="1">
                  <c:v>1724.39</c:v>
                </c:pt>
              </c:numCache>
            </c:numRef>
          </c:val>
        </c:ser>
        <c:dLbls>
          <c:showLegendKey val="0"/>
          <c:showVal val="1"/>
          <c:showCatName val="0"/>
          <c:showSerName val="0"/>
          <c:showPercent val="0"/>
          <c:showBubbleSize val="0"/>
        </c:dLbls>
        <c:gapWidth val="75"/>
        <c:overlap val="40"/>
        <c:axId val="789419222"/>
        <c:axId val="690929925"/>
      </c:barChart>
      <c:catAx>
        <c:axId val="7894192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0929925"/>
        <c:crosses val="autoZero"/>
        <c:auto val="1"/>
        <c:lblAlgn val="ctr"/>
        <c:lblOffset val="100"/>
        <c:noMultiLvlLbl val="0"/>
      </c:catAx>
      <c:valAx>
        <c:axId val="6909299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41922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一般公共预算财政拨款收入, 1683.06, </a:t>
                    </a:r>
                    <a:r>
                      <a:rPr lang="en-US" altLang="zh-CN"/>
                      <a:t>99.9</a:t>
                    </a:r>
                    <a:r>
                      <a:t>%</a:t>
                    </a:r>
                  </a:p>
                </c:rich>
              </c:tx>
              <c:dLblPos val="ctr"/>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其他收入, 2.01, </a:t>
                    </a:r>
                    <a:r>
                      <a:rPr lang="en-US" altLang="zh-CN"/>
                      <a:t>0.1</a:t>
                    </a:r>
                    <a:r>
                      <a:t>%</a:t>
                    </a:r>
                  </a:p>
                </c:rich>
              </c:tx>
              <c:dLblPos val="ctr"/>
              <c:showLegendKey val="0"/>
              <c:showVal val="1"/>
              <c:showCatName val="1"/>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[工作簿1]Sheet1!$A$3:$A$4</c:f>
              <c:strCache>
                <c:ptCount val="2"/>
                <c:pt idx="0">
                  <c:v>一般公共预
算财政拨款收入</c:v>
                </c:pt>
                <c:pt idx="1">
                  <c:v>其他收入</c:v>
                </c:pt>
              </c:strCache>
            </c:strRef>
          </c:cat>
          <c:val>
            <c:numRef>
              <c:f>[工作簿1]Sheet1!$B$3:$B$4</c:f>
              <c:numCache>
                <c:formatCode>General</c:formatCode>
                <c:ptCount val="2"/>
                <c:pt idx="0">
                  <c:v>1683.06</c:v>
                </c:pt>
                <c:pt idx="1">
                  <c:v>2.01</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基本支出, 860.73, 49.9%</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项目支出, 863.66, 51.1%</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[工作簿1]Sheet1!$A$3:$A$4</c:f>
              <c:strCache>
                <c:ptCount val="2"/>
                <c:pt idx="0">
                  <c:v>基本支出</c:v>
                </c:pt>
                <c:pt idx="1">
                  <c:v>项目支出</c:v>
                </c:pt>
              </c:strCache>
            </c:strRef>
          </c:cat>
          <c:val>
            <c:numRef>
              <c:f>[工作簿1]Sheet1!$B$3:$B$4</c:f>
              <c:numCache>
                <c:formatCode>General</c:formatCode>
                <c:ptCount val="2"/>
                <c:pt idx="0">
                  <c:v>860.73</c:v>
                </c:pt>
                <c:pt idx="1">
                  <c:v>863.66</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财政拨款收支对比表</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0"/>
                  <c:y val="-0.003703703703703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 1258.63</a:t>
                    </a:r>
                  </a:p>
                </c:rich>
              </c:tx>
              <c:dLblPos val="inEnd"/>
              <c:showLegendKey val="0"/>
              <c:showVal val="1"/>
              <c:showCatName val="1"/>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 1722.39</a:t>
                    </a:r>
                  </a:p>
                </c:rich>
              </c:tx>
              <c:dLblPos val="in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[工作簿1]Sheet1!$A$3:$A$4</c:f>
              <c:strCache>
                <c:ptCount val="2"/>
                <c:pt idx="0">
                  <c:v>2021年</c:v>
                </c:pt>
                <c:pt idx="1">
                  <c:v>2022年</c:v>
                </c:pt>
              </c:strCache>
            </c:strRef>
          </c:cat>
          <c:val>
            <c:numRef>
              <c:f>[工作簿1]Sheet1!$B$3:$B$4</c:f>
              <c:numCache>
                <c:formatCode>General</c:formatCode>
                <c:ptCount val="2"/>
                <c:pt idx="0">
                  <c:v>1258.63</c:v>
                </c:pt>
                <c:pt idx="1">
                  <c:v>1722.39</c:v>
                </c:pt>
              </c:numCache>
            </c:numRef>
          </c:val>
        </c:ser>
        <c:dLbls>
          <c:showLegendKey val="0"/>
          <c:showVal val="1"/>
          <c:showCatName val="1"/>
          <c:showSerName val="0"/>
          <c:showPercent val="1"/>
          <c:showBubbleSize val="0"/>
        </c:dLbls>
        <c:gapWidth val="75"/>
        <c:overlap val="0"/>
        <c:axId val="789419222"/>
        <c:axId val="690929925"/>
      </c:barChart>
      <c:catAx>
        <c:axId val="7894192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0929925"/>
        <c:crosses val="autoZero"/>
        <c:auto val="1"/>
        <c:lblAlgn val="ctr"/>
        <c:lblOffset val="100"/>
        <c:noMultiLvlLbl val="0"/>
      </c:catAx>
      <c:valAx>
        <c:axId val="6909299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41922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0"/>
                  <c:y val="-0.003703703703703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 1258.63</a:t>
                    </a:r>
                  </a:p>
                </c:rich>
              </c:tx>
              <c:dLblPos val="inEnd"/>
              <c:showLegendKey val="0"/>
              <c:showVal val="1"/>
              <c:showCatName val="1"/>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 1722.39</a:t>
                    </a:r>
                  </a:p>
                </c:rich>
              </c:tx>
              <c:dLblPos val="in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[工作簿1]Sheet1!$A$3:$A$4</c:f>
              <c:strCache>
                <c:ptCount val="2"/>
                <c:pt idx="0">
                  <c:v>2021年</c:v>
                </c:pt>
                <c:pt idx="1">
                  <c:v>2022年</c:v>
                </c:pt>
              </c:strCache>
            </c:strRef>
          </c:cat>
          <c:val>
            <c:numRef>
              <c:f>[工作簿1]Sheet1!$B$3:$B$4</c:f>
              <c:numCache>
                <c:formatCode>General</c:formatCode>
                <c:ptCount val="2"/>
                <c:pt idx="0">
                  <c:v>1258.63</c:v>
                </c:pt>
                <c:pt idx="1">
                  <c:v>1722.39</c:v>
                </c:pt>
              </c:numCache>
            </c:numRef>
          </c:val>
        </c:ser>
        <c:dLbls>
          <c:showLegendKey val="0"/>
          <c:showVal val="1"/>
          <c:showCatName val="1"/>
          <c:showSerName val="0"/>
          <c:showPercent val="1"/>
          <c:showBubbleSize val="0"/>
        </c:dLbls>
        <c:gapWidth val="75"/>
        <c:overlap val="0"/>
        <c:axId val="789419222"/>
        <c:axId val="690929925"/>
      </c:barChart>
      <c:catAx>
        <c:axId val="7894192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0929925"/>
        <c:crosses val="autoZero"/>
        <c:auto val="1"/>
        <c:lblAlgn val="ctr"/>
        <c:lblOffset val="100"/>
        <c:noMultiLvlLbl val="0"/>
      </c:catAx>
      <c:valAx>
        <c:axId val="6909299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41922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[工作簿1]Sheet1!$A$20:$A$25</c:f>
              <c:strCache>
                <c:ptCount val="6"/>
                <c:pt idx="0">
                  <c:v>一般公共服务（类）支出</c:v>
                </c:pt>
                <c:pt idx="1">
                  <c:v>社会保障和就业（类）支出</c:v>
                </c:pt>
                <c:pt idx="2">
                  <c:v>卫生健康（类）支出</c:v>
                </c:pt>
                <c:pt idx="3">
                  <c:v>城乡社区（类）支出</c:v>
                </c:pt>
                <c:pt idx="4">
                  <c:v>农林水（类）支出</c:v>
                </c:pt>
                <c:pt idx="5">
                  <c:v>住房保障（类）支出</c:v>
                </c:pt>
              </c:strCache>
            </c:strRef>
          </c:cat>
          <c:val>
            <c:numRef>
              <c:f>[工作簿1]Sheet1!$B$20:$B$25</c:f>
              <c:numCache>
                <c:formatCode>General</c:formatCode>
                <c:ptCount val="6"/>
                <c:pt idx="0">
                  <c:v>879.32</c:v>
                </c:pt>
                <c:pt idx="1">
                  <c:v>129.38</c:v>
                </c:pt>
                <c:pt idx="2">
                  <c:v>38.4</c:v>
                </c:pt>
                <c:pt idx="3">
                  <c:v>16.93</c:v>
                </c:pt>
                <c:pt idx="4">
                  <c:v>598.94</c:v>
                </c:pt>
                <c:pt idx="5">
                  <c:v>59.44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三公经费支出</a:t>
            </a:r>
            <a:r>
              <a:rPr lang="en-US" altLang="zh-CN"/>
              <a:t>(</a:t>
            </a:r>
            <a:r>
              <a:rPr altLang="en-US"/>
              <a:t>单位：万元）</a:t>
            </a:r>
            <a:endParaRPr altLang="en-US"/>
          </a:p>
        </c:rich>
      </c:tx>
      <c:layout/>
      <c:overlay val="0"/>
      <c:spPr>
        <a:noFill/>
        <a:ln>
          <a:noFill/>
        </a:ln>
        <a:effectLst/>
      </c:spPr>
    </c:title>
    <c:autoTitleDeleted val="0"/>
    <c:plotArea>
      <c:layout/>
      <c:pieChart>
        <c:varyColors val="1"/>
        <c:ser>
          <c:idx val="0"/>
          <c:order val="0"/>
          <c:tx>
            <c:strRef>
              <c:f>[工作簿3]Sheet1!$A$2</c:f>
              <c:strCache>
                <c:ptCount val="1"/>
                <c:pt idx="0">
                  <c:v>2021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gradFill>
                <a:gsLst>
                  <a:gs pos="0">
                    <a:srgbClr val="9EE256"/>
                  </a:gs>
                  <a:gs pos="100000">
                    <a:srgbClr val="52762D"/>
                  </a:gs>
                </a:gsLst>
                <a:path path="circle"/>
              </a:gradFill>
              <a:ln w="19050">
                <a:solidFill>
                  <a:schemeClr val="lt1"/>
                </a:solidFill>
              </a:ln>
              <a:effectLst/>
            </c:spPr>
          </c:dPt>
          <c:dLbls>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a:t>
                    </a:r>
                    <a:r>
                      <a:rPr lang="en-US" altLang="zh-CN"/>
                      <a:t>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[工作簿3]Sheet1!$B$1:$D$1</c:f>
              <c:strCache>
                <c:ptCount val="3"/>
                <c:pt idx="0">
                  <c:v>因公出国（境）费支出</c:v>
                </c:pt>
                <c:pt idx="1">
                  <c:v>公务用车购置及运行维护费</c:v>
                </c:pt>
                <c:pt idx="2">
                  <c:v>公务接待费</c:v>
                </c:pt>
              </c:strCache>
            </c:strRef>
          </c:cat>
          <c:val>
            <c:numRef>
              <c:f>[工作簿3]Sheet1!$B$2:$D$2</c:f>
              <c:numCache>
                <c:formatCode>General</c:formatCode>
                <c:ptCount val="3"/>
                <c:pt idx="0">
                  <c:v>0</c:v>
                </c:pt>
                <c:pt idx="1">
                  <c:v>0</c:v>
                </c:pt>
                <c:pt idx="2">
                  <c:v>1.08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114</Pages>
  <Words>43982</Words>
  <Characters>50882</Characters>
  <Lines>0</Lines>
  <Paragraphs>0</Paragraphs>
  <TotalTime>15</TotalTime>
  <ScaleCrop>false</ScaleCrop>
  <LinksUpToDate>false</LinksUpToDate>
  <CharactersWithSpaces>51567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2023-10-31T01:34:10Z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83AD1F7CFE8846AFA2C7A39DC5AE7616_13</vt:lpwstr>
  </property>
</Properties>
</file>