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李家镇基层</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10"/>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2024</w:t>
      </w:r>
      <w:r>
        <w:rPr>
          <w:rFonts w:ascii="Times New Roman" w:hAnsi="华文中宋" w:eastAsia="华文中宋"/>
          <w:color w:val="auto"/>
          <w:sz w:val="48"/>
          <w:szCs w:val="48"/>
        </w:rPr>
        <w:t>年</w:t>
      </w:r>
      <w:r>
        <w:rPr>
          <w:rFonts w:hint="eastAsia" w:ascii="Times New Roman" w:hAnsi="华文中宋" w:eastAsia="华文中宋"/>
          <w:color w:val="auto"/>
          <w:sz w:val="48"/>
          <w:szCs w:val="48"/>
          <w:lang w:val="en-US" w:eastAsia="zh-CN"/>
        </w:rPr>
        <w:t>1</w:t>
      </w:r>
      <w:r>
        <w:rPr>
          <w:rFonts w:ascii="Times New Roman" w:hAnsi="华文中宋" w:eastAsia="华文中宋"/>
          <w:color w:val="auto"/>
          <w:sz w:val="48"/>
          <w:szCs w:val="48"/>
        </w:rPr>
        <w:t>月</w:t>
      </w:r>
    </w:p>
    <w:p>
      <w:pPr>
        <w:rPr>
          <w:rFonts w:hint="eastAsia"/>
          <w:color w:val="auto"/>
        </w:rPr>
      </w:pPr>
    </w:p>
    <w:p>
      <w:pPr>
        <w:pStyle w:val="5"/>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bookmarkStart w:id="20" w:name="_GoBack"/>
      <w:bookmarkEnd w:id="20"/>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10"/>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0000FF"/>
          <w:sz w:val="28"/>
          <w:szCs w:val="28"/>
        </w:rPr>
        <w:t>（二）</w:t>
      </w:r>
      <w:r>
        <w:rPr>
          <w:rFonts w:hint="default" w:ascii="Times New Roman" w:hAnsi="Times New Roman" w:eastAsia="仿宋_GB2312" w:cs="Times New Roman"/>
          <w:bCs w:val="0"/>
          <w:color w:val="auto"/>
          <w:sz w:val="28"/>
          <w:szCs w:val="28"/>
        </w:rPr>
        <w:t>社会救助领域</w:t>
      </w:r>
      <w:r>
        <w:rPr>
          <w:rFonts w:hint="default" w:ascii="Times New Roman" w:hAnsi="Times New Roman" w:eastAsia="仿宋_GB2312" w:cs="Times New Roman"/>
          <w:bCs w:val="0"/>
          <w:color w:val="0000FF"/>
          <w:sz w:val="28"/>
          <w:szCs w:val="28"/>
        </w:rPr>
        <w:t>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1</w:t>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八</w:t>
      </w:r>
      <w:r>
        <w:rPr>
          <w:rFonts w:hint="default" w:ascii="Times New Roman" w:hAnsi="Times New Roman"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乡村振兴领域基层政务公开标准目录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9</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）生态环境领域基层政务公开标准目录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0</w:t>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市政服务</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_Toc27649 </w:instrText>
      </w:r>
      <w:r>
        <w:rPr>
          <w:rFonts w:hint="default"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）国有土地上房屋征收与补偿领域基层政务公开标准目录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7</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w:t>
      </w:r>
      <w:r>
        <w:rPr>
          <w:rFonts w:ascii="Times New Roman" w:hAnsi="Times New Roman" w:eastAsia="仿宋_GB2312"/>
          <w:color w:val="auto"/>
          <w:sz w:val="28"/>
          <w:szCs w:val="28"/>
        </w:rPr>
        <w:t>公共文化服务</w:t>
      </w:r>
      <w:r>
        <w:rPr>
          <w:rFonts w:hint="eastAsia" w:ascii="Times New Roman" w:hAnsi="Times New Roman" w:eastAsia="仿宋_GB2312"/>
          <w:color w:val="auto"/>
          <w:sz w:val="28"/>
          <w:szCs w:val="28"/>
          <w:lang w:eastAsia="zh-CN"/>
        </w:rPr>
        <w:t>及旅游</w:t>
      </w:r>
      <w:r>
        <w:rPr>
          <w:rFonts w:ascii="Times New Roman" w:hAnsi="Times New Roman" w:eastAsia="仿宋_GB2312"/>
          <w:color w:val="auto"/>
          <w:sz w:val="28"/>
          <w:szCs w:val="28"/>
        </w:rPr>
        <w:t>领域</w:t>
      </w:r>
      <w:r>
        <w:rPr>
          <w:rFonts w:hint="default" w:ascii="Times New Roman" w:hAnsi="Times New Roman" w:eastAsia="仿宋_GB2312" w:cs="Times New Roman"/>
          <w:bCs w:val="0"/>
          <w:color w:val="auto"/>
          <w:sz w:val="28"/>
          <w:szCs w:val="28"/>
        </w:rPr>
        <w:t>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9</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2</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5</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8</w:t>
      </w:r>
    </w:p>
    <w:p>
      <w:pPr>
        <w:pStyle w:val="5"/>
        <w:tabs>
          <w:tab w:val="right" w:leader="dot" w:pos="14344"/>
          <w:tab w:val="clear" w:pos="14760"/>
        </w:tabs>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十八</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义务教育</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39</w:t>
      </w:r>
    </w:p>
    <w:p>
      <w:pPr>
        <w:pStyle w:val="5"/>
        <w:tabs>
          <w:tab w:val="right" w:leader="dot" w:pos="14344"/>
          <w:tab w:val="clear" w:pos="14760"/>
        </w:tabs>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十九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食品药品</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40</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（二十）</w:t>
      </w:r>
      <w:r>
        <w:rPr>
          <w:rFonts w:hint="eastAsia" w:ascii="Times New Roman" w:hAnsi="Times New Roman" w:eastAsia="仿宋_GB2312" w:cs="Times New Roman"/>
          <w:bCs w:val="0"/>
          <w:color w:val="auto"/>
          <w:sz w:val="28"/>
          <w:szCs w:val="28"/>
          <w:lang w:eastAsia="zh-CN"/>
        </w:rPr>
        <w:t>自然资源</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2</w:t>
      </w:r>
    </w:p>
    <w:p>
      <w:pPr>
        <w:pStyle w:val="5"/>
        <w:tabs>
          <w:tab w:val="right" w:leader="dot" w:pos="14280"/>
          <w:tab w:val="clear" w:pos="14760"/>
        </w:tabs>
        <w:rPr>
          <w:rStyle w:val="10"/>
          <w:rFonts w:hint="default" w:ascii="Times New Roman" w:hAnsi="Times New Roman" w:eastAsia="仿宋_GB2312" w:cs="Times New Roman"/>
          <w:color w:val="auto"/>
          <w:sz w:val="28"/>
          <w:szCs w:val="28"/>
        </w:rPr>
      </w:pPr>
    </w:p>
    <w:p>
      <w:pPr>
        <w:jc w:val="center"/>
        <w:rPr>
          <w:rStyle w:val="10"/>
          <w:rFonts w:hint="eastAsia" w:ascii="黑体" w:hAnsi="方正小标宋_GBK" w:eastAsia="黑体"/>
          <w:color w:val="auto"/>
          <w:sz w:val="30"/>
          <w:szCs w:val="30"/>
        </w:rPr>
      </w:pPr>
    </w:p>
    <w:p>
      <w:pPr>
        <w:pStyle w:val="2"/>
        <w:rPr>
          <w:rStyle w:val="10"/>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李家镇镇人民政府</w:t>
            </w:r>
          </w:p>
        </w:tc>
        <w:tc>
          <w:tcPr>
            <w:tcW w:w="1800" w:type="dxa"/>
            <w:vAlign w:val="center"/>
          </w:tcPr>
          <w:p>
            <w:pPr>
              <w:jc w:val="left"/>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rPr>
              <w:t>■政务公开栏</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李家镇镇人民政府</w:t>
            </w:r>
          </w:p>
        </w:tc>
        <w:tc>
          <w:tcPr>
            <w:tcW w:w="1800" w:type="dxa"/>
            <w:vAlign w:val="center"/>
          </w:tcPr>
          <w:p>
            <w:pPr>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■政务公开栏</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eastAsia" w:ascii="Times New Roman" w:hAnsi="Times New Roman" w:eastAsia="仿宋_GB2312" w:cs="Times New Roman"/>
                <w:color w:val="auto"/>
                <w:sz w:val="22"/>
                <w:szCs w:val="22"/>
                <w:shd w:val="clear" w:color="auto" w:fill="auto"/>
                <w:lang w:val="en-US" w:eastAsia="zh-CN"/>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李家镇镇人民政府</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■政务公开栏</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22622"/>
      <w:r>
        <w:rPr>
          <w:rFonts w:hint="eastAsia" w:ascii="方正小标宋简体" w:hAnsi="方正小标宋简体" w:eastAsia="方正小标宋简体" w:cs="方正小标宋简体"/>
          <w:b w:val="0"/>
          <w:bCs w:val="0"/>
          <w:color w:val="auto"/>
          <w:sz w:val="44"/>
          <w:szCs w:val="44"/>
        </w:rPr>
        <w:t>（二</w:t>
      </w:r>
      <w:bookmarkEnd w:id="1"/>
      <w:bookmarkStart w:id="2" w:name="_Toc8670"/>
      <w:r>
        <w:rPr>
          <w:rFonts w:hint="eastAsia" w:ascii="方正小标宋简体" w:hAnsi="方正小标宋简体" w:eastAsia="方正小标宋简体" w:cs="方正小标宋简体"/>
          <w:b w:val="0"/>
          <w:bCs w:val="0"/>
          <w:color w:val="auto"/>
          <w:sz w:val="44"/>
          <w:szCs w:val="44"/>
          <w:lang w:val="en-US" w:eastAsia="zh-CN"/>
        </w:rPr>
        <w:t>)</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2"/>
    </w:p>
    <w:tbl>
      <w:tblPr>
        <w:tblStyle w:val="6"/>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pStyle w:val="3"/>
              <w:rPr>
                <w:rFonts w:hint="eastAsia"/>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根据朝天镇困难群众临时救助实施细则的通知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val="en-US" w:eastAsia="zh-CN"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kern w:val="0"/>
                <w:sz w:val="24"/>
                <w:szCs w:val="24"/>
                <w:lang w:val="en-US" w:eastAsia="zh-CN" w:bidi="ar"/>
              </w:rPr>
            </w:pP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3"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3"/>
    </w:p>
    <w:tbl>
      <w:tblPr>
        <w:tblStyle w:val="6"/>
        <w:tblW w:w="13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89"/>
        <w:gridCol w:w="1283"/>
        <w:gridCol w:w="2335"/>
        <w:gridCol w:w="1958"/>
        <w:gridCol w:w="1392"/>
        <w:gridCol w:w="1202"/>
        <w:gridCol w:w="1343"/>
        <w:gridCol w:w="704"/>
        <w:gridCol w:w="768"/>
        <w:gridCol w:w="545"/>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72"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3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95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9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0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34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72"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02"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561" w:type="dxa"/>
            <w:vMerge w:val="continue"/>
            <w:vAlign w:val="center"/>
          </w:tcPr>
          <w:p>
            <w:pPr>
              <w:widowControl/>
              <w:jc w:val="center"/>
              <w:rPr>
                <w:rFonts w:hint="eastAsia" w:ascii="黑体" w:hAnsi="黑体" w:eastAsia="黑体" w:cs="黑体"/>
                <w:color w:val="auto"/>
                <w:kern w:val="0"/>
                <w:sz w:val="22"/>
                <w:szCs w:val="22"/>
              </w:rPr>
            </w:pPr>
          </w:p>
        </w:tc>
        <w:tc>
          <w:tcPr>
            <w:tcW w:w="88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83"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335" w:type="dxa"/>
            <w:vMerge w:val="continue"/>
            <w:vAlign w:val="center"/>
          </w:tcPr>
          <w:p>
            <w:pPr>
              <w:widowControl/>
              <w:jc w:val="center"/>
              <w:rPr>
                <w:rFonts w:hint="eastAsia" w:ascii="黑体" w:hAnsi="黑体" w:eastAsia="黑体" w:cs="黑体"/>
                <w:color w:val="auto"/>
                <w:kern w:val="0"/>
                <w:sz w:val="22"/>
                <w:szCs w:val="22"/>
              </w:rPr>
            </w:pPr>
          </w:p>
        </w:tc>
        <w:tc>
          <w:tcPr>
            <w:tcW w:w="1958" w:type="dxa"/>
            <w:vMerge w:val="continue"/>
            <w:vAlign w:val="center"/>
          </w:tcPr>
          <w:p>
            <w:pPr>
              <w:widowControl/>
              <w:jc w:val="center"/>
              <w:rPr>
                <w:rFonts w:hint="eastAsia" w:ascii="黑体" w:hAnsi="黑体" w:eastAsia="黑体" w:cs="黑体"/>
                <w:color w:val="auto"/>
                <w:kern w:val="0"/>
                <w:sz w:val="22"/>
                <w:szCs w:val="22"/>
              </w:rPr>
            </w:pPr>
          </w:p>
        </w:tc>
        <w:tc>
          <w:tcPr>
            <w:tcW w:w="1392" w:type="dxa"/>
            <w:vMerge w:val="continue"/>
            <w:vAlign w:val="center"/>
          </w:tcPr>
          <w:p>
            <w:pPr>
              <w:widowControl/>
              <w:jc w:val="center"/>
              <w:rPr>
                <w:rFonts w:hint="eastAsia" w:ascii="黑体" w:hAnsi="黑体" w:eastAsia="黑体" w:cs="黑体"/>
                <w:color w:val="auto"/>
                <w:kern w:val="0"/>
                <w:sz w:val="22"/>
                <w:szCs w:val="22"/>
              </w:rPr>
            </w:pPr>
          </w:p>
        </w:tc>
        <w:tc>
          <w:tcPr>
            <w:tcW w:w="1202" w:type="dxa"/>
            <w:vMerge w:val="continue"/>
            <w:vAlign w:val="center"/>
          </w:tcPr>
          <w:p>
            <w:pPr>
              <w:widowControl/>
              <w:jc w:val="center"/>
              <w:rPr>
                <w:rFonts w:hint="eastAsia" w:ascii="黑体" w:hAnsi="黑体" w:eastAsia="黑体" w:cs="黑体"/>
                <w:color w:val="auto"/>
                <w:kern w:val="0"/>
                <w:sz w:val="22"/>
                <w:szCs w:val="22"/>
              </w:rPr>
            </w:pPr>
          </w:p>
        </w:tc>
        <w:tc>
          <w:tcPr>
            <w:tcW w:w="1343" w:type="dxa"/>
            <w:vMerge w:val="continue"/>
            <w:vAlign w:val="center"/>
          </w:tcPr>
          <w:p>
            <w:pPr>
              <w:widowControl/>
              <w:jc w:val="center"/>
              <w:rPr>
                <w:rFonts w:hint="eastAsia" w:ascii="黑体" w:hAnsi="黑体" w:eastAsia="黑体" w:cs="黑体"/>
                <w:color w:val="auto"/>
                <w:kern w:val="0"/>
                <w:sz w:val="22"/>
                <w:szCs w:val="22"/>
              </w:rPr>
            </w:pPr>
          </w:p>
        </w:tc>
        <w:tc>
          <w:tcPr>
            <w:tcW w:w="70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6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5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jc w:val="center"/>
        </w:trPr>
        <w:tc>
          <w:tcPr>
            <w:tcW w:w="56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8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8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3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95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9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20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34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i w:val="0"/>
                <w:color w:val="auto"/>
                <w:kern w:val="0"/>
                <w:sz w:val="24"/>
                <w:szCs w:val="24"/>
                <w:u w:val="none"/>
                <w:lang w:val="en-US" w:eastAsia="zh-CN" w:bidi="ar"/>
              </w:rPr>
              <w:t>政务公开栏</w:t>
            </w:r>
          </w:p>
          <w:p>
            <w:pPr>
              <w:jc w:val="both"/>
              <w:rPr>
                <w:rFonts w:hint="eastAsia" w:ascii="仿宋_GB2312" w:hAnsi="仿宋_GB2312" w:eastAsia="仿宋_GB2312" w:cs="仿宋_GB2312"/>
                <w:color w:val="auto"/>
                <w:sz w:val="24"/>
                <w:szCs w:val="24"/>
                <w:lang w:val="en-US" w:eastAsia="zh-CN"/>
              </w:rPr>
            </w:pPr>
          </w:p>
        </w:tc>
        <w:tc>
          <w:tcPr>
            <w:tcW w:w="7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8" w:type="dxa"/>
            <w:vAlign w:val="center"/>
          </w:tcPr>
          <w:p>
            <w:pPr>
              <w:jc w:val="center"/>
              <w:rPr>
                <w:rFonts w:hint="eastAsia" w:ascii="仿宋_GB2312" w:hAnsi="仿宋_GB2312" w:eastAsia="仿宋_GB2312" w:cs="仿宋_GB2312"/>
                <w:color w:val="auto"/>
                <w:sz w:val="24"/>
                <w:szCs w:val="24"/>
              </w:rPr>
            </w:pPr>
          </w:p>
        </w:tc>
        <w:tc>
          <w:tcPr>
            <w:tcW w:w="54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57"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56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8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8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3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95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9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20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34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i w:val="0"/>
                <w:color w:val="auto"/>
                <w:kern w:val="0"/>
                <w:sz w:val="24"/>
                <w:szCs w:val="24"/>
                <w:u w:val="none"/>
                <w:lang w:val="en-US" w:eastAsia="zh-CN" w:bidi="ar"/>
              </w:rPr>
              <w:t>政务公开栏</w:t>
            </w:r>
          </w:p>
          <w:p>
            <w:pPr>
              <w:jc w:val="both"/>
              <w:rPr>
                <w:rFonts w:hint="eastAsia" w:ascii="仿宋_GB2312" w:hAnsi="仿宋_GB2312" w:eastAsia="仿宋_GB2312" w:cs="仿宋_GB2312"/>
                <w:color w:val="auto"/>
                <w:sz w:val="24"/>
                <w:szCs w:val="24"/>
                <w:lang w:val="en-US" w:eastAsia="zh-CN"/>
              </w:rPr>
            </w:pPr>
          </w:p>
        </w:tc>
        <w:tc>
          <w:tcPr>
            <w:tcW w:w="7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8" w:type="dxa"/>
            <w:vAlign w:val="center"/>
          </w:tcPr>
          <w:p>
            <w:pPr>
              <w:jc w:val="center"/>
              <w:rPr>
                <w:rFonts w:hint="eastAsia" w:ascii="仿宋_GB2312" w:hAnsi="仿宋_GB2312" w:eastAsia="仿宋_GB2312" w:cs="仿宋_GB2312"/>
                <w:color w:val="auto"/>
                <w:sz w:val="24"/>
                <w:szCs w:val="24"/>
              </w:rPr>
            </w:pPr>
          </w:p>
        </w:tc>
        <w:tc>
          <w:tcPr>
            <w:tcW w:w="54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57"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56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8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8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3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95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9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20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34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i w:val="0"/>
                <w:color w:val="auto"/>
                <w:kern w:val="0"/>
                <w:sz w:val="24"/>
                <w:szCs w:val="24"/>
                <w:u w:val="none"/>
                <w:lang w:val="en-US" w:eastAsia="zh-CN" w:bidi="ar"/>
              </w:rPr>
              <w:t>政务公开栏</w:t>
            </w:r>
          </w:p>
          <w:p>
            <w:pPr>
              <w:jc w:val="both"/>
              <w:rPr>
                <w:rFonts w:hint="eastAsia" w:ascii="仿宋_GB2312" w:hAnsi="仿宋_GB2312" w:eastAsia="仿宋_GB2312" w:cs="仿宋_GB2312"/>
                <w:color w:val="auto"/>
                <w:sz w:val="24"/>
                <w:szCs w:val="24"/>
                <w:lang w:val="en-US" w:eastAsia="zh-CN"/>
              </w:rPr>
            </w:pPr>
          </w:p>
        </w:tc>
        <w:tc>
          <w:tcPr>
            <w:tcW w:w="7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8" w:type="dxa"/>
            <w:vAlign w:val="center"/>
          </w:tcPr>
          <w:p>
            <w:pPr>
              <w:jc w:val="center"/>
              <w:rPr>
                <w:rFonts w:hint="eastAsia" w:ascii="仿宋_GB2312" w:hAnsi="仿宋_GB2312" w:eastAsia="仿宋_GB2312" w:cs="仿宋_GB2312"/>
                <w:color w:val="auto"/>
                <w:sz w:val="24"/>
                <w:szCs w:val="24"/>
              </w:rPr>
            </w:pPr>
          </w:p>
        </w:tc>
        <w:tc>
          <w:tcPr>
            <w:tcW w:w="54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57"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561"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89"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83"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3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95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9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20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34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68" w:type="dxa"/>
            <w:vAlign w:val="center"/>
          </w:tcPr>
          <w:p>
            <w:pPr>
              <w:jc w:val="center"/>
              <w:rPr>
                <w:rFonts w:hint="eastAsia" w:ascii="仿宋_GB2312" w:hAnsi="仿宋_GB2312" w:eastAsia="仿宋_GB2312" w:cs="仿宋_GB2312"/>
                <w:color w:val="auto"/>
                <w:sz w:val="24"/>
                <w:szCs w:val="24"/>
              </w:rPr>
            </w:pPr>
          </w:p>
        </w:tc>
        <w:tc>
          <w:tcPr>
            <w:tcW w:w="54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57"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4"/>
    </w:p>
    <w:tbl>
      <w:tblPr>
        <w:tblStyle w:val="6"/>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657" w:type="dxa"/>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5"/>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6"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）就业领域基层政务公开标准目录</w:t>
      </w:r>
      <w:bookmarkEnd w:id="6"/>
    </w:p>
    <w:tbl>
      <w:tblPr>
        <w:tblStyle w:val="6"/>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7"/>
    </w:p>
    <w:tbl>
      <w:tblPr>
        <w:tblStyle w:val="6"/>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李家镇镇人民政府</w:t>
            </w:r>
          </w:p>
          <w:p>
            <w:pPr>
              <w:jc w:val="center"/>
              <w:rPr>
                <w:rFonts w:hint="eastAsia" w:ascii="仿宋_GB2312" w:hAnsi="仿宋_GB2312" w:eastAsia="仿宋_GB2312" w:cs="仿宋_GB2312"/>
                <w:i w:val="0"/>
                <w:color w:val="auto"/>
                <w:kern w:val="0"/>
                <w:sz w:val="24"/>
                <w:szCs w:val="24"/>
                <w:u w:val="none"/>
                <w:lang w:val="en-US" w:eastAsia="zh-CN" w:bidi="ar"/>
              </w:rPr>
            </w:pP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spacing w:before="0" w:after="0" w:line="240" w:lineRule="auto"/>
        <w:jc w:val="center"/>
        <w:rPr>
          <w:rFonts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8" w:name="_Toc711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w:t>
      </w:r>
      <w:bookmarkEnd w:id="8"/>
      <w:bookmarkStart w:id="9" w:name="_Toc29112"/>
      <w:r>
        <w:rPr>
          <w:rFonts w:hint="eastAsia" w:ascii="方正小标宋简体" w:hAnsi="方正小标宋简体" w:eastAsia="方正小标宋简体" w:cs="方正小标宋简体"/>
          <w:b w:val="0"/>
          <w:bCs w:val="0"/>
          <w:color w:val="auto"/>
        </w:rPr>
        <w:t>乡村振兴领域基层政务公开标准目录</w:t>
      </w:r>
    </w:p>
    <w:tbl>
      <w:tblPr>
        <w:tblStyle w:val="6"/>
        <w:tblW w:w="1515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2"/>
        <w:gridCol w:w="1364"/>
        <w:gridCol w:w="2550"/>
        <w:gridCol w:w="1636"/>
        <w:gridCol w:w="1350"/>
        <w:gridCol w:w="1364"/>
        <w:gridCol w:w="2250"/>
        <w:gridCol w:w="955"/>
        <w:gridCol w:w="722"/>
        <w:gridCol w:w="73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2266"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5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1636"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5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shd w:val="clear" w:color="auto" w:fill="auto"/>
            <w:vAlign w:val="center"/>
          </w:tcPr>
          <w:p>
            <w:pPr>
              <w:rPr>
                <w:rFonts w:ascii="Times New Roman" w:hAnsi="Times New Roman"/>
                <w:color w:val="auto"/>
                <w:sz w:val="20"/>
                <w:szCs w:val="20"/>
              </w:rPr>
            </w:pPr>
          </w:p>
        </w:tc>
        <w:tc>
          <w:tcPr>
            <w:tcW w:w="90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一级事项</w:t>
            </w:r>
          </w:p>
        </w:tc>
        <w:tc>
          <w:tcPr>
            <w:tcW w:w="1364"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二级事项</w:t>
            </w:r>
          </w:p>
        </w:tc>
        <w:tc>
          <w:tcPr>
            <w:tcW w:w="2550" w:type="dxa"/>
            <w:vMerge w:val="continue"/>
            <w:shd w:val="clear" w:color="auto" w:fill="auto"/>
            <w:vAlign w:val="center"/>
          </w:tcPr>
          <w:p>
            <w:pPr>
              <w:rPr>
                <w:rFonts w:ascii="Times New Roman" w:hAnsi="Times New Roman"/>
                <w:color w:val="auto"/>
                <w:sz w:val="20"/>
                <w:szCs w:val="20"/>
              </w:rPr>
            </w:pPr>
          </w:p>
        </w:tc>
        <w:tc>
          <w:tcPr>
            <w:tcW w:w="1636"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791"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1</w:t>
            </w:r>
          </w:p>
        </w:tc>
        <w:tc>
          <w:tcPr>
            <w:tcW w:w="902" w:type="dxa"/>
            <w:vMerge w:val="restart"/>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政策文件</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行政法规、规章</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·中央及地方政府涉及乡村振兴领域的行政法规</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·中央及地方政府涉及乡村振兴领域的规章</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2</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规范性文件</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·各级政府及部门涉及乡村振兴领域的规范性文件</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3</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其他政策文件</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·涉及乡村振兴领域其他政策文件</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4</w:t>
            </w:r>
          </w:p>
        </w:tc>
        <w:tc>
          <w:tcPr>
            <w:tcW w:w="90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监测对象人口识别</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监测对象人口识别</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·识别标准（国定标准、省定标准）</w:t>
            </w:r>
          </w:p>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·识别程序(农户申请、民主评议、公示公告、逐级审核）</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·识别结果(监测户名单、数量)</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《中央农村工作领导小组关于健全防止返贫动态监测和帮扶机制的指导意见》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信息形成（变更）15个工作日内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5</w:t>
            </w:r>
          </w:p>
        </w:tc>
        <w:tc>
          <w:tcPr>
            <w:tcW w:w="902" w:type="dxa"/>
            <w:vMerge w:val="restart"/>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乡村振兴资金</w:t>
            </w:r>
          </w:p>
          <w:p>
            <w:pPr>
              <w:rPr>
                <w:rFonts w:hint="eastAsia" w:ascii="Times New Roman" w:hAnsi="Times New Roman" w:eastAsia="宋体"/>
                <w:color w:val="auto"/>
                <w:sz w:val="20"/>
                <w:szCs w:val="20"/>
                <w:lang w:eastAsia="zh-CN"/>
              </w:rPr>
            </w:pPr>
          </w:p>
        </w:tc>
        <w:tc>
          <w:tcPr>
            <w:tcW w:w="1364" w:type="dxa"/>
            <w:shd w:val="clear" w:color="auto" w:fill="auto"/>
            <w:vAlign w:val="center"/>
          </w:tcPr>
          <w:p>
            <w:pPr>
              <w:widowControl/>
              <w:jc w:val="center"/>
              <w:rPr>
                <w:rFonts w:hint="eastAsia" w:ascii="仿宋_GB2312" w:eastAsia="仿宋_GB2312" w:cs="仿宋_GB2312"/>
                <w:color w:val="auto"/>
                <w:sz w:val="24"/>
                <w:szCs w:val="24"/>
                <w:lang w:bidi="ar"/>
              </w:rPr>
            </w:pPr>
          </w:p>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年度计划</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·计划安排情况（资金计划批复文件）</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·计划完成情况（项目建设完成、资金使用、绩效目标实现情况等）</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信息形成（变更）10个工作日内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6</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小额信贷</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·小额信贷的贷款对象、用途、额度、期限、利率等情况</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·享受扶贫贴息贷款的企业、专业合作社等经营主体的名称、贷款额度、期限、贴息规模和带农增收机制等情况</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每年底前集中公布1次当年情况</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7</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东西部扶贫协作财政支援资金使用情况</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项目名称、实施地点、资金规模、实施单位、带贫减贫机制、绩效目标</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8</w:t>
            </w:r>
          </w:p>
        </w:tc>
        <w:tc>
          <w:tcPr>
            <w:tcW w:w="902"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乡村振兴项目</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项目实施</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·乡村振兴项目实施前情况（包括项目名称、资金来源、实施期限、绩效目标、实施单位及责任人、受益对象和带贫减贫机制等）</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·乡村振兴项目实施后情况（包括资金使用、项目实施结果、检查验收结果、绩效目标实现情况等）</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9</w:t>
            </w:r>
          </w:p>
        </w:tc>
        <w:tc>
          <w:tcPr>
            <w:tcW w:w="90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监督管理</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监督举报</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监督电话（0839-</w:t>
            </w:r>
            <w:r>
              <w:rPr>
                <w:rFonts w:hint="eastAsia" w:ascii="仿宋_GB2312" w:eastAsia="仿宋_GB2312" w:cs="仿宋_GB2312"/>
                <w:color w:val="auto"/>
                <w:sz w:val="24"/>
                <w:szCs w:val="24"/>
                <w:lang w:val="en-US" w:eastAsia="zh-CN" w:bidi="ar"/>
              </w:rPr>
              <w:t>8688321</w:t>
            </w:r>
            <w:r>
              <w:rPr>
                <w:rFonts w:hint="eastAsia" w:ascii="仿宋_GB2312" w:eastAsia="仿宋_GB2312" w:cs="仿宋_GB2312"/>
                <w:color w:val="auto"/>
                <w:sz w:val="24"/>
                <w:szCs w:val="24"/>
                <w:lang w:bidi="ar"/>
              </w:rPr>
              <w:t>）</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bl>
    <w:p>
      <w:pPr>
        <w:rPr>
          <w:rFonts w:hint="eastAsia" w:ascii="方正小标宋简体" w:hAnsi="方正小标宋简体" w:eastAsia="方正小标宋简体" w:cs="方正小标宋简体"/>
          <w:b w:val="0"/>
          <w:bCs w:val="0"/>
          <w:color w:val="auto"/>
          <w:sz w:val="44"/>
          <w:szCs w:val="44"/>
        </w:rPr>
      </w:pPr>
      <w:r>
        <w:rPr>
          <w:color w:val="auto"/>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（九）</w:t>
      </w:r>
      <w:bookmarkEnd w:id="9"/>
      <w:bookmarkStart w:id="10" w:name="_Toc14954"/>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10"/>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信息形成或变更之日起3-5个工作日内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620" w:type="dxa"/>
            <w:vMerge w:val="restart"/>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r>
              <w:rPr>
                <w:rFonts w:hint="eastAsia" w:ascii="仿宋_GB2312" w:hAnsi="仿宋_GB2312" w:eastAsia="仿宋_GB2312" w:cs="仿宋_GB2312"/>
                <w:color w:val="auto"/>
                <w:sz w:val="24"/>
                <w:szCs w:val="24"/>
              </w:rPr>
              <w:t>■便民服务中心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信息形成或变更之日起3-5个工作日内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62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r>
              <w:rPr>
                <w:rFonts w:hint="eastAsia" w:ascii="仿宋_GB2312" w:hAnsi="仿宋_GB2312" w:eastAsia="仿宋_GB2312" w:cs="仿宋_GB2312"/>
                <w:color w:val="auto"/>
                <w:sz w:val="24"/>
                <w:szCs w:val="24"/>
              </w:rPr>
              <w:t>■便民服务中心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bl>
    <w:p>
      <w:pPr>
        <w:pStyle w:val="2"/>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sz w:val="44"/>
          <w:szCs w:val="44"/>
        </w:rPr>
        <w:br w:type="page"/>
      </w:r>
      <w:bookmarkStart w:id="11" w:name="_Toc27649"/>
      <w:r>
        <w:rPr>
          <w:rFonts w:hint="eastAsia" w:ascii="方正小标宋简体" w:hAnsi="方正小标宋简体" w:eastAsia="方正小标宋简体" w:cs="方正小标宋简体"/>
          <w:b w:val="0"/>
          <w:bCs w:val="0"/>
          <w:color w:val="auto"/>
          <w:sz w:val="44"/>
          <w:szCs w:val="44"/>
        </w:rPr>
        <w:t>（十）</w:t>
      </w:r>
      <w:bookmarkEnd w:id="11"/>
      <w:r>
        <w:rPr>
          <w:rFonts w:hint="eastAsia" w:ascii="方正小标宋简体" w:hAnsi="方正小标宋简体" w:eastAsia="方正小标宋简体" w:cs="方正小标宋简体"/>
          <w:b w:val="0"/>
          <w:bCs w:val="0"/>
          <w:color w:val="auto"/>
        </w:rPr>
        <w:t>市政服务领域基层政务公开标准目录</w:t>
      </w:r>
    </w:p>
    <w:tbl>
      <w:tblPr>
        <w:tblStyle w:val="6"/>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4"/>
        <w:gridCol w:w="1447"/>
        <w:gridCol w:w="2595"/>
        <w:gridCol w:w="2332"/>
        <w:gridCol w:w="1645"/>
        <w:gridCol w:w="941"/>
        <w:gridCol w:w="1608"/>
        <w:gridCol w:w="532"/>
        <w:gridCol w:w="682"/>
        <w:gridCol w:w="45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jc w:val="center"/>
        </w:trPr>
        <w:tc>
          <w:tcPr>
            <w:tcW w:w="540"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2141"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59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32"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4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时限</w:t>
            </w:r>
          </w:p>
        </w:tc>
        <w:tc>
          <w:tcPr>
            <w:tcW w:w="941"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主体</w:t>
            </w:r>
          </w:p>
        </w:tc>
        <w:tc>
          <w:tcPr>
            <w:tcW w:w="1608"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214"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35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694"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1447"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二级事项</w:t>
            </w:r>
          </w:p>
        </w:tc>
        <w:tc>
          <w:tcPr>
            <w:tcW w:w="259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2332"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4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941"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08"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53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全</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社</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会</w:t>
            </w:r>
          </w:p>
        </w:tc>
        <w:tc>
          <w:tcPr>
            <w:tcW w:w="68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51"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89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1</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燃气管理</w:t>
            </w:r>
          </w:p>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瓶装燃气、管道燃气服务企业名单、联系人、咨询电话等。</w:t>
            </w:r>
          </w:p>
        </w:tc>
        <w:tc>
          <w:tcPr>
            <w:tcW w:w="2332" w:type="dxa"/>
            <w:vMerge w:val="restart"/>
            <w:shd w:val="clear" w:color="auto" w:fill="auto"/>
            <w:vAlign w:val="center"/>
          </w:tcPr>
          <w:p>
            <w:pPr>
              <w:spacing w:line="24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p>
            <w:pPr>
              <w:spacing w:line="240" w:lineRule="exact"/>
              <w:rPr>
                <w:rFonts w:ascii="Times New Roman" w:hAnsi="Times New Roman" w:eastAsia="仿宋_GB2312"/>
                <w:color w:val="auto"/>
                <w:sz w:val="22"/>
              </w:rPr>
            </w:pPr>
          </w:p>
        </w:tc>
        <w:tc>
          <w:tcPr>
            <w:tcW w:w="1645"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p>
            <w:pPr>
              <w:spacing w:line="240" w:lineRule="exact"/>
              <w:jc w:val="center"/>
              <w:rPr>
                <w:rFonts w:ascii="Times New Roman" w:hAnsi="Times New Roman" w:eastAsia="仿宋_GB2312"/>
                <w:color w:val="auto"/>
                <w:sz w:val="22"/>
              </w:rPr>
            </w:pP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eastAsia="zh-CN"/>
              </w:rPr>
              <w:t>李家镇镇</w:t>
            </w:r>
            <w:r>
              <w:rPr>
                <w:rFonts w:hint="eastAsia" w:ascii="Times New Roman" w:hAnsi="Times New Roman" w:eastAsia="仿宋_GB2312"/>
                <w:color w:val="auto"/>
                <w:sz w:val="22"/>
              </w:rPr>
              <w:t>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2</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燃气收费标准及依据</w:t>
            </w:r>
            <w:r>
              <w:rPr>
                <w:rFonts w:hint="eastAsia" w:ascii="Times New Roman" w:hAnsi="Times New Roman" w:eastAsia="仿宋_GB2312"/>
                <w:color w:val="auto"/>
                <w:sz w:val="22"/>
              </w:rPr>
              <w:t>，</w:t>
            </w:r>
            <w:r>
              <w:rPr>
                <w:rFonts w:ascii="Times New Roman" w:hAnsi="Times New Roman" w:eastAsia="仿宋_GB2312"/>
                <w:color w:val="auto"/>
                <w:sz w:val="22"/>
              </w:rPr>
              <w:t>停气通知</w:t>
            </w:r>
            <w:r>
              <w:rPr>
                <w:rFonts w:hint="eastAsia" w:ascii="Times New Roman" w:hAnsi="Times New Roman" w:eastAsia="仿宋_GB2312"/>
                <w:color w:val="auto"/>
                <w:sz w:val="22"/>
              </w:rPr>
              <w:t>等。</w:t>
            </w:r>
          </w:p>
        </w:tc>
        <w:tc>
          <w:tcPr>
            <w:tcW w:w="2332" w:type="dxa"/>
            <w:vMerge w:val="continue"/>
            <w:shd w:val="clear" w:color="auto" w:fill="auto"/>
            <w:vAlign w:val="center"/>
          </w:tcPr>
          <w:p>
            <w:pPr>
              <w:spacing w:line="240" w:lineRule="exact"/>
              <w:rPr>
                <w:rFonts w:ascii="Times New Roman" w:hAnsi="Times New Roman" w:eastAsia="仿宋_GB2312"/>
                <w:color w:val="auto"/>
                <w:sz w:val="22"/>
              </w:rPr>
            </w:pPr>
          </w:p>
        </w:tc>
        <w:tc>
          <w:tcPr>
            <w:tcW w:w="1645"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3</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天然气用户新（扩）装业务办理。</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eastAsia="zh-CN"/>
              </w:rPr>
              <w:t>李家镇镇</w:t>
            </w:r>
            <w:r>
              <w:rPr>
                <w:rFonts w:hint="eastAsia" w:ascii="Times New Roman" w:hAnsi="Times New Roman" w:eastAsia="仿宋_GB2312"/>
                <w:color w:val="auto"/>
                <w:sz w:val="22"/>
              </w:rPr>
              <w:t>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4</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瓶装燃气经营企业申请燃气经营许可证核发。</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 xml:space="preserve"> 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5</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燃气经营者改动市政燃气设施审批。</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bl>
    <w:p>
      <w:pPr>
        <w:rPr>
          <w:color w:val="auto"/>
        </w:rPr>
      </w:pPr>
    </w:p>
    <w:p>
      <w:pPr>
        <w:rPr>
          <w:color w:val="auto"/>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2" w:name="_Toc12965"/>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12"/>
    </w:p>
    <w:p>
      <w:pPr>
        <w:rPr>
          <w:rFonts w:hint="default"/>
          <w:color w:val="auto"/>
          <w:lang w:val="en-US" w:eastAsia="zh-CN"/>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shd w:val="clear" w:color="auto" w:fill="auto"/>
              </w:rPr>
              <w:t>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3"/>
    </w:p>
    <w:p>
      <w:pPr>
        <w:rPr>
          <w:rFonts w:hint="eastAsia"/>
          <w:color w:val="auto"/>
          <w:lang w:eastAsia="zh-CN"/>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仿宋_GB2312" w:hAnsi="仿宋_GB2312" w:eastAsia="仿宋_GB2312" w:cs="仿宋_GB2312"/>
                <w:color w:val="auto"/>
                <w:kern w:val="0"/>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jc w:val="both"/>
              <w:rPr>
                <w:rFonts w:hint="eastAsia" w:ascii="仿宋_GB2312" w:hAnsi="仿宋_GB2312" w:eastAsia="仿宋_GB2312" w:cs="仿宋_GB2312"/>
                <w:color w:val="auto"/>
                <w:sz w:val="24"/>
                <w:szCs w:val="24"/>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4"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十三</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4"/>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sz w:val="44"/>
          <w:szCs w:val="44"/>
        </w:rPr>
        <w:br w:type="page"/>
      </w:r>
      <w:bookmarkStart w:id="15"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十四</w:t>
      </w:r>
      <w:r>
        <w:rPr>
          <w:rFonts w:hint="eastAsia" w:ascii="方正小标宋简体" w:hAnsi="方正小标宋简体" w:eastAsia="方正小标宋简体" w:cs="方正小标宋简体"/>
          <w:b w:val="0"/>
          <w:bCs w:val="0"/>
          <w:color w:val="auto"/>
          <w:sz w:val="44"/>
          <w:szCs w:val="44"/>
        </w:rPr>
        <w:t>）</w:t>
      </w:r>
      <w:bookmarkEnd w:id="15"/>
      <w:r>
        <w:rPr>
          <w:rFonts w:hint="eastAsia" w:ascii="方正小标宋简体" w:hAnsi="方正小标宋简体" w:eastAsia="方正小标宋简体" w:cs="方正小标宋简体"/>
          <w:b w:val="0"/>
          <w:bCs w:val="0"/>
          <w:color w:val="auto"/>
        </w:rPr>
        <w:t>公共文化服务</w:t>
      </w:r>
      <w:r>
        <w:rPr>
          <w:rFonts w:hint="eastAsia" w:ascii="方正小标宋简体" w:hAnsi="方正小标宋简体" w:eastAsia="方正小标宋简体" w:cs="方正小标宋简体"/>
          <w:b w:val="0"/>
          <w:bCs w:val="0"/>
          <w:color w:val="auto"/>
          <w:lang w:eastAsia="zh-CN"/>
        </w:rPr>
        <w:t>及旅游</w:t>
      </w:r>
      <w:r>
        <w:rPr>
          <w:rFonts w:hint="eastAsia" w:ascii="方正小标宋简体" w:hAnsi="方正小标宋简体" w:eastAsia="方正小标宋简体" w:cs="方正小标宋简体"/>
          <w:b w:val="0"/>
          <w:bCs w:val="0"/>
          <w:color w:val="auto"/>
        </w:rPr>
        <w:t>领域基层政务公开标准目录</w:t>
      </w:r>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6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1.机构名称；</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2.开放时间；</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3.机构地址；</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4.联系电话；</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李家镇</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63"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旅游</w:t>
            </w: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旅游规划</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本地旅游发展规划文本</w:t>
            </w:r>
          </w:p>
        </w:tc>
        <w:tc>
          <w:tcPr>
            <w:tcW w:w="3694"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1.《中华人民共和国旅游法》；</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2.《中华人民共和国政府信息公开条例》；</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3.《文化和旅游部关于印发〈文化和旅游规划管理办法〉的通知》。</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李家镇</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lang w:eastAsia="zh-CN"/>
              </w:rPr>
            </w:pP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旅游提示警示信息</w:t>
            </w:r>
          </w:p>
        </w:tc>
        <w:tc>
          <w:tcPr>
            <w:tcW w:w="2468"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1.旅游安全提示信息；</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2.旅游消费警示信息；</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3.文物保护提示信息。</w:t>
            </w:r>
          </w:p>
        </w:tc>
        <w:tc>
          <w:tcPr>
            <w:tcW w:w="3694"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1.《中华人民共和国政府信息公开条例》；</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2.《关于全面推进政务公开工作的意见》。</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信息形成之日起7个工作日内公开</w:t>
            </w:r>
          </w:p>
        </w:tc>
        <w:tc>
          <w:tcPr>
            <w:tcW w:w="1035"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李家镇</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rPr>
            </w:pP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旅游安全应急处置信息</w:t>
            </w:r>
          </w:p>
        </w:tc>
        <w:tc>
          <w:tcPr>
            <w:tcW w:w="2468"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1.旅游应急保障组织机构及职责；</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2.旅游应急保障工作预案；</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3.旅游应急响应、热点问题处置情况。</w:t>
            </w:r>
          </w:p>
        </w:tc>
        <w:tc>
          <w:tcPr>
            <w:tcW w:w="3694"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1.《中华人民共和国政府信息公开条例》；</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2.《关于全面推进政务公开工作的意见》。</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李家镇</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rPr>
            </w:pP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63"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旅游市场举报投诉信息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受理旅游市场举报投诉的途径和方式。</w:t>
            </w:r>
          </w:p>
        </w:tc>
        <w:tc>
          <w:tcPr>
            <w:tcW w:w="3694"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1.《中华人民共和国旅游法》；</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2.《中华人民共和国政府信息公开条例》；</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3.《关于全面推进政务公开工作的意见》；</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4.《文化市场综合行政执法管理办法》；</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5.《旅游行政处罚办法》；</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6.《旅游投诉处理办法》。</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李家镇</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lang w:val="en-US" w:eastAsia="zh-CN"/>
              </w:rPr>
            </w:pP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文明旅游宣传信息</w:t>
            </w:r>
          </w:p>
        </w:tc>
        <w:tc>
          <w:tcPr>
            <w:tcW w:w="2468"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1.文明旅游宣传主题及活动信息；</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2.旅游志愿服务信息。</w:t>
            </w:r>
          </w:p>
        </w:tc>
        <w:tc>
          <w:tcPr>
            <w:tcW w:w="3694"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1.《中华人民共和国政府信息公开条例》；</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2.《关于全面推进政务公开工作的意见》。</w:t>
            </w:r>
          </w:p>
        </w:tc>
        <w:tc>
          <w:tcPr>
            <w:tcW w:w="1404"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李家镇</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lang w:val="en-US" w:eastAsia="zh-CN"/>
              </w:rPr>
            </w:pP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旅游厕所建设情况</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旅游厕所建设数量及厕位数量。</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w:t>
            </w:r>
          </w:p>
        </w:tc>
        <w:tc>
          <w:tcPr>
            <w:tcW w:w="1404"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李家镇</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lang w:val="en-US" w:eastAsia="zh-CN"/>
              </w:rPr>
            </w:pP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6"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6"/>
    </w:p>
    <w:tbl>
      <w:tblPr>
        <w:tblStyle w:val="6"/>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7"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7"/>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■公示栏（电子屏）</w:t>
            </w:r>
            <w:r>
              <w:rPr>
                <w:rFonts w:hint="eastAsia" w:ascii="仿宋_GB2312" w:eastAsia="仿宋_GB2312" w:cs="仿宋_GB2312"/>
                <w:color w:val="auto"/>
                <w:sz w:val="24"/>
                <w:szCs w:val="24"/>
                <w:lang w:bidi="ar"/>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■公示栏（电子屏）</w:t>
            </w:r>
            <w:r>
              <w:rPr>
                <w:rFonts w:hint="eastAsia" w:ascii="仿宋_GB2312" w:eastAsia="仿宋_GB2312" w:cs="仿宋_GB2312"/>
                <w:color w:val="auto"/>
                <w:sz w:val="24"/>
                <w:szCs w:val="24"/>
                <w:lang w:bidi="ar"/>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■公示栏（电子屏）</w:t>
            </w:r>
            <w:r>
              <w:rPr>
                <w:rFonts w:hint="eastAsia" w:ascii="仿宋_GB2312" w:eastAsia="仿宋_GB2312" w:cs="仿宋_GB2312"/>
                <w:color w:val="auto"/>
                <w:sz w:val="24"/>
                <w:szCs w:val="24"/>
                <w:lang w:bidi="ar"/>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8"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十七</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8"/>
    </w:p>
    <w:tbl>
      <w:tblPr>
        <w:tblStyle w:val="6"/>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8</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李家镇镇人民政府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rPr>
              <w:t>■公示栏</w:t>
            </w:r>
            <w:r>
              <w:rPr>
                <w:rFonts w:hint="eastAsia" w:ascii="仿宋_GB2312" w:eastAsia="仿宋_GB2312" w:cs="仿宋_GB2312"/>
                <w:color w:val="auto"/>
                <w:sz w:val="24"/>
                <w:szCs w:val="24"/>
                <w:lang w:bidi="ar"/>
              </w:rPr>
              <w:t xml:space="preserve">   </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sz w:val="44"/>
          <w:szCs w:val="44"/>
        </w:rPr>
        <w:br w:type="page"/>
      </w:r>
      <w:bookmarkStart w:id="19" w:name="_Toc5596"/>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w:t>
      </w:r>
      <w:bookmarkEnd w:id="19"/>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ascii="仿宋_GB2312" w:eastAsia="仿宋_GB2312" w:cs="仿宋_GB2312"/>
                <w:color w:val="auto"/>
                <w:sz w:val="24"/>
                <w:szCs w:val="24"/>
                <w:lang w:bidi="ar"/>
              </w:rPr>
            </w:pPr>
          </w:p>
          <w:p>
            <w:pPr>
              <w:widowControl/>
              <w:jc w:val="center"/>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eastAsia="zh-CN" w:bidi="ar"/>
              </w:rPr>
              <w:t>李家镇镇</w:t>
            </w: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2"/>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十九</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eastAsia="zh-CN"/>
              </w:rPr>
              <w:t>公共服务</w:t>
            </w: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食品安全应急处置</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应急组织机构及职责、应急保障、监测预警、应急响应、热点问题落实情况等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 xml:space="preserve">《政府信息公开条例》《关于全面推进政务公开工作的意见》 </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李家镇镇</w:t>
            </w: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食品药品投诉举报</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食品药品投诉举报管理制度和政策、受理投诉举报的途径等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《政府信息公开条例》、《关于全面推进政务公开工作的意见》《食品药品投诉举报管理办法》</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李家镇镇</w:t>
            </w: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3</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食品用药安全宣传活动</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活动时间、活动地点、活动形式、活动主题和内容等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信息形成之日起7个工作日内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李家镇镇</w:t>
            </w: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bl>
    <w:p>
      <w:pPr>
        <w:pStyle w:val="2"/>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2"/>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p>
        </w:tc>
        <w:tc>
          <w:tcPr>
            <w:tcW w:w="968"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国土空间规划</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编制</w:t>
            </w:r>
          </w:p>
        </w:tc>
        <w:tc>
          <w:tcPr>
            <w:tcW w:w="1364"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村庄规划</w:t>
            </w:r>
          </w:p>
        </w:tc>
        <w:tc>
          <w:tcPr>
            <w:tcW w:w="2509"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批前公示：规划草案 (涉密信息、法律法规 规定不予公开的除外)</w:t>
            </w:r>
          </w:p>
        </w:tc>
        <w:tc>
          <w:tcPr>
            <w:tcW w:w="2086"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《土地管理法》《城乡规划 法》《政府信息公开条例》</w:t>
            </w:r>
          </w:p>
        </w:tc>
        <w:tc>
          <w:tcPr>
            <w:tcW w:w="1541"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批前公示时间不 得少于 30 日</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李家镇镇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农村集体经济组织兴办企业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批复文件(建设使用集 体所有土地决定书等)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李家镇镇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Times New Roman" w:hAnsi="Times New Roman"/>
                <w:color w:val="auto"/>
                <w:kern w:val="0"/>
                <w:sz w:val="32"/>
                <w:szCs w:val="32"/>
              </w:rPr>
            </w:pPr>
            <w:r>
              <w:rPr>
                <w:rFonts w:hint="eastAsia" w:ascii="仿宋" w:hAnsi="仿宋" w:eastAsia="仿宋" w:cs="仿宋"/>
                <w:color w:val="auto"/>
                <w:sz w:val="24"/>
                <w:szCs w:val="24"/>
              </w:rPr>
              <w:t>3</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乡《镇)村公共设施、公益事业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建设用地审核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批复文件(划拨决定书 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李家镇镇</w:t>
            </w:r>
          </w:p>
          <w:p>
            <w:pPr>
              <w:widowControl/>
              <w:spacing w:line="360" w:lineRule="exact"/>
              <w:jc w:val="left"/>
              <w:rPr>
                <w:rFonts w:ascii="宋体" w:hAnsi="宋体" w:cs="宋体"/>
                <w:color w:val="auto"/>
                <w:spacing w:val="1"/>
                <w:szCs w:val="21"/>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bl>
    <w:p>
      <w:pPr>
        <w:rPr>
          <w:color w:val="auto"/>
        </w:rPr>
      </w:pPr>
    </w:p>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rPr>
    </w:pPr>
  </w:p>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GRhZTc2NjRjODg4NDkxMjQyOTA3MDk3Yzc3YmIifQ=="/>
  </w:docVars>
  <w:rsids>
    <w:rsidRoot w:val="17977D9A"/>
    <w:rsid w:val="023D46EC"/>
    <w:rsid w:val="063522A9"/>
    <w:rsid w:val="065169B7"/>
    <w:rsid w:val="06604E4C"/>
    <w:rsid w:val="06C75E70"/>
    <w:rsid w:val="077F6D90"/>
    <w:rsid w:val="08430582"/>
    <w:rsid w:val="0872408A"/>
    <w:rsid w:val="08F7E753"/>
    <w:rsid w:val="09475E50"/>
    <w:rsid w:val="09E82BFE"/>
    <w:rsid w:val="0A773AA0"/>
    <w:rsid w:val="0AA479FE"/>
    <w:rsid w:val="0AE562A3"/>
    <w:rsid w:val="0AF02C43"/>
    <w:rsid w:val="0B1F7084"/>
    <w:rsid w:val="0BD672FD"/>
    <w:rsid w:val="0BDC6D23"/>
    <w:rsid w:val="0BDE6F3F"/>
    <w:rsid w:val="0CA24A03"/>
    <w:rsid w:val="0CB832EC"/>
    <w:rsid w:val="0D95362E"/>
    <w:rsid w:val="0E9438E5"/>
    <w:rsid w:val="0EEE56EB"/>
    <w:rsid w:val="0F1E7653"/>
    <w:rsid w:val="0F9576F0"/>
    <w:rsid w:val="0FEF6BDF"/>
    <w:rsid w:val="10F51F65"/>
    <w:rsid w:val="11164A85"/>
    <w:rsid w:val="114875E1"/>
    <w:rsid w:val="119D7928"/>
    <w:rsid w:val="1246606B"/>
    <w:rsid w:val="12485112"/>
    <w:rsid w:val="126637EB"/>
    <w:rsid w:val="13135720"/>
    <w:rsid w:val="136046DE"/>
    <w:rsid w:val="137B5074"/>
    <w:rsid w:val="14011A1D"/>
    <w:rsid w:val="14D42C8D"/>
    <w:rsid w:val="150A66AF"/>
    <w:rsid w:val="15C26F8A"/>
    <w:rsid w:val="15FD4BF6"/>
    <w:rsid w:val="16157A01"/>
    <w:rsid w:val="164E0CC3"/>
    <w:rsid w:val="167364D6"/>
    <w:rsid w:val="17977D9A"/>
    <w:rsid w:val="18316649"/>
    <w:rsid w:val="18357EE7"/>
    <w:rsid w:val="18890233"/>
    <w:rsid w:val="19684CC1"/>
    <w:rsid w:val="1AC13CB4"/>
    <w:rsid w:val="1B261D69"/>
    <w:rsid w:val="1B3A3A66"/>
    <w:rsid w:val="1B777ECA"/>
    <w:rsid w:val="1BE37C5A"/>
    <w:rsid w:val="1C4720A3"/>
    <w:rsid w:val="1CD83537"/>
    <w:rsid w:val="1CDD6D9F"/>
    <w:rsid w:val="1CE4012E"/>
    <w:rsid w:val="1D552DD9"/>
    <w:rsid w:val="1E115A42"/>
    <w:rsid w:val="1E7769E3"/>
    <w:rsid w:val="1EBB4EBE"/>
    <w:rsid w:val="1FA616CA"/>
    <w:rsid w:val="20735A50"/>
    <w:rsid w:val="20741107"/>
    <w:rsid w:val="20FF35E0"/>
    <w:rsid w:val="22436110"/>
    <w:rsid w:val="22D36C7A"/>
    <w:rsid w:val="23300063"/>
    <w:rsid w:val="2492207B"/>
    <w:rsid w:val="25585215"/>
    <w:rsid w:val="2564005E"/>
    <w:rsid w:val="25900E53"/>
    <w:rsid w:val="25F50CB6"/>
    <w:rsid w:val="26FC7E22"/>
    <w:rsid w:val="277A3B68"/>
    <w:rsid w:val="27FC632B"/>
    <w:rsid w:val="28177609"/>
    <w:rsid w:val="28485068"/>
    <w:rsid w:val="28B409B4"/>
    <w:rsid w:val="2A20552D"/>
    <w:rsid w:val="2ACC21F5"/>
    <w:rsid w:val="2AD4533E"/>
    <w:rsid w:val="2B27409A"/>
    <w:rsid w:val="2D8E231A"/>
    <w:rsid w:val="2DA61BA5"/>
    <w:rsid w:val="2F1E127D"/>
    <w:rsid w:val="2F2B1BEC"/>
    <w:rsid w:val="2F430CE4"/>
    <w:rsid w:val="2F4F0435"/>
    <w:rsid w:val="2FBB2F70"/>
    <w:rsid w:val="30BB2AD9"/>
    <w:rsid w:val="313308E4"/>
    <w:rsid w:val="317E1501"/>
    <w:rsid w:val="32111337"/>
    <w:rsid w:val="33A06705"/>
    <w:rsid w:val="3419682E"/>
    <w:rsid w:val="34B14942"/>
    <w:rsid w:val="34BF705E"/>
    <w:rsid w:val="34E645EB"/>
    <w:rsid w:val="35B91D00"/>
    <w:rsid w:val="35DE3514"/>
    <w:rsid w:val="363970E8"/>
    <w:rsid w:val="368340BC"/>
    <w:rsid w:val="36B67FED"/>
    <w:rsid w:val="38345799"/>
    <w:rsid w:val="384D672F"/>
    <w:rsid w:val="38632173"/>
    <w:rsid w:val="38746C80"/>
    <w:rsid w:val="38AC16A8"/>
    <w:rsid w:val="3A7C32FC"/>
    <w:rsid w:val="3AE10865"/>
    <w:rsid w:val="3C5F4C83"/>
    <w:rsid w:val="3C8854E5"/>
    <w:rsid w:val="3D89020A"/>
    <w:rsid w:val="3D915310"/>
    <w:rsid w:val="3DA340AD"/>
    <w:rsid w:val="3DB267E2"/>
    <w:rsid w:val="3F0B5072"/>
    <w:rsid w:val="3F4B3612"/>
    <w:rsid w:val="405E3BCF"/>
    <w:rsid w:val="40692574"/>
    <w:rsid w:val="40776A3F"/>
    <w:rsid w:val="40CF23D7"/>
    <w:rsid w:val="41537B0A"/>
    <w:rsid w:val="416A711A"/>
    <w:rsid w:val="41E73751"/>
    <w:rsid w:val="439F71AD"/>
    <w:rsid w:val="445F7F16"/>
    <w:rsid w:val="454F3AE7"/>
    <w:rsid w:val="45CF48FD"/>
    <w:rsid w:val="467D0B27"/>
    <w:rsid w:val="469B0FAE"/>
    <w:rsid w:val="47065415"/>
    <w:rsid w:val="47345A54"/>
    <w:rsid w:val="47B642F1"/>
    <w:rsid w:val="47FB7F56"/>
    <w:rsid w:val="485A1120"/>
    <w:rsid w:val="493C25D4"/>
    <w:rsid w:val="49952D5B"/>
    <w:rsid w:val="4B313C8F"/>
    <w:rsid w:val="4BBE2018"/>
    <w:rsid w:val="4CA25630"/>
    <w:rsid w:val="4D2B30E6"/>
    <w:rsid w:val="4D4C4DB0"/>
    <w:rsid w:val="4D7649CB"/>
    <w:rsid w:val="4F351F9F"/>
    <w:rsid w:val="4F3B1580"/>
    <w:rsid w:val="4F74239C"/>
    <w:rsid w:val="4FE45773"/>
    <w:rsid w:val="508B3E41"/>
    <w:rsid w:val="510F4A72"/>
    <w:rsid w:val="515C7753"/>
    <w:rsid w:val="519D207E"/>
    <w:rsid w:val="51D94C86"/>
    <w:rsid w:val="52691F60"/>
    <w:rsid w:val="53031F95"/>
    <w:rsid w:val="53D855EF"/>
    <w:rsid w:val="564B3E56"/>
    <w:rsid w:val="56C854A7"/>
    <w:rsid w:val="56CB31E9"/>
    <w:rsid w:val="56F20776"/>
    <w:rsid w:val="5753390A"/>
    <w:rsid w:val="57C47717"/>
    <w:rsid w:val="57F86260"/>
    <w:rsid w:val="58300AA6"/>
    <w:rsid w:val="58EB61BE"/>
    <w:rsid w:val="59091929"/>
    <w:rsid w:val="590E560F"/>
    <w:rsid w:val="5B9B5880"/>
    <w:rsid w:val="5CC94030"/>
    <w:rsid w:val="5E2D6537"/>
    <w:rsid w:val="5E850121"/>
    <w:rsid w:val="5EB727AE"/>
    <w:rsid w:val="5FA42829"/>
    <w:rsid w:val="60546181"/>
    <w:rsid w:val="60DC2575"/>
    <w:rsid w:val="61F96E5C"/>
    <w:rsid w:val="620A1069"/>
    <w:rsid w:val="623A5FD8"/>
    <w:rsid w:val="62CF62BE"/>
    <w:rsid w:val="6435414E"/>
    <w:rsid w:val="645026DE"/>
    <w:rsid w:val="646F3FAB"/>
    <w:rsid w:val="64B33C3A"/>
    <w:rsid w:val="64E00816"/>
    <w:rsid w:val="65BF216B"/>
    <w:rsid w:val="65F8742B"/>
    <w:rsid w:val="65FE0EE5"/>
    <w:rsid w:val="670A38BA"/>
    <w:rsid w:val="670F3391"/>
    <w:rsid w:val="6754691A"/>
    <w:rsid w:val="68FB4111"/>
    <w:rsid w:val="690507DD"/>
    <w:rsid w:val="69837D68"/>
    <w:rsid w:val="6AD20069"/>
    <w:rsid w:val="6B347157"/>
    <w:rsid w:val="6BAE515B"/>
    <w:rsid w:val="6CBD30CE"/>
    <w:rsid w:val="6D396CA7"/>
    <w:rsid w:val="6DDB1B0C"/>
    <w:rsid w:val="6DEF7896"/>
    <w:rsid w:val="6DF42BCE"/>
    <w:rsid w:val="6E712785"/>
    <w:rsid w:val="6EC53796"/>
    <w:rsid w:val="6F121541"/>
    <w:rsid w:val="6F2F6FE1"/>
    <w:rsid w:val="6FCA62DC"/>
    <w:rsid w:val="6FCF56A0"/>
    <w:rsid w:val="6FF1D233"/>
    <w:rsid w:val="712A5284"/>
    <w:rsid w:val="71F72C8D"/>
    <w:rsid w:val="72677E12"/>
    <w:rsid w:val="72A9667D"/>
    <w:rsid w:val="72DC25AE"/>
    <w:rsid w:val="731F693F"/>
    <w:rsid w:val="74A41B92"/>
    <w:rsid w:val="74BD01BD"/>
    <w:rsid w:val="74BD640F"/>
    <w:rsid w:val="74FC6F38"/>
    <w:rsid w:val="753D2069"/>
    <w:rsid w:val="75475CD9"/>
    <w:rsid w:val="75AA6588"/>
    <w:rsid w:val="75EE59B0"/>
    <w:rsid w:val="777E15B3"/>
    <w:rsid w:val="77917FAD"/>
    <w:rsid w:val="780C775B"/>
    <w:rsid w:val="78286547"/>
    <w:rsid w:val="78F16688"/>
    <w:rsid w:val="79060D5B"/>
    <w:rsid w:val="794F494C"/>
    <w:rsid w:val="79711576"/>
    <w:rsid w:val="79C028D6"/>
    <w:rsid w:val="7BBF0CBF"/>
    <w:rsid w:val="7C826819"/>
    <w:rsid w:val="7E1370A0"/>
    <w:rsid w:val="7ED54355"/>
    <w:rsid w:val="7EDF48E2"/>
    <w:rsid w:val="7EE84089"/>
    <w:rsid w:val="7F3513DF"/>
    <w:rsid w:val="7F4A6A57"/>
    <w:rsid w:val="7FBB4177"/>
    <w:rsid w:val="CB3B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next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15696</Words>
  <Characters>15921</Characters>
  <Lines>0</Lines>
  <Paragraphs>0</Paragraphs>
  <TotalTime>12</TotalTime>
  <ScaleCrop>false</ScaleCrop>
  <LinksUpToDate>false</LinksUpToDate>
  <CharactersWithSpaces>16348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2020-07-08T23:05:00Z</dcterms:created>
  <dc:creator>超超</dc:creator>
  <cp:lastModifiedBy>种大为</cp:lastModifiedBy>
  <cp:lastPrinted>2023-06-30T02:55:00Z</cp:lastPrinted>
  <dcterms:modified xsi:type="dcterms:W3CDTF">2024-01-12T04:23:57Z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E9AC14FD7CE34CE0BB2F60E0BB24F420_13</vt:lpwstr>
  </property>
</Properties>
</file>