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仿宋_GB2312" w:hAnsi="仿宋_GB2312" w:eastAsia="仿宋_GB2312" w:cs="仿宋_GB2312"/>
          <w:color w:val="auto"/>
          <w:spacing w:val="20"/>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sz w:val="80"/>
          <w:szCs w:val="80"/>
        </w:rPr>
      </w:pPr>
      <w:r>
        <w:rPr>
          <w:rFonts w:hint="eastAsia" w:ascii="仿宋_GB2312" w:hAnsi="仿宋_GB2312" w:eastAsia="仿宋_GB2312" w:cs="仿宋_GB2312"/>
          <w:color w:val="auto"/>
          <w:spacing w:val="20"/>
          <w:sz w:val="80"/>
          <w:szCs w:val="80"/>
          <w:lang w:eastAsia="zh-CN"/>
        </w:rPr>
        <w:t>朝天区羊木镇基层</w:t>
      </w:r>
      <w:bookmarkStart w:id="42" w:name="_GoBack"/>
      <w:bookmarkEnd w:id="42"/>
      <w:r>
        <w:rPr>
          <w:rFonts w:hint="eastAsia" w:ascii="仿宋_GB2312" w:hAnsi="仿宋_GB2312" w:eastAsia="仿宋_GB2312" w:cs="仿宋_GB2312"/>
          <w:color w:val="auto"/>
          <w:spacing w:val="20"/>
          <w:sz w:val="80"/>
          <w:szCs w:val="80"/>
        </w:rPr>
        <w:t>政务公开标准目录</w:t>
      </w:r>
    </w:p>
    <w:p>
      <w:pPr>
        <w:spacing w:line="1520" w:lineRule="exact"/>
        <w:rPr>
          <w:rFonts w:hint="eastAsia" w:ascii="仿宋_GB2312" w:hAnsi="仿宋_GB2312" w:eastAsia="仿宋_GB2312" w:cs="仿宋_GB2312"/>
          <w:color w:val="auto"/>
          <w:spacing w:val="20"/>
          <w:sz w:val="52"/>
          <w:szCs w:val="52"/>
        </w:rPr>
      </w:pPr>
    </w:p>
    <w:p>
      <w:pPr>
        <w:jc w:val="center"/>
        <w:rPr>
          <w:rFonts w:hint="eastAsia" w:ascii="仿宋_GB2312" w:hAnsi="仿宋_GB2312" w:eastAsia="仿宋_GB2312" w:cs="仿宋_GB2312"/>
          <w:color w:val="auto"/>
          <w:sz w:val="28"/>
          <w:szCs w:val="28"/>
        </w:rPr>
      </w:pPr>
    </w:p>
    <w:p>
      <w:pPr>
        <w:jc w:val="center"/>
        <w:rPr>
          <w:rFonts w:hint="eastAsia" w:ascii="仿宋_GB2312" w:hAnsi="仿宋_GB2312" w:eastAsia="仿宋_GB2312" w:cs="仿宋_GB2312"/>
          <w:color w:val="auto"/>
          <w:sz w:val="28"/>
          <w:szCs w:val="28"/>
        </w:rPr>
      </w:pPr>
    </w:p>
    <w:p>
      <w:pPr>
        <w:jc w:val="center"/>
        <w:rPr>
          <w:rFonts w:hint="eastAsia" w:ascii="仿宋_GB2312" w:hAnsi="仿宋_GB2312" w:eastAsia="仿宋_GB2312" w:cs="仿宋_GB2312"/>
          <w:color w:val="auto"/>
          <w:sz w:val="28"/>
          <w:szCs w:val="28"/>
        </w:rPr>
      </w:pPr>
    </w:p>
    <w:p>
      <w:pPr>
        <w:jc w:val="cente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48"/>
          <w:szCs w:val="48"/>
        </w:rPr>
      </w:pPr>
    </w:p>
    <w:p>
      <w:pPr>
        <w:jc w:val="center"/>
        <w:rPr>
          <w:rStyle w:val="11"/>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48"/>
          <w:szCs w:val="48"/>
          <w:lang w:val="en-US" w:eastAsia="zh-CN"/>
        </w:rPr>
        <w:t>2024</w:t>
      </w:r>
      <w:r>
        <w:rPr>
          <w:rFonts w:hint="eastAsia" w:ascii="仿宋_GB2312" w:hAnsi="仿宋_GB2312" w:eastAsia="仿宋_GB2312" w:cs="仿宋_GB2312"/>
          <w:color w:val="auto"/>
          <w:sz w:val="48"/>
          <w:szCs w:val="48"/>
        </w:rPr>
        <w:t>年</w:t>
      </w:r>
      <w:r>
        <w:rPr>
          <w:rFonts w:hint="eastAsia" w:ascii="仿宋_GB2312" w:hAnsi="仿宋_GB2312" w:eastAsia="仿宋_GB2312" w:cs="仿宋_GB2312"/>
          <w:color w:val="auto"/>
          <w:sz w:val="48"/>
          <w:szCs w:val="48"/>
          <w:lang w:val="en-US" w:eastAsia="zh-CN"/>
        </w:rPr>
        <w:t>4</w:t>
      </w:r>
      <w:r>
        <w:rPr>
          <w:rFonts w:hint="eastAsia" w:ascii="仿宋_GB2312" w:hAnsi="仿宋_GB2312" w:eastAsia="仿宋_GB2312" w:cs="仿宋_GB2312"/>
          <w:color w:val="auto"/>
          <w:sz w:val="48"/>
          <w:szCs w:val="48"/>
        </w:rPr>
        <w:t>月</w:t>
      </w:r>
    </w:p>
    <w:p>
      <w:pPr>
        <w:rPr>
          <w:rFonts w:hint="eastAsia" w:ascii="仿宋_GB2312" w:hAnsi="仿宋_GB2312" w:eastAsia="仿宋_GB2312" w:cs="仿宋_GB2312"/>
          <w:color w:val="auto"/>
        </w:rPr>
      </w:pPr>
    </w:p>
    <w:p>
      <w:pPr>
        <w:pStyle w:val="6"/>
        <w:tabs>
          <w:tab w:val="right" w:leader="dot" w:pos="14280"/>
          <w:tab w:val="clear" w:pos="14760"/>
        </w:tabs>
        <w:rPr>
          <w:rFonts w:hint="eastAsia" w:ascii="仿宋_GB2312" w:hAnsi="仿宋_GB2312" w:eastAsia="仿宋_GB2312" w:cs="仿宋_GB2312"/>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sdt>
      <w:sdtPr>
        <w:rPr>
          <w:rFonts w:hint="eastAsia" w:ascii="仿宋_GB2312" w:hAnsi="仿宋_GB2312" w:eastAsia="仿宋_GB2312" w:cs="仿宋_GB2312"/>
          <w:kern w:val="2"/>
          <w:sz w:val="21"/>
          <w:szCs w:val="22"/>
          <w:lang w:val="en-US" w:eastAsia="zh-CN" w:bidi="ar-SA"/>
        </w:rPr>
        <w:id w:val="147471412"/>
        <w15:color w:val="DBDBDB"/>
        <w:docPartObj>
          <w:docPartGallery w:val="Table of Contents"/>
          <w:docPartUnique/>
        </w:docPartObj>
      </w:sdtPr>
      <w:sdtEndPr>
        <w:rPr>
          <w:rFonts w:hint="eastAsia" w:ascii="仿宋_GB2312" w:hAnsi="仿宋_GB2312" w:eastAsia="仿宋_GB2312" w:cs="仿宋_GB2312"/>
          <w:b/>
          <w:bCs/>
          <w:color w:val="auto"/>
          <w:kern w:val="2"/>
          <w:sz w:val="4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目录</w:t>
          </w:r>
        </w:p>
        <w:p>
          <w:pPr>
            <w:pStyle w:val="6"/>
            <w:tabs>
              <w:tab w:val="right" w:leader="hyphen" w:pos="14344"/>
              <w:tab w:val="clear" w:pos="14760"/>
            </w:tabs>
          </w:pPr>
          <w:r>
            <w:rPr>
              <w:rStyle w:val="11"/>
              <w:rFonts w:hint="eastAsia" w:ascii="仿宋_GB2312" w:hAnsi="仿宋_GB2312" w:eastAsia="仿宋_GB2312" w:cs="仿宋_GB2312"/>
              <w:color w:val="auto"/>
              <w:kern w:val="2"/>
              <w:sz w:val="24"/>
              <w:szCs w:val="24"/>
            </w:rPr>
            <w:fldChar w:fldCharType="begin"/>
          </w:r>
          <w:r>
            <w:rPr>
              <w:rStyle w:val="11"/>
              <w:rFonts w:hint="eastAsia" w:ascii="仿宋_GB2312" w:hAnsi="仿宋_GB2312" w:eastAsia="仿宋_GB2312" w:cs="仿宋_GB2312"/>
              <w:color w:val="auto"/>
              <w:kern w:val="2"/>
              <w:sz w:val="24"/>
              <w:szCs w:val="24"/>
            </w:rPr>
            <w:instrText xml:space="preserve">TOC \o "1-3" \h \u </w:instrText>
          </w:r>
          <w:r>
            <w:rPr>
              <w:rStyle w:val="11"/>
              <w:rFonts w:hint="eastAsia" w:ascii="仿宋_GB2312" w:hAnsi="仿宋_GB2312" w:eastAsia="仿宋_GB2312" w:cs="仿宋_GB2312"/>
              <w:color w:val="auto"/>
              <w:kern w:val="2"/>
              <w:sz w:val="24"/>
              <w:szCs w:val="24"/>
            </w:rPr>
            <w:fldChar w:fldCharType="separate"/>
          </w: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_Toc18329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一</w:t>
          </w:r>
          <w:r>
            <w:rPr>
              <w:rFonts w:hint="eastAsia" w:ascii="仿宋_GB2312" w:hAnsi="仿宋_GB2312" w:eastAsia="仿宋_GB2312" w:cs="仿宋_GB2312"/>
              <w:bCs w:val="0"/>
              <w:szCs w:val="44"/>
            </w:rPr>
            <w:t>）社会救助领域基层政务公开标准目录</w:t>
          </w:r>
          <w:r>
            <w:tab/>
          </w:r>
          <w:r>
            <w:fldChar w:fldCharType="begin"/>
          </w:r>
          <w:r>
            <w:instrText xml:space="preserve"> PAGEREF _Toc18329 \h </w:instrText>
          </w:r>
          <w:r>
            <w:fldChar w:fldCharType="separate"/>
          </w:r>
          <w:r>
            <w:t>1</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_Toc8643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二</w:t>
          </w:r>
          <w:r>
            <w:rPr>
              <w:rFonts w:hint="eastAsia" w:ascii="仿宋_GB2312" w:hAnsi="仿宋_GB2312" w:eastAsia="仿宋_GB2312" w:cs="仿宋_GB2312"/>
              <w:bCs w:val="0"/>
              <w:szCs w:val="44"/>
            </w:rPr>
            <w:t>）养老服务领域基层政务公开标准目录</w:t>
          </w:r>
          <w:r>
            <w:tab/>
          </w:r>
          <w:r>
            <w:fldChar w:fldCharType="begin"/>
          </w:r>
          <w:r>
            <w:instrText xml:space="preserve"> PAGEREF _Toc8643 \h </w:instrText>
          </w:r>
          <w:r>
            <w:fldChar w:fldCharType="separate"/>
          </w:r>
          <w:r>
            <w:t>6</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_Toc10003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三</w:t>
          </w:r>
          <w:r>
            <w:rPr>
              <w:rFonts w:hint="eastAsia" w:ascii="仿宋_GB2312" w:hAnsi="仿宋_GB2312" w:eastAsia="仿宋_GB2312" w:cs="仿宋_GB2312"/>
              <w:bCs w:val="0"/>
              <w:szCs w:val="44"/>
            </w:rPr>
            <w:t>）公共法律服务领域基层政务公开标准目录</w:t>
          </w:r>
          <w:r>
            <w:tab/>
          </w:r>
          <w:r>
            <w:fldChar w:fldCharType="begin"/>
          </w:r>
          <w:r>
            <w:instrText xml:space="preserve"> PAGEREF _Toc10003 \h </w:instrText>
          </w:r>
          <w:r>
            <w:fldChar w:fldCharType="separate"/>
          </w:r>
          <w:r>
            <w:t>7</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_Toc27115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四</w:t>
          </w:r>
          <w:r>
            <w:rPr>
              <w:rFonts w:hint="eastAsia" w:ascii="仿宋_GB2312" w:hAnsi="仿宋_GB2312" w:eastAsia="仿宋_GB2312" w:cs="仿宋_GB2312"/>
              <w:bCs w:val="0"/>
              <w:szCs w:val="44"/>
            </w:rPr>
            <w:t>）财政预决算领域基层政务公开标准目录</w:t>
          </w:r>
          <w:r>
            <w:tab/>
          </w:r>
          <w:r>
            <w:fldChar w:fldCharType="begin"/>
          </w:r>
          <w:r>
            <w:instrText xml:space="preserve"> PAGEREF _Toc27115 \h </w:instrText>
          </w:r>
          <w:r>
            <w:fldChar w:fldCharType="separate"/>
          </w:r>
          <w:r>
            <w:t>10</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_Toc15998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五</w:t>
          </w:r>
          <w:r>
            <w:rPr>
              <w:rFonts w:hint="eastAsia" w:ascii="仿宋_GB2312" w:hAnsi="仿宋_GB2312" w:eastAsia="仿宋_GB2312" w:cs="仿宋_GB2312"/>
              <w:bCs w:val="0"/>
              <w:szCs w:val="44"/>
            </w:rPr>
            <w:t>）就业领域基层政务公开标准目录</w:t>
          </w:r>
          <w:r>
            <w:tab/>
          </w:r>
          <w:r>
            <w:fldChar w:fldCharType="begin"/>
          </w:r>
          <w:r>
            <w:instrText xml:space="preserve"> PAGEREF _Toc15998 \h </w:instrText>
          </w:r>
          <w:r>
            <w:fldChar w:fldCharType="separate"/>
          </w:r>
          <w:r>
            <w:t>12</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_Toc26912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六</w:t>
          </w:r>
          <w:r>
            <w:rPr>
              <w:rFonts w:hint="eastAsia" w:ascii="仿宋_GB2312" w:hAnsi="仿宋_GB2312" w:eastAsia="仿宋_GB2312" w:cs="仿宋_GB2312"/>
              <w:bCs w:val="0"/>
              <w:szCs w:val="44"/>
            </w:rPr>
            <w:t>）社会保险领域基层政务公开标准目录</w:t>
          </w:r>
          <w:r>
            <w:tab/>
          </w:r>
          <w:r>
            <w:fldChar w:fldCharType="begin"/>
          </w:r>
          <w:r>
            <w:instrText xml:space="preserve"> PAGEREF _Toc26912 \h </w:instrText>
          </w:r>
          <w:r>
            <w:fldChar w:fldCharType="separate"/>
          </w:r>
          <w:r>
            <w:t>14</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_Toc12567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七</w:t>
          </w:r>
          <w:r>
            <w:rPr>
              <w:rFonts w:hint="eastAsia" w:ascii="仿宋_GB2312" w:hAnsi="仿宋_GB2312" w:eastAsia="仿宋_GB2312" w:cs="仿宋_GB2312"/>
              <w:bCs w:val="0"/>
            </w:rPr>
            <w:t>）生态环境领域基层政务公开标准目录</w:t>
          </w:r>
          <w:r>
            <w:tab/>
          </w:r>
          <w:r>
            <w:fldChar w:fldCharType="begin"/>
          </w:r>
          <w:r>
            <w:instrText xml:space="preserve"> PAGEREF _Toc12567 \h </w:instrText>
          </w:r>
          <w:r>
            <w:fldChar w:fldCharType="separate"/>
          </w:r>
          <w:r>
            <w:t>17</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_Toc32459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八</w:t>
          </w:r>
          <w:r>
            <w:rPr>
              <w:rFonts w:hint="eastAsia" w:ascii="仿宋_GB2312" w:hAnsi="仿宋_GB2312" w:eastAsia="仿宋_GB2312" w:cs="仿宋_GB2312"/>
              <w:bCs w:val="0"/>
              <w:szCs w:val="44"/>
            </w:rPr>
            <w:t>）农村危房改造领域基层政务公开标准目录</w:t>
          </w:r>
          <w:r>
            <w:tab/>
          </w:r>
          <w:r>
            <w:fldChar w:fldCharType="begin"/>
          </w:r>
          <w:r>
            <w:instrText xml:space="preserve"> PAGEREF _Toc32459 \h </w:instrText>
          </w:r>
          <w:r>
            <w:fldChar w:fldCharType="separate"/>
          </w:r>
          <w:r>
            <w:t>18</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_Toc27992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九</w:t>
          </w:r>
          <w:r>
            <w:rPr>
              <w:rFonts w:hint="eastAsia" w:ascii="仿宋_GB2312" w:hAnsi="仿宋_GB2312" w:eastAsia="仿宋_GB2312" w:cs="仿宋_GB2312"/>
              <w:bCs w:val="0"/>
              <w:szCs w:val="44"/>
            </w:rPr>
            <w:t>）涉农补贴领域基层政务公开标准目录</w:t>
          </w:r>
          <w:r>
            <w:tab/>
          </w:r>
          <w:r>
            <w:fldChar w:fldCharType="begin"/>
          </w:r>
          <w:r>
            <w:instrText xml:space="preserve"> PAGEREF _Toc27992 \h </w:instrText>
          </w:r>
          <w:r>
            <w:fldChar w:fldCharType="separate"/>
          </w:r>
          <w:r>
            <w:t>21</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_Toc354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（十）卫生健康领域基层政务公开标准目录</w:t>
          </w:r>
          <w:r>
            <w:tab/>
          </w:r>
          <w:r>
            <w:fldChar w:fldCharType="begin"/>
          </w:r>
          <w:r>
            <w:instrText xml:space="preserve"> PAGEREF _Toc354 \h </w:instrText>
          </w:r>
          <w:r>
            <w:fldChar w:fldCharType="separate"/>
          </w:r>
          <w:r>
            <w:t>22</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_Toc12830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十一</w:t>
          </w:r>
          <w:r>
            <w:rPr>
              <w:rFonts w:hint="eastAsia" w:ascii="仿宋_GB2312" w:hAnsi="仿宋_GB2312" w:eastAsia="仿宋_GB2312" w:cs="仿宋_GB2312"/>
              <w:bCs w:val="0"/>
              <w:szCs w:val="44"/>
            </w:rPr>
            <w:t>）安全生产领域基层政务公开标准目录</w:t>
          </w:r>
          <w:r>
            <w:tab/>
          </w:r>
          <w:r>
            <w:fldChar w:fldCharType="begin"/>
          </w:r>
          <w:r>
            <w:instrText xml:space="preserve"> PAGEREF _Toc12830 \h </w:instrText>
          </w:r>
          <w:r>
            <w:fldChar w:fldCharType="separate"/>
          </w:r>
          <w:r>
            <w:t>24</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_Toc30095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十二</w:t>
          </w:r>
          <w:r>
            <w:rPr>
              <w:rFonts w:hint="eastAsia" w:ascii="仿宋_GB2312" w:hAnsi="仿宋_GB2312" w:eastAsia="仿宋_GB2312" w:cs="仿宋_GB2312"/>
              <w:bCs w:val="0"/>
              <w:szCs w:val="44"/>
            </w:rPr>
            <w:t>）救灾生产领域基层政务公开标准目录</w:t>
          </w:r>
          <w:r>
            <w:tab/>
          </w:r>
          <w:r>
            <w:fldChar w:fldCharType="begin"/>
          </w:r>
          <w:r>
            <w:instrText xml:space="preserve"> PAGEREF _Toc30095 \h </w:instrText>
          </w:r>
          <w:r>
            <w:fldChar w:fldCharType="separate"/>
          </w:r>
          <w:r>
            <w:t>25</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_Toc5566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十三</w:t>
          </w:r>
          <w:r>
            <w:rPr>
              <w:rFonts w:hint="eastAsia" w:ascii="仿宋_GB2312" w:hAnsi="仿宋_GB2312" w:eastAsia="仿宋_GB2312" w:cs="仿宋_GB2312"/>
              <w:bCs w:val="0"/>
              <w:szCs w:val="44"/>
            </w:rPr>
            <w:t>）</w:t>
          </w:r>
          <w:r>
            <w:rPr>
              <w:rFonts w:hint="eastAsia" w:ascii="仿宋_GB2312" w:hAnsi="仿宋_GB2312" w:eastAsia="仿宋_GB2312" w:cs="仿宋_GB2312"/>
              <w:bCs w:val="0"/>
              <w:szCs w:val="44"/>
              <w:lang w:eastAsia="zh-CN"/>
            </w:rPr>
            <w:t>乡村振兴</w:t>
          </w:r>
          <w:r>
            <w:rPr>
              <w:rFonts w:hint="eastAsia" w:ascii="仿宋_GB2312" w:hAnsi="仿宋_GB2312" w:eastAsia="仿宋_GB2312" w:cs="仿宋_GB2312"/>
              <w:bCs w:val="0"/>
              <w:szCs w:val="44"/>
            </w:rPr>
            <w:t>领域基层政务公开标准目录</w:t>
          </w:r>
          <w:r>
            <w:tab/>
          </w:r>
          <w:r>
            <w:fldChar w:fldCharType="begin"/>
          </w:r>
          <w:r>
            <w:instrText xml:space="preserve"> PAGEREF _Toc5566 \h </w:instrText>
          </w:r>
          <w:r>
            <w:fldChar w:fldCharType="separate"/>
          </w:r>
          <w:r>
            <w:t>27</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_Toc29527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lang w:eastAsia="zh-CN"/>
            </w:rPr>
            <w:t>（十四）</w:t>
          </w:r>
          <w:r>
            <w:rPr>
              <w:rFonts w:hint="eastAsia" w:ascii="仿宋_GB2312" w:hAnsi="仿宋_GB2312" w:eastAsia="仿宋_GB2312" w:cs="仿宋_GB2312"/>
              <w:bCs w:val="0"/>
            </w:rPr>
            <w:t>义务教育领域基层政务公开标准目录</w:t>
          </w:r>
          <w:r>
            <w:tab/>
          </w:r>
          <w:r>
            <w:fldChar w:fldCharType="begin"/>
          </w:r>
          <w:r>
            <w:instrText xml:space="preserve"> PAGEREF _Toc29527 \h </w:instrText>
          </w:r>
          <w:r>
            <w:fldChar w:fldCharType="separate"/>
          </w:r>
          <w:r>
            <w:t>31</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_Toc26383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rPr>
            <w:t>（十</w:t>
          </w:r>
          <w:r>
            <w:rPr>
              <w:rFonts w:hint="eastAsia" w:ascii="仿宋_GB2312" w:hAnsi="仿宋_GB2312" w:eastAsia="仿宋_GB2312" w:cs="仿宋_GB2312"/>
              <w:bCs w:val="0"/>
              <w:lang w:eastAsia="zh-CN"/>
            </w:rPr>
            <w:t>五</w:t>
          </w:r>
          <w:r>
            <w:rPr>
              <w:rFonts w:hint="eastAsia" w:ascii="仿宋_GB2312" w:hAnsi="仿宋_GB2312" w:eastAsia="仿宋_GB2312" w:cs="仿宋_GB2312"/>
              <w:bCs w:val="0"/>
            </w:rPr>
            <w:t>）市政服务领域基层政务公开标准目录</w:t>
          </w:r>
          <w:r>
            <w:tab/>
          </w:r>
          <w:r>
            <w:fldChar w:fldCharType="begin"/>
          </w:r>
          <w:r>
            <w:instrText xml:space="preserve"> PAGEREF _Toc26383 \h </w:instrText>
          </w:r>
          <w:r>
            <w:fldChar w:fldCharType="separate"/>
          </w:r>
          <w:r>
            <w:t>32</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_Toc20883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十六</w:t>
          </w:r>
          <w:r>
            <w:rPr>
              <w:rFonts w:hint="eastAsia" w:ascii="仿宋_GB2312" w:hAnsi="仿宋_GB2312" w:eastAsia="仿宋_GB2312" w:cs="仿宋_GB2312"/>
              <w:bCs w:val="0"/>
            </w:rPr>
            <w:t>）食品药品监督领域基层政务公开标准目录</w:t>
          </w:r>
          <w:r>
            <w:tab/>
          </w:r>
          <w:r>
            <w:fldChar w:fldCharType="begin"/>
          </w:r>
          <w:r>
            <w:instrText xml:space="preserve"> PAGEREF _Toc20883 \h </w:instrText>
          </w:r>
          <w:r>
            <w:fldChar w:fldCharType="separate"/>
          </w:r>
          <w:r>
            <w:t>33</w:t>
          </w:r>
          <w:r>
            <w:fldChar w:fldCharType="end"/>
          </w:r>
          <w:r>
            <w:rPr>
              <w:rFonts w:hint="eastAsia" w:ascii="仿宋_GB2312" w:hAnsi="仿宋_GB2312" w:eastAsia="仿宋_GB2312" w:cs="仿宋_GB2312"/>
              <w:color w:val="auto"/>
              <w:kern w:val="2"/>
              <w:szCs w:val="24"/>
            </w:rPr>
            <w:fldChar w:fldCharType="end"/>
          </w:r>
        </w:p>
        <w:p>
          <w:pPr>
            <w:pStyle w:val="6"/>
            <w:tabs>
              <w:tab w:val="right" w:leader="hyphen" w:pos="14344"/>
              <w:tab w:val="clear" w:pos="14760"/>
            </w:tabs>
          </w:pPr>
          <w:r>
            <w:rPr>
              <w:rFonts w:hint="eastAsia" w:ascii="仿宋_GB2312" w:hAnsi="仿宋_GB2312" w:eastAsia="仿宋_GB2312" w:cs="仿宋_GB2312"/>
              <w:color w:val="auto"/>
              <w:kern w:val="2"/>
              <w:szCs w:val="24"/>
            </w:rPr>
            <w:fldChar w:fldCharType="begin"/>
          </w:r>
          <w:r>
            <w:rPr>
              <w:rFonts w:hint="eastAsia" w:ascii="仿宋_GB2312" w:hAnsi="仿宋_GB2312" w:eastAsia="仿宋_GB2312" w:cs="仿宋_GB2312"/>
              <w:kern w:val="2"/>
              <w:szCs w:val="24"/>
            </w:rPr>
            <w:instrText xml:space="preserve"> HYPERLINK \l _Toc16241 </w:instrText>
          </w:r>
          <w:r>
            <w:rPr>
              <w:rFonts w:hint="eastAsia" w:ascii="仿宋_GB2312" w:hAnsi="仿宋_GB2312" w:eastAsia="仿宋_GB2312" w:cs="仿宋_GB2312"/>
              <w:kern w:val="2"/>
              <w:szCs w:val="24"/>
            </w:rPr>
            <w:fldChar w:fldCharType="separate"/>
          </w:r>
          <w:r>
            <w:rPr>
              <w:rFonts w:hint="eastAsia" w:ascii="仿宋_GB2312" w:hAnsi="仿宋_GB2312" w:eastAsia="仿宋_GB2312" w:cs="仿宋_GB2312"/>
              <w:bCs w:val="0"/>
            </w:rPr>
            <w:t>（十</w:t>
          </w:r>
          <w:r>
            <w:rPr>
              <w:rFonts w:hint="eastAsia" w:ascii="仿宋_GB2312" w:hAnsi="仿宋_GB2312" w:eastAsia="仿宋_GB2312" w:cs="仿宋_GB2312"/>
              <w:bCs w:val="0"/>
              <w:lang w:eastAsia="zh-CN"/>
            </w:rPr>
            <w:t>七</w:t>
          </w:r>
          <w:r>
            <w:rPr>
              <w:rFonts w:hint="eastAsia" w:ascii="仿宋_GB2312" w:hAnsi="仿宋_GB2312" w:eastAsia="仿宋_GB2312" w:cs="仿宋_GB2312"/>
              <w:bCs w:val="0"/>
            </w:rPr>
            <w:t>）自然资源领域基层政务公开标准目录</w:t>
          </w:r>
          <w:r>
            <w:tab/>
          </w:r>
          <w:r>
            <w:fldChar w:fldCharType="begin"/>
          </w:r>
          <w:r>
            <w:instrText xml:space="preserve"> PAGEREF _Toc16241 \h </w:instrText>
          </w:r>
          <w:r>
            <w:fldChar w:fldCharType="separate"/>
          </w:r>
          <w:r>
            <w:t>34</w:t>
          </w:r>
          <w:r>
            <w:fldChar w:fldCharType="end"/>
          </w:r>
          <w:r>
            <w:rPr>
              <w:rFonts w:hint="eastAsia" w:ascii="仿宋_GB2312" w:hAnsi="仿宋_GB2312" w:eastAsia="仿宋_GB2312" w:cs="仿宋_GB2312"/>
              <w:color w:val="auto"/>
              <w:kern w:val="2"/>
              <w:szCs w:val="24"/>
            </w:rPr>
            <w:fldChar w:fldCharType="end"/>
          </w:r>
        </w:p>
        <w:p>
          <w:pPr>
            <w:pStyle w:val="3"/>
            <w:rPr>
              <w:rStyle w:val="11"/>
              <w:rFonts w:hint="eastAsia" w:ascii="仿宋_GB2312" w:hAnsi="仿宋_GB2312" w:eastAsia="仿宋_GB2312" w:cs="仿宋_GB2312"/>
              <w:color w:val="auto"/>
              <w:kern w:val="2"/>
              <w:sz w:val="24"/>
              <w:szCs w:val="24"/>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r>
            <w:rPr>
              <w:rFonts w:hint="eastAsia" w:ascii="仿宋_GB2312" w:hAnsi="仿宋_GB2312" w:eastAsia="仿宋_GB2312" w:cs="仿宋_GB2312"/>
              <w:color w:val="auto"/>
              <w:kern w:val="2"/>
              <w:szCs w:val="24"/>
            </w:rPr>
            <w:fldChar w:fldCharType="end"/>
          </w:r>
        </w:p>
      </w:sdtContent>
    </w:sdt>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bookmarkStart w:id="0" w:name="_Toc11533"/>
      <w:bookmarkStart w:id="1" w:name="_Toc8670"/>
      <w:bookmarkStart w:id="2" w:name="_Toc18329"/>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一</w:t>
      </w:r>
      <w:r>
        <w:rPr>
          <w:rFonts w:hint="eastAsia" w:ascii="仿宋_GB2312" w:hAnsi="仿宋_GB2312" w:eastAsia="仿宋_GB2312" w:cs="仿宋_GB2312"/>
          <w:b w:val="0"/>
          <w:bCs w:val="0"/>
          <w:color w:val="auto"/>
          <w:sz w:val="44"/>
          <w:szCs w:val="44"/>
        </w:rPr>
        <w:t>）社会救助领域基层政务公开标准目录</w:t>
      </w:r>
      <w:bookmarkEnd w:id="0"/>
      <w:bookmarkEnd w:id="1"/>
      <w:bookmarkEnd w:id="2"/>
    </w:p>
    <w:tbl>
      <w:tblPr>
        <w:tblStyle w:val="7"/>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44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323"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357"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658"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88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70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载体</w:t>
            </w:r>
          </w:p>
        </w:tc>
        <w:tc>
          <w:tcPr>
            <w:tcW w:w="1438"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02"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323"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2357"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658"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88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705" w:type="dxa"/>
            <w:vMerge w:val="continue"/>
            <w:vAlign w:val="center"/>
          </w:tcPr>
          <w:p>
            <w:pPr>
              <w:widowControl/>
              <w:jc w:val="both"/>
              <w:rPr>
                <w:rFonts w:hint="eastAsia" w:ascii="仿宋_GB2312" w:hAnsi="仿宋_GB2312" w:eastAsia="仿宋_GB2312" w:cs="仿宋_GB2312"/>
                <w:color w:val="auto"/>
                <w:kern w:val="0"/>
                <w:sz w:val="22"/>
                <w:szCs w:val="22"/>
              </w:rPr>
            </w:pPr>
          </w:p>
        </w:tc>
        <w:tc>
          <w:tcPr>
            <w:tcW w:w="733"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482"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《国务院关于进一步健全特困人员救助供养制度的意见》（国发〔2016〕14号）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民政部关于印发《特困人员认定办法》的通知（民发〔2016〕178号）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民政部关于贯彻落实《国务院关于进一步健全特困人员救助供养制度的意见》的通知（民发〔2016〕115号）</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《国务院关于进一步加强和改进最低生活保障工作的意见》（国发〔2012〕45号）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《最低生活保障审核审批办法（试行）》（民发〔2012〕220号）</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《国务院关于全面建立临时救助制度的通知》（国发〔2014〕47号）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《民政部 财政部关于进一步加强和改进临时救助工作的意见》（民发〔2018〕23号）</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办理事项</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办理条件</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救助标准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申请材料</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办理流程</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羊木镇各村</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（社区)</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3" w:name="_Toc28918"/>
      <w:bookmarkStart w:id="4" w:name="_Toc4586"/>
      <w:bookmarkStart w:id="5" w:name="_Toc8643"/>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二</w:t>
      </w:r>
      <w:r>
        <w:rPr>
          <w:rFonts w:hint="eastAsia" w:ascii="仿宋_GB2312" w:hAnsi="仿宋_GB2312" w:eastAsia="仿宋_GB2312" w:cs="仿宋_GB2312"/>
          <w:b w:val="0"/>
          <w:bCs w:val="0"/>
          <w:color w:val="auto"/>
          <w:sz w:val="44"/>
          <w:szCs w:val="44"/>
        </w:rPr>
        <w:t>）养老服务领域基层政务公开标准目录</w:t>
      </w:r>
      <w:bookmarkEnd w:id="3"/>
      <w:bookmarkEnd w:id="4"/>
      <w:bookmarkEnd w:id="5"/>
    </w:p>
    <w:tbl>
      <w:tblPr>
        <w:tblStyle w:val="7"/>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038"/>
        <w:gridCol w:w="2445"/>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894"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44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188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3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57"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主体</w:t>
            </w:r>
          </w:p>
        </w:tc>
        <w:tc>
          <w:tcPr>
            <w:tcW w:w="1293"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载体</w:t>
            </w:r>
          </w:p>
        </w:tc>
        <w:tc>
          <w:tcPr>
            <w:tcW w:w="1417"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35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856"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038"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445"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885"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3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157"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293"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678"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39"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2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82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养老服务业务办理</w:t>
            </w:r>
          </w:p>
        </w:tc>
        <w:tc>
          <w:tcPr>
            <w:tcW w:w="1038"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老年人补贴</w:t>
            </w:r>
          </w:p>
        </w:tc>
        <w:tc>
          <w:tcPr>
            <w:tcW w:w="2445" w:type="dxa"/>
            <w:vMerge w:val="restart"/>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各项老年人补贴依据 </w:t>
            </w:r>
          </w:p>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各项老年人补贴对象 各项老年人补贴内容和标准 </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各项老年人补贴方式 补贴申请材料清单及格式、办理流程、办理时限、办理时间、地点、咨询电话</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hint="eastAsia" w:ascii="仿宋_GB2312" w:hAnsi="仿宋_GB2312" w:eastAsia="仿宋_GB2312" w:cs="仿宋_GB2312"/>
                <w:color w:val="auto"/>
                <w:sz w:val="24"/>
                <w:szCs w:val="24"/>
              </w:rPr>
            </w:pPr>
          </w:p>
        </w:tc>
        <w:tc>
          <w:tcPr>
            <w:tcW w:w="1038" w:type="dxa"/>
            <w:vMerge w:val="continue"/>
            <w:vAlign w:val="center"/>
          </w:tcPr>
          <w:p>
            <w:pPr>
              <w:jc w:val="center"/>
              <w:rPr>
                <w:rFonts w:hint="eastAsia" w:ascii="仿宋_GB2312" w:hAnsi="仿宋_GB2312" w:eastAsia="仿宋_GB2312" w:cs="仿宋_GB2312"/>
                <w:color w:val="auto"/>
                <w:sz w:val="24"/>
                <w:szCs w:val="24"/>
              </w:rPr>
            </w:pPr>
          </w:p>
        </w:tc>
        <w:tc>
          <w:tcPr>
            <w:tcW w:w="2445" w:type="dxa"/>
            <w:vMerge w:val="continue"/>
            <w:vAlign w:val="center"/>
          </w:tcPr>
          <w:p>
            <w:pPr>
              <w:jc w:val="center"/>
              <w:rPr>
                <w:rFonts w:hint="eastAsia" w:ascii="仿宋_GB2312" w:hAnsi="仿宋_GB2312" w:eastAsia="仿宋_GB2312" w:cs="仿宋_GB2312"/>
                <w:color w:val="auto"/>
                <w:sz w:val="24"/>
                <w:szCs w:val="24"/>
              </w:rPr>
            </w:pP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hint="eastAsia" w:ascii="仿宋_GB2312" w:hAnsi="仿宋_GB2312" w:eastAsia="仿宋_GB2312" w:cs="仿宋_GB2312"/>
                <w:color w:val="auto"/>
                <w:sz w:val="24"/>
                <w:szCs w:val="24"/>
              </w:rPr>
            </w:pPr>
          </w:p>
        </w:tc>
        <w:tc>
          <w:tcPr>
            <w:tcW w:w="1038" w:type="dxa"/>
            <w:vMerge w:val="continue"/>
            <w:vAlign w:val="center"/>
          </w:tcPr>
          <w:p>
            <w:pPr>
              <w:jc w:val="center"/>
              <w:rPr>
                <w:rFonts w:hint="eastAsia" w:ascii="仿宋_GB2312" w:hAnsi="仿宋_GB2312" w:eastAsia="仿宋_GB2312" w:cs="仿宋_GB2312"/>
                <w:color w:val="auto"/>
                <w:sz w:val="24"/>
                <w:szCs w:val="24"/>
              </w:rPr>
            </w:pPr>
          </w:p>
        </w:tc>
        <w:tc>
          <w:tcPr>
            <w:tcW w:w="2445" w:type="dxa"/>
            <w:vMerge w:val="continue"/>
            <w:vAlign w:val="center"/>
          </w:tcPr>
          <w:p>
            <w:pPr>
              <w:jc w:val="center"/>
              <w:rPr>
                <w:rFonts w:hint="eastAsia" w:ascii="仿宋_GB2312" w:hAnsi="仿宋_GB2312" w:eastAsia="仿宋_GB2312" w:cs="仿宋_GB2312"/>
                <w:color w:val="auto"/>
                <w:sz w:val="24"/>
                <w:szCs w:val="24"/>
              </w:rPr>
            </w:pP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6" w:name="_Toc18777"/>
      <w:bookmarkStart w:id="7" w:name="_Toc10003"/>
      <w:bookmarkStart w:id="8" w:name="_Toc14001"/>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三</w:t>
      </w:r>
      <w:r>
        <w:rPr>
          <w:rFonts w:hint="eastAsia" w:ascii="仿宋_GB2312" w:hAnsi="仿宋_GB2312" w:eastAsia="仿宋_GB2312" w:cs="仿宋_GB2312"/>
          <w:b w:val="0"/>
          <w:bCs w:val="0"/>
          <w:color w:val="auto"/>
          <w:sz w:val="44"/>
          <w:szCs w:val="44"/>
        </w:rPr>
        <w:t>）公共法律服务领域基层政务公开标准目录</w:t>
      </w:r>
      <w:bookmarkEnd w:id="6"/>
      <w:bookmarkEnd w:id="7"/>
      <w:bookmarkEnd w:id="8"/>
    </w:p>
    <w:tbl>
      <w:tblPr>
        <w:tblStyle w:val="7"/>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236"/>
        <w:gridCol w:w="2550"/>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23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25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123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25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w:t>
            </w:r>
            <w:r>
              <w:rPr>
                <w:rFonts w:hint="eastAsia" w:ascii="仿宋_GB2312" w:hAnsi="仿宋_GB2312" w:eastAsia="仿宋_GB2312" w:cs="仿宋_GB2312"/>
                <w:color w:val="auto"/>
                <w:sz w:val="24"/>
                <w:szCs w:val="24"/>
                <w:lang w:eastAsia="zh-CN"/>
              </w:rPr>
              <w:t>八</w:t>
            </w:r>
            <w:r>
              <w:rPr>
                <w:rFonts w:hint="eastAsia" w:ascii="仿宋_GB2312" w:hAnsi="仿宋_GB2312" w:eastAsia="仿宋_GB2312" w:cs="仿宋_GB2312"/>
                <w:color w:val="auto"/>
                <w:sz w:val="24"/>
                <w:szCs w:val="24"/>
              </w:rPr>
              <w:t>个五年规划（20</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年）&gt;》、各省“</w:t>
            </w:r>
            <w:r>
              <w:rPr>
                <w:rFonts w:hint="eastAsia" w:ascii="仿宋_GB2312" w:hAnsi="仿宋_GB2312" w:eastAsia="仿宋_GB2312" w:cs="仿宋_GB2312"/>
                <w:color w:val="auto"/>
                <w:sz w:val="24"/>
                <w:szCs w:val="24"/>
                <w:lang w:eastAsia="zh-CN"/>
              </w:rPr>
              <w:t>八</w:t>
            </w:r>
            <w:r>
              <w:rPr>
                <w:rFonts w:hint="eastAsia" w:ascii="仿宋_GB2312" w:hAnsi="仿宋_GB2312" w:eastAsia="仿宋_GB2312" w:cs="仿宋_GB2312"/>
                <w:color w:val="auto"/>
                <w:sz w:val="24"/>
                <w:szCs w:val="24"/>
              </w:rPr>
              <w:t>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村组公共法律服务公示栏</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镇村法治宣传栏</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550" w:type="dxa"/>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镇村公共法律服务公开栏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镇公共法律服务工作站</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镇村公共法律服务公开栏</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9" w:name="_Toc21986"/>
      <w:bookmarkStart w:id="10" w:name="_Toc27115"/>
      <w:bookmarkStart w:id="11" w:name="_Toc22002"/>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四</w:t>
      </w:r>
      <w:r>
        <w:rPr>
          <w:rFonts w:hint="eastAsia" w:ascii="仿宋_GB2312" w:hAnsi="仿宋_GB2312" w:eastAsia="仿宋_GB2312" w:cs="仿宋_GB2312"/>
          <w:b w:val="0"/>
          <w:bCs w:val="0"/>
          <w:color w:val="auto"/>
          <w:sz w:val="44"/>
          <w:szCs w:val="44"/>
        </w:rPr>
        <w:t>）财政预决算领域基层政务公开标准目录</w:t>
      </w:r>
      <w:bookmarkEnd w:id="9"/>
      <w:bookmarkEnd w:id="10"/>
      <w:bookmarkEnd w:id="11"/>
    </w:p>
    <w:tbl>
      <w:tblPr>
        <w:tblStyle w:val="7"/>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331"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4905" w:type="dxa"/>
            <w:vMerge w:val="restart"/>
            <w:vAlign w:val="center"/>
          </w:tcPr>
          <w:p>
            <w:pPr>
              <w:widowControl/>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公开内容</w:t>
            </w:r>
          </w:p>
        </w:tc>
        <w:tc>
          <w:tcPr>
            <w:tcW w:w="163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23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7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08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245"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84"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656"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67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4905"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635"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23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17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08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51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3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486"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98"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textAlignment w:val="center"/>
              <w:rPr>
                <w:rFonts w:hint="eastAsia" w:ascii="仿宋_GB2312" w:hAnsi="仿宋_GB2312" w:eastAsia="仿宋_GB2312" w:cs="仿宋_GB2312"/>
                <w:color w:val="auto"/>
                <w:sz w:val="22"/>
                <w:szCs w:val="22"/>
                <w:lang w:eastAsia="zh-CN"/>
              </w:rPr>
            </w:pPr>
          </w:p>
        </w:tc>
        <w:tc>
          <w:tcPr>
            <w:tcW w:w="1080" w:type="dxa"/>
            <w:vMerge w:val="continue"/>
            <w:vAlign w:val="center"/>
          </w:tcPr>
          <w:p>
            <w:pPr>
              <w:widowControl/>
              <w:textAlignment w:val="center"/>
              <w:rPr>
                <w:rFonts w:hint="eastAsia" w:ascii="仿宋_GB2312" w:hAnsi="仿宋_GB2312" w:eastAsia="仿宋_GB2312" w:cs="仿宋_GB2312"/>
                <w:color w:val="auto"/>
                <w:kern w:val="2"/>
                <w:sz w:val="22"/>
                <w:szCs w:val="22"/>
                <w:lang w:val="en-US" w:eastAsia="zh-CN" w:bidi="ar-SA"/>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kern w:val="2"/>
                <w:sz w:val="22"/>
                <w:szCs w:val="22"/>
                <w:lang w:val="en-US" w:eastAsia="zh-CN" w:bidi="ar-SA"/>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kern w:val="2"/>
                <w:sz w:val="22"/>
                <w:szCs w:val="22"/>
                <w:lang w:val="en-US" w:eastAsia="zh-CN" w:bidi="ar-SA"/>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12" w:name="_Toc31519"/>
      <w:bookmarkStart w:id="13" w:name="_Toc30816"/>
      <w:bookmarkStart w:id="14" w:name="_Toc15998"/>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五</w:t>
      </w:r>
      <w:r>
        <w:rPr>
          <w:rFonts w:hint="eastAsia" w:ascii="仿宋_GB2312" w:hAnsi="仿宋_GB2312" w:eastAsia="仿宋_GB2312" w:cs="仿宋_GB2312"/>
          <w:b w:val="0"/>
          <w:bCs w:val="0"/>
          <w:color w:val="auto"/>
          <w:sz w:val="44"/>
          <w:szCs w:val="44"/>
        </w:rPr>
        <w:t>）就业领域基层政务公开标准目录</w:t>
      </w:r>
      <w:bookmarkEnd w:id="12"/>
      <w:bookmarkEnd w:id="13"/>
      <w:bookmarkEnd w:id="14"/>
    </w:p>
    <w:tbl>
      <w:tblPr>
        <w:tblStyle w:val="7"/>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1644"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3164"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815"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786"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1264"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1227"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公开渠道和载体</w:t>
            </w:r>
          </w:p>
        </w:tc>
        <w:tc>
          <w:tcPr>
            <w:tcW w:w="132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hint="eastAsia" w:ascii="仿宋_GB2312" w:hAnsi="仿宋_GB2312" w:eastAsia="仿宋_GB2312" w:cs="仿宋_GB2312"/>
                <w:color w:val="auto"/>
                <w:kern w:val="0"/>
                <w:sz w:val="22"/>
              </w:rPr>
            </w:pPr>
          </w:p>
        </w:tc>
        <w:tc>
          <w:tcPr>
            <w:tcW w:w="1644" w:type="dxa"/>
            <w:vMerge w:val="continue"/>
            <w:vAlign w:val="center"/>
          </w:tcPr>
          <w:p>
            <w:pPr>
              <w:widowControl/>
              <w:jc w:val="center"/>
              <w:rPr>
                <w:rFonts w:hint="eastAsia" w:ascii="仿宋_GB2312" w:hAnsi="仿宋_GB2312" w:eastAsia="仿宋_GB2312" w:cs="仿宋_GB2312"/>
                <w:color w:val="auto"/>
                <w:kern w:val="0"/>
                <w:sz w:val="22"/>
              </w:rPr>
            </w:pPr>
          </w:p>
        </w:tc>
        <w:tc>
          <w:tcPr>
            <w:tcW w:w="3164" w:type="dxa"/>
            <w:vMerge w:val="continue"/>
            <w:vAlign w:val="center"/>
          </w:tcPr>
          <w:p>
            <w:pPr>
              <w:widowControl/>
              <w:jc w:val="left"/>
              <w:rPr>
                <w:rFonts w:hint="eastAsia" w:ascii="仿宋_GB2312" w:hAnsi="仿宋_GB2312" w:eastAsia="仿宋_GB2312" w:cs="仿宋_GB2312"/>
                <w:color w:val="auto"/>
                <w:kern w:val="0"/>
                <w:sz w:val="22"/>
              </w:rPr>
            </w:pPr>
          </w:p>
        </w:tc>
        <w:tc>
          <w:tcPr>
            <w:tcW w:w="2815" w:type="dxa"/>
            <w:vMerge w:val="continue"/>
            <w:vAlign w:val="center"/>
          </w:tcPr>
          <w:p>
            <w:pPr>
              <w:widowControl/>
              <w:jc w:val="left"/>
              <w:rPr>
                <w:rFonts w:hint="eastAsia" w:ascii="仿宋_GB2312" w:hAnsi="仿宋_GB2312" w:eastAsia="仿宋_GB2312" w:cs="仿宋_GB2312"/>
                <w:color w:val="auto"/>
                <w:kern w:val="0"/>
                <w:sz w:val="22"/>
              </w:rPr>
            </w:pPr>
          </w:p>
        </w:tc>
        <w:tc>
          <w:tcPr>
            <w:tcW w:w="1786" w:type="dxa"/>
            <w:vMerge w:val="continue"/>
            <w:vAlign w:val="center"/>
          </w:tcPr>
          <w:p>
            <w:pPr>
              <w:widowControl/>
              <w:jc w:val="left"/>
              <w:rPr>
                <w:rFonts w:hint="eastAsia" w:ascii="仿宋_GB2312" w:hAnsi="仿宋_GB2312" w:eastAsia="仿宋_GB2312" w:cs="仿宋_GB2312"/>
                <w:color w:val="auto"/>
                <w:kern w:val="0"/>
                <w:sz w:val="22"/>
              </w:rPr>
            </w:pPr>
          </w:p>
        </w:tc>
        <w:tc>
          <w:tcPr>
            <w:tcW w:w="1264" w:type="dxa"/>
            <w:vMerge w:val="continue"/>
            <w:vAlign w:val="center"/>
          </w:tcPr>
          <w:p>
            <w:pPr>
              <w:widowControl/>
              <w:jc w:val="left"/>
              <w:rPr>
                <w:rFonts w:hint="eastAsia" w:ascii="仿宋_GB2312" w:hAnsi="仿宋_GB2312" w:eastAsia="仿宋_GB2312" w:cs="仿宋_GB2312"/>
                <w:color w:val="auto"/>
                <w:kern w:val="0"/>
                <w:sz w:val="22"/>
              </w:rPr>
            </w:pPr>
          </w:p>
        </w:tc>
        <w:tc>
          <w:tcPr>
            <w:tcW w:w="1227" w:type="dxa"/>
            <w:vMerge w:val="continue"/>
            <w:vAlign w:val="center"/>
          </w:tcPr>
          <w:p>
            <w:pPr>
              <w:widowControl/>
              <w:jc w:val="left"/>
              <w:rPr>
                <w:rFonts w:hint="eastAsia" w:ascii="仿宋_GB2312" w:hAnsi="仿宋_GB2312" w:eastAsia="仿宋_GB2312" w:cs="仿宋_GB2312"/>
                <w:color w:val="auto"/>
                <w:kern w:val="0"/>
                <w:sz w:val="22"/>
              </w:rPr>
            </w:pPr>
          </w:p>
        </w:tc>
        <w:tc>
          <w:tcPr>
            <w:tcW w:w="612"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就业信息服务</w:t>
            </w:r>
          </w:p>
        </w:tc>
        <w:tc>
          <w:tcPr>
            <w:tcW w:w="3164"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就业失业登记</w:t>
            </w:r>
          </w:p>
        </w:tc>
        <w:tc>
          <w:tcPr>
            <w:tcW w:w="3164"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创业服务</w:t>
            </w:r>
          </w:p>
        </w:tc>
        <w:tc>
          <w:tcPr>
            <w:tcW w:w="3164" w:type="dxa"/>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w:t>
            </w:r>
          </w:p>
        </w:tc>
        <w:tc>
          <w:tcPr>
            <w:tcW w:w="1644" w:type="dxa"/>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职业培训</w:t>
            </w:r>
          </w:p>
        </w:tc>
        <w:tc>
          <w:tcPr>
            <w:tcW w:w="3164" w:type="dxa"/>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both"/>
        <w:rPr>
          <w:rFonts w:hint="eastAsia" w:ascii="仿宋_GB2312" w:hAnsi="仿宋_GB2312" w:eastAsia="仿宋_GB2312" w:cs="仿宋_GB2312"/>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val="en-US" w:eastAsia="zh-CN"/>
        </w:rPr>
      </w:pPr>
      <w:bookmarkStart w:id="15" w:name="_Toc18188"/>
      <w:bookmarkStart w:id="16" w:name="_Toc26912"/>
      <w:bookmarkStart w:id="17" w:name="_Toc21942"/>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六</w:t>
      </w:r>
      <w:r>
        <w:rPr>
          <w:rFonts w:hint="eastAsia" w:ascii="仿宋_GB2312" w:hAnsi="仿宋_GB2312" w:eastAsia="仿宋_GB2312" w:cs="仿宋_GB2312"/>
          <w:b w:val="0"/>
          <w:bCs w:val="0"/>
          <w:color w:val="auto"/>
          <w:sz w:val="44"/>
          <w:szCs w:val="44"/>
        </w:rPr>
        <w:t>）社会保险领域基层政务公开标准目录</w:t>
      </w:r>
      <w:bookmarkEnd w:id="15"/>
      <w:bookmarkEnd w:id="16"/>
      <w:bookmarkEnd w:id="17"/>
    </w:p>
    <w:tbl>
      <w:tblPr>
        <w:tblStyle w:val="7"/>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987"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318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1729"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62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241"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279"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4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6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267"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318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729"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62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241"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279"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4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羊木镇人民政府</w:t>
            </w:r>
          </w:p>
          <w:p>
            <w:pPr>
              <w:rPr>
                <w:rFonts w:hint="eastAsia" w:ascii="仿宋_GB2312" w:hAnsi="仿宋_GB2312" w:eastAsia="仿宋_GB2312" w:cs="仿宋_GB2312"/>
              </w:rPr>
            </w:pP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2"/>
                <w:szCs w:val="22"/>
              </w:rPr>
            </w:pPr>
          </w:p>
        </w:tc>
        <w:tc>
          <w:tcPr>
            <w:tcW w:w="1620" w:type="dxa"/>
            <w:vMerge w:val="continue"/>
            <w:vAlign w:val="center"/>
          </w:tcPr>
          <w:p>
            <w:pPr>
              <w:jc w:val="center"/>
              <w:rPr>
                <w:rFonts w:hint="eastAsia" w:ascii="仿宋_GB2312" w:hAnsi="仿宋_GB2312" w:eastAsia="仿宋_GB2312" w:cs="仿宋_GB2312"/>
                <w:color w:val="auto"/>
                <w:sz w:val="22"/>
                <w:szCs w:val="22"/>
              </w:rPr>
            </w:pPr>
          </w:p>
        </w:tc>
        <w:tc>
          <w:tcPr>
            <w:tcW w:w="1241" w:type="dxa"/>
            <w:vMerge w:val="continue"/>
            <w:vAlign w:val="center"/>
          </w:tcPr>
          <w:p>
            <w:pPr>
              <w:jc w:val="center"/>
              <w:rPr>
                <w:rFonts w:hint="eastAsia" w:ascii="仿宋_GB2312" w:hAnsi="仿宋_GB2312" w:eastAsia="仿宋_GB2312" w:cs="仿宋_GB2312"/>
                <w:color w:val="auto"/>
                <w:sz w:val="22"/>
                <w:szCs w:val="22"/>
              </w:rPr>
            </w:pPr>
          </w:p>
        </w:tc>
        <w:tc>
          <w:tcPr>
            <w:tcW w:w="1279" w:type="dxa"/>
            <w:vMerge w:val="continue"/>
            <w:vAlign w:val="center"/>
          </w:tcPr>
          <w:p>
            <w:pP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eastAsia" w:ascii="仿宋_GB2312" w:hAnsi="仿宋_GB2312" w:eastAsia="仿宋_GB2312" w:cs="仿宋_GB2312"/>
                <w:color w:val="auto"/>
                <w:sz w:val="22"/>
                <w:szCs w:val="22"/>
              </w:rPr>
            </w:pPr>
          </w:p>
        </w:tc>
        <w:tc>
          <w:tcPr>
            <w:tcW w:w="1729" w:type="dxa"/>
            <w:vMerge w:val="continue"/>
            <w:vAlign w:val="center"/>
          </w:tcPr>
          <w:p>
            <w:pPr>
              <w:jc w:val="center"/>
              <w:rPr>
                <w:rFonts w:hint="eastAsia" w:ascii="仿宋_GB2312" w:hAnsi="仿宋_GB2312" w:eastAsia="仿宋_GB2312" w:cs="仿宋_GB2312"/>
                <w:color w:val="auto"/>
                <w:sz w:val="22"/>
                <w:szCs w:val="22"/>
              </w:rPr>
            </w:pPr>
          </w:p>
        </w:tc>
        <w:tc>
          <w:tcPr>
            <w:tcW w:w="1620" w:type="dxa"/>
            <w:vMerge w:val="continue"/>
            <w:vAlign w:val="center"/>
          </w:tcPr>
          <w:p>
            <w:pPr>
              <w:jc w:val="center"/>
              <w:rPr>
                <w:rFonts w:hint="eastAsia" w:ascii="仿宋_GB2312" w:hAnsi="仿宋_GB2312" w:eastAsia="仿宋_GB2312" w:cs="仿宋_GB2312"/>
                <w:color w:val="auto"/>
                <w:sz w:val="22"/>
                <w:szCs w:val="22"/>
              </w:rPr>
            </w:pPr>
          </w:p>
        </w:tc>
        <w:tc>
          <w:tcPr>
            <w:tcW w:w="1241" w:type="dxa"/>
            <w:vMerge w:val="continue"/>
            <w:vAlign w:val="center"/>
          </w:tcPr>
          <w:p>
            <w:pPr>
              <w:jc w:val="center"/>
              <w:rPr>
                <w:rFonts w:hint="eastAsia" w:ascii="仿宋_GB2312" w:hAnsi="仿宋_GB2312" w:eastAsia="仿宋_GB2312" w:cs="仿宋_GB2312"/>
                <w:color w:val="auto"/>
                <w:sz w:val="22"/>
                <w:szCs w:val="22"/>
              </w:rPr>
            </w:pPr>
          </w:p>
        </w:tc>
        <w:tc>
          <w:tcPr>
            <w:tcW w:w="1279" w:type="dxa"/>
            <w:vMerge w:val="continue"/>
            <w:vAlign w:val="center"/>
          </w:tcPr>
          <w:p>
            <w:pP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eastAsia" w:ascii="仿宋_GB2312" w:hAnsi="仿宋_GB2312" w:eastAsia="仿宋_GB2312" w:cs="仿宋_GB2312"/>
                <w:color w:val="auto"/>
                <w:sz w:val="22"/>
                <w:szCs w:val="22"/>
              </w:rPr>
            </w:pPr>
          </w:p>
        </w:tc>
        <w:tc>
          <w:tcPr>
            <w:tcW w:w="1729" w:type="dxa"/>
            <w:vMerge w:val="continue"/>
            <w:vAlign w:val="center"/>
          </w:tcPr>
          <w:p>
            <w:pPr>
              <w:jc w:val="center"/>
              <w:rPr>
                <w:rFonts w:hint="eastAsia" w:ascii="仿宋_GB2312" w:hAnsi="仿宋_GB2312" w:eastAsia="仿宋_GB2312" w:cs="仿宋_GB2312"/>
                <w:color w:val="auto"/>
                <w:sz w:val="22"/>
                <w:szCs w:val="22"/>
              </w:rPr>
            </w:pPr>
          </w:p>
        </w:tc>
        <w:tc>
          <w:tcPr>
            <w:tcW w:w="1620" w:type="dxa"/>
            <w:vMerge w:val="continue"/>
            <w:vAlign w:val="center"/>
          </w:tcPr>
          <w:p>
            <w:pPr>
              <w:jc w:val="center"/>
              <w:rPr>
                <w:rFonts w:hint="eastAsia" w:ascii="仿宋_GB2312" w:hAnsi="仿宋_GB2312" w:eastAsia="仿宋_GB2312" w:cs="仿宋_GB2312"/>
                <w:color w:val="auto"/>
                <w:sz w:val="22"/>
                <w:szCs w:val="22"/>
              </w:rPr>
            </w:pPr>
          </w:p>
        </w:tc>
        <w:tc>
          <w:tcPr>
            <w:tcW w:w="1241" w:type="dxa"/>
            <w:vMerge w:val="continue"/>
            <w:vAlign w:val="center"/>
          </w:tcPr>
          <w:p>
            <w:pPr>
              <w:jc w:val="center"/>
              <w:rPr>
                <w:rFonts w:hint="eastAsia" w:ascii="仿宋_GB2312" w:hAnsi="仿宋_GB2312" w:eastAsia="仿宋_GB2312" w:cs="仿宋_GB2312"/>
                <w:color w:val="auto"/>
                <w:sz w:val="22"/>
                <w:szCs w:val="22"/>
              </w:rPr>
            </w:pPr>
          </w:p>
        </w:tc>
        <w:tc>
          <w:tcPr>
            <w:tcW w:w="1279" w:type="dxa"/>
            <w:vMerge w:val="continue"/>
            <w:vAlign w:val="center"/>
          </w:tcPr>
          <w:p>
            <w:pP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r>
    </w:tbl>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both"/>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rPr>
          <w:rFonts w:hint="eastAsia" w:ascii="仿宋_GB2312" w:hAnsi="仿宋_GB2312" w:eastAsia="仿宋_GB2312" w:cs="仿宋_GB2312"/>
        </w:rPr>
      </w:pPr>
    </w:p>
    <w:p>
      <w:pPr>
        <w:pStyle w:val="3"/>
        <w:spacing w:before="0" w:after="0" w:line="240" w:lineRule="auto"/>
        <w:jc w:val="both"/>
        <w:rPr>
          <w:rFonts w:hint="eastAsia" w:ascii="仿宋_GB2312" w:hAnsi="仿宋_GB2312" w:eastAsia="仿宋_GB2312" w:cs="仿宋_GB2312"/>
          <w:b w:val="0"/>
          <w:bCs w:val="0"/>
          <w:color w:val="auto"/>
        </w:rPr>
      </w:pPr>
    </w:p>
    <w:p>
      <w:pPr>
        <w:pStyle w:val="3"/>
        <w:spacing w:before="0" w:after="0" w:line="240" w:lineRule="auto"/>
        <w:jc w:val="both"/>
        <w:rPr>
          <w:rFonts w:hint="eastAsia" w:ascii="仿宋_GB2312" w:hAnsi="仿宋_GB2312" w:eastAsia="仿宋_GB2312" w:cs="仿宋_GB2312"/>
          <w:b w:val="0"/>
          <w:bCs w:val="0"/>
          <w:color w:val="auto"/>
        </w:rPr>
      </w:pPr>
    </w:p>
    <w:p>
      <w:pPr>
        <w:rPr>
          <w:rFonts w:hint="eastAsia" w:ascii="仿宋_GB2312" w:hAnsi="仿宋_GB2312" w:eastAsia="仿宋_GB2312" w:cs="仿宋_GB2312"/>
          <w:b w:val="0"/>
          <w:bCs w:val="0"/>
          <w:color w:val="auto"/>
        </w:rPr>
      </w:pPr>
    </w:p>
    <w:p>
      <w:pPr>
        <w:pStyle w:val="2"/>
        <w:rPr>
          <w:rFonts w:hint="eastAsia"/>
        </w:rPr>
      </w:pPr>
    </w:p>
    <w:p>
      <w:pPr>
        <w:pStyle w:val="3"/>
        <w:spacing w:before="0" w:after="0" w:line="240" w:lineRule="auto"/>
        <w:jc w:val="center"/>
        <w:rPr>
          <w:rFonts w:hint="eastAsia" w:ascii="仿宋_GB2312" w:hAnsi="仿宋_GB2312" w:eastAsia="仿宋_GB2312" w:cs="仿宋_GB2312"/>
          <w:b w:val="0"/>
          <w:bCs w:val="0"/>
          <w:color w:val="auto"/>
        </w:rPr>
      </w:pPr>
      <w:bookmarkStart w:id="18" w:name="_Toc12567"/>
      <w:r>
        <w:rPr>
          <w:rFonts w:hint="eastAsia" w:ascii="仿宋_GB2312" w:hAnsi="仿宋_GB2312" w:eastAsia="仿宋_GB2312" w:cs="仿宋_GB2312"/>
          <w:b w:val="0"/>
          <w:bCs w:val="0"/>
          <w:color w:val="auto"/>
        </w:rPr>
        <w:t>（</w:t>
      </w:r>
      <w:r>
        <w:rPr>
          <w:rFonts w:hint="eastAsia" w:ascii="仿宋_GB2312" w:hAnsi="仿宋_GB2312" w:eastAsia="仿宋_GB2312" w:cs="仿宋_GB2312"/>
          <w:b w:val="0"/>
          <w:bCs w:val="0"/>
          <w:color w:val="auto"/>
          <w:lang w:eastAsia="zh-CN"/>
        </w:rPr>
        <w:t>七</w:t>
      </w:r>
      <w:r>
        <w:rPr>
          <w:rFonts w:hint="eastAsia" w:ascii="仿宋_GB2312" w:hAnsi="仿宋_GB2312" w:eastAsia="仿宋_GB2312" w:cs="仿宋_GB2312"/>
          <w:b w:val="0"/>
          <w:bCs w:val="0"/>
          <w:color w:val="auto"/>
        </w:rPr>
        <w:t>）生态环境领域基层政务公开标准目录</w:t>
      </w:r>
      <w:bookmarkEnd w:id="18"/>
    </w:p>
    <w:tbl>
      <w:tblPr>
        <w:tblStyle w:val="7"/>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1724"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2739"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70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6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7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16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w:t>
            </w:r>
          </w:p>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载体</w:t>
            </w:r>
          </w:p>
        </w:tc>
        <w:tc>
          <w:tcPr>
            <w:tcW w:w="1429"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一级事项</w:t>
            </w:r>
          </w:p>
        </w:tc>
        <w:tc>
          <w:tcPr>
            <w:tcW w:w="1004"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二级事项</w:t>
            </w:r>
          </w:p>
        </w:tc>
        <w:tc>
          <w:tcPr>
            <w:tcW w:w="2739" w:type="dxa"/>
            <w:vMerge w:val="continue"/>
            <w:vAlign w:val="center"/>
          </w:tcPr>
          <w:p>
            <w:pPr>
              <w:widowControl/>
              <w:jc w:val="center"/>
              <w:rPr>
                <w:rFonts w:hint="eastAsia" w:ascii="仿宋_GB2312" w:hAnsi="仿宋_GB2312" w:eastAsia="仿宋_GB2312" w:cs="仿宋_GB2312"/>
                <w:color w:val="auto"/>
                <w:kern w:val="0"/>
                <w:sz w:val="22"/>
              </w:rPr>
            </w:pPr>
          </w:p>
        </w:tc>
        <w:tc>
          <w:tcPr>
            <w:tcW w:w="2700" w:type="dxa"/>
            <w:vMerge w:val="continue"/>
            <w:vAlign w:val="center"/>
          </w:tcPr>
          <w:p>
            <w:pPr>
              <w:widowControl/>
              <w:jc w:val="center"/>
              <w:rPr>
                <w:rFonts w:hint="eastAsia" w:ascii="仿宋_GB2312" w:hAnsi="仿宋_GB2312" w:eastAsia="仿宋_GB2312" w:cs="仿宋_GB2312"/>
                <w:color w:val="auto"/>
                <w:kern w:val="0"/>
                <w:sz w:val="22"/>
              </w:rPr>
            </w:pPr>
          </w:p>
        </w:tc>
        <w:tc>
          <w:tcPr>
            <w:tcW w:w="1620" w:type="dxa"/>
            <w:vMerge w:val="continue"/>
            <w:vAlign w:val="center"/>
          </w:tcPr>
          <w:p>
            <w:pPr>
              <w:widowControl/>
              <w:jc w:val="center"/>
              <w:rPr>
                <w:rFonts w:hint="eastAsia" w:ascii="仿宋_GB2312" w:hAnsi="仿宋_GB2312" w:eastAsia="仿宋_GB2312" w:cs="仿宋_GB2312"/>
                <w:color w:val="auto"/>
                <w:kern w:val="0"/>
                <w:sz w:val="22"/>
              </w:rPr>
            </w:pPr>
          </w:p>
        </w:tc>
        <w:tc>
          <w:tcPr>
            <w:tcW w:w="720" w:type="dxa"/>
            <w:vMerge w:val="continue"/>
            <w:vAlign w:val="center"/>
          </w:tcPr>
          <w:p>
            <w:pPr>
              <w:widowControl/>
              <w:jc w:val="center"/>
              <w:rPr>
                <w:rFonts w:hint="eastAsia" w:ascii="仿宋_GB2312" w:hAnsi="仿宋_GB2312" w:eastAsia="仿宋_GB2312" w:cs="仿宋_GB2312"/>
                <w:color w:val="auto"/>
                <w:kern w:val="0"/>
                <w:sz w:val="22"/>
              </w:rPr>
            </w:pPr>
          </w:p>
        </w:tc>
        <w:tc>
          <w:tcPr>
            <w:tcW w:w="1620" w:type="dxa"/>
            <w:vMerge w:val="continue"/>
            <w:vAlign w:val="center"/>
          </w:tcPr>
          <w:p>
            <w:pPr>
              <w:widowControl/>
              <w:jc w:val="left"/>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hint="eastAsia" w:ascii="仿宋_GB2312" w:hAnsi="仿宋_GB2312" w:eastAsia="仿宋_GB2312" w:cs="仿宋_GB2312"/>
                <w:color w:val="auto"/>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376555</wp:posOffset>
                      </wp:positionH>
                      <wp:positionV relativeFrom="paragraph">
                        <wp:posOffset>997585</wp:posOffset>
                      </wp:positionV>
                      <wp:extent cx="1036955" cy="13335"/>
                      <wp:effectExtent l="0" t="6350" r="10795" b="8890"/>
                      <wp:wrapNone/>
                      <wp:docPr id="5" name="直接连接符 5"/>
                      <wp:cNvGraphicFramePr/>
                      <a:graphic xmlns:a="http://schemas.openxmlformats.org/drawingml/2006/main">
                        <a:graphicData uri="http://schemas.microsoft.com/office/word/2010/wordprocessingShape">
                          <wps:wsp>
                            <wps:cNvCnPr/>
                            <wps:spPr>
                              <a:xfrm flipV="true">
                                <a:off x="7193280" y="3141345"/>
                                <a:ext cx="1036955"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65pt;margin-top:78.55pt;height:1.05pt;width:81.65pt;z-index:251659264;mso-width-relative:page;mso-height-relative:page;" filled="f" stroked="t" coordsize="21600,21600" o:gfxdata="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y2rF11wAAAAoBAAAPAAAAAAAAAAEAIAAAADgAAABkcnMvZG93bnJldi54&#10;bWxQSwECFAAUAAAACACHTuJAwNT8XeUBAACBAwAADgAAAAAAAAABACAAAAA8AQAAZHJzL2Uyb0Rv&#10;Yy54bWxQSwUGAAAAAAYABgBZAQAAkwU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1620"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公示栏</w:t>
            </w:r>
          </w:p>
          <w:p>
            <w:pPr>
              <w:pStyle w:val="2"/>
              <w:rPr>
                <w:rFonts w:hint="eastAsia"/>
              </w:rPr>
            </w:pPr>
          </w:p>
          <w:p>
            <w:pPr>
              <w:jc w:val="left"/>
              <w:rPr>
                <w:rFonts w:hint="eastAsia" w:ascii="仿宋_GB2312" w:hAnsi="仿宋_GB2312" w:eastAsia="仿宋_GB2312" w:cs="仿宋_GB2312"/>
                <w:color w:val="auto"/>
                <w:sz w:val="24"/>
                <w:szCs w:val="24"/>
              </w:rPr>
            </w:pPr>
          </w:p>
          <w:p>
            <w:pPr>
              <w:jc w:val="left"/>
              <w:rPr>
                <w:rFonts w:hint="eastAsia" w:ascii="仿宋_GB2312" w:hAnsi="仿宋_GB2312" w:eastAsia="仿宋_GB2312" w:cs="仿宋_GB2312"/>
                <w:color w:val="auto"/>
                <w:sz w:val="24"/>
                <w:szCs w:val="24"/>
              </w:rPr>
            </w:pPr>
          </w:p>
          <w:p>
            <w:pPr>
              <w:jc w:val="left"/>
              <w:rPr>
                <w:rFonts w:hint="eastAsia" w:ascii="仿宋_GB2312" w:hAnsi="仿宋_GB2312" w:eastAsia="仿宋_GB2312" w:cs="仿宋_GB2312"/>
                <w:color w:val="auto"/>
                <w:sz w:val="24"/>
                <w:szCs w:val="24"/>
              </w:rPr>
            </w:pPr>
          </w:p>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公众号</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0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在公共场所开展环境保护宣传教育活动开展情况；六五环境日、全国低碳日等主题宣传活动开展情况；生态、环保类教育培训活动开展情况</w:t>
            </w:r>
          </w:p>
        </w:tc>
        <w:tc>
          <w:tcPr>
            <w:tcW w:w="270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0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162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公示栏</w:t>
            </w:r>
          </w:p>
          <w:p>
            <w:pPr>
              <w:jc w:val="left"/>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19" w:name="_Toc14954"/>
      <w:r>
        <w:rPr>
          <w:rFonts w:hint="eastAsia" w:ascii="仿宋_GB2312" w:hAnsi="仿宋_GB2312" w:eastAsia="仿宋_GB2312" w:cs="仿宋_GB2312"/>
          <w:b w:val="0"/>
          <w:bCs w:val="0"/>
          <w:color w:val="auto"/>
          <w:sz w:val="44"/>
          <w:szCs w:val="44"/>
          <w:lang w:val="en-US" w:eastAsia="zh-CN"/>
        </w:rPr>
        <w:t xml:space="preserve">   </w:t>
      </w:r>
      <w:bookmarkEnd w:id="19"/>
      <w:bookmarkStart w:id="20" w:name="_Toc32459"/>
      <w:bookmarkStart w:id="21" w:name="_Toc24641"/>
      <w:bookmarkStart w:id="22" w:name="_Toc4397"/>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八</w:t>
      </w:r>
      <w:r>
        <w:rPr>
          <w:rFonts w:hint="eastAsia" w:ascii="仿宋_GB2312" w:hAnsi="仿宋_GB2312" w:eastAsia="仿宋_GB2312" w:cs="仿宋_GB2312"/>
          <w:b w:val="0"/>
          <w:bCs w:val="0"/>
          <w:color w:val="auto"/>
          <w:sz w:val="44"/>
          <w:szCs w:val="44"/>
        </w:rPr>
        <w:t>）农村危房改造领域基层政务公开标准目录</w:t>
      </w:r>
      <w:bookmarkEnd w:id="20"/>
      <w:bookmarkEnd w:id="21"/>
      <w:bookmarkEnd w:id="22"/>
    </w:p>
    <w:p>
      <w:pPr>
        <w:rPr>
          <w:rFonts w:hint="eastAsia" w:ascii="仿宋_GB2312" w:hAnsi="仿宋_GB2312" w:eastAsia="仿宋_GB2312" w:cs="仿宋_GB2312"/>
          <w:color w:val="auto"/>
          <w:lang w:eastAsia="zh-CN"/>
        </w:rPr>
      </w:pPr>
    </w:p>
    <w:tbl>
      <w:tblPr>
        <w:tblStyle w:val="7"/>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16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1512"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3428"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093"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57"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786"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29"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90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26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1512"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3428"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093"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157"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786"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川建村镇发〔2015〕365号；《中华人民共和国政府信息公开条例》，《〈关于全面推进政务公开工作的意见〉实施细则》，《国务院办公厅关于推进公共资源配置领域政府信息公开的意见》（国办发〔2017〕97号）</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sz w:val="22"/>
                <w:szCs w:val="22"/>
              </w:rPr>
            </w:pP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sz w:val="22"/>
                <w:szCs w:val="22"/>
              </w:rPr>
            </w:pP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sz w:val="22"/>
                <w:szCs w:val="22"/>
              </w:rPr>
            </w:pP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900" w:type="dxa"/>
            <w:vMerge w:val="continue"/>
            <w:vAlign w:val="center"/>
          </w:tcPr>
          <w:p>
            <w:pPr>
              <w:jc w:val="center"/>
              <w:rPr>
                <w:rFonts w:hint="eastAsia" w:ascii="仿宋_GB2312" w:hAnsi="仿宋_GB2312" w:eastAsia="仿宋_GB2312" w:cs="仿宋_GB2312"/>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widowControl/>
              <w:jc w:val="both"/>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18"/>
          <w:szCs w:val="1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bookmarkStart w:id="23" w:name="_Toc18347"/>
      <w:bookmarkStart w:id="24" w:name="_Toc28063"/>
      <w:bookmarkStart w:id="25" w:name="_Toc27992"/>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九</w:t>
      </w:r>
      <w:r>
        <w:rPr>
          <w:rFonts w:hint="eastAsia" w:ascii="仿宋_GB2312" w:hAnsi="仿宋_GB2312" w:eastAsia="仿宋_GB2312" w:cs="仿宋_GB2312"/>
          <w:b w:val="0"/>
          <w:bCs w:val="0"/>
          <w:color w:val="auto"/>
          <w:sz w:val="44"/>
          <w:szCs w:val="44"/>
        </w:rPr>
        <w:t>）涉农补贴领域基层政务公开标准目录</w:t>
      </w:r>
      <w:bookmarkEnd w:id="23"/>
      <w:bookmarkEnd w:id="24"/>
      <w:bookmarkEnd w:id="25"/>
    </w:p>
    <w:tbl>
      <w:tblPr>
        <w:tblStyle w:val="7"/>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  </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26" w:name="_Toc354"/>
      <w:bookmarkStart w:id="27" w:name="_Toc15965"/>
      <w:bookmarkStart w:id="28" w:name="_Toc8061"/>
      <w:r>
        <w:rPr>
          <w:rFonts w:hint="eastAsia" w:ascii="仿宋_GB2312" w:hAnsi="仿宋_GB2312" w:eastAsia="仿宋_GB2312" w:cs="仿宋_GB2312"/>
          <w:b w:val="0"/>
          <w:bCs w:val="0"/>
          <w:color w:val="auto"/>
          <w:sz w:val="44"/>
          <w:szCs w:val="44"/>
        </w:rPr>
        <w:t>（十）卫生健康领域基层政务公开标准目录</w:t>
      </w:r>
      <w:bookmarkEnd w:id="26"/>
      <w:bookmarkEnd w:id="27"/>
      <w:bookmarkEnd w:id="28"/>
    </w:p>
    <w:tbl>
      <w:tblPr>
        <w:tblStyle w:val="7"/>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《中华人民共和国人口和计划生育法》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生育</w:t>
            </w:r>
            <w:r>
              <w:rPr>
                <w:rFonts w:hint="eastAsia" w:ascii="仿宋_GB2312" w:hAnsi="仿宋_GB2312" w:eastAsia="仿宋_GB2312" w:cs="仿宋_GB2312"/>
                <w:color w:val="auto"/>
                <w:sz w:val="24"/>
                <w:szCs w:val="24"/>
                <w:lang w:eastAsia="zh-CN"/>
              </w:rPr>
              <w:t>登记服务</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w:t>
            </w:r>
            <w:r>
              <w:rPr>
                <w:rFonts w:hint="eastAsia" w:ascii="仿宋_GB2312" w:hAnsi="仿宋_GB2312" w:eastAsia="仿宋_GB2312" w:cs="仿宋_GB2312"/>
                <w:color w:val="auto"/>
                <w:sz w:val="24"/>
                <w:szCs w:val="24"/>
                <w:lang w:eastAsia="zh-CN"/>
              </w:rPr>
              <w:t>登记服务</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29" w:name="_Toc4087"/>
      <w:bookmarkStart w:id="30" w:name="_Toc12830"/>
      <w:bookmarkStart w:id="31" w:name="_Toc13306"/>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十一</w:t>
      </w:r>
      <w:r>
        <w:rPr>
          <w:rFonts w:hint="eastAsia" w:ascii="仿宋_GB2312" w:hAnsi="仿宋_GB2312" w:eastAsia="仿宋_GB2312" w:cs="仿宋_GB2312"/>
          <w:b w:val="0"/>
          <w:bCs w:val="0"/>
          <w:color w:val="auto"/>
          <w:sz w:val="44"/>
          <w:szCs w:val="44"/>
        </w:rPr>
        <w:t>）安全生产领域基层政务公开标准目录</w:t>
      </w:r>
      <w:bookmarkEnd w:id="29"/>
      <w:bookmarkEnd w:id="30"/>
      <w:bookmarkEnd w:id="31"/>
    </w:p>
    <w:tbl>
      <w:tblPr>
        <w:tblStyle w:val="7"/>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微信群</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44"/>
          <w:szCs w:val="44"/>
        </w:rPr>
        <w:br w:type="page"/>
      </w:r>
      <w:bookmarkStart w:id="32" w:name="_Toc30095"/>
      <w:bookmarkStart w:id="33" w:name="_Toc31030"/>
      <w:bookmarkStart w:id="34" w:name="_Toc27849"/>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十二</w:t>
      </w:r>
      <w:r>
        <w:rPr>
          <w:rFonts w:hint="eastAsia" w:ascii="仿宋_GB2312" w:hAnsi="仿宋_GB2312" w:eastAsia="仿宋_GB2312" w:cs="仿宋_GB2312"/>
          <w:b w:val="0"/>
          <w:bCs w:val="0"/>
          <w:color w:val="auto"/>
          <w:sz w:val="44"/>
          <w:szCs w:val="44"/>
        </w:rPr>
        <w:t>）救灾生产领域基层政务公开标准目录</w:t>
      </w:r>
      <w:bookmarkEnd w:id="32"/>
      <w:bookmarkEnd w:id="33"/>
      <w:bookmarkEnd w:id="34"/>
    </w:p>
    <w:tbl>
      <w:tblPr>
        <w:tblStyle w:val="7"/>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村务公开栏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微信群</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村务公开栏</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村务公开栏</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村务公开栏</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村务公开栏</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35" w:name="_Toc4197"/>
      <w:bookmarkStart w:id="36" w:name="_Toc5566"/>
      <w:bookmarkStart w:id="37" w:name="_Toc5596"/>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十三</w:t>
      </w:r>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乡村振兴</w:t>
      </w:r>
      <w:r>
        <w:rPr>
          <w:rFonts w:hint="eastAsia" w:ascii="仿宋_GB2312" w:hAnsi="仿宋_GB2312" w:eastAsia="仿宋_GB2312" w:cs="仿宋_GB2312"/>
          <w:b w:val="0"/>
          <w:bCs w:val="0"/>
          <w:color w:val="auto"/>
          <w:sz w:val="44"/>
          <w:szCs w:val="44"/>
        </w:rPr>
        <w:t>领域基层政务公开标准目录</w:t>
      </w:r>
      <w:bookmarkEnd w:id="35"/>
      <w:bookmarkEnd w:id="36"/>
      <w:bookmarkEnd w:id="37"/>
    </w:p>
    <w:tbl>
      <w:tblPr>
        <w:tblStyle w:val="7"/>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44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541"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1404"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4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80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252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29"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541"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404"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44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80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252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·中央及地方政府涉及巩固拓展脱贫攻坚成果同乡村振兴有效衔接领域的行政法规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·中央及地方政府涉及巩固拓展脱贫攻坚成果同乡村振兴有效衔接领域的规章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aps w:val="0"/>
                <w:color w:val="000000"/>
                <w:spacing w:val="0"/>
                <w:sz w:val="24"/>
                <w:szCs w:val="24"/>
                <w:shd w:val="clear" w:fill="FFFFFF"/>
              </w:rPr>
              <w:t>《中华人民共和国政府信息公开条例》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 xml:space="preserve">■川善治平台   </w:t>
            </w:r>
            <w:r>
              <w:rPr>
                <w:rFonts w:hint="eastAsia" w:ascii="仿宋_GB2312" w:hAnsi="仿宋_GB2312" w:eastAsia="仿宋_GB2312" w:cs="仿宋_GB2312"/>
                <w:color w:val="auto"/>
                <w:sz w:val="24"/>
                <w:szCs w:val="24"/>
              </w:rPr>
              <w:t xml:space="preserve">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·各级政府及部门涉及巩固拓展脱贫攻坚成果同乡村振兴有效衔接领域的规范性文件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aps w:val="0"/>
                <w:color w:val="000000"/>
                <w:spacing w:val="0"/>
                <w:sz w:val="24"/>
                <w:szCs w:val="24"/>
                <w:shd w:val="clear" w:fill="FFFFFF"/>
              </w:rPr>
              <w:t>《中华人民共和国政府信息公开条例》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 xml:space="preserve">■微信群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·涉及巩固拓展脱贫攻坚成果同乡村振兴有效衔接领域其他政策文件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aps w:val="0"/>
                <w:color w:val="000000"/>
                <w:spacing w:val="0"/>
                <w:sz w:val="24"/>
                <w:szCs w:val="24"/>
                <w:shd w:val="clear" w:fill="FFFFFF"/>
              </w:rPr>
              <w:t>《中华人民共和国政府信息公开条例》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■微信群</w:t>
            </w:r>
          </w:p>
          <w:p>
            <w:pPr>
              <w:widowControl/>
              <w:jc w:val="left"/>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监测对象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监测对象</w:t>
            </w:r>
            <w:r>
              <w:rPr>
                <w:rFonts w:hint="eastAsia" w:ascii="仿宋_GB2312" w:hAnsi="仿宋_GB2312" w:eastAsia="仿宋_GB2312" w:cs="仿宋_GB2312"/>
                <w:color w:val="auto"/>
                <w:sz w:val="24"/>
                <w:szCs w:val="24"/>
                <w:highlight w:val="none"/>
              </w:rPr>
              <w:t>识别</w:t>
            </w:r>
          </w:p>
        </w:tc>
        <w:tc>
          <w:tcPr>
            <w:tcW w:w="2541" w:type="dxa"/>
            <w:vAlign w:val="center"/>
          </w:tcPr>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·识别标准（国定标准、省定标准）</w:t>
            </w:r>
          </w:p>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·识别程序(</w:t>
            </w:r>
            <w:r>
              <w:rPr>
                <w:rFonts w:hint="eastAsia" w:ascii="仿宋_GB2312" w:hAnsi="仿宋_GB2312" w:eastAsia="仿宋_GB2312" w:cs="仿宋_GB2312"/>
                <w:color w:val="auto"/>
                <w:sz w:val="24"/>
                <w:szCs w:val="24"/>
                <w:highlight w:val="none"/>
                <w:lang w:eastAsia="zh-CN"/>
              </w:rPr>
              <w:t>风险研判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入户核查、信息比对、</w:t>
            </w:r>
            <w:r>
              <w:rPr>
                <w:rFonts w:hint="eastAsia" w:ascii="仿宋_GB2312" w:hAnsi="仿宋_GB2312" w:eastAsia="仿宋_GB2312" w:cs="仿宋_GB2312"/>
                <w:color w:val="auto"/>
                <w:sz w:val="24"/>
                <w:szCs w:val="24"/>
                <w:highlight w:val="none"/>
              </w:rPr>
              <w:t>评议</w:t>
            </w:r>
            <w:r>
              <w:rPr>
                <w:rFonts w:hint="eastAsia" w:ascii="仿宋_GB2312" w:hAnsi="仿宋_GB2312" w:eastAsia="仿宋_GB2312" w:cs="仿宋_GB2312"/>
                <w:color w:val="auto"/>
                <w:sz w:val="24"/>
                <w:szCs w:val="24"/>
                <w:highlight w:val="none"/>
                <w:lang w:eastAsia="zh-CN"/>
              </w:rPr>
              <w:t>公示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乡镇初审、县级审定</w:t>
            </w:r>
            <w:r>
              <w:rPr>
                <w:rFonts w:hint="eastAsia" w:ascii="仿宋_GB2312" w:hAnsi="仿宋_GB2312" w:eastAsia="仿宋_GB2312" w:cs="仿宋_GB2312"/>
                <w:color w:val="auto"/>
                <w:sz w:val="24"/>
                <w:szCs w:val="24"/>
                <w:highlight w:val="none"/>
              </w:rPr>
              <w:t>）</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·识别结果(</w:t>
            </w:r>
            <w:r>
              <w:rPr>
                <w:rFonts w:hint="eastAsia" w:ascii="仿宋_GB2312" w:hAnsi="仿宋_GB2312" w:eastAsia="仿宋_GB2312" w:cs="仿宋_GB2312"/>
                <w:color w:val="auto"/>
                <w:sz w:val="24"/>
                <w:szCs w:val="24"/>
                <w:highlight w:val="none"/>
                <w:lang w:eastAsia="zh-CN"/>
              </w:rPr>
              <w:t>监测户</w:t>
            </w:r>
            <w:r>
              <w:rPr>
                <w:rFonts w:hint="eastAsia" w:ascii="仿宋_GB2312" w:hAnsi="仿宋_GB2312" w:eastAsia="仿宋_GB2312" w:cs="仿宋_GB2312"/>
                <w:color w:val="auto"/>
                <w:sz w:val="24"/>
                <w:szCs w:val="24"/>
                <w:highlight w:val="none"/>
              </w:rPr>
              <w:t>名单、</w:t>
            </w:r>
            <w:r>
              <w:rPr>
                <w:rFonts w:hint="eastAsia" w:ascii="仿宋_GB2312" w:hAnsi="仿宋_GB2312" w:eastAsia="仿宋_GB2312" w:cs="仿宋_GB2312"/>
                <w:color w:val="auto"/>
                <w:sz w:val="24"/>
                <w:szCs w:val="24"/>
                <w:highlight w:val="none"/>
                <w:lang w:eastAsia="zh-CN"/>
              </w:rPr>
              <w:t>落实帮扶措施</w:t>
            </w:r>
            <w:r>
              <w:rPr>
                <w:rFonts w:hint="eastAsia" w:ascii="仿宋_GB2312" w:hAnsi="仿宋_GB2312" w:eastAsia="仿宋_GB2312" w:cs="仿宋_GB2312"/>
                <w:color w:val="auto"/>
                <w:sz w:val="24"/>
                <w:szCs w:val="24"/>
                <w:highlight w:val="none"/>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中央农村工作领导小组关于健全防止返贫动态监测和帮扶机制的指导意见</w:t>
            </w:r>
            <w:r>
              <w:rPr>
                <w:rFonts w:hint="eastAsia" w:ascii="仿宋_GB2312" w:hAnsi="仿宋_GB2312" w:eastAsia="仿宋_GB2312" w:cs="仿宋_GB2312"/>
                <w:color w:val="auto"/>
                <w:sz w:val="24"/>
                <w:szCs w:val="24"/>
                <w:highlight w:val="none"/>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微信群</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监测对象</w:t>
            </w:r>
            <w:r>
              <w:rPr>
                <w:rFonts w:hint="eastAsia" w:ascii="仿宋_GB2312" w:hAnsi="仿宋_GB2312" w:eastAsia="仿宋_GB2312" w:cs="仿宋_GB2312"/>
                <w:color w:val="auto"/>
                <w:sz w:val="24"/>
                <w:szCs w:val="24"/>
                <w:highlight w:val="none"/>
              </w:rPr>
              <w:t>退出</w:t>
            </w:r>
          </w:p>
        </w:tc>
        <w:tc>
          <w:tcPr>
            <w:tcW w:w="2541" w:type="dxa"/>
            <w:vAlign w:val="center"/>
          </w:tcPr>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·退出标准（人均纯收入稳定超过</w:t>
            </w:r>
            <w:r>
              <w:rPr>
                <w:rFonts w:hint="eastAsia" w:ascii="仿宋_GB2312" w:hAnsi="仿宋_GB2312" w:eastAsia="仿宋_GB2312" w:cs="仿宋_GB2312"/>
                <w:color w:val="auto"/>
                <w:sz w:val="24"/>
                <w:szCs w:val="24"/>
                <w:highlight w:val="none"/>
                <w:lang w:eastAsia="zh-CN"/>
              </w:rPr>
              <w:t>当地防止返贫监测收入标准</w:t>
            </w:r>
            <w:r>
              <w:rPr>
                <w:rFonts w:hint="eastAsia" w:ascii="仿宋_GB2312" w:hAnsi="仿宋_GB2312" w:eastAsia="仿宋_GB2312" w:cs="仿宋_GB2312"/>
                <w:color w:val="auto"/>
                <w:sz w:val="24"/>
                <w:szCs w:val="24"/>
                <w:highlight w:val="none"/>
              </w:rPr>
              <w:t>、实现“两不愁、三保障”）</w:t>
            </w:r>
          </w:p>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·退出程序（</w:t>
            </w:r>
            <w:r>
              <w:rPr>
                <w:rFonts w:hint="eastAsia" w:ascii="仿宋_GB2312" w:hAnsi="仿宋_GB2312" w:eastAsia="仿宋_GB2312" w:cs="仿宋_GB2312"/>
                <w:color w:val="auto"/>
                <w:sz w:val="24"/>
                <w:szCs w:val="24"/>
                <w:highlight w:val="none"/>
                <w:lang w:eastAsia="zh-CN"/>
              </w:rPr>
              <w:t>监测联系人风险消除初判、村级入户研判、村级评议公示、乡镇审核确认、县级复核审定）</w:t>
            </w:r>
            <w:r>
              <w:rPr>
                <w:rFonts w:hint="eastAsia" w:ascii="仿宋_GB2312" w:hAnsi="仿宋_GB2312" w:eastAsia="仿宋_GB2312" w:cs="仿宋_GB2312"/>
                <w:color w:val="auto"/>
                <w:sz w:val="24"/>
                <w:szCs w:val="24"/>
                <w:highlight w:val="none"/>
              </w:rPr>
              <w:t>）</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·退出结果（</w:t>
            </w:r>
            <w:r>
              <w:rPr>
                <w:rFonts w:hint="eastAsia" w:ascii="仿宋_GB2312" w:hAnsi="仿宋_GB2312" w:eastAsia="仿宋_GB2312" w:cs="仿宋_GB2312"/>
                <w:color w:val="auto"/>
                <w:sz w:val="24"/>
                <w:szCs w:val="24"/>
                <w:highlight w:val="none"/>
                <w:lang w:eastAsia="zh-CN"/>
              </w:rPr>
              <w:t>已消除风险监测对象名单</w:t>
            </w:r>
            <w:r>
              <w:rPr>
                <w:rFonts w:hint="eastAsia" w:ascii="仿宋_GB2312" w:hAnsi="仿宋_GB2312" w:eastAsia="仿宋_GB2312" w:cs="仿宋_GB2312"/>
                <w:color w:val="auto"/>
                <w:sz w:val="24"/>
                <w:szCs w:val="24"/>
                <w:highlight w:val="none"/>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四川省防止返贫动态监测和帮扶工作手册</w:t>
            </w:r>
            <w:r>
              <w:rPr>
                <w:rFonts w:hint="eastAsia" w:ascii="仿宋_GB2312" w:hAnsi="仿宋_GB2312" w:eastAsia="仿宋_GB2312" w:cs="仿宋_GB2312"/>
                <w:color w:val="auto"/>
                <w:sz w:val="24"/>
                <w:szCs w:val="24"/>
                <w:highlight w:val="none"/>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■微信群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衔接资金项目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涉及</w:t>
            </w:r>
            <w:r>
              <w:rPr>
                <w:rFonts w:hint="eastAsia" w:ascii="仿宋_GB2312" w:hAnsi="仿宋_GB2312" w:eastAsia="仿宋_GB2312" w:cs="仿宋_GB2312"/>
                <w:color w:val="auto"/>
                <w:sz w:val="24"/>
                <w:szCs w:val="24"/>
              </w:rPr>
              <w:t>村公示栏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衔接资金项目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·帮扶项目实施前情况（包括项目名称、资金来源、实施期限、绩效目标、实施单位及责任人、受益对象和联农带农机制等）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·帮扶项目实施后情况（包括资金使用、项目实施结果、检查验收结果、绩效目标实现情况等）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hint="eastAsia" w:ascii="仿宋_GB2312" w:hAnsi="仿宋_GB2312" w:eastAsia="仿宋_GB2312" w:cs="仿宋_GB2312"/>
          <w:color w:val="auto"/>
          <w:sz w:val="28"/>
          <w:szCs w:val="28"/>
        </w:rPr>
      </w:pPr>
    </w:p>
    <w:p>
      <w:pPr>
        <w:jc w:val="left"/>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rPr>
      </w:pPr>
    </w:p>
    <w:p>
      <w:pPr>
        <w:rPr>
          <w:rFonts w:hint="eastAsia" w:ascii="仿宋_GB2312" w:hAnsi="仿宋_GB2312" w:eastAsia="仿宋_GB2312" w:cs="仿宋_GB2312"/>
          <w:color w:val="auto"/>
        </w:rPr>
      </w:pPr>
    </w:p>
    <w:p>
      <w:pPr>
        <w:pStyle w:val="2"/>
        <w:rPr>
          <w:rFonts w:hint="eastAsia" w:ascii="仿宋_GB2312" w:hAnsi="仿宋_GB2312" w:eastAsia="仿宋_GB2312" w:cs="仿宋_GB2312"/>
          <w:color w:val="auto"/>
        </w:rPr>
      </w:pPr>
    </w:p>
    <w:p>
      <w:pPr>
        <w:pStyle w:val="3"/>
        <w:numPr>
          <w:ilvl w:val="0"/>
          <w:numId w:val="0"/>
        </w:numPr>
        <w:spacing w:before="0" w:after="0" w:line="240" w:lineRule="auto"/>
        <w:jc w:val="center"/>
        <w:rPr>
          <w:rFonts w:hint="eastAsia" w:ascii="仿宋_GB2312" w:hAnsi="仿宋_GB2312" w:eastAsia="仿宋_GB2312" w:cs="仿宋_GB2312"/>
          <w:color w:val="auto"/>
        </w:rPr>
      </w:pPr>
      <w:bookmarkStart w:id="38" w:name="_Toc29527"/>
      <w:r>
        <w:rPr>
          <w:rFonts w:hint="eastAsia" w:ascii="仿宋_GB2312" w:hAnsi="仿宋_GB2312" w:eastAsia="仿宋_GB2312" w:cs="仿宋_GB2312"/>
          <w:b w:val="0"/>
          <w:bCs w:val="0"/>
          <w:color w:val="auto"/>
          <w:lang w:eastAsia="zh-CN"/>
        </w:rPr>
        <w:t>（十四）</w:t>
      </w:r>
      <w:r>
        <w:rPr>
          <w:rFonts w:hint="eastAsia" w:ascii="仿宋_GB2312" w:hAnsi="仿宋_GB2312" w:eastAsia="仿宋_GB2312" w:cs="仿宋_GB2312"/>
          <w:b w:val="0"/>
          <w:bCs w:val="0"/>
          <w:color w:val="auto"/>
        </w:rPr>
        <w:t>义务教育领域基层政务公开标准目录</w:t>
      </w:r>
      <w:bookmarkEnd w:id="38"/>
    </w:p>
    <w:tbl>
      <w:tblPr>
        <w:tblStyle w:val="7"/>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序号</w:t>
            </w:r>
          </w:p>
        </w:tc>
        <w:tc>
          <w:tcPr>
            <w:tcW w:w="1828" w:type="dxa"/>
            <w:gridSpan w:val="2"/>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公开事项</w:t>
            </w:r>
          </w:p>
        </w:tc>
        <w:tc>
          <w:tcPr>
            <w:tcW w:w="2359"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公开内容（要素）</w:t>
            </w:r>
          </w:p>
        </w:tc>
        <w:tc>
          <w:tcPr>
            <w:tcW w:w="2040"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公开依据</w:t>
            </w:r>
          </w:p>
        </w:tc>
        <w:tc>
          <w:tcPr>
            <w:tcW w:w="1350"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公开时限</w:t>
            </w:r>
          </w:p>
        </w:tc>
        <w:tc>
          <w:tcPr>
            <w:tcW w:w="1364"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公开主体</w:t>
            </w:r>
          </w:p>
        </w:tc>
        <w:tc>
          <w:tcPr>
            <w:tcW w:w="2250"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公开渠道和载体</w:t>
            </w:r>
          </w:p>
        </w:tc>
        <w:tc>
          <w:tcPr>
            <w:tcW w:w="1677" w:type="dxa"/>
            <w:gridSpan w:val="2"/>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公开对象</w:t>
            </w:r>
          </w:p>
        </w:tc>
        <w:tc>
          <w:tcPr>
            <w:tcW w:w="1655" w:type="dxa"/>
            <w:gridSpan w:val="2"/>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778" w:type="dxa"/>
            <w:shd w:val="clear" w:color="auto" w:fill="auto"/>
            <w:vAlign w:val="center"/>
          </w:tcPr>
          <w:p>
            <w:pPr>
              <w:widowControl/>
              <w:jc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一级</w:t>
            </w:r>
          </w:p>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事项</w:t>
            </w:r>
          </w:p>
        </w:tc>
        <w:tc>
          <w:tcPr>
            <w:tcW w:w="1050" w:type="dxa"/>
            <w:shd w:val="clear" w:color="auto" w:fill="auto"/>
            <w:vAlign w:val="center"/>
          </w:tcPr>
          <w:p>
            <w:pPr>
              <w:widowControl/>
              <w:jc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二级</w:t>
            </w:r>
          </w:p>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事项</w:t>
            </w:r>
          </w:p>
        </w:tc>
        <w:tc>
          <w:tcPr>
            <w:tcW w:w="2359"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2040"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1350"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1364"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2250"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955"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全社会</w:t>
            </w:r>
          </w:p>
        </w:tc>
        <w:tc>
          <w:tcPr>
            <w:tcW w:w="722"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特定群众</w:t>
            </w:r>
          </w:p>
        </w:tc>
        <w:tc>
          <w:tcPr>
            <w:tcW w:w="737"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主动</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w:t>
            </w:r>
          </w:p>
        </w:tc>
        <w:tc>
          <w:tcPr>
            <w:tcW w:w="778"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both"/>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bidi="ar"/>
              </w:rPr>
              <w:t>羊木</w:t>
            </w:r>
            <w:r>
              <w:rPr>
                <w:rFonts w:hint="eastAsia" w:ascii="仿宋_GB2312" w:hAnsi="仿宋_GB2312" w:eastAsia="仿宋_GB2312" w:cs="仿宋_GB2312"/>
                <w:color w:val="auto"/>
                <w:sz w:val="24"/>
                <w:szCs w:val="24"/>
                <w:lang w:bidi="ar"/>
              </w:rPr>
              <w:t>镇</w:t>
            </w: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hint="eastAsia" w:ascii="仿宋_GB2312" w:hAnsi="仿宋_GB2312" w:eastAsia="仿宋_GB2312" w:cs="仿宋_GB2312"/>
                <w:color w:val="auto"/>
                <w:sz w:val="20"/>
                <w:szCs w:val="20"/>
              </w:rPr>
            </w:pPr>
          </w:p>
        </w:tc>
        <w:tc>
          <w:tcPr>
            <w:tcW w:w="955" w:type="dxa"/>
            <w:shd w:val="clear" w:color="auto" w:fill="auto"/>
            <w:vAlign w:val="center"/>
          </w:tcPr>
          <w:p>
            <w:pPr>
              <w:widowControl/>
              <w:jc w:val="center"/>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w:t>
            </w:r>
          </w:p>
        </w:tc>
        <w:tc>
          <w:tcPr>
            <w:tcW w:w="722" w:type="dxa"/>
            <w:shd w:val="clear" w:color="auto" w:fill="auto"/>
            <w:vAlign w:val="center"/>
          </w:tcPr>
          <w:p>
            <w:pPr>
              <w:jc w:val="center"/>
              <w:rPr>
                <w:rFonts w:hint="eastAsia" w:ascii="仿宋_GB2312" w:hAnsi="仿宋_GB2312" w:eastAsia="仿宋_GB2312" w:cs="仿宋_GB2312"/>
                <w:color w:val="auto"/>
                <w:kern w:val="0"/>
                <w:sz w:val="22"/>
                <w:lang w:bidi="ar"/>
              </w:rPr>
            </w:pPr>
          </w:p>
        </w:tc>
        <w:tc>
          <w:tcPr>
            <w:tcW w:w="737" w:type="dxa"/>
            <w:shd w:val="clear" w:color="auto" w:fill="auto"/>
            <w:vAlign w:val="center"/>
          </w:tcPr>
          <w:p>
            <w:pPr>
              <w:widowControl/>
              <w:jc w:val="center"/>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2"/>
                <w:lang w:bidi="ar"/>
              </w:rPr>
            </w:pPr>
          </w:p>
        </w:tc>
      </w:tr>
    </w:tbl>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3"/>
        <w:spacing w:before="0" w:after="0" w:line="240" w:lineRule="auto"/>
        <w:jc w:val="center"/>
        <w:rPr>
          <w:rFonts w:hint="eastAsia" w:ascii="仿宋_GB2312" w:hAnsi="仿宋_GB2312" w:eastAsia="仿宋_GB2312" w:cs="仿宋_GB2312"/>
          <w:b w:val="0"/>
          <w:bCs w:val="0"/>
          <w:color w:val="auto"/>
        </w:rPr>
      </w:pPr>
      <w:bookmarkStart w:id="39" w:name="_Toc26383"/>
      <w:r>
        <w:rPr>
          <w:rFonts w:hint="eastAsia" w:ascii="仿宋_GB2312" w:hAnsi="仿宋_GB2312" w:eastAsia="仿宋_GB2312" w:cs="仿宋_GB2312"/>
          <w:b w:val="0"/>
          <w:bCs w:val="0"/>
          <w:color w:val="auto"/>
        </w:rPr>
        <w:t>（十</w:t>
      </w:r>
      <w:r>
        <w:rPr>
          <w:rFonts w:hint="eastAsia" w:ascii="仿宋_GB2312" w:hAnsi="仿宋_GB2312" w:eastAsia="仿宋_GB2312" w:cs="仿宋_GB2312"/>
          <w:b w:val="0"/>
          <w:bCs w:val="0"/>
          <w:color w:val="auto"/>
          <w:lang w:eastAsia="zh-CN"/>
        </w:rPr>
        <w:t>五</w:t>
      </w:r>
      <w:r>
        <w:rPr>
          <w:rFonts w:hint="eastAsia" w:ascii="仿宋_GB2312" w:hAnsi="仿宋_GB2312" w:eastAsia="仿宋_GB2312" w:cs="仿宋_GB2312"/>
          <w:b w:val="0"/>
          <w:bCs w:val="0"/>
          <w:color w:val="auto"/>
        </w:rPr>
        <w:t>）市政服务领域基层政务公开标准目录</w:t>
      </w:r>
      <w:bookmarkEnd w:id="39"/>
    </w:p>
    <w:tbl>
      <w:tblPr>
        <w:tblStyle w:val="7"/>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1165"/>
        <w:gridCol w:w="1384"/>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2141" w:type="dxa"/>
            <w:gridSpan w:val="2"/>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2595"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33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645"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时限</w:t>
            </w:r>
          </w:p>
        </w:tc>
        <w:tc>
          <w:tcPr>
            <w:tcW w:w="1165"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主体</w:t>
            </w:r>
          </w:p>
        </w:tc>
        <w:tc>
          <w:tcPr>
            <w:tcW w:w="138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载体</w:t>
            </w:r>
          </w:p>
        </w:tc>
        <w:tc>
          <w:tcPr>
            <w:tcW w:w="1214" w:type="dxa"/>
            <w:gridSpan w:val="2"/>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350" w:type="dxa"/>
            <w:gridSpan w:val="2"/>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694"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事项</w:t>
            </w:r>
          </w:p>
        </w:tc>
        <w:tc>
          <w:tcPr>
            <w:tcW w:w="1447"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二级事项</w:t>
            </w:r>
          </w:p>
        </w:tc>
        <w:tc>
          <w:tcPr>
            <w:tcW w:w="2595"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2332"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1645"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1165"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1384"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532"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社</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会</w:t>
            </w:r>
          </w:p>
        </w:tc>
        <w:tc>
          <w:tcPr>
            <w:tcW w:w="682"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451"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899"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540"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1</w:t>
            </w:r>
          </w:p>
        </w:tc>
        <w:tc>
          <w:tcPr>
            <w:tcW w:w="694"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447"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燃气管理</w:t>
            </w:r>
          </w:p>
          <w:p>
            <w:pPr>
              <w:spacing w:line="240" w:lineRule="exact"/>
              <w:jc w:val="center"/>
              <w:rPr>
                <w:rFonts w:hint="eastAsia" w:ascii="仿宋_GB2312" w:hAnsi="仿宋_GB2312" w:eastAsia="仿宋_GB2312" w:cs="仿宋_GB2312"/>
                <w:color w:val="auto"/>
                <w:sz w:val="24"/>
                <w:szCs w:val="24"/>
              </w:rPr>
            </w:pPr>
          </w:p>
        </w:tc>
        <w:tc>
          <w:tcPr>
            <w:tcW w:w="2595"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瓶装燃气、管道燃气服务企业名单、联系人、咨询电话等。</w:t>
            </w:r>
          </w:p>
        </w:tc>
        <w:tc>
          <w:tcPr>
            <w:tcW w:w="2332" w:type="dxa"/>
            <w:vMerge w:val="restart"/>
            <w:shd w:val="clear" w:color="auto" w:fill="auto"/>
            <w:vAlign w:val="center"/>
          </w:tcPr>
          <w:p>
            <w:pPr>
              <w:spacing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p>
            <w:pPr>
              <w:spacing w:line="240" w:lineRule="exact"/>
              <w:rPr>
                <w:rFonts w:hint="eastAsia" w:ascii="仿宋_GB2312" w:hAnsi="仿宋_GB2312" w:eastAsia="仿宋_GB2312" w:cs="仿宋_GB2312"/>
                <w:color w:val="auto"/>
                <w:sz w:val="24"/>
                <w:szCs w:val="24"/>
              </w:rPr>
            </w:pPr>
          </w:p>
        </w:tc>
        <w:tc>
          <w:tcPr>
            <w:tcW w:w="1645"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p>
            <w:pPr>
              <w:spacing w:line="240" w:lineRule="exact"/>
              <w:jc w:val="center"/>
              <w:rPr>
                <w:rFonts w:hint="eastAsia" w:ascii="仿宋_GB2312" w:hAnsi="仿宋_GB2312" w:eastAsia="仿宋_GB2312" w:cs="仿宋_GB2312"/>
                <w:color w:val="auto"/>
                <w:sz w:val="24"/>
                <w:szCs w:val="24"/>
              </w:rPr>
            </w:pPr>
          </w:p>
        </w:tc>
        <w:tc>
          <w:tcPr>
            <w:tcW w:w="1165"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w:t>
            </w:r>
            <w:r>
              <w:rPr>
                <w:rFonts w:hint="eastAsia" w:ascii="仿宋_GB2312" w:hAnsi="仿宋_GB2312" w:eastAsia="仿宋_GB2312" w:cs="仿宋_GB2312"/>
                <w:color w:val="auto"/>
                <w:sz w:val="24"/>
                <w:szCs w:val="24"/>
                <w:lang w:eastAsia="zh-CN"/>
              </w:rPr>
              <w:t>政</w:t>
            </w:r>
            <w:r>
              <w:rPr>
                <w:rFonts w:hint="eastAsia" w:ascii="仿宋_GB2312" w:hAnsi="仿宋_GB2312" w:eastAsia="仿宋_GB2312" w:cs="仿宋_GB2312"/>
                <w:color w:val="auto"/>
                <w:sz w:val="24"/>
                <w:szCs w:val="24"/>
              </w:rPr>
              <w:t>府</w:t>
            </w:r>
          </w:p>
        </w:tc>
        <w:tc>
          <w:tcPr>
            <w:tcW w:w="1384" w:type="dxa"/>
            <w:vMerge w:val="restart"/>
            <w:shd w:val="clear" w:color="auto" w:fill="auto"/>
            <w:vAlign w:val="center"/>
          </w:tcPr>
          <w:p>
            <w:pPr>
              <w:spacing w:line="2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53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68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c>
          <w:tcPr>
            <w:tcW w:w="451"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899"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2</w:t>
            </w:r>
          </w:p>
        </w:tc>
        <w:tc>
          <w:tcPr>
            <w:tcW w:w="694" w:type="dxa"/>
            <w:vMerge w:val="continue"/>
            <w:shd w:val="clear" w:color="auto" w:fill="auto"/>
            <w:vAlign w:val="center"/>
          </w:tcPr>
          <w:p>
            <w:pPr>
              <w:spacing w:line="220" w:lineRule="exact"/>
              <w:jc w:val="center"/>
              <w:rPr>
                <w:rFonts w:hint="eastAsia" w:ascii="仿宋_GB2312" w:hAnsi="仿宋_GB2312" w:eastAsia="仿宋_GB2312" w:cs="仿宋_GB2312"/>
                <w:color w:val="auto"/>
                <w:sz w:val="24"/>
                <w:szCs w:val="24"/>
              </w:rPr>
            </w:pPr>
          </w:p>
        </w:tc>
        <w:tc>
          <w:tcPr>
            <w:tcW w:w="1447"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259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2332" w:type="dxa"/>
            <w:vMerge w:val="continue"/>
            <w:shd w:val="clear" w:color="auto" w:fill="auto"/>
            <w:vAlign w:val="center"/>
          </w:tcPr>
          <w:p>
            <w:pPr>
              <w:spacing w:line="240" w:lineRule="exact"/>
              <w:rPr>
                <w:rFonts w:hint="eastAsia" w:ascii="仿宋_GB2312" w:hAnsi="仿宋_GB2312" w:eastAsia="仿宋_GB2312" w:cs="仿宋_GB2312"/>
                <w:color w:val="auto"/>
                <w:sz w:val="24"/>
                <w:szCs w:val="24"/>
              </w:rPr>
            </w:pPr>
          </w:p>
        </w:tc>
        <w:tc>
          <w:tcPr>
            <w:tcW w:w="164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116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1384" w:type="dxa"/>
            <w:vMerge w:val="continue"/>
            <w:shd w:val="clear" w:color="auto" w:fill="auto"/>
            <w:vAlign w:val="center"/>
          </w:tcPr>
          <w:p>
            <w:pPr>
              <w:spacing w:line="240" w:lineRule="exact"/>
              <w:rPr>
                <w:rFonts w:hint="eastAsia" w:ascii="仿宋_GB2312" w:hAnsi="仿宋_GB2312" w:eastAsia="仿宋_GB2312" w:cs="仿宋_GB2312"/>
                <w:color w:val="auto"/>
                <w:sz w:val="24"/>
                <w:szCs w:val="24"/>
              </w:rPr>
            </w:pPr>
          </w:p>
        </w:tc>
        <w:tc>
          <w:tcPr>
            <w:tcW w:w="53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68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c>
          <w:tcPr>
            <w:tcW w:w="451"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899"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r>
    </w:tbl>
    <w:p>
      <w:pPr>
        <w:rPr>
          <w:rFonts w:hint="eastAsia" w:ascii="仿宋_GB2312" w:hAnsi="仿宋_GB2312" w:eastAsia="仿宋_GB2312" w:cs="仿宋_GB2312"/>
          <w:color w:val="auto"/>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rPr>
          <w:rFonts w:hint="eastAsia"/>
        </w:rPr>
      </w:pPr>
    </w:p>
    <w:p>
      <w:pPr>
        <w:pStyle w:val="3"/>
        <w:spacing w:before="0" w:after="0" w:line="240" w:lineRule="auto"/>
        <w:jc w:val="center"/>
        <w:rPr>
          <w:rFonts w:hint="eastAsia" w:ascii="仿宋_GB2312" w:hAnsi="仿宋_GB2312" w:eastAsia="仿宋_GB2312" w:cs="仿宋_GB2312"/>
          <w:b w:val="0"/>
          <w:bCs w:val="0"/>
          <w:color w:val="auto"/>
        </w:rPr>
      </w:pPr>
      <w:bookmarkStart w:id="40" w:name="_Toc20883"/>
      <w:r>
        <w:rPr>
          <w:rFonts w:hint="eastAsia" w:ascii="仿宋_GB2312" w:hAnsi="仿宋_GB2312" w:eastAsia="仿宋_GB2312" w:cs="仿宋_GB2312"/>
          <w:b w:val="0"/>
          <w:bCs w:val="0"/>
          <w:color w:val="auto"/>
        </w:rPr>
        <w:t>（</w:t>
      </w:r>
      <w:r>
        <w:rPr>
          <w:rFonts w:hint="eastAsia" w:ascii="仿宋_GB2312" w:hAnsi="仿宋_GB2312" w:eastAsia="仿宋_GB2312" w:cs="仿宋_GB2312"/>
          <w:b w:val="0"/>
          <w:bCs w:val="0"/>
          <w:color w:val="auto"/>
          <w:lang w:eastAsia="zh-CN"/>
        </w:rPr>
        <w:t>十六</w:t>
      </w:r>
      <w:r>
        <w:rPr>
          <w:rFonts w:hint="eastAsia" w:ascii="仿宋_GB2312" w:hAnsi="仿宋_GB2312" w:eastAsia="仿宋_GB2312" w:cs="仿宋_GB2312"/>
          <w:b w:val="0"/>
          <w:bCs w:val="0"/>
          <w:color w:val="auto"/>
        </w:rPr>
        <w:t>）食品药品监督领域基层政务公开标准目录</w:t>
      </w:r>
      <w:bookmarkEnd w:id="40"/>
    </w:p>
    <w:tbl>
      <w:tblPr>
        <w:tblStyle w:val="7"/>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1620"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198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198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26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144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25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公开渠道和载体</w:t>
            </w:r>
          </w:p>
        </w:tc>
        <w:tc>
          <w:tcPr>
            <w:tcW w:w="1429"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一级事项</w:t>
            </w:r>
          </w:p>
        </w:tc>
        <w:tc>
          <w:tcPr>
            <w:tcW w:w="90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二级事项</w:t>
            </w:r>
          </w:p>
        </w:tc>
        <w:tc>
          <w:tcPr>
            <w:tcW w:w="1980" w:type="dxa"/>
            <w:vMerge w:val="continue"/>
            <w:vAlign w:val="center"/>
          </w:tcPr>
          <w:p>
            <w:pPr>
              <w:widowControl/>
              <w:jc w:val="left"/>
              <w:rPr>
                <w:rFonts w:hint="eastAsia" w:ascii="仿宋_GB2312" w:hAnsi="仿宋_GB2312" w:eastAsia="仿宋_GB2312" w:cs="仿宋_GB2312"/>
                <w:color w:val="auto"/>
                <w:kern w:val="0"/>
                <w:sz w:val="22"/>
              </w:rPr>
            </w:pPr>
          </w:p>
        </w:tc>
        <w:tc>
          <w:tcPr>
            <w:tcW w:w="1980" w:type="dxa"/>
            <w:vMerge w:val="continue"/>
            <w:vAlign w:val="center"/>
          </w:tcPr>
          <w:p>
            <w:pPr>
              <w:widowControl/>
              <w:jc w:val="left"/>
              <w:rPr>
                <w:rFonts w:hint="eastAsia" w:ascii="仿宋_GB2312" w:hAnsi="仿宋_GB2312" w:eastAsia="仿宋_GB2312" w:cs="仿宋_GB2312"/>
                <w:color w:val="auto"/>
                <w:kern w:val="0"/>
                <w:sz w:val="22"/>
              </w:rPr>
            </w:pPr>
          </w:p>
        </w:tc>
        <w:tc>
          <w:tcPr>
            <w:tcW w:w="1260" w:type="dxa"/>
            <w:vMerge w:val="continue"/>
            <w:vAlign w:val="center"/>
          </w:tcPr>
          <w:p>
            <w:pPr>
              <w:widowControl/>
              <w:jc w:val="left"/>
              <w:rPr>
                <w:rFonts w:hint="eastAsia" w:ascii="仿宋_GB2312" w:hAnsi="仿宋_GB2312" w:eastAsia="仿宋_GB2312" w:cs="仿宋_GB2312"/>
                <w:color w:val="auto"/>
                <w:kern w:val="0"/>
                <w:sz w:val="22"/>
              </w:rPr>
            </w:pPr>
          </w:p>
        </w:tc>
        <w:tc>
          <w:tcPr>
            <w:tcW w:w="1440" w:type="dxa"/>
            <w:vMerge w:val="continue"/>
            <w:vAlign w:val="center"/>
          </w:tcPr>
          <w:p>
            <w:pPr>
              <w:widowControl/>
              <w:jc w:val="left"/>
              <w:rPr>
                <w:rFonts w:hint="eastAsia" w:ascii="仿宋_GB2312" w:hAnsi="仿宋_GB2312" w:eastAsia="仿宋_GB2312" w:cs="仿宋_GB2312"/>
                <w:color w:val="auto"/>
                <w:kern w:val="0"/>
                <w:sz w:val="22"/>
              </w:rPr>
            </w:pPr>
          </w:p>
        </w:tc>
        <w:tc>
          <w:tcPr>
            <w:tcW w:w="2520" w:type="dxa"/>
            <w:vMerge w:val="continue"/>
            <w:vAlign w:val="center"/>
          </w:tcPr>
          <w:p>
            <w:pPr>
              <w:widowControl/>
              <w:jc w:val="left"/>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食品安全应急处置</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应急组织机构及职责、应急保障、监测预警、应急响应、热点问题落实情况等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《政府信息公开条例》《关于全面推进政务公开工作的意见》 </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工商所政务公开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2</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食品药品投诉举报管理制度和政策、受理投诉举报的途径等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《政府信息公开条例》、《关于全面推进政务公开工作的意见》《食品药品投诉举报管理办法》</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工商所政务公开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3</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食品用药安全宣传活动</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活动时间、活动地点、活动形式、活动主题和内容等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default"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20"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0"/>
                <w:szCs w:val="20"/>
              </w:rPr>
            </w:pPr>
          </w:p>
        </w:tc>
      </w:tr>
    </w:tbl>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3"/>
        <w:spacing w:before="0" w:after="0" w:line="240" w:lineRule="auto"/>
        <w:jc w:val="center"/>
        <w:rPr>
          <w:rFonts w:hint="eastAsia" w:ascii="仿宋_GB2312" w:hAnsi="仿宋_GB2312" w:eastAsia="仿宋_GB2312" w:cs="仿宋_GB2312"/>
          <w:b w:val="0"/>
          <w:bCs w:val="0"/>
          <w:color w:val="auto"/>
        </w:rPr>
      </w:pPr>
      <w:bookmarkStart w:id="41" w:name="_Toc16241"/>
      <w:r>
        <w:rPr>
          <w:rFonts w:hint="eastAsia" w:ascii="仿宋_GB2312" w:hAnsi="仿宋_GB2312" w:eastAsia="仿宋_GB2312" w:cs="仿宋_GB2312"/>
          <w:b w:val="0"/>
          <w:bCs w:val="0"/>
          <w:color w:val="auto"/>
        </w:rPr>
        <w:t>（十</w:t>
      </w:r>
      <w:r>
        <w:rPr>
          <w:rFonts w:hint="eastAsia" w:ascii="仿宋_GB2312" w:hAnsi="仿宋_GB2312" w:eastAsia="仿宋_GB2312" w:cs="仿宋_GB2312"/>
          <w:b w:val="0"/>
          <w:bCs w:val="0"/>
          <w:color w:val="auto"/>
          <w:lang w:eastAsia="zh-CN"/>
        </w:rPr>
        <w:t>七</w:t>
      </w:r>
      <w:r>
        <w:rPr>
          <w:rFonts w:hint="eastAsia" w:ascii="仿宋_GB2312" w:hAnsi="仿宋_GB2312" w:eastAsia="仿宋_GB2312" w:cs="仿宋_GB2312"/>
          <w:b w:val="0"/>
          <w:bCs w:val="0"/>
          <w:color w:val="auto"/>
        </w:rPr>
        <w:t>）自然资源领域基层政务公开标准目录</w:t>
      </w:r>
      <w:bookmarkEnd w:id="41"/>
    </w:p>
    <w:tbl>
      <w:tblPr>
        <w:tblStyle w:val="7"/>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2332" w:type="dxa"/>
            <w:gridSpan w:val="2"/>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2509"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086"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541"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1227"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1637"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公开渠道和载体</w:t>
            </w:r>
          </w:p>
        </w:tc>
        <w:tc>
          <w:tcPr>
            <w:tcW w:w="1429" w:type="dxa"/>
            <w:gridSpan w:val="2"/>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968"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一级事项</w:t>
            </w:r>
          </w:p>
        </w:tc>
        <w:tc>
          <w:tcPr>
            <w:tcW w:w="1364"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w:t>
            </w:r>
          </w:p>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事项</w:t>
            </w:r>
          </w:p>
        </w:tc>
        <w:tc>
          <w:tcPr>
            <w:tcW w:w="2509"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2086"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1541"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1227"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1637"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68"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国土空间规划</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w:t>
            </w:r>
          </w:p>
        </w:tc>
        <w:tc>
          <w:tcPr>
            <w:tcW w:w="1364"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w:t>
            </w:r>
          </w:p>
        </w:tc>
        <w:tc>
          <w:tcPr>
            <w:tcW w:w="2509"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批前公示：规划草案 (涉密信息、法律法规 规定不予公开的除外)</w:t>
            </w:r>
          </w:p>
        </w:tc>
        <w:tc>
          <w:tcPr>
            <w:tcW w:w="2086"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《土地管理法》《城乡规划 法》《政府信息公开条例》</w:t>
            </w:r>
          </w:p>
        </w:tc>
        <w:tc>
          <w:tcPr>
            <w:tcW w:w="1541"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批前公示时间不 得少于 30 日</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2"/>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p>
        </w:tc>
      </w:tr>
    </w:tbl>
    <w:p>
      <w:pPr>
        <w:rPr>
          <w:rFonts w:hint="eastAsia" w:ascii="仿宋_GB2312" w:hAnsi="仿宋_GB2312" w:eastAsia="仿宋_GB2312" w:cs="仿宋_GB2312"/>
          <w:color w:val="auto"/>
        </w:rPr>
      </w:pPr>
    </w:p>
    <w:p>
      <w:pPr>
        <w:rPr>
          <w:rFonts w:hint="eastAsia" w:ascii="仿宋_GB2312" w:hAnsi="仿宋_GB2312" w:eastAsia="仿宋_GB2312" w:cs="仿宋_GB2312"/>
        </w:rPr>
      </w:pPr>
    </w:p>
    <w:p>
      <w:pPr>
        <w:rPr>
          <w:rFonts w:hint="eastAsia" w:ascii="仿宋_GB2312" w:hAnsi="仿宋_GB2312" w:eastAsia="仿宋_GB2312" w:cs="仿宋_GB2312"/>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Fonts w:hint="eastAsia"/>
      </w:rPr>
    </w:pPr>
  </w:p>
  <w:p>
    <w:pPr>
      <w:pStyle w:val="2"/>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2"/>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jE4YTExNGE4ZmM4MjJjODg2YTA3OGVlMzk1OTMifQ=="/>
  </w:docVars>
  <w:rsids>
    <w:rsidRoot w:val="17977D9A"/>
    <w:rsid w:val="020C76FC"/>
    <w:rsid w:val="04267B2D"/>
    <w:rsid w:val="04EB0807"/>
    <w:rsid w:val="05986704"/>
    <w:rsid w:val="06C75E70"/>
    <w:rsid w:val="077F6D90"/>
    <w:rsid w:val="0872408A"/>
    <w:rsid w:val="09E82BFE"/>
    <w:rsid w:val="0A773AA0"/>
    <w:rsid w:val="0AE562A3"/>
    <w:rsid w:val="0BD672FD"/>
    <w:rsid w:val="0CA24A03"/>
    <w:rsid w:val="0E140D1B"/>
    <w:rsid w:val="0FEF6BDF"/>
    <w:rsid w:val="10F51F65"/>
    <w:rsid w:val="114875E1"/>
    <w:rsid w:val="119D7928"/>
    <w:rsid w:val="1246606B"/>
    <w:rsid w:val="12577C27"/>
    <w:rsid w:val="128D3DF0"/>
    <w:rsid w:val="154A0419"/>
    <w:rsid w:val="164E0CC3"/>
    <w:rsid w:val="17977D9A"/>
    <w:rsid w:val="180E3101"/>
    <w:rsid w:val="18915449"/>
    <w:rsid w:val="19684CC1"/>
    <w:rsid w:val="1B777ECA"/>
    <w:rsid w:val="1B8251E0"/>
    <w:rsid w:val="1C8E406A"/>
    <w:rsid w:val="1E7769E3"/>
    <w:rsid w:val="1EEE44F6"/>
    <w:rsid w:val="204A4111"/>
    <w:rsid w:val="2118186F"/>
    <w:rsid w:val="22436110"/>
    <w:rsid w:val="23300063"/>
    <w:rsid w:val="23BC14BC"/>
    <w:rsid w:val="23C35A13"/>
    <w:rsid w:val="2492207B"/>
    <w:rsid w:val="24E16D01"/>
    <w:rsid w:val="2ACC21F5"/>
    <w:rsid w:val="2D6330B7"/>
    <w:rsid w:val="2D8E231A"/>
    <w:rsid w:val="2DA61BA5"/>
    <w:rsid w:val="2DDF5008"/>
    <w:rsid w:val="2E3205A4"/>
    <w:rsid w:val="2F4F0435"/>
    <w:rsid w:val="32111337"/>
    <w:rsid w:val="32CD7482"/>
    <w:rsid w:val="35D27D3E"/>
    <w:rsid w:val="363970E8"/>
    <w:rsid w:val="37DC35C6"/>
    <w:rsid w:val="38345799"/>
    <w:rsid w:val="38632173"/>
    <w:rsid w:val="38746C80"/>
    <w:rsid w:val="39B07122"/>
    <w:rsid w:val="39CB1BC4"/>
    <w:rsid w:val="3B7E3D60"/>
    <w:rsid w:val="3DA340AD"/>
    <w:rsid w:val="3DFF97BA"/>
    <w:rsid w:val="3F0B5072"/>
    <w:rsid w:val="4118011A"/>
    <w:rsid w:val="4218129D"/>
    <w:rsid w:val="438A5736"/>
    <w:rsid w:val="439F71AD"/>
    <w:rsid w:val="449826C4"/>
    <w:rsid w:val="45CF48FD"/>
    <w:rsid w:val="460C7C2A"/>
    <w:rsid w:val="464738A3"/>
    <w:rsid w:val="465D0CCE"/>
    <w:rsid w:val="47065415"/>
    <w:rsid w:val="479243B4"/>
    <w:rsid w:val="48B8308E"/>
    <w:rsid w:val="49952D5B"/>
    <w:rsid w:val="4BBE2018"/>
    <w:rsid w:val="4C820798"/>
    <w:rsid w:val="4CA25630"/>
    <w:rsid w:val="4CCC0113"/>
    <w:rsid w:val="4D2B30E6"/>
    <w:rsid w:val="4D7649CB"/>
    <w:rsid w:val="51D94C86"/>
    <w:rsid w:val="53035F10"/>
    <w:rsid w:val="544C6436"/>
    <w:rsid w:val="54E1260A"/>
    <w:rsid w:val="566970E4"/>
    <w:rsid w:val="566C2B3B"/>
    <w:rsid w:val="56BC7FA7"/>
    <w:rsid w:val="57C47717"/>
    <w:rsid w:val="58EB61BE"/>
    <w:rsid w:val="59091929"/>
    <w:rsid w:val="59B857C7"/>
    <w:rsid w:val="5A0B6D6A"/>
    <w:rsid w:val="5BE30FD5"/>
    <w:rsid w:val="5CC94030"/>
    <w:rsid w:val="5EB727AE"/>
    <w:rsid w:val="5EFF9BAE"/>
    <w:rsid w:val="60DC2575"/>
    <w:rsid w:val="623A5FD8"/>
    <w:rsid w:val="624A6E22"/>
    <w:rsid w:val="62D376AD"/>
    <w:rsid w:val="6435414E"/>
    <w:rsid w:val="645026DE"/>
    <w:rsid w:val="646F3FAB"/>
    <w:rsid w:val="670F3391"/>
    <w:rsid w:val="6754691A"/>
    <w:rsid w:val="67A46585"/>
    <w:rsid w:val="68FB4111"/>
    <w:rsid w:val="69837D68"/>
    <w:rsid w:val="69E21E9F"/>
    <w:rsid w:val="6AD20069"/>
    <w:rsid w:val="6CBD30CE"/>
    <w:rsid w:val="6E5518BE"/>
    <w:rsid w:val="6E712785"/>
    <w:rsid w:val="6EC53796"/>
    <w:rsid w:val="6ED924EF"/>
    <w:rsid w:val="6EEA03AF"/>
    <w:rsid w:val="6F121541"/>
    <w:rsid w:val="6F2F6FE1"/>
    <w:rsid w:val="70BD1C1E"/>
    <w:rsid w:val="7230447D"/>
    <w:rsid w:val="73626DD7"/>
    <w:rsid w:val="744C226F"/>
    <w:rsid w:val="74A41B92"/>
    <w:rsid w:val="753D2069"/>
    <w:rsid w:val="757F13CB"/>
    <w:rsid w:val="75AA6588"/>
    <w:rsid w:val="75CE576C"/>
    <w:rsid w:val="77917FAD"/>
    <w:rsid w:val="780C775B"/>
    <w:rsid w:val="79060D5B"/>
    <w:rsid w:val="79B87EC4"/>
    <w:rsid w:val="79C028D6"/>
    <w:rsid w:val="79CC49FF"/>
    <w:rsid w:val="7B2F3F35"/>
    <w:rsid w:val="7C826819"/>
    <w:rsid w:val="7C985500"/>
    <w:rsid w:val="7CF95B0B"/>
    <w:rsid w:val="7D9B3066"/>
    <w:rsid w:val="7F426642"/>
    <w:rsid w:val="7F4A6A57"/>
    <w:rsid w:val="7F7C1C32"/>
    <w:rsid w:val="7FBB4177"/>
    <w:rsid w:val="7FE42AA2"/>
    <w:rsid w:val="9FFFC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afterLines="0" w:afterAutospacing="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14760"/>
      </w:tabs>
      <w:spacing w:line="700" w:lineRule="exact"/>
      <w:ind w:left="359" w:leftChars="171" w:right="332" w:rightChars="158"/>
    </w:p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16147</Words>
  <Characters>16403</Characters>
  <Lines>0</Lines>
  <Paragraphs>0</Paragraphs>
  <TotalTime>2</TotalTime>
  <ScaleCrop>false</ScaleCrop>
  <LinksUpToDate>false</LinksUpToDate>
  <CharactersWithSpaces>16875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2020-07-08T07:05:00Z</dcterms:created>
  <dc:creator>超超</dc:creator>
  <cp:lastModifiedBy>user</cp:lastModifiedBy>
  <cp:lastPrinted>2024-04-11T15:28:00Z</cp:lastPrinted>
  <dcterms:modified xsi:type="dcterms:W3CDTF">2024-04-12T16:21:02Z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5F556C52A0874360B681451A7007E32C_13</vt:lpwstr>
  </property>
</Properties>
</file>