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b w:val="0"/>
          <w:bCs w:val="0"/>
          <w:color w:val="auto"/>
          <w:sz w:val="72"/>
          <w:szCs w:val="72"/>
          <w:highlight w:val="none"/>
          <w:lang w:val="en" w:eastAsia="zh-CN"/>
        </w:rPr>
      </w:pPr>
      <w:bookmarkStart w:id="0" w:name="_Toc15377425"/>
      <w:bookmarkStart w:id="1" w:name="_Toc15396597"/>
      <w:bookmarkStart w:id="2" w:name="_Toc15377193"/>
      <w:bookmarkStart w:id="3" w:name="_Toc15378441"/>
      <w:bookmarkStart w:id="4" w:name="_Toc15396475"/>
      <w:bookmarkStart w:id="5" w:name="_Toc15306267"/>
      <w:bookmarkStart w:id="73" w:name="_GoBack"/>
      <w:bookmarkEnd w:id="73"/>
      <w:r>
        <w:rPr>
          <w:rFonts w:hint="default" w:ascii="方正小标宋简体" w:hAnsi="宋体" w:eastAsia="方正小标宋简体"/>
          <w:b w:val="0"/>
          <w:bCs w:val="0"/>
          <w:color w:val="auto"/>
          <w:sz w:val="72"/>
          <w:szCs w:val="72"/>
          <w:highlight w:val="none"/>
          <w:lang w:val="en" w:eastAsia="zh-CN"/>
        </w:rPr>
        <w:t xml:space="preserve"> </w:t>
      </w:r>
    </w:p>
    <w:p>
      <w:pPr>
        <w:spacing w:line="600" w:lineRule="exact"/>
        <w:jc w:val="center"/>
        <w:outlineLvl w:val="0"/>
        <w:rPr>
          <w:rFonts w:ascii="方正小标宋简体" w:hAnsi="宋体" w:eastAsia="方正小标宋简体"/>
          <w:b w:val="0"/>
          <w:bCs w:val="0"/>
          <w:color w:val="auto"/>
          <w:sz w:val="72"/>
          <w:szCs w:val="72"/>
          <w:highlight w:val="none"/>
        </w:rPr>
      </w:pPr>
    </w:p>
    <w:p>
      <w:pPr>
        <w:spacing w:line="600" w:lineRule="exact"/>
        <w:jc w:val="center"/>
        <w:outlineLvl w:val="0"/>
        <w:rPr>
          <w:rFonts w:ascii="方正小标宋简体" w:hAnsi="宋体" w:eastAsia="方正小标宋简体"/>
          <w:b w:val="0"/>
          <w:bCs w:val="0"/>
          <w:color w:val="auto"/>
          <w:sz w:val="72"/>
          <w:szCs w:val="72"/>
          <w:highlight w:val="none"/>
        </w:rPr>
      </w:pPr>
    </w:p>
    <w:p>
      <w:pPr>
        <w:spacing w:line="600" w:lineRule="exact"/>
        <w:jc w:val="center"/>
        <w:outlineLvl w:val="0"/>
        <w:rPr>
          <w:rFonts w:ascii="方正小标宋简体" w:hAnsi="宋体" w:eastAsia="方正小标宋简体"/>
          <w:b w:val="0"/>
          <w:bCs w:val="0"/>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72"/>
          <w:szCs w:val="72"/>
          <w:highlight w:val="none"/>
        </w:rPr>
      </w:pPr>
      <w:r>
        <w:rPr>
          <w:rFonts w:hint="eastAsia" w:ascii="方正小标宋简体" w:hAnsi="方正小标宋简体" w:eastAsia="方正小标宋简体" w:cs="方正小标宋简体"/>
          <w:b w:val="0"/>
          <w:bCs w:val="0"/>
          <w:color w:val="auto"/>
          <w:sz w:val="72"/>
          <w:szCs w:val="72"/>
          <w:highlight w:val="none"/>
        </w:rPr>
        <w:t>20</w:t>
      </w:r>
      <w:r>
        <w:rPr>
          <w:rFonts w:hint="eastAsia" w:ascii="方正小标宋简体" w:hAnsi="方正小标宋简体" w:eastAsia="方正小标宋简体" w:cs="方正小标宋简体"/>
          <w:b w:val="0"/>
          <w:bCs w:val="0"/>
          <w:color w:val="auto"/>
          <w:sz w:val="72"/>
          <w:szCs w:val="72"/>
          <w:highlight w:val="none"/>
          <w:lang w:val="en-US" w:eastAsia="zh-CN"/>
        </w:rPr>
        <w:t>21</w:t>
      </w:r>
      <w:r>
        <w:rPr>
          <w:rFonts w:hint="eastAsia" w:ascii="方正小标宋简体" w:hAnsi="方正小标宋简体" w:eastAsia="方正小标宋简体" w:cs="方正小标宋简体"/>
          <w:b w:val="0"/>
          <w:bCs w:val="0"/>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72"/>
          <w:szCs w:val="72"/>
          <w:highlight w:val="none"/>
        </w:rPr>
      </w:pPr>
      <w:bookmarkStart w:id="6" w:name="_Toc15306268"/>
      <w:bookmarkStart w:id="7" w:name="_Toc15378442"/>
      <w:bookmarkStart w:id="8" w:name="_Toc15396476"/>
      <w:bookmarkStart w:id="9" w:name="_Toc15377426"/>
      <w:bookmarkStart w:id="10" w:name="_Toc15377194"/>
      <w:bookmarkStart w:id="11" w:name="_Toc15396598"/>
      <w:r>
        <w:rPr>
          <w:rFonts w:hint="eastAsia" w:ascii="方正小标宋简体" w:hAnsi="方正小标宋简体" w:eastAsia="方正小标宋简体" w:cs="方正小标宋简体"/>
          <w:b w:val="0"/>
          <w:bCs w:val="0"/>
          <w:color w:val="auto"/>
          <w:sz w:val="72"/>
          <w:szCs w:val="72"/>
          <w:highlight w:val="none"/>
        </w:rPr>
        <w:t>共青团广元市朝天区委员会部门决算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b w:val="0"/>
          <w:bCs w:val="0"/>
          <w:color w:val="auto"/>
          <w:sz w:val="52"/>
          <w:szCs w:val="52"/>
          <w:highlight w:val="none"/>
        </w:rPr>
      </w:pPr>
    </w:p>
    <w:p>
      <w:pPr>
        <w:widowControl/>
        <w:jc w:val="center"/>
        <w:rPr>
          <w:rFonts w:ascii="黑体" w:hAnsi="黑体" w:eastAsia="黑体"/>
          <w:b w:val="0"/>
          <w:bCs w:val="0"/>
          <w:color w:val="auto"/>
          <w:sz w:val="48"/>
          <w:szCs w:val="48"/>
          <w:highlight w:val="none"/>
        </w:rPr>
      </w:pPr>
      <w:r>
        <w:rPr>
          <w:rFonts w:ascii="方正小标宋简体" w:hAnsi="宋体" w:eastAsia="方正小标宋简体"/>
          <w:b w:val="0"/>
          <w:bCs w:val="0"/>
          <w:color w:val="auto"/>
          <w:sz w:val="36"/>
          <w:szCs w:val="36"/>
          <w:highlight w:val="none"/>
        </w:rPr>
        <w:br w:type="page"/>
      </w:r>
      <w:r>
        <w:rPr>
          <w:rFonts w:hint="eastAsia" w:ascii="黑体" w:hAnsi="黑体" w:eastAsia="黑体"/>
          <w:b w:val="0"/>
          <w:bCs w:val="0"/>
          <w:color w:val="auto"/>
          <w:sz w:val="48"/>
          <w:szCs w:val="48"/>
          <w:highlight w:val="none"/>
        </w:rPr>
        <w:t>目录</w:t>
      </w:r>
    </w:p>
    <w:p>
      <w:pPr>
        <w:widowControl/>
        <w:jc w:val="center"/>
        <w:rPr>
          <w:rFonts w:ascii="黑体" w:hAnsi="黑体" w:eastAsia="黑体" w:cstheme="minorBidi"/>
          <w:b w:val="0"/>
          <w:bCs w:val="0"/>
          <w:color w:val="auto"/>
          <w:sz w:val="28"/>
          <w:szCs w:val="28"/>
          <w:highlight w:val="none"/>
        </w:rPr>
      </w:pPr>
    </w:p>
    <w:p>
      <w:pPr>
        <w:pStyle w:val="12"/>
        <w:rPr>
          <w:b w:val="0"/>
          <w:bCs w:val="0"/>
          <w:color w:val="auto"/>
          <w:highlight w:val="none"/>
        </w:rPr>
      </w:pPr>
      <w:r>
        <w:rPr>
          <w:rFonts w:hint="eastAsia"/>
          <w:b w:val="0"/>
          <w:bCs w:val="0"/>
          <w:color w:val="auto"/>
          <w:highlight w:val="none"/>
        </w:rPr>
        <w:t>公开时间：20</w:t>
      </w:r>
      <w:r>
        <w:rPr>
          <w:rFonts w:hint="eastAsia"/>
          <w:b w:val="0"/>
          <w:bCs w:val="0"/>
          <w:color w:val="auto"/>
          <w:highlight w:val="none"/>
          <w:lang w:val="en-US" w:eastAsia="zh-CN"/>
        </w:rPr>
        <w:t>22</w:t>
      </w:r>
      <w:r>
        <w:rPr>
          <w:rFonts w:hint="eastAsia"/>
          <w:b w:val="0"/>
          <w:bCs w:val="0"/>
          <w:color w:val="auto"/>
          <w:highlight w:val="none"/>
        </w:rPr>
        <w:t>年</w:t>
      </w:r>
      <w:r>
        <w:rPr>
          <w:rFonts w:hint="eastAsia"/>
          <w:b w:val="0"/>
          <w:bCs w:val="0"/>
          <w:color w:val="auto"/>
          <w:highlight w:val="none"/>
          <w:lang w:val="en-US" w:eastAsia="zh-CN"/>
        </w:rPr>
        <w:t>9</w:t>
      </w:r>
      <w:r>
        <w:rPr>
          <w:rFonts w:hint="eastAsia"/>
          <w:b w:val="0"/>
          <w:bCs w:val="0"/>
          <w:color w:val="auto"/>
          <w:highlight w:val="none"/>
        </w:rPr>
        <w:t>月</w:t>
      </w:r>
      <w:r>
        <w:rPr>
          <w:rFonts w:hint="eastAsia"/>
          <w:b w:val="0"/>
          <w:bCs w:val="0"/>
          <w:color w:val="auto"/>
          <w:highlight w:val="none"/>
          <w:lang w:val="en-US" w:eastAsia="zh-CN"/>
        </w:rPr>
        <w:t>27</w:t>
      </w:r>
      <w:r>
        <w:rPr>
          <w:rFonts w:hint="eastAsia"/>
          <w:b w:val="0"/>
          <w:bCs w:val="0"/>
          <w:color w:val="auto"/>
          <w:highlight w:val="none"/>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28"/>
          <w:szCs w:val="28"/>
          <w:highlight w:val="none"/>
        </w:rPr>
      </w:pPr>
    </w:p>
    <w:p>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outlineLvl w:val="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第一部分 部门概况</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一、基本职能及主要工作</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二、机构设置</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7</w:t>
      </w:r>
    </w:p>
    <w:p>
      <w:pPr>
        <w:pStyle w:val="12"/>
        <w:adjustRightInd w:val="0"/>
        <w:snapToGrid w:val="0"/>
        <w:spacing w:before="0"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第二部分</w:t>
      </w:r>
      <w:r>
        <w:rPr>
          <w:rFonts w:hint="eastAsia" w:ascii="仿宋_GB2312" w:hAnsi="仿宋_GB2312" w:eastAsia="仿宋_GB2312" w:cs="仿宋_GB2312"/>
          <w:b/>
          <w:bCs/>
          <w:color w:val="auto"/>
          <w:sz w:val="28"/>
          <w:szCs w:val="28"/>
          <w:highlight w:val="none"/>
          <w:lang w:val="en-US" w:eastAsia="zh-CN"/>
        </w:rPr>
        <w:t xml:space="preserve"> 2021年度</w:t>
      </w:r>
      <w:r>
        <w:rPr>
          <w:rFonts w:hint="eastAsia" w:ascii="仿宋_GB2312" w:hAnsi="仿宋_GB2312" w:eastAsia="仿宋_GB2312" w:cs="仿宋_GB2312"/>
          <w:b/>
          <w:bCs/>
          <w:color w:val="auto"/>
          <w:sz w:val="28"/>
          <w:szCs w:val="28"/>
          <w:highlight w:val="none"/>
        </w:rPr>
        <w:t>部门决算情况说明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8</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一、收入支出决算总体情况说明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8</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二、收入决算情况说明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8</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三、支出决算情况说明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9</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四、财政拨款收入支出决算总体情况说明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9</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五、一般公共预算财政拨款支出决算情况说明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10</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六、一般公共预算财政拨款基本支出决算情况说明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12</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七、</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三公”经费财政拨款支出决算情况说明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12</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八、政府性基金预算支出决算情况说明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14</w:t>
      </w:r>
    </w:p>
    <w:p>
      <w:pPr>
        <w:pStyle w:val="13"/>
        <w:adjustRightInd w:val="0"/>
        <w:snapToGrid w:val="0"/>
        <w:spacing w:line="440" w:lineRule="exact"/>
        <w:ind w:leftChars="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九、</w:t>
      </w:r>
      <w:r>
        <w:rPr>
          <w:rFonts w:hint="eastAsia" w:ascii="仿宋_GB2312" w:hAnsi="仿宋_GB2312" w:eastAsia="仿宋_GB2312" w:cs="仿宋_GB2312"/>
          <w:b w:val="0"/>
          <w:bCs w:val="0"/>
          <w:color w:val="auto"/>
          <w:sz w:val="28"/>
          <w:szCs w:val="28"/>
          <w:highlight w:val="none"/>
          <w:lang w:eastAsia="zh-CN"/>
        </w:rPr>
        <w:t>国</w:t>
      </w:r>
      <w:r>
        <w:rPr>
          <w:rFonts w:hint="eastAsia" w:ascii="仿宋_GB2312" w:hAnsi="仿宋_GB2312" w:eastAsia="仿宋_GB2312" w:cs="仿宋_GB2312"/>
          <w:b w:val="0"/>
          <w:bCs w:val="0"/>
          <w:color w:val="auto"/>
          <w:sz w:val="28"/>
          <w:szCs w:val="28"/>
          <w:highlight w:val="none"/>
        </w:rPr>
        <w:t>有资本经营预算支出决算情况说明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14</w:t>
      </w:r>
    </w:p>
    <w:p>
      <w:pPr>
        <w:pStyle w:val="13"/>
        <w:adjustRightInd w:val="0"/>
        <w:snapToGrid w:val="0"/>
        <w:spacing w:line="440" w:lineRule="exact"/>
        <w:ind w:leftChars="0"/>
        <w:jc w:val="left"/>
        <w:rPr>
          <w:rFonts w:hint="eastAsia" w:ascii="仿宋_GB2312" w:hAnsi="仿宋_GB2312" w:eastAsia="仿宋_GB2312" w:cs="仿宋_GB2312"/>
          <w:b w:val="0"/>
          <w:bCs w:val="0"/>
          <w:color w:val="auto"/>
          <w:sz w:val="28"/>
          <w:szCs w:val="28"/>
          <w:highlight w:val="none"/>
          <w:lang w:val="en-US"/>
        </w:rPr>
      </w:pPr>
      <w:r>
        <w:rPr>
          <w:rStyle w:val="18"/>
          <w:rFonts w:hint="eastAsia" w:ascii="仿宋_GB2312" w:hAnsi="仿宋_GB2312" w:eastAsia="仿宋_GB2312" w:cs="仿宋_GB2312"/>
          <w:b w:val="0"/>
          <w:bCs w:val="0"/>
          <w:color w:val="auto"/>
          <w:sz w:val="28"/>
          <w:szCs w:val="28"/>
          <w:highlight w:val="none"/>
          <w:u w:val="none"/>
          <w:lang w:eastAsia="zh-CN"/>
        </w:rPr>
        <w:t>十</w:t>
      </w:r>
      <w:r>
        <w:rPr>
          <w:rStyle w:val="18"/>
          <w:rFonts w:hint="eastAsia" w:ascii="仿宋_GB2312" w:hAnsi="仿宋_GB2312" w:eastAsia="仿宋_GB2312" w:cs="仿宋_GB2312"/>
          <w:b w:val="0"/>
          <w:bCs w:val="0"/>
          <w:color w:val="auto"/>
          <w:sz w:val="28"/>
          <w:szCs w:val="28"/>
          <w:highlight w:val="none"/>
          <w:u w:val="none"/>
        </w:rPr>
        <w:t>、</w:t>
      </w:r>
      <w:r>
        <w:rPr>
          <w:rFonts w:hint="eastAsia" w:ascii="仿宋_GB2312" w:hAnsi="仿宋_GB2312" w:eastAsia="仿宋_GB2312" w:cs="仿宋_GB2312"/>
          <w:b w:val="0"/>
          <w:bCs w:val="0"/>
          <w:color w:val="auto"/>
          <w:sz w:val="28"/>
          <w:szCs w:val="28"/>
          <w:highlight w:val="none"/>
          <w:lang w:val="en-US" w:eastAsia="zh-CN"/>
        </w:rPr>
        <w:t>预算绩效管理情况</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14</w:t>
      </w:r>
    </w:p>
    <w:p>
      <w:pPr>
        <w:pStyle w:val="13"/>
        <w:adjustRightInd w:val="0"/>
        <w:snapToGrid w:val="0"/>
        <w:spacing w:line="440" w:lineRule="exact"/>
        <w:ind w:leftChars="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十一、</w:t>
      </w:r>
      <w:r>
        <w:rPr>
          <w:rFonts w:hint="eastAsia" w:ascii="仿宋_GB2312" w:hAnsi="仿宋_GB2312" w:eastAsia="仿宋_GB2312" w:cs="仿宋_GB2312"/>
          <w:b w:val="0"/>
          <w:bCs w:val="0"/>
          <w:color w:val="auto"/>
          <w:sz w:val="28"/>
          <w:szCs w:val="28"/>
          <w:highlight w:val="none"/>
        </w:rPr>
        <w:t>其他重要事项的情况说明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14</w:t>
      </w:r>
    </w:p>
    <w:p>
      <w:pPr>
        <w:pStyle w:val="12"/>
        <w:adjustRightInd w:val="0"/>
        <w:snapToGrid w:val="0"/>
        <w:spacing w:before="0"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第三部分 名词解释</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16</w:t>
      </w:r>
    </w:p>
    <w:p>
      <w:pPr>
        <w:pStyle w:val="12"/>
        <w:adjustRightInd w:val="0"/>
        <w:snapToGrid w:val="0"/>
        <w:spacing w:before="0"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第四部分 附件</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19</w:t>
      </w:r>
    </w:p>
    <w:p>
      <w:pPr>
        <w:pStyle w:val="12"/>
        <w:adjustRightInd w:val="0"/>
        <w:snapToGrid w:val="0"/>
        <w:spacing w:before="0"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第五部分 附表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一、收入支出决算总表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二、收入决算表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三、支出决算表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四、财政拨款收入支出决算总表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五、财政拨款支出决算明细表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六、一般公共预算财政拨款支出决算表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七、一般公共预算财政拨款支出决算明细表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八、一般公共预算财政拨款基本支出决算表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九、一般公共预算财政拨款项目支出决算表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十、一般公共预算财政拨款“三公”经费支出决算表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十一、政府性基金预算财政拨款收入支出决算表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十二、政府性基金预算财政拨款“三公”经费支出决算表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十三、国有资本经营预算</w:t>
      </w:r>
      <w:r>
        <w:rPr>
          <w:rFonts w:hint="eastAsia" w:ascii="仿宋_GB2312" w:hAnsi="仿宋_GB2312" w:eastAsia="仿宋_GB2312" w:cs="仿宋_GB2312"/>
          <w:b w:val="0"/>
          <w:bCs w:val="0"/>
          <w:color w:val="auto"/>
          <w:sz w:val="28"/>
          <w:szCs w:val="28"/>
          <w:highlight w:val="none"/>
          <w:lang w:eastAsia="zh-CN"/>
        </w:rPr>
        <w:t>财政拨款收入</w:t>
      </w:r>
      <w:r>
        <w:rPr>
          <w:rFonts w:hint="eastAsia" w:ascii="仿宋_GB2312" w:hAnsi="仿宋_GB2312" w:eastAsia="仿宋_GB2312" w:cs="仿宋_GB2312"/>
          <w:b w:val="0"/>
          <w:bCs w:val="0"/>
          <w:color w:val="auto"/>
          <w:sz w:val="28"/>
          <w:szCs w:val="28"/>
          <w:highlight w:val="none"/>
        </w:rPr>
        <w:t>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pStyle w:val="13"/>
        <w:adjustRightInd w:val="0"/>
        <w:snapToGrid w:val="0"/>
        <w:spacing w:line="44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十四、国有资本经营预算财政拨款支出决算表</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54</w:t>
      </w:r>
    </w:p>
    <w:p>
      <w:pPr>
        <w:widowControl/>
        <w:spacing w:line="440" w:lineRule="exact"/>
        <w:jc w:val="left"/>
        <w:rPr>
          <w:rFonts w:ascii="仿宋" w:hAnsi="仿宋" w:eastAsia="仿宋"/>
          <w:b w:val="0"/>
          <w:bCs w:val="0"/>
          <w:color w:val="auto"/>
          <w:kern w:val="44"/>
          <w:sz w:val="24"/>
          <w:highlight w:val="none"/>
        </w:rPr>
      </w:pPr>
      <w:bookmarkStart w:id="12" w:name="_Toc15377196"/>
      <w:bookmarkStart w:id="13" w:name="_Toc15396599"/>
      <w:r>
        <w:rPr>
          <w:rFonts w:ascii="仿宋" w:hAnsi="仿宋" w:eastAsia="仿宋"/>
          <w:b w:val="0"/>
          <w:bCs w:val="0"/>
          <w:color w:val="auto"/>
          <w:sz w:val="24"/>
          <w:highlight w:val="none"/>
        </w:rPr>
        <w:br w:type="page"/>
      </w:r>
    </w:p>
    <w:p>
      <w:pPr>
        <w:pStyle w:val="4"/>
        <w:pageBreakBefore w:val="0"/>
        <w:kinsoku/>
        <w:wordWrap/>
        <w:overflowPunct/>
        <w:topLinePunct w:val="0"/>
        <w:bidi w:val="0"/>
        <w:spacing w:line="576" w:lineRule="atLeast"/>
        <w:jc w:val="center"/>
        <w:textAlignment w:val="auto"/>
        <w:rPr>
          <w:rStyle w:val="28"/>
          <w:rFonts w:ascii="黑体" w:hAnsi="黑体" w:eastAsia="黑体"/>
          <w:b w:val="0"/>
          <w:bCs w:val="0"/>
          <w:color w:val="auto"/>
          <w:highlight w:val="none"/>
        </w:rPr>
      </w:pPr>
      <w:r>
        <w:rPr>
          <w:rFonts w:hint="eastAsia" w:ascii="黑体" w:hAnsi="黑体" w:eastAsia="黑体"/>
          <w:b w:val="0"/>
          <w:bCs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pStyle w:val="5"/>
        <w:pageBreakBefore w:val="0"/>
        <w:kinsoku/>
        <w:wordWrap/>
        <w:overflowPunct/>
        <w:topLinePunct w:val="0"/>
        <w:bidi w:val="0"/>
        <w:spacing w:line="576" w:lineRule="atLeast"/>
        <w:textAlignment w:val="auto"/>
        <w:rPr>
          <w:rStyle w:val="29"/>
          <w:rFonts w:ascii="仿宋" w:hAnsi="仿宋" w:eastAsia="仿宋"/>
          <w:b w:val="0"/>
          <w:bCs w:val="0"/>
          <w:color w:val="auto"/>
          <w:highlight w:val="none"/>
        </w:rPr>
      </w:pPr>
      <w:bookmarkStart w:id="14" w:name="_Toc15396600"/>
      <w:bookmarkStart w:id="15" w:name="_Toc15377197"/>
      <w:r>
        <w:rPr>
          <w:rFonts w:hint="eastAsia" w:ascii="黑体" w:hAnsi="黑体" w:eastAsia="黑体"/>
          <w:b w:val="0"/>
          <w:bCs w:val="0"/>
          <w:color w:val="auto"/>
          <w:highlight w:val="none"/>
        </w:rPr>
        <w:t>一、基</w:t>
      </w:r>
      <w:r>
        <w:rPr>
          <w:rStyle w:val="29"/>
          <w:rFonts w:hint="eastAsia" w:ascii="黑体" w:hAnsi="黑体" w:eastAsia="黑体"/>
          <w:b w:val="0"/>
          <w:bCs w:val="0"/>
          <w:color w:val="auto"/>
          <w:highlight w:val="none"/>
        </w:rPr>
        <w:t>本职能及主要工作</w:t>
      </w:r>
      <w:bookmarkEnd w:id="14"/>
      <w:bookmarkEnd w:id="15"/>
    </w:p>
    <w:p>
      <w:pPr>
        <w:pStyle w:val="7"/>
        <w:pageBreakBefore w:val="0"/>
        <w:kinsoku/>
        <w:wordWrap/>
        <w:overflowPunct/>
        <w:topLinePunct w:val="0"/>
        <w:bidi w:val="0"/>
        <w:adjustRightInd w:val="0"/>
        <w:snapToGrid w:val="0"/>
        <w:spacing w:before="93" w:line="576" w:lineRule="atLeast"/>
        <w:ind w:firstLine="672" w:firstLineChars="210"/>
        <w:textAlignment w:val="auto"/>
        <w:outlineLvl w:val="2"/>
        <w:rPr>
          <w:rFonts w:ascii="仿宋" w:hAnsi="仿宋" w:eastAsia="仿宋"/>
          <w:b w:val="0"/>
          <w:bCs w:val="0"/>
          <w:color w:val="auto"/>
          <w:sz w:val="32"/>
          <w:szCs w:val="32"/>
          <w:highlight w:val="none"/>
        </w:rPr>
      </w:pPr>
      <w:bookmarkStart w:id="16" w:name="_Toc15377198"/>
      <w:bookmarkStart w:id="17" w:name="_Toc15378445"/>
      <w:r>
        <w:rPr>
          <w:rFonts w:hint="eastAsia" w:ascii="楷体" w:hAnsi="楷体" w:eastAsia="楷体" w:cs="楷体"/>
          <w:b w:val="0"/>
          <w:bCs w:val="0"/>
          <w:color w:val="auto"/>
          <w:sz w:val="32"/>
          <w:szCs w:val="32"/>
          <w:highlight w:val="none"/>
        </w:rPr>
        <w:t>（一）主要职能。</w:t>
      </w:r>
      <w:bookmarkEnd w:id="16"/>
      <w:bookmarkEnd w:id="17"/>
    </w:p>
    <w:p>
      <w:pPr>
        <w:pStyle w:val="14"/>
        <w:pageBreakBefore w:val="0"/>
        <w:widowControl/>
        <w:kinsoku/>
        <w:wordWrap/>
        <w:overflowPunct/>
        <w:topLinePunct w:val="0"/>
        <w:bidi w:val="0"/>
        <w:spacing w:beforeAutospacing="0" w:afterAutospacing="0" w:line="576" w:lineRule="atLeast"/>
        <w:ind w:firstLine="640" w:firstLineChars="200"/>
        <w:textAlignment w:val="auto"/>
        <w:rPr>
          <w:rFonts w:ascii="仿宋_GB2312" w:eastAsia="仿宋_GB2312"/>
          <w:b w:val="0"/>
          <w:bCs w:val="0"/>
          <w:color w:val="auto"/>
          <w:sz w:val="32"/>
          <w:szCs w:val="32"/>
        </w:rPr>
      </w:pPr>
      <w:bookmarkStart w:id="18" w:name="_Toc15377199"/>
      <w:bookmarkStart w:id="19" w:name="_Toc15378446"/>
      <w:r>
        <w:rPr>
          <w:rFonts w:hint="eastAsia" w:ascii="仿宋_GB2312" w:eastAsia="仿宋_GB2312"/>
          <w:b w:val="0"/>
          <w:bCs w:val="0"/>
          <w:color w:val="auto"/>
          <w:sz w:val="32"/>
          <w:szCs w:val="32"/>
        </w:rPr>
        <w:t>1.组织全区共青团组织围绕广元市朝天区经济社会发展大局开展工作，在区域政治、经济、社会、文化建设中积极发挥党的助手作用。</w:t>
      </w:r>
    </w:p>
    <w:p>
      <w:pPr>
        <w:pStyle w:val="14"/>
        <w:pageBreakBefore w:val="0"/>
        <w:widowControl/>
        <w:kinsoku/>
        <w:wordWrap/>
        <w:overflowPunct/>
        <w:topLinePunct w:val="0"/>
        <w:bidi w:val="0"/>
        <w:spacing w:beforeAutospacing="0" w:afterAutospacing="0" w:line="576" w:lineRule="atLeast"/>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　　2.围绕区委、区政府中心工作，推进全区青少年精神文明建设，负责指导并组织实施全区青少年的思想理论教育、服务青少年成长成才。</w:t>
      </w:r>
    </w:p>
    <w:p>
      <w:pPr>
        <w:pStyle w:val="14"/>
        <w:pageBreakBefore w:val="0"/>
        <w:widowControl/>
        <w:kinsoku/>
        <w:wordWrap/>
        <w:overflowPunct/>
        <w:topLinePunct w:val="0"/>
        <w:bidi w:val="0"/>
        <w:spacing w:beforeAutospacing="0" w:afterAutospacing="0" w:line="576" w:lineRule="atLeast"/>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　　3.负责全区共青团工作和青年工作的理论研究，向区委、区政府反映青少年思想状况，参与协调处理各种与青少年权益相关的工作。</w:t>
      </w:r>
    </w:p>
    <w:p>
      <w:pPr>
        <w:pStyle w:val="14"/>
        <w:pageBreakBefore w:val="0"/>
        <w:widowControl/>
        <w:kinsoku/>
        <w:wordWrap/>
        <w:overflowPunct/>
        <w:topLinePunct w:val="0"/>
        <w:bidi w:val="0"/>
        <w:spacing w:beforeAutospacing="0" w:afterAutospacing="0" w:line="576" w:lineRule="atLeast"/>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　　4.研究团的组织建设问题，按照群众化、民主化和法制化的要求，加强团的基层组织建设，组织开展形式多样、适合青少年特点、健康有益的活动。</w:t>
      </w:r>
    </w:p>
    <w:p>
      <w:pPr>
        <w:pStyle w:val="14"/>
        <w:pageBreakBefore w:val="0"/>
        <w:widowControl/>
        <w:kinsoku/>
        <w:wordWrap/>
        <w:overflowPunct/>
        <w:topLinePunct w:val="0"/>
        <w:bidi w:val="0"/>
        <w:spacing w:beforeAutospacing="0" w:afterAutospacing="0" w:line="576" w:lineRule="atLeast"/>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　　5.负责研究指导全区团的组织建设和干部队伍建设，推进全区团的基层组织建设。</w:t>
      </w:r>
    </w:p>
    <w:p>
      <w:pPr>
        <w:pStyle w:val="7"/>
        <w:pageBreakBefore w:val="0"/>
        <w:kinsoku/>
        <w:wordWrap/>
        <w:overflowPunct/>
        <w:topLinePunct w:val="0"/>
        <w:bidi w:val="0"/>
        <w:adjustRightInd w:val="0"/>
        <w:snapToGrid w:val="0"/>
        <w:spacing w:before="93" w:line="576" w:lineRule="atLeast"/>
        <w:ind w:firstLine="640" w:firstLineChars="200"/>
        <w:textAlignment w:val="auto"/>
        <w:outlineLvl w:val="2"/>
        <w:rPr>
          <w:rFonts w:ascii="仿宋" w:hAnsi="仿宋" w:eastAsia="仿宋"/>
          <w:b w:val="0"/>
          <w:bCs w:val="0"/>
          <w:color w:val="auto"/>
          <w:sz w:val="32"/>
          <w:szCs w:val="32"/>
        </w:rPr>
      </w:pPr>
      <w:r>
        <w:rPr>
          <w:rFonts w:hint="eastAsia" w:ascii="仿宋_GB2312" w:eastAsia="仿宋_GB2312"/>
          <w:b w:val="0"/>
          <w:bCs w:val="0"/>
          <w:color w:val="auto"/>
          <w:sz w:val="32"/>
          <w:szCs w:val="32"/>
        </w:rPr>
        <w:t>6.承办区委、区政府和上级机关交办的其他事项。</w:t>
      </w:r>
    </w:p>
    <w:p>
      <w:pPr>
        <w:pStyle w:val="7"/>
        <w:pageBreakBefore w:val="0"/>
        <w:kinsoku/>
        <w:wordWrap/>
        <w:overflowPunct/>
        <w:topLinePunct w:val="0"/>
        <w:bidi w:val="0"/>
        <w:adjustRightInd w:val="0"/>
        <w:snapToGrid w:val="0"/>
        <w:spacing w:before="93" w:line="576" w:lineRule="atLeast"/>
        <w:ind w:firstLine="672" w:firstLineChars="210"/>
        <w:textAlignment w:val="auto"/>
        <w:outlineLvl w:val="2"/>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（二）20</w:t>
      </w:r>
      <w:r>
        <w:rPr>
          <w:rFonts w:hint="eastAsia" w:ascii="楷体" w:hAnsi="楷体" w:eastAsia="楷体" w:cs="楷体"/>
          <w:b w:val="0"/>
          <w:bCs w:val="0"/>
          <w:color w:val="auto"/>
          <w:sz w:val="32"/>
          <w:szCs w:val="32"/>
          <w:highlight w:val="none"/>
          <w:lang w:val="en-US" w:eastAsia="zh-CN"/>
        </w:rPr>
        <w:t>21</w:t>
      </w:r>
      <w:r>
        <w:rPr>
          <w:rFonts w:hint="eastAsia" w:ascii="楷体" w:hAnsi="楷体" w:eastAsia="楷体" w:cs="楷体"/>
          <w:b w:val="0"/>
          <w:bCs w:val="0"/>
          <w:color w:val="auto"/>
          <w:sz w:val="32"/>
          <w:szCs w:val="32"/>
          <w:highlight w:val="none"/>
        </w:rPr>
        <w:t>年重点工作完成情况。</w:t>
      </w:r>
      <w:bookmarkEnd w:id="18"/>
      <w:bookmarkEnd w:id="19"/>
    </w:p>
    <w:p>
      <w:pPr>
        <w:pStyle w:val="14"/>
        <w:pageBreakBefore w:val="0"/>
        <w:widowControl/>
        <w:kinsoku/>
        <w:wordWrap/>
        <w:overflowPunct/>
        <w:topLinePunct w:val="0"/>
        <w:bidi w:val="0"/>
        <w:spacing w:beforeAutospacing="0" w:afterAutospacing="0" w:line="576" w:lineRule="atLeas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val="en"/>
        </w:rPr>
        <w:t>突出政治引领，强化青</w:t>
      </w:r>
      <w:r>
        <w:rPr>
          <w:rFonts w:hint="eastAsia" w:ascii="仿宋_GB2312" w:eastAsia="仿宋_GB2312"/>
          <w:b w:val="0"/>
          <w:bCs w:val="0"/>
          <w:color w:val="auto"/>
          <w:sz w:val="32"/>
          <w:szCs w:val="32"/>
          <w:lang w:val="en" w:eastAsia="zh-CN"/>
        </w:rPr>
        <w:t>少</w:t>
      </w:r>
      <w:r>
        <w:rPr>
          <w:rFonts w:hint="eastAsia" w:ascii="仿宋_GB2312" w:eastAsia="仿宋_GB2312"/>
          <w:b w:val="0"/>
          <w:bCs w:val="0"/>
          <w:color w:val="auto"/>
          <w:sz w:val="32"/>
          <w:szCs w:val="32"/>
          <w:lang w:val="en"/>
        </w:rPr>
        <w:t>年思想</w:t>
      </w:r>
      <w:r>
        <w:rPr>
          <w:rFonts w:hint="eastAsia" w:ascii="仿宋_GB2312" w:eastAsia="仿宋_GB2312"/>
          <w:b w:val="0"/>
          <w:bCs w:val="0"/>
          <w:color w:val="auto"/>
          <w:sz w:val="32"/>
          <w:szCs w:val="32"/>
          <w:lang w:val="en" w:eastAsia="zh-CN"/>
        </w:rPr>
        <w:t>道德建设</w:t>
      </w:r>
      <w:r>
        <w:rPr>
          <w:rFonts w:hint="eastAsia" w:ascii="仿宋_GB2312" w:eastAsia="仿宋_GB2312"/>
          <w:b w:val="0"/>
          <w:bCs w:val="0"/>
          <w:color w:val="auto"/>
          <w:sz w:val="32"/>
          <w:szCs w:val="32"/>
          <w:lang w:val="en"/>
        </w:rPr>
        <w:t>。</w:t>
      </w:r>
      <w:r>
        <w:rPr>
          <w:rFonts w:hint="eastAsia" w:ascii="仿宋_GB2312" w:eastAsia="仿宋_GB2312"/>
          <w:b w:val="0"/>
          <w:bCs w:val="0"/>
          <w:color w:val="auto"/>
          <w:sz w:val="32"/>
          <w:szCs w:val="32"/>
          <w:lang w:val="en-US" w:eastAsia="zh-CN"/>
        </w:rPr>
        <w:t>一是常抓不懈开展“青年大学习”“党史我来讲·红色照我心”“红领巾·爱学习”，通过线上学习提升青少年思想素质。二是深化党史学习教育，团区委成立青年宣讲团赴乡镇部门、学校企业等开展党史专题宣讲20余次，引导和激励青少年团员铭记历史；积极组织庆祝建党系列活动,制作青年为党送祝福短视频，组织各界青年积极参加万人踏歌行活动,推出习近平总书记七一讲话青年有话说专题讨论、青年座谈会等活动，并在全区团系统中学习宣讲；开展“我为青年做件事”主题活动8次。三是多节点开展主题团课、“两红两优”和优秀青年志愿者评优等活动，增强青少年责任感和荣誉感。四是强化网络新媒体建设，继续加强“青春朝天”微信公众号、微博建设，扩大团属新媒体阵地的覆盖面和影响力有效地把握住广大青年的脉搏。今年来，“青春朝天”微信公众号共推送各类文章、信息资料共239篇，浏览次数超7.7万次。</w:t>
      </w:r>
    </w:p>
    <w:p>
      <w:pPr>
        <w:pStyle w:val="14"/>
        <w:pageBreakBefore w:val="0"/>
        <w:widowControl/>
        <w:kinsoku/>
        <w:wordWrap/>
        <w:overflowPunct/>
        <w:topLinePunct w:val="0"/>
        <w:bidi w:val="0"/>
        <w:spacing w:beforeAutospacing="0" w:afterAutospacing="0" w:line="576" w:lineRule="atLeast"/>
        <w:ind w:firstLine="640" w:firstLineChars="200"/>
        <w:textAlignment w:val="auto"/>
        <w:rPr>
          <w:rFonts w:hint="eastAsia" w:ascii="仿宋_GB2312" w:eastAsia="仿宋_GB2312"/>
          <w:b w:val="0"/>
          <w:bCs w:val="0"/>
          <w:color w:val="auto"/>
          <w:sz w:val="32"/>
          <w:szCs w:val="32"/>
          <w:lang w:val="zh-CN" w:eastAsia="zh-CN"/>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val="en"/>
        </w:rPr>
        <w:t>优化发展环境，服务青年成长成才。</w:t>
      </w:r>
      <w:r>
        <w:rPr>
          <w:rFonts w:hint="eastAsia" w:ascii="仿宋_GB2312" w:eastAsia="仿宋_GB2312"/>
          <w:b w:val="0"/>
          <w:bCs w:val="0"/>
          <w:color w:val="auto"/>
          <w:sz w:val="32"/>
          <w:szCs w:val="32"/>
          <w:lang w:val="zh-CN" w:eastAsia="zh-CN"/>
        </w:rPr>
        <w:t>一是大力促进青年创业就业。</w:t>
      </w:r>
      <w:r>
        <w:rPr>
          <w:rFonts w:hint="eastAsia" w:ascii="仿宋_GB2312" w:eastAsia="仿宋_GB2312"/>
          <w:b w:val="0"/>
          <w:bCs w:val="0"/>
          <w:color w:val="auto"/>
          <w:sz w:val="32"/>
          <w:szCs w:val="32"/>
          <w:lang w:val="en-US" w:eastAsia="zh-CN"/>
        </w:rPr>
        <w:t>积极对接银行申请“广朝振兴贷”项目，解决青年创新创业难题。协助李家镇与上海工程技术大学共建“乡村振兴工作室”，共商发展事宜。</w:t>
      </w:r>
      <w:r>
        <w:rPr>
          <w:rFonts w:hint="eastAsia" w:ascii="仿宋_GB2312" w:eastAsia="仿宋_GB2312"/>
          <w:b w:val="0"/>
          <w:bCs w:val="0"/>
          <w:color w:val="auto"/>
          <w:sz w:val="32"/>
          <w:szCs w:val="32"/>
          <w:lang w:val="zh-CN" w:eastAsia="zh-CN"/>
        </w:rPr>
        <w:t>二是积极关爱青少年健康成长。</w:t>
      </w:r>
      <w:r>
        <w:rPr>
          <w:rFonts w:hint="eastAsia" w:ascii="仿宋_GB2312" w:eastAsia="仿宋_GB2312"/>
          <w:b w:val="0"/>
          <w:bCs w:val="0"/>
          <w:color w:val="auto"/>
          <w:sz w:val="32"/>
          <w:szCs w:val="32"/>
          <w:lang w:val="en-US" w:eastAsia="zh-CN"/>
        </w:rPr>
        <w:t>积极加强纵向、横向对接，争取落实各类关爱资金和助学项目，今年来，向上争取到“我要上大学”项目资金2.5万元，资助家庭困难学生5人；顺利实施“七彩假期”项目，参与青少年达50余人次，共发出学习套装50套；向省青基会争取到女生爱心成长包700份，涉及金额5万余元；主动对接融入东西协作项目，年初争取到路桥区“四季有爱”公益资金6万元，同时下半年积极对接杭州市滨江区团委，共同探讨交流两地团建及爱心项目争取事宜。</w:t>
      </w:r>
      <w:r>
        <w:rPr>
          <w:rFonts w:hint="eastAsia" w:ascii="仿宋_GB2312" w:eastAsia="仿宋_GB2312"/>
          <w:b w:val="0"/>
          <w:bCs w:val="0"/>
          <w:color w:val="auto"/>
          <w:sz w:val="32"/>
          <w:szCs w:val="32"/>
          <w:lang w:val="zh-CN" w:eastAsia="zh-CN"/>
        </w:rPr>
        <w:t>三是切实维护青少年合法权益。</w:t>
      </w:r>
      <w:r>
        <w:rPr>
          <w:rFonts w:hint="eastAsia" w:ascii="仿宋_GB2312" w:eastAsia="仿宋_GB2312"/>
          <w:b w:val="0"/>
          <w:bCs w:val="0"/>
          <w:color w:val="auto"/>
          <w:sz w:val="32"/>
          <w:szCs w:val="32"/>
          <w:lang w:val="en-US" w:eastAsia="zh-CN"/>
        </w:rPr>
        <w:t>开展“共青团与人大代表、政协委员面对面”活动2次，开展禁毒防艾、未成年人保护和青春自护教育“线下”宣传10余次，多渠道多层次维护青少年合法权益。</w:t>
      </w:r>
    </w:p>
    <w:p>
      <w:pPr>
        <w:pStyle w:val="14"/>
        <w:pageBreakBefore w:val="0"/>
        <w:widowControl/>
        <w:kinsoku/>
        <w:wordWrap/>
        <w:overflowPunct/>
        <w:topLinePunct w:val="0"/>
        <w:bidi w:val="0"/>
        <w:spacing w:beforeAutospacing="0" w:afterAutospacing="0" w:line="576" w:lineRule="atLeas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3.聚焦中心工作，</w:t>
      </w:r>
      <w:r>
        <w:rPr>
          <w:rFonts w:hint="eastAsia" w:ascii="仿宋_GB2312" w:eastAsia="仿宋_GB2312"/>
          <w:b w:val="0"/>
          <w:bCs w:val="0"/>
          <w:color w:val="auto"/>
          <w:sz w:val="32"/>
          <w:szCs w:val="32"/>
          <w:lang w:val="en" w:eastAsia="zh-CN"/>
        </w:rPr>
        <w:t>主动投身地方社会发展。一是</w:t>
      </w:r>
      <w:r>
        <w:rPr>
          <w:rFonts w:hint="eastAsia" w:ascii="仿宋_GB2312" w:eastAsia="仿宋_GB2312"/>
          <w:b w:val="0"/>
          <w:bCs w:val="0"/>
          <w:color w:val="auto"/>
          <w:sz w:val="32"/>
          <w:szCs w:val="32"/>
          <w:lang w:val="zh-CN" w:eastAsia="zh-CN"/>
        </w:rPr>
        <w:t>扎实做好西部计划志愿者招募、管理、专项招考等工作，</w:t>
      </w:r>
      <w:r>
        <w:rPr>
          <w:rFonts w:hint="eastAsia" w:ascii="仿宋_GB2312" w:eastAsia="仿宋_GB2312"/>
          <w:b w:val="0"/>
          <w:bCs w:val="0"/>
          <w:color w:val="auto"/>
          <w:sz w:val="32"/>
          <w:szCs w:val="32"/>
          <w:lang w:val="en-US" w:eastAsia="zh-CN"/>
        </w:rPr>
        <w:t>会同人社、纪委监委等部门，从服务期满的西部计划志愿者中招录用乡镇事业单位人员2名。二是精心搭建青年参与地方发展的实践平台，认真开展“逐梦计划”“三下乡”等大学生社会实践活动，为20余名在校大学生提供实习锻炼岗位。三</w:t>
      </w:r>
      <w:r>
        <w:rPr>
          <w:rFonts w:hint="eastAsia" w:ascii="仿宋_GB2312" w:eastAsia="仿宋_GB2312"/>
          <w:b w:val="0"/>
          <w:bCs w:val="0"/>
          <w:color w:val="auto"/>
          <w:sz w:val="32"/>
          <w:szCs w:val="32"/>
          <w:lang w:val="zh-CN" w:eastAsia="zh-CN"/>
        </w:rPr>
        <w:t>是深化志愿服务行动。</w:t>
      </w:r>
      <w:r>
        <w:rPr>
          <w:rFonts w:hint="eastAsia" w:ascii="仿宋_GB2312" w:eastAsia="仿宋_GB2312"/>
          <w:b w:val="0"/>
          <w:bCs w:val="0"/>
          <w:color w:val="auto"/>
          <w:sz w:val="32"/>
          <w:szCs w:val="32"/>
          <w:lang w:val="en-US" w:eastAsia="zh-CN"/>
        </w:rPr>
        <w:t>组织各级团组织常态化开展疫情防控志愿服务活动，会同行业部门开展普法宣传、防震减灾、禁毒等志愿服务活动；围绕中心工作，做好全省旅发大会、全市“一节一会”食用菌发展大会、乡村文化及以及天府旅游名县创建等大型活动的志愿服务保障工作，青年志愿者参与达300余人次。聚焦青少年健康发展，开展中高考减压及暑期青少年自护教育、“3·12”义务植树等活动，支部党员干部慰问社区儿童50名，帮助儿童实现微心愿50个。四是积极助力乡村振兴，选派1名业务骨干为驻村帮扶联络员，通过入户走访、院坝会议了解村情民意，会同其他帮扶力量、村两委班子共商发展事宜，为帮扶户送去棉服、棉被等过冬物资。</w:t>
      </w:r>
    </w:p>
    <w:p>
      <w:pPr>
        <w:pStyle w:val="14"/>
        <w:pageBreakBefore w:val="0"/>
        <w:widowControl/>
        <w:kinsoku/>
        <w:wordWrap/>
        <w:overflowPunct/>
        <w:topLinePunct w:val="0"/>
        <w:bidi w:val="0"/>
        <w:spacing w:beforeAutospacing="0" w:afterAutospacing="0" w:line="576" w:lineRule="atLeas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4.紧扣时代特点，全面落实从严治团要求。</w:t>
      </w:r>
      <w:r>
        <w:rPr>
          <w:rFonts w:hint="eastAsia" w:ascii="仿宋_GB2312" w:eastAsia="仿宋_GB2312"/>
          <w:b w:val="0"/>
          <w:bCs w:val="0"/>
          <w:color w:val="auto"/>
          <w:sz w:val="32"/>
          <w:szCs w:val="32"/>
          <w:lang w:val="zh-CN" w:eastAsia="zh-CN"/>
        </w:rPr>
        <w:t>一是夯实团的基础建设。</w:t>
      </w:r>
      <w:r>
        <w:rPr>
          <w:rFonts w:hint="eastAsia" w:ascii="仿宋_GB2312" w:eastAsia="仿宋_GB2312"/>
          <w:b w:val="0"/>
          <w:bCs w:val="0"/>
          <w:color w:val="auto"/>
          <w:sz w:val="32"/>
          <w:szCs w:val="32"/>
          <w:lang w:val="en-US" w:eastAsia="zh-CN"/>
        </w:rPr>
        <w:t>全面完成12个乡镇、139个村（社区）团组织换届工作；加强“两区”团建工作，共新建城市小区团组织6个，农业园区团组织12个。二是</w:t>
      </w:r>
      <w:r>
        <w:rPr>
          <w:rFonts w:hint="eastAsia" w:ascii="仿宋_GB2312" w:eastAsia="仿宋_GB2312"/>
          <w:b w:val="0"/>
          <w:bCs w:val="0"/>
          <w:color w:val="auto"/>
          <w:sz w:val="32"/>
          <w:szCs w:val="32"/>
          <w:lang w:val="zh-CN" w:eastAsia="zh-CN"/>
        </w:rPr>
        <w:t>结合“智慧团建”，从严发展、教育、管理团员。严格入团程序和手续，全年新发展团员</w:t>
      </w:r>
      <w:r>
        <w:rPr>
          <w:rFonts w:hint="eastAsia" w:ascii="仿宋_GB2312" w:eastAsia="仿宋_GB2312"/>
          <w:b w:val="0"/>
          <w:bCs w:val="0"/>
          <w:color w:val="auto"/>
          <w:sz w:val="32"/>
          <w:szCs w:val="32"/>
          <w:lang w:val="en-US" w:eastAsia="zh-CN"/>
        </w:rPr>
        <w:t>353人。三</w:t>
      </w:r>
      <w:r>
        <w:rPr>
          <w:rFonts w:hint="eastAsia" w:ascii="仿宋_GB2312" w:eastAsia="仿宋_GB2312"/>
          <w:b w:val="0"/>
          <w:bCs w:val="0"/>
          <w:color w:val="auto"/>
          <w:sz w:val="32"/>
          <w:szCs w:val="32"/>
          <w:lang w:val="zh-CN" w:eastAsia="zh-CN"/>
        </w:rPr>
        <w:t>是加强团干部能力建设。狠抓</w:t>
      </w:r>
      <w:r>
        <w:rPr>
          <w:rFonts w:hint="eastAsia" w:ascii="仿宋_GB2312" w:eastAsia="仿宋_GB2312"/>
          <w:b w:val="0"/>
          <w:bCs w:val="0"/>
          <w:color w:val="auto"/>
          <w:sz w:val="32"/>
          <w:szCs w:val="32"/>
          <w:lang w:val="en-US" w:eastAsia="zh-CN"/>
        </w:rPr>
        <w:t>从严治团，</w:t>
      </w:r>
      <w:r>
        <w:rPr>
          <w:rFonts w:hint="eastAsia" w:ascii="仿宋_GB2312" w:eastAsia="仿宋_GB2312"/>
          <w:b w:val="0"/>
          <w:bCs w:val="0"/>
          <w:color w:val="auto"/>
          <w:sz w:val="32"/>
          <w:szCs w:val="32"/>
          <w:lang w:val="zh-CN" w:eastAsia="zh-CN"/>
        </w:rPr>
        <w:t>持续开展团干部作风纪律建设，</w:t>
      </w:r>
      <w:r>
        <w:rPr>
          <w:rFonts w:hint="eastAsia" w:ascii="仿宋_GB2312" w:eastAsia="仿宋_GB2312"/>
          <w:b w:val="0"/>
          <w:bCs w:val="0"/>
          <w:color w:val="auto"/>
          <w:sz w:val="32"/>
          <w:szCs w:val="32"/>
          <w:lang w:val="en-US" w:eastAsia="zh-CN"/>
        </w:rPr>
        <w:t>各级团干部没有违纪违规情况发生</w:t>
      </w:r>
      <w:r>
        <w:rPr>
          <w:rFonts w:hint="eastAsia" w:ascii="仿宋_GB2312" w:eastAsia="仿宋_GB2312"/>
          <w:b w:val="0"/>
          <w:bCs w:val="0"/>
          <w:color w:val="auto"/>
          <w:sz w:val="32"/>
          <w:szCs w:val="32"/>
          <w:lang w:val="zh-CN" w:eastAsia="zh-CN"/>
        </w:rPr>
        <w:t>；深化团干部思想素质和理论水平提升，组织基层团组织、团干部业务培训</w:t>
      </w:r>
      <w:r>
        <w:rPr>
          <w:rFonts w:hint="eastAsia" w:ascii="仿宋_GB2312" w:eastAsia="仿宋_GB2312"/>
          <w:b w:val="0"/>
          <w:bCs w:val="0"/>
          <w:color w:val="auto"/>
          <w:sz w:val="32"/>
          <w:szCs w:val="32"/>
          <w:lang w:val="en-US" w:eastAsia="zh-CN"/>
        </w:rPr>
        <w:t>4次</w:t>
      </w:r>
      <w:r>
        <w:rPr>
          <w:rFonts w:hint="eastAsia" w:ascii="仿宋_GB2312" w:eastAsia="仿宋_GB2312"/>
          <w:b w:val="0"/>
          <w:bCs w:val="0"/>
          <w:color w:val="auto"/>
          <w:sz w:val="32"/>
          <w:szCs w:val="32"/>
          <w:lang w:val="zh-CN" w:eastAsia="zh-CN"/>
        </w:rPr>
        <w:t>。四</w:t>
      </w:r>
      <w:r>
        <w:rPr>
          <w:rFonts w:hint="eastAsia" w:ascii="仿宋_GB2312" w:eastAsia="仿宋_GB2312"/>
          <w:b w:val="0"/>
          <w:bCs w:val="0"/>
          <w:color w:val="auto"/>
          <w:sz w:val="32"/>
          <w:szCs w:val="32"/>
          <w:lang w:val="en-US" w:eastAsia="zh-CN"/>
        </w:rPr>
        <w:t>是严格落实意识形态工作责任制，做好各级团员青年的教育引导，抓好意识形态领域风险防范工作。</w:t>
      </w:r>
    </w:p>
    <w:p>
      <w:pPr>
        <w:pStyle w:val="5"/>
        <w:pageBreakBefore w:val="0"/>
        <w:kinsoku/>
        <w:wordWrap/>
        <w:overflowPunct/>
        <w:topLinePunct w:val="0"/>
        <w:bidi w:val="0"/>
        <w:spacing w:line="576" w:lineRule="atLeast"/>
        <w:ind w:firstLine="640" w:firstLineChars="200"/>
        <w:textAlignment w:val="auto"/>
        <w:rPr>
          <w:rStyle w:val="29"/>
          <w:b w:val="0"/>
          <w:bCs w:val="0"/>
          <w:color w:val="auto"/>
          <w:highlight w:val="none"/>
        </w:rPr>
      </w:pPr>
      <w:bookmarkStart w:id="20" w:name="_Toc15377200"/>
      <w:bookmarkStart w:id="21" w:name="_Toc15396601"/>
      <w:r>
        <w:rPr>
          <w:rFonts w:hint="eastAsia" w:ascii="黑体" w:eastAsia="黑体"/>
          <w:b w:val="0"/>
          <w:bCs w:val="0"/>
          <w:color w:val="auto"/>
          <w:highlight w:val="none"/>
        </w:rPr>
        <w:t>二、</w:t>
      </w:r>
      <w:r>
        <w:rPr>
          <w:rFonts w:hint="eastAsia" w:ascii="黑体" w:hAnsi="黑体" w:eastAsia="黑体"/>
          <w:b w:val="0"/>
          <w:bCs w:val="0"/>
          <w:color w:val="auto"/>
          <w:highlight w:val="none"/>
        </w:rPr>
        <w:t>机</w:t>
      </w:r>
      <w:r>
        <w:rPr>
          <w:rStyle w:val="29"/>
          <w:rFonts w:hint="eastAsia" w:ascii="黑体" w:hAnsi="黑体" w:eastAsia="黑体"/>
          <w:b w:val="0"/>
          <w:bCs w:val="0"/>
          <w:color w:val="auto"/>
          <w:highlight w:val="none"/>
        </w:rPr>
        <w:t>构设置</w:t>
      </w:r>
      <w:bookmarkEnd w:id="20"/>
      <w:bookmarkEnd w:id="21"/>
    </w:p>
    <w:p>
      <w:pPr>
        <w:pStyle w:val="14"/>
        <w:pageBreakBefore w:val="0"/>
        <w:widowControl/>
        <w:kinsoku/>
        <w:wordWrap/>
        <w:overflowPunct/>
        <w:topLinePunct w:val="0"/>
        <w:bidi w:val="0"/>
        <w:spacing w:beforeAutospacing="0" w:afterAutospacing="0" w:line="576" w:lineRule="atLeas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共青团广元市朝天区委员会属一级预算单位，下属二级单位0个，其中行政单位0个，参照公务员法管理的事业单位0个，其他事业单位0个。</w:t>
      </w:r>
    </w:p>
    <w:p>
      <w:pPr>
        <w:pageBreakBefore w:val="0"/>
        <w:widowControl/>
        <w:kinsoku/>
        <w:wordWrap/>
        <w:overflowPunct/>
        <w:topLinePunct w:val="0"/>
        <w:bidi w:val="0"/>
        <w:spacing w:line="576" w:lineRule="atLeast"/>
        <w:jc w:val="left"/>
        <w:textAlignment w:val="auto"/>
        <w:rPr>
          <w:rFonts w:ascii="仿宋" w:hAnsi="仿宋" w:eastAsia="仿宋"/>
          <w:b w:val="0"/>
          <w:bCs w:val="0"/>
          <w:color w:val="auto"/>
          <w:kern w:val="0"/>
          <w:sz w:val="32"/>
          <w:szCs w:val="32"/>
          <w:highlight w:val="none"/>
        </w:rPr>
      </w:pPr>
      <w:r>
        <w:rPr>
          <w:rFonts w:ascii="仿宋" w:hAnsi="仿宋" w:eastAsia="仿宋"/>
          <w:b w:val="0"/>
          <w:bCs w:val="0"/>
          <w:color w:val="auto"/>
          <w:sz w:val="32"/>
          <w:szCs w:val="32"/>
          <w:highlight w:val="none"/>
        </w:rPr>
        <w:br w:type="page"/>
      </w:r>
    </w:p>
    <w:p>
      <w:pPr>
        <w:pStyle w:val="4"/>
        <w:pageBreakBefore w:val="0"/>
        <w:kinsoku/>
        <w:wordWrap/>
        <w:overflowPunct/>
        <w:topLinePunct w:val="0"/>
        <w:bidi w:val="0"/>
        <w:spacing w:line="576" w:lineRule="atLeast"/>
        <w:ind w:right="440"/>
        <w:jc w:val="center"/>
        <w:textAlignment w:val="auto"/>
        <w:rPr>
          <w:rStyle w:val="28"/>
          <w:rFonts w:ascii="黑体" w:hAnsi="黑体" w:eastAsia="黑体"/>
          <w:b w:val="0"/>
          <w:bCs w:val="0"/>
          <w:color w:val="auto"/>
          <w:highlight w:val="none"/>
        </w:rPr>
      </w:pPr>
      <w:bookmarkStart w:id="22" w:name="_Toc15377204"/>
      <w:bookmarkStart w:id="23" w:name="_Toc15396602"/>
      <w:r>
        <w:rPr>
          <w:rFonts w:hint="eastAsia" w:ascii="黑体" w:hAnsi="黑体" w:eastAsia="黑体"/>
          <w:b w:val="0"/>
          <w:bCs w:val="0"/>
          <w:color w:val="auto"/>
          <w:highlight w:val="none"/>
        </w:rPr>
        <w:t xml:space="preserve">第二部分 </w:t>
      </w:r>
      <w:r>
        <w:rPr>
          <w:rFonts w:hint="eastAsia" w:ascii="黑体" w:hAnsi="黑体" w:eastAsia="黑体"/>
          <w:b w:val="0"/>
          <w:bCs w:val="0"/>
          <w:color w:val="auto"/>
          <w:highlight w:val="none"/>
          <w:lang w:val="en-US" w:eastAsia="zh-CN"/>
        </w:rPr>
        <w:t>2021年度</w:t>
      </w:r>
      <w:r>
        <w:rPr>
          <w:rStyle w:val="28"/>
          <w:rFonts w:hint="eastAsia" w:ascii="黑体" w:hAnsi="黑体" w:eastAsia="黑体"/>
          <w:b w:val="0"/>
          <w:bCs w:val="0"/>
          <w:color w:val="auto"/>
          <w:highlight w:val="none"/>
        </w:rPr>
        <w:t>部门决算情况说明</w:t>
      </w:r>
      <w:bookmarkEnd w:id="22"/>
      <w:bookmarkEnd w:id="23"/>
    </w:p>
    <w:p>
      <w:pPr>
        <w:pStyle w:val="27"/>
        <w:pageBreakBefore w:val="0"/>
        <w:numPr>
          <w:ilvl w:val="0"/>
          <w:numId w:val="1"/>
        </w:numPr>
        <w:kinsoku/>
        <w:wordWrap/>
        <w:overflowPunct/>
        <w:topLinePunct w:val="0"/>
        <w:bidi w:val="0"/>
        <w:spacing w:line="576" w:lineRule="atLeast"/>
        <w:ind w:firstLineChars="0"/>
        <w:textAlignment w:val="auto"/>
        <w:outlineLvl w:val="1"/>
        <w:rPr>
          <w:rStyle w:val="29"/>
          <w:rFonts w:ascii="黑体" w:hAnsi="黑体" w:eastAsia="黑体"/>
          <w:b w:val="0"/>
          <w:bCs w:val="0"/>
          <w:color w:val="auto"/>
          <w:highlight w:val="none"/>
        </w:rPr>
      </w:pPr>
      <w:bookmarkStart w:id="24" w:name="_Toc15396603"/>
      <w:bookmarkStart w:id="25" w:name="_Toc15377205"/>
      <w:r>
        <w:rPr>
          <w:rFonts w:hint="eastAsia" w:ascii="黑体" w:hAnsi="黑体" w:eastAsia="黑体"/>
          <w:b w:val="0"/>
          <w:bCs w:val="0"/>
          <w:color w:val="auto"/>
          <w:sz w:val="32"/>
          <w:szCs w:val="32"/>
          <w:highlight w:val="none"/>
        </w:rPr>
        <w:t>收</w:t>
      </w:r>
      <w:r>
        <w:rPr>
          <w:rStyle w:val="29"/>
          <w:rFonts w:hint="eastAsia" w:ascii="黑体" w:hAnsi="黑体" w:eastAsia="黑体"/>
          <w:b w:val="0"/>
          <w:bCs w:val="0"/>
          <w:color w:val="auto"/>
          <w:highlight w:val="none"/>
        </w:rPr>
        <w:t>入支出决算总体情况说明</w:t>
      </w:r>
      <w:bookmarkEnd w:id="24"/>
      <w:bookmarkEnd w:id="25"/>
    </w:p>
    <w:p>
      <w:pPr>
        <w:pStyle w:val="14"/>
        <w:pageBreakBefore w:val="0"/>
        <w:widowControl/>
        <w:kinsoku/>
        <w:wordWrap/>
        <w:overflowPunct/>
        <w:topLinePunct w:val="0"/>
        <w:bidi w:val="0"/>
        <w:spacing w:beforeAutospacing="0" w:afterAutospacing="0" w:line="576" w:lineRule="atLeast"/>
        <w:ind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20</w:t>
      </w:r>
      <w:r>
        <w:rPr>
          <w:rFonts w:hint="eastAsia" w:ascii="仿宋_GB2312" w:eastAsia="仿宋_GB2312"/>
          <w:b w:val="0"/>
          <w:bCs w:val="0"/>
          <w:color w:val="auto"/>
          <w:sz w:val="32"/>
          <w:szCs w:val="32"/>
          <w:lang w:val="en-US" w:eastAsia="zh-CN"/>
        </w:rPr>
        <w:t>21</w:t>
      </w:r>
      <w:r>
        <w:rPr>
          <w:rFonts w:hint="eastAsia" w:ascii="仿宋_GB2312" w:eastAsia="仿宋_GB2312"/>
          <w:b w:val="0"/>
          <w:bCs w:val="0"/>
          <w:color w:val="auto"/>
          <w:sz w:val="32"/>
          <w:szCs w:val="32"/>
        </w:rPr>
        <w:t>年度收、支总计</w:t>
      </w:r>
      <w:r>
        <w:rPr>
          <w:rFonts w:hint="eastAsia" w:ascii="仿宋_GB2312" w:eastAsia="仿宋_GB2312"/>
          <w:b w:val="0"/>
          <w:bCs w:val="0"/>
          <w:color w:val="auto"/>
          <w:sz w:val="32"/>
          <w:szCs w:val="32"/>
          <w:lang w:val="en-US" w:eastAsia="zh-CN"/>
        </w:rPr>
        <w:t>142</w:t>
      </w:r>
      <w:r>
        <w:rPr>
          <w:rFonts w:hint="eastAsia" w:ascii="仿宋_GB2312" w:eastAsia="仿宋_GB2312"/>
          <w:b w:val="0"/>
          <w:bCs w:val="0"/>
          <w:color w:val="auto"/>
          <w:sz w:val="32"/>
          <w:szCs w:val="32"/>
        </w:rPr>
        <w:t>万元。与20</w:t>
      </w:r>
      <w:r>
        <w:rPr>
          <w:rFonts w:hint="eastAsia" w:ascii="仿宋_GB2312" w:eastAsia="仿宋_GB2312"/>
          <w:b w:val="0"/>
          <w:bCs w:val="0"/>
          <w:color w:val="auto"/>
          <w:sz w:val="32"/>
          <w:szCs w:val="32"/>
          <w:lang w:val="en-US" w:eastAsia="zh-CN"/>
        </w:rPr>
        <w:t>20</w:t>
      </w:r>
      <w:r>
        <w:rPr>
          <w:rFonts w:hint="eastAsia" w:ascii="仿宋_GB2312" w:eastAsia="仿宋_GB2312"/>
          <w:b w:val="0"/>
          <w:bCs w:val="0"/>
          <w:color w:val="auto"/>
          <w:sz w:val="32"/>
          <w:szCs w:val="32"/>
        </w:rPr>
        <w:t>年相比，收、支总计各增加</w:t>
      </w:r>
      <w:r>
        <w:rPr>
          <w:rFonts w:hint="eastAsia" w:ascii="仿宋_GB2312" w:eastAsia="仿宋_GB2312"/>
          <w:b w:val="0"/>
          <w:bCs w:val="0"/>
          <w:color w:val="auto"/>
          <w:sz w:val="32"/>
          <w:szCs w:val="32"/>
          <w:lang w:val="en-US" w:eastAsia="zh-CN"/>
        </w:rPr>
        <w:t>28.95</w:t>
      </w:r>
      <w:r>
        <w:rPr>
          <w:rFonts w:hint="eastAsia" w:ascii="仿宋_GB2312" w:eastAsia="仿宋_GB2312"/>
          <w:b w:val="0"/>
          <w:bCs w:val="0"/>
          <w:color w:val="auto"/>
          <w:sz w:val="32"/>
          <w:szCs w:val="32"/>
        </w:rPr>
        <w:t>万元，增长</w:t>
      </w:r>
      <w:r>
        <w:rPr>
          <w:rFonts w:hint="eastAsia" w:ascii="仿宋_GB2312" w:eastAsia="仿宋_GB2312"/>
          <w:b w:val="0"/>
          <w:bCs w:val="0"/>
          <w:color w:val="auto"/>
          <w:sz w:val="32"/>
          <w:szCs w:val="32"/>
          <w:lang w:val="en-US" w:eastAsia="zh-CN"/>
        </w:rPr>
        <w:t>25.61</w:t>
      </w:r>
      <w:r>
        <w:rPr>
          <w:rFonts w:hint="eastAsia" w:ascii="仿宋_GB2312" w:eastAsia="仿宋_GB2312"/>
          <w:b w:val="0"/>
          <w:bCs w:val="0"/>
          <w:color w:val="auto"/>
          <w:sz w:val="32"/>
          <w:szCs w:val="32"/>
        </w:rPr>
        <w:t>%。主要变动原因是</w:t>
      </w:r>
      <w:r>
        <w:rPr>
          <w:rFonts w:hint="eastAsia" w:ascii="仿宋_GB2312" w:eastAsia="仿宋_GB2312"/>
          <w:b w:val="0"/>
          <w:bCs w:val="0"/>
          <w:color w:val="auto"/>
          <w:sz w:val="32"/>
          <w:szCs w:val="32"/>
          <w:lang w:eastAsia="zh-CN"/>
        </w:rPr>
        <w:t>项目增加，如2021年新增天府旅游名县创建项目。</w:t>
      </w:r>
    </w:p>
    <w:p>
      <w:pPr>
        <w:pageBreakBefore w:val="0"/>
        <w:kinsoku/>
        <w:wordWrap/>
        <w:overflowPunct/>
        <w:topLinePunct w:val="0"/>
        <w:bidi w:val="0"/>
        <w:spacing w:line="576" w:lineRule="atLeast"/>
        <w:ind w:firstLine="420" w:firstLineChars="200"/>
        <w:jc w:val="center"/>
        <w:textAlignment w:val="auto"/>
        <w:rPr>
          <w:rFonts w:hint="eastAsia" w:ascii="仿宋" w:hAnsi="仿宋" w:eastAsia="仿宋"/>
          <w:b w:val="0"/>
          <w:bCs w:val="0"/>
          <w:color w:val="auto"/>
          <w:sz w:val="32"/>
          <w:szCs w:val="32"/>
          <w:highlight w:val="none"/>
        </w:rPr>
      </w:pPr>
      <w:r>
        <w:drawing>
          <wp:inline distT="0" distB="0" distL="114300" distR="114300">
            <wp:extent cx="3797300" cy="2025015"/>
            <wp:effectExtent l="4445" t="4445" r="8255"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ageBreakBefore w:val="0"/>
        <w:kinsoku/>
        <w:wordWrap/>
        <w:overflowPunct/>
        <w:topLinePunct w:val="0"/>
        <w:bidi w:val="0"/>
        <w:spacing w:line="576" w:lineRule="atLeast"/>
        <w:ind w:firstLine="640" w:firstLineChars="20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（图1：收、支决算总计变动情况图）（柱状图）</w:t>
      </w:r>
    </w:p>
    <w:p>
      <w:pPr>
        <w:pStyle w:val="27"/>
        <w:pageBreakBefore w:val="0"/>
        <w:numPr>
          <w:ilvl w:val="0"/>
          <w:numId w:val="1"/>
        </w:numPr>
        <w:kinsoku/>
        <w:wordWrap/>
        <w:overflowPunct/>
        <w:topLinePunct w:val="0"/>
        <w:bidi w:val="0"/>
        <w:spacing w:line="576" w:lineRule="atLeast"/>
        <w:ind w:firstLineChars="0"/>
        <w:textAlignment w:val="auto"/>
        <w:outlineLvl w:val="1"/>
        <w:rPr>
          <w:rStyle w:val="29"/>
          <w:rFonts w:ascii="黑体" w:hAnsi="黑体" w:eastAsia="黑体"/>
          <w:b w:val="0"/>
          <w:bCs w:val="0"/>
          <w:color w:val="auto"/>
          <w:highlight w:val="none"/>
        </w:rPr>
      </w:pPr>
      <w:bookmarkStart w:id="26" w:name="_Toc15396604"/>
      <w:bookmarkStart w:id="27" w:name="_Toc15377206"/>
      <w:r>
        <w:rPr>
          <w:rFonts w:hint="eastAsia" w:ascii="黑体" w:hAnsi="黑体" w:eastAsia="黑体"/>
          <w:b w:val="0"/>
          <w:bCs w:val="0"/>
          <w:color w:val="auto"/>
          <w:sz w:val="32"/>
          <w:szCs w:val="32"/>
          <w:highlight w:val="none"/>
        </w:rPr>
        <w:t>收</w:t>
      </w:r>
      <w:r>
        <w:rPr>
          <w:rStyle w:val="29"/>
          <w:rFonts w:hint="eastAsia" w:ascii="黑体" w:hAnsi="黑体" w:eastAsia="黑体"/>
          <w:b w:val="0"/>
          <w:bCs w:val="0"/>
          <w:color w:val="auto"/>
          <w:highlight w:val="none"/>
        </w:rPr>
        <w:t>入决算情况说明</w:t>
      </w:r>
      <w:bookmarkEnd w:id="26"/>
      <w:bookmarkEnd w:id="27"/>
    </w:p>
    <w:p>
      <w:pPr>
        <w:pageBreakBefore w:val="0"/>
        <w:kinsoku/>
        <w:wordWrap/>
        <w:overflowPunct/>
        <w:topLinePunct w:val="0"/>
        <w:bidi w:val="0"/>
        <w:spacing w:line="576" w:lineRule="atLeast"/>
        <w:ind w:firstLine="640" w:firstLineChars="200"/>
        <w:textAlignment w:val="auto"/>
        <w:outlineLvl w:val="1"/>
        <w:rPr>
          <w:rFonts w:ascii="仿宋" w:hAnsi="仿宋" w:eastAsia="仿宋"/>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年本年收入合计</w:t>
      </w:r>
      <w:r>
        <w:rPr>
          <w:rFonts w:hint="eastAsia" w:ascii="仿宋_GB2312" w:hAnsi="仿宋_GB2312" w:eastAsia="仿宋_GB2312" w:cs="仿宋_GB2312"/>
          <w:b w:val="0"/>
          <w:bCs w:val="0"/>
          <w:color w:val="auto"/>
          <w:sz w:val="32"/>
          <w:szCs w:val="32"/>
          <w:highlight w:val="none"/>
          <w:lang w:val="en-US" w:eastAsia="zh-CN"/>
        </w:rPr>
        <w:t>142</w:t>
      </w:r>
      <w:r>
        <w:rPr>
          <w:rFonts w:hint="eastAsia" w:ascii="仿宋_GB2312" w:hAnsi="仿宋_GB2312" w:eastAsia="仿宋_GB2312" w:cs="仿宋_GB2312"/>
          <w:b w:val="0"/>
          <w:bCs w:val="0"/>
          <w:color w:val="auto"/>
          <w:sz w:val="32"/>
          <w:szCs w:val="32"/>
          <w:highlight w:val="none"/>
        </w:rPr>
        <w:t>万元，其中：一般公共预算财政拨款收入</w:t>
      </w:r>
      <w:r>
        <w:rPr>
          <w:rFonts w:hint="eastAsia" w:ascii="仿宋_GB2312" w:hAnsi="仿宋_GB2312" w:eastAsia="仿宋_GB2312" w:cs="仿宋_GB2312"/>
          <w:b w:val="0"/>
          <w:bCs w:val="0"/>
          <w:color w:val="auto"/>
          <w:sz w:val="32"/>
          <w:szCs w:val="32"/>
          <w:highlight w:val="none"/>
          <w:lang w:val="en-US" w:eastAsia="zh-CN"/>
        </w:rPr>
        <w:t>142</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420" w:firstLineChars="200"/>
        <w:jc w:val="center"/>
        <w:textAlignment w:val="auto"/>
        <w:outlineLvl w:val="1"/>
        <w:rPr>
          <w:rFonts w:ascii="仿宋" w:hAnsi="仿宋" w:eastAsia="仿宋"/>
          <w:b w:val="0"/>
          <w:bCs w:val="0"/>
          <w:color w:val="auto"/>
          <w:sz w:val="32"/>
          <w:szCs w:val="32"/>
          <w:highlight w:val="none"/>
        </w:rPr>
      </w:pPr>
      <w:r>
        <w:drawing>
          <wp:inline distT="0" distB="0" distL="114300" distR="114300">
            <wp:extent cx="4035425" cy="2000250"/>
            <wp:effectExtent l="5080" t="4445" r="1714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kinsoku/>
        <w:wordWrap/>
        <w:overflowPunct/>
        <w:topLinePunct w:val="0"/>
        <w:bidi w:val="0"/>
        <w:spacing w:line="576" w:lineRule="atLeast"/>
        <w:ind w:firstLine="640" w:firstLineChars="20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（图2：收入决算结构图）（饼状图）</w:t>
      </w:r>
    </w:p>
    <w:p>
      <w:pPr>
        <w:pStyle w:val="27"/>
        <w:pageBreakBefore w:val="0"/>
        <w:numPr>
          <w:ilvl w:val="0"/>
          <w:numId w:val="1"/>
        </w:numPr>
        <w:kinsoku/>
        <w:wordWrap/>
        <w:overflowPunct/>
        <w:topLinePunct w:val="0"/>
        <w:bidi w:val="0"/>
        <w:spacing w:line="576" w:lineRule="atLeast"/>
        <w:ind w:firstLineChars="0"/>
        <w:textAlignment w:val="auto"/>
        <w:outlineLvl w:val="1"/>
        <w:rPr>
          <w:rStyle w:val="29"/>
          <w:rFonts w:ascii="黑体" w:hAnsi="黑体" w:eastAsia="黑体"/>
          <w:b w:val="0"/>
          <w:bCs w:val="0"/>
          <w:color w:val="auto"/>
          <w:highlight w:val="none"/>
        </w:rPr>
      </w:pPr>
      <w:bookmarkStart w:id="28" w:name="_Toc15396605"/>
      <w:bookmarkStart w:id="29" w:name="_Toc15377207"/>
      <w:r>
        <w:rPr>
          <w:rFonts w:hint="eastAsia" w:ascii="黑体" w:hAnsi="黑体" w:eastAsia="黑体"/>
          <w:b w:val="0"/>
          <w:bCs w:val="0"/>
          <w:color w:val="auto"/>
          <w:sz w:val="32"/>
          <w:szCs w:val="32"/>
          <w:highlight w:val="none"/>
        </w:rPr>
        <w:t>支</w:t>
      </w:r>
      <w:r>
        <w:rPr>
          <w:rStyle w:val="29"/>
          <w:rFonts w:hint="eastAsia" w:ascii="黑体" w:hAnsi="黑体" w:eastAsia="黑体"/>
          <w:b w:val="0"/>
          <w:bCs w:val="0"/>
          <w:color w:val="auto"/>
          <w:highlight w:val="none"/>
        </w:rPr>
        <w:t>出决算情况说明</w:t>
      </w:r>
      <w:bookmarkEnd w:id="28"/>
      <w:bookmarkEnd w:id="29"/>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年本年支出合计</w:t>
      </w:r>
      <w:r>
        <w:rPr>
          <w:rFonts w:hint="eastAsia" w:ascii="仿宋_GB2312" w:hAnsi="仿宋_GB2312" w:eastAsia="仿宋_GB2312" w:cs="仿宋_GB2312"/>
          <w:b w:val="0"/>
          <w:bCs w:val="0"/>
          <w:color w:val="auto"/>
          <w:sz w:val="32"/>
          <w:szCs w:val="32"/>
          <w:highlight w:val="none"/>
          <w:lang w:val="en-US" w:eastAsia="zh-CN"/>
        </w:rPr>
        <w:t>142</w:t>
      </w:r>
      <w:r>
        <w:rPr>
          <w:rFonts w:hint="eastAsia" w:ascii="仿宋_GB2312" w:hAnsi="仿宋_GB2312" w:eastAsia="仿宋_GB2312" w:cs="仿宋_GB2312"/>
          <w:b w:val="0"/>
          <w:bCs w:val="0"/>
          <w:color w:val="auto"/>
          <w:sz w:val="32"/>
          <w:szCs w:val="32"/>
          <w:highlight w:val="none"/>
        </w:rPr>
        <w:t>万元，其中：基本支出</w:t>
      </w:r>
      <w:r>
        <w:rPr>
          <w:rFonts w:hint="eastAsia" w:ascii="仿宋_GB2312" w:hAnsi="仿宋_GB2312" w:eastAsia="仿宋_GB2312" w:cs="仿宋_GB2312"/>
          <w:b w:val="0"/>
          <w:bCs w:val="0"/>
          <w:color w:val="auto"/>
          <w:sz w:val="32"/>
          <w:szCs w:val="32"/>
          <w:highlight w:val="none"/>
          <w:lang w:val="en-US" w:eastAsia="zh-CN"/>
        </w:rPr>
        <w:t>98</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69.01</w:t>
      </w:r>
      <w:r>
        <w:rPr>
          <w:rFonts w:hint="eastAsia" w:ascii="仿宋_GB2312" w:hAnsi="仿宋_GB2312" w:eastAsia="仿宋_GB2312" w:cs="仿宋_GB2312"/>
          <w:b w:val="0"/>
          <w:bCs w:val="0"/>
          <w:color w:val="auto"/>
          <w:sz w:val="32"/>
          <w:szCs w:val="32"/>
          <w:highlight w:val="none"/>
        </w:rPr>
        <w:t>%；项目支出</w:t>
      </w:r>
      <w:r>
        <w:rPr>
          <w:rFonts w:hint="eastAsia" w:ascii="仿宋_GB2312" w:hAnsi="仿宋_GB2312" w:eastAsia="仿宋_GB2312" w:cs="仿宋_GB2312"/>
          <w:b w:val="0"/>
          <w:bCs w:val="0"/>
          <w:color w:val="auto"/>
          <w:sz w:val="32"/>
          <w:szCs w:val="32"/>
          <w:highlight w:val="none"/>
          <w:lang w:val="en-US" w:eastAsia="zh-CN"/>
        </w:rPr>
        <w:t>44</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30.99</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jc w:val="center"/>
        <w:textAlignment w:val="auto"/>
        <w:rPr>
          <w:rFonts w:ascii="仿宋" w:hAnsi="仿宋" w:eastAsia="仿宋"/>
          <w:b w:val="0"/>
          <w:bCs w:val="0"/>
          <w:color w:val="auto"/>
          <w:sz w:val="32"/>
          <w:szCs w:val="32"/>
          <w:highlight w:val="none"/>
          <w:shd w:val="pct10" w:color="auto" w:fill="FFFFFF"/>
        </w:rPr>
      </w:pPr>
      <w:r>
        <w:drawing>
          <wp:inline distT="0" distB="0" distL="114300" distR="114300">
            <wp:extent cx="3971290" cy="1948815"/>
            <wp:effectExtent l="4445" t="4445" r="5715" b="889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576" w:lineRule="atLeast"/>
        <w:ind w:firstLine="640" w:firstLineChars="20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（图3：支出决算结构图）（饼状图）</w:t>
      </w:r>
    </w:p>
    <w:p>
      <w:pPr>
        <w:pageBreakBefore w:val="0"/>
        <w:kinsoku/>
        <w:wordWrap/>
        <w:overflowPunct/>
        <w:topLinePunct w:val="0"/>
        <w:bidi w:val="0"/>
        <w:spacing w:line="576" w:lineRule="atLeast"/>
        <w:ind w:firstLine="640" w:firstLineChars="200"/>
        <w:textAlignment w:val="auto"/>
        <w:outlineLvl w:val="1"/>
        <w:rPr>
          <w:rStyle w:val="29"/>
          <w:rFonts w:ascii="黑体" w:hAnsi="黑体" w:eastAsia="黑体"/>
          <w:b w:val="0"/>
          <w:bCs w:val="0"/>
          <w:color w:val="auto"/>
          <w:highlight w:val="none"/>
        </w:rPr>
      </w:pPr>
      <w:bookmarkStart w:id="30" w:name="_Toc15396606"/>
      <w:bookmarkStart w:id="31" w:name="_Toc15377208"/>
      <w:r>
        <w:rPr>
          <w:rFonts w:hint="eastAsia" w:ascii="黑体" w:hAnsi="黑体" w:eastAsia="黑体"/>
          <w:b w:val="0"/>
          <w:bCs w:val="0"/>
          <w:color w:val="auto"/>
          <w:sz w:val="32"/>
          <w:szCs w:val="32"/>
          <w:highlight w:val="none"/>
        </w:rPr>
        <w:t>四、财</w:t>
      </w:r>
      <w:r>
        <w:rPr>
          <w:rStyle w:val="29"/>
          <w:rFonts w:hint="eastAsia" w:ascii="黑体" w:hAnsi="黑体" w:eastAsia="黑体"/>
          <w:b w:val="0"/>
          <w:bCs w:val="0"/>
          <w:color w:val="auto"/>
          <w:highlight w:val="none"/>
        </w:rPr>
        <w:t>政拨款收入支出决算总体情况说明</w:t>
      </w:r>
      <w:bookmarkEnd w:id="30"/>
      <w:bookmarkEnd w:id="31"/>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年财政拨款收、支总计</w:t>
      </w:r>
      <w:r>
        <w:rPr>
          <w:rFonts w:hint="eastAsia" w:ascii="仿宋_GB2312" w:hAnsi="仿宋_GB2312" w:eastAsia="仿宋_GB2312" w:cs="仿宋_GB2312"/>
          <w:b w:val="0"/>
          <w:bCs w:val="0"/>
          <w:color w:val="auto"/>
          <w:sz w:val="32"/>
          <w:szCs w:val="32"/>
          <w:highlight w:val="none"/>
          <w:lang w:val="en-US" w:eastAsia="zh-CN"/>
        </w:rPr>
        <w:t>142</w:t>
      </w:r>
      <w:r>
        <w:rPr>
          <w:rFonts w:hint="eastAsia" w:ascii="仿宋_GB2312" w:hAnsi="仿宋_GB2312" w:eastAsia="仿宋_GB2312" w:cs="仿宋_GB2312"/>
          <w:b w:val="0"/>
          <w:bCs w:val="0"/>
          <w:color w:val="auto"/>
          <w:sz w:val="32"/>
          <w:szCs w:val="32"/>
          <w:highlight w:val="none"/>
        </w:rPr>
        <w:t>万元。与20</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年相比，财政拨款收、支总计各增加</w:t>
      </w:r>
      <w:r>
        <w:rPr>
          <w:rFonts w:hint="eastAsia" w:ascii="仿宋_GB2312" w:hAnsi="仿宋_GB2312" w:eastAsia="仿宋_GB2312" w:cs="仿宋_GB2312"/>
          <w:b w:val="0"/>
          <w:bCs w:val="0"/>
          <w:color w:val="auto"/>
          <w:sz w:val="32"/>
          <w:szCs w:val="32"/>
          <w:highlight w:val="none"/>
          <w:lang w:val="en-US" w:eastAsia="zh-CN"/>
        </w:rPr>
        <w:t>28.95</w:t>
      </w:r>
      <w:r>
        <w:rPr>
          <w:rFonts w:hint="eastAsia" w:ascii="仿宋_GB2312" w:hAnsi="仿宋_GB2312" w:eastAsia="仿宋_GB2312" w:cs="仿宋_GB2312"/>
          <w:b w:val="0"/>
          <w:bCs w:val="0"/>
          <w:color w:val="auto"/>
          <w:sz w:val="32"/>
          <w:szCs w:val="32"/>
          <w:highlight w:val="none"/>
        </w:rPr>
        <w:t>万元，增长</w:t>
      </w:r>
      <w:r>
        <w:rPr>
          <w:rFonts w:hint="eastAsia" w:ascii="仿宋_GB2312" w:hAnsi="仿宋_GB2312" w:eastAsia="仿宋_GB2312" w:cs="仿宋_GB2312"/>
          <w:b w:val="0"/>
          <w:bCs w:val="0"/>
          <w:color w:val="auto"/>
          <w:sz w:val="32"/>
          <w:szCs w:val="32"/>
          <w:highlight w:val="none"/>
          <w:lang w:val="en-US" w:eastAsia="zh-CN"/>
        </w:rPr>
        <w:t>25.61</w:t>
      </w:r>
      <w:r>
        <w:rPr>
          <w:rFonts w:hint="eastAsia" w:ascii="仿宋_GB2312" w:hAnsi="仿宋_GB2312" w:eastAsia="仿宋_GB2312" w:cs="仿宋_GB2312"/>
          <w:b w:val="0"/>
          <w:bCs w:val="0"/>
          <w:color w:val="auto"/>
          <w:sz w:val="32"/>
          <w:szCs w:val="32"/>
          <w:highlight w:val="none"/>
        </w:rPr>
        <w:t>%。主要变动原因是</w:t>
      </w:r>
      <w:r>
        <w:rPr>
          <w:rFonts w:hint="eastAsia" w:ascii="仿宋_GB2312" w:hAnsi="仿宋_GB2312" w:eastAsia="仿宋_GB2312" w:cs="仿宋_GB2312"/>
          <w:b w:val="0"/>
          <w:bCs w:val="0"/>
          <w:color w:val="auto"/>
          <w:sz w:val="32"/>
          <w:szCs w:val="32"/>
          <w:highlight w:val="none"/>
          <w:lang w:eastAsia="zh-CN"/>
        </w:rPr>
        <w:t>项目增加，</w:t>
      </w:r>
      <w:r>
        <w:rPr>
          <w:rFonts w:hint="eastAsia" w:ascii="仿宋_GB2312" w:eastAsia="仿宋_GB2312"/>
          <w:b w:val="0"/>
          <w:bCs w:val="0"/>
          <w:color w:val="auto"/>
          <w:sz w:val="32"/>
          <w:szCs w:val="32"/>
          <w:lang w:eastAsia="zh-CN"/>
        </w:rPr>
        <w:t>如2021年新增天府旅游名县创建项目</w:t>
      </w:r>
      <w:r>
        <w:rPr>
          <w:rFonts w:hint="eastAsia" w:ascii="仿宋_GB2312" w:hAnsi="仿宋_GB2312" w:eastAsia="仿宋_GB2312" w:cs="仿宋_GB2312"/>
          <w:b w:val="0"/>
          <w:bCs w:val="0"/>
          <w:color w:val="auto"/>
          <w:sz w:val="32"/>
          <w:szCs w:val="32"/>
          <w:highlight w:val="none"/>
          <w:lang w:eastAsia="zh-CN"/>
        </w:rPr>
        <w:t>。</w:t>
      </w:r>
    </w:p>
    <w:p>
      <w:pPr>
        <w:pageBreakBefore w:val="0"/>
        <w:kinsoku/>
        <w:wordWrap/>
        <w:overflowPunct/>
        <w:topLinePunct w:val="0"/>
        <w:bidi w:val="0"/>
        <w:spacing w:line="576" w:lineRule="atLeast"/>
        <w:ind w:firstLine="420" w:firstLineChars="200"/>
        <w:jc w:val="center"/>
        <w:textAlignment w:val="auto"/>
      </w:pPr>
      <w:r>
        <w:drawing>
          <wp:inline distT="0" distB="0" distL="114300" distR="114300">
            <wp:extent cx="3644900" cy="2288540"/>
            <wp:effectExtent l="5080" t="5080" r="7620" b="1143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576" w:lineRule="atLeast"/>
        <w:ind w:firstLine="640" w:firstLineChars="20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（图4：财政拨款收、支决算总计变动情况）（柱状图）</w:t>
      </w:r>
    </w:p>
    <w:p>
      <w:pPr>
        <w:pageBreakBefore w:val="0"/>
        <w:kinsoku/>
        <w:wordWrap/>
        <w:overflowPunct/>
        <w:topLinePunct w:val="0"/>
        <w:bidi w:val="0"/>
        <w:spacing w:line="576" w:lineRule="atLeast"/>
        <w:ind w:firstLine="640" w:firstLineChars="200"/>
        <w:textAlignment w:val="auto"/>
        <w:outlineLvl w:val="1"/>
        <w:rPr>
          <w:rStyle w:val="29"/>
          <w:rFonts w:ascii="黑体" w:hAnsi="黑体" w:eastAsia="黑体"/>
          <w:b w:val="0"/>
          <w:bCs w:val="0"/>
          <w:color w:val="auto"/>
          <w:highlight w:val="none"/>
        </w:rPr>
      </w:pPr>
      <w:bookmarkStart w:id="32" w:name="_Toc15377209"/>
      <w:bookmarkStart w:id="33" w:name="_Toc15396607"/>
      <w:r>
        <w:rPr>
          <w:rFonts w:hint="eastAsia" w:ascii="黑体" w:hAnsi="黑体" w:eastAsia="黑体"/>
          <w:b w:val="0"/>
          <w:bCs w:val="0"/>
          <w:color w:val="auto"/>
          <w:sz w:val="32"/>
          <w:szCs w:val="32"/>
          <w:highlight w:val="none"/>
        </w:rPr>
        <w:t>五、一</w:t>
      </w:r>
      <w:r>
        <w:rPr>
          <w:rStyle w:val="29"/>
          <w:rFonts w:hint="eastAsia" w:ascii="黑体" w:hAnsi="黑体" w:eastAsia="黑体"/>
          <w:b w:val="0"/>
          <w:bCs w:val="0"/>
          <w:color w:val="auto"/>
          <w:highlight w:val="none"/>
        </w:rPr>
        <w:t>般公共预算财政拨款支出决算情况说明</w:t>
      </w:r>
      <w:bookmarkEnd w:id="32"/>
      <w:bookmarkEnd w:id="33"/>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bookmarkStart w:id="34" w:name="_Toc15377210"/>
      <w:r>
        <w:rPr>
          <w:rFonts w:hint="eastAsia" w:ascii="仿宋_GB2312" w:hAnsi="仿宋_GB2312" w:eastAsia="仿宋_GB2312" w:cs="仿宋_GB2312"/>
          <w:b w:val="0"/>
          <w:bCs w:val="0"/>
          <w:color w:val="auto"/>
          <w:sz w:val="32"/>
          <w:szCs w:val="32"/>
          <w:highlight w:val="none"/>
        </w:rPr>
        <w:t>（一）一般公共预算财政拨款支出决算总体情况</w:t>
      </w:r>
      <w:bookmarkEnd w:id="34"/>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年一般公共预算财政拨款支出</w:t>
      </w:r>
      <w:r>
        <w:rPr>
          <w:rFonts w:hint="eastAsia" w:ascii="仿宋_GB2312" w:hAnsi="仿宋_GB2312" w:eastAsia="仿宋_GB2312" w:cs="仿宋_GB2312"/>
          <w:b w:val="0"/>
          <w:bCs w:val="0"/>
          <w:color w:val="auto"/>
          <w:sz w:val="32"/>
          <w:szCs w:val="32"/>
          <w:highlight w:val="none"/>
          <w:lang w:val="en-US" w:eastAsia="zh-CN"/>
        </w:rPr>
        <w:t>142</w:t>
      </w:r>
      <w:r>
        <w:rPr>
          <w:rFonts w:hint="eastAsia" w:ascii="仿宋_GB2312" w:hAnsi="仿宋_GB2312" w:eastAsia="仿宋_GB2312" w:cs="仿宋_GB2312"/>
          <w:b w:val="0"/>
          <w:bCs w:val="0"/>
          <w:color w:val="auto"/>
          <w:sz w:val="32"/>
          <w:szCs w:val="32"/>
          <w:highlight w:val="none"/>
        </w:rPr>
        <w:t>万元，占本年支出合计的</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%。与20</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年相比，一般公共预算财政拨款</w:t>
      </w:r>
      <w:r>
        <w:rPr>
          <w:rFonts w:hint="eastAsia" w:ascii="仿宋_GB2312" w:hAnsi="仿宋_GB2312" w:eastAsia="仿宋_GB2312" w:cs="仿宋_GB2312"/>
          <w:b w:val="0"/>
          <w:bCs w:val="0"/>
          <w:color w:val="auto"/>
          <w:sz w:val="32"/>
          <w:szCs w:val="32"/>
          <w:highlight w:val="none"/>
          <w:lang w:eastAsia="zh-CN"/>
        </w:rPr>
        <w:t>支出</w:t>
      </w:r>
      <w:r>
        <w:rPr>
          <w:rFonts w:hint="eastAsia" w:ascii="仿宋_GB2312" w:hAnsi="仿宋_GB2312" w:eastAsia="仿宋_GB2312" w:cs="仿宋_GB2312"/>
          <w:b w:val="0"/>
          <w:bCs w:val="0"/>
          <w:color w:val="auto"/>
          <w:sz w:val="32"/>
          <w:szCs w:val="32"/>
          <w:highlight w:val="none"/>
        </w:rPr>
        <w:t>增加</w:t>
      </w:r>
      <w:r>
        <w:rPr>
          <w:rFonts w:hint="eastAsia" w:ascii="仿宋_GB2312" w:hAnsi="仿宋_GB2312" w:eastAsia="仿宋_GB2312" w:cs="仿宋_GB2312"/>
          <w:b w:val="0"/>
          <w:bCs w:val="0"/>
          <w:color w:val="auto"/>
          <w:sz w:val="32"/>
          <w:szCs w:val="32"/>
          <w:highlight w:val="none"/>
          <w:lang w:val="en-US" w:eastAsia="zh-CN"/>
        </w:rPr>
        <w:t>28.95</w:t>
      </w:r>
      <w:r>
        <w:rPr>
          <w:rFonts w:hint="eastAsia" w:ascii="仿宋_GB2312" w:hAnsi="仿宋_GB2312" w:eastAsia="仿宋_GB2312" w:cs="仿宋_GB2312"/>
          <w:b w:val="0"/>
          <w:bCs w:val="0"/>
          <w:color w:val="auto"/>
          <w:sz w:val="32"/>
          <w:szCs w:val="32"/>
          <w:highlight w:val="none"/>
        </w:rPr>
        <w:t>万元，增长</w:t>
      </w:r>
      <w:r>
        <w:rPr>
          <w:rFonts w:hint="eastAsia" w:ascii="仿宋_GB2312" w:hAnsi="仿宋_GB2312" w:eastAsia="仿宋_GB2312" w:cs="仿宋_GB2312"/>
          <w:b w:val="0"/>
          <w:bCs w:val="0"/>
          <w:color w:val="auto"/>
          <w:sz w:val="32"/>
          <w:szCs w:val="32"/>
          <w:highlight w:val="none"/>
          <w:lang w:val="en-US" w:eastAsia="zh-CN"/>
        </w:rPr>
        <w:t>25.61</w:t>
      </w:r>
      <w:r>
        <w:rPr>
          <w:rFonts w:hint="eastAsia" w:ascii="仿宋_GB2312" w:hAnsi="仿宋_GB2312" w:eastAsia="仿宋_GB2312" w:cs="仿宋_GB2312"/>
          <w:b w:val="0"/>
          <w:bCs w:val="0"/>
          <w:color w:val="auto"/>
          <w:sz w:val="32"/>
          <w:szCs w:val="32"/>
          <w:highlight w:val="none"/>
        </w:rPr>
        <w:t>%。</w:t>
      </w:r>
      <w:r>
        <w:rPr>
          <w:rFonts w:hint="eastAsia" w:ascii="仿宋_GB2312" w:eastAsia="仿宋_GB2312"/>
          <w:b w:val="0"/>
          <w:bCs w:val="0"/>
          <w:color w:val="auto"/>
          <w:sz w:val="32"/>
          <w:szCs w:val="32"/>
        </w:rPr>
        <w:t>主要变动原因是</w:t>
      </w:r>
      <w:r>
        <w:rPr>
          <w:rFonts w:hint="eastAsia" w:ascii="仿宋_GB2312" w:eastAsia="仿宋_GB2312"/>
          <w:b w:val="0"/>
          <w:bCs w:val="0"/>
          <w:color w:val="auto"/>
          <w:sz w:val="32"/>
          <w:szCs w:val="32"/>
          <w:lang w:eastAsia="zh-CN"/>
        </w:rPr>
        <w:t>项目增加，如2021年新增天府旅游名县创建项目</w:t>
      </w:r>
      <w:r>
        <w:rPr>
          <w:rFonts w:hint="eastAsia" w:ascii="仿宋_GB2312" w:hAnsi="仿宋_GB2312" w:eastAsia="仿宋_GB2312" w:cs="仿宋_GB2312"/>
          <w:b w:val="0"/>
          <w:bCs w:val="0"/>
          <w:color w:val="auto"/>
          <w:sz w:val="32"/>
          <w:szCs w:val="32"/>
          <w:highlight w:val="none"/>
          <w:lang w:eastAsia="zh-CN"/>
        </w:rPr>
        <w:t>。</w:t>
      </w:r>
    </w:p>
    <w:p>
      <w:pPr>
        <w:pageBreakBefore w:val="0"/>
        <w:kinsoku/>
        <w:wordWrap/>
        <w:overflowPunct/>
        <w:topLinePunct w:val="0"/>
        <w:bidi w:val="0"/>
        <w:spacing w:line="576" w:lineRule="atLeast"/>
        <w:ind w:firstLine="420" w:firstLineChars="200"/>
        <w:jc w:val="center"/>
        <w:textAlignment w:val="auto"/>
        <w:rPr>
          <w:rFonts w:ascii="仿宋" w:hAnsi="仿宋" w:eastAsia="仿宋"/>
          <w:b w:val="0"/>
          <w:bCs w:val="0"/>
          <w:color w:val="auto"/>
          <w:sz w:val="32"/>
          <w:szCs w:val="32"/>
          <w:highlight w:val="none"/>
        </w:rPr>
      </w:pPr>
      <w:r>
        <w:drawing>
          <wp:inline distT="0" distB="0" distL="114300" distR="114300">
            <wp:extent cx="4121785" cy="2284730"/>
            <wp:effectExtent l="4445" t="4445" r="7620" b="1587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76" w:lineRule="atLeast"/>
        <w:ind w:firstLine="576" w:firstLineChars="200"/>
        <w:jc w:val="center"/>
        <w:textAlignment w:val="auto"/>
        <w:rPr>
          <w:rFonts w:hint="eastAsia" w:ascii="仿宋_GB2312" w:hAnsi="仿宋_GB2312" w:eastAsia="仿宋_GB2312" w:cs="仿宋_GB2312"/>
          <w:b w:val="0"/>
          <w:bCs w:val="0"/>
          <w:color w:val="auto"/>
          <w:w w:val="90"/>
          <w:sz w:val="32"/>
          <w:szCs w:val="32"/>
          <w:highlight w:val="none"/>
        </w:rPr>
      </w:pPr>
      <w:r>
        <w:rPr>
          <w:rFonts w:hint="eastAsia" w:ascii="仿宋_GB2312" w:hAnsi="仿宋_GB2312" w:eastAsia="仿宋_GB2312" w:cs="仿宋_GB2312"/>
          <w:b w:val="0"/>
          <w:bCs w:val="0"/>
          <w:color w:val="auto"/>
          <w:w w:val="90"/>
          <w:sz w:val="32"/>
          <w:szCs w:val="32"/>
          <w:highlight w:val="none"/>
        </w:rPr>
        <w:t>（图5：一般公共预算财政拨款支出决算变动情况）（柱状图）</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bookmarkStart w:id="35" w:name="_Toc15377211"/>
      <w:r>
        <w:rPr>
          <w:rFonts w:hint="eastAsia" w:ascii="仿宋_GB2312" w:hAnsi="仿宋_GB2312" w:eastAsia="仿宋_GB2312" w:cs="仿宋_GB2312"/>
          <w:b w:val="0"/>
          <w:bCs w:val="0"/>
          <w:color w:val="auto"/>
          <w:sz w:val="32"/>
          <w:szCs w:val="32"/>
          <w:highlight w:val="none"/>
        </w:rPr>
        <w:t>（二）一般公共预算财政拨款支出决算结构情况</w:t>
      </w:r>
      <w:bookmarkEnd w:id="35"/>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年一般公共预算财政拨款支出</w:t>
      </w:r>
      <w:r>
        <w:rPr>
          <w:rFonts w:hint="eastAsia" w:ascii="仿宋_GB2312" w:hAnsi="仿宋_GB2312" w:eastAsia="仿宋_GB2312" w:cs="仿宋_GB2312"/>
          <w:b w:val="0"/>
          <w:bCs w:val="0"/>
          <w:color w:val="auto"/>
          <w:sz w:val="32"/>
          <w:szCs w:val="32"/>
          <w:highlight w:val="none"/>
          <w:lang w:val="en-US" w:eastAsia="zh-CN"/>
        </w:rPr>
        <w:t>142</w:t>
      </w:r>
      <w:r>
        <w:rPr>
          <w:rFonts w:hint="eastAsia" w:ascii="仿宋_GB2312" w:hAnsi="仿宋_GB2312" w:eastAsia="仿宋_GB2312" w:cs="仿宋_GB2312"/>
          <w:b w:val="0"/>
          <w:bCs w:val="0"/>
          <w:color w:val="auto"/>
          <w:sz w:val="32"/>
          <w:szCs w:val="32"/>
          <w:highlight w:val="none"/>
        </w:rPr>
        <w:t>万元，主要用于以下方面:一般公共服务（类）支出</w:t>
      </w:r>
      <w:r>
        <w:rPr>
          <w:rFonts w:hint="eastAsia" w:ascii="仿宋_GB2312" w:hAnsi="仿宋_GB2312" w:eastAsia="仿宋_GB2312" w:cs="仿宋_GB2312"/>
          <w:b w:val="0"/>
          <w:bCs w:val="0"/>
          <w:color w:val="auto"/>
          <w:sz w:val="32"/>
          <w:szCs w:val="32"/>
          <w:highlight w:val="none"/>
          <w:lang w:val="en-US" w:eastAsia="zh-CN"/>
        </w:rPr>
        <w:t>130.56</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91.94</w:t>
      </w:r>
      <w:r>
        <w:rPr>
          <w:rFonts w:hint="eastAsia" w:ascii="仿宋_GB2312" w:hAnsi="仿宋_GB2312" w:eastAsia="仿宋_GB2312" w:cs="仿宋_GB2312"/>
          <w:b w:val="0"/>
          <w:bCs w:val="0"/>
          <w:color w:val="auto"/>
          <w:sz w:val="32"/>
          <w:szCs w:val="32"/>
          <w:highlight w:val="none"/>
        </w:rPr>
        <w:t>%；社会保障和就业（类）支出</w:t>
      </w:r>
      <w:r>
        <w:rPr>
          <w:rFonts w:hint="eastAsia" w:ascii="仿宋_GB2312" w:hAnsi="仿宋_GB2312" w:eastAsia="仿宋_GB2312" w:cs="仿宋_GB2312"/>
          <w:b w:val="0"/>
          <w:bCs w:val="0"/>
          <w:color w:val="auto"/>
          <w:sz w:val="32"/>
          <w:szCs w:val="32"/>
          <w:highlight w:val="none"/>
          <w:lang w:val="en-US" w:eastAsia="zh-CN"/>
        </w:rPr>
        <w:t>6.17</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4.35</w:t>
      </w:r>
      <w:r>
        <w:rPr>
          <w:rFonts w:hint="eastAsia" w:ascii="仿宋_GB2312" w:hAnsi="仿宋_GB2312" w:eastAsia="仿宋_GB2312" w:cs="仿宋_GB2312"/>
          <w:b w:val="0"/>
          <w:bCs w:val="0"/>
          <w:color w:val="auto"/>
          <w:sz w:val="32"/>
          <w:szCs w:val="32"/>
          <w:highlight w:val="none"/>
        </w:rPr>
        <w:t>%；卫生健康支出</w:t>
      </w:r>
      <w:r>
        <w:rPr>
          <w:rFonts w:hint="eastAsia" w:ascii="仿宋_GB2312" w:hAnsi="仿宋_GB2312" w:eastAsia="仿宋_GB2312" w:cs="仿宋_GB2312"/>
          <w:b w:val="0"/>
          <w:bCs w:val="0"/>
          <w:color w:val="auto"/>
          <w:sz w:val="32"/>
          <w:szCs w:val="32"/>
          <w:highlight w:val="none"/>
          <w:lang w:val="en-US" w:eastAsia="zh-CN"/>
        </w:rPr>
        <w:t>2.11</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1.48</w:t>
      </w:r>
      <w:r>
        <w:rPr>
          <w:rFonts w:hint="eastAsia" w:ascii="仿宋_GB2312" w:hAnsi="仿宋_GB2312" w:eastAsia="仿宋_GB2312" w:cs="仿宋_GB2312"/>
          <w:b w:val="0"/>
          <w:bCs w:val="0"/>
          <w:color w:val="auto"/>
          <w:sz w:val="32"/>
          <w:szCs w:val="32"/>
          <w:highlight w:val="none"/>
        </w:rPr>
        <w:t>%；住房保障（类）支出</w:t>
      </w:r>
      <w:r>
        <w:rPr>
          <w:rFonts w:hint="eastAsia" w:ascii="仿宋_GB2312" w:hAnsi="仿宋_GB2312" w:eastAsia="仿宋_GB2312" w:cs="仿宋_GB2312"/>
          <w:b w:val="0"/>
          <w:bCs w:val="0"/>
          <w:color w:val="auto"/>
          <w:sz w:val="32"/>
          <w:szCs w:val="32"/>
          <w:highlight w:val="none"/>
          <w:lang w:val="en-US" w:eastAsia="zh-CN"/>
        </w:rPr>
        <w:t>3.16</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2.23</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jc w:val="center"/>
        <w:textAlignment w:val="auto"/>
        <w:rPr>
          <w:rFonts w:ascii="仿宋" w:hAnsi="仿宋" w:eastAsia="仿宋"/>
          <w:b w:val="0"/>
          <w:bCs w:val="0"/>
          <w:color w:val="auto"/>
          <w:sz w:val="32"/>
          <w:szCs w:val="32"/>
          <w:highlight w:val="none"/>
        </w:rPr>
      </w:pPr>
      <w:r>
        <w:drawing>
          <wp:inline distT="0" distB="0" distL="114300" distR="114300">
            <wp:extent cx="3923030" cy="2042160"/>
            <wp:effectExtent l="4445" t="4445" r="15875" b="1079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576" w:lineRule="atLeast"/>
        <w:ind w:firstLine="576" w:firstLineChars="200"/>
        <w:jc w:val="center"/>
        <w:textAlignment w:val="auto"/>
        <w:rPr>
          <w:rFonts w:hint="eastAsia" w:ascii="仿宋_GB2312" w:hAnsi="仿宋_GB2312" w:eastAsia="仿宋_GB2312" w:cs="仿宋_GB2312"/>
          <w:b w:val="0"/>
          <w:bCs w:val="0"/>
          <w:color w:val="auto"/>
          <w:w w:val="90"/>
          <w:sz w:val="32"/>
          <w:szCs w:val="32"/>
          <w:highlight w:val="none"/>
        </w:rPr>
      </w:pPr>
      <w:r>
        <w:rPr>
          <w:rFonts w:hint="eastAsia" w:ascii="仿宋_GB2312" w:hAnsi="仿宋_GB2312" w:eastAsia="仿宋_GB2312" w:cs="仿宋_GB2312"/>
          <w:b w:val="0"/>
          <w:bCs w:val="0"/>
          <w:color w:val="auto"/>
          <w:w w:val="90"/>
          <w:sz w:val="32"/>
          <w:szCs w:val="32"/>
          <w:highlight w:val="none"/>
        </w:rPr>
        <w:t>（图6：一般公共预算财政拨款支出决算结构）（饼状图）</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bookmarkStart w:id="36" w:name="_Toc15377212"/>
      <w:r>
        <w:rPr>
          <w:rFonts w:hint="eastAsia" w:ascii="仿宋_GB2312" w:hAnsi="仿宋_GB2312" w:eastAsia="仿宋_GB2312" w:cs="仿宋_GB2312"/>
          <w:b w:val="0"/>
          <w:bCs w:val="0"/>
          <w:color w:val="auto"/>
          <w:sz w:val="32"/>
          <w:szCs w:val="32"/>
          <w:highlight w:val="none"/>
        </w:rPr>
        <w:t>（三）一般公共预算财政拨款支出决算具体情况</w:t>
      </w:r>
      <w:bookmarkEnd w:id="36"/>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bookmarkStart w:id="37" w:name="_Toc15378460"/>
      <w:bookmarkStart w:id="38" w:name="_Toc15377213"/>
      <w:bookmarkStart w:id="39" w:name="_Toc15377444"/>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般公共预算支出决算数为</w:t>
      </w:r>
      <w:r>
        <w:rPr>
          <w:rFonts w:hint="eastAsia" w:ascii="仿宋_GB2312" w:hAnsi="仿宋_GB2312" w:eastAsia="仿宋_GB2312" w:cs="仿宋_GB2312"/>
          <w:b w:val="0"/>
          <w:bCs w:val="0"/>
          <w:color w:val="auto"/>
          <w:sz w:val="32"/>
          <w:szCs w:val="32"/>
          <w:highlight w:val="none"/>
          <w:lang w:val="en-US" w:eastAsia="zh-CN"/>
        </w:rPr>
        <w:t>142</w:t>
      </w:r>
      <w:r>
        <w:rPr>
          <w:rFonts w:hint="eastAsia" w:ascii="仿宋_GB2312" w:hAnsi="仿宋_GB2312" w:eastAsia="仿宋_GB2312" w:cs="仿宋_GB2312"/>
          <w:b w:val="0"/>
          <w:bCs w:val="0"/>
          <w:color w:val="auto"/>
          <w:sz w:val="32"/>
          <w:szCs w:val="32"/>
          <w:highlight w:val="none"/>
        </w:rPr>
        <w:t>，完成预算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%。其中：</w:t>
      </w:r>
      <w:bookmarkEnd w:id="37"/>
      <w:bookmarkEnd w:id="38"/>
      <w:bookmarkEnd w:id="39"/>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1.一般公共服务（类）群众团体事务（款） 行政运行（项）: 支出决算为</w:t>
      </w:r>
      <w:r>
        <w:rPr>
          <w:rFonts w:hint="eastAsia" w:ascii="仿宋_GB2312" w:hAnsi="仿宋_GB2312" w:eastAsia="仿宋_GB2312" w:cs="仿宋_GB2312"/>
          <w:b w:val="0"/>
          <w:bCs w:val="0"/>
          <w:color w:val="auto"/>
          <w:sz w:val="32"/>
          <w:szCs w:val="32"/>
          <w:highlight w:val="none"/>
          <w:lang w:val="en-US" w:eastAsia="zh-CN"/>
        </w:rPr>
        <w:t>86.56</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一般公共服务（类）群众团体事务（款）一般行政管理事务（项）: 支出决算为</w:t>
      </w:r>
      <w:r>
        <w:rPr>
          <w:rFonts w:hint="eastAsia" w:ascii="仿宋_GB2312" w:hAnsi="仿宋_GB2312" w:eastAsia="仿宋_GB2312" w:cs="仿宋_GB2312"/>
          <w:b w:val="0"/>
          <w:bCs w:val="0"/>
          <w:color w:val="auto"/>
          <w:sz w:val="32"/>
          <w:szCs w:val="32"/>
          <w:highlight w:val="none"/>
          <w:lang w:val="en-US" w:eastAsia="zh-CN"/>
        </w:rPr>
        <w:t>44</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2.社会保障和就业（类）行政事业单位养老（款）机关事业单位基本养老保险缴费（项）: 支出决算为</w:t>
      </w:r>
      <w:r>
        <w:rPr>
          <w:rFonts w:hint="eastAsia" w:ascii="仿宋_GB2312" w:hAnsi="仿宋_GB2312" w:eastAsia="仿宋_GB2312" w:cs="仿宋_GB2312"/>
          <w:b w:val="0"/>
          <w:bCs w:val="0"/>
          <w:color w:val="auto"/>
          <w:sz w:val="32"/>
          <w:szCs w:val="32"/>
          <w:highlight w:val="none"/>
          <w:lang w:val="en-US" w:eastAsia="zh-CN"/>
        </w:rPr>
        <w:t>4.41</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社会保障和就业（类）行政事业单位养老（款）机关事业单位职业年金缴费（项）: 支出决算为</w:t>
      </w:r>
      <w:r>
        <w:rPr>
          <w:rFonts w:hint="eastAsia" w:ascii="仿宋_GB2312" w:hAnsi="仿宋_GB2312" w:eastAsia="仿宋_GB2312" w:cs="仿宋_GB2312"/>
          <w:b w:val="0"/>
          <w:bCs w:val="0"/>
          <w:color w:val="auto"/>
          <w:sz w:val="32"/>
          <w:szCs w:val="32"/>
          <w:highlight w:val="none"/>
          <w:lang w:val="en-US" w:eastAsia="zh-CN"/>
        </w:rPr>
        <w:t>1.76</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.卫生健康（类）行政事业单位医疗（款）行政单位医疗（项）:支出决算为</w:t>
      </w:r>
      <w:r>
        <w:rPr>
          <w:rFonts w:hint="eastAsia" w:ascii="仿宋_GB2312" w:hAnsi="仿宋_GB2312" w:eastAsia="仿宋_GB2312" w:cs="仿宋_GB2312"/>
          <w:b w:val="0"/>
          <w:bCs w:val="0"/>
          <w:color w:val="auto"/>
          <w:sz w:val="32"/>
          <w:szCs w:val="32"/>
          <w:highlight w:val="none"/>
          <w:lang w:val="en-US" w:eastAsia="zh-CN"/>
        </w:rPr>
        <w:t>2.11</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住房保障（类）住房改革（款）住房公积金（项）:支出决算为</w:t>
      </w:r>
      <w:r>
        <w:rPr>
          <w:rFonts w:hint="eastAsia" w:ascii="仿宋_GB2312" w:hAnsi="仿宋_GB2312" w:eastAsia="仿宋_GB2312" w:cs="仿宋_GB2312"/>
          <w:b w:val="0"/>
          <w:bCs w:val="0"/>
          <w:color w:val="auto"/>
          <w:sz w:val="32"/>
          <w:szCs w:val="32"/>
          <w:highlight w:val="none"/>
          <w:lang w:val="en-US" w:eastAsia="zh-CN"/>
        </w:rPr>
        <w:t>3.16</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tabs>
          <w:tab w:val="right" w:pos="8306"/>
        </w:tabs>
        <w:kinsoku/>
        <w:wordWrap/>
        <w:overflowPunct/>
        <w:topLinePunct w:val="0"/>
        <w:bidi w:val="0"/>
        <w:spacing w:line="576" w:lineRule="atLeast"/>
        <w:ind w:firstLine="640"/>
        <w:textAlignment w:val="auto"/>
        <w:outlineLvl w:val="1"/>
        <w:rPr>
          <w:rStyle w:val="29"/>
          <w:b w:val="0"/>
          <w:bCs w:val="0"/>
          <w:color w:val="auto"/>
          <w:highlight w:val="none"/>
        </w:rPr>
      </w:pPr>
      <w:bookmarkStart w:id="40" w:name="_Toc15396608"/>
      <w:bookmarkStart w:id="41" w:name="_Toc15377214"/>
      <w:r>
        <w:rPr>
          <w:rFonts w:hint="eastAsia" w:ascii="黑体" w:eastAsia="黑体"/>
          <w:b w:val="0"/>
          <w:bCs w:val="0"/>
          <w:color w:val="auto"/>
          <w:sz w:val="32"/>
          <w:szCs w:val="32"/>
          <w:highlight w:val="none"/>
        </w:rPr>
        <w:t>六、</w:t>
      </w:r>
      <w:r>
        <w:rPr>
          <w:rFonts w:hint="eastAsia" w:ascii="黑体" w:hAnsi="黑体" w:eastAsia="黑体"/>
          <w:b w:val="0"/>
          <w:bCs w:val="0"/>
          <w:color w:val="auto"/>
          <w:sz w:val="32"/>
          <w:szCs w:val="32"/>
          <w:highlight w:val="none"/>
        </w:rPr>
        <w:t>一</w:t>
      </w:r>
      <w:r>
        <w:rPr>
          <w:rStyle w:val="29"/>
          <w:rFonts w:hint="eastAsia" w:ascii="黑体" w:hAnsi="黑体" w:eastAsia="黑体"/>
          <w:b w:val="0"/>
          <w:bCs w:val="0"/>
          <w:color w:val="auto"/>
          <w:highlight w:val="none"/>
        </w:rPr>
        <w:t>般公共预算财政拨款基本支出决算情况说明</w:t>
      </w:r>
      <w:bookmarkEnd w:id="40"/>
      <w:bookmarkEnd w:id="41"/>
      <w:r>
        <w:rPr>
          <w:rStyle w:val="29"/>
          <w:rFonts w:ascii="黑体" w:hAnsi="黑体" w:eastAsia="黑体"/>
          <w:b w:val="0"/>
          <w:bCs w:val="0"/>
          <w:color w:val="auto"/>
          <w:highlight w:val="none"/>
        </w:rPr>
        <w:tab/>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年一般公共预算财政拨款基本支出</w:t>
      </w:r>
      <w:r>
        <w:rPr>
          <w:rFonts w:hint="eastAsia" w:ascii="仿宋_GB2312" w:hAnsi="仿宋_GB2312" w:eastAsia="仿宋_GB2312" w:cs="仿宋_GB2312"/>
          <w:b w:val="0"/>
          <w:bCs w:val="0"/>
          <w:color w:val="auto"/>
          <w:sz w:val="32"/>
          <w:szCs w:val="32"/>
          <w:highlight w:val="none"/>
          <w:lang w:val="en-US" w:eastAsia="zh-CN"/>
        </w:rPr>
        <w:t>98</w:t>
      </w:r>
      <w:r>
        <w:rPr>
          <w:rFonts w:hint="eastAsia" w:ascii="仿宋_GB2312" w:hAnsi="仿宋_GB2312" w:eastAsia="仿宋_GB2312" w:cs="仿宋_GB2312"/>
          <w:b w:val="0"/>
          <w:bCs w:val="0"/>
          <w:color w:val="auto"/>
          <w:sz w:val="32"/>
          <w:szCs w:val="32"/>
          <w:highlight w:val="none"/>
        </w:rPr>
        <w:t>万元，其中：</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人员经费</w:t>
      </w:r>
      <w:r>
        <w:rPr>
          <w:rFonts w:hint="eastAsia" w:ascii="仿宋_GB2312" w:hAnsi="仿宋_GB2312" w:eastAsia="仿宋_GB2312" w:cs="仿宋_GB2312"/>
          <w:b w:val="0"/>
          <w:bCs w:val="0"/>
          <w:color w:val="auto"/>
          <w:sz w:val="32"/>
          <w:szCs w:val="32"/>
          <w:highlight w:val="none"/>
          <w:lang w:val="en-US" w:eastAsia="zh-CN"/>
        </w:rPr>
        <w:t>90.61</w:t>
      </w:r>
      <w:r>
        <w:rPr>
          <w:rFonts w:hint="eastAsia" w:ascii="仿宋_GB2312" w:hAnsi="仿宋_GB2312" w:eastAsia="仿宋_GB2312" w:cs="仿宋_GB2312"/>
          <w:b w:val="0"/>
          <w:bCs w:val="0"/>
          <w:color w:val="auto"/>
          <w:sz w:val="32"/>
          <w:szCs w:val="32"/>
          <w:highlight w:val="none"/>
        </w:rPr>
        <w:t>万元，主要包括：基本工资、津贴补贴、奖金、机关事业单位基本养老保险缴费、职业年金缴费、职工基本医疗保险缴费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其他社会保障缴费、其他工资福利支出、生活补助、奖励金、代缴社会保险费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住房公积金、其他对个人和家庭的补助支出等。</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公用经费</w:t>
      </w:r>
      <w:r>
        <w:rPr>
          <w:rFonts w:hint="eastAsia" w:ascii="仿宋_GB2312" w:hAnsi="仿宋_GB2312" w:eastAsia="仿宋_GB2312" w:cs="仿宋_GB2312"/>
          <w:b w:val="0"/>
          <w:bCs w:val="0"/>
          <w:color w:val="auto"/>
          <w:sz w:val="32"/>
          <w:szCs w:val="32"/>
          <w:highlight w:val="none"/>
          <w:lang w:val="en-US" w:eastAsia="zh-CN"/>
        </w:rPr>
        <w:t>7.39</w:t>
      </w:r>
      <w:r>
        <w:rPr>
          <w:rFonts w:hint="eastAsia" w:ascii="仿宋_GB2312" w:hAnsi="仿宋_GB2312" w:eastAsia="仿宋_GB2312" w:cs="仿宋_GB2312"/>
          <w:b w:val="0"/>
          <w:bCs w:val="0"/>
          <w:color w:val="auto"/>
          <w:sz w:val="32"/>
          <w:szCs w:val="32"/>
          <w:highlight w:val="none"/>
        </w:rPr>
        <w:t>万元，主要包括：办公费、印刷费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水费、电费、邮电费、差旅费、维修（护）费</w:t>
      </w:r>
      <w:r>
        <w:rPr>
          <w:rFonts w:hint="eastAsia" w:ascii="仿宋_GB2312" w:hAnsi="仿宋_GB2312" w:eastAsia="仿宋_GB2312" w:cs="仿宋_GB2312"/>
          <w:b w:val="0"/>
          <w:bCs w:val="0"/>
          <w:color w:val="auto"/>
          <w:sz w:val="32"/>
          <w:szCs w:val="32"/>
          <w:highlight w:val="none"/>
          <w:lang w:eastAsia="zh-CN"/>
        </w:rPr>
        <w:t>、会议费、培训费、</w:t>
      </w:r>
      <w:r>
        <w:rPr>
          <w:rFonts w:hint="eastAsia" w:ascii="仿宋_GB2312" w:hAnsi="仿宋_GB2312" w:eastAsia="仿宋_GB2312" w:cs="仿宋_GB2312"/>
          <w:b w:val="0"/>
          <w:bCs w:val="0"/>
          <w:color w:val="auto"/>
          <w:sz w:val="32"/>
          <w:szCs w:val="32"/>
          <w:highlight w:val="none"/>
        </w:rPr>
        <w:t>公务接待费</w:t>
      </w:r>
      <w:r>
        <w:rPr>
          <w:rFonts w:hint="eastAsia" w:ascii="仿宋_GB2312" w:hAnsi="仿宋_GB2312" w:eastAsia="仿宋_GB2312" w:cs="仿宋_GB2312"/>
          <w:b w:val="0"/>
          <w:bCs w:val="0"/>
          <w:color w:val="auto"/>
          <w:sz w:val="32"/>
          <w:szCs w:val="32"/>
          <w:highlight w:val="none"/>
          <w:lang w:eastAsia="zh-CN"/>
        </w:rPr>
        <w:t>、劳务费</w:t>
      </w:r>
      <w:r>
        <w:rPr>
          <w:rFonts w:hint="eastAsia" w:ascii="仿宋_GB2312" w:hAnsi="仿宋_GB2312" w:eastAsia="仿宋_GB2312" w:cs="仿宋_GB2312"/>
          <w:b w:val="0"/>
          <w:bCs w:val="0"/>
          <w:color w:val="auto"/>
          <w:sz w:val="32"/>
          <w:szCs w:val="32"/>
          <w:highlight w:val="none"/>
        </w:rPr>
        <w:t>、其他交通费、办公设备购置等。</w:t>
      </w:r>
    </w:p>
    <w:p>
      <w:pPr>
        <w:pageBreakBefore w:val="0"/>
        <w:kinsoku/>
        <w:wordWrap/>
        <w:overflowPunct/>
        <w:topLinePunct w:val="0"/>
        <w:bidi w:val="0"/>
        <w:spacing w:line="576" w:lineRule="atLeast"/>
        <w:ind w:firstLine="640"/>
        <w:textAlignment w:val="auto"/>
        <w:outlineLvl w:val="1"/>
        <w:rPr>
          <w:rStyle w:val="29"/>
          <w:rFonts w:ascii="黑体" w:hAnsi="黑体" w:eastAsia="黑体"/>
          <w:b w:val="0"/>
          <w:bCs w:val="0"/>
          <w:color w:val="auto"/>
          <w:highlight w:val="none"/>
        </w:rPr>
      </w:pPr>
      <w:bookmarkStart w:id="42" w:name="_Toc15396609"/>
      <w:bookmarkStart w:id="43" w:name="_Toc15377215"/>
      <w:r>
        <w:rPr>
          <w:rFonts w:hint="eastAsia" w:ascii="黑体" w:eastAsia="黑体"/>
          <w:b w:val="0"/>
          <w:bCs w:val="0"/>
          <w:color w:val="auto"/>
          <w:sz w:val="32"/>
          <w:szCs w:val="32"/>
          <w:highlight w:val="none"/>
        </w:rPr>
        <w:t>七、</w:t>
      </w:r>
      <w:r>
        <w:rPr>
          <w:rStyle w:val="29"/>
          <w:rFonts w:hint="eastAsia" w:ascii="黑体" w:hAnsi="黑体" w:eastAsia="黑体"/>
          <w:b w:val="0"/>
          <w:bCs w:val="0"/>
          <w:color w:val="auto"/>
          <w:highlight w:val="none"/>
        </w:rPr>
        <w:t>“三公”经费财政拨款支出决算情况说明</w:t>
      </w:r>
      <w:bookmarkEnd w:id="42"/>
      <w:bookmarkEnd w:id="43"/>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bookmarkStart w:id="44" w:name="_Toc15377216"/>
      <w:r>
        <w:rPr>
          <w:rFonts w:hint="eastAsia" w:ascii="仿宋_GB2312" w:hAnsi="仿宋_GB2312" w:eastAsia="仿宋_GB2312" w:cs="仿宋_GB2312"/>
          <w:b w:val="0"/>
          <w:bCs w:val="0"/>
          <w:color w:val="auto"/>
          <w:sz w:val="32"/>
          <w:szCs w:val="32"/>
          <w:highlight w:val="none"/>
        </w:rPr>
        <w:t>（一）“三公”经费财政拨款支出决算总体情况说明</w:t>
      </w:r>
      <w:bookmarkEnd w:id="44"/>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年“三公”经费财政拨款支出决算为</w:t>
      </w:r>
      <w:r>
        <w:rPr>
          <w:rFonts w:hint="eastAsia" w:ascii="仿宋_GB2312" w:hAnsi="仿宋_GB2312" w:eastAsia="仿宋_GB2312" w:cs="仿宋_GB2312"/>
          <w:b w:val="0"/>
          <w:bCs w:val="0"/>
          <w:color w:val="auto"/>
          <w:sz w:val="32"/>
          <w:szCs w:val="32"/>
          <w:highlight w:val="none"/>
          <w:lang w:val="en-US" w:eastAsia="zh-CN"/>
        </w:rPr>
        <w:t>0.36</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bookmarkStart w:id="45" w:name="_Toc15377217"/>
      <w:r>
        <w:rPr>
          <w:rFonts w:hint="eastAsia" w:ascii="仿宋_GB2312" w:hAnsi="仿宋_GB2312" w:eastAsia="仿宋_GB2312" w:cs="仿宋_GB2312"/>
          <w:b w:val="0"/>
          <w:bCs w:val="0"/>
          <w:color w:val="auto"/>
          <w:sz w:val="32"/>
          <w:szCs w:val="32"/>
          <w:highlight w:val="none"/>
        </w:rPr>
        <w:t>（二）“三公”经费财政拨款支出决算具体情况说明</w:t>
      </w:r>
      <w:bookmarkEnd w:id="45"/>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年“三公”经费财政拨款支出决算中，因公出国（境）费支出决算</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%；公务用车购置及运行维护费支出决算</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%；公务接待费支出决算</w:t>
      </w:r>
      <w:r>
        <w:rPr>
          <w:rFonts w:hint="eastAsia" w:ascii="仿宋_GB2312" w:hAnsi="仿宋_GB2312" w:eastAsia="仿宋_GB2312" w:cs="仿宋_GB2312"/>
          <w:b w:val="0"/>
          <w:bCs w:val="0"/>
          <w:color w:val="auto"/>
          <w:sz w:val="32"/>
          <w:szCs w:val="32"/>
          <w:highlight w:val="none"/>
          <w:lang w:val="en-US" w:eastAsia="zh-CN"/>
        </w:rPr>
        <w:t>0.36</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%。具体情况如下：</w:t>
      </w:r>
    </w:p>
    <w:p>
      <w:pPr>
        <w:pageBreakBefore w:val="0"/>
        <w:kinsoku/>
        <w:wordWrap/>
        <w:overflowPunct/>
        <w:topLinePunct w:val="0"/>
        <w:bidi w:val="0"/>
        <w:spacing w:line="576" w:lineRule="atLeast"/>
        <w:ind w:firstLine="640"/>
        <w:jc w:val="center"/>
        <w:textAlignment w:val="auto"/>
        <w:rPr>
          <w:rFonts w:hint="eastAsia" w:ascii="仿宋" w:hAnsi="仿宋" w:eastAsia="仿宋"/>
          <w:b w:val="0"/>
          <w:bCs w:val="0"/>
          <w:color w:val="auto"/>
          <w:sz w:val="32"/>
          <w:szCs w:val="32"/>
          <w:highlight w:val="none"/>
        </w:rPr>
      </w:pPr>
      <w:r>
        <w:drawing>
          <wp:inline distT="0" distB="0" distL="114300" distR="114300">
            <wp:extent cx="3879215" cy="2233930"/>
            <wp:effectExtent l="4445" t="4445" r="21590" b="952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76" w:lineRule="atLeast"/>
        <w:ind w:firstLine="576" w:firstLineChars="200"/>
        <w:jc w:val="center"/>
        <w:textAlignment w:val="auto"/>
        <w:rPr>
          <w:rFonts w:hint="eastAsia" w:ascii="仿宋_GB2312" w:hAnsi="仿宋_GB2312" w:eastAsia="仿宋_GB2312" w:cs="仿宋_GB2312"/>
          <w:b w:val="0"/>
          <w:bCs w:val="0"/>
          <w:color w:val="auto"/>
          <w:w w:val="90"/>
          <w:sz w:val="32"/>
          <w:szCs w:val="32"/>
          <w:highlight w:val="none"/>
        </w:rPr>
      </w:pPr>
      <w:r>
        <w:rPr>
          <w:rFonts w:hint="eastAsia" w:ascii="仿宋_GB2312" w:hAnsi="仿宋_GB2312" w:eastAsia="仿宋_GB2312" w:cs="仿宋_GB2312"/>
          <w:b w:val="0"/>
          <w:bCs w:val="0"/>
          <w:color w:val="auto"/>
          <w:w w:val="90"/>
          <w:sz w:val="32"/>
          <w:szCs w:val="32"/>
          <w:highlight w:val="none"/>
        </w:rPr>
        <w:t>（图7：“三公”经费财政拨款支出结构）（饼状图）</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因公出国</w:t>
      </w:r>
      <w:r>
        <w:rPr>
          <w:rFonts w:hint="eastAsia" w:ascii="仿宋_GB2312" w:hAnsi="仿宋_GB2312" w:eastAsia="仿宋_GB2312" w:cs="仿宋_GB2312"/>
          <w:b w:val="0"/>
          <w:bCs w:val="0"/>
          <w:color w:val="auto"/>
          <w:sz w:val="32"/>
          <w:szCs w:val="32"/>
          <w:highlight w:val="none"/>
        </w:rPr>
        <w:t>（境）</w:t>
      </w:r>
      <w:r>
        <w:rPr>
          <w:rFonts w:hint="eastAsia" w:ascii="仿宋_GB2312" w:hAnsi="仿宋_GB2312" w:eastAsia="仿宋_GB2312" w:cs="仿宋_GB2312"/>
          <w:b w:val="0"/>
          <w:bCs w:val="0"/>
          <w:color w:val="auto"/>
          <w:sz w:val="32"/>
          <w:szCs w:val="32"/>
          <w:highlight w:val="none"/>
          <w:lang w:val="en-US" w:eastAsia="zh-CN"/>
        </w:rPr>
        <w:t>经费支出0万元，年初未安排预算</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因公出国</w:t>
      </w:r>
      <w:r>
        <w:rPr>
          <w:rFonts w:hint="eastAsia" w:ascii="仿宋_GB2312" w:hAnsi="仿宋_GB2312" w:eastAsia="仿宋_GB2312" w:cs="仿宋_GB2312"/>
          <w:b w:val="0"/>
          <w:bCs w:val="0"/>
          <w:color w:val="auto"/>
          <w:sz w:val="32"/>
          <w:szCs w:val="32"/>
          <w:highlight w:val="none"/>
        </w:rPr>
        <w:t>（境）</w:t>
      </w:r>
      <w:r>
        <w:rPr>
          <w:rFonts w:hint="eastAsia" w:ascii="仿宋_GB2312" w:hAnsi="仿宋_GB2312" w:eastAsia="仿宋_GB2312" w:cs="仿宋_GB2312"/>
          <w:b w:val="0"/>
          <w:bCs w:val="0"/>
          <w:color w:val="auto"/>
          <w:sz w:val="32"/>
          <w:szCs w:val="32"/>
          <w:highlight w:val="none"/>
          <w:lang w:val="en-US" w:eastAsia="zh-CN"/>
        </w:rPr>
        <w:t>支出决算较2020年无变化</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2.公务用车购置及运行维护费</w:t>
      </w:r>
      <w:r>
        <w:rPr>
          <w:rFonts w:hint="eastAsia" w:ascii="仿宋_GB2312" w:hAnsi="仿宋_GB2312" w:eastAsia="仿宋_GB2312" w:cs="仿宋_GB2312"/>
          <w:b w:val="0"/>
          <w:bCs w:val="0"/>
          <w:color w:val="auto"/>
          <w:sz w:val="32"/>
          <w:szCs w:val="32"/>
          <w:highlight w:val="none"/>
          <w:lang w:val="en-US" w:eastAsia="zh-CN"/>
        </w:rPr>
        <w:t>支出0万元，年初未安排预算</w:t>
      </w:r>
      <w:r>
        <w:rPr>
          <w:rFonts w:hint="eastAsia" w:ascii="仿宋_GB2312" w:hAnsi="仿宋_GB2312" w:eastAsia="仿宋_GB2312" w:cs="仿宋_GB2312"/>
          <w:b w:val="0"/>
          <w:bCs w:val="0"/>
          <w:color w:val="auto"/>
          <w:sz w:val="32"/>
          <w:szCs w:val="32"/>
          <w:highlight w:val="none"/>
        </w:rPr>
        <w:t>。公务用车购置及运行维护费</w:t>
      </w:r>
      <w:r>
        <w:rPr>
          <w:rFonts w:hint="eastAsia" w:ascii="仿宋_GB2312" w:hAnsi="仿宋_GB2312" w:eastAsia="仿宋_GB2312" w:cs="仿宋_GB2312"/>
          <w:b w:val="0"/>
          <w:bCs w:val="0"/>
          <w:color w:val="auto"/>
          <w:sz w:val="32"/>
          <w:szCs w:val="32"/>
          <w:highlight w:val="none"/>
          <w:lang w:val="en-US" w:eastAsia="zh-CN"/>
        </w:rPr>
        <w:t>支出决算较2020年无变化</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其中：公务用车购置支出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截至202</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年12月底，单位共有公务用车</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辆。公务用车运行维护费支出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3.公务接待费支出</w:t>
      </w:r>
      <w:r>
        <w:rPr>
          <w:rFonts w:hint="eastAsia" w:ascii="仿宋_GB2312" w:hAnsi="仿宋_GB2312" w:eastAsia="仿宋_GB2312" w:cs="仿宋_GB2312"/>
          <w:b w:val="0"/>
          <w:bCs w:val="0"/>
          <w:color w:val="auto"/>
          <w:sz w:val="32"/>
          <w:szCs w:val="32"/>
          <w:highlight w:val="none"/>
          <w:lang w:val="en-US" w:eastAsia="zh-CN"/>
        </w:rPr>
        <w:t>0.36</w:t>
      </w:r>
      <w:r>
        <w:rPr>
          <w:rFonts w:hint="eastAsia" w:ascii="仿宋_GB2312" w:hAnsi="仿宋_GB2312" w:eastAsia="仿宋_GB2312" w:cs="仿宋_GB2312"/>
          <w:b w:val="0"/>
          <w:bCs w:val="0"/>
          <w:color w:val="auto"/>
          <w:sz w:val="32"/>
          <w:szCs w:val="32"/>
          <w:highlight w:val="none"/>
        </w:rPr>
        <w:t>万元，完成预算</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%。公务接待费支出决算比20</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年减少</w:t>
      </w:r>
      <w:r>
        <w:rPr>
          <w:rFonts w:hint="eastAsia" w:ascii="仿宋_GB2312" w:hAnsi="仿宋_GB2312" w:eastAsia="仿宋_GB2312" w:cs="仿宋_GB2312"/>
          <w:b w:val="0"/>
          <w:bCs w:val="0"/>
          <w:color w:val="auto"/>
          <w:sz w:val="32"/>
          <w:szCs w:val="32"/>
          <w:highlight w:val="none"/>
          <w:lang w:val="en-US" w:eastAsia="zh-CN"/>
        </w:rPr>
        <w:t>0.01</w:t>
      </w:r>
      <w:r>
        <w:rPr>
          <w:rFonts w:hint="eastAsia" w:ascii="仿宋_GB2312" w:hAnsi="仿宋_GB2312" w:eastAsia="仿宋_GB2312" w:cs="仿宋_GB2312"/>
          <w:b w:val="0"/>
          <w:bCs w:val="0"/>
          <w:color w:val="auto"/>
          <w:sz w:val="32"/>
          <w:szCs w:val="32"/>
          <w:highlight w:val="none"/>
        </w:rPr>
        <w:t>万元，下降</w:t>
      </w:r>
      <w:r>
        <w:rPr>
          <w:rFonts w:hint="eastAsia" w:ascii="仿宋_GB2312" w:hAnsi="仿宋_GB2312" w:eastAsia="仿宋_GB2312" w:cs="仿宋_GB2312"/>
          <w:b w:val="0"/>
          <w:bCs w:val="0"/>
          <w:color w:val="auto"/>
          <w:sz w:val="32"/>
          <w:szCs w:val="32"/>
          <w:highlight w:val="none"/>
          <w:lang w:val="en-US" w:eastAsia="zh-CN"/>
        </w:rPr>
        <w:t>2.7</w:t>
      </w:r>
      <w:r>
        <w:rPr>
          <w:rFonts w:hint="eastAsia" w:ascii="仿宋_GB2312" w:hAnsi="仿宋_GB2312" w:eastAsia="仿宋_GB2312" w:cs="仿宋_GB2312"/>
          <w:b w:val="0"/>
          <w:bCs w:val="0"/>
          <w:color w:val="auto"/>
          <w:sz w:val="32"/>
          <w:szCs w:val="32"/>
          <w:highlight w:val="none"/>
        </w:rPr>
        <w:t>%。主要原因是</w:t>
      </w:r>
      <w:r>
        <w:rPr>
          <w:rFonts w:hint="eastAsia" w:ascii="仿宋_GB2312" w:hAnsi="仿宋_GB2312" w:eastAsia="仿宋_GB2312" w:cs="仿宋_GB2312"/>
          <w:b w:val="0"/>
          <w:bCs w:val="0"/>
          <w:color w:val="auto"/>
          <w:sz w:val="32"/>
          <w:szCs w:val="32"/>
          <w:highlight w:val="none"/>
          <w:lang w:eastAsia="zh-CN"/>
        </w:rPr>
        <w:t>厉行节约，减少公务接待事项</w:t>
      </w:r>
      <w:r>
        <w:rPr>
          <w:rFonts w:hint="eastAsia" w:ascii="仿宋_GB2312" w:hAnsi="仿宋_GB2312" w:eastAsia="仿宋_GB2312" w:cs="仿宋_GB2312"/>
          <w:b w:val="0"/>
          <w:bCs w:val="0"/>
          <w:color w:val="auto"/>
          <w:sz w:val="32"/>
          <w:szCs w:val="32"/>
          <w:highlight w:val="none"/>
        </w:rPr>
        <w:t>。其中：</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国内公务接待支出</w:t>
      </w:r>
      <w:r>
        <w:rPr>
          <w:rFonts w:hint="eastAsia" w:ascii="仿宋_GB2312" w:hAnsi="仿宋_GB2312" w:eastAsia="仿宋_GB2312" w:cs="仿宋_GB2312"/>
          <w:b w:val="0"/>
          <w:bCs w:val="0"/>
          <w:color w:val="auto"/>
          <w:sz w:val="32"/>
          <w:szCs w:val="32"/>
          <w:highlight w:val="none"/>
          <w:lang w:val="en-US" w:eastAsia="zh-CN"/>
        </w:rPr>
        <w:t>0.36</w:t>
      </w:r>
      <w:r>
        <w:rPr>
          <w:rFonts w:hint="eastAsia" w:ascii="仿宋_GB2312" w:hAnsi="仿宋_GB2312" w:eastAsia="仿宋_GB2312" w:cs="仿宋_GB2312"/>
          <w:b w:val="0"/>
          <w:bCs w:val="0"/>
          <w:color w:val="auto"/>
          <w:sz w:val="32"/>
          <w:szCs w:val="32"/>
          <w:highlight w:val="none"/>
        </w:rPr>
        <w:t>万元，主要用于执行公务、开展业务活动开支的交通费、住宿费、用餐费等。国内公务接待</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批次，</w:t>
      </w:r>
      <w:r>
        <w:rPr>
          <w:rFonts w:hint="eastAsia" w:ascii="仿宋_GB2312" w:hAnsi="仿宋_GB2312" w:eastAsia="仿宋_GB2312" w:cs="仿宋_GB2312"/>
          <w:b w:val="0"/>
          <w:bCs w:val="0"/>
          <w:color w:val="auto"/>
          <w:sz w:val="32"/>
          <w:szCs w:val="32"/>
          <w:highlight w:val="none"/>
          <w:lang w:val="en-US" w:eastAsia="zh-CN"/>
        </w:rPr>
        <w:t>42</w:t>
      </w:r>
      <w:r>
        <w:rPr>
          <w:rFonts w:hint="eastAsia" w:ascii="仿宋_GB2312" w:hAnsi="仿宋_GB2312" w:eastAsia="仿宋_GB2312" w:cs="仿宋_GB2312"/>
          <w:b w:val="0"/>
          <w:bCs w:val="0"/>
          <w:color w:val="auto"/>
          <w:sz w:val="32"/>
          <w:szCs w:val="32"/>
          <w:highlight w:val="none"/>
        </w:rPr>
        <w:t>人次，共计支出</w:t>
      </w:r>
      <w:r>
        <w:rPr>
          <w:rFonts w:hint="eastAsia" w:ascii="仿宋_GB2312" w:hAnsi="仿宋_GB2312" w:eastAsia="仿宋_GB2312" w:cs="仿宋_GB2312"/>
          <w:b w:val="0"/>
          <w:bCs w:val="0"/>
          <w:color w:val="auto"/>
          <w:sz w:val="32"/>
          <w:szCs w:val="32"/>
          <w:highlight w:val="none"/>
          <w:lang w:val="en-US" w:eastAsia="zh-CN"/>
        </w:rPr>
        <w:t>0.36</w:t>
      </w:r>
      <w:r>
        <w:rPr>
          <w:rFonts w:hint="eastAsia" w:ascii="仿宋_GB2312" w:hAnsi="仿宋_GB2312" w:eastAsia="仿宋_GB2312" w:cs="仿宋_GB2312"/>
          <w:b w:val="0"/>
          <w:bCs w:val="0"/>
          <w:color w:val="auto"/>
          <w:sz w:val="32"/>
          <w:szCs w:val="32"/>
          <w:highlight w:val="none"/>
        </w:rPr>
        <w:t>万元，具体内容包括</w:t>
      </w:r>
      <w:r>
        <w:rPr>
          <w:rFonts w:hint="eastAsia" w:ascii="仿宋_GB2312" w:hAnsi="仿宋_GB2312" w:eastAsia="仿宋_GB2312" w:cs="仿宋_GB2312"/>
          <w:b w:val="0"/>
          <w:bCs w:val="0"/>
          <w:color w:val="auto"/>
          <w:sz w:val="32"/>
          <w:szCs w:val="32"/>
          <w:highlight w:val="none"/>
          <w:lang w:val="en-US" w:eastAsia="zh-CN"/>
        </w:rPr>
        <w:t>2021届</w:t>
      </w:r>
      <w:r>
        <w:rPr>
          <w:rFonts w:hint="eastAsia" w:ascii="仿宋_GB2312" w:hAnsi="仿宋_GB2312" w:eastAsia="仿宋_GB2312" w:cs="仿宋_GB2312"/>
          <w:b w:val="0"/>
          <w:bCs w:val="0"/>
          <w:color w:val="auto"/>
          <w:sz w:val="32"/>
          <w:szCs w:val="32"/>
          <w:highlight w:val="none"/>
          <w:lang w:eastAsia="zh-CN"/>
        </w:rPr>
        <w:t>西部计划志愿者报道等</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外事接待支出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万元，外事接待</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批次，</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人，共计支出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w:t>
      </w:r>
      <w:bookmarkStart w:id="46" w:name="_Toc15396610"/>
      <w:bookmarkStart w:id="47" w:name="_Toc15377218"/>
    </w:p>
    <w:p>
      <w:pPr>
        <w:pageBreakBefore w:val="0"/>
        <w:kinsoku/>
        <w:wordWrap/>
        <w:overflowPunct/>
        <w:topLinePunct w:val="0"/>
        <w:bidi w:val="0"/>
        <w:spacing w:line="576" w:lineRule="atLeast"/>
        <w:ind w:firstLine="640"/>
        <w:textAlignment w:val="auto"/>
        <w:outlineLvl w:val="1"/>
        <w:rPr>
          <w:rStyle w:val="29"/>
          <w:rFonts w:ascii="黑体" w:hAnsi="黑体" w:eastAsia="黑体"/>
          <w:b w:val="0"/>
          <w:bCs w:val="0"/>
          <w:color w:val="auto"/>
          <w:highlight w:val="none"/>
        </w:rPr>
      </w:pPr>
      <w:r>
        <w:rPr>
          <w:rFonts w:hint="eastAsia" w:ascii="黑体" w:eastAsia="黑体"/>
          <w:b w:val="0"/>
          <w:bCs w:val="0"/>
          <w:color w:val="auto"/>
          <w:sz w:val="32"/>
          <w:szCs w:val="32"/>
          <w:highlight w:val="none"/>
        </w:rPr>
        <w:t>八、</w:t>
      </w:r>
      <w:r>
        <w:rPr>
          <w:rStyle w:val="29"/>
          <w:rFonts w:hint="eastAsia" w:ascii="黑体" w:hAnsi="黑体" w:eastAsia="黑体"/>
          <w:b w:val="0"/>
          <w:bCs w:val="0"/>
          <w:color w:val="auto"/>
          <w:highlight w:val="none"/>
        </w:rPr>
        <w:t>政府性基金预算支出决算情况说明</w:t>
      </w:r>
      <w:bookmarkEnd w:id="46"/>
      <w:bookmarkEnd w:id="47"/>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年政府性基金预算</w:t>
      </w:r>
      <w:r>
        <w:rPr>
          <w:rFonts w:hint="eastAsia" w:ascii="仿宋_GB2312" w:hAnsi="仿宋_GB2312" w:eastAsia="仿宋_GB2312" w:cs="仿宋_GB2312"/>
          <w:b w:val="0"/>
          <w:bCs w:val="0"/>
          <w:color w:val="auto"/>
          <w:sz w:val="32"/>
          <w:szCs w:val="32"/>
          <w:highlight w:val="none"/>
          <w:lang w:eastAsia="zh-CN"/>
        </w:rPr>
        <w:t>财政</w:t>
      </w:r>
      <w:r>
        <w:rPr>
          <w:rFonts w:hint="eastAsia" w:ascii="仿宋_GB2312" w:hAnsi="仿宋_GB2312" w:eastAsia="仿宋_GB2312" w:cs="仿宋_GB2312"/>
          <w:b w:val="0"/>
          <w:bCs w:val="0"/>
          <w:color w:val="auto"/>
          <w:sz w:val="32"/>
          <w:szCs w:val="32"/>
          <w:highlight w:val="none"/>
        </w:rPr>
        <w:t>拨款支出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w:t>
      </w:r>
    </w:p>
    <w:p>
      <w:pPr>
        <w:pageBreakBefore w:val="0"/>
        <w:numPr>
          <w:ilvl w:val="0"/>
          <w:numId w:val="2"/>
        </w:numPr>
        <w:kinsoku/>
        <w:wordWrap/>
        <w:overflowPunct/>
        <w:topLinePunct w:val="0"/>
        <w:bidi w:val="0"/>
        <w:spacing w:line="576" w:lineRule="atLeast"/>
        <w:ind w:firstLine="640"/>
        <w:textAlignment w:val="auto"/>
        <w:outlineLvl w:val="1"/>
        <w:rPr>
          <w:rStyle w:val="29"/>
          <w:rFonts w:ascii="黑体" w:hAnsi="黑体" w:eastAsia="黑体"/>
          <w:b w:val="0"/>
          <w:bCs w:val="0"/>
          <w:color w:val="auto"/>
          <w:highlight w:val="none"/>
        </w:rPr>
      </w:pPr>
      <w:bookmarkStart w:id="48" w:name="_Toc15377219"/>
      <w:bookmarkStart w:id="49" w:name="_Toc15396611"/>
      <w:r>
        <w:rPr>
          <w:rStyle w:val="29"/>
          <w:rFonts w:hint="eastAsia" w:ascii="黑体" w:hAnsi="黑体" w:eastAsia="黑体"/>
          <w:b w:val="0"/>
          <w:bCs w:val="0"/>
          <w:color w:val="auto"/>
          <w:highlight w:val="none"/>
        </w:rPr>
        <w:t>国有资本经营预算支出决算情况说明</w:t>
      </w:r>
      <w:bookmarkEnd w:id="48"/>
      <w:bookmarkEnd w:id="49"/>
    </w:p>
    <w:p>
      <w:pPr>
        <w:pageBreakBefore w:val="0"/>
        <w:kinsoku/>
        <w:wordWrap/>
        <w:overflowPunct/>
        <w:topLinePunct w:val="0"/>
        <w:bidi w:val="0"/>
        <w:spacing w:line="576" w:lineRule="atLeast"/>
        <w:ind w:firstLine="640"/>
        <w:textAlignment w:val="auto"/>
        <w:rPr>
          <w:rFonts w:hint="eastAsia"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年国有资本经营预算</w:t>
      </w:r>
      <w:r>
        <w:rPr>
          <w:rFonts w:hint="eastAsia" w:ascii="仿宋_GB2312" w:eastAsia="仿宋_GB2312"/>
          <w:b w:val="0"/>
          <w:bCs w:val="0"/>
          <w:color w:val="auto"/>
          <w:sz w:val="32"/>
          <w:szCs w:val="32"/>
          <w:highlight w:val="none"/>
          <w:lang w:eastAsia="zh-CN"/>
        </w:rPr>
        <w:t>财政</w:t>
      </w:r>
      <w:r>
        <w:rPr>
          <w:rFonts w:hint="eastAsia" w:ascii="仿宋_GB2312" w:eastAsia="仿宋_GB2312"/>
          <w:b w:val="0"/>
          <w:bCs w:val="0"/>
          <w:color w:val="auto"/>
          <w:sz w:val="32"/>
          <w:szCs w:val="32"/>
          <w:highlight w:val="none"/>
        </w:rPr>
        <w:t>拨款支出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bookmarkStart w:id="50" w:name="_Toc15377221"/>
      <w:bookmarkStart w:id="51" w:name="_Toc15396612"/>
    </w:p>
    <w:p>
      <w:pPr>
        <w:pageBreakBefore w:val="0"/>
        <w:numPr>
          <w:ilvl w:val="0"/>
          <w:numId w:val="2"/>
        </w:numPr>
        <w:kinsoku/>
        <w:wordWrap/>
        <w:overflowPunct/>
        <w:topLinePunct w:val="0"/>
        <w:bidi w:val="0"/>
        <w:spacing w:line="576" w:lineRule="atLeast"/>
        <w:ind w:firstLine="640"/>
        <w:textAlignment w:val="auto"/>
        <w:outlineLvl w:val="1"/>
        <w:rPr>
          <w:rStyle w:val="29"/>
          <w:rFonts w:hint="eastAsia" w:ascii="黑体" w:hAnsi="黑体" w:eastAsia="黑体"/>
          <w:b w:val="0"/>
          <w:bCs w:val="0"/>
          <w:color w:val="auto"/>
          <w:highlight w:val="none"/>
        </w:rPr>
      </w:pPr>
      <w:r>
        <w:rPr>
          <w:rStyle w:val="29"/>
          <w:rFonts w:hint="eastAsia" w:ascii="黑体" w:hAnsi="黑体" w:eastAsia="黑体"/>
          <w:b w:val="0"/>
          <w:bCs w:val="0"/>
          <w:color w:val="auto"/>
          <w:highlight w:val="none"/>
          <w:lang w:val="en-US" w:eastAsia="zh-CN"/>
        </w:rPr>
        <w:t>预算绩效管理情况</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根据预算绩效管理要求，本部门在</w:t>
      </w:r>
      <w:r>
        <w:rPr>
          <w:rFonts w:hint="eastAsia" w:ascii="仿宋_GB2312" w:hAnsi="仿宋_GB2312" w:eastAsia="仿宋_GB2312" w:cs="仿宋_GB2312"/>
          <w:b w:val="0"/>
          <w:bCs w:val="0"/>
          <w:color w:val="auto"/>
          <w:sz w:val="32"/>
          <w:szCs w:val="32"/>
          <w:highlight w:val="none"/>
          <w:lang w:val="en-US" w:eastAsia="zh-CN"/>
        </w:rPr>
        <w:t>2021年度</w:t>
      </w:r>
      <w:r>
        <w:rPr>
          <w:rFonts w:hint="eastAsia" w:ascii="仿宋_GB2312" w:hAnsi="仿宋_GB2312" w:eastAsia="仿宋_GB2312" w:cs="仿宋_GB2312"/>
          <w:b w:val="0"/>
          <w:bCs w:val="0"/>
          <w:color w:val="auto"/>
          <w:sz w:val="32"/>
          <w:szCs w:val="32"/>
          <w:highlight w:val="none"/>
          <w:lang w:eastAsia="zh-CN"/>
        </w:rPr>
        <w:t>预算编制阶段，组织对五四、一二九节庆活动项目等</w:t>
      </w:r>
      <w:r>
        <w:rPr>
          <w:rFonts w:hint="eastAsia" w:ascii="仿宋_GB2312" w:hAnsi="仿宋_GB2312" w:eastAsia="仿宋_GB2312" w:cs="仿宋_GB2312"/>
          <w:b w:val="0"/>
          <w:bCs w:val="0"/>
          <w:color w:val="auto"/>
          <w:sz w:val="32"/>
          <w:szCs w:val="32"/>
          <w:highlight w:val="none"/>
          <w:lang w:val="en-US" w:eastAsia="zh-CN"/>
        </w:rPr>
        <w:t>5个项目</w:t>
      </w:r>
      <w:r>
        <w:rPr>
          <w:rFonts w:hint="eastAsia" w:ascii="仿宋_GB2312" w:hAnsi="仿宋_GB2312" w:eastAsia="仿宋_GB2312" w:cs="仿宋_GB2312"/>
          <w:b w:val="0"/>
          <w:bCs w:val="0"/>
          <w:color w:val="auto"/>
          <w:sz w:val="32"/>
          <w:szCs w:val="32"/>
          <w:highlight w:val="none"/>
          <w:lang w:eastAsia="zh-CN"/>
        </w:rPr>
        <w:t>开展了预算事前绩效评估，对</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个项目编制了绩效目标，预算执行过程中，选取</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个项目开展绩效监控，年终执行完毕后，对</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个项目开展了绩效自评。同时，本部门对20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lang w:eastAsia="zh-CN"/>
        </w:rPr>
        <w:t>年部门整体开展绩效自评，《202</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年共青团广元市朝天区委员会部门整体绩效评价报告》见附件（第四部分）。</w:t>
      </w:r>
    </w:p>
    <w:p>
      <w:pPr>
        <w:pageBreakBefore w:val="0"/>
        <w:numPr>
          <w:ilvl w:val="0"/>
          <w:numId w:val="2"/>
        </w:numPr>
        <w:kinsoku/>
        <w:wordWrap/>
        <w:overflowPunct/>
        <w:topLinePunct w:val="0"/>
        <w:bidi w:val="0"/>
        <w:spacing w:line="576" w:lineRule="atLeast"/>
        <w:ind w:firstLine="640"/>
        <w:textAlignment w:val="auto"/>
        <w:outlineLvl w:val="1"/>
        <w:rPr>
          <w:rStyle w:val="29"/>
          <w:rFonts w:hint="eastAsia" w:ascii="黑体" w:hAnsi="黑体" w:eastAsia="黑体"/>
          <w:b w:val="0"/>
          <w:bCs w:val="0"/>
          <w:color w:val="auto"/>
          <w:highlight w:val="none"/>
        </w:rPr>
      </w:pPr>
      <w:r>
        <w:rPr>
          <w:rStyle w:val="29"/>
          <w:rFonts w:hint="eastAsia" w:ascii="黑体" w:hAnsi="黑体" w:eastAsia="黑体"/>
          <w:b w:val="0"/>
          <w:bCs w:val="0"/>
          <w:color w:val="auto"/>
          <w:highlight w:val="none"/>
        </w:rPr>
        <w:t>其他重要事项的情况说明</w:t>
      </w:r>
      <w:bookmarkEnd w:id="50"/>
      <w:bookmarkEnd w:id="51"/>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bookmarkStart w:id="52" w:name="_Toc15377222"/>
      <w:r>
        <w:rPr>
          <w:rFonts w:hint="eastAsia" w:ascii="仿宋_GB2312" w:hAnsi="仿宋_GB2312" w:eastAsia="仿宋_GB2312" w:cs="仿宋_GB2312"/>
          <w:b w:val="0"/>
          <w:bCs w:val="0"/>
          <w:color w:val="auto"/>
          <w:sz w:val="32"/>
          <w:szCs w:val="32"/>
          <w:highlight w:val="none"/>
          <w:lang w:eastAsia="zh-CN"/>
        </w:rPr>
        <w:t>（一）机关运行经费支出情况</w:t>
      </w:r>
      <w:bookmarkEnd w:id="52"/>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lang w:eastAsia="zh-CN"/>
        </w:rPr>
        <w:t>年，共青团广元市朝天区委员会机关运行经费支出</w:t>
      </w:r>
      <w:r>
        <w:rPr>
          <w:rFonts w:hint="eastAsia" w:ascii="仿宋_GB2312" w:hAnsi="仿宋_GB2312" w:eastAsia="仿宋_GB2312" w:cs="仿宋_GB2312"/>
          <w:b w:val="0"/>
          <w:bCs w:val="0"/>
          <w:color w:val="auto"/>
          <w:sz w:val="32"/>
          <w:szCs w:val="32"/>
          <w:highlight w:val="none"/>
          <w:lang w:val="en-US" w:eastAsia="zh-CN"/>
        </w:rPr>
        <w:t>7.39</w:t>
      </w:r>
      <w:r>
        <w:rPr>
          <w:rFonts w:hint="eastAsia" w:ascii="仿宋_GB2312" w:hAnsi="仿宋_GB2312" w:eastAsia="仿宋_GB2312" w:cs="仿宋_GB2312"/>
          <w:b w:val="0"/>
          <w:bCs w:val="0"/>
          <w:color w:val="auto"/>
          <w:sz w:val="32"/>
          <w:szCs w:val="32"/>
          <w:highlight w:val="none"/>
          <w:lang w:eastAsia="zh-CN"/>
        </w:rPr>
        <w:t>万元，比20</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eastAsia="zh-CN"/>
        </w:rPr>
        <w:t>年减少</w:t>
      </w:r>
      <w:r>
        <w:rPr>
          <w:rFonts w:hint="eastAsia" w:ascii="仿宋_GB2312" w:hAnsi="仿宋_GB2312" w:eastAsia="仿宋_GB2312" w:cs="仿宋_GB2312"/>
          <w:b w:val="0"/>
          <w:bCs w:val="0"/>
          <w:color w:val="auto"/>
          <w:sz w:val="32"/>
          <w:szCs w:val="32"/>
          <w:highlight w:val="none"/>
          <w:lang w:val="en-US" w:eastAsia="zh-CN"/>
        </w:rPr>
        <w:t>0.25</w:t>
      </w:r>
      <w:r>
        <w:rPr>
          <w:rFonts w:hint="eastAsia" w:ascii="仿宋_GB2312" w:hAnsi="仿宋_GB2312" w:eastAsia="仿宋_GB2312" w:cs="仿宋_GB2312"/>
          <w:b w:val="0"/>
          <w:bCs w:val="0"/>
          <w:color w:val="auto"/>
          <w:sz w:val="32"/>
          <w:szCs w:val="32"/>
          <w:highlight w:val="none"/>
          <w:lang w:eastAsia="zh-CN"/>
        </w:rPr>
        <w:t>万元，下降</w:t>
      </w:r>
      <w:r>
        <w:rPr>
          <w:rFonts w:hint="eastAsia" w:ascii="仿宋_GB2312" w:hAnsi="仿宋_GB2312" w:eastAsia="仿宋_GB2312" w:cs="仿宋_GB2312"/>
          <w:b w:val="0"/>
          <w:bCs w:val="0"/>
          <w:color w:val="auto"/>
          <w:sz w:val="32"/>
          <w:szCs w:val="32"/>
          <w:highlight w:val="none"/>
          <w:lang w:val="en-US" w:eastAsia="zh-CN"/>
        </w:rPr>
        <w:t>3.38</w:t>
      </w:r>
      <w:r>
        <w:rPr>
          <w:rFonts w:hint="eastAsia" w:ascii="仿宋_GB2312" w:hAnsi="仿宋_GB2312" w:eastAsia="仿宋_GB2312" w:cs="仿宋_GB2312"/>
          <w:b w:val="0"/>
          <w:bCs w:val="0"/>
          <w:color w:val="auto"/>
          <w:sz w:val="32"/>
          <w:szCs w:val="32"/>
          <w:highlight w:val="none"/>
          <w:lang w:eastAsia="zh-CN"/>
        </w:rPr>
        <w:t>%。主要原因是机关人员减少。</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bookmarkStart w:id="53" w:name="_Toc15377223"/>
      <w:r>
        <w:rPr>
          <w:rFonts w:hint="eastAsia" w:ascii="仿宋_GB2312" w:hAnsi="仿宋_GB2312" w:eastAsia="仿宋_GB2312" w:cs="仿宋_GB2312"/>
          <w:b w:val="0"/>
          <w:bCs w:val="0"/>
          <w:color w:val="auto"/>
          <w:sz w:val="32"/>
          <w:szCs w:val="32"/>
          <w:highlight w:val="none"/>
          <w:lang w:eastAsia="zh-CN"/>
        </w:rPr>
        <w:t>（二）政府采购支出情况</w:t>
      </w:r>
      <w:bookmarkEnd w:id="53"/>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lang w:eastAsia="zh-CN"/>
        </w:rPr>
        <w:t>年，共青团广元市朝天区委员会政府采购支出</w:t>
      </w:r>
      <w:r>
        <w:rPr>
          <w:rFonts w:hint="eastAsia" w:ascii="仿宋_GB2312" w:hAnsi="仿宋_GB2312" w:eastAsia="仿宋_GB2312" w:cs="仿宋_GB2312"/>
          <w:b w:val="0"/>
          <w:bCs w:val="0"/>
          <w:color w:val="auto"/>
          <w:sz w:val="32"/>
          <w:szCs w:val="32"/>
          <w:highlight w:val="none"/>
          <w:lang w:val="en-US" w:eastAsia="zh-CN"/>
        </w:rPr>
        <w:t>总额0万元，其中：政府采购货物支出0万元、政府采购工程支出0万元、政府采购服务支出0万元。授予中小企业合同金额0万元，占政府采购支出总额的0%，其中：授予小微企业合同金额0万元，占政府采购支出总额的0%。</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bookmarkStart w:id="54" w:name="_Toc15377224"/>
      <w:r>
        <w:rPr>
          <w:rFonts w:hint="eastAsia" w:ascii="仿宋_GB2312" w:hAnsi="仿宋_GB2312" w:eastAsia="仿宋_GB2312" w:cs="仿宋_GB2312"/>
          <w:b w:val="0"/>
          <w:bCs w:val="0"/>
          <w:color w:val="auto"/>
          <w:sz w:val="32"/>
          <w:szCs w:val="32"/>
          <w:highlight w:val="none"/>
          <w:lang w:eastAsia="zh-CN"/>
        </w:rPr>
        <w:t>（三）国有资产占有使用情况</w:t>
      </w:r>
      <w:bookmarkEnd w:id="54"/>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截至20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lang w:eastAsia="zh-CN"/>
        </w:rPr>
        <w:t>年12月31日，共青团广元市朝天区委员会</w:t>
      </w:r>
      <w:r>
        <w:rPr>
          <w:rFonts w:hint="eastAsia" w:ascii="仿宋_GB2312" w:hAnsi="仿宋_GB2312" w:eastAsia="仿宋_GB2312" w:cs="仿宋_GB2312"/>
          <w:b w:val="0"/>
          <w:bCs w:val="0"/>
          <w:color w:val="auto"/>
          <w:sz w:val="32"/>
          <w:szCs w:val="32"/>
          <w:highlight w:val="none"/>
          <w:lang w:val="en-US" w:eastAsia="zh-CN"/>
        </w:rPr>
        <w:t>共有车辆0辆，其中：主要领导干部用车0辆、机要通信用车0辆、应急保障用车0辆、其他用车0辆、单价50万元以上通用设备0台（套），单价100万元以上专用设备0台（套）。</w:t>
      </w:r>
    </w:p>
    <w:p>
      <w:pPr>
        <w:pageBreakBefore w:val="0"/>
        <w:widowControl/>
        <w:kinsoku/>
        <w:wordWrap/>
        <w:overflowPunct/>
        <w:topLinePunct w:val="0"/>
        <w:bidi w:val="0"/>
        <w:spacing w:line="576" w:lineRule="atLeast"/>
        <w:jc w:val="left"/>
        <w:textAlignment w:val="auto"/>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br w:type="page"/>
      </w:r>
    </w:p>
    <w:p>
      <w:pPr>
        <w:pageBreakBefore w:val="0"/>
        <w:numPr>
          <w:ilvl w:val="0"/>
          <w:numId w:val="3"/>
        </w:numPr>
        <w:kinsoku/>
        <w:wordWrap/>
        <w:overflowPunct/>
        <w:topLinePunct w:val="0"/>
        <w:bidi w:val="0"/>
        <w:spacing w:line="576" w:lineRule="atLeast"/>
        <w:ind w:firstLine="660" w:firstLineChars="150"/>
        <w:jc w:val="center"/>
        <w:textAlignment w:val="auto"/>
        <w:outlineLvl w:val="0"/>
        <w:rPr>
          <w:rStyle w:val="28"/>
          <w:rFonts w:ascii="黑体" w:hAnsi="黑体" w:eastAsia="黑体"/>
          <w:b w:val="0"/>
          <w:bCs w:val="0"/>
          <w:color w:val="auto"/>
          <w:highlight w:val="none"/>
        </w:rPr>
      </w:pPr>
      <w:bookmarkStart w:id="55" w:name="_Toc15377225"/>
      <w:bookmarkStart w:id="56" w:name="_Toc15396613"/>
      <w:r>
        <w:rPr>
          <w:rFonts w:hint="eastAsia" w:ascii="黑体" w:hAnsi="黑体" w:eastAsia="黑体"/>
          <w:b w:val="0"/>
          <w:bCs w:val="0"/>
          <w:color w:val="auto"/>
          <w:sz w:val="44"/>
          <w:szCs w:val="44"/>
          <w:highlight w:val="none"/>
        </w:rPr>
        <w:t>名</w:t>
      </w:r>
      <w:r>
        <w:rPr>
          <w:rStyle w:val="28"/>
          <w:rFonts w:hint="eastAsia" w:ascii="黑体" w:hAnsi="黑体" w:eastAsia="黑体"/>
          <w:b w:val="0"/>
          <w:bCs w:val="0"/>
          <w:color w:val="auto"/>
          <w:highlight w:val="none"/>
        </w:rPr>
        <w:t>词解释</w:t>
      </w:r>
      <w:bookmarkEnd w:id="55"/>
      <w:bookmarkEnd w:id="56"/>
    </w:p>
    <w:p>
      <w:pPr>
        <w:pageBreakBefore w:val="0"/>
        <w:kinsoku/>
        <w:wordWrap/>
        <w:overflowPunct/>
        <w:topLinePunct w:val="0"/>
        <w:bidi w:val="0"/>
        <w:spacing w:line="576" w:lineRule="atLeast"/>
        <w:jc w:val="left"/>
        <w:textAlignment w:val="auto"/>
        <w:rPr>
          <w:rFonts w:ascii="宋体"/>
          <w:b w:val="0"/>
          <w:bCs w:val="0"/>
          <w:color w:val="auto"/>
          <w:sz w:val="44"/>
          <w:szCs w:val="44"/>
        </w:rPr>
      </w:pP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1.财政拨款收入：指单位从同级财政部门取得的财政预算资金。</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2.事业收入：指事业单位开展专业业务活动及辅助活动取得的收入。</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3.经营收入：指事业单位在专业业务活动及其辅助活动之外开展非独立核算经营活动取得的收入。</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 xml:space="preserve">4.其他收入：指单位取得的除上述收入以外的各项收入。 </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 xml:space="preserve">6.年初结转和结余：指以前年度尚未完成、结转到本年按有关规定继续使用的资金。 </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7.结余分配：指事业单位按照事业单位会计制度的规定从非财政补助结余中分配的事业基金和职工福利基金等。</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8、年末结转和结余：指单位按有关规定结转到下年或以后年度继续使用的资金。</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9.一般公共服务（类）群众团体事务支出（款）行政运行（项）：指行政单位（包括实行公务员管理的事业单位）的基本支出。</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一般公共服务（类）群众团体事务支出（款）一般行政管理（项）：指行政单位（包括实行公务员管理的事业单位）未单独设置项级科目的其他项目支出。</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.社会保障和就业（类）</w:t>
      </w:r>
      <w:r>
        <w:rPr>
          <w:rFonts w:hint="eastAsia" w:ascii="仿宋_GB2312" w:hAnsi="仿宋_GB2312" w:eastAsia="仿宋_GB2312" w:cs="仿宋_GB2312"/>
          <w:b w:val="0"/>
          <w:bCs w:val="0"/>
          <w:color w:val="auto"/>
          <w:sz w:val="32"/>
          <w:szCs w:val="32"/>
          <w:highlight w:val="none"/>
          <w:lang w:val="en-US" w:eastAsia="zh-CN"/>
        </w:rPr>
        <w:t>行政事业单位养老支出（款）机关事业单位基本养老保险缴费支出（项）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指机关事业单位实施养老保险制度由单位缴纳的基本养老保险费支出。</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12.社会保障和就业（类）行政事业单位养老支出（款）机关事业单位职业年金缴费支出（项）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指机关事业单位实施养老保险制度由单位实际缴纳的职业年金支出。</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13</w:t>
      </w:r>
      <w:r>
        <w:rPr>
          <w:rFonts w:hint="eastAsia" w:ascii="仿宋_GB2312" w:hAnsi="仿宋_GB2312" w:eastAsia="仿宋_GB2312" w:cs="仿宋_GB2312"/>
          <w:b w:val="0"/>
          <w:bCs w:val="0"/>
          <w:color w:val="auto"/>
          <w:sz w:val="32"/>
          <w:szCs w:val="32"/>
          <w:highlight w:val="none"/>
          <w:lang w:eastAsia="zh-CN"/>
        </w:rPr>
        <w:t>.卫生健康（类）行政事业单位医疗（款）行政单位医疗（项）：指财政部门安排的行政单位(包括实行公务员管理的事业单位)基本医疗保险缴费经费。</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14</w:t>
      </w:r>
      <w:r>
        <w:rPr>
          <w:rFonts w:hint="eastAsia" w:ascii="仿宋_GB2312" w:hAnsi="仿宋_GB2312" w:eastAsia="仿宋_GB2312" w:cs="仿宋_GB2312"/>
          <w:b w:val="0"/>
          <w:bCs w:val="0"/>
          <w:color w:val="auto"/>
          <w:sz w:val="32"/>
          <w:szCs w:val="32"/>
          <w:highlight w:val="none"/>
          <w:lang w:eastAsia="zh-CN"/>
        </w:rPr>
        <w:t>.住房保障（类）住房改革支出（款）住房公积金（项）：</w:t>
      </w:r>
      <w:r>
        <w:rPr>
          <w:rFonts w:hint="eastAsia" w:ascii="仿宋_GB2312" w:hAnsi="仿宋_GB2312" w:eastAsia="仿宋_GB2312" w:cs="仿宋_GB2312"/>
          <w:b w:val="0"/>
          <w:bCs w:val="0"/>
          <w:color w:val="auto"/>
          <w:sz w:val="32"/>
          <w:szCs w:val="32"/>
          <w:highlight w:val="none"/>
          <w:lang w:val="en-US" w:eastAsia="zh-CN"/>
        </w:rPr>
        <w:t>指行政事业单位按人力资源和社会保障部、财政部规定的基本工资和津贴补贴以及规定比例为职工缴纳的住房公积金。</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eastAsia="zh-CN"/>
        </w:rPr>
        <w:t>.基本支出：指为保障机构正常运转、完成日常工作任务而发生的人员支出和公用支出。</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16</w:t>
      </w:r>
      <w:r>
        <w:rPr>
          <w:rFonts w:hint="eastAsia" w:ascii="仿宋_GB2312" w:hAnsi="仿宋_GB2312" w:eastAsia="仿宋_GB2312" w:cs="仿宋_GB2312"/>
          <w:b w:val="0"/>
          <w:bCs w:val="0"/>
          <w:color w:val="auto"/>
          <w:sz w:val="32"/>
          <w:szCs w:val="32"/>
          <w:highlight w:val="none"/>
          <w:lang w:eastAsia="zh-CN"/>
        </w:rPr>
        <w:t xml:space="preserve">.项目支出：指在基本支出之外为完成特定行政任务和事业发展目标所发生的支出。 </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lang w:eastAsia="zh-CN"/>
        </w:rPr>
        <w:t>.经营支出：指事业单位在专业业务活动及其辅助活动之外开展非独立核算经营活动发生的支出。</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18</w:t>
      </w:r>
      <w:r>
        <w:rPr>
          <w:rFonts w:hint="eastAsia" w:ascii="仿宋_GB2312" w:hAnsi="仿宋_GB2312" w:eastAsia="仿宋_GB2312" w:cs="仿宋_GB2312"/>
          <w:b w:val="0"/>
          <w:bCs w:val="0"/>
          <w:color w:val="auto"/>
          <w:sz w:val="32"/>
          <w:szCs w:val="32"/>
          <w:highlight w:val="none"/>
          <w:lang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lang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pageBreakBefore w:val="0"/>
        <w:kinsoku/>
        <w:wordWrap/>
        <w:overflowPunct/>
        <w:topLinePunct w:val="0"/>
        <w:bidi w:val="0"/>
        <w:spacing w:line="576" w:lineRule="atLeast"/>
        <w:ind w:firstLine="640" w:firstLineChars="200"/>
        <w:textAlignment w:val="auto"/>
        <w:rPr>
          <w:rFonts w:ascii="仿宋_GB2312" w:eastAsia="仿宋_GB2312"/>
          <w:b w:val="0"/>
          <w:bCs w:val="0"/>
          <w:color w:val="auto"/>
          <w:sz w:val="32"/>
          <w:szCs w:val="32"/>
          <w:highlight w:val="none"/>
        </w:rPr>
      </w:pPr>
    </w:p>
    <w:p>
      <w:pPr>
        <w:pStyle w:val="26"/>
        <w:pageBreakBefore w:val="0"/>
        <w:kinsoku/>
        <w:wordWrap/>
        <w:overflowPunct/>
        <w:topLinePunct w:val="0"/>
        <w:bidi w:val="0"/>
        <w:spacing w:line="576" w:lineRule="atLeast"/>
        <w:ind w:firstLine="640" w:firstLineChars="200"/>
        <w:textAlignment w:val="auto"/>
        <w:rPr>
          <w:rFonts w:ascii="仿宋_GB2312" w:eastAsia="仿宋_GB2312" w:cs="黑体"/>
          <w:b w:val="0"/>
          <w:bCs w:val="0"/>
          <w:color w:val="auto"/>
          <w:sz w:val="32"/>
          <w:szCs w:val="32"/>
          <w:highlight w:val="none"/>
        </w:rPr>
      </w:pPr>
    </w:p>
    <w:p>
      <w:pPr>
        <w:spacing w:line="600" w:lineRule="exact"/>
        <w:jc w:val="center"/>
        <w:outlineLvl w:val="0"/>
        <w:rPr>
          <w:rStyle w:val="28"/>
          <w:rFonts w:hint="eastAsia" w:ascii="黑体" w:hAnsi="黑体" w:eastAsia="黑体"/>
          <w:b w:val="0"/>
          <w:bCs w:val="0"/>
          <w:color w:val="auto"/>
          <w:highlight w:val="none"/>
          <w:lang w:eastAsia="zh-CN"/>
        </w:rPr>
      </w:pPr>
      <w:bookmarkStart w:id="57" w:name="_Toc15377226"/>
      <w:r>
        <w:rPr>
          <w:rFonts w:ascii="宋体"/>
          <w:b w:val="0"/>
          <w:bCs w:val="0"/>
          <w:color w:val="auto"/>
          <w:sz w:val="44"/>
          <w:szCs w:val="44"/>
          <w:highlight w:val="none"/>
        </w:rPr>
        <w:br w:type="page"/>
      </w:r>
      <w:bookmarkStart w:id="58" w:name="_Toc15396614"/>
      <w:r>
        <w:rPr>
          <w:rFonts w:hint="eastAsia" w:ascii="黑体" w:hAnsi="黑体" w:eastAsia="黑体"/>
          <w:b w:val="0"/>
          <w:bCs w:val="0"/>
          <w:color w:val="auto"/>
          <w:sz w:val="44"/>
          <w:szCs w:val="44"/>
          <w:highlight w:val="none"/>
        </w:rPr>
        <w:t>第</w:t>
      </w:r>
      <w:r>
        <w:rPr>
          <w:rStyle w:val="28"/>
          <w:rFonts w:hint="eastAsia" w:ascii="黑体" w:hAnsi="黑体" w:eastAsia="黑体"/>
          <w:b w:val="0"/>
          <w:bCs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b w:val="0"/>
          <w:bCs w:val="0"/>
          <w:color w:val="auto"/>
          <w:sz w:val="44"/>
          <w:szCs w:val="44"/>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1</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b w:val="0"/>
          <w:bCs w:val="0"/>
          <w:color w:val="auto"/>
          <w:kern w:val="0"/>
          <w:sz w:val="40"/>
          <w:szCs w:val="44"/>
          <w:highlight w:val="none"/>
        </w:rPr>
      </w:pPr>
      <w:r>
        <w:rPr>
          <w:rFonts w:hint="eastAsia" w:ascii="方正小标宋简体" w:hAnsi="宋体" w:eastAsia="方正小标宋简体"/>
          <w:b w:val="0"/>
          <w:bCs w:val="0"/>
          <w:color w:val="auto"/>
          <w:kern w:val="0"/>
          <w:sz w:val="40"/>
          <w:szCs w:val="44"/>
          <w:highlight w:val="none"/>
        </w:rPr>
        <w:t>202</w:t>
      </w:r>
      <w:r>
        <w:rPr>
          <w:rFonts w:hint="eastAsia" w:ascii="方正小标宋简体" w:hAnsi="宋体" w:eastAsia="方正小标宋简体"/>
          <w:b w:val="0"/>
          <w:bCs w:val="0"/>
          <w:color w:val="auto"/>
          <w:kern w:val="0"/>
          <w:sz w:val="40"/>
          <w:szCs w:val="44"/>
          <w:highlight w:val="none"/>
          <w:lang w:val="en-US" w:eastAsia="zh-CN"/>
        </w:rPr>
        <w:t>1</w:t>
      </w:r>
      <w:r>
        <w:rPr>
          <w:rFonts w:hint="eastAsia" w:ascii="方正小标宋简体" w:hAnsi="宋体" w:eastAsia="方正小标宋简体"/>
          <w:b w:val="0"/>
          <w:bCs w:val="0"/>
          <w:color w:val="auto"/>
          <w:kern w:val="0"/>
          <w:sz w:val="40"/>
          <w:szCs w:val="44"/>
          <w:highlight w:val="none"/>
        </w:rPr>
        <w:t>年</w:t>
      </w:r>
      <w:r>
        <w:rPr>
          <w:rFonts w:hint="eastAsia" w:ascii="方正小标宋简体" w:hAnsi="宋体" w:eastAsia="方正小标宋简体"/>
          <w:b w:val="0"/>
          <w:bCs w:val="0"/>
          <w:color w:val="auto"/>
          <w:kern w:val="0"/>
          <w:sz w:val="40"/>
          <w:szCs w:val="44"/>
          <w:highlight w:val="none"/>
          <w:lang w:val="en-US" w:eastAsia="zh-CN"/>
        </w:rPr>
        <w:t>共青团广元市朝天区委员会</w:t>
      </w:r>
      <w:r>
        <w:rPr>
          <w:rFonts w:hint="eastAsia" w:ascii="方正小标宋简体" w:hAnsi="宋体" w:eastAsia="方正小标宋简体"/>
          <w:b w:val="0"/>
          <w:bCs w:val="0"/>
          <w:color w:val="auto"/>
          <w:kern w:val="0"/>
          <w:sz w:val="40"/>
          <w:szCs w:val="44"/>
          <w:highlight w:val="none"/>
        </w:rPr>
        <w:t>部门整体</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b w:val="0"/>
          <w:bCs w:val="0"/>
          <w:color w:val="auto"/>
          <w:kern w:val="0"/>
          <w:sz w:val="40"/>
          <w:szCs w:val="44"/>
          <w:highlight w:val="none"/>
          <w:lang w:val="zh-CN"/>
        </w:rPr>
      </w:pPr>
      <w:r>
        <w:rPr>
          <w:rFonts w:hint="eastAsia" w:ascii="方正小标宋简体" w:hAnsi="宋体" w:eastAsia="方正小标宋简体"/>
          <w:b w:val="0"/>
          <w:bCs w:val="0"/>
          <w:color w:val="auto"/>
          <w:kern w:val="0"/>
          <w:sz w:val="40"/>
          <w:szCs w:val="44"/>
          <w:highlight w:val="none"/>
        </w:rPr>
        <w:t>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b w:val="0"/>
          <w:bCs w:val="0"/>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b w:val="0"/>
          <w:bCs w:val="0"/>
          <w:color w:val="auto"/>
          <w:kern w:val="0"/>
          <w:sz w:val="32"/>
          <w:szCs w:val="32"/>
          <w:highlight w:val="none"/>
          <w:shd w:val="clear" w:color="auto" w:fill="FFFFFF"/>
          <w:lang w:val="zh-CN"/>
        </w:rPr>
      </w:pPr>
      <w:r>
        <w:rPr>
          <w:rFonts w:hint="eastAsia" w:ascii="黑体" w:hAnsi="宋体" w:eastAsia="黑体" w:cs="宋体"/>
          <w:b w:val="0"/>
          <w:bCs w:val="0"/>
          <w:color w:val="auto"/>
          <w:kern w:val="0"/>
          <w:sz w:val="32"/>
          <w:szCs w:val="32"/>
          <w:highlight w:val="none"/>
          <w:shd w:val="clear" w:color="auto" w:fill="FFFFFF"/>
        </w:rPr>
        <w:t>一、</w:t>
      </w:r>
      <w:r>
        <w:rPr>
          <w:rFonts w:hint="eastAsia" w:ascii="黑体" w:hAnsi="宋体" w:eastAsia="黑体" w:cs="宋体"/>
          <w:b w:val="0"/>
          <w:bCs w:val="0"/>
          <w:color w:val="auto"/>
          <w:kern w:val="0"/>
          <w:sz w:val="32"/>
          <w:szCs w:val="32"/>
          <w:highlight w:val="none"/>
          <w:shd w:val="clear" w:color="auto" w:fill="FFFFFF"/>
          <w:lang w:val="zh-CN"/>
        </w:rPr>
        <w:t>部门（单位）概况</w:t>
      </w:r>
    </w:p>
    <w:p>
      <w:pPr>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rPr>
        <w:t>（一）机构组成。</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团区委是财政全额供养一级财政预算行政单位，团区委机关设办公室。</w:t>
      </w:r>
    </w:p>
    <w:p>
      <w:pPr>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rPr>
        <w:t>（二）机构职能。</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1.受区委委托领导全区共青团、少先队的工作。</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2.参与制定我区青少年发展规划和青少年工作方针、政策；对我区青少年活动阵地、青少年服务机构的建设及事务进行规划和管理。</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协调与青少年利益相关的事务，调查青少年思想动态和青年工作状况，研究青少年运动、青少年工作理论和思想教育问题，提出相应的对策;协助政府教育部门做好区内的高中、初中、小学学生的教育管理工作，维护社会稳定和安定团结。</w:t>
      </w:r>
    </w:p>
    <w:p>
      <w:pPr>
        <w:pageBreakBefore w:val="0"/>
        <w:kinsoku/>
        <w:wordWrap/>
        <w:overflowPunct/>
        <w:topLinePunct w:val="0"/>
        <w:bidi w:val="0"/>
        <w:spacing w:line="576" w:lineRule="atLeast"/>
        <w:ind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4.在国家经济建设中，组织和带领青年发挥生力军和突击队的作用。</w:t>
      </w:r>
    </w:p>
    <w:p>
      <w:pPr>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rPr>
        <w:t>5.会同有关部门对全区青少年外事工作进行归口管理和提供服务，负责与国内外各地青少年团体、政府青年机构、国际及地区性青年组织及其他友好组织的交流工作。</w:t>
      </w:r>
    </w:p>
    <w:p>
      <w:pPr>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rPr>
        <w:t>6.参与制定我区有关青年统战工作的政策，做好我区青年统战对象的团结教育工作，维护和促进祖国统一和民族团结。</w:t>
      </w:r>
    </w:p>
    <w:p>
      <w:pPr>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rPr>
        <w:t>7.承担区委、区政府交办的有关事项。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rPr>
        <w:t>（三）人员概况。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b w:val="0"/>
          <w:bCs w:val="0"/>
          <w:snapToGrid w:val="0"/>
          <w:color w:val="auto"/>
          <w:spacing w:val="0"/>
          <w:kern w:val="0"/>
          <w:sz w:val="32"/>
          <w:szCs w:val="32"/>
          <w:shd w:val="clear" w:color="auto" w:fill="FFFFFF"/>
          <w:lang w:val="en-US"/>
        </w:rPr>
      </w:pPr>
      <w:r>
        <w:rPr>
          <w:rFonts w:hint="eastAsia" w:ascii="仿宋_GB2312" w:hAnsi="仿宋_GB2312" w:eastAsia="仿宋_GB2312" w:cs="仿宋_GB2312"/>
          <w:b w:val="0"/>
          <w:bCs w:val="0"/>
          <w:snapToGrid w:val="0"/>
          <w:color w:val="auto"/>
          <w:spacing w:val="0"/>
          <w:kern w:val="0"/>
          <w:sz w:val="32"/>
          <w:szCs w:val="32"/>
          <w:shd w:val="clear" w:color="auto" w:fill="FFFFFF"/>
          <w:lang w:val="en-US" w:eastAsia="zh-CN"/>
        </w:rPr>
        <w:t>2021年</w:t>
      </w:r>
      <w:r>
        <w:rPr>
          <w:rFonts w:hint="eastAsia" w:ascii="仿宋_GB2312" w:hAnsi="仿宋_GB2312" w:eastAsia="仿宋_GB2312" w:cs="仿宋_GB2312"/>
          <w:b w:val="0"/>
          <w:bCs w:val="0"/>
          <w:snapToGrid w:val="0"/>
          <w:color w:val="auto"/>
          <w:spacing w:val="0"/>
          <w:kern w:val="0"/>
          <w:sz w:val="32"/>
          <w:szCs w:val="32"/>
          <w:shd w:val="clear" w:color="auto" w:fill="FFFFFF"/>
          <w:lang w:eastAsia="zh-CN"/>
        </w:rPr>
        <w:t>核定编制</w:t>
      </w:r>
      <w:r>
        <w:rPr>
          <w:rFonts w:hint="eastAsia" w:ascii="仿宋_GB2312" w:hAnsi="仿宋_GB2312" w:eastAsia="仿宋_GB2312" w:cs="仿宋_GB2312"/>
          <w:b w:val="0"/>
          <w:bCs w:val="0"/>
          <w:snapToGrid w:val="0"/>
          <w:color w:val="auto"/>
          <w:spacing w:val="0"/>
          <w:kern w:val="0"/>
          <w:sz w:val="32"/>
          <w:szCs w:val="32"/>
          <w:shd w:val="clear" w:color="auto" w:fill="FFFFFF"/>
          <w:lang w:val="en-US" w:eastAsia="zh-CN"/>
        </w:rPr>
        <w:t>5名，全部为机关行政编制。2021年末，实有在岗人员4人，其中，在编人员2人，从乡镇挂职公务员1人，通过公益性岗位聘用1人。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b w:val="0"/>
          <w:bCs w:val="0"/>
          <w:color w:val="auto"/>
          <w:kern w:val="0"/>
          <w:sz w:val="32"/>
          <w:szCs w:val="32"/>
          <w:highlight w:val="none"/>
          <w:shd w:val="clear" w:color="auto" w:fill="FFFFFF"/>
        </w:rPr>
      </w:pPr>
      <w:r>
        <w:rPr>
          <w:rFonts w:hint="eastAsia" w:ascii="黑体" w:hAnsi="宋体" w:eastAsia="黑体" w:cs="宋体"/>
          <w:b w:val="0"/>
          <w:bCs w:val="0"/>
          <w:color w:val="auto"/>
          <w:kern w:val="0"/>
          <w:sz w:val="32"/>
          <w:szCs w:val="32"/>
          <w:highlight w:val="none"/>
          <w:shd w:val="clear" w:color="auto" w:fill="FFFFFF"/>
        </w:rPr>
        <w:t>二、部门财政资金收支情况</w:t>
      </w:r>
    </w:p>
    <w:p>
      <w:pPr>
        <w:keepNext w:val="0"/>
        <w:keepLines w:val="0"/>
        <w:pageBreakBefore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Times New Roman" w:eastAsia="楷体_GB2312" w:cs="Times New Roman"/>
          <w:b w:val="0"/>
          <w:bCs w:val="0"/>
          <w:color w:val="auto"/>
          <w:kern w:val="0"/>
          <w:sz w:val="32"/>
          <w:szCs w:val="32"/>
          <w:shd w:val="clear" w:color="auto" w:fill="FFFFFF"/>
        </w:rPr>
        <w:t>（一）部门财政资金收入情况。</w:t>
      </w:r>
      <w:r>
        <w:rPr>
          <w:rFonts w:hint="eastAsia" w:ascii="仿宋_GB2312" w:hAnsi="仿宋_GB2312" w:eastAsia="仿宋_GB2312" w:cs="仿宋_GB2312"/>
          <w:b w:val="0"/>
          <w:bCs w:val="0"/>
          <w:snapToGrid w:val="0"/>
          <w:color w:val="auto"/>
          <w:spacing w:val="0"/>
          <w:kern w:val="0"/>
          <w:sz w:val="32"/>
          <w:szCs w:val="32"/>
        </w:rPr>
        <w:t>2021年，我单位总收入</w:t>
      </w:r>
      <w:r>
        <w:rPr>
          <w:rFonts w:hint="eastAsia" w:ascii="仿宋_GB2312" w:hAnsi="仿宋_GB2312" w:eastAsia="仿宋_GB2312" w:cs="仿宋_GB2312"/>
          <w:b w:val="0"/>
          <w:bCs w:val="0"/>
          <w:snapToGrid w:val="0"/>
          <w:color w:val="auto"/>
          <w:spacing w:val="0"/>
          <w:kern w:val="0"/>
          <w:sz w:val="32"/>
          <w:szCs w:val="32"/>
          <w:lang w:val="en-US" w:eastAsia="zh-CN"/>
        </w:rPr>
        <w:t>142</w:t>
      </w:r>
      <w:r>
        <w:rPr>
          <w:rFonts w:hint="eastAsia" w:ascii="仿宋_GB2312" w:hAnsi="仿宋_GB2312" w:eastAsia="仿宋_GB2312" w:cs="仿宋_GB2312"/>
          <w:b w:val="0"/>
          <w:bCs w:val="0"/>
          <w:snapToGrid w:val="0"/>
          <w:color w:val="auto"/>
          <w:spacing w:val="0"/>
          <w:kern w:val="0"/>
          <w:sz w:val="32"/>
          <w:szCs w:val="32"/>
        </w:rPr>
        <w:t>万元，其中：财政拨款收入</w:t>
      </w:r>
      <w:r>
        <w:rPr>
          <w:rFonts w:hint="eastAsia" w:ascii="仿宋_GB2312" w:hAnsi="仿宋_GB2312" w:eastAsia="仿宋_GB2312" w:cs="仿宋_GB2312"/>
          <w:b w:val="0"/>
          <w:bCs w:val="0"/>
          <w:snapToGrid w:val="0"/>
          <w:color w:val="auto"/>
          <w:spacing w:val="0"/>
          <w:kern w:val="0"/>
          <w:sz w:val="32"/>
          <w:szCs w:val="32"/>
          <w:lang w:val="en-US" w:eastAsia="zh-CN"/>
        </w:rPr>
        <w:t>142</w:t>
      </w:r>
      <w:r>
        <w:rPr>
          <w:rFonts w:hint="eastAsia" w:ascii="仿宋_GB2312" w:hAnsi="仿宋_GB2312" w:eastAsia="仿宋_GB2312" w:cs="仿宋_GB2312"/>
          <w:b w:val="0"/>
          <w:bCs w:val="0"/>
          <w:snapToGrid w:val="0"/>
          <w:color w:val="auto"/>
          <w:spacing w:val="0"/>
          <w:kern w:val="0"/>
          <w:sz w:val="32"/>
          <w:szCs w:val="32"/>
        </w:rPr>
        <w:t>万元，占总收入</w:t>
      </w:r>
      <w:r>
        <w:rPr>
          <w:rFonts w:hint="eastAsia" w:ascii="仿宋_GB2312" w:hAnsi="仿宋_GB2312" w:eastAsia="仿宋_GB2312" w:cs="仿宋_GB2312"/>
          <w:b w:val="0"/>
          <w:bCs w:val="0"/>
          <w:snapToGrid w:val="0"/>
          <w:color w:val="auto"/>
          <w:spacing w:val="0"/>
          <w:kern w:val="0"/>
          <w:sz w:val="32"/>
          <w:szCs w:val="32"/>
          <w:lang w:val="en-US" w:eastAsia="zh-CN"/>
        </w:rPr>
        <w:t>100</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shd w:val="clear" w:color="auto" w:fill="auto"/>
          <w:lang w:val="en-US" w:eastAsia="zh-CN"/>
        </w:rPr>
      </w:pPr>
      <w:r>
        <w:rPr>
          <w:rFonts w:hint="eastAsia" w:ascii="楷体_GB2312" w:hAnsi="Times New Roman" w:eastAsia="楷体_GB2312" w:cs="Times New Roman"/>
          <w:b w:val="0"/>
          <w:bCs w:val="0"/>
          <w:color w:val="auto"/>
          <w:kern w:val="0"/>
          <w:sz w:val="32"/>
          <w:szCs w:val="32"/>
          <w:shd w:val="clear" w:color="auto" w:fill="FFFFFF"/>
        </w:rPr>
        <w:t>（二）部门财政资金支出情况。</w:t>
      </w:r>
      <w:r>
        <w:rPr>
          <w:rFonts w:hint="eastAsia" w:ascii="仿宋_GB2312" w:hAnsi="仿宋_GB2312" w:eastAsia="仿宋_GB2312" w:cs="仿宋_GB2312"/>
          <w:b w:val="0"/>
          <w:bCs w:val="0"/>
          <w:snapToGrid w:val="0"/>
          <w:color w:val="auto"/>
          <w:spacing w:val="0"/>
          <w:kern w:val="0"/>
          <w:sz w:val="32"/>
          <w:szCs w:val="32"/>
        </w:rPr>
        <w:t>2021年，我单位总</w:t>
      </w:r>
      <w:r>
        <w:rPr>
          <w:rFonts w:hint="eastAsia" w:ascii="仿宋_GB2312" w:hAnsi="仿宋_GB2312" w:eastAsia="仿宋_GB2312" w:cs="仿宋_GB2312"/>
          <w:b w:val="0"/>
          <w:bCs w:val="0"/>
          <w:snapToGrid w:val="0"/>
          <w:color w:val="auto"/>
          <w:spacing w:val="0"/>
          <w:kern w:val="0"/>
          <w:sz w:val="32"/>
          <w:szCs w:val="32"/>
          <w:lang w:eastAsia="zh-CN"/>
        </w:rPr>
        <w:t>支出</w:t>
      </w:r>
      <w:r>
        <w:rPr>
          <w:rFonts w:hint="eastAsia" w:ascii="仿宋_GB2312" w:hAnsi="仿宋_GB2312" w:eastAsia="仿宋_GB2312" w:cs="仿宋_GB2312"/>
          <w:b w:val="0"/>
          <w:bCs w:val="0"/>
          <w:snapToGrid w:val="0"/>
          <w:color w:val="auto"/>
          <w:spacing w:val="0"/>
          <w:kern w:val="0"/>
          <w:sz w:val="32"/>
          <w:szCs w:val="32"/>
          <w:lang w:val="en-US" w:eastAsia="zh-CN"/>
        </w:rPr>
        <w:t>142</w:t>
      </w:r>
      <w:r>
        <w:rPr>
          <w:rFonts w:hint="eastAsia" w:ascii="仿宋_GB2312" w:hAnsi="仿宋_GB2312" w:eastAsia="仿宋_GB2312" w:cs="仿宋_GB2312"/>
          <w:b w:val="0"/>
          <w:bCs w:val="0"/>
          <w:snapToGrid w:val="0"/>
          <w:color w:val="auto"/>
          <w:spacing w:val="0"/>
          <w:kern w:val="0"/>
          <w:sz w:val="32"/>
          <w:szCs w:val="32"/>
        </w:rPr>
        <w:t>万元，其中：</w:t>
      </w:r>
      <w:r>
        <w:rPr>
          <w:rFonts w:hint="eastAsia" w:ascii="仿宋_GB2312" w:hAnsi="仿宋_GB2312" w:eastAsia="仿宋_GB2312" w:cs="仿宋_GB2312"/>
          <w:b w:val="0"/>
          <w:bCs w:val="0"/>
          <w:snapToGrid w:val="0"/>
          <w:color w:val="auto"/>
          <w:spacing w:val="0"/>
          <w:kern w:val="0"/>
          <w:sz w:val="32"/>
          <w:szCs w:val="32"/>
          <w:lang w:eastAsia="zh-CN"/>
        </w:rPr>
        <w:t>按功能分类一般公务服务支出</w:t>
      </w:r>
      <w:r>
        <w:rPr>
          <w:rFonts w:hint="eastAsia" w:ascii="仿宋_GB2312" w:hAnsi="仿宋_GB2312" w:eastAsia="仿宋_GB2312" w:cs="仿宋_GB2312"/>
          <w:b w:val="0"/>
          <w:bCs w:val="0"/>
          <w:snapToGrid w:val="0"/>
          <w:color w:val="auto"/>
          <w:spacing w:val="0"/>
          <w:kern w:val="0"/>
          <w:sz w:val="32"/>
          <w:szCs w:val="32"/>
          <w:lang w:val="en-US" w:eastAsia="zh-CN"/>
        </w:rPr>
        <w:t>130.56万元，占总支出 91.94%；社会保障和就业支出6.17万元，占总支出4.35%；卫生健康支出2.11万元，占总支的1.48%，住房保障支出3.16万元，占总支出的2.23%。</w:t>
      </w:r>
      <w:r>
        <w:rPr>
          <w:rFonts w:hint="eastAsia" w:ascii="仿宋_GB2312" w:hAnsi="仿宋_GB2312" w:eastAsia="仿宋_GB2312" w:cs="仿宋_GB2312"/>
          <w:b w:val="0"/>
          <w:bCs w:val="0"/>
          <w:snapToGrid w:val="0"/>
          <w:color w:val="auto"/>
          <w:spacing w:val="0"/>
          <w:kern w:val="0"/>
          <w:sz w:val="32"/>
          <w:szCs w:val="32"/>
          <w:shd w:val="clear" w:color="auto" w:fill="auto"/>
          <w:lang w:val="en-US" w:eastAsia="zh-CN"/>
        </w:rPr>
        <w:t>按支出性质人员经费支出90.61万元，占总支出的63.81%；公用经费支出7.39万元，占总支出的5.2%；项目支出44万元，占总支出的30.99%。</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default" w:ascii="仿宋_GB2312" w:hAnsi="宋体" w:eastAsia="仿宋_GB2312" w:cs="宋体"/>
          <w:b w:val="0"/>
          <w:bCs w:val="0"/>
          <w:color w:val="auto"/>
          <w:kern w:val="0"/>
          <w:sz w:val="32"/>
          <w:szCs w:val="32"/>
          <w:highlight w:val="none"/>
          <w:shd w:val="clear" w:color="auto" w:fill="FFFFFF"/>
          <w:lang w:val="en-US" w:eastAsia="zh-CN"/>
        </w:rPr>
      </w:pPr>
      <w:r>
        <w:rPr>
          <w:rFonts w:hint="eastAsia" w:ascii="黑体" w:hAnsi="宋体" w:eastAsia="黑体" w:cs="宋体"/>
          <w:b w:val="0"/>
          <w:bCs w:val="0"/>
          <w:color w:val="auto"/>
          <w:kern w:val="0"/>
          <w:sz w:val="32"/>
          <w:szCs w:val="32"/>
          <w:highlight w:val="none"/>
          <w:shd w:val="clear" w:color="auto" w:fill="FFFFFF"/>
        </w:rPr>
        <w:t>三、</w:t>
      </w:r>
      <w:r>
        <w:rPr>
          <w:rFonts w:hint="eastAsia" w:ascii="黑体" w:hAnsi="宋体" w:eastAsia="黑体" w:cs="宋体"/>
          <w:b w:val="0"/>
          <w:bCs w:val="0"/>
          <w:color w:val="auto"/>
          <w:kern w:val="0"/>
          <w:sz w:val="32"/>
          <w:szCs w:val="32"/>
          <w:highlight w:val="none"/>
          <w:u w:val="none"/>
          <w:shd w:val="clear" w:color="auto" w:fill="FFFFFF"/>
        </w:rPr>
        <w:t>部门整体预算绩效管理情况</w:t>
      </w:r>
    </w:p>
    <w:p>
      <w:pPr>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rPr>
        <w:t>（一）部门预算项目绩效管理。</w:t>
      </w:r>
    </w:p>
    <w:p>
      <w:pPr>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仿宋_GB2312" w:hAnsi="仿宋_GB2312" w:eastAsia="仿宋_GB2312" w:cs="仿宋_GB2312"/>
          <w:b w:val="0"/>
          <w:bCs w:val="0"/>
          <w:snapToGrid w:val="0"/>
          <w:color w:val="auto"/>
          <w:spacing w:val="0"/>
          <w:kern w:val="0"/>
          <w:sz w:val="32"/>
          <w:szCs w:val="32"/>
        </w:rPr>
        <w:t>高度重视财政支出绩效自评工作，严格按照财政要求，认真</w:t>
      </w:r>
      <w:r>
        <w:rPr>
          <w:rFonts w:hint="eastAsia" w:ascii="仿宋_GB2312" w:hAnsi="仿宋_GB2312" w:eastAsia="仿宋_GB2312" w:cs="仿宋_GB2312"/>
          <w:b w:val="0"/>
          <w:bCs w:val="0"/>
          <w:snapToGrid w:val="0"/>
          <w:color w:val="auto"/>
          <w:spacing w:val="0"/>
          <w:kern w:val="0"/>
          <w:sz w:val="32"/>
          <w:szCs w:val="32"/>
          <w:lang w:eastAsia="zh-CN"/>
        </w:rPr>
        <w:t>开展</w:t>
      </w:r>
      <w:r>
        <w:rPr>
          <w:rFonts w:hint="eastAsia" w:ascii="仿宋_GB2312" w:hAnsi="仿宋_GB2312" w:eastAsia="仿宋_GB2312" w:cs="仿宋_GB2312"/>
          <w:b w:val="0"/>
          <w:bCs w:val="0"/>
          <w:snapToGrid w:val="0"/>
          <w:color w:val="auto"/>
          <w:spacing w:val="0"/>
          <w:kern w:val="0"/>
          <w:sz w:val="32"/>
          <w:szCs w:val="32"/>
        </w:rPr>
        <w:t>绩效评价工作</w:t>
      </w:r>
      <w:r>
        <w:rPr>
          <w:rFonts w:hint="default" w:ascii="仿宋_GB2312" w:hAnsi="仿宋_GB2312" w:eastAsia="仿宋_GB2312" w:cs="仿宋_GB2312"/>
          <w:b w:val="0"/>
          <w:bCs w:val="0"/>
          <w:snapToGrid w:val="0"/>
          <w:color w:val="auto"/>
          <w:spacing w:val="0"/>
          <w:kern w:val="0"/>
          <w:sz w:val="32"/>
          <w:szCs w:val="32"/>
          <w:lang w:val="en"/>
        </w:rPr>
        <w:t>,</w:t>
      </w:r>
      <w:r>
        <w:rPr>
          <w:rFonts w:hint="eastAsia" w:ascii="仿宋_GB2312" w:hAnsi="仿宋_GB2312" w:eastAsia="仿宋_GB2312" w:cs="仿宋_GB2312"/>
          <w:b w:val="0"/>
          <w:bCs w:val="0"/>
          <w:snapToGrid w:val="0"/>
          <w:color w:val="auto"/>
          <w:spacing w:val="0"/>
          <w:kern w:val="0"/>
          <w:sz w:val="32"/>
          <w:szCs w:val="32"/>
        </w:rPr>
        <w:t>在规定的时间内完成了编制工作。</w:t>
      </w:r>
      <w:r>
        <w:rPr>
          <w:rFonts w:hint="eastAsia" w:ascii="仿宋_GB2312" w:hAnsi="仿宋_GB2312" w:eastAsia="仿宋_GB2312" w:cs="仿宋_GB2312"/>
          <w:b w:val="0"/>
          <w:bCs w:val="0"/>
          <w:snapToGrid w:val="0"/>
          <w:color w:val="auto"/>
          <w:spacing w:val="0"/>
          <w:kern w:val="0"/>
          <w:sz w:val="32"/>
          <w:szCs w:val="32"/>
          <w:lang w:eastAsia="zh-CN"/>
        </w:rPr>
        <w:t>财政预算支出</w:t>
      </w:r>
      <w:r>
        <w:rPr>
          <w:rFonts w:hint="eastAsia" w:ascii="仿宋_GB2312" w:hAnsi="仿宋_GB2312" w:eastAsia="仿宋_GB2312" w:cs="仿宋_GB2312"/>
          <w:b w:val="0"/>
          <w:bCs w:val="0"/>
          <w:snapToGrid w:val="0"/>
          <w:color w:val="auto"/>
          <w:spacing w:val="0"/>
          <w:kern w:val="0"/>
          <w:sz w:val="32"/>
          <w:szCs w:val="32"/>
        </w:rPr>
        <w:t>主要分基本支出和项目支出两大版块</w:t>
      </w:r>
      <w:r>
        <w:rPr>
          <w:rFonts w:hint="eastAsia" w:ascii="仿宋_GB2312" w:hAnsi="仿宋_GB2312" w:eastAsia="仿宋_GB2312" w:cs="仿宋_GB2312"/>
          <w:b w:val="0"/>
          <w:bCs w:val="0"/>
          <w:snapToGrid w:val="0"/>
          <w:color w:val="auto"/>
          <w:spacing w:val="0"/>
          <w:kern w:val="0"/>
          <w:sz w:val="32"/>
          <w:szCs w:val="32"/>
          <w:lang w:eastAsia="zh-CN"/>
        </w:rPr>
        <w:t>，其中</w:t>
      </w:r>
      <w:r>
        <w:rPr>
          <w:rFonts w:hint="eastAsia" w:ascii="仿宋_GB2312" w:hAnsi="仿宋_GB2312" w:eastAsia="仿宋_GB2312" w:cs="仿宋_GB2312"/>
          <w:b w:val="0"/>
          <w:bCs w:val="0"/>
          <w:snapToGrid w:val="0"/>
          <w:color w:val="auto"/>
          <w:spacing w:val="0"/>
          <w:kern w:val="0"/>
          <w:sz w:val="32"/>
          <w:szCs w:val="32"/>
        </w:rPr>
        <w:t>基本支出按照单位实有人数和各单项定额标准</w:t>
      </w:r>
      <w:r>
        <w:rPr>
          <w:rFonts w:hint="eastAsia" w:ascii="仿宋_GB2312" w:hAnsi="仿宋_GB2312" w:eastAsia="仿宋_GB2312" w:cs="仿宋_GB2312"/>
          <w:b w:val="0"/>
          <w:bCs w:val="0"/>
          <w:snapToGrid w:val="0"/>
          <w:color w:val="auto"/>
          <w:spacing w:val="0"/>
          <w:kern w:val="0"/>
          <w:sz w:val="32"/>
          <w:szCs w:val="32"/>
          <w:lang w:eastAsia="zh-CN"/>
        </w:rPr>
        <w:t>进行</w:t>
      </w:r>
      <w:r>
        <w:rPr>
          <w:rFonts w:hint="eastAsia" w:ascii="仿宋_GB2312" w:hAnsi="仿宋_GB2312" w:eastAsia="仿宋_GB2312" w:cs="仿宋_GB2312"/>
          <w:b w:val="0"/>
          <w:bCs w:val="0"/>
          <w:snapToGrid w:val="0"/>
          <w:color w:val="auto"/>
          <w:spacing w:val="0"/>
          <w:kern w:val="0"/>
          <w:sz w:val="32"/>
          <w:szCs w:val="32"/>
        </w:rPr>
        <w:t>编制</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项目支出主要是根据本单位基本职能和职责要求，为保障完成单位特定的行政工作和社会事业发展目标而编制。整个预算包含了财政资金的安排使用、管理情况等。</w:t>
      </w:r>
    </w:p>
    <w:p>
      <w:pPr>
        <w:keepNext w:val="0"/>
        <w:keepLines w:val="0"/>
        <w:pageBreakBefore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rPr>
        <w:t>部门基本支出预算</w:t>
      </w:r>
      <w:r>
        <w:rPr>
          <w:rFonts w:hint="eastAsia" w:ascii="仿宋_GB2312" w:hAnsi="仿宋_GB2312" w:eastAsia="仿宋_GB2312" w:cs="仿宋_GB2312"/>
          <w:b w:val="0"/>
          <w:bCs w:val="0"/>
          <w:snapToGrid w:val="0"/>
          <w:color w:val="auto"/>
          <w:spacing w:val="0"/>
          <w:kern w:val="0"/>
          <w:sz w:val="32"/>
          <w:szCs w:val="32"/>
          <w:lang w:val="en-US" w:eastAsia="zh-CN"/>
        </w:rPr>
        <w:t>142</w:t>
      </w:r>
      <w:r>
        <w:rPr>
          <w:rFonts w:hint="eastAsia" w:ascii="仿宋_GB2312" w:hAnsi="仿宋_GB2312" w:eastAsia="仿宋_GB2312" w:cs="仿宋_GB2312"/>
          <w:b w:val="0"/>
          <w:bCs w:val="0"/>
          <w:snapToGrid w:val="0"/>
          <w:color w:val="auto"/>
          <w:spacing w:val="0"/>
          <w:kern w:val="0"/>
          <w:sz w:val="32"/>
          <w:szCs w:val="32"/>
        </w:rPr>
        <w:t>万元。其中：人员</w:t>
      </w:r>
      <w:r>
        <w:rPr>
          <w:rFonts w:hint="eastAsia" w:ascii="仿宋_GB2312" w:hAnsi="仿宋_GB2312" w:eastAsia="仿宋_GB2312" w:cs="仿宋_GB2312"/>
          <w:b w:val="0"/>
          <w:bCs w:val="0"/>
          <w:snapToGrid w:val="0"/>
          <w:color w:val="auto"/>
          <w:spacing w:val="0"/>
          <w:kern w:val="0"/>
          <w:sz w:val="32"/>
          <w:szCs w:val="32"/>
          <w:lang w:val="en-US" w:eastAsia="zh-CN"/>
        </w:rPr>
        <w:t>类</w:t>
      </w:r>
      <w:r>
        <w:rPr>
          <w:rFonts w:hint="eastAsia" w:ascii="仿宋_GB2312" w:hAnsi="仿宋_GB2312" w:eastAsia="仿宋_GB2312" w:cs="仿宋_GB2312"/>
          <w:b w:val="0"/>
          <w:bCs w:val="0"/>
          <w:snapToGrid w:val="0"/>
          <w:color w:val="auto"/>
          <w:spacing w:val="0"/>
          <w:kern w:val="0"/>
          <w:sz w:val="32"/>
          <w:szCs w:val="32"/>
        </w:rPr>
        <w:t>支出</w:t>
      </w:r>
      <w:r>
        <w:rPr>
          <w:rFonts w:hint="eastAsia" w:ascii="仿宋_GB2312" w:hAnsi="仿宋_GB2312" w:eastAsia="仿宋_GB2312" w:cs="仿宋_GB2312"/>
          <w:b w:val="0"/>
          <w:bCs w:val="0"/>
          <w:snapToGrid w:val="0"/>
          <w:color w:val="auto"/>
          <w:spacing w:val="0"/>
          <w:kern w:val="0"/>
          <w:sz w:val="32"/>
          <w:szCs w:val="32"/>
          <w:lang w:val="en-US" w:eastAsia="zh-CN"/>
        </w:rPr>
        <w:t>90.61</w:t>
      </w:r>
      <w:r>
        <w:rPr>
          <w:rFonts w:hint="eastAsia" w:ascii="仿宋_GB2312" w:hAnsi="仿宋_GB2312" w:eastAsia="仿宋_GB2312" w:cs="仿宋_GB2312"/>
          <w:b w:val="0"/>
          <w:bCs w:val="0"/>
          <w:snapToGrid w:val="0"/>
          <w:color w:val="auto"/>
          <w:spacing w:val="0"/>
          <w:kern w:val="0"/>
          <w:sz w:val="32"/>
          <w:szCs w:val="32"/>
        </w:rPr>
        <w:t>万元，主要包括</w:t>
      </w:r>
      <w:r>
        <w:rPr>
          <w:rFonts w:hint="default" w:ascii="仿宋_GB2312" w:hAnsi="仿宋_GB2312" w:eastAsia="仿宋_GB2312" w:cs="仿宋_GB2312"/>
          <w:b w:val="0"/>
          <w:bCs w:val="0"/>
          <w:snapToGrid w:val="0"/>
          <w:color w:val="auto"/>
          <w:spacing w:val="0"/>
          <w:kern w:val="0"/>
          <w:sz w:val="32"/>
          <w:szCs w:val="32"/>
          <w:lang w:val="en" w:eastAsia="zh-CN"/>
        </w:rPr>
        <w:t>4</w:t>
      </w:r>
      <w:r>
        <w:rPr>
          <w:rFonts w:hint="eastAsia" w:ascii="仿宋_GB2312" w:hAnsi="仿宋_GB2312" w:eastAsia="仿宋_GB2312" w:cs="仿宋_GB2312"/>
          <w:b w:val="0"/>
          <w:bCs w:val="0"/>
          <w:snapToGrid w:val="0"/>
          <w:color w:val="auto"/>
          <w:spacing w:val="0"/>
          <w:kern w:val="0"/>
          <w:sz w:val="32"/>
          <w:szCs w:val="32"/>
          <w:lang w:val="en-US" w:eastAsia="zh-CN"/>
        </w:rPr>
        <w:t>名单位职工</w:t>
      </w:r>
      <w:r>
        <w:rPr>
          <w:rFonts w:hint="eastAsia" w:ascii="仿宋_GB2312" w:hAnsi="仿宋_GB2312" w:eastAsia="仿宋_GB2312" w:cs="仿宋_GB2312"/>
          <w:b w:val="0"/>
          <w:bCs w:val="0"/>
          <w:snapToGrid w:val="0"/>
          <w:color w:val="auto"/>
          <w:spacing w:val="0"/>
          <w:kern w:val="0"/>
          <w:sz w:val="32"/>
          <w:szCs w:val="32"/>
        </w:rPr>
        <w:t>人员</w:t>
      </w:r>
      <w:r>
        <w:rPr>
          <w:rFonts w:hint="eastAsia" w:ascii="仿宋_GB2312" w:hAnsi="仿宋_GB2312" w:eastAsia="仿宋_GB2312" w:cs="仿宋_GB2312"/>
          <w:b w:val="0"/>
          <w:bCs w:val="0"/>
          <w:snapToGrid w:val="0"/>
          <w:color w:val="auto"/>
          <w:spacing w:val="0"/>
          <w:kern w:val="0"/>
          <w:sz w:val="32"/>
          <w:szCs w:val="32"/>
          <w:lang w:val="en-US" w:eastAsia="zh-CN"/>
        </w:rPr>
        <w:t>基本</w:t>
      </w:r>
      <w:r>
        <w:rPr>
          <w:rFonts w:hint="eastAsia" w:ascii="仿宋_GB2312" w:hAnsi="仿宋_GB2312" w:eastAsia="仿宋_GB2312" w:cs="仿宋_GB2312"/>
          <w:b w:val="0"/>
          <w:bCs w:val="0"/>
          <w:snapToGrid w:val="0"/>
          <w:color w:val="auto"/>
          <w:spacing w:val="0"/>
          <w:kern w:val="0"/>
          <w:sz w:val="32"/>
          <w:szCs w:val="32"/>
        </w:rPr>
        <w:t>工资、津贴补贴、奖金、</w:t>
      </w:r>
      <w:r>
        <w:rPr>
          <w:rFonts w:hint="eastAsia" w:ascii="仿宋_GB2312" w:hAnsi="仿宋_GB2312" w:eastAsia="仿宋_GB2312" w:cs="仿宋_GB2312"/>
          <w:b w:val="0"/>
          <w:bCs w:val="0"/>
          <w:snapToGrid w:val="0"/>
          <w:color w:val="auto"/>
          <w:spacing w:val="0"/>
          <w:kern w:val="0"/>
          <w:sz w:val="32"/>
          <w:szCs w:val="32"/>
          <w:lang w:eastAsia="zh-CN"/>
        </w:rPr>
        <w:t>各类保险费用缴费、</w:t>
      </w:r>
      <w:r>
        <w:rPr>
          <w:rFonts w:hint="eastAsia" w:ascii="仿宋_GB2312" w:hAnsi="仿宋_GB2312" w:eastAsia="仿宋_GB2312" w:cs="仿宋_GB2312"/>
          <w:b w:val="0"/>
          <w:bCs w:val="0"/>
          <w:snapToGrid w:val="0"/>
          <w:color w:val="auto"/>
          <w:spacing w:val="0"/>
          <w:kern w:val="0"/>
          <w:sz w:val="32"/>
          <w:szCs w:val="32"/>
          <w:lang w:val="en-US" w:eastAsia="zh-CN"/>
        </w:rPr>
        <w:t>职业年金缴费、</w:t>
      </w:r>
      <w:r>
        <w:rPr>
          <w:rFonts w:hint="eastAsia" w:ascii="仿宋_GB2312" w:hAnsi="仿宋_GB2312" w:eastAsia="仿宋_GB2312" w:cs="仿宋_GB2312"/>
          <w:b w:val="0"/>
          <w:bCs w:val="0"/>
          <w:snapToGrid w:val="0"/>
          <w:color w:val="auto"/>
          <w:spacing w:val="0"/>
          <w:kern w:val="0"/>
          <w:sz w:val="32"/>
          <w:szCs w:val="32"/>
          <w:lang w:eastAsia="zh-CN"/>
        </w:rPr>
        <w:t>公积金缴费，西部计划志愿者生活补助、社保缴费</w:t>
      </w:r>
      <w:r>
        <w:rPr>
          <w:rFonts w:hint="eastAsia" w:ascii="仿宋_GB2312" w:hAnsi="仿宋_GB2312" w:eastAsia="仿宋_GB2312" w:cs="仿宋_GB2312"/>
          <w:b w:val="0"/>
          <w:bCs w:val="0"/>
          <w:snapToGrid w:val="0"/>
          <w:color w:val="auto"/>
          <w:spacing w:val="0"/>
          <w:kern w:val="0"/>
          <w:sz w:val="32"/>
          <w:szCs w:val="32"/>
        </w:rPr>
        <w:t>。公用</w:t>
      </w:r>
      <w:r>
        <w:rPr>
          <w:rFonts w:hint="eastAsia" w:ascii="仿宋_GB2312" w:hAnsi="仿宋_GB2312" w:eastAsia="仿宋_GB2312" w:cs="仿宋_GB2312"/>
          <w:b w:val="0"/>
          <w:bCs w:val="0"/>
          <w:snapToGrid w:val="0"/>
          <w:color w:val="auto"/>
          <w:spacing w:val="0"/>
          <w:kern w:val="0"/>
          <w:sz w:val="32"/>
          <w:szCs w:val="32"/>
          <w:lang w:eastAsia="zh-CN"/>
        </w:rPr>
        <w:t>经费</w:t>
      </w:r>
      <w:r>
        <w:rPr>
          <w:rFonts w:hint="eastAsia" w:ascii="仿宋_GB2312" w:hAnsi="仿宋_GB2312" w:eastAsia="仿宋_GB2312" w:cs="仿宋_GB2312"/>
          <w:b w:val="0"/>
          <w:bCs w:val="0"/>
          <w:snapToGrid w:val="0"/>
          <w:color w:val="auto"/>
          <w:spacing w:val="0"/>
          <w:kern w:val="0"/>
          <w:sz w:val="32"/>
          <w:szCs w:val="32"/>
        </w:rPr>
        <w:t>支出</w:t>
      </w:r>
      <w:r>
        <w:rPr>
          <w:rFonts w:hint="eastAsia" w:ascii="仿宋_GB2312" w:hAnsi="仿宋_GB2312" w:eastAsia="仿宋_GB2312" w:cs="仿宋_GB2312"/>
          <w:b w:val="0"/>
          <w:bCs w:val="0"/>
          <w:snapToGrid w:val="0"/>
          <w:color w:val="auto"/>
          <w:spacing w:val="0"/>
          <w:kern w:val="0"/>
          <w:sz w:val="32"/>
          <w:szCs w:val="32"/>
          <w:lang w:val="en-US" w:eastAsia="zh-CN"/>
        </w:rPr>
        <w:t>7.39</w:t>
      </w:r>
      <w:r>
        <w:rPr>
          <w:rFonts w:hint="eastAsia" w:ascii="仿宋_GB2312" w:hAnsi="仿宋_GB2312" w:eastAsia="仿宋_GB2312" w:cs="仿宋_GB2312"/>
          <w:b w:val="0"/>
          <w:bCs w:val="0"/>
          <w:snapToGrid w:val="0"/>
          <w:color w:val="auto"/>
          <w:spacing w:val="0"/>
          <w:kern w:val="0"/>
          <w:sz w:val="32"/>
          <w:szCs w:val="32"/>
        </w:rPr>
        <w:t>万元，主要包括</w:t>
      </w:r>
      <w:r>
        <w:rPr>
          <w:rFonts w:hint="default" w:ascii="仿宋_GB2312" w:hAnsi="仿宋_GB2312" w:eastAsia="仿宋_GB2312" w:cs="仿宋_GB2312"/>
          <w:b w:val="0"/>
          <w:bCs w:val="0"/>
          <w:snapToGrid w:val="0"/>
          <w:color w:val="auto"/>
          <w:spacing w:val="0"/>
          <w:kern w:val="0"/>
          <w:sz w:val="32"/>
          <w:szCs w:val="32"/>
          <w:lang w:val="en" w:eastAsia="zh-CN"/>
        </w:rPr>
        <w:t>4</w:t>
      </w:r>
      <w:r>
        <w:rPr>
          <w:rFonts w:hint="eastAsia" w:ascii="仿宋_GB2312" w:hAnsi="仿宋_GB2312" w:eastAsia="仿宋_GB2312" w:cs="仿宋_GB2312"/>
          <w:b w:val="0"/>
          <w:bCs w:val="0"/>
          <w:snapToGrid w:val="0"/>
          <w:color w:val="auto"/>
          <w:spacing w:val="0"/>
          <w:kern w:val="0"/>
          <w:sz w:val="32"/>
          <w:szCs w:val="32"/>
          <w:lang w:val="en-US" w:eastAsia="zh-CN"/>
        </w:rPr>
        <w:t>名职工</w:t>
      </w:r>
      <w:r>
        <w:rPr>
          <w:rFonts w:hint="eastAsia" w:ascii="仿宋_GB2312" w:hAnsi="仿宋_GB2312" w:eastAsia="仿宋_GB2312" w:cs="仿宋_GB2312"/>
          <w:b w:val="0"/>
          <w:bCs w:val="0"/>
          <w:snapToGrid w:val="0"/>
          <w:color w:val="auto"/>
          <w:spacing w:val="0"/>
          <w:kern w:val="0"/>
          <w:sz w:val="32"/>
          <w:szCs w:val="32"/>
        </w:rPr>
        <w:t>日常办公用品采购、水、电、气、差旅费、印刷、公务接待</w:t>
      </w:r>
      <w:r>
        <w:rPr>
          <w:rFonts w:hint="eastAsia" w:ascii="仿宋_GB2312" w:hAnsi="仿宋_GB2312" w:eastAsia="仿宋_GB2312" w:cs="仿宋_GB2312"/>
          <w:b w:val="0"/>
          <w:bCs w:val="0"/>
          <w:snapToGrid w:val="0"/>
          <w:color w:val="auto"/>
          <w:spacing w:val="0"/>
          <w:kern w:val="0"/>
          <w:sz w:val="32"/>
          <w:szCs w:val="32"/>
          <w:lang w:eastAsia="zh-CN"/>
        </w:rPr>
        <w:t>、耗材</w:t>
      </w:r>
      <w:r>
        <w:rPr>
          <w:rFonts w:hint="eastAsia" w:ascii="仿宋_GB2312" w:hAnsi="仿宋_GB2312" w:eastAsia="仿宋_GB2312" w:cs="仿宋_GB2312"/>
          <w:b w:val="0"/>
          <w:bCs w:val="0"/>
          <w:snapToGrid w:val="0"/>
          <w:color w:val="auto"/>
          <w:spacing w:val="0"/>
          <w:kern w:val="0"/>
          <w:sz w:val="32"/>
          <w:szCs w:val="32"/>
          <w:lang w:val="en-US" w:eastAsia="zh-CN"/>
        </w:rPr>
        <w:t>,以及</w:t>
      </w:r>
      <w:r>
        <w:rPr>
          <w:rFonts w:hint="eastAsia" w:ascii="仿宋_GB2312" w:hAnsi="仿宋_GB2312" w:eastAsia="仿宋_GB2312" w:cs="仿宋_GB2312"/>
          <w:b w:val="0"/>
          <w:bCs w:val="0"/>
          <w:snapToGrid w:val="0"/>
          <w:color w:val="auto"/>
          <w:spacing w:val="0"/>
          <w:kern w:val="0"/>
          <w:sz w:val="32"/>
          <w:szCs w:val="32"/>
          <w:lang w:eastAsia="zh-CN"/>
        </w:rPr>
        <w:t>公务交通补贴等。</w:t>
      </w:r>
    </w:p>
    <w:p>
      <w:pPr>
        <w:keepNext w:val="0"/>
        <w:keepLines w:val="0"/>
        <w:pageBreakBefore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rPr>
        <w:t>部门项目</w:t>
      </w:r>
      <w:r>
        <w:rPr>
          <w:rFonts w:hint="eastAsia" w:ascii="仿宋_GB2312" w:hAnsi="仿宋_GB2312" w:eastAsia="仿宋_GB2312" w:cs="仿宋_GB2312"/>
          <w:b w:val="0"/>
          <w:bCs w:val="0"/>
          <w:snapToGrid w:val="0"/>
          <w:color w:val="auto"/>
          <w:spacing w:val="0"/>
          <w:kern w:val="0"/>
          <w:sz w:val="32"/>
          <w:szCs w:val="32"/>
          <w:lang w:eastAsia="zh-CN"/>
        </w:rPr>
        <w:t>支出预算</w:t>
      </w:r>
      <w:r>
        <w:rPr>
          <w:rFonts w:hint="eastAsia" w:ascii="仿宋_GB2312" w:hAnsi="仿宋_GB2312" w:eastAsia="仿宋_GB2312" w:cs="仿宋_GB2312"/>
          <w:b w:val="0"/>
          <w:bCs w:val="0"/>
          <w:snapToGrid w:val="0"/>
          <w:color w:val="auto"/>
          <w:spacing w:val="0"/>
          <w:kern w:val="0"/>
          <w:sz w:val="32"/>
          <w:szCs w:val="32"/>
          <w:lang w:val="en-US" w:eastAsia="zh-CN"/>
        </w:rPr>
        <w:t>44万元，</w:t>
      </w:r>
      <w:r>
        <w:rPr>
          <w:rFonts w:hint="eastAsia" w:ascii="仿宋_GB2312" w:hAnsi="仿宋_GB2312" w:eastAsia="仿宋_GB2312" w:cs="仿宋_GB2312"/>
          <w:b w:val="0"/>
          <w:bCs w:val="0"/>
          <w:snapToGrid w:val="0"/>
          <w:color w:val="auto"/>
          <w:spacing w:val="0"/>
          <w:kern w:val="0"/>
          <w:sz w:val="32"/>
          <w:szCs w:val="32"/>
        </w:rPr>
        <w:t>其中：志愿服务活动工作经费</w:t>
      </w:r>
      <w:r>
        <w:rPr>
          <w:rFonts w:hint="eastAsia" w:ascii="仿宋_GB2312" w:hAnsi="仿宋_GB2312" w:eastAsia="仿宋_GB2312" w:cs="仿宋_GB2312"/>
          <w:b w:val="0"/>
          <w:bCs w:val="0"/>
          <w:snapToGrid w:val="0"/>
          <w:color w:val="auto"/>
          <w:spacing w:val="0"/>
          <w:kern w:val="0"/>
          <w:sz w:val="32"/>
          <w:szCs w:val="32"/>
          <w:lang w:val="en-US" w:eastAsia="zh-CN"/>
        </w:rPr>
        <w:t>10万元，促进</w:t>
      </w:r>
      <w:r>
        <w:rPr>
          <w:rFonts w:hint="eastAsia" w:ascii="仿宋_GB2312" w:hAnsi="仿宋_GB2312" w:eastAsia="仿宋_GB2312" w:cs="仿宋_GB2312"/>
          <w:b w:val="0"/>
          <w:bCs w:val="0"/>
          <w:snapToGrid w:val="0"/>
          <w:color w:val="auto"/>
          <w:spacing w:val="0"/>
          <w:kern w:val="0"/>
          <w:sz w:val="32"/>
          <w:szCs w:val="32"/>
        </w:rPr>
        <w:t>全区志愿服务活动顺利开展，服务全区中心工作。五四、一二九节庆活动经费</w:t>
      </w:r>
      <w:r>
        <w:rPr>
          <w:rFonts w:hint="eastAsia" w:ascii="仿宋_GB2312" w:hAnsi="仿宋_GB2312" w:eastAsia="仿宋_GB2312" w:cs="仿宋_GB2312"/>
          <w:b w:val="0"/>
          <w:bCs w:val="0"/>
          <w:snapToGrid w:val="0"/>
          <w:color w:val="auto"/>
          <w:spacing w:val="0"/>
          <w:kern w:val="0"/>
          <w:sz w:val="32"/>
          <w:szCs w:val="32"/>
          <w:lang w:val="en-US" w:eastAsia="zh-CN"/>
        </w:rPr>
        <w:t>5万元，用于</w:t>
      </w:r>
      <w:r>
        <w:rPr>
          <w:rFonts w:hint="eastAsia" w:ascii="仿宋_GB2312" w:hAnsi="仿宋_GB2312" w:eastAsia="仿宋_GB2312" w:cs="仿宋_GB2312"/>
          <w:b w:val="0"/>
          <w:bCs w:val="0"/>
          <w:snapToGrid w:val="0"/>
          <w:color w:val="auto"/>
          <w:spacing w:val="0"/>
          <w:kern w:val="0"/>
          <w:sz w:val="32"/>
          <w:szCs w:val="32"/>
        </w:rPr>
        <w:t>全区五四、一二九庆祝活动的</w:t>
      </w:r>
      <w:r>
        <w:rPr>
          <w:rFonts w:hint="eastAsia" w:ascii="仿宋_GB2312" w:hAnsi="仿宋_GB2312" w:eastAsia="仿宋_GB2312" w:cs="仿宋_GB2312"/>
          <w:b w:val="0"/>
          <w:bCs w:val="0"/>
          <w:snapToGrid w:val="0"/>
          <w:color w:val="auto"/>
          <w:spacing w:val="0"/>
          <w:kern w:val="0"/>
          <w:sz w:val="32"/>
          <w:szCs w:val="32"/>
          <w:lang w:eastAsia="zh-CN"/>
        </w:rPr>
        <w:t>常态化</w:t>
      </w:r>
      <w:r>
        <w:rPr>
          <w:rFonts w:hint="eastAsia" w:ascii="仿宋_GB2312" w:hAnsi="仿宋_GB2312" w:eastAsia="仿宋_GB2312" w:cs="仿宋_GB2312"/>
          <w:b w:val="0"/>
          <w:bCs w:val="0"/>
          <w:snapToGrid w:val="0"/>
          <w:color w:val="auto"/>
          <w:spacing w:val="0"/>
          <w:kern w:val="0"/>
          <w:sz w:val="32"/>
          <w:szCs w:val="32"/>
        </w:rPr>
        <w:t>开展</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关工委工作经费</w:t>
      </w:r>
      <w:r>
        <w:rPr>
          <w:rFonts w:hint="eastAsia" w:ascii="仿宋_GB2312" w:hAnsi="仿宋_GB2312" w:eastAsia="仿宋_GB2312" w:cs="仿宋_GB2312"/>
          <w:b w:val="0"/>
          <w:bCs w:val="0"/>
          <w:snapToGrid w:val="0"/>
          <w:color w:val="auto"/>
          <w:spacing w:val="0"/>
          <w:kern w:val="0"/>
          <w:sz w:val="32"/>
          <w:szCs w:val="32"/>
          <w:lang w:val="en-US" w:eastAsia="zh-CN"/>
        </w:rPr>
        <w:t>5万元，</w:t>
      </w:r>
      <w:r>
        <w:rPr>
          <w:rFonts w:hint="eastAsia" w:ascii="仿宋_GB2312" w:hAnsi="仿宋_GB2312" w:eastAsia="仿宋_GB2312" w:cs="仿宋_GB2312"/>
          <w:b w:val="0"/>
          <w:bCs w:val="0"/>
          <w:snapToGrid w:val="0"/>
          <w:color w:val="auto"/>
          <w:spacing w:val="0"/>
          <w:kern w:val="0"/>
          <w:sz w:val="32"/>
          <w:szCs w:val="32"/>
        </w:rPr>
        <w:t>保障关工委正常运行和工作正常开展</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天府旅游名县创建</w:t>
      </w:r>
      <w:r>
        <w:rPr>
          <w:rFonts w:hint="eastAsia" w:ascii="仿宋_GB2312" w:hAnsi="仿宋_GB2312" w:eastAsia="仿宋_GB2312" w:cs="仿宋_GB2312"/>
          <w:b w:val="0"/>
          <w:bCs w:val="0"/>
          <w:snapToGrid w:val="0"/>
          <w:color w:val="auto"/>
          <w:spacing w:val="0"/>
          <w:kern w:val="0"/>
          <w:sz w:val="32"/>
          <w:szCs w:val="32"/>
          <w:lang w:eastAsia="zh-CN"/>
        </w:rPr>
        <w:t>活动经费</w:t>
      </w:r>
      <w:r>
        <w:rPr>
          <w:rFonts w:hint="eastAsia" w:ascii="仿宋_GB2312" w:hAnsi="仿宋_GB2312" w:eastAsia="仿宋_GB2312" w:cs="仿宋_GB2312"/>
          <w:b w:val="0"/>
          <w:bCs w:val="0"/>
          <w:snapToGrid w:val="0"/>
          <w:color w:val="auto"/>
          <w:spacing w:val="0"/>
          <w:kern w:val="0"/>
          <w:sz w:val="32"/>
          <w:szCs w:val="32"/>
          <w:lang w:val="en-US" w:eastAsia="zh-CN"/>
        </w:rPr>
        <w:t>20万元，助力天府旅游名县创建，做好全省旅发大会的会务、随车解说等工作，参与志愿者达到90余人</w:t>
      </w:r>
      <w:r>
        <w:rPr>
          <w:rFonts w:hint="eastAsia" w:ascii="仿宋_GB2312" w:hAnsi="仿宋_GB2312" w:eastAsia="仿宋_GB2312" w:cs="仿宋_GB2312"/>
          <w:b w:val="0"/>
          <w:bCs w:val="0"/>
          <w:snapToGrid w:val="0"/>
          <w:color w:val="auto"/>
          <w:spacing w:val="0"/>
          <w:kern w:val="0"/>
          <w:sz w:val="32"/>
          <w:szCs w:val="32"/>
          <w:lang w:eastAsia="zh-CN"/>
        </w:rPr>
        <w:t>。志愿者生活补助</w:t>
      </w:r>
      <w:r>
        <w:rPr>
          <w:rFonts w:hint="eastAsia" w:ascii="仿宋_GB2312" w:hAnsi="仿宋_GB2312" w:eastAsia="仿宋_GB2312" w:cs="仿宋_GB2312"/>
          <w:b w:val="0"/>
          <w:bCs w:val="0"/>
          <w:snapToGrid w:val="0"/>
          <w:color w:val="auto"/>
          <w:spacing w:val="0"/>
          <w:kern w:val="0"/>
          <w:sz w:val="32"/>
          <w:szCs w:val="32"/>
          <w:lang w:val="en-US" w:eastAsia="zh-CN"/>
        </w:rPr>
        <w:t>3.36万元，保障志愿者生活，以及</w:t>
      </w:r>
      <w:r>
        <w:rPr>
          <w:rFonts w:hint="eastAsia" w:ascii="仿宋_GB2312" w:hAnsi="仿宋_GB2312" w:eastAsia="仿宋_GB2312" w:cs="仿宋_GB2312"/>
          <w:b w:val="0"/>
          <w:bCs w:val="0"/>
          <w:snapToGrid w:val="0"/>
          <w:color w:val="auto"/>
          <w:spacing w:val="0"/>
          <w:kern w:val="0"/>
          <w:sz w:val="32"/>
          <w:szCs w:val="32"/>
          <w:lang w:eastAsia="zh-CN"/>
        </w:rPr>
        <w:t>金财网络维护费</w:t>
      </w:r>
      <w:r>
        <w:rPr>
          <w:rFonts w:hint="eastAsia" w:ascii="仿宋_GB2312" w:hAnsi="仿宋_GB2312" w:eastAsia="仿宋_GB2312" w:cs="仿宋_GB2312"/>
          <w:b w:val="0"/>
          <w:bCs w:val="0"/>
          <w:snapToGrid w:val="0"/>
          <w:color w:val="auto"/>
          <w:spacing w:val="0"/>
          <w:kern w:val="0"/>
          <w:sz w:val="32"/>
          <w:szCs w:val="32"/>
          <w:lang w:val="en-US" w:eastAsia="zh-CN"/>
        </w:rPr>
        <w:t>0.24万元</w:t>
      </w:r>
      <w:r>
        <w:rPr>
          <w:rFonts w:hint="eastAsia" w:ascii="仿宋_GB2312" w:hAnsi="仿宋_GB2312" w:eastAsia="仿宋_GB2312" w:cs="仿宋_GB2312"/>
          <w:b w:val="0"/>
          <w:bCs w:val="0"/>
          <w:snapToGrid w:val="0"/>
          <w:color w:val="auto"/>
          <w:spacing w:val="0"/>
          <w:kern w:val="0"/>
          <w:sz w:val="32"/>
          <w:szCs w:val="32"/>
          <w:lang w:eastAsia="zh-CN"/>
        </w:rPr>
        <w:t>、非贫困村第一书记工作经费</w:t>
      </w:r>
      <w:r>
        <w:rPr>
          <w:rFonts w:hint="eastAsia" w:ascii="仿宋_GB2312" w:hAnsi="仿宋_GB2312" w:eastAsia="仿宋_GB2312" w:cs="仿宋_GB2312"/>
          <w:b w:val="0"/>
          <w:bCs w:val="0"/>
          <w:snapToGrid w:val="0"/>
          <w:color w:val="auto"/>
          <w:spacing w:val="0"/>
          <w:kern w:val="0"/>
          <w:sz w:val="32"/>
          <w:szCs w:val="32"/>
          <w:lang w:val="en-US" w:eastAsia="zh-CN"/>
        </w:rPr>
        <w:t>0.4万元。</w:t>
      </w:r>
    </w:p>
    <w:p>
      <w:pPr>
        <w:keepNext w:val="0"/>
        <w:keepLines w:val="0"/>
        <w:pageBreakBefore w:val="0"/>
        <w:kinsoku/>
        <w:wordWrap/>
        <w:overflowPunct/>
        <w:topLinePunct w:val="0"/>
        <w:autoSpaceDN/>
        <w:bidi w:val="0"/>
        <w:adjustRightInd w:val="0"/>
        <w:snapToGrid w:val="0"/>
        <w:spacing w:line="576" w:lineRule="exact"/>
        <w:ind w:firstLine="640" w:firstLineChars="200"/>
        <w:jc w:val="left"/>
        <w:textAlignment w:val="auto"/>
        <w:rPr>
          <w:rFonts w:hint="eastAsia"/>
          <w:b w:val="0"/>
          <w:bCs w:val="0"/>
          <w:color w:val="auto"/>
          <w:lang w:val="en-US" w:eastAsia="zh-CN"/>
        </w:rPr>
      </w:pPr>
      <w:r>
        <w:rPr>
          <w:rFonts w:hint="eastAsia" w:ascii="仿宋_GB2312" w:hAnsi="仿宋_GB2312" w:eastAsia="仿宋_GB2312" w:cs="仿宋_GB2312"/>
          <w:b w:val="0"/>
          <w:bCs w:val="0"/>
          <w:snapToGrid w:val="0"/>
          <w:color w:val="auto"/>
          <w:spacing w:val="0"/>
          <w:kern w:val="0"/>
          <w:sz w:val="32"/>
          <w:szCs w:val="32"/>
          <w:lang w:eastAsia="zh-CN"/>
        </w:rPr>
        <w:t>我委严格按照财务有关规定及项目预算要求使用和划拨资金，并进一步</w:t>
      </w:r>
      <w:r>
        <w:rPr>
          <w:rFonts w:hint="eastAsia" w:ascii="仿宋_GB2312" w:hAnsi="仿宋_GB2312" w:eastAsia="仿宋_GB2312" w:cs="仿宋_GB2312"/>
          <w:b w:val="0"/>
          <w:bCs w:val="0"/>
          <w:snapToGrid w:val="0"/>
          <w:color w:val="auto"/>
          <w:spacing w:val="0"/>
          <w:kern w:val="0"/>
          <w:sz w:val="32"/>
          <w:szCs w:val="32"/>
          <w:lang w:val="en-US" w:eastAsia="zh-CN"/>
        </w:rPr>
        <w:t>规范</w:t>
      </w:r>
      <w:r>
        <w:rPr>
          <w:rFonts w:hint="eastAsia" w:ascii="仿宋_GB2312" w:hAnsi="仿宋_GB2312" w:eastAsia="仿宋_GB2312" w:cs="仿宋_GB2312"/>
          <w:b w:val="0"/>
          <w:bCs w:val="0"/>
          <w:snapToGrid w:val="0"/>
          <w:color w:val="auto"/>
          <w:spacing w:val="0"/>
          <w:kern w:val="0"/>
          <w:sz w:val="32"/>
          <w:szCs w:val="32"/>
          <w:lang w:eastAsia="zh-CN"/>
        </w:rPr>
        <w:t>经费管理过程，根据项目实施完成情况支付资金。项目资金严格按照项目内容使用，通过财政专网统一支付。项目实施过程中严格按照</w:t>
      </w:r>
      <w:r>
        <w:rPr>
          <w:rFonts w:hint="eastAsia" w:ascii="仿宋_GB2312" w:hAnsi="仿宋_GB2312" w:eastAsia="仿宋_GB2312" w:cs="仿宋_GB2312"/>
          <w:b w:val="0"/>
          <w:bCs w:val="0"/>
          <w:snapToGrid w:val="0"/>
          <w:color w:val="auto"/>
          <w:spacing w:val="0"/>
          <w:kern w:val="0"/>
          <w:sz w:val="32"/>
          <w:szCs w:val="32"/>
          <w:lang w:val="en-US" w:eastAsia="zh-CN"/>
        </w:rPr>
        <w:t>管理办法执行，保障支出合法合规，做到了合法、有序，全年无违反规定的行为发生。</w:t>
      </w:r>
    </w:p>
    <w:p>
      <w:pPr>
        <w:keepNext w:val="0"/>
        <w:keepLines w:val="0"/>
        <w:pageBreakBefore w:val="0"/>
        <w:widowControl w:val="0"/>
        <w:numPr>
          <w:ilvl w:val="0"/>
          <w:numId w:val="4"/>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Times New Roman" w:eastAsia="楷体_GB2312" w:cs="Times New Roman"/>
          <w:b w:val="0"/>
          <w:bCs w:val="0"/>
          <w:color w:val="auto"/>
          <w:kern w:val="0"/>
          <w:sz w:val="32"/>
          <w:szCs w:val="32"/>
          <w:shd w:val="clear" w:color="auto" w:fill="FFFFFF"/>
        </w:rPr>
        <w:t>结果应用情况。</w:t>
      </w:r>
      <w:r>
        <w:rPr>
          <w:rFonts w:hint="eastAsia" w:ascii="仿宋_GB2312" w:hAnsi="仿宋_GB2312" w:eastAsia="仿宋_GB2312" w:cs="仿宋_GB2312"/>
          <w:b w:val="0"/>
          <w:bCs w:val="0"/>
          <w:color w:val="auto"/>
          <w:kern w:val="2"/>
          <w:sz w:val="32"/>
          <w:szCs w:val="32"/>
          <w:highlight w:val="none"/>
          <w:lang w:val="en-US" w:eastAsia="zh-CN" w:bidi="ar-SA"/>
        </w:rPr>
        <w:t>团区委2021年度整体支出严格执行国家有关法律、法规和财务规章制度的有关管理规定，坚持把资金的预算审批、监督检查与绩效评价结合起来，健全完善本单位资金管理、使用相关规定。坚持过紧日子思想，厉行节约、统筹兼顾，合理编制单位预算，注重资金使用效益，保障单位正常运转。加强和规范单位国有资产管理，严格国有资产购置、处置程序，依法依规履行相关手续，同时加强对各类实物资产进行全面盘点，防止国有资产流失。年度末准确完整地编制单位本年度决算报表，认真开展决算数据分析工作，充分运用决算数据，认真总结好的经验做法，充分发挥决算在财政财务管理中的积极作用，并按照规定报送区级财政部门，待财政部门批复部门决算后，及时在单位门户网站公开。</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Times New Roman" w:eastAsia="仿宋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lang w:eastAsia="zh-CN"/>
        </w:rPr>
        <w:t>（三）</w:t>
      </w:r>
      <w:r>
        <w:rPr>
          <w:rFonts w:hint="eastAsia" w:ascii="楷体_GB2312" w:hAnsi="Times New Roman" w:eastAsia="楷体_GB2312" w:cs="Times New Roman"/>
          <w:b w:val="0"/>
          <w:bCs w:val="0"/>
          <w:color w:val="auto"/>
          <w:kern w:val="0"/>
          <w:sz w:val="32"/>
          <w:szCs w:val="32"/>
          <w:shd w:val="clear" w:color="auto" w:fill="FFFFFF"/>
        </w:rPr>
        <w:t>自评质量。</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黑体" w:hAnsi="宋体" w:eastAsia="黑体" w:cs="宋体"/>
          <w:b w:val="0"/>
          <w:bCs w:val="0"/>
          <w:color w:val="auto"/>
          <w:kern w:val="0"/>
          <w:sz w:val="32"/>
          <w:szCs w:val="32"/>
          <w:highlight w:val="none"/>
          <w:shd w:val="clear" w:color="auto" w:fill="FFFFFF"/>
        </w:rPr>
      </w:pPr>
      <w:r>
        <w:rPr>
          <w:rFonts w:hint="eastAsia" w:ascii="仿宋_GB2312" w:hAnsi="仿宋_GB2312" w:eastAsia="仿宋_GB2312" w:cs="仿宋_GB2312"/>
          <w:b w:val="0"/>
          <w:bCs w:val="0"/>
          <w:color w:val="auto"/>
          <w:sz w:val="32"/>
          <w:szCs w:val="32"/>
          <w:lang w:eastAsia="zh-CN"/>
        </w:rPr>
        <w:t>我委高度重视部门支出</w:t>
      </w:r>
      <w:r>
        <w:rPr>
          <w:rFonts w:hint="eastAsia" w:ascii="仿宋_GB2312" w:hAnsi="仿宋_GB2312" w:eastAsia="仿宋_GB2312" w:cs="仿宋_GB2312"/>
          <w:b w:val="0"/>
          <w:bCs w:val="0"/>
          <w:color w:val="auto"/>
          <w:sz w:val="32"/>
          <w:szCs w:val="32"/>
        </w:rPr>
        <w:t>绩效评价</w:t>
      </w:r>
      <w:r>
        <w:rPr>
          <w:rFonts w:hint="eastAsia" w:ascii="仿宋_GB2312" w:hAnsi="仿宋_GB2312" w:eastAsia="仿宋_GB2312" w:cs="仿宋_GB2312"/>
          <w:b w:val="0"/>
          <w:bCs w:val="0"/>
          <w:color w:val="auto"/>
          <w:sz w:val="32"/>
          <w:szCs w:val="32"/>
          <w:lang w:eastAsia="zh-CN"/>
        </w:rPr>
        <w:t>工作，认真研究部署，充分沟通联系财政部门给予业务上的指导，按要求完成绩效自评。</w:t>
      </w:r>
      <w:r>
        <w:rPr>
          <w:rFonts w:hint="eastAsia" w:ascii="仿宋_GB2312" w:hAnsi="仿宋_GB2312" w:eastAsia="仿宋_GB2312" w:cs="仿宋_GB2312"/>
          <w:b w:val="0"/>
          <w:bCs w:val="0"/>
          <w:color w:val="auto"/>
          <w:sz w:val="32"/>
          <w:szCs w:val="32"/>
        </w:rPr>
        <w:t>自评报告内容完整，</w:t>
      </w:r>
      <w:r>
        <w:rPr>
          <w:rFonts w:hint="eastAsia" w:ascii="仿宋_GB2312" w:hAnsi="仿宋_GB2312" w:eastAsia="仿宋_GB2312" w:cs="仿宋_GB2312"/>
          <w:b w:val="0"/>
          <w:bCs w:val="0"/>
          <w:color w:val="auto"/>
          <w:sz w:val="32"/>
          <w:szCs w:val="32"/>
          <w:lang w:eastAsia="zh-CN"/>
        </w:rPr>
        <w:t>数据详实</w:t>
      </w:r>
      <w:r>
        <w:rPr>
          <w:rFonts w:hint="eastAsia" w:ascii="仿宋_GB2312" w:hAnsi="仿宋_GB2312" w:eastAsia="仿宋_GB2312" w:cs="仿宋_GB2312"/>
          <w:b w:val="0"/>
          <w:bCs w:val="0"/>
          <w:color w:val="auto"/>
          <w:sz w:val="32"/>
          <w:szCs w:val="32"/>
        </w:rPr>
        <w:t>，各项评价指标</w:t>
      </w:r>
      <w:r>
        <w:rPr>
          <w:rFonts w:hint="eastAsia" w:ascii="仿宋_GB2312" w:hAnsi="仿宋_GB2312" w:eastAsia="仿宋_GB2312" w:cs="仿宋_GB2312"/>
          <w:b w:val="0"/>
          <w:bCs w:val="0"/>
          <w:color w:val="auto"/>
          <w:sz w:val="32"/>
          <w:szCs w:val="32"/>
          <w:lang w:eastAsia="zh-CN"/>
        </w:rPr>
        <w:t>科学有效，细化了评价过程，通过开展自评，能够</w:t>
      </w:r>
      <w:r>
        <w:rPr>
          <w:rFonts w:hint="eastAsia" w:ascii="仿宋_GB2312" w:hAnsi="仿宋_GB2312" w:eastAsia="仿宋_GB2312" w:cs="仿宋_GB2312"/>
          <w:b w:val="0"/>
          <w:bCs w:val="0"/>
          <w:color w:val="auto"/>
          <w:sz w:val="32"/>
          <w:szCs w:val="32"/>
        </w:rPr>
        <w:t>客观公正</w:t>
      </w:r>
      <w:r>
        <w:rPr>
          <w:rFonts w:hint="eastAsia" w:ascii="仿宋_GB2312" w:hAnsi="仿宋_GB2312" w:eastAsia="仿宋_GB2312" w:cs="仿宋_GB2312"/>
          <w:b w:val="0"/>
          <w:bCs w:val="0"/>
          <w:color w:val="auto"/>
          <w:sz w:val="32"/>
          <w:szCs w:val="32"/>
          <w:lang w:eastAsia="zh-CN"/>
        </w:rPr>
        <w:t>地反应单位整体支出情况，</w:t>
      </w:r>
      <w:r>
        <w:rPr>
          <w:rFonts w:hint="eastAsia" w:ascii="仿宋_GB2312" w:hAnsi="仿宋_GB2312" w:eastAsia="仿宋_GB2312" w:cs="仿宋_GB2312"/>
          <w:b w:val="0"/>
          <w:bCs w:val="0"/>
          <w:color w:val="auto"/>
          <w:sz w:val="32"/>
          <w:szCs w:val="32"/>
        </w:rPr>
        <w:t>如实地</w:t>
      </w:r>
      <w:r>
        <w:rPr>
          <w:rFonts w:hint="eastAsia" w:ascii="仿宋_GB2312" w:hAnsi="仿宋_GB2312" w:eastAsia="仿宋_GB2312" w:cs="仿宋_GB2312"/>
          <w:b w:val="0"/>
          <w:bCs w:val="0"/>
          <w:color w:val="auto"/>
          <w:sz w:val="32"/>
          <w:szCs w:val="32"/>
          <w:lang w:eastAsia="zh-CN"/>
        </w:rPr>
        <w:t>反应了</w:t>
      </w:r>
      <w:r>
        <w:rPr>
          <w:rFonts w:hint="eastAsia" w:ascii="仿宋_GB2312" w:hAnsi="仿宋_GB2312" w:eastAsia="仿宋_GB2312" w:cs="仿宋_GB2312"/>
          <w:b w:val="0"/>
          <w:bCs w:val="0"/>
          <w:color w:val="auto"/>
          <w:sz w:val="32"/>
          <w:szCs w:val="32"/>
        </w:rPr>
        <w:t>单位取得绩效与存在的问题。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b w:val="0"/>
          <w:bCs w:val="0"/>
          <w:color w:val="auto"/>
          <w:kern w:val="0"/>
          <w:sz w:val="32"/>
          <w:szCs w:val="32"/>
          <w:highlight w:val="none"/>
          <w:shd w:val="clear" w:color="auto" w:fill="FFFFFF"/>
        </w:rPr>
      </w:pPr>
      <w:r>
        <w:rPr>
          <w:rFonts w:hint="eastAsia" w:ascii="黑体" w:hAnsi="宋体" w:eastAsia="黑体" w:cs="宋体"/>
          <w:b w:val="0"/>
          <w:bCs w:val="0"/>
          <w:color w:val="auto"/>
          <w:kern w:val="0"/>
          <w:sz w:val="32"/>
          <w:szCs w:val="32"/>
          <w:highlight w:val="none"/>
          <w:shd w:val="clear" w:color="auto" w:fill="FFFFFF"/>
        </w:rPr>
        <w:t>四、评价结论及建议</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rPr>
        <w:t>（一）自评结论。</w:t>
      </w:r>
    </w:p>
    <w:p>
      <w:pPr>
        <w:spacing w:line="580" w:lineRule="exact"/>
        <w:ind w:firstLine="640" w:firstLineChars="200"/>
        <w:rPr>
          <w:rFonts w:hint="eastAsia" w:ascii="仿宋_GB2312" w:hAnsi="仿宋_GB2312" w:eastAsia="仿宋_GB2312" w:cs="仿宋_GB2312"/>
          <w:b w:val="0"/>
          <w:bCs w:val="0"/>
          <w:color w:val="auto"/>
          <w:lang w:val="zh-CN"/>
        </w:rPr>
      </w:pPr>
      <w:r>
        <w:rPr>
          <w:rFonts w:hint="eastAsia" w:ascii="仿宋_GB2312" w:hAnsi="仿宋_GB2312" w:eastAsia="仿宋_GB2312" w:cs="仿宋_GB2312"/>
          <w:b w:val="0"/>
          <w:bCs w:val="0"/>
          <w:color w:val="auto"/>
          <w:sz w:val="32"/>
          <w:szCs w:val="32"/>
          <w:lang w:val="en-US" w:eastAsia="zh-CN"/>
        </w:rPr>
        <w:t>总体看来，</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年预算</w:t>
      </w:r>
      <w:r>
        <w:rPr>
          <w:rFonts w:hint="eastAsia" w:ascii="仿宋_GB2312" w:hAnsi="仿宋_GB2312" w:eastAsia="仿宋_GB2312" w:cs="仿宋_GB2312"/>
          <w:b w:val="0"/>
          <w:bCs w:val="0"/>
          <w:color w:val="auto"/>
          <w:sz w:val="32"/>
          <w:szCs w:val="32"/>
          <w:lang w:val="en-US" w:eastAsia="zh-CN"/>
        </w:rPr>
        <w:t>绩效</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val="en-US" w:eastAsia="zh-CN"/>
        </w:rPr>
        <w:t>较往年更加规范、有效，完整和清晰的反应出我委在2021年度预算执行情况、资金使用情况和部门整体支出效益。通过</w:t>
      </w:r>
      <w:r>
        <w:rPr>
          <w:rFonts w:hint="eastAsia" w:ascii="仿宋_GB2312" w:hAnsi="仿宋_GB2312" w:eastAsia="仿宋_GB2312" w:cs="仿宋_GB2312"/>
          <w:b w:val="0"/>
          <w:bCs w:val="0"/>
          <w:color w:val="auto"/>
          <w:sz w:val="32"/>
          <w:szCs w:val="32"/>
        </w:rPr>
        <w:t>制</w:t>
      </w:r>
      <w:r>
        <w:rPr>
          <w:rFonts w:hint="eastAsia" w:ascii="仿宋_GB2312" w:hAnsi="仿宋_GB2312" w:eastAsia="仿宋_GB2312" w:cs="仿宋_GB2312"/>
          <w:b w:val="0"/>
          <w:bCs w:val="0"/>
          <w:color w:val="auto"/>
          <w:sz w:val="32"/>
          <w:szCs w:val="32"/>
          <w:lang w:eastAsia="zh-CN"/>
        </w:rPr>
        <w:t>定</w:t>
      </w:r>
      <w:r>
        <w:rPr>
          <w:rFonts w:hint="eastAsia" w:ascii="仿宋_GB2312" w:hAnsi="仿宋_GB2312" w:eastAsia="仿宋_GB2312" w:cs="仿宋_GB2312"/>
          <w:b w:val="0"/>
          <w:bCs w:val="0"/>
          <w:color w:val="auto"/>
          <w:sz w:val="32"/>
          <w:szCs w:val="32"/>
        </w:rPr>
        <w:t>详细的执行计划，</w:t>
      </w:r>
      <w:r>
        <w:rPr>
          <w:rFonts w:hint="eastAsia" w:ascii="仿宋_GB2312" w:hAnsi="仿宋_GB2312" w:eastAsia="仿宋_GB2312" w:cs="仿宋_GB2312"/>
          <w:b w:val="0"/>
          <w:bCs w:val="0"/>
          <w:color w:val="auto"/>
          <w:sz w:val="32"/>
          <w:szCs w:val="32"/>
          <w:lang w:val="en-US" w:eastAsia="zh-CN"/>
        </w:rPr>
        <w:t>确保</w:t>
      </w:r>
      <w:r>
        <w:rPr>
          <w:rFonts w:hint="eastAsia" w:ascii="仿宋_GB2312" w:hAnsi="仿宋_GB2312" w:eastAsia="仿宋_GB2312" w:cs="仿宋_GB2312"/>
          <w:b w:val="0"/>
          <w:bCs w:val="0"/>
          <w:color w:val="auto"/>
          <w:sz w:val="32"/>
          <w:szCs w:val="32"/>
        </w:rPr>
        <w:t>资金到位及时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并严格按照规定使用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保证了项目的顺利实施</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rPr>
        <w:t>（二）存在问题。</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1.部门整体支出绩效管理意识有待提高。对绩效管理的科学性和认识不够，更多的是把它当工作安排部署，对绩效评价结果利用还不够。</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2.个别绩效目标、指标对项目执行过程的有效约束不够，存在一定偏差。</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楷体_GB2312" w:hAnsi="Times New Roman" w:eastAsia="楷体_GB2312" w:cs="Times New Roman"/>
          <w:b w:val="0"/>
          <w:bCs w:val="0"/>
          <w:color w:val="auto"/>
          <w:kern w:val="0"/>
          <w:sz w:val="32"/>
          <w:szCs w:val="32"/>
          <w:shd w:val="clear" w:color="auto" w:fill="FFFFFF"/>
        </w:rPr>
      </w:pPr>
      <w:r>
        <w:rPr>
          <w:rFonts w:hint="eastAsia" w:ascii="楷体_GB2312" w:hAnsi="Times New Roman" w:eastAsia="楷体_GB2312" w:cs="Times New Roman"/>
          <w:b w:val="0"/>
          <w:bCs w:val="0"/>
          <w:color w:val="auto"/>
          <w:kern w:val="0"/>
          <w:sz w:val="32"/>
          <w:szCs w:val="32"/>
          <w:shd w:val="clear" w:color="auto" w:fill="FFFFFF"/>
        </w:rPr>
        <w:t>（三）改进建议。</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1.单位干部职工牢固树立绩效管理意识，将绩效理念贯穿于预算编制与执行的全过程，压实绩效管理责任，建立完善绩效管理体系，建立全过程的预算绩效管理机制。强化绩效评价结果运用，进一步做好财政预算编织和执行。</w:t>
      </w:r>
      <w:r>
        <w:rPr>
          <w:rFonts w:hint="eastAsia" w:ascii="仿宋_GB2312" w:hAnsi="仿宋_GB2312" w:eastAsia="仿宋_GB2312" w:cs="仿宋_GB2312"/>
          <w:b w:val="0"/>
          <w:bCs w:val="0"/>
          <w:color w:val="auto"/>
          <w:kern w:val="0"/>
          <w:sz w:val="32"/>
          <w:szCs w:val="32"/>
          <w:shd w:val="clear" w:color="auto" w:fill="FFFFFF"/>
          <w:lang w:val="en-US" w:eastAsia="zh-CN"/>
        </w:rPr>
        <w:br w:type="textWrapping"/>
      </w:r>
      <w:r>
        <w:rPr>
          <w:rFonts w:hint="eastAsia" w:ascii="仿宋_GB2312" w:hAnsi="仿宋_GB2312" w:eastAsia="仿宋_GB2312" w:cs="仿宋_GB2312"/>
          <w:b w:val="0"/>
          <w:bCs w:val="0"/>
          <w:color w:val="auto"/>
          <w:kern w:val="0"/>
          <w:sz w:val="32"/>
          <w:szCs w:val="32"/>
          <w:shd w:val="clear" w:color="auto" w:fill="FFFFFF"/>
          <w:lang w:val="en-US" w:eastAsia="zh-CN"/>
        </w:rPr>
        <w:t xml:space="preserve">    2.规范绩效评价管理资料的收集整理，确保相关信息完整、可靠，客观公正地反映项目资金实际使用和产生的绩效状况，科学监管项目执行、指导项目实施。</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3.加强新行政单位会计制度和新预算法学习培训。加强新《预算法》《政府会计制度》等制度法规的学习培训，规范部门预算收支核算。</w:t>
      </w:r>
    </w:p>
    <w:p>
      <w:pPr>
        <w:rPr>
          <w:rFonts w:hint="eastAsia"/>
          <w:b w:val="0"/>
          <w:bCs w:val="0"/>
          <w:color w:val="auto"/>
          <w:lang w:val="en-US" w:eastAsia="zh-CN"/>
        </w:rPr>
      </w:pPr>
      <w:r>
        <w:rPr>
          <w:rFonts w:hint="eastAsia"/>
          <w:b w:val="0"/>
          <w:bCs w:val="0"/>
          <w:color w:val="auto"/>
          <w:lang w:val="en-US" w:eastAsia="zh-CN"/>
        </w:rPr>
        <w:br w:type="page"/>
      </w:r>
    </w:p>
    <w:p>
      <w:pPr>
        <w:rPr>
          <w:rFonts w:hint="eastAsia"/>
          <w:b w:val="0"/>
          <w:bCs w:val="0"/>
          <w:color w:val="auto"/>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b w:val="0"/>
          <w:bCs w:val="0"/>
          <w:color w:val="auto"/>
          <w:sz w:val="44"/>
          <w:szCs w:val="44"/>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2</w:t>
      </w:r>
    </w:p>
    <w:p>
      <w:pPr>
        <w:autoSpaceDE w:val="0"/>
        <w:spacing w:line="540" w:lineRule="exact"/>
        <w:jc w:val="center"/>
        <w:rPr>
          <w:rFonts w:hint="eastAsia" w:ascii="方正小标宋简体" w:hAnsi="方正小标宋简体" w:eastAsia="方正小标宋简体" w:cs="方正小标宋简体"/>
          <w:b w:val="0"/>
          <w:bCs w:val="0"/>
          <w:color w:val="auto"/>
          <w:spacing w:val="-6"/>
          <w:kern w:val="0"/>
          <w:sz w:val="44"/>
          <w:szCs w:val="44"/>
        </w:rPr>
      </w:pPr>
      <w:r>
        <w:rPr>
          <w:rFonts w:hint="eastAsia" w:ascii="方正小标宋简体" w:hAnsi="方正小标宋简体" w:eastAsia="方正小标宋简体" w:cs="方正小标宋简体"/>
          <w:b w:val="0"/>
          <w:bCs w:val="0"/>
          <w:color w:val="auto"/>
          <w:spacing w:val="-6"/>
          <w:kern w:val="0"/>
          <w:sz w:val="44"/>
          <w:szCs w:val="44"/>
        </w:rPr>
        <w:t>2021年度志愿服务活动项目支出绩效</w:t>
      </w:r>
    </w:p>
    <w:p>
      <w:pPr>
        <w:autoSpaceDE w:val="0"/>
        <w:spacing w:line="540" w:lineRule="exact"/>
        <w:jc w:val="center"/>
        <w:rPr>
          <w:rFonts w:hint="eastAsia" w:ascii="方正小标宋简体" w:hAnsi="方正小标宋简体" w:eastAsia="方正小标宋简体" w:cs="方正小标宋简体"/>
          <w:b w:val="0"/>
          <w:bCs w:val="0"/>
          <w:color w:val="auto"/>
          <w:spacing w:val="-6"/>
          <w:kern w:val="0"/>
          <w:sz w:val="44"/>
          <w:szCs w:val="44"/>
        </w:rPr>
      </w:pPr>
      <w:r>
        <w:rPr>
          <w:rFonts w:hint="eastAsia" w:ascii="方正小标宋简体" w:hAnsi="方正小标宋简体" w:eastAsia="方正小标宋简体" w:cs="方正小标宋简体"/>
          <w:b w:val="0"/>
          <w:bCs w:val="0"/>
          <w:color w:val="auto"/>
          <w:spacing w:val="-6"/>
          <w:kern w:val="0"/>
          <w:sz w:val="44"/>
          <w:szCs w:val="44"/>
        </w:rPr>
        <w:t>自评报告</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一、项目概况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（一）项目基本情况。</w:t>
      </w:r>
    </w:p>
    <w:p>
      <w:pPr>
        <w:autoSpaceDE w:val="0"/>
        <w:spacing w:line="540" w:lineRule="exact"/>
        <w:ind w:firstLine="616" w:firstLineChars="200"/>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志愿服务活动项目是团区委围绕区委政府中心工作，带动青少年参与全区经济社会建设、提升基层社会治理能力的重要手段，通过开展疫情防控、环境保护、文明城市创建和禁毒防艾等志愿服务活动，助力巩固疫情防控向好形势、推进生态文明建设和文明城市建设，进一步提升社会治理、社会服务能力和水平。</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（二）项目绩效目标。</w:t>
      </w:r>
    </w:p>
    <w:p>
      <w:pPr>
        <w:autoSpaceDE w:val="0"/>
        <w:spacing w:line="540" w:lineRule="exact"/>
        <w:ind w:firstLine="616" w:firstLineChars="200"/>
        <w:rPr>
          <w:rFonts w:hint="eastAsia" w:ascii="仿宋_GB2312" w:hAnsi="Times New Roman" w:eastAsia="仿宋_GB2312" w:cs="Times New Roman"/>
          <w:b w:val="0"/>
          <w:bCs w:val="0"/>
          <w:color w:val="auto"/>
          <w:spacing w:val="-6"/>
          <w:sz w:val="32"/>
          <w:szCs w:val="32"/>
          <w:lang w:eastAsia="zh-CN"/>
        </w:rPr>
      </w:pPr>
      <w:r>
        <w:rPr>
          <w:rFonts w:hint="eastAsia" w:ascii="仿宋_GB2312" w:hAnsi="Times New Roman" w:eastAsia="仿宋_GB2312" w:cs="Times New Roman"/>
          <w:b w:val="0"/>
          <w:bCs w:val="0"/>
          <w:color w:val="auto"/>
          <w:spacing w:val="-6"/>
          <w:sz w:val="32"/>
          <w:szCs w:val="32"/>
        </w:rPr>
        <w:t>志愿服务活动项目</w:t>
      </w:r>
      <w:r>
        <w:rPr>
          <w:rFonts w:hint="eastAsia" w:ascii="仿宋_GB2312" w:hAnsi="Times New Roman" w:eastAsia="仿宋_GB2312" w:cs="Times New Roman"/>
          <w:b w:val="0"/>
          <w:bCs w:val="0"/>
          <w:color w:val="auto"/>
          <w:spacing w:val="-6"/>
          <w:sz w:val="32"/>
          <w:szCs w:val="32"/>
          <w:lang w:eastAsia="zh-CN"/>
        </w:rPr>
        <w:t>主要内容，组织带领全区各级团组织、青少年开展疫情防控、环境保护、文明城市创建等各类型志愿服务活动，通过站点执勤、发放宣传手册、互动游戏、有奖问答等形式，丰富活动开展，深化志愿服务主题。项目计划开展各类志愿服务活动不低于</w:t>
      </w:r>
      <w:r>
        <w:rPr>
          <w:rFonts w:hint="eastAsia" w:ascii="仿宋_GB2312" w:hAnsi="Times New Roman" w:eastAsia="仿宋_GB2312" w:cs="Times New Roman"/>
          <w:b w:val="0"/>
          <w:bCs w:val="0"/>
          <w:color w:val="auto"/>
          <w:spacing w:val="-6"/>
          <w:sz w:val="32"/>
          <w:szCs w:val="32"/>
          <w:lang w:val="en-US" w:eastAsia="zh-CN"/>
        </w:rPr>
        <w:t>30场，参与人数不少于400人，并</w:t>
      </w:r>
      <w:r>
        <w:rPr>
          <w:rFonts w:hint="eastAsia" w:ascii="仿宋_GB2312" w:hAnsi="Times New Roman" w:eastAsia="仿宋_GB2312" w:cs="Times New Roman"/>
          <w:b w:val="0"/>
          <w:bCs w:val="0"/>
          <w:color w:val="auto"/>
          <w:spacing w:val="-6"/>
          <w:sz w:val="32"/>
          <w:szCs w:val="32"/>
          <w:lang w:eastAsia="zh-CN"/>
        </w:rPr>
        <w:t>在</w:t>
      </w:r>
      <w:r>
        <w:rPr>
          <w:rFonts w:hint="eastAsia" w:ascii="仿宋_GB2312" w:hAnsi="Times New Roman" w:eastAsia="仿宋_GB2312" w:cs="Times New Roman"/>
          <w:b w:val="0"/>
          <w:bCs w:val="0"/>
          <w:color w:val="auto"/>
          <w:spacing w:val="-6"/>
          <w:sz w:val="32"/>
          <w:szCs w:val="32"/>
          <w:lang w:val="en-US" w:eastAsia="zh-CN"/>
        </w:rPr>
        <w:t>2021年底全面实施完成</w:t>
      </w:r>
      <w:r>
        <w:rPr>
          <w:rFonts w:hint="eastAsia" w:ascii="仿宋_GB2312" w:hAnsi="Times New Roman" w:eastAsia="仿宋_GB2312" w:cs="Times New Roman"/>
          <w:b w:val="0"/>
          <w:bCs w:val="0"/>
          <w:color w:val="auto"/>
          <w:spacing w:val="-6"/>
          <w:sz w:val="32"/>
          <w:szCs w:val="32"/>
        </w:rPr>
        <w:t>。志愿服务活动</w:t>
      </w:r>
      <w:r>
        <w:rPr>
          <w:rFonts w:hint="eastAsia" w:ascii="仿宋_GB2312" w:hAnsi="Times New Roman" w:eastAsia="仿宋_GB2312" w:cs="Times New Roman"/>
          <w:b w:val="0"/>
          <w:bCs w:val="0"/>
          <w:color w:val="auto"/>
          <w:spacing w:val="-6"/>
          <w:sz w:val="32"/>
          <w:szCs w:val="32"/>
          <w:lang w:eastAsia="zh-CN"/>
        </w:rPr>
        <w:t>工作经费按照财务管理规定及时划拨到位，完成率达</w:t>
      </w:r>
      <w:r>
        <w:rPr>
          <w:rFonts w:hint="eastAsia" w:ascii="仿宋_GB2312" w:hAnsi="Times New Roman" w:eastAsia="仿宋_GB2312" w:cs="Times New Roman"/>
          <w:b w:val="0"/>
          <w:bCs w:val="0"/>
          <w:color w:val="auto"/>
          <w:spacing w:val="-6"/>
          <w:sz w:val="32"/>
          <w:szCs w:val="32"/>
          <w:lang w:val="en-US" w:eastAsia="zh-CN"/>
        </w:rPr>
        <w:t>100%</w:t>
      </w:r>
      <w:r>
        <w:rPr>
          <w:rFonts w:hint="eastAsia" w:ascii="仿宋_GB2312" w:hAnsi="Times New Roman" w:eastAsia="仿宋_GB2312" w:cs="Times New Roman"/>
          <w:b w:val="0"/>
          <w:bCs w:val="0"/>
          <w:color w:val="auto"/>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（三）项目自评步骤及方法。</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u w:val="single"/>
        </w:rPr>
      </w:pPr>
      <w:r>
        <w:rPr>
          <w:rFonts w:hint="eastAsia" w:ascii="仿宋_GB2312" w:hAnsi="宋体" w:eastAsia="仿宋_GB2312" w:cs="Times New Roman"/>
          <w:b w:val="0"/>
          <w:bCs w:val="0"/>
          <w:color w:val="auto"/>
          <w:sz w:val="32"/>
          <w:szCs w:val="32"/>
          <w:highlight w:val="none"/>
          <w:lang w:val="zh-CN"/>
        </w:rPr>
        <w:t>本项目采取自评与他评相结合方式,结合评价内容,做到有计划,有安排,扎实开展本次自评工作。按照上级下达的项目支出绩效评价指标体系,针对申报内容、实施情况、资金兑现、财务管理、社会效益等做好自评工作。</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b w:val="0"/>
          <w:bCs w:val="0"/>
          <w:color w:val="auto"/>
          <w:sz w:val="32"/>
          <w:szCs w:val="32"/>
          <w:highlight w:val="none"/>
          <w:lang w:val="en-US" w:eastAsia="zh-CN"/>
        </w:rPr>
      </w:pPr>
      <w:r>
        <w:rPr>
          <w:rFonts w:hint="eastAsia" w:ascii="楷体_GB2312" w:hAnsi="Times New Roman" w:eastAsia="楷体_GB2312" w:cs="Times New Roman"/>
          <w:b w:val="0"/>
          <w:bCs w:val="0"/>
          <w:color w:val="auto"/>
          <w:spacing w:val="-6"/>
          <w:sz w:val="32"/>
          <w:szCs w:val="32"/>
        </w:rPr>
        <w:t>（一）项目资金申报及批复情况。</w:t>
      </w:r>
      <w:r>
        <w:rPr>
          <w:rFonts w:hint="eastAsia" w:ascii="仿宋_GB2312" w:hAnsi="Times New Roman" w:eastAsia="仿宋_GB2312" w:cs="Times New Roman"/>
          <w:b w:val="0"/>
          <w:bCs w:val="0"/>
          <w:color w:val="auto"/>
          <w:spacing w:val="-6"/>
          <w:sz w:val="32"/>
          <w:szCs w:val="32"/>
          <w:lang w:val="en-US" w:eastAsia="zh-CN"/>
        </w:rPr>
        <w:t>2021年度该项目预算资金为10万元，项目执行预算为10万元。项目测算在区委区政府的决策部署下，由我委根据前期工作情况测算项目标准。2021年度，我委该项目年初预算为10万元，年终无追加，项目执行预算为10万元。</w:t>
      </w:r>
      <w:r>
        <w:rPr>
          <w:rFonts w:hint="eastAsia" w:ascii="仿宋_GB2312" w:hAnsi="宋体" w:eastAsia="仿宋_GB2312" w:cs="Times New Roman"/>
          <w:b w:val="0"/>
          <w:bCs w:val="0"/>
          <w:color w:val="auto"/>
          <w:sz w:val="32"/>
          <w:szCs w:val="32"/>
          <w:highlight w:val="none"/>
          <w:lang w:val="en-US" w:eastAsia="zh-CN"/>
        </w:rPr>
        <w:t>资金及时批复到位，符合资金管理办法等相关规定。</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）资金计划、到位及使用情况</w:t>
      </w:r>
    </w:p>
    <w:p>
      <w:pPr>
        <w:keepNext w:val="0"/>
        <w:keepLines w:val="0"/>
        <w:pageBreakBefore w:val="0"/>
        <w:widowControl/>
        <w:kinsoku/>
        <w:wordWrap/>
        <w:overflowPunct/>
        <w:topLinePunct w:val="0"/>
        <w:autoSpaceDE/>
        <w:autoSpaceDN/>
        <w:bidi w:val="0"/>
        <w:adjustRightInd/>
        <w:snapToGrid/>
        <w:spacing w:line="578" w:lineRule="exact"/>
        <w:ind w:firstLine="616" w:firstLineChars="200"/>
        <w:jc w:val="left"/>
        <w:textAlignment w:val="auto"/>
        <w:rPr>
          <w:rFonts w:hint="eastAsia" w:ascii="仿宋_GB2312" w:hAnsi="Times New Roman" w:eastAsia="仿宋_GB2312" w:cs="Times New Roman"/>
          <w:b w:val="0"/>
          <w:bCs w:val="0"/>
          <w:color w:val="auto"/>
          <w:spacing w:val="-6"/>
          <w:sz w:val="32"/>
          <w:szCs w:val="32"/>
        </w:rPr>
      </w:pPr>
      <w:r>
        <w:rPr>
          <w:rFonts w:hint="eastAsia" w:ascii="仿宋_GB2312" w:hAnsi="Times New Roman" w:eastAsia="仿宋_GB2312" w:cs="Times New Roman"/>
          <w:b w:val="0"/>
          <w:bCs w:val="0"/>
          <w:color w:val="auto"/>
          <w:spacing w:val="-6"/>
          <w:sz w:val="32"/>
          <w:szCs w:val="32"/>
        </w:rPr>
        <w:t>1.资金计划。</w:t>
      </w:r>
      <w:r>
        <w:rPr>
          <w:rFonts w:hint="eastAsia" w:ascii="仿宋_GB2312" w:hAnsi="仿宋_GB2312" w:eastAsia="仿宋_GB2312" w:cs="仿宋_GB2312"/>
          <w:b w:val="0"/>
          <w:bCs w:val="0"/>
          <w:color w:val="auto"/>
          <w:sz w:val="32"/>
          <w:szCs w:val="32"/>
          <w:lang w:eastAsia="zh-CN"/>
        </w:rPr>
        <w:t>志愿服务活动工作经费于年初随同部门预算一同下达到单位，我委根据年度工作任务及项目实施情况，及时申请项目资金使用计划，在财政资金计划审核批复后，单位及时按预算下达</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76" w:lineRule="exact"/>
        <w:ind w:right="0" w:firstLine="616" w:firstLineChars="200"/>
        <w:textAlignment w:val="auto"/>
        <w:rPr>
          <w:rFonts w:hint="default" w:ascii="仿宋_GB2312" w:hAnsi="Times New Roman" w:eastAsia="仿宋_GB2312" w:cs="Times New Roman"/>
          <w:b w:val="0"/>
          <w:bCs w:val="0"/>
          <w:color w:val="auto"/>
          <w:spacing w:val="-6"/>
          <w:sz w:val="32"/>
          <w:szCs w:val="32"/>
          <w:lang w:val="en-US" w:eastAsia="zh-CN"/>
        </w:rPr>
      </w:pPr>
      <w:r>
        <w:rPr>
          <w:rFonts w:hint="eastAsia" w:ascii="仿宋_GB2312" w:eastAsia="仿宋_GB2312" w:cs="Times New Roman"/>
          <w:b w:val="0"/>
          <w:bCs w:val="0"/>
          <w:color w:val="auto"/>
          <w:spacing w:val="-6"/>
          <w:sz w:val="32"/>
          <w:szCs w:val="32"/>
          <w:lang w:val="en-US" w:eastAsia="zh-CN"/>
        </w:rPr>
        <w:t>2.资金</w:t>
      </w:r>
      <w:r>
        <w:rPr>
          <w:rFonts w:hint="eastAsia" w:ascii="仿宋_GB2312" w:hAnsi="Times New Roman" w:eastAsia="仿宋_GB2312" w:cs="Times New Roman"/>
          <w:b w:val="0"/>
          <w:bCs w:val="0"/>
          <w:color w:val="auto"/>
          <w:spacing w:val="-6"/>
          <w:sz w:val="32"/>
          <w:szCs w:val="32"/>
        </w:rPr>
        <w:t>到位</w:t>
      </w:r>
      <w:r>
        <w:rPr>
          <w:rFonts w:hint="eastAsia" w:ascii="仿宋_GB2312" w:eastAsia="仿宋_GB2312" w:cs="Times New Roman"/>
          <w:b w:val="0"/>
          <w:bCs w:val="0"/>
          <w:color w:val="auto"/>
          <w:spacing w:val="-6"/>
          <w:sz w:val="32"/>
          <w:szCs w:val="32"/>
          <w:lang w:eastAsia="zh-CN"/>
        </w:rPr>
        <w:t>。</w:t>
      </w:r>
      <w:r>
        <w:rPr>
          <w:rFonts w:hint="eastAsia" w:ascii="仿宋_GB2312" w:hAnsi="仿宋_GB2312" w:eastAsia="仿宋_GB2312" w:cs="仿宋_GB2312"/>
          <w:b w:val="0"/>
          <w:bCs w:val="0"/>
          <w:color w:val="auto"/>
          <w:sz w:val="32"/>
          <w:szCs w:val="32"/>
          <w:lang w:eastAsia="zh-CN"/>
        </w:rPr>
        <w:t>截止</w:t>
      </w:r>
      <w:r>
        <w:rPr>
          <w:rFonts w:hint="eastAsia" w:ascii="仿宋_GB2312" w:hAnsi="仿宋_GB2312" w:eastAsia="仿宋_GB2312" w:cs="仿宋_GB2312"/>
          <w:b w:val="0"/>
          <w:bCs w:val="0"/>
          <w:color w:val="auto"/>
          <w:sz w:val="32"/>
          <w:szCs w:val="32"/>
          <w:lang w:val="en-US" w:eastAsia="zh-CN"/>
        </w:rPr>
        <w:t>2021年12月，志愿服务活动工作经费全部拨付到位，</w:t>
      </w:r>
      <w:r>
        <w:rPr>
          <w:rFonts w:hint="eastAsia" w:ascii="仿宋_GB2312" w:hAnsi="仿宋_GB2312" w:eastAsia="仿宋_GB2312" w:cs="仿宋_GB2312"/>
          <w:b w:val="0"/>
          <w:bCs w:val="0"/>
          <w:color w:val="auto"/>
          <w:sz w:val="32"/>
          <w:szCs w:val="32"/>
        </w:rPr>
        <w:t>资金到位率100%</w:t>
      </w:r>
    </w:p>
    <w:p>
      <w:pPr>
        <w:spacing w:line="580" w:lineRule="exact"/>
        <w:ind w:firstLine="640"/>
        <w:rPr>
          <w:rFonts w:hint="default" w:eastAsia="仿宋_GB2312"/>
          <w:b w:val="0"/>
          <w:bCs w:val="0"/>
          <w:color w:val="auto"/>
          <w:lang w:val="en-US" w:eastAsia="zh-CN"/>
        </w:rPr>
      </w:pPr>
      <w:r>
        <w:rPr>
          <w:rFonts w:hint="eastAsia" w:ascii="仿宋_GB2312" w:eastAsia="仿宋_GB2312" w:cs="Times New Roman"/>
          <w:b w:val="0"/>
          <w:bCs w:val="0"/>
          <w:color w:val="auto"/>
          <w:spacing w:val="-6"/>
          <w:sz w:val="32"/>
          <w:szCs w:val="32"/>
          <w:lang w:val="en-US" w:eastAsia="zh-CN"/>
        </w:rPr>
        <w:t>3</w:t>
      </w:r>
      <w:r>
        <w:rPr>
          <w:rFonts w:hint="eastAsia" w:ascii="仿宋_GB2312" w:hAnsi="Times New Roman" w:eastAsia="仿宋_GB2312" w:cs="Times New Roman"/>
          <w:b w:val="0"/>
          <w:bCs w:val="0"/>
          <w:color w:val="auto"/>
          <w:spacing w:val="-6"/>
          <w:sz w:val="32"/>
          <w:szCs w:val="32"/>
        </w:rPr>
        <w:t>.资金使用。</w:t>
      </w:r>
      <w:r>
        <w:rPr>
          <w:rFonts w:hint="eastAsia" w:ascii="仿宋_GB2312" w:hAnsi="仿宋_GB2312" w:eastAsia="仿宋_GB2312" w:cs="仿宋_GB2312"/>
          <w:b w:val="0"/>
          <w:bCs w:val="0"/>
          <w:color w:val="auto"/>
          <w:sz w:val="32"/>
          <w:szCs w:val="32"/>
        </w:rPr>
        <w:t>财政局</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color w:val="auto"/>
          <w:sz w:val="32"/>
          <w:szCs w:val="32"/>
        </w:rPr>
        <w:t>年初预算</w:t>
      </w:r>
      <w:r>
        <w:rPr>
          <w:rFonts w:hint="eastAsia" w:ascii="仿宋_GB2312" w:hAnsi="仿宋_GB2312" w:eastAsia="仿宋_GB2312" w:cs="仿宋_GB2312"/>
          <w:b w:val="0"/>
          <w:bCs w:val="0"/>
          <w:color w:val="auto"/>
          <w:sz w:val="32"/>
          <w:szCs w:val="32"/>
          <w:lang w:eastAsia="zh-CN"/>
        </w:rPr>
        <w:t>下达志愿服务活动工作经费</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到单位</w:t>
      </w:r>
      <w:r>
        <w:rPr>
          <w:rFonts w:hint="eastAsia" w:ascii="仿宋_GB2312" w:hAnsi="仿宋_GB2312" w:eastAsia="仿宋_GB2312" w:cs="仿宋_GB2312"/>
          <w:b w:val="0"/>
          <w:bCs w:val="0"/>
          <w:color w:val="auto"/>
          <w:sz w:val="32"/>
          <w:szCs w:val="32"/>
        </w:rPr>
        <w:t>，用于</w:t>
      </w:r>
      <w:r>
        <w:rPr>
          <w:rFonts w:hint="eastAsia" w:ascii="仿宋_GB2312" w:hAnsi="仿宋_GB2312" w:eastAsia="仿宋_GB2312" w:cs="仿宋_GB2312"/>
          <w:b w:val="0"/>
          <w:bCs w:val="0"/>
          <w:color w:val="auto"/>
          <w:sz w:val="32"/>
          <w:szCs w:val="32"/>
          <w:lang w:eastAsia="zh-CN"/>
        </w:rPr>
        <w:t>开展全区青少年志愿服务活动</w:t>
      </w:r>
      <w:r>
        <w:rPr>
          <w:rFonts w:hint="eastAsia" w:ascii="仿宋_GB2312" w:hAnsi="仿宋_GB2312" w:eastAsia="仿宋_GB2312" w:cs="仿宋_GB2312"/>
          <w:b w:val="0"/>
          <w:bCs w:val="0"/>
          <w:color w:val="auto"/>
          <w:sz w:val="32"/>
          <w:szCs w:val="32"/>
          <w:lang w:val="en-US" w:eastAsia="zh-CN"/>
        </w:rPr>
        <w:t>,我委按照项目执行情况及时划拨资金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2021年，各级团组织、青年志愿者协会共</w:t>
      </w:r>
      <w:r>
        <w:rPr>
          <w:rFonts w:hint="eastAsia" w:ascii="仿宋_GB2312" w:hAnsi="仿宋_GB2312" w:eastAsia="仿宋_GB2312" w:cs="仿宋_GB2312"/>
          <w:b w:val="0"/>
          <w:bCs w:val="0"/>
          <w:color w:val="auto"/>
          <w:sz w:val="32"/>
          <w:szCs w:val="32"/>
          <w:lang w:eastAsia="zh-CN"/>
        </w:rPr>
        <w:t>开展了疫情防控、环境保护、禁毒防艾等类型志愿服务活动</w:t>
      </w:r>
      <w:r>
        <w:rPr>
          <w:rFonts w:hint="eastAsia" w:ascii="仿宋_GB2312" w:hAnsi="仿宋_GB2312" w:eastAsia="仿宋_GB2312" w:cs="仿宋_GB2312"/>
          <w:b w:val="0"/>
          <w:bCs w:val="0"/>
          <w:color w:val="auto"/>
          <w:sz w:val="32"/>
          <w:szCs w:val="32"/>
          <w:lang w:val="en-US" w:eastAsia="zh-CN"/>
        </w:rPr>
        <w:t>30余场，参加人数达400余人。项目资金用于志愿者生活补助1.5万元、活动场地租赁、布置等5.5万元、活动物品及资料3万元。</w:t>
      </w:r>
      <w:r>
        <w:rPr>
          <w:rFonts w:hint="eastAsia" w:ascii="仿宋_GB2312" w:hAnsi="仿宋_GB2312" w:eastAsia="仿宋_GB2312" w:cs="仿宋_GB2312"/>
          <w:b w:val="0"/>
          <w:bCs w:val="0"/>
          <w:color w:val="auto"/>
          <w:sz w:val="32"/>
          <w:szCs w:val="32"/>
        </w:rPr>
        <w:t>项目资金无调整</w:t>
      </w:r>
      <w:r>
        <w:rPr>
          <w:rFonts w:hint="eastAsia" w:ascii="仿宋_GB2312" w:hAnsi="仿宋_GB2312" w:eastAsia="仿宋_GB2312" w:cs="仿宋_GB2312"/>
          <w:b w:val="0"/>
          <w:bCs w:val="0"/>
          <w:color w:val="auto"/>
          <w:sz w:val="32"/>
          <w:szCs w:val="32"/>
          <w:lang w:eastAsia="zh-CN"/>
        </w:rPr>
        <w:t>，资金支付依据合规合法与预算相符</w:t>
      </w:r>
      <w:r>
        <w:rPr>
          <w:rFonts w:hint="eastAsia" w:ascii="仿宋_GB2312" w:hAnsi="仿宋_GB2312" w:eastAsia="仿宋_GB2312" w:cs="仿宋_GB2312"/>
          <w:b w:val="0"/>
          <w:bCs w:val="0"/>
          <w:color w:val="auto"/>
          <w:sz w:val="32"/>
          <w:szCs w:val="32"/>
        </w:rPr>
        <w:t>。</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）项目财务管理情况</w:t>
      </w:r>
    </w:p>
    <w:p>
      <w:pPr>
        <w:autoSpaceDE w:val="0"/>
        <w:spacing w:line="540" w:lineRule="exact"/>
        <w:ind w:firstLine="640"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志愿服务活动工作经费作为我委必需的项目经费，为全区志愿服务活动的开展提供有力的资金保障，科学规范的资金管理对项目实施尤为重要。我委将志愿服务活动工作经费纳入单位财政集中统一管理，严格按照单位财务管理制度执行，做到先有预算后有支出，制度化、规范化、程序化使用资金，加强对资金使用过程监督管理，做到手续完备、数字准确、帐目清楚，</w:t>
      </w:r>
      <w:r>
        <w:rPr>
          <w:rFonts w:hint="eastAsia" w:ascii="仿宋_GB2312" w:hAnsi="Times New Roman" w:eastAsia="仿宋_GB2312" w:cs="Times New Roman"/>
          <w:b w:val="0"/>
          <w:bCs w:val="0"/>
          <w:color w:val="auto"/>
          <w:spacing w:val="-6"/>
          <w:sz w:val="32"/>
          <w:szCs w:val="32"/>
          <w:lang w:val="zh-CN" w:eastAsia="zh-CN"/>
        </w:rPr>
        <w:t>财务处理及时规范，会计核算准确无误</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三、项目实施及管理情况</w:t>
      </w:r>
    </w:p>
    <w:p>
      <w:pPr>
        <w:autoSpaceDE w:val="0"/>
        <w:spacing w:line="540" w:lineRule="exact"/>
        <w:ind w:firstLine="640" w:firstLineChars="200"/>
        <w:rPr>
          <w:rFonts w:hint="eastAsia" w:ascii="仿宋_GB2312" w:hAnsi="仿宋_GB2312" w:eastAsia="仿宋_GB2312" w:cs="仿宋_GB2312"/>
          <w:b w:val="0"/>
          <w:bCs w:val="0"/>
          <w:color w:val="auto"/>
          <w:sz w:val="32"/>
          <w:szCs w:val="32"/>
          <w:lang w:val="zh-CN" w:eastAsia="zh-CN"/>
        </w:rPr>
      </w:pPr>
      <w:r>
        <w:rPr>
          <w:rFonts w:hint="eastAsia" w:ascii="楷体_GB2312" w:hAnsi="宋体" w:eastAsia="楷体_GB2312" w:cs="Times New Roman"/>
          <w:b w:val="0"/>
          <w:bCs w:val="0"/>
          <w:color w:val="auto"/>
          <w:sz w:val="32"/>
          <w:szCs w:val="32"/>
          <w:highlight w:val="none"/>
          <w:lang w:val="zh-CN"/>
        </w:rPr>
        <w:t>（一）项目组织架构及实施流程。</w:t>
      </w:r>
      <w:r>
        <w:rPr>
          <w:rFonts w:hint="eastAsia" w:ascii="仿宋_GB2312" w:hAnsi="仿宋_GB2312" w:eastAsia="仿宋_GB2312" w:cs="仿宋_GB2312"/>
          <w:b w:val="0"/>
          <w:bCs w:val="0"/>
          <w:color w:val="auto"/>
          <w:sz w:val="32"/>
          <w:szCs w:val="32"/>
          <w:lang w:val="zh-CN" w:eastAsia="zh-CN"/>
        </w:rPr>
        <w:t>我委主动加强项目实施全过程监督、管理，推进志愿服务活动常态化、规范化开展，压紧压实各方责任，实行经办人签字、分管领导审核签字、主要领导同意签字的程序流程，全面监督项目实施，确保项目资金及时拨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楷体_GB2312" w:hAnsi="宋体" w:eastAsia="楷体_GB2312" w:cs="Times New Roman"/>
          <w:b w:val="0"/>
          <w:bCs w:val="0"/>
          <w:color w:val="auto"/>
          <w:sz w:val="32"/>
          <w:szCs w:val="32"/>
          <w:highlight w:val="none"/>
          <w:lang w:val="zh-CN"/>
        </w:rPr>
        <w:t>（二）项目管理情况。</w:t>
      </w:r>
      <w:r>
        <w:rPr>
          <w:rFonts w:hint="eastAsia" w:ascii="仿宋_GB2312" w:hAnsi="Times New Roman" w:eastAsia="仿宋_GB2312" w:cs="Times New Roman"/>
          <w:b w:val="0"/>
          <w:bCs w:val="0"/>
          <w:color w:val="auto"/>
          <w:spacing w:val="-6"/>
          <w:sz w:val="32"/>
          <w:szCs w:val="32"/>
          <w:lang w:val="en-US" w:eastAsia="zh-CN"/>
        </w:rPr>
        <w:t>该项目为保障性经费支出项目，无招投标等情况，日常检查监督按专业制度执行。</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hint="eastAsia" w:ascii="黑体" w:hAnsi="黑体" w:eastAsia="黑体" w:cs="Times New Roman"/>
          <w:b w:val="0"/>
          <w:bCs w:val="0"/>
          <w:color w:val="auto"/>
          <w:spacing w:val="-6"/>
          <w:sz w:val="32"/>
          <w:szCs w:val="32"/>
          <w:lang w:val="en-US" w:eastAsia="zh-CN"/>
        </w:rPr>
      </w:pPr>
      <w:r>
        <w:rPr>
          <w:rFonts w:hint="eastAsia" w:ascii="楷体_GB2312" w:hAnsi="宋体" w:eastAsia="楷体_GB2312" w:cs="Times New Roman"/>
          <w:b w:val="0"/>
          <w:bCs w:val="0"/>
          <w:color w:val="auto"/>
          <w:sz w:val="32"/>
          <w:szCs w:val="32"/>
          <w:highlight w:val="none"/>
          <w:lang w:val="zh-CN"/>
        </w:rPr>
        <w:t>（三）项目监管情况。</w:t>
      </w:r>
      <w:r>
        <w:rPr>
          <w:rFonts w:hint="eastAsia" w:ascii="仿宋_GB2312" w:hAnsi="Times New Roman" w:eastAsia="仿宋_GB2312" w:cs="Times New Roman"/>
          <w:b w:val="0"/>
          <w:bCs w:val="0"/>
          <w:color w:val="auto"/>
          <w:spacing w:val="-6"/>
          <w:sz w:val="32"/>
          <w:szCs w:val="32"/>
          <w:lang w:val="en-US" w:eastAsia="zh-CN"/>
        </w:rPr>
        <w:t>该项目管理制度合并在我委财务管理制度、内控管理制度等规范性财务制度之下，未单独建立项目管理制度，由办公室开展日常性监管。</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lang w:val="en-US" w:eastAsia="zh-CN"/>
        </w:rPr>
        <w:t>四</w:t>
      </w:r>
      <w:r>
        <w:rPr>
          <w:rFonts w:hint="eastAsia" w:ascii="黑体" w:hAnsi="黑体" w:eastAsia="黑体" w:cs="Times New Roman"/>
          <w:b w:val="0"/>
          <w:bCs w:val="0"/>
          <w:color w:val="auto"/>
          <w:spacing w:val="-6"/>
          <w:sz w:val="32"/>
          <w:szCs w:val="32"/>
        </w:rPr>
        <w:t>、项目绩效情况</w:t>
      </w:r>
      <w:r>
        <w:rPr>
          <w:rFonts w:hint="eastAsia" w:ascii="黑体" w:hAnsi="黑体" w:eastAsia="黑体" w:cs="Times New Roman"/>
          <w:b w:val="0"/>
          <w:bCs w:val="0"/>
          <w:color w:val="auto"/>
          <w:spacing w:val="-6"/>
          <w:sz w:val="32"/>
          <w:szCs w:val="32"/>
        </w:rPr>
        <w:tab/>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（一）项目完成情况</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z w:val="32"/>
          <w:szCs w:val="32"/>
          <w:lang w:val="zh-CN" w:eastAsia="zh-CN"/>
        </w:rPr>
        <w:t>志愿服务活动项目预算工作经费</w:t>
      </w:r>
      <w:r>
        <w:rPr>
          <w:rFonts w:hint="eastAsia" w:ascii="仿宋_GB2312" w:hAnsi="仿宋_GB2312" w:eastAsia="仿宋_GB2312" w:cs="仿宋_GB2312"/>
          <w:b w:val="0"/>
          <w:bCs w:val="0"/>
          <w:color w:val="auto"/>
          <w:sz w:val="32"/>
          <w:szCs w:val="32"/>
          <w:lang w:val="en-US" w:eastAsia="zh-CN"/>
        </w:rPr>
        <w:t>10万元，完成率100%</w:t>
      </w:r>
      <w:r>
        <w:rPr>
          <w:rFonts w:hint="eastAsia" w:ascii="仿宋_GB2312" w:hAnsi="仿宋_GB2312" w:eastAsia="仿宋_GB2312" w:cs="仿宋_GB2312"/>
          <w:b w:val="0"/>
          <w:bCs w:val="0"/>
          <w:color w:val="auto"/>
          <w:sz w:val="32"/>
          <w:szCs w:val="32"/>
          <w:lang w:val="zh-CN" w:eastAsia="zh-CN"/>
        </w:rPr>
        <w:t>。项目主要内容是</w:t>
      </w:r>
      <w:r>
        <w:rPr>
          <w:rFonts w:hint="eastAsia" w:ascii="仿宋_GB2312" w:hAnsi="仿宋_GB2312" w:eastAsia="仿宋_GB2312" w:cs="仿宋_GB2312"/>
          <w:b w:val="0"/>
          <w:bCs w:val="0"/>
          <w:color w:val="auto"/>
          <w:sz w:val="32"/>
          <w:szCs w:val="32"/>
          <w:lang w:val="en-US" w:eastAsia="zh-CN"/>
        </w:rPr>
        <w:t>组织各级团组织、团员青年</w:t>
      </w:r>
      <w:r>
        <w:rPr>
          <w:rFonts w:hint="eastAsia" w:ascii="仿宋_GB2312" w:hAnsi="仿宋_GB2312" w:eastAsia="仿宋_GB2312" w:cs="仿宋_GB2312"/>
          <w:b w:val="0"/>
          <w:bCs w:val="0"/>
          <w:color w:val="auto"/>
          <w:sz w:val="32"/>
          <w:szCs w:val="32"/>
          <w:lang w:eastAsia="zh-CN"/>
        </w:rPr>
        <w:t>开展了疫情防控、环境保护、禁毒防艾等类型志愿服务活动</w:t>
      </w:r>
      <w:r>
        <w:rPr>
          <w:rFonts w:hint="eastAsia" w:ascii="仿宋_GB2312" w:hAnsi="仿宋_GB2312" w:eastAsia="仿宋_GB2312" w:cs="仿宋_GB2312"/>
          <w:b w:val="0"/>
          <w:bCs w:val="0"/>
          <w:color w:val="auto"/>
          <w:sz w:val="32"/>
          <w:szCs w:val="32"/>
          <w:lang w:val="en-US" w:eastAsia="zh-CN"/>
        </w:rPr>
        <w:t>30余场，参加人数达400余人。项目资金主要用于志愿者生活补助、活动场地租赁、布置、活动物品及资料等费用，共计10万元。我委严格按照项目预算进行实施，完成了年初目标任务，项目实施效果达到预期目标，资金使用安全有效。</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（二）项目效益情况</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z w:val="32"/>
          <w:szCs w:val="32"/>
          <w:lang w:val="en-US" w:eastAsia="zh-CN"/>
        </w:rPr>
        <w:t>通过志愿服务活动的实施，全面保障全区青少年志愿服务活动顺利开展，进一步带动全区广大青少年围绕中心、服务大局，积极投身经济社会发展和精神文明建设中来，带动影响更多的群众参与到城市发展、管理、服务中来，参加活动志愿者和受服务对象满意度达90%。项目实施科学合理，监管有力到位，责任分工明确，资金拨付及时高效，发挥了项目资金最大利益化，最大效益化</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kern w:val="2"/>
          <w:sz w:val="32"/>
          <w:szCs w:val="32"/>
          <w:lang w:val="zh-CN" w:eastAsia="zh-CN" w:bidi="ar-SA"/>
        </w:rPr>
      </w:pPr>
      <w:r>
        <w:rPr>
          <w:rFonts w:hint="eastAsia" w:ascii="楷体_GB2312" w:hAnsi="宋体" w:eastAsia="楷体_GB2312" w:cs="Times New Roman"/>
          <w:b w:val="0"/>
          <w:bCs w:val="0"/>
          <w:color w:val="auto"/>
          <w:sz w:val="32"/>
          <w:szCs w:val="32"/>
          <w:highlight w:val="none"/>
          <w:lang w:val="zh-CN"/>
        </w:rPr>
        <w:t>（一）评价结论。</w:t>
      </w:r>
      <w:r>
        <w:rPr>
          <w:rFonts w:hint="eastAsia" w:ascii="仿宋_GB2312" w:hAnsi="Times New Roman" w:eastAsia="仿宋_GB2312" w:cs="Times New Roman"/>
          <w:b w:val="0"/>
          <w:bCs w:val="0"/>
          <w:color w:val="auto"/>
          <w:spacing w:val="-6"/>
          <w:kern w:val="2"/>
          <w:sz w:val="32"/>
          <w:szCs w:val="32"/>
          <w:lang w:val="en-US" w:eastAsia="zh-CN" w:bidi="ar-SA"/>
        </w:rPr>
        <w:t>该项目支出自评工作结果较好，质量较高，完整和清晰的反应出我委在2021年度预算项目执行情况、资金使用情况。</w:t>
      </w:r>
    </w:p>
    <w:p>
      <w:pPr>
        <w:adjustRightInd w:val="0"/>
        <w:snapToGrid w:val="0"/>
        <w:spacing w:line="580" w:lineRule="exact"/>
        <w:ind w:firstLine="720"/>
        <w:rPr>
          <w:rFonts w:hint="eastAsia" w:ascii="仿宋_GB2312" w:hAnsi="仿宋_GB2312" w:eastAsia="仿宋_GB2312" w:cs="仿宋_GB2312"/>
          <w:b w:val="0"/>
          <w:bCs w:val="0"/>
          <w:color w:val="auto"/>
          <w:spacing w:val="-6"/>
          <w:sz w:val="32"/>
          <w:szCs w:val="32"/>
          <w:lang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）存在的问题</w:t>
      </w:r>
      <w:r>
        <w:rPr>
          <w:rFonts w:hint="eastAsia" w:ascii="楷体_GB2312" w:hAnsi="Times New Roman" w:eastAsia="楷体_GB2312" w:cs="Times New Roman"/>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lang w:eastAsia="zh-CN"/>
        </w:rPr>
        <w:t>志愿服务活动实施过程中，一些活动策划创新型不够，活动内容比较固定、简单，服务质量上有待提高</w:t>
      </w:r>
      <w:r>
        <w:rPr>
          <w:rFonts w:hint="default" w:ascii="仿宋_GB2312" w:hAnsi="仿宋_GB2312" w:eastAsia="仿宋_GB2312" w:cs="仿宋_GB2312"/>
          <w:b w:val="0"/>
          <w:bCs w:val="0"/>
          <w:color w:val="auto"/>
          <w:spacing w:val="-6"/>
          <w:sz w:val="32"/>
          <w:szCs w:val="32"/>
          <w:lang w:val="en" w:eastAsia="zh-CN"/>
        </w:rPr>
        <w:t>,</w:t>
      </w:r>
      <w:r>
        <w:rPr>
          <w:rFonts w:hint="eastAsia" w:ascii="仿宋_GB2312" w:hAnsi="仿宋_GB2312" w:eastAsia="仿宋_GB2312" w:cs="仿宋_GB2312"/>
          <w:b w:val="0"/>
          <w:bCs w:val="0"/>
          <w:color w:val="auto"/>
          <w:spacing w:val="-6"/>
          <w:sz w:val="32"/>
          <w:szCs w:val="32"/>
          <w:lang w:val="en" w:eastAsia="zh-CN"/>
        </w:rPr>
        <w:t>对群众带动、引导未达到预期效果，资金效用发挥不明显。群众对志愿服务活动的看法不够全面，参与积极性不高。</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lang w:val="zh-CN"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）相关建议。</w:t>
      </w:r>
      <w:r>
        <w:rPr>
          <w:rFonts w:hint="eastAsia" w:ascii="仿宋_GB2312" w:hAnsi="仿宋_GB2312" w:eastAsia="仿宋_GB2312" w:cs="仿宋_GB2312"/>
          <w:b w:val="0"/>
          <w:bCs w:val="0"/>
          <w:color w:val="auto"/>
          <w:spacing w:val="-6"/>
          <w:sz w:val="32"/>
          <w:szCs w:val="32"/>
          <w:lang w:eastAsia="zh-CN"/>
        </w:rPr>
        <w:t>积早谋划全年志愿服务活动，活动主题紧扣全区中心大局，积极学习优秀志愿服务项目，创新服务活动开展方式，优化活动环节、过程设计，增加交流互动、实际体验等内容，注重服务对象、服务地点的合理选择。</w:t>
      </w:r>
      <w:r>
        <w:rPr>
          <w:rFonts w:hint="eastAsia" w:ascii="仿宋_GB2312" w:hAnsi="仿宋_GB2312" w:eastAsia="仿宋_GB2312" w:cs="仿宋_GB2312"/>
          <w:b w:val="0"/>
          <w:bCs w:val="0"/>
          <w:color w:val="auto"/>
          <w:spacing w:val="-6"/>
          <w:sz w:val="32"/>
          <w:szCs w:val="32"/>
          <w:lang w:val="zh-CN" w:eastAsia="zh-CN"/>
        </w:rPr>
        <w:t>进一步加强项目资金管理，把项目资金用在刀刃上，发挥其应有的效用。加强志愿者培训，提高志愿者个人素质和服务能力，同时广泛宣传发动，营造服务全民、全民参与的浓厚氛围。</w:t>
      </w:r>
    </w:p>
    <w:p>
      <w:pPr>
        <w:rPr>
          <w:rFonts w:hint="eastAsia" w:ascii="仿宋_GB2312" w:hAnsi="宋体" w:eastAsia="仿宋_GB2312" w:cs="Times New Roman"/>
          <w:b w:val="0"/>
          <w:bCs w:val="0"/>
          <w:color w:val="auto"/>
          <w:spacing w:val="-6"/>
          <w:kern w:val="0"/>
          <w:sz w:val="32"/>
          <w:szCs w:val="32"/>
        </w:rPr>
      </w:pPr>
      <w:r>
        <w:rPr>
          <w:rFonts w:hint="eastAsia" w:ascii="仿宋_GB2312" w:hAnsi="宋体" w:eastAsia="仿宋_GB2312" w:cs="Times New Roman"/>
          <w:b w:val="0"/>
          <w:bCs w:val="0"/>
          <w:color w:val="auto"/>
          <w:spacing w:val="-6"/>
          <w:kern w:val="0"/>
          <w:sz w:val="32"/>
          <w:szCs w:val="32"/>
        </w:rPr>
        <w:br w:type="page"/>
      </w: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848"/>
        <w:gridCol w:w="1664"/>
        <w:gridCol w:w="1486"/>
        <w:gridCol w:w="1192"/>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val="0"/>
                <w:bCs w:val="0"/>
                <w:i w:val="0"/>
                <w:color w:val="auto"/>
                <w:sz w:val="32"/>
                <w:szCs w:val="32"/>
                <w:highlight w:val="none"/>
                <w:u w:val="none"/>
              </w:rPr>
            </w:pPr>
            <w:r>
              <w:rPr>
                <w:rFonts w:hint="eastAsia" w:ascii="宋体" w:hAnsi="宋体" w:eastAsia="宋体" w:cs="宋体"/>
                <w:b w:val="0"/>
                <w:bCs w:val="0"/>
                <w:i w:val="0"/>
                <w:color w:val="auto"/>
                <w:sz w:val="32"/>
                <w:szCs w:val="32"/>
                <w:highlight w:val="none"/>
                <w:u w:val="none"/>
                <w:lang w:val="en-US" w:eastAsia="zh-CN"/>
              </w:rPr>
              <w:t>2021年度志愿服务活动项目绩效目标自评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主管部门及代码</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共青团广元市朝天区委员会376301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cs="宋体"/>
                <w:b w:val="0"/>
                <w:bCs w:val="0"/>
                <w:i w:val="0"/>
                <w:color w:val="auto"/>
                <w:sz w:val="21"/>
                <w:szCs w:val="21"/>
                <w:highlight w:val="none"/>
                <w:u w:val="none"/>
                <w:lang w:val="en-US" w:eastAsia="zh-CN"/>
              </w:rPr>
              <w:t>共青团广元市朝天区委员会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（万元）</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预算数：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完成情况</w:t>
            </w: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预期目标</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b w:val="0"/>
                <w:bCs w:val="0"/>
                <w:i w:val="0"/>
                <w:color w:val="auto"/>
                <w:sz w:val="21"/>
                <w:szCs w:val="21"/>
                <w:highlight w:val="none"/>
                <w:u w:val="none"/>
                <w:lang w:eastAsia="zh-CN"/>
              </w:rPr>
            </w:pPr>
            <w:r>
              <w:rPr>
                <w:rFonts w:hint="eastAsia"/>
                <w:b w:val="0"/>
                <w:bCs w:val="0"/>
                <w:color w:val="auto"/>
              </w:rPr>
              <w:t>围绕区委政府中心工作，带动青少年参与经济社会建设，开展好志愿服务活动，助力文明城市建设，提升社会治理、社会服务能力和水平。</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b w:val="0"/>
                <w:bCs w:val="0"/>
                <w:i w:val="0"/>
                <w:color w:val="auto"/>
                <w:sz w:val="21"/>
                <w:szCs w:val="21"/>
                <w:highlight w:val="none"/>
                <w:u w:val="none"/>
              </w:rPr>
            </w:pPr>
            <w:r>
              <w:rPr>
                <w:rFonts w:hint="eastAsia"/>
                <w:b w:val="0"/>
                <w:bCs w:val="0"/>
                <w:color w:val="auto"/>
              </w:rPr>
              <w:t>全面保障全区志愿服务活动顺利开展，服务全区中心工作。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77"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年度绩效指标完成情况</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数量指标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开展志愿服务活动次数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≥30场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≥30场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质量指标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参加人数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≥400人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≥400人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时效指标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志愿服务活动完成时限</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全年按期执行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成本指标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志愿者生活补助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≤1.5万元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活动场地及布置经费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≤5.5万元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p>
        </w:tc>
        <w:tc>
          <w:tcPr>
            <w:tcW w:w="166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活动物资、设备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≤3万元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社会效益指标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助力提升社会经济服务水平</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成效明显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可持续影响指标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持续时间</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度指标</w:t>
            </w: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满意度指标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服务对象满意度</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≥90%</w:t>
            </w:r>
          </w:p>
        </w:tc>
      </w:tr>
    </w:tbl>
    <w:p>
      <w:pPr>
        <w:autoSpaceDE w:val="0"/>
        <w:spacing w:line="540" w:lineRule="exact"/>
        <w:jc w:val="left"/>
        <w:rPr>
          <w:rFonts w:hint="default" w:ascii="仿宋_GB2312" w:hAnsi="仿宋_GB2312" w:eastAsia="仿宋_GB2312" w:cs="仿宋_GB2312"/>
          <w:b w:val="0"/>
          <w:bCs w:val="0"/>
          <w:color w:val="auto"/>
          <w:spacing w:val="-6"/>
          <w:kern w:val="0"/>
          <w:sz w:val="32"/>
          <w:szCs w:val="32"/>
          <w:lang w:val="en" w:eastAsia="zh-CN"/>
        </w:rPr>
      </w:pPr>
      <w:r>
        <w:rPr>
          <w:rFonts w:hint="eastAsia" w:ascii="仿宋_GB2312" w:hAnsi="仿宋_GB2312" w:eastAsia="仿宋_GB2312" w:cs="仿宋_GB2312"/>
          <w:b w:val="0"/>
          <w:bCs w:val="0"/>
          <w:color w:val="auto"/>
          <w:spacing w:val="-6"/>
          <w:sz w:val="32"/>
          <w:szCs w:val="32"/>
          <w:lang w:val="en-US" w:eastAsia="zh-CN"/>
        </w:rPr>
        <w:t>附表</w:t>
      </w:r>
      <w:r>
        <w:rPr>
          <w:rStyle w:val="28"/>
          <w:rFonts w:ascii="黑体" w:hAnsi="黑体" w:eastAsia="黑体"/>
          <w:b w:val="0"/>
          <w:bCs w:val="0"/>
          <w:color w:val="auto"/>
          <w:highlight w:val="none"/>
        </w:rPr>
        <w:br w:type="page"/>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b w:val="0"/>
          <w:bCs w:val="0"/>
          <w:color w:val="auto"/>
          <w:sz w:val="44"/>
          <w:szCs w:val="44"/>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3</w:t>
      </w:r>
    </w:p>
    <w:p>
      <w:pPr>
        <w:autoSpaceDE w:val="0"/>
        <w:spacing w:line="540" w:lineRule="exact"/>
        <w:jc w:val="center"/>
        <w:rPr>
          <w:rFonts w:hint="eastAsia" w:ascii="方正小标宋简体" w:hAnsi="方正小标宋简体" w:eastAsia="方正小标宋简体" w:cs="方正小标宋简体"/>
          <w:b w:val="0"/>
          <w:bCs w:val="0"/>
          <w:color w:val="auto"/>
          <w:spacing w:val="-6"/>
          <w:kern w:val="0"/>
          <w:sz w:val="44"/>
          <w:szCs w:val="44"/>
        </w:rPr>
      </w:pPr>
      <w:r>
        <w:rPr>
          <w:rFonts w:hint="eastAsia" w:ascii="方正小标宋简体" w:hAnsi="方正小标宋简体" w:eastAsia="方正小标宋简体" w:cs="方正小标宋简体"/>
          <w:b w:val="0"/>
          <w:bCs w:val="0"/>
          <w:color w:val="auto"/>
          <w:spacing w:val="-6"/>
          <w:kern w:val="0"/>
          <w:sz w:val="44"/>
          <w:szCs w:val="44"/>
        </w:rPr>
        <w:t>2021年度五四一二九节庆活动项目支出绩效</w:t>
      </w:r>
    </w:p>
    <w:p>
      <w:pPr>
        <w:autoSpaceDE w:val="0"/>
        <w:spacing w:line="540" w:lineRule="exact"/>
        <w:jc w:val="center"/>
        <w:rPr>
          <w:rFonts w:hint="eastAsia" w:ascii="方正大标宋简体" w:hAnsi="??" w:eastAsia="方正大标宋简体" w:cs="Times New Roman"/>
          <w:b w:val="0"/>
          <w:bCs w:val="0"/>
          <w:color w:val="auto"/>
          <w:spacing w:val="-6"/>
          <w:kern w:val="0"/>
          <w:sz w:val="44"/>
          <w:szCs w:val="44"/>
        </w:rPr>
      </w:pPr>
      <w:r>
        <w:rPr>
          <w:rFonts w:hint="eastAsia" w:ascii="方正小标宋简体" w:hAnsi="方正小标宋简体" w:eastAsia="方正小标宋简体" w:cs="方正小标宋简体"/>
          <w:b w:val="0"/>
          <w:bCs w:val="0"/>
          <w:color w:val="auto"/>
          <w:spacing w:val="-6"/>
          <w:kern w:val="0"/>
          <w:sz w:val="44"/>
          <w:szCs w:val="44"/>
        </w:rPr>
        <w:t>自评报告</w:t>
      </w:r>
    </w:p>
    <w:p>
      <w:pPr>
        <w:pStyle w:val="4"/>
        <w:keepNext/>
        <w:keepLines/>
        <w:pageBreakBefore w:val="0"/>
        <w:widowControl w:val="0"/>
        <w:kinsoku/>
        <w:wordWrap/>
        <w:overflowPunct/>
        <w:topLinePunct w:val="0"/>
        <w:autoSpaceDE/>
        <w:autoSpaceDN/>
        <w:bidi w:val="0"/>
        <w:adjustRightInd w:val="0"/>
        <w:snapToGrid w:val="0"/>
        <w:spacing w:before="0" w:after="0" w:line="576" w:lineRule="exact"/>
        <w:ind w:left="1916" w:leftChars="760" w:hanging="320" w:hangingChars="1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一、项目概况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（一）项目基本情况。</w:t>
      </w:r>
    </w:p>
    <w:p>
      <w:pPr>
        <w:autoSpaceDE w:val="0"/>
        <w:spacing w:line="540" w:lineRule="exact"/>
        <w:ind w:firstLine="572" w:firstLineChars="200"/>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Times New Roman" w:eastAsia="仿宋_GB2312" w:cs="Times New Roman"/>
          <w:b w:val="0"/>
          <w:bCs w:val="0"/>
          <w:color w:val="auto"/>
          <w:spacing w:val="-6"/>
          <w:sz w:val="32"/>
          <w:szCs w:val="32"/>
          <w:lang w:val="en-US" w:eastAsia="zh-CN"/>
        </w:rPr>
        <w:t>是团区委服务、引领青少年发展的重要举措，通过组织各级团组织、团员青年积极参加庆祝活动，增强荣誉感和使命感，厚植爱国主义情怀，也为青少年提供展示才艺、锻炼能力的舞台，丰富青少年课余文化生活，</w:t>
      </w:r>
      <w:r>
        <w:rPr>
          <w:rFonts w:hint="eastAsia" w:ascii="仿宋_GB2312" w:hAnsi="仿宋_GB2312" w:eastAsia="仿宋_GB2312" w:cs="仿宋_GB2312"/>
          <w:b w:val="0"/>
          <w:bCs w:val="0"/>
          <w:color w:val="auto"/>
          <w:sz w:val="32"/>
          <w:szCs w:val="32"/>
        </w:rPr>
        <w:t>充分展示广大</w:t>
      </w:r>
      <w:r>
        <w:rPr>
          <w:rFonts w:hint="eastAsia" w:ascii="仿宋_GB2312" w:hAnsi="仿宋_GB2312" w:eastAsia="仿宋_GB2312" w:cs="仿宋_GB2312"/>
          <w:b w:val="0"/>
          <w:bCs w:val="0"/>
          <w:color w:val="auto"/>
          <w:sz w:val="32"/>
          <w:szCs w:val="32"/>
          <w:lang w:eastAsia="zh-CN"/>
        </w:rPr>
        <w:t>团员</w:t>
      </w:r>
      <w:r>
        <w:rPr>
          <w:rFonts w:hint="eastAsia" w:ascii="仿宋_GB2312" w:hAnsi="仿宋_GB2312" w:eastAsia="仿宋_GB2312" w:cs="仿宋_GB2312"/>
          <w:b w:val="0"/>
          <w:bCs w:val="0"/>
          <w:color w:val="auto"/>
          <w:sz w:val="32"/>
          <w:szCs w:val="32"/>
        </w:rPr>
        <w:t>青年朝气蓬勃、积极向上的精神风貌</w:t>
      </w:r>
      <w:r>
        <w:rPr>
          <w:rFonts w:hint="eastAsia" w:ascii="仿宋_GB2312" w:hAnsi="Times New Roman" w:eastAsia="仿宋_GB2312" w:cs="Times New Roman"/>
          <w:b w:val="0"/>
          <w:bCs w:val="0"/>
          <w:color w:val="auto"/>
          <w:spacing w:val="-6"/>
          <w:sz w:val="32"/>
          <w:szCs w:val="32"/>
          <w:lang w:val="en-US" w:eastAsia="zh-CN"/>
        </w:rPr>
        <w:t>，实现青少年健康全面发展。</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（二）项目绩效目标。</w:t>
      </w:r>
    </w:p>
    <w:p>
      <w:pPr>
        <w:autoSpaceDE w:val="0"/>
        <w:spacing w:line="540" w:lineRule="exact"/>
        <w:ind w:firstLine="616" w:firstLineChars="200"/>
        <w:rPr>
          <w:rFonts w:hint="eastAsia" w:ascii="仿宋_GB2312" w:hAnsi="Times New Roman" w:eastAsia="仿宋_GB2312" w:cs="Times New Roman"/>
          <w:b w:val="0"/>
          <w:bCs w:val="0"/>
          <w:color w:val="auto"/>
          <w:spacing w:val="-6"/>
          <w:sz w:val="32"/>
          <w:szCs w:val="32"/>
          <w:lang w:eastAsia="zh-CN"/>
        </w:rPr>
      </w:pPr>
      <w:r>
        <w:rPr>
          <w:rFonts w:hint="eastAsia" w:ascii="仿宋_GB2312" w:hAnsi="Times New Roman" w:eastAsia="仿宋_GB2312" w:cs="Times New Roman"/>
          <w:b w:val="0"/>
          <w:bCs w:val="0"/>
          <w:color w:val="auto"/>
          <w:spacing w:val="-6"/>
          <w:sz w:val="32"/>
          <w:szCs w:val="32"/>
          <w:lang w:eastAsia="zh-CN"/>
        </w:rPr>
        <w:t>项目主要内容为组织带领全区各级团组织、团员青年开展</w:t>
      </w: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Times New Roman" w:eastAsia="仿宋_GB2312" w:cs="Times New Roman"/>
          <w:b w:val="0"/>
          <w:bCs w:val="0"/>
          <w:color w:val="auto"/>
          <w:spacing w:val="-6"/>
          <w:sz w:val="32"/>
          <w:szCs w:val="32"/>
          <w:lang w:eastAsia="zh-CN"/>
        </w:rPr>
        <w:t>，通过开展文艺晚会、文体比赛及工作会议等，庆祝五四、一二九学生运动，</w:t>
      </w:r>
      <w:r>
        <w:rPr>
          <w:rFonts w:hint="eastAsia" w:ascii="仿宋_GB2312" w:hAnsi="Times New Roman" w:eastAsia="仿宋_GB2312" w:cs="Times New Roman"/>
          <w:b w:val="0"/>
          <w:bCs w:val="0"/>
          <w:color w:val="auto"/>
          <w:spacing w:val="-6"/>
          <w:sz w:val="32"/>
          <w:szCs w:val="32"/>
          <w:lang w:val="en-US" w:eastAsia="zh-CN"/>
        </w:rPr>
        <w:t>厚植爱国主义情怀</w:t>
      </w:r>
      <w:r>
        <w:rPr>
          <w:rFonts w:hint="eastAsia" w:ascii="仿宋_GB2312" w:hAnsi="Times New Roman" w:eastAsia="仿宋_GB2312" w:cs="Times New Roman"/>
          <w:b w:val="0"/>
          <w:bCs w:val="0"/>
          <w:color w:val="auto"/>
          <w:spacing w:val="-6"/>
          <w:sz w:val="32"/>
          <w:szCs w:val="32"/>
          <w:lang w:eastAsia="zh-CN"/>
        </w:rPr>
        <w:t>。项目计划开展大型庆祝两场</w:t>
      </w:r>
      <w:r>
        <w:rPr>
          <w:rFonts w:hint="eastAsia" w:ascii="仿宋_GB2312" w:hAnsi="Times New Roman" w:eastAsia="仿宋_GB2312" w:cs="Times New Roman"/>
          <w:b w:val="0"/>
          <w:bCs w:val="0"/>
          <w:color w:val="auto"/>
          <w:spacing w:val="-6"/>
          <w:sz w:val="32"/>
          <w:szCs w:val="32"/>
          <w:lang w:val="en-US" w:eastAsia="zh-CN"/>
        </w:rPr>
        <w:t>，各级团组织全面参与，并</w:t>
      </w:r>
      <w:r>
        <w:rPr>
          <w:rFonts w:hint="eastAsia" w:ascii="仿宋_GB2312" w:hAnsi="Times New Roman" w:eastAsia="仿宋_GB2312" w:cs="Times New Roman"/>
          <w:b w:val="0"/>
          <w:bCs w:val="0"/>
          <w:color w:val="auto"/>
          <w:spacing w:val="-6"/>
          <w:sz w:val="32"/>
          <w:szCs w:val="32"/>
          <w:lang w:eastAsia="zh-CN"/>
        </w:rPr>
        <w:t>在</w:t>
      </w:r>
      <w:r>
        <w:rPr>
          <w:rFonts w:hint="eastAsia" w:ascii="仿宋_GB2312" w:hAnsi="Times New Roman" w:eastAsia="仿宋_GB2312" w:cs="Times New Roman"/>
          <w:b w:val="0"/>
          <w:bCs w:val="0"/>
          <w:color w:val="auto"/>
          <w:spacing w:val="-6"/>
          <w:sz w:val="32"/>
          <w:szCs w:val="32"/>
          <w:lang w:val="en-US" w:eastAsia="zh-CN"/>
        </w:rPr>
        <w:t>2021年底全面实施完成</w:t>
      </w:r>
      <w:r>
        <w:rPr>
          <w:rFonts w:hint="eastAsia" w:ascii="仿宋_GB2312" w:hAnsi="Times New Roman" w:eastAsia="仿宋_GB2312" w:cs="Times New Roman"/>
          <w:b w:val="0"/>
          <w:bCs w:val="0"/>
          <w:color w:val="auto"/>
          <w:spacing w:val="-6"/>
          <w:sz w:val="32"/>
          <w:szCs w:val="32"/>
        </w:rPr>
        <w:t>。</w:t>
      </w:r>
      <w:r>
        <w:rPr>
          <w:rFonts w:hint="eastAsia" w:ascii="仿宋_GB2312" w:eastAsia="仿宋_GB2312" w:cs="Times New Roman"/>
          <w:b w:val="0"/>
          <w:bCs w:val="0"/>
          <w:color w:val="auto"/>
          <w:spacing w:val="-6"/>
          <w:sz w:val="32"/>
          <w:szCs w:val="32"/>
          <w:lang w:val="en-US" w:eastAsia="zh-CN"/>
        </w:rPr>
        <w:t>节庆</w:t>
      </w:r>
      <w:r>
        <w:rPr>
          <w:rFonts w:hint="eastAsia" w:ascii="仿宋_GB2312" w:hAnsi="Times New Roman" w:eastAsia="仿宋_GB2312" w:cs="Times New Roman"/>
          <w:b w:val="0"/>
          <w:bCs w:val="0"/>
          <w:color w:val="auto"/>
          <w:spacing w:val="-6"/>
          <w:sz w:val="32"/>
          <w:szCs w:val="32"/>
        </w:rPr>
        <w:t>活动</w:t>
      </w:r>
      <w:r>
        <w:rPr>
          <w:rFonts w:hint="eastAsia" w:ascii="仿宋_GB2312" w:hAnsi="Times New Roman" w:eastAsia="仿宋_GB2312" w:cs="Times New Roman"/>
          <w:b w:val="0"/>
          <w:bCs w:val="0"/>
          <w:color w:val="auto"/>
          <w:spacing w:val="-6"/>
          <w:sz w:val="32"/>
          <w:szCs w:val="32"/>
          <w:lang w:eastAsia="zh-CN"/>
        </w:rPr>
        <w:t>工作经费按照财务管理规定及时划拨到位，完成率达</w:t>
      </w:r>
      <w:r>
        <w:rPr>
          <w:rFonts w:hint="eastAsia" w:ascii="仿宋_GB2312" w:hAnsi="Times New Roman" w:eastAsia="仿宋_GB2312" w:cs="Times New Roman"/>
          <w:b w:val="0"/>
          <w:bCs w:val="0"/>
          <w:color w:val="auto"/>
          <w:spacing w:val="-6"/>
          <w:sz w:val="32"/>
          <w:szCs w:val="32"/>
          <w:lang w:val="en-US" w:eastAsia="zh-CN"/>
        </w:rPr>
        <w:t>100%</w:t>
      </w:r>
      <w:r>
        <w:rPr>
          <w:rFonts w:hint="eastAsia" w:ascii="仿宋_GB2312" w:hAnsi="Times New Roman" w:eastAsia="仿宋_GB2312" w:cs="Times New Roman"/>
          <w:b w:val="0"/>
          <w:bCs w:val="0"/>
          <w:color w:val="auto"/>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（三）项目自评步骤及方法。</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u w:val="single"/>
        </w:rPr>
      </w:pPr>
      <w:r>
        <w:rPr>
          <w:rFonts w:hint="eastAsia" w:ascii="仿宋_GB2312" w:hAnsi="宋体" w:eastAsia="仿宋_GB2312" w:cs="Times New Roman"/>
          <w:b w:val="0"/>
          <w:bCs w:val="0"/>
          <w:color w:val="auto"/>
          <w:sz w:val="32"/>
          <w:szCs w:val="32"/>
          <w:highlight w:val="none"/>
          <w:lang w:val="zh-CN"/>
        </w:rPr>
        <w:t>本项目采取自评与他评相结合方式,结合评价内容,做到有计划,有安排,扎实开展本次自评工作。按照上级下达的项目支出绩效评价指标体系,针对申报内容、实施情况、资金兑现、财务管理、社会效益等做好自评工作。</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color w:val="auto"/>
          <w:spacing w:val="-6"/>
          <w:sz w:val="32"/>
          <w:szCs w:val="32"/>
          <w:lang w:val="en-US" w:eastAsia="zh-CN"/>
        </w:rPr>
        <w:t>2021年度该项目预算资金为5万元，项目执行预算为5万元。项目测算在区委区政府的决策部署下，由我委根据前期工作情况测算项目标准。2021年度，我委该项目年初预算为5万元，年终无追加，项目执行预算为5万元。</w:t>
      </w:r>
      <w:r>
        <w:rPr>
          <w:rFonts w:hint="eastAsia" w:ascii="仿宋_GB2312" w:hAnsi="宋体" w:eastAsia="仿宋_GB2312" w:cs="Times New Roman"/>
          <w:b w:val="0"/>
          <w:bCs w:val="0"/>
          <w:color w:val="auto"/>
          <w:sz w:val="32"/>
          <w:szCs w:val="32"/>
          <w:highlight w:val="none"/>
          <w:lang w:val="en-US" w:eastAsia="zh-CN"/>
        </w:rPr>
        <w:t>资金及时批复到位，符合资金管理办法等相关规定。</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）资金计划、到位及使用情况</w:t>
      </w:r>
    </w:p>
    <w:p>
      <w:pPr>
        <w:keepNext w:val="0"/>
        <w:keepLines w:val="0"/>
        <w:pageBreakBefore w:val="0"/>
        <w:widowControl/>
        <w:kinsoku/>
        <w:wordWrap/>
        <w:overflowPunct/>
        <w:topLinePunct w:val="0"/>
        <w:autoSpaceDE/>
        <w:autoSpaceDN/>
        <w:bidi w:val="0"/>
        <w:adjustRightInd/>
        <w:snapToGrid/>
        <w:spacing w:line="578" w:lineRule="exact"/>
        <w:ind w:firstLine="616" w:firstLineChars="200"/>
        <w:jc w:val="left"/>
        <w:textAlignment w:val="auto"/>
        <w:rPr>
          <w:rFonts w:hint="eastAsia" w:ascii="仿宋_GB2312" w:hAnsi="Times New Roman" w:eastAsia="仿宋_GB2312" w:cs="Times New Roman"/>
          <w:b w:val="0"/>
          <w:bCs w:val="0"/>
          <w:color w:val="auto"/>
          <w:spacing w:val="-6"/>
          <w:sz w:val="32"/>
          <w:szCs w:val="32"/>
        </w:rPr>
      </w:pPr>
      <w:r>
        <w:rPr>
          <w:rFonts w:hint="eastAsia" w:ascii="仿宋_GB2312" w:hAnsi="Times New Roman" w:eastAsia="仿宋_GB2312" w:cs="Times New Roman"/>
          <w:b w:val="0"/>
          <w:bCs w:val="0"/>
          <w:color w:val="auto"/>
          <w:spacing w:val="-6"/>
          <w:sz w:val="32"/>
          <w:szCs w:val="32"/>
        </w:rPr>
        <w:t>1.资金计划。</w:t>
      </w: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仿宋_GB2312" w:eastAsia="仿宋_GB2312" w:cs="仿宋_GB2312"/>
          <w:b w:val="0"/>
          <w:bCs w:val="0"/>
          <w:color w:val="auto"/>
          <w:sz w:val="32"/>
          <w:szCs w:val="32"/>
          <w:lang w:eastAsia="zh-CN"/>
        </w:rPr>
        <w:t>工作经费于年初随同部门预算一同下达到单位，我委根据年度工作任务及项目实施情况，及时申请项目资金使用计划，在财政资金计划审核批复后，单位及时按预算下达。</w:t>
      </w:r>
    </w:p>
    <w:p>
      <w:pPr>
        <w:spacing w:line="580" w:lineRule="exact"/>
        <w:ind w:firstLine="640"/>
        <w:rPr>
          <w:rFonts w:hint="eastAsia" w:ascii="仿宋_GB2312" w:hAnsi="Times New Roman" w:eastAsia="仿宋_GB2312" w:cs="Times New Roman"/>
          <w:b w:val="0"/>
          <w:bCs w:val="0"/>
          <w:color w:val="auto"/>
          <w:spacing w:val="-6"/>
          <w:sz w:val="32"/>
          <w:szCs w:val="32"/>
          <w:lang w:val="en-US" w:eastAsia="zh-CN"/>
        </w:rPr>
      </w:pPr>
      <w:r>
        <w:rPr>
          <w:rFonts w:hint="eastAsia" w:ascii="仿宋_GB2312" w:eastAsia="仿宋_GB2312" w:cs="Times New Roman"/>
          <w:b w:val="0"/>
          <w:bCs w:val="0"/>
          <w:color w:val="auto"/>
          <w:spacing w:val="-6"/>
          <w:sz w:val="32"/>
          <w:szCs w:val="32"/>
          <w:lang w:val="en-US" w:eastAsia="zh-CN"/>
        </w:rPr>
        <w:t>2</w:t>
      </w:r>
      <w:r>
        <w:rPr>
          <w:rFonts w:hint="eastAsia" w:ascii="仿宋_GB2312" w:hAnsi="Times New Roman" w:eastAsia="仿宋_GB2312" w:cs="Times New Roman"/>
          <w:b w:val="0"/>
          <w:bCs w:val="0"/>
          <w:color w:val="auto"/>
          <w:spacing w:val="-6"/>
          <w:sz w:val="32"/>
          <w:szCs w:val="32"/>
        </w:rPr>
        <w:t>.资金到位</w:t>
      </w:r>
      <w:r>
        <w:rPr>
          <w:rFonts w:hint="eastAsia" w:ascii="仿宋_GB2312" w:eastAsia="仿宋_GB2312" w:cs="Times New Roman"/>
          <w:b w:val="0"/>
          <w:bCs w:val="0"/>
          <w:color w:val="auto"/>
          <w:spacing w:val="-6"/>
          <w:sz w:val="32"/>
          <w:szCs w:val="32"/>
          <w:lang w:eastAsia="zh-CN"/>
        </w:rPr>
        <w:t>。</w:t>
      </w:r>
      <w:r>
        <w:rPr>
          <w:rFonts w:hint="eastAsia" w:ascii="仿宋_GB2312" w:hAnsi="仿宋_GB2312" w:eastAsia="仿宋_GB2312" w:cs="仿宋_GB2312"/>
          <w:b w:val="0"/>
          <w:bCs w:val="0"/>
          <w:color w:val="auto"/>
          <w:sz w:val="32"/>
          <w:szCs w:val="32"/>
          <w:lang w:eastAsia="zh-CN"/>
        </w:rPr>
        <w:t>截止</w:t>
      </w:r>
      <w:r>
        <w:rPr>
          <w:rFonts w:hint="eastAsia" w:ascii="仿宋_GB2312" w:hAnsi="仿宋_GB2312" w:eastAsia="仿宋_GB2312" w:cs="仿宋_GB2312"/>
          <w:b w:val="0"/>
          <w:bCs w:val="0"/>
          <w:color w:val="auto"/>
          <w:sz w:val="32"/>
          <w:szCs w:val="32"/>
          <w:lang w:val="en-US" w:eastAsia="zh-CN"/>
        </w:rPr>
        <w:t>2021年12月，五四一二九节庆活动工作经费全部拨付到位，</w:t>
      </w:r>
      <w:r>
        <w:rPr>
          <w:rFonts w:hint="eastAsia" w:ascii="仿宋_GB2312" w:hAnsi="仿宋_GB2312" w:eastAsia="仿宋_GB2312" w:cs="仿宋_GB2312"/>
          <w:b w:val="0"/>
          <w:bCs w:val="0"/>
          <w:color w:val="auto"/>
          <w:sz w:val="32"/>
          <w:szCs w:val="32"/>
        </w:rPr>
        <w:t>资金到位率100%。</w:t>
      </w:r>
    </w:p>
    <w:p>
      <w:pPr>
        <w:spacing w:line="580" w:lineRule="exact"/>
        <w:ind w:firstLine="640"/>
        <w:rPr>
          <w:rFonts w:hint="default" w:eastAsia="仿宋_GB2312"/>
          <w:b w:val="0"/>
          <w:bCs w:val="0"/>
          <w:color w:val="auto"/>
          <w:lang w:val="en-US" w:eastAsia="zh-CN"/>
        </w:rPr>
      </w:pPr>
      <w:r>
        <w:rPr>
          <w:rFonts w:hint="eastAsia" w:ascii="仿宋_GB2312" w:eastAsia="仿宋_GB2312" w:cs="Times New Roman"/>
          <w:b w:val="0"/>
          <w:bCs w:val="0"/>
          <w:color w:val="auto"/>
          <w:spacing w:val="-6"/>
          <w:sz w:val="32"/>
          <w:szCs w:val="32"/>
          <w:lang w:val="en-US" w:eastAsia="zh-CN"/>
        </w:rPr>
        <w:t>3</w:t>
      </w:r>
      <w:r>
        <w:rPr>
          <w:rFonts w:hint="eastAsia" w:ascii="仿宋_GB2312" w:hAnsi="Times New Roman" w:eastAsia="仿宋_GB2312" w:cs="Times New Roman"/>
          <w:b w:val="0"/>
          <w:bCs w:val="0"/>
          <w:color w:val="auto"/>
          <w:spacing w:val="-6"/>
          <w:sz w:val="32"/>
          <w:szCs w:val="32"/>
        </w:rPr>
        <w:t>.资金使用。</w:t>
      </w:r>
      <w:r>
        <w:rPr>
          <w:rFonts w:hint="eastAsia" w:ascii="仿宋_GB2312" w:hAnsi="仿宋_GB2312" w:eastAsia="仿宋_GB2312" w:cs="仿宋_GB2312"/>
          <w:b w:val="0"/>
          <w:bCs w:val="0"/>
          <w:color w:val="auto"/>
          <w:sz w:val="32"/>
          <w:szCs w:val="32"/>
        </w:rPr>
        <w:t>财政局</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color w:val="auto"/>
          <w:sz w:val="32"/>
          <w:szCs w:val="32"/>
        </w:rPr>
        <w:t>年初预算</w:t>
      </w:r>
      <w:r>
        <w:rPr>
          <w:rFonts w:hint="eastAsia" w:ascii="仿宋_GB2312" w:hAnsi="仿宋_GB2312" w:eastAsia="仿宋_GB2312" w:cs="仿宋_GB2312"/>
          <w:b w:val="0"/>
          <w:bCs w:val="0"/>
          <w:color w:val="auto"/>
          <w:sz w:val="32"/>
          <w:szCs w:val="32"/>
          <w:lang w:eastAsia="zh-CN"/>
        </w:rPr>
        <w:t>下达</w:t>
      </w:r>
      <w:r>
        <w:rPr>
          <w:rFonts w:hint="eastAsia" w:ascii="仿宋_GB2312" w:eastAsia="仿宋_GB2312" w:cs="Times New Roman"/>
          <w:b w:val="0"/>
          <w:bCs w:val="0"/>
          <w:color w:val="auto"/>
          <w:spacing w:val="-6"/>
          <w:sz w:val="32"/>
          <w:szCs w:val="32"/>
          <w:lang w:val="en-US" w:eastAsia="zh-CN"/>
        </w:rPr>
        <w:t>节庆</w:t>
      </w:r>
      <w:r>
        <w:rPr>
          <w:rFonts w:hint="eastAsia" w:ascii="仿宋_GB2312" w:hAnsi="仿宋_GB2312" w:eastAsia="仿宋_GB2312" w:cs="仿宋_GB2312"/>
          <w:b w:val="0"/>
          <w:bCs w:val="0"/>
          <w:color w:val="auto"/>
          <w:sz w:val="32"/>
          <w:szCs w:val="32"/>
          <w:lang w:eastAsia="zh-CN"/>
        </w:rPr>
        <w:t>活动工作经费</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到单位</w:t>
      </w:r>
      <w:r>
        <w:rPr>
          <w:rFonts w:hint="eastAsia" w:ascii="仿宋_GB2312" w:hAnsi="仿宋_GB2312" w:eastAsia="仿宋_GB2312" w:cs="仿宋_GB2312"/>
          <w:b w:val="0"/>
          <w:bCs w:val="0"/>
          <w:color w:val="auto"/>
          <w:sz w:val="32"/>
          <w:szCs w:val="32"/>
        </w:rPr>
        <w:t>，用于</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仿宋_GB2312" w:eastAsia="仿宋_GB2312" w:cs="仿宋_GB2312"/>
          <w:b w:val="0"/>
          <w:bCs w:val="0"/>
          <w:color w:val="auto"/>
          <w:sz w:val="32"/>
          <w:szCs w:val="32"/>
          <w:lang w:val="en-US" w:eastAsia="zh-CN"/>
        </w:rPr>
        <w:t>,我委按照项目执行情况及时划拨资金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2021年，全区集中组织召开五四庆祝大会1场，分学校开展一二九庆祝活动五场，各级团组织全面参与。项目资金用于活动费用4万元、会务及生活补助1万元。</w:t>
      </w:r>
      <w:r>
        <w:rPr>
          <w:rFonts w:hint="eastAsia" w:ascii="仿宋_GB2312" w:hAnsi="仿宋_GB2312" w:eastAsia="仿宋_GB2312" w:cs="仿宋_GB2312"/>
          <w:b w:val="0"/>
          <w:bCs w:val="0"/>
          <w:color w:val="auto"/>
          <w:sz w:val="32"/>
          <w:szCs w:val="32"/>
        </w:rPr>
        <w:t>项目资金无调整</w:t>
      </w:r>
      <w:r>
        <w:rPr>
          <w:rFonts w:hint="eastAsia" w:ascii="仿宋_GB2312" w:hAnsi="仿宋_GB2312" w:eastAsia="仿宋_GB2312" w:cs="仿宋_GB2312"/>
          <w:b w:val="0"/>
          <w:bCs w:val="0"/>
          <w:color w:val="auto"/>
          <w:sz w:val="32"/>
          <w:szCs w:val="32"/>
          <w:lang w:eastAsia="zh-CN"/>
        </w:rPr>
        <w:t>，资金支付依据合规合法与预算相符</w:t>
      </w:r>
      <w:r>
        <w:rPr>
          <w:rFonts w:hint="eastAsia" w:ascii="仿宋_GB2312" w:hAnsi="仿宋_GB2312" w:eastAsia="仿宋_GB2312" w:cs="仿宋_GB2312"/>
          <w:b w:val="0"/>
          <w:bCs w:val="0"/>
          <w:color w:val="auto"/>
          <w:sz w:val="32"/>
          <w:szCs w:val="32"/>
        </w:rPr>
        <w:t>。</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）项目财务管理情况</w:t>
      </w:r>
    </w:p>
    <w:p>
      <w:pPr>
        <w:autoSpaceDE w:val="0"/>
        <w:spacing w:line="540" w:lineRule="exact"/>
        <w:ind w:firstLine="572"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仿宋_GB2312" w:eastAsia="仿宋_GB2312" w:cs="仿宋_GB2312"/>
          <w:b w:val="0"/>
          <w:bCs w:val="0"/>
          <w:color w:val="auto"/>
          <w:sz w:val="32"/>
          <w:szCs w:val="32"/>
          <w:lang w:eastAsia="zh-CN"/>
        </w:rPr>
        <w:t>工作经费</w:t>
      </w:r>
      <w:r>
        <w:rPr>
          <w:rFonts w:hint="eastAsia" w:ascii="仿宋_GB2312" w:hAnsi="仿宋_GB2312" w:eastAsia="仿宋_GB2312" w:cs="仿宋_GB2312"/>
          <w:b w:val="0"/>
          <w:bCs w:val="0"/>
          <w:color w:val="auto"/>
          <w:sz w:val="32"/>
          <w:szCs w:val="32"/>
          <w:lang w:val="zh-CN" w:eastAsia="zh-CN"/>
        </w:rPr>
        <w:t>作为我委必需的项目经费，为教育引导全区各级团组织、团员青年加强思政教育，厚植爱国主义情怀，提供有力的资金保障，就必须科学规范的管理好、使用好项目资金。我委将</w:t>
      </w: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lang w:val="zh-CN" w:eastAsia="zh-CN"/>
        </w:rPr>
        <w:t>经费纳入单位财政集中统一管理，严格按照单位财务管理制度执行，做到先有预算后有支出，制度化、规范化、程序化使用资金，加强对资金使用过程监督管理，做到手续完备、数字准确、帐目清楚，</w:t>
      </w:r>
      <w:r>
        <w:rPr>
          <w:rFonts w:hint="eastAsia" w:ascii="仿宋_GB2312" w:hAnsi="Times New Roman" w:eastAsia="仿宋_GB2312" w:cs="Times New Roman"/>
          <w:b w:val="0"/>
          <w:bCs w:val="0"/>
          <w:color w:val="auto"/>
          <w:spacing w:val="-6"/>
          <w:sz w:val="32"/>
          <w:szCs w:val="32"/>
          <w:lang w:val="zh-CN" w:eastAsia="zh-CN"/>
        </w:rPr>
        <w:t>财务处理及时规范，会计核算准确无误</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三、项目实施及管理情况</w:t>
      </w:r>
    </w:p>
    <w:p>
      <w:pPr>
        <w:autoSpaceDE w:val="0"/>
        <w:spacing w:line="540" w:lineRule="exact"/>
        <w:ind w:firstLine="640" w:firstLineChars="200"/>
        <w:rPr>
          <w:rFonts w:hint="eastAsia"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（一）项目组织架构及实施流程。</w:t>
      </w:r>
    </w:p>
    <w:p>
      <w:pPr>
        <w:autoSpaceDE w:val="0"/>
        <w:spacing w:line="540" w:lineRule="exact"/>
        <w:ind w:firstLine="640"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我委主动加强节庆活动的统筹谋划，及早加强与相关单位和团组织的联系对接，落实好会务、场地、人员等情况，确保活动的顺利开展。同时加强对项目实施的全过程监督、管理，严格资金拨付，实行经办人签字、分管领导审核签字、主要领导同意签字的程序流程，多方位监督，确保项目资金及时拨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楷体_GB2312" w:hAnsi="宋体" w:eastAsia="楷体_GB2312" w:cs="Times New Roman"/>
          <w:b w:val="0"/>
          <w:bCs w:val="0"/>
          <w:color w:val="auto"/>
          <w:sz w:val="32"/>
          <w:szCs w:val="32"/>
          <w:highlight w:val="none"/>
          <w:lang w:val="zh-CN"/>
        </w:rPr>
        <w:t>（二）项目管理情况。</w:t>
      </w:r>
      <w:r>
        <w:rPr>
          <w:rFonts w:hint="eastAsia" w:ascii="仿宋_GB2312" w:hAnsi="Times New Roman" w:eastAsia="仿宋_GB2312" w:cs="Times New Roman"/>
          <w:b w:val="0"/>
          <w:bCs w:val="0"/>
          <w:color w:val="auto"/>
          <w:spacing w:val="-6"/>
          <w:sz w:val="32"/>
          <w:szCs w:val="32"/>
          <w:lang w:val="en-US" w:eastAsia="zh-CN"/>
        </w:rPr>
        <w:t>该项目为保障性经费支出项目，无招投标等情况，日常检查监督按专业制度执行。</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hint="eastAsia" w:ascii="黑体" w:hAnsi="黑体" w:eastAsia="黑体" w:cs="Times New Roman"/>
          <w:b w:val="0"/>
          <w:bCs w:val="0"/>
          <w:color w:val="auto"/>
          <w:spacing w:val="-6"/>
          <w:sz w:val="32"/>
          <w:szCs w:val="32"/>
          <w:lang w:val="en-US" w:eastAsia="zh-CN"/>
        </w:rPr>
      </w:pPr>
      <w:r>
        <w:rPr>
          <w:rFonts w:hint="eastAsia" w:ascii="楷体_GB2312" w:hAnsi="宋体" w:eastAsia="楷体_GB2312" w:cs="Times New Roman"/>
          <w:b w:val="0"/>
          <w:bCs w:val="0"/>
          <w:color w:val="auto"/>
          <w:sz w:val="32"/>
          <w:szCs w:val="32"/>
          <w:highlight w:val="none"/>
          <w:lang w:val="zh-CN"/>
        </w:rPr>
        <w:t>（三）项目监管情况。</w:t>
      </w:r>
      <w:r>
        <w:rPr>
          <w:rFonts w:hint="eastAsia" w:ascii="仿宋_GB2312" w:hAnsi="Times New Roman" w:eastAsia="仿宋_GB2312" w:cs="Times New Roman"/>
          <w:b w:val="0"/>
          <w:bCs w:val="0"/>
          <w:color w:val="auto"/>
          <w:spacing w:val="-6"/>
          <w:sz w:val="32"/>
          <w:szCs w:val="32"/>
          <w:lang w:val="en-US" w:eastAsia="zh-CN"/>
        </w:rPr>
        <w:t>该项目管理制度合并在我委财务管理制度、内控管理制度等规范性财务制度之下，未单独建立项目管理制度，由办公室开展日常性监管。</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lang w:val="en-US" w:eastAsia="zh-CN"/>
        </w:rPr>
        <w:t>四</w:t>
      </w:r>
      <w:r>
        <w:rPr>
          <w:rFonts w:hint="eastAsia" w:ascii="黑体" w:hAnsi="黑体" w:eastAsia="黑体" w:cs="Times New Roman"/>
          <w:b w:val="0"/>
          <w:bCs w:val="0"/>
          <w:color w:val="auto"/>
          <w:spacing w:val="-6"/>
          <w:sz w:val="32"/>
          <w:szCs w:val="32"/>
        </w:rPr>
        <w:t>、项目绩效情况</w:t>
      </w:r>
      <w:r>
        <w:rPr>
          <w:rFonts w:hint="eastAsia" w:ascii="黑体" w:hAnsi="黑体" w:eastAsia="黑体" w:cs="Times New Roman"/>
          <w:b w:val="0"/>
          <w:bCs w:val="0"/>
          <w:color w:val="auto"/>
          <w:spacing w:val="-6"/>
          <w:sz w:val="32"/>
          <w:szCs w:val="32"/>
        </w:rPr>
        <w:tab/>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（一）项目完成情况</w:t>
      </w:r>
    </w:p>
    <w:p>
      <w:pPr>
        <w:autoSpaceDE w:val="0"/>
        <w:spacing w:line="540" w:lineRule="exact"/>
        <w:ind w:firstLine="572"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仿宋_GB2312" w:eastAsia="仿宋_GB2312" w:cs="仿宋_GB2312"/>
          <w:b w:val="0"/>
          <w:bCs w:val="0"/>
          <w:color w:val="auto"/>
          <w:sz w:val="32"/>
          <w:szCs w:val="32"/>
          <w:lang w:val="zh-CN" w:eastAsia="zh-CN"/>
        </w:rPr>
        <w:t>预算工作经费</w:t>
      </w:r>
      <w:r>
        <w:rPr>
          <w:rFonts w:hint="eastAsia" w:ascii="仿宋_GB2312" w:hAnsi="仿宋_GB2312" w:eastAsia="仿宋_GB2312" w:cs="仿宋_GB2312"/>
          <w:b w:val="0"/>
          <w:bCs w:val="0"/>
          <w:color w:val="auto"/>
          <w:sz w:val="32"/>
          <w:szCs w:val="32"/>
          <w:lang w:val="en-US" w:eastAsia="zh-CN"/>
        </w:rPr>
        <w:t>5万元，完成率100%</w:t>
      </w:r>
      <w:r>
        <w:rPr>
          <w:rFonts w:hint="eastAsia" w:ascii="仿宋_GB2312" w:hAnsi="仿宋_GB2312" w:eastAsia="仿宋_GB2312" w:cs="仿宋_GB2312"/>
          <w:b w:val="0"/>
          <w:bCs w:val="0"/>
          <w:color w:val="auto"/>
          <w:sz w:val="32"/>
          <w:szCs w:val="32"/>
          <w:lang w:val="zh-CN" w:eastAsia="zh-CN"/>
        </w:rPr>
        <w:t>。</w:t>
      </w:r>
      <w:r>
        <w:rPr>
          <w:rFonts w:hint="eastAsia" w:ascii="仿宋_GB2312" w:hAnsi="Times New Roman" w:eastAsia="仿宋_GB2312" w:cs="Times New Roman"/>
          <w:b w:val="0"/>
          <w:bCs w:val="0"/>
          <w:color w:val="auto"/>
          <w:spacing w:val="-6"/>
          <w:sz w:val="32"/>
          <w:szCs w:val="32"/>
          <w:lang w:eastAsia="zh-CN"/>
        </w:rPr>
        <w:t>组织带领全区各级团组织、团员青年开展</w:t>
      </w:r>
      <w:r>
        <w:rPr>
          <w:rFonts w:hint="eastAsia" w:ascii="仿宋_GB2312" w:hAnsi="仿宋_GB2312" w:eastAsia="仿宋_GB2312" w:cs="仿宋_GB2312"/>
          <w:b w:val="0"/>
          <w:bCs w:val="0"/>
          <w:color w:val="auto"/>
          <w:spacing w:val="-17"/>
          <w:kern w:val="0"/>
          <w:sz w:val="32"/>
          <w:szCs w:val="32"/>
          <w:lang w:val="en-US" w:eastAsia="zh-CN" w:bidi="ar-SA"/>
        </w:rPr>
        <w:t>五四、一二九节庆活动两场以上</w:t>
      </w:r>
      <w:r>
        <w:rPr>
          <w:rFonts w:hint="eastAsia" w:ascii="仿宋_GB2312" w:hAnsi="仿宋_GB2312" w:eastAsia="仿宋_GB2312" w:cs="仿宋_GB2312"/>
          <w:b w:val="0"/>
          <w:bCs w:val="0"/>
          <w:color w:val="auto"/>
          <w:sz w:val="32"/>
          <w:szCs w:val="32"/>
          <w:lang w:val="en-US" w:eastAsia="zh-CN"/>
        </w:rPr>
        <w:t>，团组织、团员青年全面参与。项目资金主要用于活动会务、活动场地租赁、布置、活动物品及工作人员生活补助等费用，共计5万元。我委严格按照项目预算进行实施，完成了年初目标任务，项目实施效果达到预期目标，资金使用安全有效。</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（二）项目效益情况</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z w:val="32"/>
          <w:szCs w:val="32"/>
          <w:lang w:val="en-US" w:eastAsia="zh-CN"/>
        </w:rPr>
        <w:t>通过</w:t>
      </w:r>
      <w:r>
        <w:rPr>
          <w:rFonts w:hint="eastAsia" w:ascii="仿宋_GB2312" w:hAnsi="仿宋_GB2312" w:eastAsia="仿宋_GB2312" w:cs="仿宋_GB2312"/>
          <w:b w:val="0"/>
          <w:bCs w:val="0"/>
          <w:color w:val="auto"/>
          <w:spacing w:val="-17"/>
          <w:kern w:val="0"/>
          <w:sz w:val="32"/>
          <w:szCs w:val="32"/>
          <w:lang w:val="en-US" w:eastAsia="zh-CN" w:bidi="ar-SA"/>
        </w:rPr>
        <w:t>五四、一二九节庆活动</w:t>
      </w:r>
      <w:r>
        <w:rPr>
          <w:rFonts w:hint="eastAsia" w:ascii="仿宋_GB2312" w:hAnsi="仿宋_GB2312" w:eastAsia="仿宋_GB2312" w:cs="仿宋_GB2312"/>
          <w:b w:val="0"/>
          <w:bCs w:val="0"/>
          <w:color w:val="auto"/>
          <w:sz w:val="32"/>
          <w:szCs w:val="32"/>
          <w:lang w:val="en-US" w:eastAsia="zh-CN"/>
        </w:rPr>
        <w:t>的实施，丰富了青少年可以文化生活，庆祝活动中的入团仪式、经典诵读等节目，深深感染了青少年们，</w:t>
      </w:r>
      <w:r>
        <w:rPr>
          <w:rFonts w:hint="eastAsia" w:ascii="仿宋_GB2312" w:hAnsi="Times New Roman" w:eastAsia="仿宋_GB2312" w:cs="Times New Roman"/>
          <w:b w:val="0"/>
          <w:bCs w:val="0"/>
          <w:color w:val="auto"/>
          <w:spacing w:val="-6"/>
          <w:sz w:val="32"/>
          <w:szCs w:val="32"/>
          <w:lang w:val="en-US" w:eastAsia="zh-CN"/>
        </w:rPr>
        <w:t>增强了荣誉感和使命感，厚植了爱国主义情怀，也为青少年提供展示才艺、锻炼能力的舞台，</w:t>
      </w:r>
      <w:r>
        <w:rPr>
          <w:rFonts w:hint="eastAsia" w:ascii="仿宋_GB2312" w:hAnsi="仿宋_GB2312" w:eastAsia="仿宋_GB2312" w:cs="仿宋_GB2312"/>
          <w:b w:val="0"/>
          <w:bCs w:val="0"/>
          <w:color w:val="auto"/>
          <w:sz w:val="32"/>
          <w:szCs w:val="32"/>
        </w:rPr>
        <w:t>充分展示广大</w:t>
      </w:r>
      <w:r>
        <w:rPr>
          <w:rFonts w:hint="eastAsia" w:ascii="仿宋_GB2312" w:hAnsi="仿宋_GB2312" w:eastAsia="仿宋_GB2312" w:cs="仿宋_GB2312"/>
          <w:b w:val="0"/>
          <w:bCs w:val="0"/>
          <w:color w:val="auto"/>
          <w:sz w:val="32"/>
          <w:szCs w:val="32"/>
          <w:lang w:eastAsia="zh-CN"/>
        </w:rPr>
        <w:t>团员</w:t>
      </w:r>
      <w:r>
        <w:rPr>
          <w:rFonts w:hint="eastAsia" w:ascii="仿宋_GB2312" w:hAnsi="仿宋_GB2312" w:eastAsia="仿宋_GB2312" w:cs="仿宋_GB2312"/>
          <w:b w:val="0"/>
          <w:bCs w:val="0"/>
          <w:color w:val="auto"/>
          <w:sz w:val="32"/>
          <w:szCs w:val="32"/>
        </w:rPr>
        <w:t>青年朝气蓬勃、积极向上的精神风貌</w:t>
      </w:r>
      <w:r>
        <w:rPr>
          <w:rFonts w:hint="eastAsia" w:ascii="仿宋_GB2312" w:hAnsi="Times New Roman" w:eastAsia="仿宋_GB2312" w:cs="Times New Roman"/>
          <w:b w:val="0"/>
          <w:bCs w:val="0"/>
          <w:color w:val="auto"/>
          <w:spacing w:val="-6"/>
          <w:sz w:val="32"/>
          <w:szCs w:val="32"/>
          <w:lang w:val="en-US" w:eastAsia="zh-CN"/>
        </w:rPr>
        <w:t>，助力青少年健康全面发展。青少年对节庆活动</w:t>
      </w:r>
      <w:r>
        <w:rPr>
          <w:rFonts w:hint="eastAsia" w:ascii="仿宋_GB2312" w:hAnsi="仿宋_GB2312" w:eastAsia="仿宋_GB2312" w:cs="仿宋_GB2312"/>
          <w:b w:val="0"/>
          <w:bCs w:val="0"/>
          <w:color w:val="auto"/>
          <w:sz w:val="32"/>
          <w:szCs w:val="32"/>
          <w:lang w:val="en-US" w:eastAsia="zh-CN"/>
        </w:rPr>
        <w:t>满意度达90%。项目实施科学合理，监管有力到位，责任分工明确，资金拨付及时高效，发挥了项目资金最大利益化，最大效益化</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kern w:val="2"/>
          <w:sz w:val="32"/>
          <w:szCs w:val="32"/>
          <w:lang w:val="zh-CN" w:eastAsia="zh-CN" w:bidi="ar-SA"/>
        </w:rPr>
      </w:pPr>
      <w:r>
        <w:rPr>
          <w:rFonts w:hint="eastAsia" w:ascii="楷体_GB2312" w:hAnsi="宋体" w:eastAsia="楷体_GB2312" w:cs="Times New Roman"/>
          <w:b w:val="0"/>
          <w:bCs w:val="0"/>
          <w:color w:val="auto"/>
          <w:sz w:val="32"/>
          <w:szCs w:val="32"/>
          <w:highlight w:val="none"/>
          <w:lang w:val="zh-CN"/>
        </w:rPr>
        <w:t>（一）评价结论。</w:t>
      </w:r>
      <w:r>
        <w:rPr>
          <w:rFonts w:hint="eastAsia" w:ascii="仿宋_GB2312" w:hAnsi="Times New Roman" w:eastAsia="仿宋_GB2312" w:cs="Times New Roman"/>
          <w:b w:val="0"/>
          <w:bCs w:val="0"/>
          <w:color w:val="auto"/>
          <w:spacing w:val="-6"/>
          <w:kern w:val="2"/>
          <w:sz w:val="32"/>
          <w:szCs w:val="32"/>
          <w:lang w:val="en-US" w:eastAsia="zh-CN" w:bidi="ar-SA"/>
        </w:rPr>
        <w:t>该项目支出自评工作结果较好，质量较高，完整和清晰的反应出我委在2021年度预算项目执行情况、资金使用情况。</w:t>
      </w:r>
    </w:p>
    <w:p>
      <w:pPr>
        <w:adjustRightInd w:val="0"/>
        <w:snapToGrid w:val="0"/>
        <w:spacing w:line="580" w:lineRule="exact"/>
        <w:ind w:firstLine="720"/>
        <w:rPr>
          <w:rFonts w:hint="eastAsia" w:ascii="仿宋_GB2312" w:hAnsi="仿宋_GB2312" w:eastAsia="仿宋_GB2312" w:cs="仿宋_GB2312"/>
          <w:b w:val="0"/>
          <w:bCs w:val="0"/>
          <w:color w:val="auto"/>
          <w:sz w:val="32"/>
          <w:szCs w:val="32"/>
          <w:lang w:val="zh-CN"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）存在的问题</w:t>
      </w:r>
      <w:r>
        <w:rPr>
          <w:rFonts w:hint="eastAsia" w:ascii="楷体_GB2312" w:hAnsi="Times New Roman" w:eastAsia="楷体_GB2312" w:cs="Times New Roman"/>
          <w:b w:val="0"/>
          <w:bCs w:val="0"/>
          <w:color w:val="auto"/>
          <w:spacing w:val="-6"/>
          <w:sz w:val="32"/>
          <w:szCs w:val="32"/>
          <w:lang w:eastAsia="zh-CN"/>
        </w:rPr>
        <w:t>。</w:t>
      </w:r>
      <w:r>
        <w:rPr>
          <w:rFonts w:hint="eastAsia" w:ascii="仿宋_GB2312" w:hAnsi="仿宋_GB2312" w:eastAsia="仿宋_GB2312" w:cs="仿宋_GB2312"/>
          <w:b w:val="0"/>
          <w:bCs w:val="0"/>
          <w:color w:val="auto"/>
          <w:sz w:val="32"/>
          <w:szCs w:val="32"/>
          <w:lang w:val="zh-CN" w:eastAsia="zh-CN"/>
        </w:rPr>
        <w:t>节庆活动实施过程中，活动的组织策划创新不够，节目设置偏传统，氛围营造还不浓厚，青少年普遍参加节目动力还不足，</w:t>
      </w:r>
      <w:r>
        <w:rPr>
          <w:rFonts w:hint="eastAsia" w:ascii="仿宋_GB2312" w:hAnsi="仿宋_GB2312" w:eastAsia="仿宋_GB2312" w:cs="仿宋_GB2312"/>
          <w:b w:val="0"/>
          <w:bCs w:val="0"/>
          <w:color w:val="auto"/>
          <w:sz w:val="32"/>
          <w:szCs w:val="32"/>
          <w:lang w:val="en" w:eastAsia="zh-CN"/>
        </w:rPr>
        <w:t>资金效用未达到最优。</w:t>
      </w:r>
    </w:p>
    <w:p>
      <w:pPr>
        <w:autoSpaceDE w:val="0"/>
        <w:spacing w:line="540" w:lineRule="exact"/>
        <w:ind w:firstLine="616" w:firstLineChars="200"/>
        <w:rPr>
          <w:rFonts w:hint="eastAsia" w:ascii="仿宋_GB2312" w:hAnsi="仿宋_GB2312" w:eastAsia="仿宋_GB2312" w:cs="仿宋_GB2312"/>
          <w:b w:val="0"/>
          <w:bCs w:val="0"/>
          <w:strike w:val="0"/>
          <w:dstrike w:val="0"/>
          <w:color w:val="auto"/>
          <w:spacing w:val="-6"/>
          <w:sz w:val="32"/>
          <w:szCs w:val="32"/>
          <w:u w:val="none"/>
          <w:lang w:val="zh-CN"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）相关建议。</w:t>
      </w:r>
      <w:r>
        <w:rPr>
          <w:rFonts w:hint="eastAsia" w:ascii="仿宋_GB2312" w:hAnsi="仿宋_GB2312" w:eastAsia="仿宋_GB2312" w:cs="仿宋_GB2312"/>
          <w:b w:val="0"/>
          <w:bCs w:val="0"/>
          <w:color w:val="auto"/>
          <w:sz w:val="32"/>
          <w:szCs w:val="32"/>
          <w:lang w:val="zh-CN" w:eastAsia="zh-CN"/>
        </w:rPr>
        <w:t>积极组织策划节庆活动，深入青少年群体开展调研，了解喜好、特征等，广泛征集活动开展意见，传新开展节庆活动，通过自行组织、购买社会服务等方式丰富活动项目，</w:t>
      </w:r>
      <w:r>
        <w:rPr>
          <w:rFonts w:hint="eastAsia" w:ascii="仿宋_GB2312" w:hAnsi="仿宋_GB2312" w:eastAsia="仿宋_GB2312" w:cs="仿宋_GB2312"/>
          <w:b w:val="0"/>
          <w:bCs w:val="0"/>
          <w:strike w:val="0"/>
          <w:dstrike w:val="0"/>
          <w:color w:val="auto"/>
          <w:spacing w:val="-6"/>
          <w:sz w:val="32"/>
          <w:szCs w:val="32"/>
          <w:u w:val="none"/>
          <w:lang w:val="zh-CN" w:eastAsia="zh-CN"/>
        </w:rPr>
        <w:t>进一步加强项目资金管理，把项目资金用在刀刃上，发挥其应有的效用。做好宣传发动，营造庆祝活动浓厚氛围，增强青少年荣誉感、仪式感和使命感，组织动员社会力量参加到节庆活动中来，关心关爱青少年健康成长。</w:t>
      </w:r>
    </w:p>
    <w:p>
      <w:pPr>
        <w:rPr>
          <w:rFonts w:hint="eastAsia" w:ascii="仿宋_GB2312" w:hAnsi="仿宋_GB2312" w:eastAsia="仿宋_GB2312" w:cs="仿宋_GB2312"/>
          <w:b w:val="0"/>
          <w:bCs w:val="0"/>
          <w:strike w:val="0"/>
          <w:dstrike w:val="0"/>
          <w:color w:val="auto"/>
          <w:spacing w:val="-6"/>
          <w:kern w:val="2"/>
          <w:sz w:val="32"/>
          <w:szCs w:val="32"/>
          <w:u w:val="none"/>
          <w:lang w:val="en-US" w:eastAsia="zh-CN" w:bidi="ar-SA"/>
        </w:rPr>
      </w:pPr>
      <w:r>
        <w:rPr>
          <w:rFonts w:hint="eastAsia" w:ascii="仿宋_GB2312" w:hAnsi="仿宋_GB2312" w:eastAsia="仿宋_GB2312" w:cs="仿宋_GB2312"/>
          <w:b w:val="0"/>
          <w:bCs w:val="0"/>
          <w:strike w:val="0"/>
          <w:dstrike w:val="0"/>
          <w:color w:val="auto"/>
          <w:spacing w:val="-6"/>
          <w:kern w:val="2"/>
          <w:sz w:val="32"/>
          <w:szCs w:val="32"/>
          <w:u w:val="none"/>
          <w:lang w:val="en-US" w:eastAsia="zh-CN" w:bidi="ar-SA"/>
        </w:rPr>
        <w:br w:type="page"/>
      </w:r>
    </w:p>
    <w:p>
      <w:pPr>
        <w:pStyle w:val="2"/>
        <w:ind w:left="0" w:leftChars="0" w:firstLine="616" w:firstLineChars="200"/>
        <w:rPr>
          <w:rFonts w:hint="default" w:ascii="仿宋_GB2312" w:hAnsi="仿宋_GB2312" w:eastAsia="仿宋_GB2312" w:cs="仿宋_GB2312"/>
          <w:b w:val="0"/>
          <w:bCs w:val="0"/>
          <w:strike w:val="0"/>
          <w:dstrike w:val="0"/>
          <w:color w:val="auto"/>
          <w:spacing w:val="-6"/>
          <w:kern w:val="2"/>
          <w:sz w:val="32"/>
          <w:szCs w:val="32"/>
          <w:u w:val="none"/>
          <w:lang w:val="en-US" w:eastAsia="zh-CN" w:bidi="ar-SA"/>
        </w:rPr>
      </w:pPr>
      <w:r>
        <w:rPr>
          <w:rFonts w:hint="eastAsia" w:ascii="仿宋_GB2312" w:hAnsi="仿宋_GB2312" w:eastAsia="仿宋_GB2312" w:cs="仿宋_GB2312"/>
          <w:b w:val="0"/>
          <w:bCs w:val="0"/>
          <w:strike w:val="0"/>
          <w:dstrike w:val="0"/>
          <w:color w:val="auto"/>
          <w:spacing w:val="-6"/>
          <w:kern w:val="2"/>
          <w:sz w:val="32"/>
          <w:szCs w:val="32"/>
          <w:u w:val="none"/>
          <w:lang w:val="en-US" w:eastAsia="zh-CN" w:bidi="ar-SA"/>
        </w:rPr>
        <w:t>附表</w:t>
      </w: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848"/>
        <w:gridCol w:w="1664"/>
        <w:gridCol w:w="1486"/>
        <w:gridCol w:w="1192"/>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val="0"/>
                <w:bCs w:val="0"/>
                <w:i w:val="0"/>
                <w:color w:val="auto"/>
                <w:sz w:val="32"/>
                <w:szCs w:val="32"/>
                <w:highlight w:val="none"/>
                <w:u w:val="none"/>
              </w:rPr>
            </w:pPr>
            <w:r>
              <w:rPr>
                <w:rFonts w:hint="eastAsia" w:ascii="宋体" w:hAnsi="宋体" w:eastAsia="宋体" w:cs="宋体"/>
                <w:b w:val="0"/>
                <w:bCs w:val="0"/>
                <w:i w:val="0"/>
                <w:color w:val="auto"/>
                <w:sz w:val="32"/>
                <w:szCs w:val="32"/>
                <w:highlight w:val="none"/>
                <w:u w:val="none"/>
                <w:lang w:val="en-US" w:eastAsia="zh-CN"/>
              </w:rPr>
              <w:t>2021年度五四一二九节庆活动项目绩效目标自评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主管部门及代码</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共青团广元市朝天区委员会376301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cs="宋体"/>
                <w:b w:val="0"/>
                <w:bCs w:val="0"/>
                <w:i w:val="0"/>
                <w:color w:val="auto"/>
                <w:sz w:val="21"/>
                <w:szCs w:val="21"/>
                <w:highlight w:val="none"/>
                <w:u w:val="none"/>
                <w:lang w:val="en-US" w:eastAsia="zh-CN"/>
              </w:rPr>
              <w:t>共青团广元市朝天区委员会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（万元）</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预算数：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完成情况</w:t>
            </w: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预期目标</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eastAsia="宋体" w:cs="宋体"/>
                <w:b w:val="0"/>
                <w:bCs w:val="0"/>
                <w:i w:val="0"/>
                <w:iCs w:val="0"/>
                <w:color w:val="auto"/>
                <w:kern w:val="0"/>
                <w:sz w:val="18"/>
                <w:szCs w:val="18"/>
                <w:u w:val="none"/>
                <w:lang w:val="en-US" w:eastAsia="zh-CN" w:bidi="ar"/>
              </w:rPr>
              <w:t>牵头组织开展好全区五四、一二九庆祝活动，指导好各级团组织开展庆祝活动，进一步推动党史学习教育走深走实，通过表彰优秀团员青年、优秀团组织以及入团仪式等活动，增强青少年荣誉感和仪式感。</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 xml:space="preserve">全面保障全区五四、一二九庆祝活动的正常开展，增强青少年仪式感、荣誉感。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年度绩效指标完成情况</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数量指标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大型庆祝活动或者庆祝大会场次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已完成2场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质量指标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团组织参与率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所有团组织全面参与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时效指标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活动完成时效</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成本指标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会务费用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0.5万元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活动费用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p>
        </w:tc>
        <w:tc>
          <w:tcPr>
            <w:tcW w:w="166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生活补助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0.5万元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社会效益指标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增强青少年荣誉感和仪式感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显著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可持续影响指标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激励青少年全面成长</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长效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54"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度指标</w:t>
            </w: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满意度指标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参加活动人员满意度</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≥90%</w:t>
            </w:r>
          </w:p>
        </w:tc>
      </w:tr>
    </w:tbl>
    <w:p>
      <w:pPr>
        <w:rPr>
          <w:rFonts w:hint="eastAsia" w:ascii="仿宋_GB2312" w:hAnsi="仿宋_GB2312" w:eastAsia="仿宋_GB2312" w:cs="仿宋_GB2312"/>
          <w:b w:val="0"/>
          <w:bCs w:val="0"/>
          <w:color w:val="auto"/>
          <w:kern w:val="0"/>
          <w:sz w:val="32"/>
          <w:szCs w:val="32"/>
          <w:lang w:val="en-US" w:eastAsia="zh-CN" w:bidi="ar-SA"/>
        </w:rPr>
      </w:pPr>
    </w:p>
    <w:p>
      <w:pPr>
        <w:rPr>
          <w:rFonts w:hint="eastAsia" w:ascii="仿宋_GB2312" w:hAnsi="仿宋_GB2312" w:eastAsia="仿宋_GB2312" w:cs="仿宋_GB2312"/>
          <w:b w:val="0"/>
          <w:bCs w:val="0"/>
          <w:color w:val="auto"/>
          <w:spacing w:val="-6"/>
          <w:kern w:val="0"/>
          <w:sz w:val="32"/>
          <w:szCs w:val="32"/>
          <w:lang w:eastAsia="zh-CN"/>
        </w:rPr>
      </w:pPr>
      <w:r>
        <w:rPr>
          <w:rFonts w:hint="eastAsia" w:ascii="仿宋_GB2312" w:hAnsi="仿宋_GB2312" w:eastAsia="仿宋_GB2312" w:cs="仿宋_GB2312"/>
          <w:b w:val="0"/>
          <w:bCs w:val="0"/>
          <w:color w:val="auto"/>
          <w:spacing w:val="-6"/>
          <w:kern w:val="0"/>
          <w:sz w:val="32"/>
          <w:szCs w:val="32"/>
          <w:lang w:eastAsia="zh-CN"/>
        </w:rPr>
        <w:br w:type="page"/>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b w:val="0"/>
          <w:bCs w:val="0"/>
          <w:color w:val="auto"/>
          <w:sz w:val="44"/>
          <w:szCs w:val="44"/>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4</w:t>
      </w:r>
    </w:p>
    <w:p>
      <w:pPr>
        <w:autoSpaceDE w:val="0"/>
        <w:spacing w:line="540" w:lineRule="exact"/>
        <w:jc w:val="center"/>
        <w:rPr>
          <w:rFonts w:hint="eastAsia" w:ascii="方正小标宋简体" w:hAnsi="方正小标宋简体" w:eastAsia="方正小标宋简体" w:cs="方正小标宋简体"/>
          <w:b w:val="0"/>
          <w:bCs w:val="0"/>
          <w:color w:val="auto"/>
          <w:spacing w:val="-6"/>
          <w:kern w:val="0"/>
          <w:sz w:val="44"/>
          <w:szCs w:val="44"/>
        </w:rPr>
      </w:pPr>
      <w:r>
        <w:rPr>
          <w:rFonts w:hint="default" w:ascii="方正小标宋简体" w:hAnsi="方正小标宋简体" w:eastAsia="方正小标宋简体" w:cs="方正小标宋简体"/>
          <w:b w:val="0"/>
          <w:bCs w:val="0"/>
          <w:color w:val="auto"/>
          <w:spacing w:val="-6"/>
          <w:kern w:val="0"/>
          <w:sz w:val="44"/>
          <w:szCs w:val="44"/>
          <w:lang w:val="en"/>
        </w:rPr>
        <w:t>2</w:t>
      </w:r>
      <w:r>
        <w:rPr>
          <w:rFonts w:hint="eastAsia" w:ascii="方正小标宋简体" w:hAnsi="方正小标宋简体" w:eastAsia="方正小标宋简体" w:cs="方正小标宋简体"/>
          <w:b w:val="0"/>
          <w:bCs w:val="0"/>
          <w:color w:val="auto"/>
          <w:spacing w:val="-6"/>
          <w:kern w:val="0"/>
          <w:sz w:val="44"/>
          <w:szCs w:val="44"/>
        </w:rPr>
        <w:t>021年度关工委工作经费项目支出绩效</w:t>
      </w:r>
    </w:p>
    <w:p>
      <w:pPr>
        <w:autoSpaceDE w:val="0"/>
        <w:spacing w:line="540" w:lineRule="exact"/>
        <w:jc w:val="center"/>
        <w:rPr>
          <w:rFonts w:hint="eastAsia" w:ascii="方正小标宋简体" w:hAnsi="方正小标宋简体" w:eastAsia="方正小标宋简体" w:cs="方正小标宋简体"/>
          <w:b w:val="0"/>
          <w:bCs w:val="0"/>
          <w:color w:val="auto"/>
          <w:spacing w:val="-6"/>
          <w:kern w:val="0"/>
          <w:sz w:val="44"/>
          <w:szCs w:val="44"/>
        </w:rPr>
      </w:pPr>
      <w:r>
        <w:rPr>
          <w:rFonts w:hint="eastAsia" w:ascii="方正小标宋简体" w:hAnsi="方正小标宋简体" w:eastAsia="方正小标宋简体" w:cs="方正小标宋简体"/>
          <w:b w:val="0"/>
          <w:bCs w:val="0"/>
          <w:color w:val="auto"/>
          <w:spacing w:val="-6"/>
          <w:kern w:val="0"/>
          <w:sz w:val="44"/>
          <w:szCs w:val="44"/>
        </w:rPr>
        <w:t>自评报告</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一、项目概况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（一）项目基本情况。</w:t>
      </w:r>
    </w:p>
    <w:p>
      <w:pPr>
        <w:autoSpaceDE w:val="0"/>
        <w:spacing w:line="540" w:lineRule="exact"/>
        <w:ind w:firstLine="572" w:firstLineChars="200"/>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Times New Roman" w:eastAsia="仿宋_GB2312" w:cs="Times New Roman"/>
          <w:b w:val="0"/>
          <w:bCs w:val="0"/>
          <w:color w:val="auto"/>
          <w:spacing w:val="-6"/>
          <w:sz w:val="32"/>
          <w:szCs w:val="32"/>
          <w:lang w:val="en-US" w:eastAsia="zh-CN"/>
        </w:rPr>
        <w:t>是用于保障关工委正常运行和关心下一代工作正常开展，发挥老同志余热，落实好区委政府关于关心下一代工作各项安排部署，加强青少年思想道德建设，引导青少年树立和践行社会主义核心价值观，支持和帮助青少年成长成才，团结教育广大青少年听党话、跟党走，同时带动全社会力量参与到关心下一代工作。</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（二）项目绩效目标。</w:t>
      </w:r>
    </w:p>
    <w:p>
      <w:pPr>
        <w:autoSpaceDE w:val="0"/>
        <w:spacing w:line="540" w:lineRule="exact"/>
        <w:ind w:firstLine="572" w:firstLineChars="200"/>
        <w:rPr>
          <w:rFonts w:hint="eastAsia" w:ascii="仿宋_GB2312" w:hAnsi="Times New Roman" w:eastAsia="仿宋_GB2312" w:cs="Times New Roman"/>
          <w:b w:val="0"/>
          <w:bCs w:val="0"/>
          <w:color w:val="auto"/>
          <w:spacing w:val="-6"/>
          <w:sz w:val="32"/>
          <w:szCs w:val="32"/>
          <w:lang w:eastAsia="zh-CN"/>
        </w:rPr>
      </w:pP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Times New Roman" w:eastAsia="仿宋_GB2312" w:cs="Times New Roman"/>
          <w:b w:val="0"/>
          <w:bCs w:val="0"/>
          <w:color w:val="auto"/>
          <w:spacing w:val="-6"/>
          <w:sz w:val="32"/>
          <w:szCs w:val="32"/>
          <w:lang w:val="en-US" w:eastAsia="zh-CN"/>
        </w:rPr>
        <w:t>是用于保障关工委正常运行和关心下一代工作正常开展，发挥老同志余热，落实好区委政府关于关心下一代工作各项安排部署。</w:t>
      </w:r>
      <w:r>
        <w:rPr>
          <w:rFonts w:hint="eastAsia" w:ascii="仿宋_GB2312" w:hAnsi="Times New Roman" w:eastAsia="仿宋_GB2312" w:cs="Times New Roman"/>
          <w:b w:val="0"/>
          <w:bCs w:val="0"/>
          <w:color w:val="auto"/>
          <w:spacing w:val="-6"/>
          <w:sz w:val="32"/>
          <w:szCs w:val="32"/>
          <w:lang w:eastAsia="zh-CN"/>
        </w:rPr>
        <w:t>项目用于保障</w:t>
      </w:r>
      <w:r>
        <w:rPr>
          <w:rFonts w:hint="eastAsia" w:ascii="仿宋_GB2312" w:hAnsi="Times New Roman" w:eastAsia="仿宋_GB2312" w:cs="Times New Roman"/>
          <w:b w:val="0"/>
          <w:bCs w:val="0"/>
          <w:color w:val="auto"/>
          <w:spacing w:val="-6"/>
          <w:sz w:val="32"/>
          <w:szCs w:val="32"/>
          <w:lang w:val="en-US" w:eastAsia="zh-CN"/>
        </w:rPr>
        <w:t>2021年全年</w:t>
      </w:r>
      <w:r>
        <w:rPr>
          <w:rFonts w:hint="eastAsia" w:ascii="仿宋_GB2312" w:hAnsi="Times New Roman" w:eastAsia="仿宋_GB2312" w:cs="Times New Roman"/>
          <w:b w:val="0"/>
          <w:bCs w:val="0"/>
          <w:color w:val="auto"/>
          <w:spacing w:val="-6"/>
          <w:sz w:val="32"/>
          <w:szCs w:val="32"/>
          <w:lang w:eastAsia="zh-CN"/>
        </w:rPr>
        <w:t>关工委日常工作运转，保障两位老同志工作补助以及差旅费、通信费等运行经费</w:t>
      </w:r>
      <w:r>
        <w:rPr>
          <w:rFonts w:hint="eastAsia" w:ascii="仿宋_GB2312" w:hAnsi="Times New Roman" w:eastAsia="仿宋_GB2312" w:cs="Times New Roman"/>
          <w:b w:val="0"/>
          <w:bCs w:val="0"/>
          <w:color w:val="auto"/>
          <w:spacing w:val="-6"/>
          <w:sz w:val="32"/>
          <w:szCs w:val="32"/>
        </w:rPr>
        <w:t>。</w:t>
      </w: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Times New Roman" w:eastAsia="仿宋_GB2312" w:cs="Times New Roman"/>
          <w:b w:val="0"/>
          <w:bCs w:val="0"/>
          <w:color w:val="auto"/>
          <w:spacing w:val="-6"/>
          <w:sz w:val="32"/>
          <w:szCs w:val="32"/>
          <w:lang w:eastAsia="zh-CN"/>
        </w:rPr>
        <w:t>按照财务管理规定及时划拨到位，完成率达</w:t>
      </w:r>
      <w:r>
        <w:rPr>
          <w:rFonts w:hint="eastAsia" w:ascii="仿宋_GB2312" w:hAnsi="Times New Roman" w:eastAsia="仿宋_GB2312" w:cs="Times New Roman"/>
          <w:b w:val="0"/>
          <w:bCs w:val="0"/>
          <w:color w:val="auto"/>
          <w:spacing w:val="-6"/>
          <w:sz w:val="32"/>
          <w:szCs w:val="32"/>
          <w:lang w:val="en-US" w:eastAsia="zh-CN"/>
        </w:rPr>
        <w:t>100%</w:t>
      </w:r>
      <w:r>
        <w:rPr>
          <w:rFonts w:hint="eastAsia" w:ascii="仿宋_GB2312" w:hAnsi="Times New Roman" w:eastAsia="仿宋_GB2312" w:cs="Times New Roman"/>
          <w:b w:val="0"/>
          <w:bCs w:val="0"/>
          <w:color w:val="auto"/>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（三）项目自评步骤及方法。</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u w:val="single"/>
        </w:rPr>
      </w:pPr>
      <w:r>
        <w:rPr>
          <w:rFonts w:hint="eastAsia" w:ascii="仿宋_GB2312" w:hAnsi="宋体" w:eastAsia="仿宋_GB2312" w:cs="Times New Roman"/>
          <w:b w:val="0"/>
          <w:bCs w:val="0"/>
          <w:color w:val="auto"/>
          <w:sz w:val="32"/>
          <w:szCs w:val="32"/>
          <w:highlight w:val="none"/>
          <w:lang w:val="zh-CN"/>
        </w:rPr>
        <w:t>本项目采取自评与他评相结合方式,结合评价内容,做到有计划,有安排,扎实开展本次自评工作。按照上级下达的项目支出绩效评价指标体系,针对申报内容、实施情况、资金兑现、财务管理、社会效益等做好自评工作。</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color w:val="auto"/>
          <w:spacing w:val="-6"/>
          <w:sz w:val="32"/>
          <w:szCs w:val="32"/>
          <w:lang w:val="en-US" w:eastAsia="zh-CN"/>
        </w:rPr>
        <w:t>2021年度该项目预算资金为5万元，项目执行预算为5万元。项目测算在区委区政府的决策部署下，由我委根据前期工作情况测算项目标准。2021年度，我委该项目年初预算为5万元，年终无追加，项目执行预算为5万元。</w:t>
      </w:r>
      <w:r>
        <w:rPr>
          <w:rFonts w:hint="eastAsia" w:ascii="仿宋_GB2312" w:hAnsi="宋体" w:eastAsia="仿宋_GB2312" w:cs="Times New Roman"/>
          <w:b w:val="0"/>
          <w:bCs w:val="0"/>
          <w:color w:val="auto"/>
          <w:sz w:val="32"/>
          <w:szCs w:val="32"/>
          <w:highlight w:val="none"/>
          <w:lang w:val="en-US" w:eastAsia="zh-CN"/>
        </w:rPr>
        <w:t>资金及时批复到位，符合资金管理办法等相关规定。</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）资金计划、到位及使用情况</w:t>
      </w:r>
    </w:p>
    <w:p>
      <w:pPr>
        <w:keepNext w:val="0"/>
        <w:keepLines w:val="0"/>
        <w:pageBreakBefore w:val="0"/>
        <w:widowControl/>
        <w:kinsoku/>
        <w:wordWrap/>
        <w:overflowPunct/>
        <w:topLinePunct w:val="0"/>
        <w:autoSpaceDE/>
        <w:autoSpaceDN/>
        <w:bidi w:val="0"/>
        <w:adjustRightInd/>
        <w:snapToGrid/>
        <w:spacing w:line="578" w:lineRule="exact"/>
        <w:ind w:firstLine="616" w:firstLineChars="200"/>
        <w:jc w:val="left"/>
        <w:textAlignment w:val="auto"/>
        <w:rPr>
          <w:rFonts w:hint="eastAsia" w:ascii="仿宋_GB2312" w:hAnsi="Times New Roman" w:eastAsia="仿宋_GB2312" w:cs="Times New Roman"/>
          <w:b w:val="0"/>
          <w:bCs w:val="0"/>
          <w:color w:val="auto"/>
          <w:spacing w:val="-6"/>
          <w:sz w:val="32"/>
          <w:szCs w:val="32"/>
        </w:rPr>
      </w:pPr>
      <w:r>
        <w:rPr>
          <w:rFonts w:hint="eastAsia" w:ascii="仿宋_GB2312" w:hAnsi="Times New Roman" w:eastAsia="仿宋_GB2312" w:cs="Times New Roman"/>
          <w:b w:val="0"/>
          <w:bCs w:val="0"/>
          <w:color w:val="auto"/>
          <w:spacing w:val="-6"/>
          <w:sz w:val="32"/>
          <w:szCs w:val="32"/>
        </w:rPr>
        <w:t>1.资金计划。</w:t>
      </w: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仿宋_GB2312" w:eastAsia="仿宋_GB2312" w:cs="仿宋_GB2312"/>
          <w:b w:val="0"/>
          <w:bCs w:val="0"/>
          <w:color w:val="auto"/>
          <w:sz w:val="32"/>
          <w:szCs w:val="32"/>
          <w:lang w:eastAsia="zh-CN"/>
        </w:rPr>
        <w:t>于年初随同部门预算一同下达到单位，我委根据年度工作任务及项目实施情况，及时申请项目资金使用计划，在财政资金计划审核批复后，单位及时按预算下达</w:t>
      </w:r>
    </w:p>
    <w:p>
      <w:pPr>
        <w:spacing w:line="580" w:lineRule="exact"/>
        <w:ind w:firstLine="640"/>
        <w:rPr>
          <w:rFonts w:hint="eastAsia" w:ascii="仿宋_GB2312" w:hAnsi="Times New Roman" w:eastAsia="仿宋_GB2312" w:cs="Times New Roman"/>
          <w:b w:val="0"/>
          <w:bCs w:val="0"/>
          <w:color w:val="auto"/>
          <w:spacing w:val="-6"/>
          <w:sz w:val="32"/>
          <w:szCs w:val="32"/>
          <w:lang w:val="en-US" w:eastAsia="zh-CN"/>
        </w:rPr>
      </w:pPr>
      <w:r>
        <w:rPr>
          <w:rFonts w:hint="eastAsia" w:ascii="仿宋_GB2312" w:eastAsia="仿宋_GB2312" w:cs="Times New Roman"/>
          <w:b w:val="0"/>
          <w:bCs w:val="0"/>
          <w:color w:val="auto"/>
          <w:spacing w:val="-6"/>
          <w:sz w:val="32"/>
          <w:szCs w:val="32"/>
          <w:lang w:val="en-US" w:eastAsia="zh-CN"/>
        </w:rPr>
        <w:t>2.资金</w:t>
      </w:r>
      <w:r>
        <w:rPr>
          <w:rFonts w:hint="eastAsia" w:ascii="仿宋_GB2312" w:hAnsi="Times New Roman" w:eastAsia="仿宋_GB2312" w:cs="Times New Roman"/>
          <w:b w:val="0"/>
          <w:bCs w:val="0"/>
          <w:color w:val="auto"/>
          <w:spacing w:val="-6"/>
          <w:sz w:val="32"/>
          <w:szCs w:val="32"/>
        </w:rPr>
        <w:t>到位</w:t>
      </w:r>
      <w:r>
        <w:rPr>
          <w:rFonts w:hint="eastAsia" w:ascii="仿宋_GB2312" w:eastAsia="仿宋_GB2312" w:cs="Times New Roman"/>
          <w:b w:val="0"/>
          <w:bCs w:val="0"/>
          <w:color w:val="auto"/>
          <w:spacing w:val="-6"/>
          <w:sz w:val="32"/>
          <w:szCs w:val="32"/>
          <w:lang w:eastAsia="zh-CN"/>
        </w:rPr>
        <w:t>。</w:t>
      </w:r>
      <w:r>
        <w:rPr>
          <w:rFonts w:hint="eastAsia" w:ascii="仿宋_GB2312" w:hAnsi="仿宋_GB2312" w:eastAsia="仿宋_GB2312" w:cs="仿宋_GB2312"/>
          <w:b w:val="0"/>
          <w:bCs w:val="0"/>
          <w:color w:val="auto"/>
          <w:sz w:val="32"/>
          <w:szCs w:val="32"/>
          <w:lang w:eastAsia="zh-CN"/>
        </w:rPr>
        <w:t>截止</w:t>
      </w:r>
      <w:r>
        <w:rPr>
          <w:rFonts w:hint="eastAsia" w:ascii="仿宋_GB2312" w:hAnsi="仿宋_GB2312" w:eastAsia="仿宋_GB2312" w:cs="仿宋_GB2312"/>
          <w:b w:val="0"/>
          <w:bCs w:val="0"/>
          <w:color w:val="auto"/>
          <w:sz w:val="32"/>
          <w:szCs w:val="32"/>
          <w:lang w:val="en-US" w:eastAsia="zh-CN"/>
        </w:rPr>
        <w:t>2021年12月，</w:t>
      </w: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仿宋_GB2312" w:eastAsia="仿宋_GB2312" w:cs="仿宋_GB2312"/>
          <w:b w:val="0"/>
          <w:bCs w:val="0"/>
          <w:color w:val="auto"/>
          <w:sz w:val="32"/>
          <w:szCs w:val="32"/>
          <w:lang w:val="en-US" w:eastAsia="zh-CN"/>
        </w:rPr>
        <w:t>全部拨付到位，</w:t>
      </w:r>
      <w:r>
        <w:rPr>
          <w:rFonts w:hint="eastAsia" w:ascii="仿宋_GB2312" w:hAnsi="仿宋_GB2312" w:eastAsia="仿宋_GB2312" w:cs="仿宋_GB2312"/>
          <w:b w:val="0"/>
          <w:bCs w:val="0"/>
          <w:color w:val="auto"/>
          <w:sz w:val="32"/>
          <w:szCs w:val="32"/>
        </w:rPr>
        <w:t>资金到位率100%。</w:t>
      </w:r>
    </w:p>
    <w:p>
      <w:pPr>
        <w:spacing w:line="580" w:lineRule="exact"/>
        <w:ind w:firstLine="640"/>
        <w:rPr>
          <w:rFonts w:hint="default" w:eastAsia="仿宋_GB2312"/>
          <w:b w:val="0"/>
          <w:bCs w:val="0"/>
          <w:color w:val="auto"/>
          <w:lang w:val="en-US" w:eastAsia="zh-CN"/>
        </w:rPr>
      </w:pPr>
      <w:r>
        <w:rPr>
          <w:rFonts w:hint="eastAsia" w:ascii="仿宋_GB2312" w:eastAsia="仿宋_GB2312" w:cs="Times New Roman"/>
          <w:b w:val="0"/>
          <w:bCs w:val="0"/>
          <w:color w:val="auto"/>
          <w:spacing w:val="-6"/>
          <w:sz w:val="32"/>
          <w:szCs w:val="32"/>
          <w:lang w:val="en-US" w:eastAsia="zh-CN"/>
        </w:rPr>
        <w:t>3</w:t>
      </w:r>
      <w:r>
        <w:rPr>
          <w:rFonts w:hint="eastAsia" w:ascii="仿宋_GB2312" w:hAnsi="Times New Roman" w:eastAsia="仿宋_GB2312" w:cs="Times New Roman"/>
          <w:b w:val="0"/>
          <w:bCs w:val="0"/>
          <w:color w:val="auto"/>
          <w:spacing w:val="-6"/>
          <w:sz w:val="32"/>
          <w:szCs w:val="32"/>
        </w:rPr>
        <w:t>.资金使用。</w:t>
      </w:r>
      <w:r>
        <w:rPr>
          <w:rFonts w:hint="eastAsia" w:ascii="仿宋_GB2312" w:hAnsi="仿宋_GB2312" w:eastAsia="仿宋_GB2312" w:cs="仿宋_GB2312"/>
          <w:b w:val="0"/>
          <w:bCs w:val="0"/>
          <w:color w:val="auto"/>
          <w:sz w:val="32"/>
          <w:szCs w:val="32"/>
        </w:rPr>
        <w:t>财政局</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color w:val="auto"/>
          <w:sz w:val="32"/>
          <w:szCs w:val="32"/>
        </w:rPr>
        <w:t>年初预算</w:t>
      </w:r>
      <w:r>
        <w:rPr>
          <w:rFonts w:hint="eastAsia" w:ascii="仿宋_GB2312" w:hAnsi="仿宋_GB2312" w:eastAsia="仿宋_GB2312" w:cs="仿宋_GB2312"/>
          <w:b w:val="0"/>
          <w:bCs w:val="0"/>
          <w:color w:val="auto"/>
          <w:sz w:val="32"/>
          <w:szCs w:val="32"/>
          <w:lang w:eastAsia="zh-CN"/>
        </w:rPr>
        <w:t>下达</w:t>
      </w: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到单位</w:t>
      </w:r>
      <w:r>
        <w:rPr>
          <w:rFonts w:hint="eastAsia" w:ascii="仿宋_GB2312" w:hAnsi="仿宋_GB2312" w:eastAsia="仿宋_GB2312" w:cs="仿宋_GB2312"/>
          <w:b w:val="0"/>
          <w:bCs w:val="0"/>
          <w:color w:val="auto"/>
          <w:sz w:val="32"/>
          <w:szCs w:val="32"/>
        </w:rPr>
        <w:t>，用于</w:t>
      </w:r>
      <w:r>
        <w:rPr>
          <w:rFonts w:hint="eastAsia" w:ascii="仿宋_GB2312" w:hAnsi="仿宋_GB2312" w:eastAsia="仿宋_GB2312" w:cs="仿宋_GB2312"/>
          <w:b w:val="0"/>
          <w:bCs w:val="0"/>
          <w:color w:val="auto"/>
          <w:sz w:val="32"/>
          <w:szCs w:val="32"/>
          <w:lang w:eastAsia="zh-CN"/>
        </w:rPr>
        <w:t>保障</w:t>
      </w:r>
      <w:r>
        <w:rPr>
          <w:rFonts w:hint="eastAsia" w:ascii="仿宋_GB2312" w:hAnsi="仿宋_GB2312" w:eastAsia="仿宋_GB2312" w:cs="仿宋_GB2312"/>
          <w:b w:val="0"/>
          <w:bCs w:val="0"/>
          <w:color w:val="auto"/>
          <w:spacing w:val="-17"/>
          <w:kern w:val="0"/>
          <w:sz w:val="32"/>
          <w:szCs w:val="32"/>
          <w:lang w:val="en-US" w:eastAsia="zh-CN" w:bidi="ar-SA"/>
        </w:rPr>
        <w:t>关工委工作开展</w:t>
      </w:r>
      <w:r>
        <w:rPr>
          <w:rFonts w:hint="eastAsia" w:ascii="仿宋_GB2312" w:hAnsi="仿宋_GB2312" w:eastAsia="仿宋_GB2312" w:cs="仿宋_GB2312"/>
          <w:b w:val="0"/>
          <w:bCs w:val="0"/>
          <w:color w:val="auto"/>
          <w:sz w:val="32"/>
          <w:szCs w:val="32"/>
          <w:lang w:val="en-US" w:eastAsia="zh-CN"/>
        </w:rPr>
        <w:t>,我委按照项目执行情况及时划拨资金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2021年，保障关工委两名老同志工作补助2.88万元，通讯、差旅费等办公运行经费2.12。</w:t>
      </w:r>
      <w:r>
        <w:rPr>
          <w:rFonts w:hint="eastAsia" w:ascii="仿宋_GB2312" w:hAnsi="仿宋_GB2312" w:eastAsia="仿宋_GB2312" w:cs="仿宋_GB2312"/>
          <w:b w:val="0"/>
          <w:bCs w:val="0"/>
          <w:color w:val="auto"/>
          <w:sz w:val="32"/>
          <w:szCs w:val="32"/>
        </w:rPr>
        <w:t>项目资金无调整</w:t>
      </w:r>
      <w:r>
        <w:rPr>
          <w:rFonts w:hint="eastAsia" w:ascii="仿宋_GB2312" w:hAnsi="仿宋_GB2312" w:eastAsia="仿宋_GB2312" w:cs="仿宋_GB2312"/>
          <w:b w:val="0"/>
          <w:bCs w:val="0"/>
          <w:color w:val="auto"/>
          <w:sz w:val="32"/>
          <w:szCs w:val="32"/>
          <w:lang w:eastAsia="zh-CN"/>
        </w:rPr>
        <w:t>，资金支付依据合规合法与预算相符</w:t>
      </w:r>
      <w:r>
        <w:rPr>
          <w:rFonts w:hint="eastAsia" w:ascii="仿宋_GB2312" w:hAnsi="仿宋_GB2312" w:eastAsia="仿宋_GB2312" w:cs="仿宋_GB2312"/>
          <w:b w:val="0"/>
          <w:bCs w:val="0"/>
          <w:color w:val="auto"/>
          <w:sz w:val="32"/>
          <w:szCs w:val="32"/>
        </w:rPr>
        <w:t>。</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）项目财务管理情况</w:t>
      </w:r>
    </w:p>
    <w:p>
      <w:pPr>
        <w:autoSpaceDE w:val="0"/>
        <w:spacing w:line="540" w:lineRule="exact"/>
        <w:ind w:firstLine="572"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仿宋_GB2312" w:eastAsia="仿宋_GB2312" w:cs="仿宋_GB2312"/>
          <w:b w:val="0"/>
          <w:bCs w:val="0"/>
          <w:color w:val="auto"/>
          <w:sz w:val="32"/>
          <w:szCs w:val="32"/>
          <w:lang w:val="zh-CN" w:eastAsia="zh-CN"/>
        </w:rPr>
        <w:t>作为保障关工委正常运行、和</w:t>
      </w:r>
      <w:r>
        <w:rPr>
          <w:rFonts w:hint="eastAsia" w:ascii="仿宋_GB2312" w:hAnsi="Times New Roman" w:eastAsia="仿宋_GB2312" w:cs="Times New Roman"/>
          <w:b w:val="0"/>
          <w:bCs w:val="0"/>
          <w:color w:val="auto"/>
          <w:spacing w:val="-6"/>
          <w:sz w:val="32"/>
          <w:szCs w:val="32"/>
          <w:lang w:val="en-US" w:eastAsia="zh-CN"/>
        </w:rPr>
        <w:t>关心下一代工作正常开展</w:t>
      </w:r>
      <w:r>
        <w:rPr>
          <w:rFonts w:hint="eastAsia" w:ascii="仿宋_GB2312" w:hAnsi="仿宋_GB2312" w:eastAsia="仿宋_GB2312" w:cs="仿宋_GB2312"/>
          <w:b w:val="0"/>
          <w:bCs w:val="0"/>
          <w:color w:val="auto"/>
          <w:sz w:val="32"/>
          <w:szCs w:val="32"/>
          <w:lang w:val="zh-CN" w:eastAsia="zh-CN"/>
        </w:rPr>
        <w:t>的唯一经费，为</w:t>
      </w:r>
      <w:r>
        <w:rPr>
          <w:rFonts w:hint="eastAsia" w:ascii="仿宋_GB2312" w:hAnsi="Times New Roman" w:eastAsia="仿宋_GB2312" w:cs="Times New Roman"/>
          <w:b w:val="0"/>
          <w:bCs w:val="0"/>
          <w:color w:val="auto"/>
          <w:spacing w:val="-6"/>
          <w:sz w:val="32"/>
          <w:szCs w:val="32"/>
          <w:lang w:val="en-US" w:eastAsia="zh-CN"/>
        </w:rPr>
        <w:t>加强青少年思想道德建设，支持和帮助青少年成长成才，带动全社会力量参与到关心下一代工作</w:t>
      </w:r>
      <w:r>
        <w:rPr>
          <w:rFonts w:hint="eastAsia" w:ascii="仿宋_GB2312" w:hAnsi="仿宋_GB2312" w:eastAsia="仿宋_GB2312" w:cs="仿宋_GB2312"/>
          <w:b w:val="0"/>
          <w:bCs w:val="0"/>
          <w:color w:val="auto"/>
          <w:sz w:val="32"/>
          <w:szCs w:val="32"/>
          <w:lang w:val="zh-CN" w:eastAsia="zh-CN"/>
        </w:rPr>
        <w:t>，提供有力的资金保障，就必须科学规范的管理好、使用好项目资金。我委将</w:t>
      </w: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仿宋_GB2312" w:eastAsia="仿宋_GB2312" w:cs="仿宋_GB2312"/>
          <w:b w:val="0"/>
          <w:bCs w:val="0"/>
          <w:color w:val="auto"/>
          <w:sz w:val="32"/>
          <w:szCs w:val="32"/>
          <w:lang w:val="zh-CN" w:eastAsia="zh-CN"/>
        </w:rPr>
        <w:t>纳入单位财政集中统一管理，严格按照单位财务管理制度执行，做到先有预算后有支出，制度化、规范化、程序化使用资金，加强对资金使用过程监督管理，做到手续完备、数字准确、帐目清楚，</w:t>
      </w:r>
      <w:r>
        <w:rPr>
          <w:rFonts w:hint="eastAsia" w:ascii="仿宋_GB2312" w:hAnsi="Times New Roman" w:eastAsia="仿宋_GB2312" w:cs="Times New Roman"/>
          <w:b w:val="0"/>
          <w:bCs w:val="0"/>
          <w:color w:val="auto"/>
          <w:spacing w:val="-6"/>
          <w:sz w:val="32"/>
          <w:szCs w:val="32"/>
          <w:lang w:val="zh-CN" w:eastAsia="zh-CN"/>
        </w:rPr>
        <w:t>财务处理及时规范，会计核算准确无误</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三、项目实施及管理情况</w:t>
      </w:r>
    </w:p>
    <w:p>
      <w:pPr>
        <w:autoSpaceDE w:val="0"/>
        <w:spacing w:line="540" w:lineRule="exact"/>
        <w:ind w:firstLine="640" w:firstLineChars="200"/>
        <w:rPr>
          <w:rFonts w:hint="eastAsia" w:ascii="楷体_GB2312" w:hAnsi="Times New Roman" w:eastAsia="楷体_GB2312" w:cs="Times New Roman"/>
          <w:b w:val="0"/>
          <w:bCs w:val="0"/>
          <w:color w:val="auto"/>
          <w:spacing w:val="-6"/>
          <w:sz w:val="32"/>
          <w:szCs w:val="32"/>
        </w:rPr>
      </w:pPr>
      <w:r>
        <w:rPr>
          <w:rFonts w:hint="eastAsia" w:ascii="楷体_GB2312" w:hAnsi="宋体" w:eastAsia="楷体_GB2312" w:cs="Times New Roman"/>
          <w:b w:val="0"/>
          <w:bCs w:val="0"/>
          <w:color w:val="auto"/>
          <w:sz w:val="32"/>
          <w:szCs w:val="32"/>
          <w:highlight w:val="none"/>
          <w:lang w:val="zh-CN"/>
        </w:rPr>
        <w:t>（一）项目组织架构及实施流程。</w:t>
      </w:r>
    </w:p>
    <w:p>
      <w:pPr>
        <w:autoSpaceDE w:val="0"/>
        <w:spacing w:line="540" w:lineRule="exact"/>
        <w:ind w:firstLine="640"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我委主动加强区</w:t>
      </w:r>
      <w:r>
        <w:rPr>
          <w:rFonts w:hint="eastAsia" w:ascii="仿宋_GB2312" w:hAnsi="仿宋_GB2312" w:eastAsia="仿宋_GB2312" w:cs="仿宋_GB2312"/>
          <w:b w:val="0"/>
          <w:bCs w:val="0"/>
          <w:color w:val="auto"/>
          <w:spacing w:val="-17"/>
          <w:kern w:val="0"/>
          <w:sz w:val="32"/>
          <w:szCs w:val="32"/>
          <w:lang w:val="en-US" w:eastAsia="zh-CN" w:bidi="ar-SA"/>
        </w:rPr>
        <w:t>关工委对接联络，根据工作实际，合理预算工作经费</w:t>
      </w:r>
      <w:r>
        <w:rPr>
          <w:rFonts w:hint="eastAsia" w:ascii="仿宋_GB2312" w:hAnsi="仿宋_GB2312" w:eastAsia="仿宋_GB2312" w:cs="仿宋_GB2312"/>
          <w:b w:val="0"/>
          <w:bCs w:val="0"/>
          <w:color w:val="auto"/>
          <w:sz w:val="32"/>
          <w:szCs w:val="32"/>
          <w:lang w:val="zh-CN" w:eastAsia="zh-CN"/>
        </w:rPr>
        <w:t>，落实关工委办公设施、场地管理，维护机关日常运转，落实驻会老同志工作补助等，促进关心下一代工作的顺利开展。同时加强对项目实施的全过程监督、管理，严格资金拨付，对关工委签字审批流程多方位监督，确保项目资金及时拨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楷体_GB2312" w:hAnsi="宋体" w:eastAsia="楷体_GB2312" w:cs="Times New Roman"/>
          <w:b w:val="0"/>
          <w:bCs w:val="0"/>
          <w:color w:val="auto"/>
          <w:sz w:val="32"/>
          <w:szCs w:val="32"/>
          <w:highlight w:val="none"/>
          <w:lang w:val="zh-CN"/>
        </w:rPr>
        <w:t>（二）项目管理情况。</w:t>
      </w:r>
      <w:r>
        <w:rPr>
          <w:rFonts w:hint="eastAsia" w:ascii="仿宋_GB2312" w:hAnsi="Times New Roman" w:eastAsia="仿宋_GB2312" w:cs="Times New Roman"/>
          <w:b w:val="0"/>
          <w:bCs w:val="0"/>
          <w:color w:val="auto"/>
          <w:spacing w:val="-6"/>
          <w:sz w:val="32"/>
          <w:szCs w:val="32"/>
          <w:lang w:val="en-US" w:eastAsia="zh-CN"/>
        </w:rPr>
        <w:t>该项目为保障性经费支出项目，无招投标等情况，日常检查监督按专业制度执行。</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hint="eastAsia" w:ascii="黑体" w:hAnsi="黑体" w:eastAsia="黑体" w:cs="Times New Roman"/>
          <w:b w:val="0"/>
          <w:bCs w:val="0"/>
          <w:color w:val="auto"/>
          <w:spacing w:val="-6"/>
          <w:sz w:val="32"/>
          <w:szCs w:val="32"/>
          <w:lang w:val="en-US" w:eastAsia="zh-CN"/>
        </w:rPr>
      </w:pPr>
      <w:r>
        <w:rPr>
          <w:rFonts w:hint="eastAsia" w:ascii="楷体_GB2312" w:hAnsi="宋体" w:eastAsia="楷体_GB2312" w:cs="Times New Roman"/>
          <w:b w:val="0"/>
          <w:bCs w:val="0"/>
          <w:color w:val="auto"/>
          <w:sz w:val="32"/>
          <w:szCs w:val="32"/>
          <w:highlight w:val="none"/>
          <w:lang w:val="zh-CN"/>
        </w:rPr>
        <w:t>（三）项目监管情况。</w:t>
      </w:r>
      <w:r>
        <w:rPr>
          <w:rFonts w:hint="eastAsia" w:ascii="仿宋_GB2312" w:hAnsi="Times New Roman" w:eastAsia="仿宋_GB2312" w:cs="Times New Roman"/>
          <w:b w:val="0"/>
          <w:bCs w:val="0"/>
          <w:color w:val="auto"/>
          <w:spacing w:val="-6"/>
          <w:sz w:val="32"/>
          <w:szCs w:val="32"/>
          <w:lang w:val="en-US" w:eastAsia="zh-CN"/>
        </w:rPr>
        <w:t>该项目管理制度合并在我委财务管理制度、内控管理制度等规范性财务制度之下，未单独建立项目管理制度，由办公室开展日常性监管。</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lang w:val="en-US" w:eastAsia="zh-CN"/>
        </w:rPr>
        <w:t>四</w:t>
      </w:r>
      <w:r>
        <w:rPr>
          <w:rFonts w:hint="eastAsia" w:ascii="黑体" w:hAnsi="黑体" w:eastAsia="黑体" w:cs="Times New Roman"/>
          <w:b w:val="0"/>
          <w:bCs w:val="0"/>
          <w:color w:val="auto"/>
          <w:spacing w:val="-6"/>
          <w:sz w:val="32"/>
          <w:szCs w:val="32"/>
        </w:rPr>
        <w:t>、项目绩效情况</w:t>
      </w:r>
      <w:r>
        <w:rPr>
          <w:rFonts w:hint="eastAsia" w:ascii="黑体" w:hAnsi="黑体" w:eastAsia="黑体" w:cs="Times New Roman"/>
          <w:b w:val="0"/>
          <w:bCs w:val="0"/>
          <w:color w:val="auto"/>
          <w:spacing w:val="-6"/>
          <w:sz w:val="32"/>
          <w:szCs w:val="32"/>
        </w:rPr>
        <w:tab/>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（一）项目完成情况</w:t>
      </w:r>
    </w:p>
    <w:p>
      <w:pPr>
        <w:autoSpaceDE w:val="0"/>
        <w:spacing w:line="540" w:lineRule="exact"/>
        <w:ind w:firstLine="572"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pacing w:val="-17"/>
          <w:kern w:val="0"/>
          <w:sz w:val="32"/>
          <w:szCs w:val="32"/>
          <w:lang w:val="en-US" w:eastAsia="zh-CN" w:bidi="ar-SA"/>
        </w:rPr>
        <w:t>区财政为保障关工委工作正常运行</w:t>
      </w:r>
      <w:r>
        <w:rPr>
          <w:rFonts w:hint="eastAsia" w:ascii="仿宋_GB2312" w:hAnsi="仿宋_GB2312" w:eastAsia="仿宋_GB2312" w:cs="仿宋_GB2312"/>
          <w:b w:val="0"/>
          <w:bCs w:val="0"/>
          <w:color w:val="auto"/>
          <w:sz w:val="32"/>
          <w:szCs w:val="32"/>
          <w:lang w:val="zh-CN" w:eastAsia="zh-CN"/>
        </w:rPr>
        <w:t>预算工作经费</w:t>
      </w:r>
      <w:r>
        <w:rPr>
          <w:rFonts w:hint="eastAsia" w:ascii="仿宋_GB2312" w:hAnsi="仿宋_GB2312" w:eastAsia="仿宋_GB2312" w:cs="仿宋_GB2312"/>
          <w:b w:val="0"/>
          <w:bCs w:val="0"/>
          <w:color w:val="auto"/>
          <w:sz w:val="32"/>
          <w:szCs w:val="32"/>
          <w:lang w:val="en-US" w:eastAsia="zh-CN"/>
        </w:rPr>
        <w:t>5万元，完成率100%</w:t>
      </w:r>
      <w:r>
        <w:rPr>
          <w:rFonts w:hint="eastAsia" w:ascii="仿宋_GB2312" w:hAnsi="仿宋_GB2312" w:eastAsia="仿宋_GB2312" w:cs="仿宋_GB2312"/>
          <w:b w:val="0"/>
          <w:bCs w:val="0"/>
          <w:color w:val="auto"/>
          <w:sz w:val="32"/>
          <w:szCs w:val="32"/>
          <w:lang w:val="zh-CN" w:eastAsia="zh-CN"/>
        </w:rPr>
        <w:t>。关工委机关顺利运行，老同志工作生活得到保障，同时积极发挥“五老”作用，加强青少年思想道德教育，开展扶弱济困工作，以及强化关工委组织建设</w:t>
      </w:r>
      <w:r>
        <w:rPr>
          <w:rFonts w:hint="eastAsia" w:ascii="仿宋_GB2312" w:hAnsi="仿宋_GB2312" w:eastAsia="仿宋_GB2312" w:cs="仿宋_GB2312"/>
          <w:b w:val="0"/>
          <w:bCs w:val="0"/>
          <w:color w:val="auto"/>
          <w:sz w:val="32"/>
          <w:szCs w:val="32"/>
          <w:lang w:val="en-US" w:eastAsia="zh-CN"/>
        </w:rPr>
        <w:t>。项目资金主要用于机关日常运行、驻会老同志工作补助等费用，共计5万元。我委严格按照项目预算进行实施，完成了年初目标任务，项目实施效果达到预期目标，资金使用安全有效。</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（二）项目效益情况</w:t>
      </w:r>
    </w:p>
    <w:p>
      <w:pPr>
        <w:autoSpaceDE w:val="0"/>
        <w:spacing w:line="540" w:lineRule="exact"/>
        <w:ind w:firstLine="572"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pacing w:val="-17"/>
          <w:kern w:val="0"/>
          <w:sz w:val="32"/>
          <w:szCs w:val="32"/>
          <w:lang w:val="en-US" w:eastAsia="zh-CN" w:bidi="ar-SA"/>
        </w:rPr>
        <w:t>关工委工作经费全面保障关工委机关顺利运行和日常工作的顺利开展</w:t>
      </w:r>
      <w:r>
        <w:rPr>
          <w:rFonts w:hint="eastAsia" w:ascii="仿宋_GB2312" w:hAnsi="仿宋_GB2312" w:eastAsia="仿宋_GB2312" w:cs="仿宋_GB2312"/>
          <w:b w:val="0"/>
          <w:bCs w:val="0"/>
          <w:color w:val="auto"/>
          <w:sz w:val="32"/>
          <w:szCs w:val="32"/>
          <w:lang w:val="en-US" w:eastAsia="zh-CN"/>
        </w:rPr>
        <w:t>，组织带领“五老”围绕中心、服务大局，持续做好服务青少年工作，坚持立德树人、</w:t>
      </w:r>
      <w:r>
        <w:rPr>
          <w:rFonts w:hint="eastAsia" w:ascii="仿宋_GB2312" w:hAnsi="仿宋_GB2312" w:eastAsia="仿宋_GB2312" w:cs="仿宋_GB2312"/>
          <w:b w:val="0"/>
          <w:bCs w:val="0"/>
          <w:color w:val="auto"/>
          <w:sz w:val="32"/>
          <w:szCs w:val="32"/>
          <w:lang w:val="zh-CN" w:eastAsia="zh-CN"/>
        </w:rPr>
        <w:t>扶弱济困、关心关爱</w:t>
      </w:r>
      <w:r>
        <w:rPr>
          <w:rFonts w:hint="eastAsia" w:ascii="仿宋_GB2312" w:hAnsi="仿宋_GB2312" w:eastAsia="仿宋_GB2312" w:cs="仿宋_GB2312"/>
          <w:b w:val="0"/>
          <w:bCs w:val="0"/>
          <w:color w:val="auto"/>
          <w:sz w:val="32"/>
          <w:szCs w:val="32"/>
          <w:lang w:val="en-US" w:eastAsia="zh-CN"/>
        </w:rPr>
        <w:t>，受保障关工委驻会老同志和受到关爱青少年满意度达90%。项目实施科学合理，监管有力到位，责任分工明确，资金拨付及时高效，发挥了项目资金最大利益化，最大效益化</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kern w:val="2"/>
          <w:sz w:val="32"/>
          <w:szCs w:val="32"/>
          <w:lang w:val="zh-CN" w:eastAsia="zh-CN" w:bidi="ar-SA"/>
        </w:rPr>
      </w:pPr>
      <w:r>
        <w:rPr>
          <w:rFonts w:hint="eastAsia" w:ascii="楷体_GB2312" w:hAnsi="宋体" w:eastAsia="楷体_GB2312" w:cs="Times New Roman"/>
          <w:b w:val="0"/>
          <w:bCs w:val="0"/>
          <w:color w:val="auto"/>
          <w:sz w:val="32"/>
          <w:szCs w:val="32"/>
          <w:highlight w:val="none"/>
          <w:lang w:val="zh-CN"/>
        </w:rPr>
        <w:t>（一）评价结论。</w:t>
      </w:r>
      <w:r>
        <w:rPr>
          <w:rFonts w:hint="eastAsia" w:ascii="仿宋_GB2312" w:hAnsi="Times New Roman" w:eastAsia="仿宋_GB2312" w:cs="Times New Roman"/>
          <w:b w:val="0"/>
          <w:bCs w:val="0"/>
          <w:color w:val="auto"/>
          <w:spacing w:val="-6"/>
          <w:kern w:val="2"/>
          <w:sz w:val="32"/>
          <w:szCs w:val="32"/>
          <w:lang w:val="en-US" w:eastAsia="zh-CN" w:bidi="ar-SA"/>
        </w:rPr>
        <w:t>该项目支出自评工作结果较好，质量较高，完整和清晰的反应出我委在2021年度预算项目执行情况、资金使用情况。</w:t>
      </w:r>
    </w:p>
    <w:p>
      <w:pPr>
        <w:adjustRightInd w:val="0"/>
        <w:snapToGrid w:val="0"/>
        <w:spacing w:line="580" w:lineRule="exact"/>
        <w:ind w:firstLine="720"/>
        <w:rPr>
          <w:rFonts w:hint="eastAsia" w:ascii="仿宋_GB2312" w:hAnsi="仿宋_GB2312" w:eastAsia="仿宋_GB2312" w:cs="仿宋_GB2312"/>
          <w:b w:val="0"/>
          <w:bCs w:val="0"/>
          <w:color w:val="auto"/>
          <w:sz w:val="32"/>
          <w:szCs w:val="32"/>
          <w:lang w:val="zh-CN"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）存在的问题</w:t>
      </w:r>
      <w:r>
        <w:rPr>
          <w:rFonts w:hint="eastAsia" w:ascii="楷体_GB2312" w:hAnsi="Times New Roman" w:eastAsia="楷体_GB2312" w:cs="Times New Roman"/>
          <w:b w:val="0"/>
          <w:bCs w:val="0"/>
          <w:color w:val="auto"/>
          <w:spacing w:val="-6"/>
          <w:sz w:val="32"/>
          <w:szCs w:val="32"/>
          <w:lang w:eastAsia="zh-CN"/>
        </w:rPr>
        <w:t>。</w:t>
      </w:r>
      <w:r>
        <w:rPr>
          <w:rFonts w:hint="eastAsia" w:ascii="仿宋_GB2312" w:hAnsi="仿宋_GB2312" w:eastAsia="仿宋_GB2312" w:cs="仿宋_GB2312"/>
          <w:b w:val="0"/>
          <w:bCs w:val="0"/>
          <w:color w:val="auto"/>
          <w:sz w:val="32"/>
          <w:szCs w:val="32"/>
          <w:lang w:val="zh-CN" w:eastAsia="zh-CN"/>
        </w:rPr>
        <w:t>项目实施过程中，内容规划上还不够完善，指标设置不够细化，项目重点工作的体现还不够</w:t>
      </w:r>
      <w:r>
        <w:rPr>
          <w:rFonts w:hint="eastAsia" w:ascii="仿宋_GB2312" w:hAnsi="仿宋_GB2312" w:eastAsia="仿宋_GB2312" w:cs="仿宋_GB2312"/>
          <w:b w:val="0"/>
          <w:bCs w:val="0"/>
          <w:color w:val="auto"/>
          <w:sz w:val="32"/>
          <w:szCs w:val="32"/>
          <w:lang w:val="en" w:eastAsia="zh-CN"/>
        </w:rPr>
        <w:t>。</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lang w:val="zh-CN"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）相关建议。</w:t>
      </w:r>
      <w:r>
        <w:rPr>
          <w:rFonts w:hint="eastAsia" w:ascii="仿宋_GB2312" w:hAnsi="仿宋_GB2312" w:eastAsia="仿宋_GB2312" w:cs="仿宋_GB2312"/>
          <w:b w:val="0"/>
          <w:bCs w:val="0"/>
          <w:color w:val="auto"/>
          <w:sz w:val="32"/>
          <w:szCs w:val="32"/>
          <w:lang w:val="zh-CN" w:eastAsia="zh-CN"/>
        </w:rPr>
        <w:t>积极协调对接关工委，做好项目规划，结合工作实际，更加科学设置、完善绩效指标，体现项目运行的侧重点，更好发挥项目资金效益</w:t>
      </w:r>
      <w:r>
        <w:rPr>
          <w:rFonts w:hint="eastAsia" w:ascii="仿宋_GB2312" w:hAnsi="仿宋_GB2312" w:eastAsia="仿宋_GB2312" w:cs="仿宋_GB2312"/>
          <w:b w:val="0"/>
          <w:bCs w:val="0"/>
          <w:strike w:val="0"/>
          <w:dstrike w:val="0"/>
          <w:color w:val="auto"/>
          <w:spacing w:val="-6"/>
          <w:sz w:val="32"/>
          <w:szCs w:val="32"/>
          <w:u w:val="none"/>
          <w:lang w:val="zh-CN" w:eastAsia="zh-CN"/>
        </w:rPr>
        <w:t>。加强财务监管，严格按照财务管理有关要求，做好资金划拨、监管等工作。</w:t>
      </w:r>
    </w:p>
    <w:p>
      <w:pPr>
        <w:autoSpaceDE w:val="0"/>
        <w:spacing w:line="540" w:lineRule="exact"/>
        <w:ind w:firstLine="616" w:firstLineChars="200"/>
        <w:rPr>
          <w:rFonts w:hint="eastAsia" w:ascii="仿宋_GB2312" w:hAnsi="Times New Roman" w:eastAsia="仿宋_GB2312" w:cs="Times New Roman"/>
          <w:b w:val="0"/>
          <w:bCs w:val="0"/>
          <w:color w:val="auto"/>
          <w:spacing w:val="-6"/>
          <w:sz w:val="32"/>
          <w:szCs w:val="32"/>
        </w:rPr>
      </w:pPr>
    </w:p>
    <w:p>
      <w:pPr>
        <w:autoSpaceDE w:val="0"/>
        <w:spacing w:line="540" w:lineRule="exact"/>
        <w:ind w:firstLine="420" w:firstLineChars="200"/>
        <w:rPr>
          <w:b w:val="0"/>
          <w:bCs w:val="0"/>
          <w:strike w:val="0"/>
          <w:color w:val="auto"/>
          <w:u w:val="none"/>
        </w:rPr>
      </w:pPr>
    </w:p>
    <w:p>
      <w:pPr>
        <w:autoSpaceDE w:val="0"/>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p>
    <w:p>
      <w:pPr>
        <w:pStyle w:val="4"/>
        <w:keepNext/>
        <w:keepLines/>
        <w:pageBreakBefore w:val="0"/>
        <w:widowControl w:val="0"/>
        <w:kinsoku/>
        <w:wordWrap/>
        <w:overflowPunct/>
        <w:topLinePunct w:val="0"/>
        <w:autoSpaceDE/>
        <w:autoSpaceDN/>
        <w:bidi w:val="0"/>
        <w:adjustRightInd w:val="0"/>
        <w:snapToGrid w:val="0"/>
        <w:spacing w:before="0" w:after="0" w:line="576" w:lineRule="exact"/>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附表</w:t>
      </w: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848"/>
        <w:gridCol w:w="1664"/>
        <w:gridCol w:w="1486"/>
        <w:gridCol w:w="1192"/>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val="0"/>
                <w:bCs w:val="0"/>
                <w:i w:val="0"/>
                <w:color w:val="auto"/>
                <w:sz w:val="32"/>
                <w:szCs w:val="32"/>
                <w:highlight w:val="none"/>
                <w:u w:val="none"/>
              </w:rPr>
            </w:pPr>
            <w:r>
              <w:rPr>
                <w:rFonts w:hint="eastAsia" w:ascii="宋体" w:hAnsi="宋体" w:eastAsia="宋体" w:cs="宋体"/>
                <w:b w:val="0"/>
                <w:bCs w:val="0"/>
                <w:i w:val="0"/>
                <w:color w:val="auto"/>
                <w:sz w:val="32"/>
                <w:szCs w:val="32"/>
                <w:highlight w:val="none"/>
                <w:u w:val="none"/>
                <w:lang w:val="en-US" w:eastAsia="zh-CN"/>
              </w:rPr>
              <w:t>2021年度关工委工作经费项目绩效目标自评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主管部门及代码</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共青团广元市朝天区委员会376301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cs="宋体"/>
                <w:b w:val="0"/>
                <w:bCs w:val="0"/>
                <w:i w:val="0"/>
                <w:color w:val="auto"/>
                <w:sz w:val="21"/>
                <w:szCs w:val="21"/>
                <w:highlight w:val="none"/>
                <w:u w:val="none"/>
                <w:lang w:val="en-US" w:eastAsia="zh-CN"/>
              </w:rPr>
              <w:t>共青团广元市朝天区委员会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（万元）</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预算数：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完成情况</w:t>
            </w: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预期目标</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eastAsia="宋体" w:cs="宋体"/>
                <w:b w:val="0"/>
                <w:bCs w:val="0"/>
                <w:i w:val="0"/>
                <w:iCs w:val="0"/>
                <w:color w:val="auto"/>
                <w:kern w:val="0"/>
                <w:sz w:val="18"/>
                <w:szCs w:val="18"/>
                <w:u w:val="none"/>
                <w:lang w:val="en-US" w:eastAsia="zh-CN" w:bidi="ar"/>
              </w:rPr>
              <w:t>保障关工委正常运行和工作正常开展，发挥老同志余热，落实好区委政府关于关心下一代工作各项安排部署。</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 xml:space="preserve">全面保障关工委正常运行和工作正常开展。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077"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年度绩效指标完成情况</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数量指标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保障老同志人数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质量指标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关工委工作老同志参与率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时效指标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经费保障时效</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成本指标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工作补助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≤2.88万元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2.88万元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通信费、差旅费等运行经费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≤2.12万元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社会效益指标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带动全社会参与到青少年的关心关爱工作</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成效明显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可持续影响指标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持续时间</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度指标</w:t>
            </w: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满意度指标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受保障关工委老同志满意度</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≥90%</w:t>
            </w:r>
          </w:p>
        </w:tc>
      </w:tr>
    </w:tbl>
    <w:p>
      <w:pPr>
        <w:rPr>
          <w:rFonts w:hint="eastAsia" w:ascii="仿宋_GB2312" w:hAnsi="仿宋_GB2312" w:eastAsia="仿宋_GB2312" w:cs="仿宋_GB2312"/>
          <w:b w:val="0"/>
          <w:bCs w:val="0"/>
          <w:color w:val="auto"/>
          <w:spacing w:val="-6"/>
          <w:kern w:val="0"/>
          <w:sz w:val="32"/>
          <w:szCs w:val="32"/>
          <w:lang w:eastAsia="zh-CN"/>
        </w:rPr>
      </w:pPr>
      <w:r>
        <w:rPr>
          <w:rFonts w:hint="eastAsia" w:ascii="仿宋_GB2312" w:hAnsi="仿宋_GB2312" w:eastAsia="仿宋_GB2312" w:cs="仿宋_GB2312"/>
          <w:b w:val="0"/>
          <w:bCs w:val="0"/>
          <w:color w:val="auto"/>
          <w:spacing w:val="-6"/>
          <w:kern w:val="0"/>
          <w:sz w:val="32"/>
          <w:szCs w:val="32"/>
          <w:lang w:eastAsia="zh-CN"/>
        </w:rPr>
        <w:br w:type="page"/>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b w:val="0"/>
          <w:bCs w:val="0"/>
          <w:color w:val="auto"/>
          <w:sz w:val="44"/>
          <w:szCs w:val="44"/>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5</w:t>
      </w:r>
    </w:p>
    <w:p>
      <w:pPr>
        <w:autoSpaceDE w:val="0"/>
        <w:spacing w:line="540" w:lineRule="exact"/>
        <w:jc w:val="center"/>
        <w:rPr>
          <w:rFonts w:hint="eastAsia" w:ascii="方正小标宋简体" w:hAnsi="方正小标宋简体" w:eastAsia="方正小标宋简体" w:cs="方正小标宋简体"/>
          <w:b w:val="0"/>
          <w:bCs w:val="0"/>
          <w:color w:val="auto"/>
          <w:spacing w:val="-6"/>
          <w:kern w:val="0"/>
          <w:sz w:val="44"/>
          <w:szCs w:val="44"/>
        </w:rPr>
      </w:pPr>
      <w:r>
        <w:rPr>
          <w:rFonts w:hint="eastAsia" w:ascii="方正小标宋简体" w:hAnsi="方正小标宋简体" w:eastAsia="方正小标宋简体" w:cs="方正小标宋简体"/>
          <w:b w:val="0"/>
          <w:bCs w:val="0"/>
          <w:color w:val="auto"/>
          <w:spacing w:val="-6"/>
          <w:kern w:val="0"/>
          <w:sz w:val="44"/>
          <w:szCs w:val="44"/>
        </w:rPr>
        <w:t>2021年度天府旅游名县创建项目支出绩效</w:t>
      </w:r>
    </w:p>
    <w:p>
      <w:pPr>
        <w:autoSpaceDE w:val="0"/>
        <w:spacing w:line="540" w:lineRule="exact"/>
        <w:jc w:val="center"/>
        <w:rPr>
          <w:rFonts w:hint="eastAsia" w:ascii="方正大标宋简体" w:hAnsi="??" w:eastAsia="方正大标宋简体" w:cs="Times New Roman"/>
          <w:b w:val="0"/>
          <w:bCs w:val="0"/>
          <w:color w:val="auto"/>
          <w:spacing w:val="-6"/>
          <w:kern w:val="0"/>
          <w:sz w:val="44"/>
          <w:szCs w:val="44"/>
        </w:rPr>
      </w:pPr>
      <w:r>
        <w:rPr>
          <w:rFonts w:hint="eastAsia" w:ascii="方正小标宋简体" w:hAnsi="方正小标宋简体" w:eastAsia="方正小标宋简体" w:cs="方正小标宋简体"/>
          <w:b w:val="0"/>
          <w:bCs w:val="0"/>
          <w:color w:val="auto"/>
          <w:spacing w:val="-6"/>
          <w:kern w:val="0"/>
          <w:sz w:val="44"/>
          <w:szCs w:val="44"/>
        </w:rPr>
        <w:t>自评报告</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一、项目概况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（一）项目基本情况。</w:t>
      </w:r>
    </w:p>
    <w:p>
      <w:pPr>
        <w:autoSpaceDE w:val="0"/>
        <w:spacing w:line="540" w:lineRule="exact"/>
        <w:ind w:firstLine="616" w:firstLineChars="200"/>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天府旅游名县创建项目是组织广大青年围绕中心、服务大局，助力我区天府旅游创建成功的重要保障，通过在全区范围选拔、培训一批能力强、素质高、形象好的优秀青年，参与2021年全省旅游发展大会的会务服务、随车解说工作，助力天府旅游名县创建。</w:t>
      </w:r>
    </w:p>
    <w:p>
      <w:pPr>
        <w:autoSpaceDE w:val="0"/>
        <w:spacing w:line="540" w:lineRule="exact"/>
        <w:ind w:firstLine="616" w:firstLineChars="200"/>
        <w:rPr>
          <w:rFonts w:hint="eastAsia" w:ascii="仿宋_GB2312" w:hAnsi="Times New Roman" w:eastAsia="仿宋_GB2312" w:cs="Times New Roman"/>
          <w:b w:val="0"/>
          <w:bCs w:val="0"/>
          <w:color w:val="auto"/>
          <w:spacing w:val="-6"/>
          <w:sz w:val="32"/>
          <w:szCs w:val="32"/>
          <w:lang w:eastAsia="zh-CN"/>
        </w:rPr>
      </w:pPr>
      <w:r>
        <w:rPr>
          <w:rFonts w:hint="eastAsia" w:ascii="楷体_GB2312" w:hAnsi="Times New Roman" w:eastAsia="楷体_GB2312" w:cs="Times New Roman"/>
          <w:b w:val="0"/>
          <w:bCs w:val="0"/>
          <w:color w:val="auto"/>
          <w:spacing w:val="-6"/>
          <w:sz w:val="32"/>
          <w:szCs w:val="32"/>
        </w:rPr>
        <w:t>（二）项目绩效目标。</w:t>
      </w:r>
      <w:r>
        <w:rPr>
          <w:rFonts w:hint="eastAsia" w:ascii="仿宋_GB2312" w:hAnsi="Times New Roman" w:eastAsia="仿宋_GB2312" w:cs="Times New Roman"/>
          <w:b w:val="0"/>
          <w:bCs w:val="0"/>
          <w:color w:val="auto"/>
          <w:spacing w:val="-6"/>
          <w:sz w:val="32"/>
          <w:szCs w:val="32"/>
          <w:lang w:val="en-US" w:eastAsia="zh-CN"/>
        </w:rPr>
        <w:t>天府旅游名县创建项目</w:t>
      </w:r>
      <w:r>
        <w:rPr>
          <w:rFonts w:hint="eastAsia" w:ascii="仿宋_GB2312" w:hAnsi="Times New Roman" w:eastAsia="仿宋_GB2312" w:cs="Times New Roman"/>
          <w:b w:val="0"/>
          <w:bCs w:val="0"/>
          <w:color w:val="auto"/>
          <w:spacing w:val="-6"/>
          <w:sz w:val="32"/>
          <w:szCs w:val="32"/>
          <w:lang w:eastAsia="zh-CN"/>
        </w:rPr>
        <w:t>主要内容，在全区范围</w:t>
      </w:r>
      <w:r>
        <w:rPr>
          <w:rFonts w:hint="eastAsia" w:ascii="仿宋_GB2312" w:hAnsi="Times New Roman" w:eastAsia="仿宋_GB2312" w:cs="Times New Roman"/>
          <w:b w:val="0"/>
          <w:bCs w:val="0"/>
          <w:color w:val="auto"/>
          <w:spacing w:val="-6"/>
          <w:sz w:val="32"/>
          <w:szCs w:val="32"/>
          <w:lang w:val="en-US" w:eastAsia="zh-CN"/>
        </w:rPr>
        <w:t>选拔、培训一批能力强、素质高、形象好的优秀青年，参与2021年全省旅游发展大会的会务服务、随车解说工作，助力我区天府旅游创建成功</w:t>
      </w:r>
      <w:r>
        <w:rPr>
          <w:rFonts w:hint="eastAsia" w:ascii="仿宋_GB2312" w:hAnsi="Times New Roman" w:eastAsia="仿宋_GB2312" w:cs="Times New Roman"/>
          <w:b w:val="0"/>
          <w:bCs w:val="0"/>
          <w:color w:val="auto"/>
          <w:spacing w:val="-6"/>
          <w:sz w:val="32"/>
          <w:szCs w:val="32"/>
          <w:lang w:eastAsia="zh-CN"/>
        </w:rPr>
        <w:t>。项目计划招募青年志愿者</w:t>
      </w:r>
      <w:r>
        <w:rPr>
          <w:rFonts w:hint="eastAsia" w:ascii="仿宋_GB2312" w:hAnsi="Times New Roman" w:eastAsia="仿宋_GB2312" w:cs="Times New Roman"/>
          <w:b w:val="0"/>
          <w:bCs w:val="0"/>
          <w:color w:val="auto"/>
          <w:spacing w:val="-6"/>
          <w:sz w:val="32"/>
          <w:szCs w:val="32"/>
          <w:lang w:val="en-US" w:eastAsia="zh-CN"/>
        </w:rPr>
        <w:t>86名</w:t>
      </w:r>
      <w:r>
        <w:rPr>
          <w:rFonts w:hint="eastAsia" w:ascii="仿宋_GB2312" w:hAnsi="Times New Roman" w:eastAsia="仿宋_GB2312" w:cs="Times New Roman"/>
          <w:b w:val="0"/>
          <w:bCs w:val="0"/>
          <w:color w:val="auto"/>
          <w:spacing w:val="-6"/>
          <w:sz w:val="32"/>
          <w:szCs w:val="32"/>
          <w:lang w:eastAsia="zh-CN"/>
        </w:rPr>
        <w:t>，并邀请专业老师对随车服务开展实地培训，做好</w:t>
      </w:r>
      <w:r>
        <w:rPr>
          <w:rFonts w:hint="eastAsia" w:ascii="仿宋_GB2312" w:hAnsi="Times New Roman" w:eastAsia="仿宋_GB2312" w:cs="Times New Roman"/>
          <w:b w:val="0"/>
          <w:bCs w:val="0"/>
          <w:color w:val="auto"/>
          <w:spacing w:val="-6"/>
          <w:sz w:val="32"/>
          <w:szCs w:val="32"/>
          <w:lang w:val="en-US" w:eastAsia="zh-CN"/>
        </w:rPr>
        <w:t>2021年全省旅游发展大会的会务服务、随车解说工作，并</w:t>
      </w:r>
      <w:r>
        <w:rPr>
          <w:rFonts w:hint="eastAsia" w:ascii="仿宋_GB2312" w:hAnsi="Times New Roman" w:eastAsia="仿宋_GB2312" w:cs="Times New Roman"/>
          <w:b w:val="0"/>
          <w:bCs w:val="0"/>
          <w:color w:val="auto"/>
          <w:spacing w:val="-6"/>
          <w:sz w:val="32"/>
          <w:szCs w:val="32"/>
          <w:lang w:eastAsia="zh-CN"/>
        </w:rPr>
        <w:t>在</w:t>
      </w:r>
      <w:r>
        <w:rPr>
          <w:rFonts w:hint="eastAsia" w:ascii="仿宋_GB2312" w:hAnsi="Times New Roman" w:eastAsia="仿宋_GB2312" w:cs="Times New Roman"/>
          <w:b w:val="0"/>
          <w:bCs w:val="0"/>
          <w:color w:val="auto"/>
          <w:spacing w:val="-6"/>
          <w:sz w:val="32"/>
          <w:szCs w:val="32"/>
          <w:lang w:val="en-US" w:eastAsia="zh-CN"/>
        </w:rPr>
        <w:t>2021年底全面实施完成</w:t>
      </w:r>
      <w:r>
        <w:rPr>
          <w:rFonts w:hint="eastAsia" w:ascii="仿宋_GB2312" w:hAnsi="Times New Roman" w:eastAsia="仿宋_GB2312" w:cs="Times New Roman"/>
          <w:b w:val="0"/>
          <w:bCs w:val="0"/>
          <w:color w:val="auto"/>
          <w:spacing w:val="-6"/>
          <w:sz w:val="32"/>
          <w:szCs w:val="32"/>
        </w:rPr>
        <w:t>。</w:t>
      </w:r>
      <w:r>
        <w:rPr>
          <w:rFonts w:hint="eastAsia" w:ascii="仿宋_GB2312" w:hAnsi="Times New Roman" w:eastAsia="仿宋_GB2312" w:cs="Times New Roman"/>
          <w:b w:val="0"/>
          <w:bCs w:val="0"/>
          <w:color w:val="auto"/>
          <w:spacing w:val="-6"/>
          <w:sz w:val="32"/>
          <w:szCs w:val="32"/>
          <w:lang w:val="en-US" w:eastAsia="zh-CN"/>
        </w:rPr>
        <w:t>天府旅游名县创建</w:t>
      </w:r>
      <w:r>
        <w:rPr>
          <w:rFonts w:hint="eastAsia" w:ascii="仿宋_GB2312" w:hAnsi="Times New Roman" w:eastAsia="仿宋_GB2312" w:cs="Times New Roman"/>
          <w:b w:val="0"/>
          <w:bCs w:val="0"/>
          <w:color w:val="auto"/>
          <w:spacing w:val="-6"/>
          <w:sz w:val="32"/>
          <w:szCs w:val="32"/>
          <w:lang w:eastAsia="zh-CN"/>
        </w:rPr>
        <w:t>工作经费按照财务管理规定及时划拨到位，完成率达</w:t>
      </w:r>
      <w:r>
        <w:rPr>
          <w:rFonts w:hint="eastAsia" w:ascii="仿宋_GB2312" w:hAnsi="Times New Roman" w:eastAsia="仿宋_GB2312" w:cs="Times New Roman"/>
          <w:b w:val="0"/>
          <w:bCs w:val="0"/>
          <w:color w:val="auto"/>
          <w:spacing w:val="-6"/>
          <w:sz w:val="32"/>
          <w:szCs w:val="32"/>
          <w:lang w:val="en-US" w:eastAsia="zh-CN"/>
        </w:rPr>
        <w:t>100%</w:t>
      </w:r>
      <w:r>
        <w:rPr>
          <w:rFonts w:hint="eastAsia" w:ascii="仿宋_GB2312" w:hAnsi="Times New Roman" w:eastAsia="仿宋_GB2312" w:cs="Times New Roman"/>
          <w:b w:val="0"/>
          <w:bCs w:val="0"/>
          <w:color w:val="auto"/>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（三）项目自评步骤及方法。</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u w:val="single"/>
        </w:rPr>
      </w:pPr>
      <w:r>
        <w:rPr>
          <w:rFonts w:hint="eastAsia" w:ascii="仿宋_GB2312" w:hAnsi="宋体" w:eastAsia="仿宋_GB2312" w:cs="Times New Roman"/>
          <w:b w:val="0"/>
          <w:bCs w:val="0"/>
          <w:color w:val="auto"/>
          <w:sz w:val="32"/>
          <w:szCs w:val="32"/>
          <w:highlight w:val="none"/>
          <w:lang w:val="zh-CN"/>
        </w:rPr>
        <w:t>本项目采取自评与他评相结合方式,结合评价内容,做到有计划,有安排,扎实开展本次自评工作。按照上级下达的项目支出绩效评价指标体系,针对申报内容、实施情况、资金兑现、财务管理、社会效益等做好自评工作。</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color w:val="auto"/>
          <w:spacing w:val="-6"/>
          <w:sz w:val="32"/>
          <w:szCs w:val="32"/>
          <w:lang w:val="en-US" w:eastAsia="zh-CN"/>
        </w:rPr>
        <w:t>2021年度该项目预算资金为20万元，项目执行预算为20万元。项目测算在区委区政府的决策部署下，由我委根据会前筹备、实际支出情况测算项目标准。2021年度，该项目为追加预算项目，项目执行预算为20万元。</w:t>
      </w:r>
      <w:r>
        <w:rPr>
          <w:rFonts w:hint="eastAsia" w:ascii="仿宋_GB2312" w:hAnsi="宋体" w:eastAsia="仿宋_GB2312" w:cs="Times New Roman"/>
          <w:b w:val="0"/>
          <w:bCs w:val="0"/>
          <w:color w:val="auto"/>
          <w:sz w:val="32"/>
          <w:szCs w:val="32"/>
          <w:highlight w:val="none"/>
          <w:lang w:val="en-US" w:eastAsia="zh-CN"/>
        </w:rPr>
        <w:t>资金及时批复到位，符合资金管理办法等相关规定。</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）资金计划、到位及使用情况</w:t>
      </w:r>
    </w:p>
    <w:p>
      <w:pPr>
        <w:keepNext w:val="0"/>
        <w:keepLines w:val="0"/>
        <w:pageBreakBefore w:val="0"/>
        <w:widowControl/>
        <w:kinsoku/>
        <w:wordWrap/>
        <w:overflowPunct/>
        <w:topLinePunct w:val="0"/>
        <w:autoSpaceDE/>
        <w:autoSpaceDN/>
        <w:bidi w:val="0"/>
        <w:adjustRightInd/>
        <w:snapToGrid/>
        <w:spacing w:line="578" w:lineRule="exact"/>
        <w:ind w:firstLine="616" w:firstLineChars="200"/>
        <w:jc w:val="both"/>
        <w:textAlignment w:val="auto"/>
        <w:rPr>
          <w:rFonts w:hint="eastAsia" w:ascii="仿宋_GB2312" w:hAnsi="Times New Roman" w:eastAsia="仿宋_GB2312" w:cs="Times New Roman"/>
          <w:b w:val="0"/>
          <w:bCs w:val="0"/>
          <w:color w:val="auto"/>
          <w:spacing w:val="-6"/>
          <w:sz w:val="32"/>
          <w:szCs w:val="32"/>
        </w:rPr>
      </w:pPr>
      <w:r>
        <w:rPr>
          <w:rFonts w:hint="eastAsia" w:ascii="仿宋_GB2312" w:hAnsi="Times New Roman" w:eastAsia="仿宋_GB2312" w:cs="Times New Roman"/>
          <w:b w:val="0"/>
          <w:bCs w:val="0"/>
          <w:color w:val="auto"/>
          <w:spacing w:val="-6"/>
          <w:sz w:val="32"/>
          <w:szCs w:val="32"/>
        </w:rPr>
        <w:t>1.资金计划及到位。</w:t>
      </w:r>
      <w:r>
        <w:rPr>
          <w:rFonts w:hint="eastAsia" w:ascii="仿宋_GB2312" w:hAnsi="Times New Roman" w:eastAsia="仿宋_GB2312" w:cs="Times New Roman"/>
          <w:b w:val="0"/>
          <w:bCs w:val="0"/>
          <w:color w:val="auto"/>
          <w:spacing w:val="-6"/>
          <w:sz w:val="32"/>
          <w:szCs w:val="32"/>
          <w:lang w:val="en-US" w:eastAsia="zh-CN"/>
        </w:rPr>
        <w:t>天府旅游名县创建工作</w:t>
      </w:r>
      <w:r>
        <w:rPr>
          <w:rFonts w:hint="eastAsia" w:ascii="仿宋_GB2312" w:hAnsi="仿宋_GB2312" w:eastAsia="仿宋_GB2312" w:cs="仿宋_GB2312"/>
          <w:b w:val="0"/>
          <w:bCs w:val="0"/>
          <w:color w:val="auto"/>
          <w:sz w:val="32"/>
          <w:szCs w:val="32"/>
          <w:lang w:eastAsia="zh-CN"/>
        </w:rPr>
        <w:t>经费于活动实施后，报区财政部门申请、审核后追加预算至我委。我委根据项目实施情况，及时申请项目资金使用计划，在财政资金计划审核批复后，资金及时划拨到本单位</w:t>
      </w:r>
    </w:p>
    <w:p>
      <w:pPr>
        <w:keepNext w:val="0"/>
        <w:keepLines w:val="0"/>
        <w:pageBreakBefore w:val="0"/>
        <w:widowControl/>
        <w:kinsoku/>
        <w:wordWrap/>
        <w:overflowPunct/>
        <w:topLinePunct w:val="0"/>
        <w:autoSpaceDE/>
        <w:autoSpaceDN/>
        <w:bidi w:val="0"/>
        <w:adjustRightInd/>
        <w:snapToGrid/>
        <w:spacing w:line="578" w:lineRule="exact"/>
        <w:ind w:firstLine="616" w:firstLineChars="200"/>
        <w:jc w:val="both"/>
        <w:textAlignment w:val="auto"/>
        <w:rPr>
          <w:rFonts w:hint="eastAsia" w:ascii="仿宋_GB2312" w:hAnsi="Times New Roman" w:eastAsia="仿宋_GB2312" w:cs="Times New Roman"/>
          <w:b w:val="0"/>
          <w:bCs w:val="0"/>
          <w:color w:val="auto"/>
          <w:spacing w:val="-6"/>
          <w:sz w:val="32"/>
          <w:szCs w:val="32"/>
          <w:lang w:eastAsia="zh-CN"/>
        </w:rPr>
      </w:pPr>
      <w:r>
        <w:rPr>
          <w:rFonts w:hint="eastAsia" w:ascii="仿宋_GB2312" w:hAnsi="Times New Roman" w:eastAsia="仿宋_GB2312" w:cs="Times New Roman"/>
          <w:b w:val="0"/>
          <w:bCs w:val="0"/>
          <w:color w:val="auto"/>
          <w:spacing w:val="-6"/>
          <w:sz w:val="32"/>
          <w:szCs w:val="32"/>
          <w:lang w:eastAsia="zh-CN"/>
        </w:rPr>
        <w:t>2.</w:t>
      </w:r>
      <w:r>
        <w:rPr>
          <w:rFonts w:hint="eastAsia" w:ascii="仿宋_GB2312" w:hAnsi="仿宋_GB2312" w:eastAsia="仿宋_GB2312" w:cs="仿宋_GB2312"/>
          <w:b w:val="0"/>
          <w:bCs w:val="0"/>
          <w:color w:val="auto"/>
          <w:sz w:val="32"/>
          <w:szCs w:val="32"/>
          <w:lang w:eastAsia="zh-CN"/>
        </w:rPr>
        <w:t>截止</w:t>
      </w:r>
      <w:r>
        <w:rPr>
          <w:rFonts w:hint="eastAsia" w:ascii="仿宋_GB2312" w:hAnsi="仿宋_GB2312" w:eastAsia="仿宋_GB2312" w:cs="仿宋_GB2312"/>
          <w:b w:val="0"/>
          <w:bCs w:val="0"/>
          <w:color w:val="auto"/>
          <w:sz w:val="32"/>
          <w:szCs w:val="32"/>
          <w:lang w:val="en-US" w:eastAsia="zh-CN"/>
        </w:rPr>
        <w:t>2021年12月，</w:t>
      </w:r>
      <w:r>
        <w:rPr>
          <w:rFonts w:hint="eastAsia" w:ascii="仿宋_GB2312" w:hAnsi="Times New Roman" w:eastAsia="仿宋_GB2312" w:cs="Times New Roman"/>
          <w:b w:val="0"/>
          <w:bCs w:val="0"/>
          <w:color w:val="auto"/>
          <w:spacing w:val="-6"/>
          <w:sz w:val="32"/>
          <w:szCs w:val="32"/>
          <w:lang w:val="en-US" w:eastAsia="zh-CN"/>
        </w:rPr>
        <w:t>天府旅游名县创建</w:t>
      </w:r>
      <w:r>
        <w:rPr>
          <w:rFonts w:hint="eastAsia" w:ascii="仿宋_GB2312" w:hAnsi="仿宋_GB2312" w:eastAsia="仿宋_GB2312" w:cs="仿宋_GB2312"/>
          <w:b w:val="0"/>
          <w:bCs w:val="0"/>
          <w:color w:val="auto"/>
          <w:sz w:val="32"/>
          <w:szCs w:val="32"/>
          <w:lang w:val="en-US" w:eastAsia="zh-CN"/>
        </w:rPr>
        <w:t>工作经费全部拨付到位，</w:t>
      </w:r>
      <w:r>
        <w:rPr>
          <w:rFonts w:hint="eastAsia" w:ascii="仿宋_GB2312" w:hAnsi="仿宋_GB2312" w:eastAsia="仿宋_GB2312" w:cs="仿宋_GB2312"/>
          <w:b w:val="0"/>
          <w:bCs w:val="0"/>
          <w:color w:val="auto"/>
          <w:sz w:val="32"/>
          <w:szCs w:val="32"/>
        </w:rPr>
        <w:t>资金到位率100%。</w:t>
      </w:r>
    </w:p>
    <w:p>
      <w:pPr>
        <w:keepNext w:val="0"/>
        <w:keepLines w:val="0"/>
        <w:pageBreakBefore w:val="0"/>
        <w:widowControl/>
        <w:kinsoku/>
        <w:wordWrap/>
        <w:overflowPunct/>
        <w:topLinePunct w:val="0"/>
        <w:autoSpaceDE/>
        <w:autoSpaceDN/>
        <w:bidi w:val="0"/>
        <w:adjustRightInd/>
        <w:snapToGrid/>
        <w:spacing w:line="578" w:lineRule="exact"/>
        <w:ind w:firstLine="616" w:firstLineChars="200"/>
        <w:jc w:val="both"/>
        <w:textAlignment w:val="auto"/>
        <w:rPr>
          <w:rFonts w:hint="default" w:ascii="仿宋_GB2312" w:hAnsi="Times New Roman" w:eastAsia="仿宋_GB2312" w:cs="Times New Roman"/>
          <w:b w:val="0"/>
          <w:bCs w:val="0"/>
          <w:color w:val="auto"/>
          <w:spacing w:val="-6"/>
          <w:sz w:val="32"/>
          <w:szCs w:val="32"/>
          <w:lang w:val="en-US" w:eastAsia="zh-CN"/>
        </w:rPr>
      </w:pPr>
      <w:r>
        <w:rPr>
          <w:rFonts w:hint="eastAsia" w:ascii="仿宋_GB2312" w:eastAsia="仿宋_GB2312" w:cs="Times New Roman"/>
          <w:b w:val="0"/>
          <w:bCs w:val="0"/>
          <w:color w:val="auto"/>
          <w:spacing w:val="-6"/>
          <w:sz w:val="32"/>
          <w:szCs w:val="32"/>
          <w:lang w:val="en-US" w:eastAsia="zh-CN"/>
        </w:rPr>
        <w:t>3.</w:t>
      </w:r>
      <w:r>
        <w:rPr>
          <w:rFonts w:hint="eastAsia" w:ascii="仿宋_GB2312" w:hAnsi="Times New Roman" w:eastAsia="仿宋_GB2312" w:cs="Times New Roman"/>
          <w:b w:val="0"/>
          <w:bCs w:val="0"/>
          <w:color w:val="auto"/>
          <w:spacing w:val="-6"/>
          <w:sz w:val="32"/>
          <w:szCs w:val="32"/>
          <w:lang w:eastAsia="zh-CN"/>
        </w:rPr>
        <w:t>资金使用。财政局下达</w:t>
      </w:r>
      <w:r>
        <w:rPr>
          <w:rFonts w:hint="eastAsia" w:ascii="仿宋_GB2312" w:hAnsi="Times New Roman" w:eastAsia="仿宋_GB2312" w:cs="Times New Roman"/>
          <w:b w:val="0"/>
          <w:bCs w:val="0"/>
          <w:color w:val="auto"/>
          <w:spacing w:val="-6"/>
          <w:sz w:val="32"/>
          <w:szCs w:val="32"/>
          <w:lang w:val="en-US" w:eastAsia="zh-CN"/>
        </w:rPr>
        <w:t>天府旅游名县创建工作</w:t>
      </w:r>
      <w:r>
        <w:rPr>
          <w:rFonts w:hint="eastAsia" w:ascii="仿宋_GB2312" w:hAnsi="Times New Roman" w:eastAsia="仿宋_GB2312" w:cs="Times New Roman"/>
          <w:b w:val="0"/>
          <w:bCs w:val="0"/>
          <w:color w:val="auto"/>
          <w:spacing w:val="-6"/>
          <w:sz w:val="32"/>
          <w:szCs w:val="32"/>
          <w:lang w:eastAsia="zh-CN"/>
        </w:rPr>
        <w:t>经费</w:t>
      </w:r>
      <w:r>
        <w:rPr>
          <w:rFonts w:hint="eastAsia" w:ascii="仿宋_GB2312" w:hAnsi="Times New Roman" w:eastAsia="仿宋_GB2312" w:cs="Times New Roman"/>
          <w:b w:val="0"/>
          <w:bCs w:val="0"/>
          <w:color w:val="auto"/>
          <w:spacing w:val="-6"/>
          <w:sz w:val="32"/>
          <w:szCs w:val="32"/>
          <w:lang w:val="en-US" w:eastAsia="zh-CN"/>
        </w:rPr>
        <w:t>20</w:t>
      </w:r>
      <w:r>
        <w:rPr>
          <w:rFonts w:hint="eastAsia" w:ascii="仿宋_GB2312" w:hAnsi="Times New Roman" w:eastAsia="仿宋_GB2312" w:cs="Times New Roman"/>
          <w:b w:val="0"/>
          <w:bCs w:val="0"/>
          <w:color w:val="auto"/>
          <w:spacing w:val="-6"/>
          <w:sz w:val="32"/>
          <w:szCs w:val="32"/>
          <w:lang w:eastAsia="zh-CN"/>
        </w:rPr>
        <w:t>万元到单位</w:t>
      </w:r>
      <w:r>
        <w:rPr>
          <w:rFonts w:hint="eastAsia" w:ascii="仿宋_GB2312" w:hAnsi="Times New Roman" w:eastAsia="仿宋_GB2312" w:cs="Times New Roman"/>
          <w:b w:val="0"/>
          <w:bCs w:val="0"/>
          <w:color w:val="auto"/>
          <w:spacing w:val="-6"/>
          <w:sz w:val="32"/>
          <w:szCs w:val="32"/>
        </w:rPr>
        <w:t>，用于</w:t>
      </w:r>
      <w:r>
        <w:rPr>
          <w:rFonts w:hint="eastAsia" w:ascii="仿宋_GB2312" w:hAnsi="Times New Roman" w:eastAsia="仿宋_GB2312" w:cs="Times New Roman"/>
          <w:b w:val="0"/>
          <w:bCs w:val="0"/>
          <w:color w:val="auto"/>
          <w:spacing w:val="-6"/>
          <w:sz w:val="32"/>
          <w:szCs w:val="32"/>
          <w:lang w:val="en-US" w:eastAsia="zh-CN"/>
        </w:rPr>
        <w:t>选拔、培训青年志愿者，参与服务2021年全省旅游发展大会的会务服务、随车解说工作，</w:t>
      </w:r>
      <w:r>
        <w:rPr>
          <w:rFonts w:hint="eastAsia" w:ascii="仿宋_GB2312" w:hAnsi="Times New Roman" w:eastAsia="仿宋_GB2312" w:cs="Times New Roman"/>
          <w:b w:val="0"/>
          <w:bCs w:val="0"/>
          <w:color w:val="auto"/>
          <w:spacing w:val="-6"/>
          <w:sz w:val="32"/>
          <w:szCs w:val="32"/>
          <w:lang w:eastAsia="zh-CN"/>
        </w:rPr>
        <w:t>助力我区天府旅游名县创建工作</w:t>
      </w:r>
      <w:r>
        <w:rPr>
          <w:rFonts w:hint="eastAsia" w:ascii="仿宋_GB2312" w:hAnsi="Times New Roman" w:eastAsia="仿宋_GB2312" w:cs="Times New Roman"/>
          <w:b w:val="0"/>
          <w:bCs w:val="0"/>
          <w:color w:val="auto"/>
          <w:spacing w:val="-6"/>
          <w:sz w:val="32"/>
          <w:szCs w:val="32"/>
          <w:lang w:val="en-US" w:eastAsia="zh-CN"/>
        </w:rPr>
        <w:t>,我委严格按照项目执行情况及时划拨资金</w:t>
      </w:r>
      <w:r>
        <w:rPr>
          <w:rFonts w:hint="eastAsia" w:ascii="仿宋_GB2312" w:hAnsi="Times New Roman" w:eastAsia="仿宋_GB2312" w:cs="Times New Roman"/>
          <w:b w:val="0"/>
          <w:bCs w:val="0"/>
          <w:color w:val="auto"/>
          <w:spacing w:val="-6"/>
          <w:sz w:val="32"/>
          <w:szCs w:val="32"/>
          <w:lang w:eastAsia="zh-CN"/>
        </w:rPr>
        <w:t>。</w:t>
      </w:r>
      <w:r>
        <w:rPr>
          <w:rFonts w:hint="eastAsia" w:ascii="仿宋_GB2312" w:hAnsi="Times New Roman" w:eastAsia="仿宋_GB2312" w:cs="Times New Roman"/>
          <w:b w:val="0"/>
          <w:bCs w:val="0"/>
          <w:color w:val="auto"/>
          <w:spacing w:val="-6"/>
          <w:sz w:val="32"/>
          <w:szCs w:val="32"/>
          <w:lang w:val="en-US" w:eastAsia="zh-CN"/>
        </w:rPr>
        <w:t>2021年，我委共招募青年志愿者86名，组织志愿者到曾家山片区实地实战拉练2次，并邀请专业老师全程培训指导，顺利服务好2021年全省旅游发展大会的会务服务、随车解说工作。项目资金用于志愿者生活补助10.17万元、培训0.75万元、志愿者服装8.86万元。</w:t>
      </w:r>
      <w:r>
        <w:rPr>
          <w:rFonts w:hint="eastAsia" w:ascii="仿宋_GB2312" w:hAnsi="Times New Roman" w:eastAsia="仿宋_GB2312" w:cs="Times New Roman"/>
          <w:b w:val="0"/>
          <w:bCs w:val="0"/>
          <w:color w:val="auto"/>
          <w:spacing w:val="-6"/>
          <w:sz w:val="32"/>
          <w:szCs w:val="32"/>
        </w:rPr>
        <w:t>项目资金无调整</w:t>
      </w:r>
      <w:r>
        <w:rPr>
          <w:rFonts w:hint="eastAsia" w:ascii="仿宋_GB2312" w:hAnsi="Times New Roman" w:eastAsia="仿宋_GB2312" w:cs="Times New Roman"/>
          <w:b w:val="0"/>
          <w:bCs w:val="0"/>
          <w:color w:val="auto"/>
          <w:spacing w:val="-6"/>
          <w:sz w:val="32"/>
          <w:szCs w:val="32"/>
          <w:lang w:eastAsia="zh-CN"/>
        </w:rPr>
        <w:t>，资金支付依据合规合法与预算相符</w:t>
      </w:r>
      <w:r>
        <w:rPr>
          <w:rFonts w:hint="eastAsia" w:ascii="仿宋_GB2312" w:hAnsi="Times New Roman" w:eastAsia="仿宋_GB2312" w:cs="Times New Roman"/>
          <w:b w:val="0"/>
          <w:bCs w:val="0"/>
          <w:color w:val="auto"/>
          <w:spacing w:val="-6"/>
          <w:sz w:val="32"/>
          <w:szCs w:val="32"/>
        </w:rPr>
        <w:t>。</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）项目财务管理情况</w:t>
      </w:r>
    </w:p>
    <w:p>
      <w:pPr>
        <w:autoSpaceDE w:val="0"/>
        <w:spacing w:line="540" w:lineRule="exact"/>
        <w:ind w:firstLine="616"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Times New Roman" w:eastAsia="仿宋_GB2312" w:cs="Times New Roman"/>
          <w:b w:val="0"/>
          <w:bCs w:val="0"/>
          <w:color w:val="auto"/>
          <w:spacing w:val="-6"/>
          <w:sz w:val="32"/>
          <w:szCs w:val="32"/>
          <w:lang w:val="en-US" w:eastAsia="zh-CN"/>
        </w:rPr>
        <w:t>天府旅游名县创建工作</w:t>
      </w:r>
      <w:r>
        <w:rPr>
          <w:rFonts w:hint="eastAsia" w:ascii="仿宋_GB2312" w:hAnsi="Times New Roman" w:eastAsia="仿宋_GB2312" w:cs="Times New Roman"/>
          <w:b w:val="0"/>
          <w:bCs w:val="0"/>
          <w:color w:val="auto"/>
          <w:spacing w:val="-6"/>
          <w:sz w:val="32"/>
          <w:szCs w:val="32"/>
          <w:lang w:eastAsia="zh-CN"/>
        </w:rPr>
        <w:t>经费</w:t>
      </w:r>
      <w:r>
        <w:rPr>
          <w:rFonts w:hint="eastAsia" w:ascii="仿宋_GB2312" w:hAnsi="仿宋_GB2312" w:eastAsia="仿宋_GB2312" w:cs="仿宋_GB2312"/>
          <w:b w:val="0"/>
          <w:bCs w:val="0"/>
          <w:color w:val="auto"/>
          <w:sz w:val="32"/>
          <w:szCs w:val="32"/>
          <w:lang w:val="zh-CN" w:eastAsia="zh-CN"/>
        </w:rPr>
        <w:t>作为特定用途项目经费，为全区天府旅游名县创建的提供有力的资金保障，科学规范的资金管理对项目实施尤为重要。我委将</w:t>
      </w:r>
      <w:r>
        <w:rPr>
          <w:rFonts w:hint="eastAsia" w:ascii="仿宋_GB2312" w:hAnsi="Times New Roman" w:eastAsia="仿宋_GB2312" w:cs="Times New Roman"/>
          <w:b w:val="0"/>
          <w:bCs w:val="0"/>
          <w:color w:val="auto"/>
          <w:spacing w:val="-6"/>
          <w:sz w:val="32"/>
          <w:szCs w:val="32"/>
          <w:lang w:val="en-US" w:eastAsia="zh-CN"/>
        </w:rPr>
        <w:t>天府旅游名县创建工作</w:t>
      </w:r>
      <w:r>
        <w:rPr>
          <w:rFonts w:hint="eastAsia" w:ascii="仿宋_GB2312" w:hAnsi="Times New Roman" w:eastAsia="仿宋_GB2312" w:cs="Times New Roman"/>
          <w:b w:val="0"/>
          <w:bCs w:val="0"/>
          <w:color w:val="auto"/>
          <w:spacing w:val="-6"/>
          <w:sz w:val="32"/>
          <w:szCs w:val="32"/>
          <w:lang w:eastAsia="zh-CN"/>
        </w:rPr>
        <w:t>经费</w:t>
      </w:r>
      <w:r>
        <w:rPr>
          <w:rFonts w:hint="eastAsia" w:ascii="仿宋_GB2312" w:hAnsi="仿宋_GB2312" w:eastAsia="仿宋_GB2312" w:cs="仿宋_GB2312"/>
          <w:b w:val="0"/>
          <w:bCs w:val="0"/>
          <w:color w:val="auto"/>
          <w:sz w:val="32"/>
          <w:szCs w:val="32"/>
          <w:lang w:val="zh-CN" w:eastAsia="zh-CN"/>
        </w:rPr>
        <w:t>纳入单位财政集中统一管理，严格按照单位财务管理制度执行，做到先有预算后有支出，制度化、规范化、程序化使用资金，加强对资金使用过程监督管理，做到手续完备、数字准确、帐目清楚，</w:t>
      </w:r>
      <w:r>
        <w:rPr>
          <w:rFonts w:hint="eastAsia" w:ascii="仿宋_GB2312" w:hAnsi="Times New Roman" w:eastAsia="仿宋_GB2312" w:cs="Times New Roman"/>
          <w:b w:val="0"/>
          <w:bCs w:val="0"/>
          <w:color w:val="auto"/>
          <w:spacing w:val="-6"/>
          <w:sz w:val="32"/>
          <w:szCs w:val="32"/>
          <w:lang w:val="zh-CN" w:eastAsia="zh-CN"/>
        </w:rPr>
        <w:t>财务处理及时规范，会计核算准确无误</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三、项目实施及管理情况</w:t>
      </w:r>
    </w:p>
    <w:p>
      <w:pPr>
        <w:autoSpaceDE w:val="0"/>
        <w:spacing w:line="540" w:lineRule="exact"/>
        <w:ind w:firstLine="640" w:firstLineChars="200"/>
        <w:rPr>
          <w:rFonts w:hint="eastAsia" w:ascii="楷体_GB2312" w:hAnsi="Times New Roman" w:eastAsia="楷体_GB2312" w:cs="Times New Roman"/>
          <w:b w:val="0"/>
          <w:bCs w:val="0"/>
          <w:color w:val="auto"/>
          <w:spacing w:val="-6"/>
          <w:sz w:val="32"/>
          <w:szCs w:val="32"/>
        </w:rPr>
      </w:pPr>
      <w:r>
        <w:rPr>
          <w:rFonts w:hint="eastAsia" w:ascii="楷体_GB2312" w:hAnsi="宋体" w:eastAsia="楷体_GB2312" w:cs="Times New Roman"/>
          <w:b w:val="0"/>
          <w:bCs w:val="0"/>
          <w:color w:val="auto"/>
          <w:sz w:val="32"/>
          <w:szCs w:val="32"/>
          <w:highlight w:val="none"/>
          <w:lang w:val="zh-CN"/>
        </w:rPr>
        <w:t>（一）项目组织架构及实施流程。</w:t>
      </w:r>
    </w:p>
    <w:p>
      <w:pPr>
        <w:autoSpaceDE w:val="0"/>
        <w:spacing w:line="540" w:lineRule="exact"/>
        <w:ind w:firstLine="616"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Times New Roman" w:eastAsia="仿宋_GB2312" w:cs="Times New Roman"/>
          <w:b w:val="0"/>
          <w:bCs w:val="0"/>
          <w:color w:val="auto"/>
          <w:spacing w:val="-6"/>
          <w:sz w:val="32"/>
          <w:szCs w:val="32"/>
          <w:lang w:val="en-US" w:eastAsia="zh-CN"/>
        </w:rPr>
        <w:t>天府旅游名县创建活动顺利实施，青年志愿者热情、专业的随车服务，为全省旅发大会的顺利召开提供优质服务，充分体现了朝天文旅事业发展的综合实力，展示了朝天青年志愿者良好形象，为我区创建工作增添一抹靓丽色彩，助力天府旅游名县创建成功。</w:t>
      </w:r>
      <w:r>
        <w:rPr>
          <w:rFonts w:hint="eastAsia" w:ascii="仿宋_GB2312" w:hAnsi="仿宋_GB2312" w:eastAsia="仿宋_GB2312" w:cs="仿宋_GB2312"/>
          <w:b w:val="0"/>
          <w:bCs w:val="0"/>
          <w:color w:val="auto"/>
          <w:sz w:val="32"/>
          <w:szCs w:val="32"/>
          <w:lang w:val="zh-CN" w:eastAsia="zh-CN"/>
        </w:rPr>
        <w:t>我委主动加强项目实施全过程组织、管理和监督，确保项目正常进行，同时加强项目资金监管、拨付，实行经办人签字、分管领导审核签字、主要领导同意签字的程序流程，全面监督项目实施，确保项目资金及时拨付到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楷体_GB2312" w:hAnsi="宋体" w:eastAsia="楷体_GB2312" w:cs="Times New Roman"/>
          <w:b w:val="0"/>
          <w:bCs w:val="0"/>
          <w:color w:val="auto"/>
          <w:sz w:val="32"/>
          <w:szCs w:val="32"/>
          <w:highlight w:val="none"/>
          <w:lang w:val="zh-CN"/>
        </w:rPr>
        <w:t>（二）项目管理情况。</w:t>
      </w:r>
      <w:r>
        <w:rPr>
          <w:rFonts w:hint="eastAsia" w:ascii="仿宋_GB2312" w:hAnsi="Times New Roman" w:eastAsia="仿宋_GB2312" w:cs="Times New Roman"/>
          <w:b w:val="0"/>
          <w:bCs w:val="0"/>
          <w:color w:val="auto"/>
          <w:spacing w:val="-6"/>
          <w:sz w:val="32"/>
          <w:szCs w:val="32"/>
          <w:lang w:val="en-US" w:eastAsia="zh-CN"/>
        </w:rPr>
        <w:t>该项目为保障性经费支出项目，无招投标等情况，日常检查监督按专业制度执行。</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hint="eastAsia" w:ascii="黑体" w:hAnsi="黑体" w:eastAsia="黑体" w:cs="Times New Roman"/>
          <w:b w:val="0"/>
          <w:bCs w:val="0"/>
          <w:color w:val="auto"/>
          <w:spacing w:val="-6"/>
          <w:sz w:val="32"/>
          <w:szCs w:val="32"/>
          <w:lang w:val="en-US" w:eastAsia="zh-CN"/>
        </w:rPr>
      </w:pPr>
      <w:r>
        <w:rPr>
          <w:rFonts w:hint="eastAsia" w:ascii="楷体_GB2312" w:hAnsi="宋体" w:eastAsia="楷体_GB2312" w:cs="Times New Roman"/>
          <w:b w:val="0"/>
          <w:bCs w:val="0"/>
          <w:color w:val="auto"/>
          <w:sz w:val="32"/>
          <w:szCs w:val="32"/>
          <w:highlight w:val="none"/>
          <w:lang w:val="zh-CN"/>
        </w:rPr>
        <w:t>（三）项目监管情况。</w:t>
      </w:r>
      <w:r>
        <w:rPr>
          <w:rFonts w:hint="eastAsia" w:ascii="仿宋_GB2312" w:hAnsi="Times New Roman" w:eastAsia="仿宋_GB2312" w:cs="Times New Roman"/>
          <w:b w:val="0"/>
          <w:bCs w:val="0"/>
          <w:color w:val="auto"/>
          <w:spacing w:val="-6"/>
          <w:sz w:val="32"/>
          <w:szCs w:val="32"/>
          <w:lang w:val="en-US" w:eastAsia="zh-CN"/>
        </w:rPr>
        <w:t>该项目管理制度合并在我委财务管理制度、内控管理制度等规范性财务制度之下，未单独建立项目管理制度，由办公室开展日常性监管。</w:t>
      </w:r>
    </w:p>
    <w:p>
      <w:pPr>
        <w:autoSpaceDE w:val="0"/>
        <w:spacing w:line="540" w:lineRule="exact"/>
        <w:ind w:firstLine="616" w:firstLineChars="200"/>
        <w:rPr>
          <w:rFonts w:hint="eastAsia" w:ascii="黑体" w:hAnsi="黑体" w:eastAsia="黑体" w:cs="Times New Roman"/>
          <w:b w:val="0"/>
          <w:bCs w:val="0"/>
          <w:color w:val="auto"/>
          <w:spacing w:val="-6"/>
          <w:sz w:val="32"/>
          <w:szCs w:val="32"/>
        </w:rPr>
      </w:pPr>
    </w:p>
    <w:p>
      <w:pPr>
        <w:autoSpaceDE w:val="0"/>
        <w:spacing w:line="540" w:lineRule="exact"/>
        <w:ind w:firstLine="616" w:firstLineChars="200"/>
        <w:rPr>
          <w:rFonts w:hint="eastAsia" w:ascii="黑体" w:hAnsi="黑体" w:eastAsia="黑体" w:cs="Times New Roman"/>
          <w:b w:val="0"/>
          <w:bCs w:val="0"/>
          <w:color w:val="auto"/>
          <w:spacing w:val="-6"/>
          <w:sz w:val="32"/>
          <w:szCs w:val="32"/>
        </w:rPr>
      </w:pPr>
      <w:r>
        <w:rPr>
          <w:rFonts w:hint="eastAsia" w:ascii="黑体" w:hAnsi="黑体" w:eastAsia="黑体" w:cs="Times New Roman"/>
          <w:b w:val="0"/>
          <w:bCs w:val="0"/>
          <w:color w:val="auto"/>
          <w:spacing w:val="-6"/>
          <w:sz w:val="32"/>
          <w:szCs w:val="32"/>
          <w:lang w:val="en-US" w:eastAsia="zh-CN"/>
        </w:rPr>
        <w:t>四</w:t>
      </w:r>
      <w:r>
        <w:rPr>
          <w:rFonts w:hint="eastAsia" w:ascii="黑体" w:hAnsi="黑体" w:eastAsia="黑体" w:cs="Times New Roman"/>
          <w:b w:val="0"/>
          <w:bCs w:val="0"/>
          <w:color w:val="auto"/>
          <w:spacing w:val="-6"/>
          <w:sz w:val="32"/>
          <w:szCs w:val="32"/>
        </w:rPr>
        <w:t>、项目绩效情况</w:t>
      </w:r>
      <w:r>
        <w:rPr>
          <w:rFonts w:hint="eastAsia" w:ascii="黑体" w:hAnsi="黑体" w:eastAsia="黑体" w:cs="Times New Roman"/>
          <w:b w:val="0"/>
          <w:bCs w:val="0"/>
          <w:color w:val="auto"/>
          <w:spacing w:val="-6"/>
          <w:sz w:val="32"/>
          <w:szCs w:val="32"/>
        </w:rPr>
        <w:tab/>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（一）项目完成情况</w:t>
      </w:r>
    </w:p>
    <w:p>
      <w:pPr>
        <w:autoSpaceDE w:val="0"/>
        <w:spacing w:line="540" w:lineRule="exact"/>
        <w:ind w:firstLine="616" w:firstLineChars="200"/>
        <w:rPr>
          <w:rFonts w:hint="eastAsia" w:ascii="仿宋_GB2312" w:hAnsi="Times New Roman" w:eastAsia="仿宋_GB2312" w:cs="Times New Roman"/>
          <w:b w:val="0"/>
          <w:bCs w:val="0"/>
          <w:color w:val="auto"/>
          <w:spacing w:val="-6"/>
          <w:sz w:val="32"/>
          <w:szCs w:val="32"/>
        </w:rPr>
      </w:pPr>
      <w:r>
        <w:rPr>
          <w:rFonts w:hint="eastAsia" w:ascii="仿宋_GB2312" w:hAnsi="Times New Roman" w:eastAsia="仿宋_GB2312" w:cs="Times New Roman"/>
          <w:b w:val="0"/>
          <w:bCs w:val="0"/>
          <w:color w:val="auto"/>
          <w:spacing w:val="-6"/>
          <w:sz w:val="32"/>
          <w:szCs w:val="32"/>
          <w:lang w:val="en-US" w:eastAsia="zh-CN"/>
        </w:rPr>
        <w:t>天府旅游名县创建工作</w:t>
      </w:r>
      <w:r>
        <w:rPr>
          <w:rFonts w:hint="eastAsia" w:ascii="仿宋_GB2312" w:hAnsi="Times New Roman" w:eastAsia="仿宋_GB2312" w:cs="Times New Roman"/>
          <w:b w:val="0"/>
          <w:bCs w:val="0"/>
          <w:color w:val="auto"/>
          <w:spacing w:val="-6"/>
          <w:sz w:val="32"/>
          <w:szCs w:val="32"/>
          <w:lang w:eastAsia="zh-CN"/>
        </w:rPr>
        <w:t>经费</w:t>
      </w:r>
      <w:r>
        <w:rPr>
          <w:rFonts w:hint="eastAsia" w:ascii="仿宋_GB2312" w:hAnsi="仿宋_GB2312" w:eastAsia="仿宋_GB2312" w:cs="仿宋_GB2312"/>
          <w:b w:val="0"/>
          <w:bCs w:val="0"/>
          <w:color w:val="auto"/>
          <w:sz w:val="32"/>
          <w:szCs w:val="32"/>
          <w:lang w:val="en-US" w:eastAsia="zh-CN"/>
        </w:rPr>
        <w:t>20万元，完成率100%</w:t>
      </w:r>
      <w:r>
        <w:rPr>
          <w:rFonts w:hint="eastAsia" w:ascii="仿宋_GB2312" w:hAnsi="仿宋_GB2312" w:eastAsia="仿宋_GB2312" w:cs="仿宋_GB2312"/>
          <w:b w:val="0"/>
          <w:bCs w:val="0"/>
          <w:color w:val="auto"/>
          <w:sz w:val="32"/>
          <w:szCs w:val="32"/>
          <w:lang w:val="zh-CN" w:eastAsia="zh-CN"/>
        </w:rPr>
        <w:t>。</w:t>
      </w:r>
      <w:r>
        <w:rPr>
          <w:rFonts w:hint="eastAsia" w:ascii="仿宋_GB2312" w:hAnsi="Times New Roman" w:eastAsia="仿宋_GB2312" w:cs="Times New Roman"/>
          <w:b w:val="0"/>
          <w:bCs w:val="0"/>
          <w:color w:val="auto"/>
          <w:spacing w:val="-6"/>
          <w:sz w:val="32"/>
          <w:szCs w:val="32"/>
          <w:lang w:val="en-US" w:eastAsia="zh-CN"/>
        </w:rPr>
        <w:t>天府旅游名县创建工作共招募青年志愿者86名，组织志愿者到曾家山片区实地实战拉练2次，并邀请专业老师全程培训指导，顺利服务2021年全省旅游发展大会的会务服务、随车解说工作，活动顺利开展，我区天府旅游名县创建成功</w:t>
      </w:r>
      <w:r>
        <w:rPr>
          <w:rFonts w:hint="eastAsia" w:ascii="仿宋_GB2312" w:hAnsi="仿宋_GB2312" w:eastAsia="仿宋_GB2312" w:cs="仿宋_GB2312"/>
          <w:b w:val="0"/>
          <w:bCs w:val="0"/>
          <w:color w:val="auto"/>
          <w:sz w:val="32"/>
          <w:szCs w:val="32"/>
          <w:lang w:val="en-US" w:eastAsia="zh-CN"/>
        </w:rPr>
        <w:t>。项目实施效果达到预期目标，资金使用安全有效。</w:t>
      </w:r>
    </w:p>
    <w:p>
      <w:pPr>
        <w:autoSpaceDE w:val="0"/>
        <w:spacing w:line="540" w:lineRule="exact"/>
        <w:ind w:firstLine="616" w:firstLineChars="200"/>
        <w:rPr>
          <w:rFonts w:hint="eastAsia" w:ascii="楷体_GB2312" w:hAnsi="Times New Roman" w:eastAsia="楷体_GB2312" w:cs="Times New Roman"/>
          <w:b w:val="0"/>
          <w:bCs w:val="0"/>
          <w:color w:val="auto"/>
          <w:spacing w:val="-6"/>
          <w:sz w:val="32"/>
          <w:szCs w:val="32"/>
        </w:rPr>
      </w:pPr>
      <w:r>
        <w:rPr>
          <w:rFonts w:hint="eastAsia" w:ascii="楷体_GB2312" w:hAnsi="Times New Roman" w:eastAsia="楷体_GB2312" w:cs="Times New Roman"/>
          <w:b w:val="0"/>
          <w:bCs w:val="0"/>
          <w:color w:val="auto"/>
          <w:spacing w:val="-6"/>
          <w:sz w:val="32"/>
          <w:szCs w:val="32"/>
        </w:rPr>
        <w:t>（二）项目效益情况</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z w:val="32"/>
          <w:szCs w:val="32"/>
          <w:lang w:val="en-US" w:eastAsia="zh-CN"/>
        </w:rPr>
        <w:t>通过</w:t>
      </w:r>
      <w:r>
        <w:rPr>
          <w:rFonts w:hint="eastAsia" w:ascii="仿宋_GB2312" w:hAnsi="Times New Roman" w:eastAsia="仿宋_GB2312" w:cs="Times New Roman"/>
          <w:b w:val="0"/>
          <w:bCs w:val="0"/>
          <w:color w:val="auto"/>
          <w:spacing w:val="-6"/>
          <w:sz w:val="32"/>
          <w:szCs w:val="32"/>
          <w:lang w:val="en-US" w:eastAsia="zh-CN"/>
        </w:rPr>
        <w:t>天府旅游名县创建活动顺利实施</w:t>
      </w:r>
      <w:r>
        <w:rPr>
          <w:rFonts w:hint="eastAsia" w:ascii="仿宋_GB2312" w:hAnsi="仿宋_GB2312" w:eastAsia="仿宋_GB2312" w:cs="仿宋_GB2312"/>
          <w:b w:val="0"/>
          <w:bCs w:val="0"/>
          <w:color w:val="auto"/>
          <w:sz w:val="32"/>
          <w:szCs w:val="32"/>
          <w:lang w:val="en-US" w:eastAsia="zh-CN"/>
        </w:rPr>
        <w:t>，全面保障2021年全省旅发大会的顺利开展，带动青年志愿者围绕中心、服务大局，</w:t>
      </w:r>
      <w:r>
        <w:rPr>
          <w:rFonts w:hint="eastAsia" w:ascii="仿宋_GB2312" w:hAnsi="Times New Roman" w:eastAsia="仿宋_GB2312" w:cs="Times New Roman"/>
          <w:b w:val="0"/>
          <w:bCs w:val="0"/>
          <w:color w:val="auto"/>
          <w:spacing w:val="-6"/>
          <w:sz w:val="32"/>
          <w:szCs w:val="32"/>
          <w:lang w:val="en-US" w:eastAsia="zh-CN"/>
        </w:rPr>
        <w:t>助力朝天文化旅游事业提档升级，助力天府旅游名县创建成功，</w:t>
      </w:r>
      <w:r>
        <w:rPr>
          <w:rFonts w:hint="eastAsia" w:ascii="仿宋_GB2312" w:hAnsi="仿宋_GB2312" w:eastAsia="仿宋_GB2312" w:cs="仿宋_GB2312"/>
          <w:b w:val="0"/>
          <w:bCs w:val="0"/>
          <w:color w:val="auto"/>
          <w:sz w:val="32"/>
          <w:szCs w:val="32"/>
          <w:lang w:val="en-US" w:eastAsia="zh-CN"/>
        </w:rPr>
        <w:t>参加活动志愿者和受服务对象满意度达90%。项目实施科学合理，监管有力到位，责任分工明确，资金拨付及时高效，发挥了项目资金最大利益化，最大效益化，自评分为98分</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b w:val="0"/>
          <w:bCs w:val="0"/>
          <w:color w:val="auto"/>
          <w:spacing w:val="-6"/>
          <w:kern w:val="2"/>
          <w:sz w:val="32"/>
          <w:szCs w:val="32"/>
          <w:lang w:val="zh-CN" w:eastAsia="zh-CN" w:bidi="ar-SA"/>
        </w:rPr>
      </w:pPr>
      <w:r>
        <w:rPr>
          <w:rFonts w:hint="eastAsia" w:ascii="楷体_GB2312" w:hAnsi="宋体" w:eastAsia="楷体_GB2312" w:cs="Times New Roman"/>
          <w:b w:val="0"/>
          <w:bCs w:val="0"/>
          <w:color w:val="auto"/>
          <w:sz w:val="32"/>
          <w:szCs w:val="32"/>
          <w:highlight w:val="none"/>
          <w:lang w:val="zh-CN"/>
        </w:rPr>
        <w:t>（一）评价结论。</w:t>
      </w:r>
      <w:r>
        <w:rPr>
          <w:rFonts w:hint="eastAsia" w:ascii="仿宋_GB2312" w:hAnsi="Times New Roman" w:eastAsia="仿宋_GB2312" w:cs="Times New Roman"/>
          <w:b w:val="0"/>
          <w:bCs w:val="0"/>
          <w:color w:val="auto"/>
          <w:spacing w:val="-6"/>
          <w:kern w:val="2"/>
          <w:sz w:val="32"/>
          <w:szCs w:val="32"/>
          <w:lang w:val="en-US" w:eastAsia="zh-CN" w:bidi="ar-SA"/>
        </w:rPr>
        <w:t>该项目支出自评工作结果较好，质量较高，完整和清晰的反应出我委在2021年度预算项目执行情况、资金使用情况。</w:t>
      </w:r>
    </w:p>
    <w:p>
      <w:pPr>
        <w:adjustRightInd w:val="0"/>
        <w:snapToGrid w:val="0"/>
        <w:spacing w:line="580" w:lineRule="exact"/>
        <w:ind w:firstLine="720"/>
        <w:rPr>
          <w:rFonts w:hint="eastAsia" w:ascii="仿宋_GB2312" w:hAnsi="仿宋_GB2312" w:eastAsia="仿宋_GB2312" w:cs="仿宋_GB2312"/>
          <w:b w:val="0"/>
          <w:bCs w:val="0"/>
          <w:color w:val="auto"/>
          <w:spacing w:val="-6"/>
          <w:sz w:val="32"/>
          <w:szCs w:val="32"/>
          <w:lang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二</w:t>
      </w:r>
      <w:r>
        <w:rPr>
          <w:rFonts w:hint="eastAsia" w:ascii="楷体_GB2312" w:hAnsi="Times New Roman" w:eastAsia="楷体_GB2312" w:cs="Times New Roman"/>
          <w:b w:val="0"/>
          <w:bCs w:val="0"/>
          <w:color w:val="auto"/>
          <w:spacing w:val="-6"/>
          <w:sz w:val="32"/>
          <w:szCs w:val="32"/>
        </w:rPr>
        <w:t>）存在的问题</w:t>
      </w:r>
      <w:r>
        <w:rPr>
          <w:rFonts w:hint="eastAsia" w:ascii="楷体_GB2312" w:hAnsi="Times New Roman" w:eastAsia="楷体_GB2312" w:cs="Times New Roman"/>
          <w:b w:val="0"/>
          <w:bCs w:val="0"/>
          <w:color w:val="auto"/>
          <w:spacing w:val="-6"/>
          <w:sz w:val="32"/>
          <w:szCs w:val="32"/>
          <w:lang w:eastAsia="zh-CN"/>
        </w:rPr>
        <w:t>。</w:t>
      </w:r>
      <w:r>
        <w:rPr>
          <w:rFonts w:hint="eastAsia" w:ascii="仿宋_GB2312" w:hAnsi="仿宋_GB2312" w:eastAsia="仿宋_GB2312" w:cs="仿宋_GB2312"/>
          <w:b w:val="0"/>
          <w:bCs w:val="0"/>
          <w:color w:val="auto"/>
          <w:sz w:val="32"/>
          <w:szCs w:val="32"/>
          <w:lang w:val="en-US" w:eastAsia="zh-CN"/>
        </w:rPr>
        <w:t>广大青年对天府旅游名县创建活动的认识不够，主动参加服务的意愿不强烈，招募的青年志愿者大多没有过相关的志愿服务经历，优质的服务能力和水平还有待提升</w:t>
      </w:r>
      <w:r>
        <w:rPr>
          <w:rFonts w:hint="eastAsia" w:ascii="仿宋_GB2312" w:hAnsi="仿宋_GB2312" w:eastAsia="仿宋_GB2312" w:cs="仿宋_GB2312"/>
          <w:b w:val="0"/>
          <w:bCs w:val="0"/>
          <w:color w:val="auto"/>
          <w:sz w:val="32"/>
          <w:szCs w:val="32"/>
          <w:lang w:val="en" w:eastAsia="zh-CN"/>
        </w:rPr>
        <w:t>。</w:t>
      </w:r>
    </w:p>
    <w:p>
      <w:pPr>
        <w:autoSpaceDE w:val="0"/>
        <w:spacing w:line="540" w:lineRule="exact"/>
        <w:ind w:firstLine="616" w:firstLineChars="200"/>
        <w:rPr>
          <w:rFonts w:hint="eastAsia" w:ascii="仿宋_GB2312" w:hAnsi="仿宋_GB2312" w:eastAsia="仿宋_GB2312" w:cs="仿宋_GB2312"/>
          <w:b w:val="0"/>
          <w:bCs w:val="0"/>
          <w:color w:val="auto"/>
          <w:sz w:val="32"/>
          <w:szCs w:val="32"/>
          <w:lang w:val="zh-CN" w:eastAsia="zh-CN"/>
        </w:rPr>
      </w:pPr>
      <w:r>
        <w:rPr>
          <w:rFonts w:hint="eastAsia" w:ascii="楷体_GB2312" w:hAnsi="Times New Roman" w:eastAsia="楷体_GB2312" w:cs="Times New Roman"/>
          <w:b w:val="0"/>
          <w:bCs w:val="0"/>
          <w:color w:val="auto"/>
          <w:spacing w:val="-6"/>
          <w:sz w:val="32"/>
          <w:szCs w:val="32"/>
        </w:rPr>
        <w:t>（</w:t>
      </w:r>
      <w:r>
        <w:rPr>
          <w:rFonts w:hint="eastAsia" w:ascii="楷体_GB2312" w:eastAsia="楷体_GB2312" w:cs="Times New Roman"/>
          <w:b w:val="0"/>
          <w:bCs w:val="0"/>
          <w:color w:val="auto"/>
          <w:spacing w:val="-6"/>
          <w:sz w:val="32"/>
          <w:szCs w:val="32"/>
          <w:lang w:val="en-US" w:eastAsia="zh-CN"/>
        </w:rPr>
        <w:t>三</w:t>
      </w:r>
      <w:r>
        <w:rPr>
          <w:rFonts w:hint="eastAsia" w:ascii="楷体_GB2312" w:hAnsi="Times New Roman" w:eastAsia="楷体_GB2312" w:cs="Times New Roman"/>
          <w:b w:val="0"/>
          <w:bCs w:val="0"/>
          <w:color w:val="auto"/>
          <w:spacing w:val="-6"/>
          <w:sz w:val="32"/>
          <w:szCs w:val="32"/>
        </w:rPr>
        <w:t>）相关建议。</w:t>
      </w:r>
      <w:r>
        <w:rPr>
          <w:rFonts w:hint="eastAsia" w:ascii="仿宋_GB2312" w:hAnsi="仿宋_GB2312" w:eastAsia="仿宋_GB2312" w:cs="仿宋_GB2312"/>
          <w:b w:val="0"/>
          <w:bCs w:val="0"/>
          <w:color w:val="auto"/>
          <w:sz w:val="32"/>
          <w:szCs w:val="32"/>
          <w:lang w:val="en-US" w:eastAsia="zh-CN"/>
        </w:rPr>
        <w:t>深化志愿服务体系改革，加强专业性青年志愿者队伍建设，及早在全区范围组织、招募一批青年志愿者，分类建立志愿者台账，加强日常服务能力培训、水平提升，逐步建立人员充实、优质专业、热情奉献的志愿者队伍，积极参与全区中心大局工作</w:t>
      </w:r>
      <w:r>
        <w:rPr>
          <w:rFonts w:hint="eastAsia" w:ascii="仿宋_GB2312" w:hAnsi="仿宋_GB2312" w:eastAsia="仿宋_GB2312" w:cs="仿宋_GB2312"/>
          <w:b w:val="0"/>
          <w:bCs w:val="0"/>
          <w:color w:val="auto"/>
          <w:sz w:val="32"/>
          <w:szCs w:val="32"/>
          <w:lang w:val="zh-CN" w:eastAsia="zh-CN"/>
        </w:rPr>
        <w:t>。</w:t>
      </w:r>
    </w:p>
    <w:p>
      <w:pPr>
        <w:rPr>
          <w:rFonts w:hint="eastAsia" w:ascii="仿宋_GB2312" w:hAnsi="宋体" w:eastAsia="仿宋_GB2312" w:cs="Times New Roman"/>
          <w:b w:val="0"/>
          <w:bCs w:val="0"/>
          <w:color w:val="auto"/>
          <w:spacing w:val="-6"/>
          <w:kern w:val="0"/>
          <w:sz w:val="32"/>
          <w:szCs w:val="32"/>
          <w:lang w:val="en-US" w:eastAsia="zh-CN"/>
        </w:rPr>
      </w:pPr>
      <w:r>
        <w:rPr>
          <w:rFonts w:hint="eastAsia" w:ascii="仿宋_GB2312" w:hAnsi="宋体" w:eastAsia="仿宋_GB2312" w:cs="Times New Roman"/>
          <w:b w:val="0"/>
          <w:bCs w:val="0"/>
          <w:color w:val="auto"/>
          <w:spacing w:val="-6"/>
          <w:kern w:val="0"/>
          <w:sz w:val="32"/>
          <w:szCs w:val="32"/>
          <w:lang w:val="en-US" w:eastAsia="zh-CN"/>
        </w:rPr>
        <w:br w:type="page"/>
      </w:r>
    </w:p>
    <w:p>
      <w:pPr>
        <w:rPr>
          <w:rFonts w:hint="eastAsia" w:ascii="仿宋_GB2312" w:hAnsi="宋体" w:eastAsia="仿宋_GB2312" w:cs="Times New Roman"/>
          <w:b w:val="0"/>
          <w:bCs w:val="0"/>
          <w:color w:val="auto"/>
          <w:spacing w:val="-6"/>
          <w:kern w:val="0"/>
          <w:sz w:val="32"/>
          <w:szCs w:val="32"/>
          <w:lang w:val="en-US" w:eastAsia="zh-CN"/>
        </w:rPr>
      </w:pPr>
      <w:r>
        <w:rPr>
          <w:rFonts w:hint="eastAsia" w:ascii="仿宋_GB2312" w:hAnsi="宋体" w:eastAsia="仿宋_GB2312" w:cs="Times New Roman"/>
          <w:b w:val="0"/>
          <w:bCs w:val="0"/>
          <w:color w:val="auto"/>
          <w:spacing w:val="-6"/>
          <w:kern w:val="0"/>
          <w:sz w:val="32"/>
          <w:szCs w:val="32"/>
          <w:lang w:val="en-US" w:eastAsia="zh-CN"/>
        </w:rPr>
        <w:t>附表</w:t>
      </w: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848"/>
        <w:gridCol w:w="1404"/>
        <w:gridCol w:w="1575"/>
        <w:gridCol w:w="1363"/>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val="0"/>
                <w:bCs w:val="0"/>
                <w:i w:val="0"/>
                <w:color w:val="auto"/>
                <w:sz w:val="32"/>
                <w:szCs w:val="32"/>
                <w:highlight w:val="none"/>
                <w:u w:val="none"/>
              </w:rPr>
            </w:pPr>
            <w:r>
              <w:rPr>
                <w:rFonts w:hint="eastAsia" w:ascii="宋体" w:hAnsi="宋体" w:eastAsia="宋体" w:cs="宋体"/>
                <w:b w:val="0"/>
                <w:bCs w:val="0"/>
                <w:i w:val="0"/>
                <w:color w:val="auto"/>
                <w:sz w:val="32"/>
                <w:szCs w:val="32"/>
                <w:highlight w:val="none"/>
                <w:u w:val="none"/>
                <w:lang w:val="en-US" w:eastAsia="zh-CN"/>
              </w:rPr>
              <w:t>2021年度天府旅游名县创建项目绩效目标自评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主管部门及代码</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共青团广元市朝天区委员会376301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cs="宋体"/>
                <w:b w:val="0"/>
                <w:bCs w:val="0"/>
                <w:i w:val="0"/>
                <w:color w:val="auto"/>
                <w:sz w:val="21"/>
                <w:szCs w:val="21"/>
                <w:highlight w:val="none"/>
                <w:u w:val="none"/>
                <w:lang w:val="en-US" w:eastAsia="zh-CN"/>
              </w:rPr>
              <w:t>共青团广元市朝天区委员会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（万元）</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预算数：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20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20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完成情况</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预期目标</w:t>
            </w:r>
          </w:p>
        </w:tc>
        <w:tc>
          <w:tcPr>
            <w:tcW w:w="3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491" w:hRule="atLeast"/>
        </w:trPr>
        <w:tc>
          <w:tcPr>
            <w:tcW w:w="1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eastAsia="宋体" w:cs="宋体"/>
                <w:i w:val="0"/>
                <w:color w:val="000000"/>
                <w:kern w:val="0"/>
                <w:sz w:val="18"/>
                <w:szCs w:val="18"/>
                <w:u w:val="none"/>
                <w:lang w:val="en-US" w:eastAsia="zh-CN" w:bidi="ar"/>
              </w:rPr>
              <w:t>服务全省旅发大会志愿者随车解说工作，做好志愿者选拔、培训、组织及后勤保障等工作，在大会现场参观过程中做好随车解说、服务等工作，助力天府旅游名县创建。</w:t>
            </w:r>
          </w:p>
        </w:tc>
        <w:tc>
          <w:tcPr>
            <w:tcW w:w="3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i w:val="0"/>
                <w:color w:val="000000"/>
                <w:kern w:val="0"/>
                <w:sz w:val="18"/>
                <w:szCs w:val="18"/>
                <w:u w:val="none"/>
                <w:lang w:val="en-US" w:eastAsia="zh-CN" w:bidi="ar"/>
              </w:rPr>
              <w:t xml:space="preserve">保障全省旅发大会志愿者随车解说工作顺利进行，助力我区天府旅游名县创建成功。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90"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年度绩效指标完成情况</w:t>
            </w:r>
          </w:p>
        </w:tc>
        <w:tc>
          <w:tcPr>
            <w:tcW w:w="84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数量指标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志愿者人数</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86人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质量指标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青年志愿者参与率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时效指标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志愿服务完成时间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2021全省旅发大会召开期间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7月27日-28日，2021全省旅发大会召开期间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4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成本指标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志愿者生活补助</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≤10.2万元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10.17万元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4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培训费用</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≤0.8万元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0.75万元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1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p>
        </w:tc>
        <w:tc>
          <w:tcPr>
            <w:tcW w:w="140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志愿者服装费用</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≤9万元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8.86万元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73"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4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经济效益指标</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带动青年志愿者积极参与全区中心工作，助力全区文旅经济发展。</w:t>
            </w:r>
          </w:p>
        </w:tc>
        <w:tc>
          <w:tcPr>
            <w:tcW w:w="13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青年志愿者积极参与全区中心工作中，助力天府旅游名县创建，极大促进我区文旅经济发展，辐射带动区域内群众发展。</w:t>
            </w:r>
          </w:p>
        </w:tc>
        <w:tc>
          <w:tcPr>
            <w:tcW w:w="24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青年志愿者积极参与全区中心工作中，助力天府旅游名县创建成功，极大促进我区文旅经济发展，辐射带动区域内群众发展。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61"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p>
        </w:tc>
        <w:tc>
          <w:tcPr>
            <w:tcW w:w="14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社会效益指标</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提升朝天知名度、美誉度，进一步提升老百姓</w:t>
            </w:r>
            <w:r>
              <w:rPr>
                <w:rFonts w:hint="eastAsia" w:ascii="宋体" w:hAnsi="宋体" w:cs="宋体"/>
                <w:b w:val="0"/>
                <w:bCs w:val="0"/>
                <w:i w:val="0"/>
                <w:iCs w:val="0"/>
                <w:color w:val="auto"/>
                <w:kern w:val="0"/>
                <w:sz w:val="18"/>
                <w:szCs w:val="18"/>
                <w:u w:val="none"/>
                <w:lang w:val="en-US" w:eastAsia="zh-CN" w:bidi="ar"/>
              </w:rPr>
              <w:t>幸福感</w:t>
            </w:r>
            <w:r>
              <w:rPr>
                <w:rFonts w:hint="eastAsia" w:ascii="宋体" w:hAnsi="宋体" w:eastAsia="宋体" w:cs="宋体"/>
                <w:b w:val="0"/>
                <w:bCs w:val="0"/>
                <w:i w:val="0"/>
                <w:iCs w:val="0"/>
                <w:color w:val="auto"/>
                <w:kern w:val="0"/>
                <w:sz w:val="18"/>
                <w:szCs w:val="18"/>
                <w:u w:val="none"/>
                <w:lang w:val="en-US" w:eastAsia="zh-CN" w:bidi="ar"/>
              </w:rPr>
              <w:t>、获得感。</w:t>
            </w:r>
          </w:p>
        </w:tc>
        <w:tc>
          <w:tcPr>
            <w:tcW w:w="13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成效明显</w:t>
            </w:r>
          </w:p>
        </w:tc>
        <w:tc>
          <w:tcPr>
            <w:tcW w:w="24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p>
        </w:tc>
        <w:tc>
          <w:tcPr>
            <w:tcW w:w="14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可持续影响指标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长期</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21"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度指标</w:t>
            </w:r>
          </w:p>
        </w:tc>
        <w:tc>
          <w:tcPr>
            <w:tcW w:w="140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满意度指标</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服务对象满意度</w:t>
            </w:r>
          </w:p>
        </w:tc>
        <w:tc>
          <w:tcPr>
            <w:tcW w:w="13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iCs w:val="0"/>
                <w:color w:val="auto"/>
                <w:kern w:val="0"/>
                <w:sz w:val="18"/>
                <w:szCs w:val="18"/>
                <w:u w:val="none"/>
                <w:lang w:val="en-US" w:eastAsia="zh-CN" w:bidi="ar"/>
              </w:rPr>
              <w:t>≥90%</w:t>
            </w:r>
          </w:p>
        </w:tc>
        <w:tc>
          <w:tcPr>
            <w:tcW w:w="24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highlight w:val="none"/>
                <w:u w:val="none"/>
                <w:lang w:val="en-US" w:eastAsia="zh-CN"/>
              </w:rPr>
            </w:pPr>
            <w:r>
              <w:rPr>
                <w:rFonts w:hint="eastAsia" w:ascii="宋体" w:hAnsi="宋体" w:eastAsia="宋体" w:cs="宋体"/>
                <w:b w:val="0"/>
                <w:bCs w:val="0"/>
                <w:i w:val="0"/>
                <w:iCs w:val="0"/>
                <w:color w:val="auto"/>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99" w:hRule="atLeast"/>
        </w:trPr>
        <w:tc>
          <w:tcPr>
            <w:tcW w:w="19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p>
        </w:tc>
        <w:tc>
          <w:tcPr>
            <w:tcW w:w="140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群众满意度</w:t>
            </w:r>
          </w:p>
        </w:tc>
        <w:tc>
          <w:tcPr>
            <w:tcW w:w="13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≥90%</w:t>
            </w:r>
          </w:p>
        </w:tc>
        <w:tc>
          <w:tcPr>
            <w:tcW w:w="24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≥90%</w:t>
            </w:r>
          </w:p>
        </w:tc>
      </w:tr>
    </w:tbl>
    <w:p>
      <w:pPr>
        <w:pStyle w:val="2"/>
        <w:ind w:left="0" w:leftChars="0" w:firstLine="0" w:firstLineChars="0"/>
        <w:rPr>
          <w:rFonts w:hint="default"/>
          <w:b w:val="0"/>
          <w:bCs w:val="0"/>
          <w:color w:val="auto"/>
          <w:lang w:val="en-US" w:eastAsia="zh-CN"/>
        </w:rPr>
      </w:pPr>
    </w:p>
    <w:p>
      <w:pPr>
        <w:rPr>
          <w:rFonts w:hint="eastAsia" w:ascii="黑体" w:hAnsi="黑体" w:eastAsia="黑体"/>
          <w:b w:val="0"/>
          <w:bCs w:val="0"/>
          <w:color w:val="auto"/>
          <w:sz w:val="44"/>
          <w:szCs w:val="44"/>
          <w:highlight w:val="none"/>
        </w:rPr>
      </w:pPr>
      <w:bookmarkStart w:id="59" w:name="_Toc15396618"/>
      <w:r>
        <w:rPr>
          <w:rFonts w:hint="eastAsia" w:ascii="黑体" w:hAnsi="黑体" w:eastAsia="黑体"/>
          <w:b w:val="0"/>
          <w:bCs w:val="0"/>
          <w:color w:val="auto"/>
          <w:sz w:val="44"/>
          <w:szCs w:val="44"/>
          <w:highlight w:val="none"/>
        </w:rPr>
        <w:br w:type="page"/>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b w:val="0"/>
          <w:bCs w:val="0"/>
          <w:color w:val="auto"/>
          <w:sz w:val="44"/>
          <w:szCs w:val="44"/>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spacing w:line="576" w:lineRule="exact"/>
        <w:ind w:left="0" w:right="0"/>
        <w:jc w:val="center"/>
        <w:textAlignment w:val="auto"/>
        <w:rPr>
          <w:rFonts w:hint="eastAsia" w:ascii="方正小标宋简体" w:hAnsi="方正小标宋简体" w:eastAsia="方正小标宋简体" w:cs="方正小标宋简体"/>
          <w:b w:val="0"/>
          <w:bCs w:val="0"/>
          <w:color w:val="auto"/>
          <w:kern w:val="2"/>
          <w:sz w:val="40"/>
          <w:szCs w:val="40"/>
          <w:highlight w:val="none"/>
          <w:lang w:val="zh-CN" w:eastAsia="zh-CN" w:bidi="ar-SA"/>
        </w:rPr>
      </w:pPr>
      <w:r>
        <w:rPr>
          <w:rFonts w:hint="eastAsia" w:ascii="方正小标宋简体" w:hAnsi="方正小标宋简体" w:eastAsia="方正小标宋简体" w:cs="方正小标宋简体"/>
          <w:b w:val="0"/>
          <w:bCs w:val="0"/>
          <w:color w:val="auto"/>
          <w:kern w:val="2"/>
          <w:sz w:val="40"/>
          <w:szCs w:val="40"/>
          <w:highlight w:val="none"/>
          <w:lang w:val="en-US" w:eastAsia="zh-CN" w:bidi="ar-SA"/>
        </w:rPr>
        <w:t>2021年度金财网络维护费</w:t>
      </w:r>
      <w:r>
        <w:rPr>
          <w:rFonts w:hint="eastAsia" w:ascii="方正小标宋简体" w:hAnsi="方正小标宋简体" w:eastAsia="方正小标宋简体" w:cs="方正小标宋简体"/>
          <w:b w:val="0"/>
          <w:bCs w:val="0"/>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576" w:lineRule="exact"/>
        <w:ind w:left="0" w:right="0" w:firstLine="640"/>
        <w:jc w:val="center"/>
        <w:textAlignment w:val="auto"/>
        <w:rPr>
          <w:rFonts w:ascii="宋体" w:hAnsi="宋体" w:eastAsia="宋体" w:cs="Times New Roman"/>
          <w:b w:val="0"/>
          <w:bCs w:val="0"/>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黑体" w:hAnsi="宋体" w:eastAsia="黑体" w:cs="Times New Roman"/>
          <w:b w:val="0"/>
          <w:bCs w:val="0"/>
          <w:color w:val="auto"/>
          <w:sz w:val="32"/>
          <w:szCs w:val="32"/>
          <w:highlight w:val="none"/>
          <w:lang w:val="zh-CN"/>
        </w:rPr>
      </w:pPr>
      <w:r>
        <w:rPr>
          <w:rFonts w:hint="eastAsia" w:ascii="黑体" w:hAnsi="宋体" w:eastAsia="黑体" w:cs="Times New Roman"/>
          <w:b w:val="0"/>
          <w:bCs w:val="0"/>
          <w:color w:val="auto"/>
          <w:sz w:val="32"/>
          <w:szCs w:val="32"/>
          <w:highlight w:val="none"/>
        </w:rPr>
        <w:t>一、</w:t>
      </w:r>
      <w:r>
        <w:rPr>
          <w:rFonts w:hint="eastAsia" w:ascii="黑体" w:hAnsi="宋体" w:eastAsia="黑体" w:cs="Times New Roman"/>
          <w:b w:val="0"/>
          <w:bCs w:val="0"/>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（一）项目基本情况</w:t>
      </w:r>
    </w:p>
    <w:p>
      <w:pPr>
        <w:pageBreakBefore w:val="0"/>
        <w:widowControl w:val="0"/>
        <w:kinsoku/>
        <w:wordWrap/>
        <w:overflowPunct/>
        <w:topLinePunct w:val="0"/>
        <w:autoSpaceDE w:val="0"/>
        <w:autoSpaceDN/>
        <w:bidi w:val="0"/>
        <w:spacing w:line="576" w:lineRule="exact"/>
        <w:ind w:firstLine="640" w:firstLineChars="200"/>
        <w:textAlignment w:val="auto"/>
        <w:rPr>
          <w:rFonts w:hint="eastAsia" w:ascii="楷体_GB2312" w:hAnsi="Times New Roman" w:eastAsia="楷体_GB2312" w:cs="Times New Roman"/>
          <w:b w:val="0"/>
          <w:bCs w:val="0"/>
          <w:color w:val="auto"/>
          <w:spacing w:val="-6"/>
          <w:sz w:val="32"/>
          <w:szCs w:val="32"/>
        </w:rPr>
      </w:pPr>
      <w:r>
        <w:rPr>
          <w:rFonts w:hint="eastAsia" w:ascii="仿宋_GB2312" w:hAnsi="仿宋" w:eastAsia="仿宋_GB2312" w:cs="Times New Roman"/>
          <w:b w:val="0"/>
          <w:bCs w:val="0"/>
          <w:color w:val="auto"/>
          <w:sz w:val="32"/>
          <w:szCs w:val="32"/>
          <w:highlight w:val="none"/>
          <w:lang w:val="en-US" w:eastAsia="zh-CN"/>
        </w:rPr>
        <w:t>金财网络维护费主要用于保障财务专网的正常使用，保证各项财政资金使用渠道畅通，确保资金使用安全。工作经费主要用以解决在日常运行过程中产生的维修（护）费等，该项目实施周期为2021年度，根据工作实际发生情况，及时拨付使用。</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（二）项目绩效目标</w:t>
      </w:r>
    </w:p>
    <w:p>
      <w:pPr>
        <w:pageBreakBefore w:val="0"/>
        <w:widowControl w:val="0"/>
        <w:numPr>
          <w:ilvl w:val="0"/>
          <w:numId w:val="0"/>
        </w:numPr>
        <w:kinsoku/>
        <w:wordWrap/>
        <w:overflowPunct/>
        <w:topLinePunct w:val="0"/>
        <w:autoSpaceDE w:val="0"/>
        <w:autoSpaceDN/>
        <w:bidi w:val="0"/>
        <w:spacing w:line="576" w:lineRule="exact"/>
        <w:ind w:firstLine="640" w:firstLineChars="200"/>
        <w:textAlignment w:val="auto"/>
        <w:rPr>
          <w:rFonts w:hint="eastAsia" w:ascii="黑体" w:hAnsi="黑体" w:eastAsia="黑体" w:cs="Times New Roman"/>
          <w:b w:val="0"/>
          <w:bCs w:val="0"/>
          <w:color w:val="auto"/>
          <w:spacing w:val="-6"/>
          <w:sz w:val="32"/>
          <w:szCs w:val="32"/>
        </w:rPr>
      </w:pPr>
      <w:r>
        <w:rPr>
          <w:rFonts w:hint="eastAsia" w:ascii="仿宋_GB2312" w:hAnsi="仿宋" w:eastAsia="仿宋_GB2312" w:cs="Times New Roman"/>
          <w:b w:val="0"/>
          <w:bCs w:val="0"/>
          <w:color w:val="auto"/>
          <w:sz w:val="32"/>
          <w:szCs w:val="32"/>
          <w:highlight w:val="none"/>
          <w:lang w:val="en-US" w:eastAsia="zh-CN"/>
        </w:rPr>
        <w:t>金财网络维护费项目年度预算</w:t>
      </w:r>
      <w:r>
        <w:rPr>
          <w:rFonts w:hint="eastAsia" w:ascii="仿宋_GB2312" w:eastAsia="仿宋_GB2312" w:cs="Times New Roman"/>
          <w:b w:val="0"/>
          <w:bCs w:val="0"/>
          <w:color w:val="auto"/>
          <w:spacing w:val="-6"/>
          <w:sz w:val="32"/>
          <w:szCs w:val="32"/>
          <w:lang w:val="en-US" w:eastAsia="zh-CN"/>
        </w:rPr>
        <w:t>0.24</w:t>
      </w:r>
      <w:r>
        <w:rPr>
          <w:rFonts w:hint="eastAsia" w:ascii="仿宋_GB2312" w:hAnsi="Times New Roman" w:eastAsia="仿宋_GB2312" w:cs="Times New Roman"/>
          <w:b w:val="0"/>
          <w:bCs w:val="0"/>
          <w:color w:val="auto"/>
          <w:spacing w:val="-6"/>
          <w:sz w:val="32"/>
          <w:szCs w:val="32"/>
          <w:lang w:val="en-US" w:eastAsia="zh-CN"/>
        </w:rPr>
        <w:t>万元</w:t>
      </w:r>
      <w:r>
        <w:rPr>
          <w:rFonts w:hint="eastAsia" w:ascii="仿宋_GB2312" w:hAnsi="仿宋" w:eastAsia="仿宋_GB2312" w:cs="Times New Roman"/>
          <w:b w:val="0"/>
          <w:bCs w:val="0"/>
          <w:color w:val="auto"/>
          <w:sz w:val="32"/>
          <w:szCs w:val="32"/>
          <w:highlight w:val="none"/>
          <w:lang w:val="en-US" w:eastAsia="zh-CN"/>
        </w:rPr>
        <w:t>，该项目为保障性项目支出，年内项目根据实际工作开展情况，进行拨付。</w:t>
      </w:r>
      <w:r>
        <w:rPr>
          <w:rFonts w:hint="eastAsia" w:ascii="仿宋_GB2312" w:hAnsi="仿宋_GB2312" w:eastAsia="仿宋_GB2312" w:cs="仿宋_GB2312"/>
          <w:b w:val="0"/>
          <w:bCs w:val="0"/>
          <w:color w:val="auto"/>
          <w:spacing w:val="-17"/>
          <w:kern w:val="0"/>
          <w:sz w:val="32"/>
          <w:szCs w:val="32"/>
          <w:lang w:val="en-US" w:eastAsia="zh-CN" w:bidi="ar-SA"/>
        </w:rPr>
        <w:t>关工委工作经费</w:t>
      </w:r>
      <w:r>
        <w:rPr>
          <w:rFonts w:hint="eastAsia" w:ascii="仿宋_GB2312" w:hAnsi="Times New Roman" w:eastAsia="仿宋_GB2312" w:cs="Times New Roman"/>
          <w:b w:val="0"/>
          <w:bCs w:val="0"/>
          <w:color w:val="auto"/>
          <w:spacing w:val="-6"/>
          <w:sz w:val="32"/>
          <w:szCs w:val="32"/>
          <w:lang w:eastAsia="zh-CN"/>
        </w:rPr>
        <w:t>按照财务管理规定及时划拨到位，完成率达</w:t>
      </w:r>
      <w:r>
        <w:rPr>
          <w:rFonts w:hint="eastAsia" w:ascii="仿宋_GB2312" w:hAnsi="Times New Roman" w:eastAsia="仿宋_GB2312" w:cs="Times New Roman"/>
          <w:b w:val="0"/>
          <w:bCs w:val="0"/>
          <w:color w:val="auto"/>
          <w:spacing w:val="-6"/>
          <w:sz w:val="32"/>
          <w:szCs w:val="32"/>
          <w:lang w:val="en-US" w:eastAsia="zh-CN"/>
        </w:rPr>
        <w:t>100%</w:t>
      </w:r>
      <w:r>
        <w:rPr>
          <w:rFonts w:hint="eastAsia" w:ascii="仿宋_GB2312" w:hAnsi="Times New Roman" w:eastAsia="仿宋_GB2312" w:cs="Times New Roman"/>
          <w:b w:val="0"/>
          <w:bCs w:val="0"/>
          <w:color w:val="auto"/>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hint="eastAsia" w:ascii="仿宋_GB2312" w:hAnsi="宋体" w:eastAsia="仿宋_GB2312" w:cs="Times New Roman"/>
          <w:b w:val="0"/>
          <w:bCs w:val="0"/>
          <w:color w:val="auto"/>
          <w:sz w:val="32"/>
          <w:szCs w:val="32"/>
          <w:highlight w:val="none"/>
          <w:lang w:val="zh-CN"/>
        </w:rPr>
      </w:pPr>
      <w:r>
        <w:rPr>
          <w:rFonts w:hint="eastAsia" w:ascii="仿宋_GB2312" w:hAnsi="宋体" w:eastAsia="仿宋_GB2312" w:cs="Times New Roman"/>
          <w:b w:val="0"/>
          <w:bCs w:val="0"/>
          <w:color w:val="auto"/>
          <w:sz w:val="32"/>
          <w:szCs w:val="32"/>
          <w:highlight w:val="none"/>
          <w:lang w:val="zh-CN"/>
        </w:rPr>
        <w:t>本项目采取自评与他评相结合方式,结合评价内容,做到有计划,有安排,扎实开展本次自评工作。按照上级下达的项目支出绩效评价指标体系,针对申报内容、实施情况、资金兑现、财务管理、社会效益等做好自评工作。</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color w:val="auto"/>
          <w:spacing w:val="-6"/>
          <w:sz w:val="32"/>
          <w:szCs w:val="32"/>
          <w:lang w:val="en-US" w:eastAsia="zh-CN"/>
        </w:rPr>
        <w:t>2021年度该项目预算资金为</w:t>
      </w:r>
      <w:r>
        <w:rPr>
          <w:rFonts w:hint="eastAsia" w:ascii="仿宋_GB2312" w:eastAsia="仿宋_GB2312" w:cs="Times New Roman"/>
          <w:b w:val="0"/>
          <w:bCs w:val="0"/>
          <w:color w:val="auto"/>
          <w:spacing w:val="-6"/>
          <w:sz w:val="32"/>
          <w:szCs w:val="32"/>
          <w:lang w:val="en-US" w:eastAsia="zh-CN"/>
        </w:rPr>
        <w:t>0.24</w:t>
      </w:r>
      <w:r>
        <w:rPr>
          <w:rFonts w:hint="eastAsia" w:ascii="仿宋_GB2312" w:hAnsi="Times New Roman" w:eastAsia="仿宋_GB2312" w:cs="Times New Roman"/>
          <w:b w:val="0"/>
          <w:bCs w:val="0"/>
          <w:color w:val="auto"/>
          <w:spacing w:val="-6"/>
          <w:sz w:val="32"/>
          <w:szCs w:val="32"/>
          <w:lang w:val="en-US" w:eastAsia="zh-CN"/>
        </w:rPr>
        <w:t>万元，项目执行预算为</w:t>
      </w:r>
      <w:r>
        <w:rPr>
          <w:rFonts w:hint="eastAsia" w:ascii="仿宋_GB2312" w:eastAsia="仿宋_GB2312" w:cs="Times New Roman"/>
          <w:b w:val="0"/>
          <w:bCs w:val="0"/>
          <w:color w:val="auto"/>
          <w:spacing w:val="-6"/>
          <w:sz w:val="32"/>
          <w:szCs w:val="32"/>
          <w:lang w:val="en-US" w:eastAsia="zh-CN"/>
        </w:rPr>
        <w:t>0.25</w:t>
      </w:r>
      <w:r>
        <w:rPr>
          <w:rFonts w:hint="eastAsia" w:ascii="仿宋_GB2312" w:hAnsi="Times New Roman" w:eastAsia="仿宋_GB2312" w:cs="Times New Roman"/>
          <w:b w:val="0"/>
          <w:bCs w:val="0"/>
          <w:color w:val="auto"/>
          <w:spacing w:val="-6"/>
          <w:sz w:val="32"/>
          <w:szCs w:val="32"/>
          <w:lang w:val="en-US" w:eastAsia="zh-CN"/>
        </w:rPr>
        <w:t>万元。项目测算在区委区政府的决策部署下，由我委根据前期工作情况测算项目标准。2021年度，我委该项目年初预算为</w:t>
      </w:r>
      <w:r>
        <w:rPr>
          <w:rFonts w:hint="eastAsia" w:ascii="仿宋_GB2312" w:eastAsia="仿宋_GB2312" w:cs="Times New Roman"/>
          <w:b w:val="0"/>
          <w:bCs w:val="0"/>
          <w:color w:val="auto"/>
          <w:spacing w:val="-6"/>
          <w:sz w:val="32"/>
          <w:szCs w:val="32"/>
          <w:lang w:val="en-US" w:eastAsia="zh-CN"/>
        </w:rPr>
        <w:t>0.24</w:t>
      </w:r>
      <w:r>
        <w:rPr>
          <w:rFonts w:hint="eastAsia" w:ascii="仿宋_GB2312" w:hAnsi="Times New Roman" w:eastAsia="仿宋_GB2312" w:cs="Times New Roman"/>
          <w:b w:val="0"/>
          <w:bCs w:val="0"/>
          <w:color w:val="auto"/>
          <w:spacing w:val="-6"/>
          <w:sz w:val="32"/>
          <w:szCs w:val="32"/>
          <w:lang w:val="en-US" w:eastAsia="zh-CN"/>
        </w:rPr>
        <w:t>万元，年终无追加，项目执行预算为</w:t>
      </w:r>
      <w:r>
        <w:rPr>
          <w:rFonts w:hint="eastAsia" w:ascii="仿宋_GB2312" w:eastAsia="仿宋_GB2312" w:cs="Times New Roman"/>
          <w:b w:val="0"/>
          <w:bCs w:val="0"/>
          <w:color w:val="auto"/>
          <w:spacing w:val="-6"/>
          <w:sz w:val="32"/>
          <w:szCs w:val="32"/>
          <w:lang w:val="en-US" w:eastAsia="zh-CN"/>
        </w:rPr>
        <w:t>0.24</w:t>
      </w:r>
      <w:r>
        <w:rPr>
          <w:rFonts w:hint="eastAsia" w:ascii="仿宋_GB2312" w:hAnsi="Times New Roman" w:eastAsia="仿宋_GB2312" w:cs="Times New Roman"/>
          <w:b w:val="0"/>
          <w:bCs w:val="0"/>
          <w:color w:val="auto"/>
          <w:spacing w:val="-6"/>
          <w:sz w:val="32"/>
          <w:szCs w:val="32"/>
          <w:lang w:val="en-US" w:eastAsia="zh-CN"/>
        </w:rPr>
        <w:t>万元。</w:t>
      </w:r>
      <w:r>
        <w:rPr>
          <w:rFonts w:hint="eastAsia" w:ascii="仿宋_GB2312" w:hAnsi="宋体" w:eastAsia="仿宋_GB2312" w:cs="Times New Roman"/>
          <w:b w:val="0"/>
          <w:bCs w:val="0"/>
          <w:color w:val="auto"/>
          <w:sz w:val="32"/>
          <w:szCs w:val="32"/>
          <w:highlight w:val="none"/>
          <w:lang w:val="en-US" w:eastAsia="zh-CN"/>
        </w:rPr>
        <w:t>资金及时批复到位，符合资金管理办法等相关规定。</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（二）资金计划、到位及使用情况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en-US" w:eastAsia="zh-CN"/>
        </w:rPr>
        <w:t>1.</w:t>
      </w:r>
      <w:r>
        <w:rPr>
          <w:rFonts w:hint="eastAsia" w:ascii="楷体_GB2312" w:hAnsi="宋体" w:eastAsia="楷体_GB2312" w:cs="Times New Roman"/>
          <w:b w:val="0"/>
          <w:bCs w:val="0"/>
          <w:color w:val="auto"/>
          <w:sz w:val="32"/>
          <w:szCs w:val="32"/>
          <w:highlight w:val="none"/>
          <w:lang w:val="zh-CN"/>
        </w:rPr>
        <w:t>资金计划。</w:t>
      </w:r>
      <w:r>
        <w:rPr>
          <w:rFonts w:hint="eastAsia" w:ascii="仿宋_GB2312" w:hAnsi="仿宋_GB2312" w:eastAsia="仿宋_GB2312" w:cs="仿宋_GB2312"/>
          <w:b w:val="0"/>
          <w:bCs w:val="0"/>
          <w:color w:val="auto"/>
          <w:spacing w:val="-17"/>
          <w:kern w:val="0"/>
          <w:sz w:val="32"/>
          <w:szCs w:val="32"/>
          <w:lang w:val="en-US" w:eastAsia="zh-CN" w:bidi="ar-SA"/>
        </w:rPr>
        <w:t>金财网络维护费</w:t>
      </w:r>
      <w:r>
        <w:rPr>
          <w:rFonts w:hint="eastAsia" w:ascii="仿宋_GB2312" w:hAnsi="仿宋_GB2312" w:eastAsia="仿宋_GB2312" w:cs="仿宋_GB2312"/>
          <w:b w:val="0"/>
          <w:bCs w:val="0"/>
          <w:color w:val="auto"/>
          <w:sz w:val="32"/>
          <w:szCs w:val="32"/>
          <w:lang w:eastAsia="zh-CN"/>
        </w:rPr>
        <w:t>于年初随同部门预算一同下达到单位，我委根据年度工作任务及项目实施情况，及时申请项目资金使用计划，在财政资金计划审核批复后，单位及时按预算下达。</w:t>
      </w:r>
    </w:p>
    <w:p>
      <w:pPr>
        <w:keepNext w:val="0"/>
        <w:keepLines w:val="0"/>
        <w:pageBreakBefore w:val="0"/>
        <w:kinsoku/>
        <w:wordWrap/>
        <w:overflowPunct/>
        <w:topLinePunct w:val="0"/>
        <w:autoSpaceDE/>
        <w:autoSpaceDN/>
        <w:bidi w:val="0"/>
        <w:adjustRightInd w:val="0"/>
        <w:snapToGrid w:val="0"/>
        <w:spacing w:line="576" w:lineRule="exact"/>
        <w:ind w:right="0" w:firstLine="640" w:firstLineChars="200"/>
        <w:textAlignment w:val="auto"/>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en-US" w:eastAsia="zh-CN"/>
        </w:rPr>
        <w:t>2.</w:t>
      </w:r>
      <w:r>
        <w:rPr>
          <w:rFonts w:hint="eastAsia" w:ascii="楷体_GB2312" w:hAnsi="宋体" w:eastAsia="楷体_GB2312" w:cs="Times New Roman"/>
          <w:b w:val="0"/>
          <w:bCs w:val="0"/>
          <w:color w:val="auto"/>
          <w:sz w:val="32"/>
          <w:szCs w:val="32"/>
          <w:highlight w:val="none"/>
          <w:lang w:val="zh-CN"/>
        </w:rPr>
        <w:t>资金到位。</w:t>
      </w:r>
      <w:r>
        <w:rPr>
          <w:rFonts w:hint="eastAsia" w:ascii="仿宋_GB2312" w:hAnsi="仿宋_GB2312" w:eastAsia="仿宋_GB2312" w:cs="仿宋_GB2312"/>
          <w:b w:val="0"/>
          <w:bCs w:val="0"/>
          <w:color w:val="auto"/>
          <w:sz w:val="32"/>
          <w:szCs w:val="32"/>
          <w:lang w:eastAsia="zh-CN"/>
        </w:rPr>
        <w:t>截止</w:t>
      </w:r>
      <w:r>
        <w:rPr>
          <w:rFonts w:hint="eastAsia" w:ascii="仿宋_GB2312" w:hAnsi="仿宋_GB2312" w:eastAsia="仿宋_GB2312" w:cs="仿宋_GB2312"/>
          <w:b w:val="0"/>
          <w:bCs w:val="0"/>
          <w:color w:val="auto"/>
          <w:sz w:val="32"/>
          <w:szCs w:val="32"/>
          <w:lang w:val="en-US" w:eastAsia="zh-CN"/>
        </w:rPr>
        <w:t>2021年12月，</w:t>
      </w:r>
      <w:r>
        <w:rPr>
          <w:rFonts w:hint="eastAsia" w:ascii="仿宋_GB2312" w:hAnsi="仿宋_GB2312" w:eastAsia="仿宋_GB2312" w:cs="仿宋_GB2312"/>
          <w:b w:val="0"/>
          <w:bCs w:val="0"/>
          <w:color w:val="auto"/>
          <w:spacing w:val="-17"/>
          <w:kern w:val="0"/>
          <w:sz w:val="32"/>
          <w:szCs w:val="32"/>
          <w:lang w:val="en-US" w:eastAsia="zh-CN" w:bidi="ar-SA"/>
        </w:rPr>
        <w:t>金财网络维护费</w:t>
      </w:r>
      <w:r>
        <w:rPr>
          <w:rFonts w:hint="eastAsia" w:ascii="仿宋_GB2312" w:hAnsi="仿宋_GB2312" w:eastAsia="仿宋_GB2312" w:cs="仿宋_GB2312"/>
          <w:b w:val="0"/>
          <w:bCs w:val="0"/>
          <w:color w:val="auto"/>
          <w:sz w:val="32"/>
          <w:szCs w:val="32"/>
          <w:lang w:val="en-US" w:eastAsia="zh-CN"/>
        </w:rPr>
        <w:t>全部拨付到位，</w:t>
      </w:r>
      <w:r>
        <w:rPr>
          <w:rFonts w:hint="eastAsia" w:ascii="仿宋_GB2312" w:hAnsi="仿宋_GB2312" w:eastAsia="仿宋_GB2312" w:cs="仿宋_GB2312"/>
          <w:b w:val="0"/>
          <w:bCs w:val="0"/>
          <w:color w:val="auto"/>
          <w:sz w:val="32"/>
          <w:szCs w:val="32"/>
        </w:rPr>
        <w:t>资金到位率100%。</w:t>
      </w:r>
    </w:p>
    <w:p>
      <w:pPr>
        <w:spacing w:line="580" w:lineRule="exact"/>
        <w:ind w:firstLine="640"/>
        <w:rPr>
          <w:rFonts w:hint="default" w:eastAsia="仿宋_GB2312"/>
          <w:b w:val="0"/>
          <w:bCs w:val="0"/>
          <w:color w:val="auto"/>
          <w:lang w:val="en-US" w:eastAsia="zh-CN"/>
        </w:rPr>
      </w:pPr>
      <w:r>
        <w:rPr>
          <w:rFonts w:hint="eastAsia" w:ascii="楷体_GB2312" w:hAnsi="宋体" w:eastAsia="楷体_GB2312" w:cs="Times New Roman"/>
          <w:b w:val="0"/>
          <w:bCs w:val="0"/>
          <w:color w:val="auto"/>
          <w:sz w:val="32"/>
          <w:szCs w:val="32"/>
          <w:highlight w:val="none"/>
          <w:lang w:val="en-US" w:eastAsia="zh-CN"/>
        </w:rPr>
        <w:t>3.</w:t>
      </w:r>
      <w:r>
        <w:rPr>
          <w:rFonts w:hint="eastAsia" w:ascii="楷体_GB2312" w:hAnsi="宋体" w:eastAsia="楷体_GB2312" w:cs="Times New Roman"/>
          <w:b w:val="0"/>
          <w:bCs w:val="0"/>
          <w:color w:val="auto"/>
          <w:sz w:val="32"/>
          <w:szCs w:val="32"/>
          <w:highlight w:val="none"/>
          <w:lang w:val="zh-CN"/>
        </w:rPr>
        <w:t>资金使用。</w:t>
      </w:r>
      <w:r>
        <w:rPr>
          <w:rFonts w:hint="eastAsia" w:ascii="仿宋_GB2312" w:hAnsi="仿宋_GB2312" w:eastAsia="仿宋_GB2312" w:cs="仿宋_GB2312"/>
          <w:b w:val="0"/>
          <w:bCs w:val="0"/>
          <w:color w:val="auto"/>
          <w:sz w:val="32"/>
          <w:szCs w:val="32"/>
        </w:rPr>
        <w:t>财政局</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color w:val="auto"/>
          <w:sz w:val="32"/>
          <w:szCs w:val="32"/>
        </w:rPr>
        <w:t>年初预算</w:t>
      </w:r>
      <w:r>
        <w:rPr>
          <w:rFonts w:hint="eastAsia" w:ascii="仿宋_GB2312" w:hAnsi="仿宋_GB2312" w:eastAsia="仿宋_GB2312" w:cs="仿宋_GB2312"/>
          <w:b w:val="0"/>
          <w:bCs w:val="0"/>
          <w:color w:val="auto"/>
          <w:sz w:val="32"/>
          <w:szCs w:val="32"/>
          <w:lang w:eastAsia="zh-CN"/>
        </w:rPr>
        <w:t>下达</w:t>
      </w:r>
      <w:r>
        <w:rPr>
          <w:rFonts w:hint="eastAsia" w:ascii="仿宋_GB2312" w:hAnsi="仿宋_GB2312" w:eastAsia="仿宋_GB2312" w:cs="仿宋_GB2312"/>
          <w:b w:val="0"/>
          <w:bCs w:val="0"/>
          <w:color w:val="auto"/>
          <w:spacing w:val="-17"/>
          <w:kern w:val="0"/>
          <w:sz w:val="32"/>
          <w:szCs w:val="32"/>
          <w:lang w:val="en-US" w:eastAsia="zh-CN" w:bidi="ar-SA"/>
        </w:rPr>
        <w:t>金财网络维护费0.24</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到单位</w:t>
      </w:r>
      <w:r>
        <w:rPr>
          <w:rFonts w:hint="eastAsia" w:ascii="仿宋_GB2312" w:hAnsi="仿宋_GB2312" w:eastAsia="仿宋_GB2312" w:cs="仿宋_GB2312"/>
          <w:b w:val="0"/>
          <w:bCs w:val="0"/>
          <w:color w:val="auto"/>
          <w:sz w:val="32"/>
          <w:szCs w:val="32"/>
        </w:rPr>
        <w:t>，用于</w:t>
      </w:r>
      <w:r>
        <w:rPr>
          <w:rFonts w:hint="eastAsia" w:ascii="仿宋_GB2312" w:hAnsi="仿宋_GB2312" w:eastAsia="仿宋_GB2312" w:cs="仿宋_GB2312"/>
          <w:b w:val="0"/>
          <w:bCs w:val="0"/>
          <w:color w:val="auto"/>
          <w:sz w:val="32"/>
          <w:szCs w:val="32"/>
          <w:lang w:eastAsia="zh-CN"/>
        </w:rPr>
        <w:t>保障</w:t>
      </w:r>
      <w:r>
        <w:rPr>
          <w:rFonts w:hint="eastAsia" w:ascii="仿宋_GB2312" w:hAnsi="仿宋_GB2312" w:eastAsia="仿宋_GB2312" w:cs="仿宋_GB2312"/>
          <w:b w:val="0"/>
          <w:bCs w:val="0"/>
          <w:color w:val="auto"/>
          <w:spacing w:val="-17"/>
          <w:kern w:val="0"/>
          <w:sz w:val="32"/>
          <w:szCs w:val="32"/>
          <w:lang w:val="en-US" w:eastAsia="zh-CN" w:bidi="ar-SA"/>
        </w:rPr>
        <w:t>金财网的正常运行</w:t>
      </w:r>
      <w:r>
        <w:rPr>
          <w:rFonts w:hint="eastAsia" w:ascii="仿宋_GB2312" w:hAnsi="仿宋_GB2312" w:eastAsia="仿宋_GB2312" w:cs="仿宋_GB2312"/>
          <w:b w:val="0"/>
          <w:bCs w:val="0"/>
          <w:color w:val="auto"/>
          <w:sz w:val="32"/>
          <w:szCs w:val="32"/>
          <w:lang w:val="en-US" w:eastAsia="zh-CN"/>
        </w:rPr>
        <w:t>,我委按照项目执行情况及时划拨资金,</w:t>
      </w:r>
      <w:r>
        <w:rPr>
          <w:rFonts w:hint="eastAsia" w:ascii="仿宋_GB2312" w:hAnsi="仿宋_GB2312" w:eastAsia="仿宋_GB2312" w:cs="仿宋_GB2312"/>
          <w:b w:val="0"/>
          <w:bCs w:val="0"/>
          <w:color w:val="auto"/>
          <w:sz w:val="32"/>
          <w:szCs w:val="32"/>
        </w:rPr>
        <w:t>项目资金无调整。截至202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年12月31日,</w:t>
      </w:r>
      <w:r>
        <w:rPr>
          <w:rFonts w:hint="eastAsia" w:ascii="仿宋_GB2312" w:hAnsi="仿宋_GB2312" w:eastAsia="仿宋_GB2312" w:cs="仿宋_GB2312"/>
          <w:b w:val="0"/>
          <w:bCs w:val="0"/>
          <w:color w:val="auto"/>
          <w:sz w:val="32"/>
          <w:szCs w:val="32"/>
          <w:lang w:eastAsia="zh-CN"/>
        </w:rPr>
        <w:t>该</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eastAsia="zh-CN"/>
        </w:rPr>
        <w:t>共</w:t>
      </w:r>
      <w:r>
        <w:rPr>
          <w:rFonts w:hint="eastAsia" w:ascii="仿宋_GB2312" w:hAnsi="仿宋_GB2312" w:eastAsia="仿宋_GB2312" w:cs="仿宋_GB2312"/>
          <w:b w:val="0"/>
          <w:bCs w:val="0"/>
          <w:color w:val="auto"/>
          <w:sz w:val="32"/>
          <w:szCs w:val="32"/>
        </w:rPr>
        <w:t>使用</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lang w:val="en-US" w:eastAsia="zh-CN"/>
        </w:rPr>
        <w:t>0.24</w:t>
      </w:r>
      <w:r>
        <w:rPr>
          <w:rFonts w:hint="eastAsia" w:ascii="仿宋_GB2312" w:hAnsi="仿宋_GB2312" w:eastAsia="仿宋_GB2312" w:cs="仿宋_GB2312"/>
          <w:b w:val="0"/>
          <w:bCs w:val="0"/>
          <w:color w:val="auto"/>
          <w:sz w:val="32"/>
          <w:szCs w:val="32"/>
        </w:rPr>
        <w:t>万元，资金使用率100%</w:t>
      </w:r>
      <w:r>
        <w:rPr>
          <w:rFonts w:hint="eastAsia" w:ascii="仿宋_GB2312" w:hAnsi="仿宋_GB2312" w:eastAsia="仿宋_GB2312" w:cs="仿宋_GB2312"/>
          <w:b w:val="0"/>
          <w:bCs w:val="0"/>
          <w:color w:val="auto"/>
          <w:sz w:val="32"/>
          <w:szCs w:val="32"/>
          <w:lang w:eastAsia="zh-CN"/>
        </w:rPr>
        <w:t>，资金支付依据合规合法与预算相符</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（三）项目财务管理情况</w:t>
      </w:r>
    </w:p>
    <w:p>
      <w:pPr>
        <w:pageBreakBefore w:val="0"/>
        <w:widowControl w:val="0"/>
        <w:kinsoku/>
        <w:wordWrap/>
        <w:overflowPunct/>
        <w:topLinePunct w:val="0"/>
        <w:autoSpaceDN/>
        <w:bidi w:val="0"/>
        <w:spacing w:line="576"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1.项目资金规范运行情况。</w:t>
      </w:r>
    </w:p>
    <w:p>
      <w:pPr>
        <w:pageBreakBefore w:val="0"/>
        <w:widowControl w:val="0"/>
        <w:kinsoku/>
        <w:wordWrap/>
        <w:overflowPunct/>
        <w:topLinePunct w:val="0"/>
        <w:autoSpaceDN/>
        <w:bidi w:val="0"/>
        <w:spacing w:line="576"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在财经工作纪律的要求下，根据项目实际支出，在区委区政府的相关文件下执行项目预算，无超标准、超范围使用项目资金情况发生。</w:t>
      </w:r>
    </w:p>
    <w:p>
      <w:pPr>
        <w:pageBreakBefore w:val="0"/>
        <w:widowControl w:val="0"/>
        <w:kinsoku/>
        <w:wordWrap/>
        <w:overflowPunct/>
        <w:topLinePunct w:val="0"/>
        <w:autoSpaceDN/>
        <w:bidi w:val="0"/>
        <w:spacing w:line="576"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2.财务管理情况。</w:t>
      </w:r>
    </w:p>
    <w:p>
      <w:pPr>
        <w:autoSpaceDE w:val="0"/>
        <w:spacing w:line="540" w:lineRule="exact"/>
        <w:ind w:firstLine="640" w:firstLineChars="200"/>
        <w:rPr>
          <w:rFonts w:hint="eastAsia" w:ascii="仿宋_GB2312" w:hAnsi="Times New Roman" w:eastAsia="仿宋_GB2312" w:cs="Times New Roman"/>
          <w:b w:val="0"/>
          <w:bCs w:val="0"/>
          <w:color w:val="auto"/>
          <w:spacing w:val="-6"/>
          <w:sz w:val="32"/>
          <w:szCs w:val="32"/>
        </w:rPr>
      </w:pPr>
      <w:r>
        <w:rPr>
          <w:rFonts w:hint="eastAsia" w:ascii="仿宋_GB2312" w:hAnsi="仿宋_GB2312" w:eastAsia="仿宋_GB2312" w:cs="仿宋_GB2312"/>
          <w:b w:val="0"/>
          <w:bCs w:val="0"/>
          <w:color w:val="auto"/>
          <w:sz w:val="32"/>
          <w:szCs w:val="32"/>
          <w:lang w:val="zh-CN" w:eastAsia="zh-CN"/>
        </w:rPr>
        <w:t>我委将</w:t>
      </w:r>
      <w:r>
        <w:rPr>
          <w:rFonts w:hint="eastAsia" w:ascii="仿宋_GB2312" w:hAnsi="仿宋_GB2312" w:eastAsia="仿宋_GB2312" w:cs="仿宋_GB2312"/>
          <w:b w:val="0"/>
          <w:bCs w:val="0"/>
          <w:color w:val="auto"/>
          <w:spacing w:val="-17"/>
          <w:kern w:val="0"/>
          <w:sz w:val="32"/>
          <w:szCs w:val="32"/>
          <w:lang w:val="en-US" w:eastAsia="zh-CN" w:bidi="ar-SA"/>
        </w:rPr>
        <w:t>金财网络维护费</w:t>
      </w:r>
      <w:r>
        <w:rPr>
          <w:rFonts w:hint="eastAsia" w:ascii="仿宋_GB2312" w:hAnsi="仿宋_GB2312" w:eastAsia="仿宋_GB2312" w:cs="仿宋_GB2312"/>
          <w:b w:val="0"/>
          <w:bCs w:val="0"/>
          <w:color w:val="auto"/>
          <w:sz w:val="32"/>
          <w:szCs w:val="32"/>
          <w:lang w:val="zh-CN" w:eastAsia="zh-CN"/>
        </w:rPr>
        <w:t>纳入单位财政集中统一管理，严格按照单位财务管理制度执行，</w:t>
      </w:r>
      <w:r>
        <w:rPr>
          <w:rFonts w:hint="eastAsia" w:ascii="仿宋_GB2312" w:hAnsi="仿宋_GB2312" w:eastAsia="仿宋_GB2312" w:cs="仿宋_GB2312"/>
          <w:b w:val="0"/>
          <w:bCs w:val="0"/>
          <w:color w:val="auto"/>
          <w:sz w:val="32"/>
          <w:szCs w:val="32"/>
          <w:lang w:val="en-US" w:eastAsia="zh-CN"/>
        </w:rPr>
        <w:t>账务处理及时，会计核算规范。</w:t>
      </w:r>
      <w:r>
        <w:rPr>
          <w:rFonts w:hint="eastAsia" w:ascii="仿宋_GB2312" w:hAnsi="仿宋_GB2312" w:eastAsia="仿宋_GB2312" w:cs="仿宋_GB2312"/>
          <w:b w:val="0"/>
          <w:bCs w:val="0"/>
          <w:color w:val="auto"/>
          <w:sz w:val="32"/>
          <w:szCs w:val="32"/>
          <w:lang w:val="zh-CN" w:eastAsia="zh-CN"/>
        </w:rPr>
        <w:t>加强对资金使用过程监督管理，做到手续完备、数字准确、帐目清楚，</w:t>
      </w:r>
      <w:r>
        <w:rPr>
          <w:rFonts w:hint="eastAsia" w:ascii="仿宋_GB2312" w:hAnsi="Times New Roman" w:eastAsia="仿宋_GB2312" w:cs="Times New Roman"/>
          <w:b w:val="0"/>
          <w:bCs w:val="0"/>
          <w:color w:val="auto"/>
          <w:spacing w:val="-6"/>
          <w:sz w:val="32"/>
          <w:szCs w:val="32"/>
          <w:lang w:val="zh-CN" w:eastAsia="zh-CN"/>
        </w:rPr>
        <w:t>财务处理及时规范，会计核算准确无误</w:t>
      </w:r>
      <w:r>
        <w:rPr>
          <w:rFonts w:hint="eastAsia" w:ascii="仿宋_GB2312" w:hAnsi="仿宋_GB2312" w:eastAsia="仿宋_GB2312" w:cs="仿宋_GB2312"/>
          <w:b w:val="0"/>
          <w:bCs w:val="0"/>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三、项目实施及管理情况</w:t>
      </w:r>
    </w:p>
    <w:p>
      <w:pPr>
        <w:autoSpaceDE w:val="0"/>
        <w:spacing w:line="540" w:lineRule="exact"/>
        <w:ind w:firstLine="640" w:firstLineChars="200"/>
        <w:rPr>
          <w:rFonts w:hint="eastAsia"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（一）项目组织架构及实施流程。</w:t>
      </w:r>
    </w:p>
    <w:p>
      <w:pPr>
        <w:autoSpaceDE w:val="0"/>
        <w:spacing w:line="540" w:lineRule="exact"/>
        <w:ind w:firstLine="640" w:firstLineChars="200"/>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我委主动加强项目实施全过程组织、管理和监督，</w:t>
      </w:r>
      <w:r>
        <w:rPr>
          <w:rFonts w:hint="eastAsia" w:ascii="仿宋_GB2312" w:hAnsi="仿宋" w:eastAsia="仿宋_GB2312"/>
          <w:b w:val="0"/>
          <w:bCs w:val="0"/>
          <w:color w:val="auto"/>
          <w:sz w:val="32"/>
          <w:szCs w:val="32"/>
          <w:highlight w:val="none"/>
          <w:lang w:val="en-US" w:eastAsia="zh-CN"/>
        </w:rPr>
        <w:t>保障专线网络的正常运行</w:t>
      </w:r>
      <w:r>
        <w:rPr>
          <w:rFonts w:hint="eastAsia" w:ascii="仿宋_GB2312" w:hAnsi="仿宋_GB2312" w:eastAsia="仿宋_GB2312" w:cs="仿宋_GB2312"/>
          <w:b w:val="0"/>
          <w:bCs w:val="0"/>
          <w:color w:val="auto"/>
          <w:sz w:val="32"/>
          <w:szCs w:val="32"/>
          <w:lang w:val="zh-CN" w:eastAsia="zh-CN"/>
        </w:rPr>
        <w:t>，同时加强项目资金监管、拨付，确保项目资金及时拨付到位。</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仿宋_GB2312" w:hAnsi="宋体" w:eastAsia="仿宋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（二）项目管理情况。</w:t>
      </w:r>
      <w:r>
        <w:rPr>
          <w:rFonts w:hint="eastAsia" w:ascii="仿宋_GB2312" w:hAnsi="仿宋" w:eastAsia="仿宋_GB2312"/>
          <w:b w:val="0"/>
          <w:bCs w:val="0"/>
          <w:color w:val="auto"/>
          <w:sz w:val="32"/>
          <w:szCs w:val="32"/>
          <w:highlight w:val="none"/>
          <w:lang w:val="en-US" w:eastAsia="zh-CN"/>
        </w:rPr>
        <w:t>该项目为保障性经费支出项目，无招投标等情况，日常检查监督维护工作由财务负责。</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hint="eastAsia" w:ascii="仿宋_GB2312" w:hAnsi="仿宋" w:eastAsia="仿宋_GB2312" w:cs="Times New Roman"/>
          <w:b w:val="0"/>
          <w:bCs w:val="0"/>
          <w:color w:val="auto"/>
          <w:sz w:val="32"/>
          <w:szCs w:val="32"/>
          <w:highlight w:val="none"/>
          <w:lang w:val="en-US" w:eastAsia="zh-CN"/>
        </w:rPr>
      </w:pPr>
      <w:r>
        <w:rPr>
          <w:rFonts w:hint="eastAsia" w:ascii="楷体_GB2312" w:hAnsi="宋体" w:eastAsia="楷体_GB2312" w:cs="Times New Roman"/>
          <w:b w:val="0"/>
          <w:bCs w:val="0"/>
          <w:color w:val="auto"/>
          <w:sz w:val="32"/>
          <w:szCs w:val="32"/>
          <w:highlight w:val="none"/>
          <w:lang w:val="zh-CN"/>
        </w:rPr>
        <w:t>（三）项目监管情况。</w:t>
      </w:r>
      <w:r>
        <w:rPr>
          <w:rFonts w:hint="eastAsia" w:ascii="仿宋_GB2312" w:hAnsi="仿宋" w:eastAsia="仿宋_GB2312" w:cs="Times New Roman"/>
          <w:b w:val="0"/>
          <w:bCs w:val="0"/>
          <w:color w:val="auto"/>
          <w:sz w:val="32"/>
          <w:szCs w:val="32"/>
          <w:highlight w:val="none"/>
          <w:lang w:val="en-US" w:eastAsia="zh-CN"/>
        </w:rPr>
        <w:t>该项目为保障性经费支出项目，其项目管理制度合并在我委财务管理制度、内控管理制度等规范性财务制度之下，未单独建立项目管理制度。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仿宋_GB2312" w:hAnsi="宋体" w:eastAsia="仿宋_GB2312" w:cs="Times New Roman"/>
          <w:b w:val="0"/>
          <w:bCs w:val="0"/>
          <w:color w:val="auto"/>
          <w:sz w:val="32"/>
          <w:szCs w:val="32"/>
          <w:highlight w:val="none"/>
          <w:lang w:val="zh-CN"/>
        </w:rPr>
      </w:pPr>
      <w:r>
        <w:rPr>
          <w:rFonts w:hint="eastAsia" w:ascii="黑体" w:hAnsi="宋体" w:eastAsia="黑体" w:cs="Times New Roman"/>
          <w:b w:val="0"/>
          <w:bCs w:val="0"/>
          <w:color w:val="auto"/>
          <w:sz w:val="32"/>
          <w:szCs w:val="32"/>
          <w:highlight w:val="none"/>
        </w:rPr>
        <w:t>四、项目绩效情况</w:t>
      </w:r>
      <w:r>
        <w:rPr>
          <w:rFonts w:hint="eastAsia" w:ascii="仿宋_GB2312" w:hAnsi="宋体" w:eastAsia="仿宋_GB2312" w:cs="Times New Roman"/>
          <w:b w:val="0"/>
          <w:bCs w:val="0"/>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（一）项目完成情况</w:t>
      </w:r>
    </w:p>
    <w:p>
      <w:pPr>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2021年度，我委完成了对金财网络维护费的使用，根据工作实际情况，按时足额的进行了拨付，无超支、超标准、超范围使用项目资金情况发生。截止2021年底，财务专网运行正常，确保了各项财政资金使用渠道畅通</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576" w:lineRule="exact"/>
        <w:ind w:right="0" w:firstLine="616" w:firstLineChars="200"/>
        <w:textAlignment w:val="auto"/>
        <w:rPr>
          <w:rFonts w:ascii="仿宋_GB2312" w:hAnsi="宋体" w:eastAsia="仿宋_GB2312" w:cs="Times New Roman"/>
          <w:b w:val="0"/>
          <w:bCs w:val="0"/>
          <w:color w:val="auto"/>
          <w:sz w:val="32"/>
          <w:szCs w:val="32"/>
          <w:highlight w:val="none"/>
          <w:lang w:val="zh-CN"/>
        </w:rPr>
      </w:pPr>
      <w:r>
        <w:rPr>
          <w:rFonts w:hint="eastAsia" w:ascii="仿宋_GB2312" w:eastAsia="仿宋_GB2312" w:cs="Times New Roman"/>
          <w:b w:val="0"/>
          <w:bCs w:val="0"/>
          <w:color w:val="auto"/>
          <w:spacing w:val="-6"/>
          <w:sz w:val="32"/>
          <w:szCs w:val="32"/>
          <w:lang w:val="en-US" w:eastAsia="zh-CN"/>
        </w:rPr>
        <w:t>2021年度金财网专线正常运行，无网络故障等情况发生，保障了</w:t>
      </w:r>
      <w:r>
        <w:rPr>
          <w:rFonts w:hint="eastAsia" w:ascii="仿宋_GB2312" w:hAnsi="仿宋" w:eastAsia="仿宋_GB2312" w:cs="Times New Roman"/>
          <w:b w:val="0"/>
          <w:bCs w:val="0"/>
          <w:color w:val="auto"/>
          <w:sz w:val="32"/>
          <w:szCs w:val="32"/>
          <w:highlight w:val="none"/>
          <w:lang w:val="en-US" w:eastAsia="zh-CN"/>
        </w:rPr>
        <w:t>各项财政资金使用渠道畅通，以及资金使用安全。</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黑体" w:hAnsi="宋体" w:eastAsia="黑体" w:cs="Times New Roman"/>
          <w:b w:val="0"/>
          <w:bCs w:val="0"/>
          <w:color w:val="auto"/>
          <w:sz w:val="32"/>
          <w:szCs w:val="32"/>
          <w:highlight w:val="none"/>
        </w:rPr>
      </w:pPr>
      <w:r>
        <w:rPr>
          <w:rFonts w:hint="eastAsia" w:ascii="黑体" w:hAnsi="宋体" w:eastAsia="黑体" w:cs="Times New Roman"/>
          <w:b w:val="0"/>
          <w:bCs w:val="0"/>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（一）评价结论</w:t>
      </w:r>
    </w:p>
    <w:p>
      <w:pPr>
        <w:pStyle w:val="7"/>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Times New Roman" w:eastAsia="仿宋_GB2312" w:cs="Times New Roman"/>
          <w:b w:val="0"/>
          <w:bCs w:val="0"/>
          <w:color w:val="auto"/>
          <w:kern w:val="0"/>
          <w:sz w:val="32"/>
          <w:szCs w:val="32"/>
          <w:shd w:val="clear" w:color="auto" w:fill="FFFFFF"/>
          <w:lang w:val="zh-CN" w:eastAsia="zh-CN" w:bidi="ar-SA"/>
        </w:rPr>
      </w:pPr>
      <w:r>
        <w:rPr>
          <w:rFonts w:hint="eastAsia" w:hAnsi="Times New Roman" w:cs="Times New Roman"/>
          <w:b w:val="0"/>
          <w:bCs w:val="0"/>
          <w:color w:val="auto"/>
          <w:kern w:val="0"/>
          <w:sz w:val="32"/>
          <w:szCs w:val="32"/>
          <w:shd w:val="clear" w:color="auto" w:fill="FFFFFF"/>
          <w:lang w:val="en-US" w:eastAsia="zh-CN" w:bidi="ar-SA"/>
        </w:rPr>
        <w:t>该项目</w:t>
      </w:r>
      <w:r>
        <w:rPr>
          <w:rFonts w:hint="eastAsia" w:ascii="仿宋_GB2312" w:hAnsi="Times New Roman" w:eastAsia="仿宋_GB2312" w:cs="Times New Roman"/>
          <w:b w:val="0"/>
          <w:bCs w:val="0"/>
          <w:color w:val="auto"/>
          <w:kern w:val="0"/>
          <w:sz w:val="32"/>
          <w:szCs w:val="32"/>
          <w:shd w:val="clear" w:color="auto" w:fill="FFFFFF"/>
          <w:lang w:val="en-US" w:eastAsia="zh-CN" w:bidi="ar-SA"/>
        </w:rPr>
        <w:t>支出自评工作结果较好，质量较高，完整和清晰的反应出我</w:t>
      </w:r>
      <w:r>
        <w:rPr>
          <w:rFonts w:hint="eastAsia" w:cs="Times New Roman"/>
          <w:b w:val="0"/>
          <w:bCs w:val="0"/>
          <w:color w:val="auto"/>
          <w:kern w:val="0"/>
          <w:sz w:val="32"/>
          <w:szCs w:val="32"/>
          <w:shd w:val="clear" w:color="auto" w:fill="FFFFFF"/>
          <w:lang w:val="en-US" w:eastAsia="zh-CN" w:bidi="ar-SA"/>
        </w:rPr>
        <w:t>委</w:t>
      </w:r>
      <w:r>
        <w:rPr>
          <w:rFonts w:hint="eastAsia" w:ascii="仿宋_GB2312" w:hAnsi="Times New Roman" w:eastAsia="仿宋_GB2312" w:cs="Times New Roman"/>
          <w:b w:val="0"/>
          <w:bCs w:val="0"/>
          <w:color w:val="auto"/>
          <w:kern w:val="0"/>
          <w:sz w:val="32"/>
          <w:szCs w:val="32"/>
          <w:shd w:val="clear" w:color="auto" w:fill="FFFFFF"/>
          <w:lang w:val="en-US" w:eastAsia="zh-CN" w:bidi="ar-SA"/>
        </w:rPr>
        <w:t>在2021年度预算</w:t>
      </w:r>
      <w:r>
        <w:rPr>
          <w:rFonts w:hint="eastAsia" w:hAnsi="Times New Roman" w:cs="Times New Roman"/>
          <w:b w:val="0"/>
          <w:bCs w:val="0"/>
          <w:color w:val="auto"/>
          <w:kern w:val="0"/>
          <w:sz w:val="32"/>
          <w:szCs w:val="32"/>
          <w:shd w:val="clear" w:color="auto" w:fill="FFFFFF"/>
          <w:lang w:val="en-US" w:eastAsia="zh-CN" w:bidi="ar-SA"/>
        </w:rPr>
        <w:t>项目</w:t>
      </w:r>
      <w:r>
        <w:rPr>
          <w:rFonts w:hint="eastAsia" w:ascii="仿宋_GB2312" w:hAnsi="Times New Roman" w:eastAsia="仿宋_GB2312" w:cs="Times New Roman"/>
          <w:b w:val="0"/>
          <w:bCs w:val="0"/>
          <w:color w:val="auto"/>
          <w:kern w:val="0"/>
          <w:sz w:val="32"/>
          <w:szCs w:val="32"/>
          <w:shd w:val="clear" w:color="auto" w:fill="FFFFFF"/>
          <w:lang w:val="en-US" w:eastAsia="zh-CN" w:bidi="ar-SA"/>
        </w:rPr>
        <w:t>执行情况、资金使用情况。</w:t>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576" w:lineRule="exact"/>
        <w:ind w:left="0" w:right="0" w:firstLine="640" w:firstLineChars="200"/>
        <w:textAlignment w:val="auto"/>
        <w:rPr>
          <w:rFonts w:ascii="仿宋_GB2312" w:hAnsi="宋体" w:eastAsia="仿宋_GB2312" w:cs="Times New Roman"/>
          <w:b w:val="0"/>
          <w:bCs w:val="0"/>
          <w:color w:val="auto"/>
          <w:sz w:val="32"/>
          <w:szCs w:val="32"/>
          <w:highlight w:val="none"/>
          <w:lang w:val="zh-CN"/>
        </w:rPr>
      </w:pPr>
      <w:r>
        <w:rPr>
          <w:rFonts w:hint="eastAsia" w:ascii="仿宋_GB2312" w:hAnsi="宋体" w:eastAsia="仿宋_GB2312" w:cs="Times New Roman"/>
          <w:b w:val="0"/>
          <w:bCs w:val="0"/>
          <w:color w:val="auto"/>
          <w:sz w:val="32"/>
          <w:szCs w:val="32"/>
          <w:highlight w:val="none"/>
          <w:lang w:val="zh-CN"/>
        </w:rPr>
        <w:t>无。</w:t>
      </w:r>
      <w:r>
        <w:rPr>
          <w:rFonts w:hint="eastAsia" w:ascii="仿宋_GB2312" w:hAnsi="宋体" w:eastAsia="仿宋_GB2312" w:cs="Times New Roman"/>
          <w:b w:val="0"/>
          <w:bCs w:val="0"/>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576" w:lineRule="exact"/>
        <w:ind w:left="0" w:right="0" w:firstLine="720"/>
        <w:textAlignment w:val="auto"/>
        <w:rPr>
          <w:rFonts w:ascii="楷体_GB2312" w:hAnsi="宋体" w:eastAsia="楷体_GB2312" w:cs="Times New Roman"/>
          <w:b w:val="0"/>
          <w:bCs w:val="0"/>
          <w:color w:val="auto"/>
          <w:sz w:val="32"/>
          <w:szCs w:val="32"/>
          <w:highlight w:val="none"/>
          <w:lang w:val="zh-CN"/>
        </w:rPr>
      </w:pPr>
      <w:r>
        <w:rPr>
          <w:rFonts w:hint="eastAsia" w:ascii="楷体_GB2312" w:hAnsi="宋体" w:eastAsia="楷体_GB2312" w:cs="Times New Roman"/>
          <w:b w:val="0"/>
          <w:bCs w:val="0"/>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576" w:lineRule="exact"/>
        <w:ind w:left="0" w:right="0" w:firstLine="640" w:firstLineChars="200"/>
        <w:textAlignment w:val="auto"/>
        <w:rPr>
          <w:rFonts w:hint="eastAsia" w:ascii="仿宋_GB2312" w:hAnsi="宋体" w:eastAsia="仿宋_GB2312" w:cs="Times New Roman"/>
          <w:b w:val="0"/>
          <w:bCs w:val="0"/>
          <w:color w:val="auto"/>
          <w:sz w:val="32"/>
          <w:szCs w:val="32"/>
          <w:highlight w:val="none"/>
          <w:lang w:val="zh-CN"/>
        </w:rPr>
      </w:pPr>
      <w:r>
        <w:rPr>
          <w:rFonts w:hint="eastAsia" w:ascii="仿宋_GB2312" w:hAnsi="宋体" w:eastAsia="仿宋_GB2312" w:cs="Times New Roman"/>
          <w:b w:val="0"/>
          <w:bCs w:val="0"/>
          <w:color w:val="auto"/>
          <w:sz w:val="32"/>
          <w:szCs w:val="32"/>
          <w:highlight w:val="none"/>
          <w:lang w:val="zh-CN"/>
        </w:rPr>
        <w:t>无。</w:t>
      </w:r>
    </w:p>
    <w:p>
      <w:pPr>
        <w:rPr>
          <w:rFonts w:hint="eastAsia" w:hAnsi="宋体" w:cs="宋体"/>
          <w:b w:val="0"/>
          <w:bCs w:val="0"/>
          <w:color w:val="auto"/>
          <w:kern w:val="0"/>
          <w:sz w:val="32"/>
          <w:szCs w:val="32"/>
          <w:highlight w:val="none"/>
          <w:shd w:val="clear" w:color="auto" w:fill="FFFFFF"/>
          <w:lang w:val="zh-CN"/>
        </w:rPr>
      </w:pPr>
      <w:r>
        <w:rPr>
          <w:rFonts w:hint="eastAsia" w:hAnsi="宋体" w:cs="宋体"/>
          <w:b w:val="0"/>
          <w:bCs w:val="0"/>
          <w:color w:val="auto"/>
          <w:kern w:val="0"/>
          <w:sz w:val="32"/>
          <w:szCs w:val="32"/>
          <w:highlight w:val="none"/>
          <w:shd w:val="clear" w:color="auto" w:fill="FFFFFF"/>
          <w:lang w:val="zh-CN"/>
        </w:rPr>
        <w:br w:type="page"/>
      </w:r>
    </w:p>
    <w:p>
      <w:pPr>
        <w:pStyle w:val="7"/>
        <w:pageBreakBefore w:val="0"/>
        <w:kinsoku/>
        <w:wordWrap/>
        <w:overflowPunct/>
        <w:topLinePunct w:val="0"/>
        <w:bidi w:val="0"/>
        <w:spacing w:beforeLines="0" w:line="576" w:lineRule="exact"/>
        <w:ind w:left="0" w:right="0"/>
        <w:textAlignment w:val="auto"/>
        <w:rPr>
          <w:rFonts w:hint="eastAsia" w:hAnsi="宋体" w:cs="宋体"/>
          <w:b w:val="0"/>
          <w:bCs w:val="0"/>
          <w:color w:val="auto"/>
          <w:kern w:val="0"/>
          <w:sz w:val="32"/>
          <w:szCs w:val="32"/>
          <w:highlight w:val="none"/>
          <w:shd w:val="clear" w:color="auto" w:fill="FFFFFF"/>
          <w:lang w:val="zh-CN"/>
        </w:rPr>
      </w:pPr>
      <w:r>
        <w:rPr>
          <w:rFonts w:hint="eastAsia" w:hAnsi="宋体" w:cs="宋体"/>
          <w:b w:val="0"/>
          <w:bCs w:val="0"/>
          <w:color w:val="auto"/>
          <w:kern w:val="0"/>
          <w:sz w:val="32"/>
          <w:szCs w:val="32"/>
          <w:highlight w:val="none"/>
          <w:shd w:val="clear" w:color="auto" w:fill="FFFFFF"/>
          <w:lang w:val="zh-CN"/>
        </w:rPr>
        <w:t>附表</w:t>
      </w:r>
    </w:p>
    <w:tbl>
      <w:tblPr>
        <w:tblStyle w:val="15"/>
        <w:tblpPr w:leftFromText="180" w:rightFromText="180" w:vertAnchor="text" w:horzAnchor="page" w:tblpX="1237" w:tblpY="19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848"/>
        <w:gridCol w:w="1664"/>
        <w:gridCol w:w="1486"/>
        <w:gridCol w:w="1192"/>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val="0"/>
                <w:bCs w:val="0"/>
                <w:i w:val="0"/>
                <w:color w:val="auto"/>
                <w:sz w:val="32"/>
                <w:szCs w:val="32"/>
                <w:highlight w:val="none"/>
                <w:u w:val="none"/>
              </w:rPr>
            </w:pPr>
            <w:r>
              <w:rPr>
                <w:rFonts w:hint="eastAsia" w:ascii="宋体" w:hAnsi="宋体" w:eastAsia="宋体" w:cs="宋体"/>
                <w:b w:val="0"/>
                <w:bCs w:val="0"/>
                <w:i w:val="0"/>
                <w:color w:val="auto"/>
                <w:sz w:val="32"/>
                <w:szCs w:val="32"/>
                <w:highlight w:val="none"/>
                <w:u w:val="none"/>
                <w:lang w:val="en-US" w:eastAsia="zh-CN"/>
              </w:rPr>
              <w:t>2021</w:t>
            </w:r>
            <w:r>
              <w:rPr>
                <w:rFonts w:hint="eastAsia" w:ascii="宋体" w:hAnsi="宋体" w:cs="宋体"/>
                <w:b w:val="0"/>
                <w:bCs w:val="0"/>
                <w:i w:val="0"/>
                <w:color w:val="auto"/>
                <w:sz w:val="32"/>
                <w:szCs w:val="32"/>
                <w:highlight w:val="none"/>
                <w:u w:val="none"/>
                <w:lang w:val="en-US" w:eastAsia="zh-CN"/>
              </w:rPr>
              <w:t>年度</w:t>
            </w:r>
            <w:r>
              <w:rPr>
                <w:rFonts w:hint="eastAsia" w:ascii="宋体" w:hAnsi="宋体" w:eastAsia="宋体" w:cs="宋体"/>
                <w:b w:val="0"/>
                <w:bCs w:val="0"/>
                <w:i w:val="0"/>
                <w:color w:val="auto"/>
                <w:sz w:val="32"/>
                <w:szCs w:val="32"/>
                <w:highlight w:val="none"/>
                <w:u w:val="none"/>
                <w:lang w:val="en-US" w:eastAsia="zh-CN"/>
              </w:rPr>
              <w:t>金财网络维护费</w:t>
            </w:r>
            <w:r>
              <w:rPr>
                <w:rFonts w:hint="eastAsia" w:ascii="宋体" w:hAnsi="宋体" w:cs="宋体"/>
                <w:b w:val="0"/>
                <w:bCs w:val="0"/>
                <w:i w:val="0"/>
                <w:color w:val="auto"/>
                <w:sz w:val="32"/>
                <w:szCs w:val="32"/>
                <w:highlight w:val="none"/>
                <w:u w:val="none"/>
                <w:lang w:val="en-US" w:eastAsia="zh-CN"/>
              </w:rPr>
              <w:t>部门</w:t>
            </w:r>
            <w:r>
              <w:rPr>
                <w:rFonts w:hint="eastAsia" w:ascii="宋体" w:hAnsi="宋体" w:eastAsia="宋体" w:cs="宋体"/>
                <w:b w:val="0"/>
                <w:bCs w:val="0"/>
                <w:i w:val="0"/>
                <w:color w:val="auto"/>
                <w:sz w:val="32"/>
                <w:szCs w:val="32"/>
                <w:highlight w:val="none"/>
                <w:u w:val="none"/>
                <w:lang w:val="en-US" w:eastAsia="zh-CN"/>
              </w:rPr>
              <w:t>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7"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主管部门及代码</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cs="宋体"/>
                <w:b w:val="0"/>
                <w:bCs w:val="0"/>
                <w:i w:val="0"/>
                <w:color w:val="auto"/>
                <w:sz w:val="21"/>
                <w:szCs w:val="21"/>
                <w:highlight w:val="none"/>
                <w:u w:val="none"/>
                <w:lang w:val="en-US" w:eastAsia="zh-CN"/>
              </w:rPr>
              <w:t>共青团广元市朝天区委员会376301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eastAsia="zh-CN"/>
              </w:rPr>
            </w:pPr>
            <w:r>
              <w:rPr>
                <w:rFonts w:hint="eastAsia" w:ascii="宋体" w:hAnsi="宋体" w:cs="宋体"/>
                <w:b w:val="0"/>
                <w:bCs w:val="0"/>
                <w:i w:val="0"/>
                <w:color w:val="auto"/>
                <w:sz w:val="21"/>
                <w:szCs w:val="21"/>
                <w:highlight w:val="none"/>
                <w:u w:val="none"/>
                <w:lang w:val="en-US" w:eastAsia="zh-CN"/>
              </w:rPr>
              <w:t>共青团广元市朝天区委员会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2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（万元）</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预算数：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sz w:val="21"/>
                <w:szCs w:val="21"/>
                <w:highlight w:val="none"/>
                <w:u w:val="none"/>
                <w:lang w:val="en-US" w:eastAsia="zh-CN"/>
              </w:rPr>
              <w:t>0.24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sz w:val="21"/>
                <w:szCs w:val="21"/>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sz w:val="21"/>
                <w:szCs w:val="21"/>
                <w:highlight w:val="none"/>
                <w:u w:val="none"/>
                <w:lang w:val="en-US" w:eastAsia="zh-CN"/>
              </w:rPr>
              <w:t>0.24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sz w:val="21"/>
                <w:szCs w:val="21"/>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2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完成情况</w:t>
            </w: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预期目标</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b w:val="0"/>
                <w:bCs w:val="0"/>
                <w:i w:val="0"/>
                <w:color w:val="auto"/>
                <w:sz w:val="21"/>
                <w:szCs w:val="21"/>
                <w:highlight w:val="none"/>
                <w:u w:val="none"/>
                <w:lang w:eastAsia="zh-CN"/>
              </w:rPr>
            </w:pPr>
            <w:r>
              <w:rPr>
                <w:rFonts w:hint="eastAsia" w:ascii="宋体" w:hAnsi="宋体" w:eastAsia="宋体" w:cs="宋体"/>
                <w:b w:val="0"/>
                <w:bCs w:val="0"/>
                <w:color w:val="auto"/>
                <w:kern w:val="0"/>
                <w:sz w:val="21"/>
                <w:szCs w:val="21"/>
                <w:lang w:eastAsia="zh-CN"/>
              </w:rPr>
              <w:t>维护金财网运行正常，保证各项财政资金使用渠道畅通。</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color w:val="auto"/>
                <w:kern w:val="0"/>
                <w:sz w:val="21"/>
                <w:szCs w:val="21"/>
                <w:lang w:eastAsia="zh-CN"/>
              </w:rPr>
              <w:t>维护了金财网正常运行，保证了各项财政资金使用渠道畅通。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077"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年度绩效指标完成情况</w:t>
            </w:r>
          </w:p>
        </w:tc>
        <w:tc>
          <w:tcPr>
            <w:tcW w:w="8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806"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数量指标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维护网络条数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lang w:val="en-US" w:eastAsia="zh-CN"/>
              </w:rPr>
              <w:t>1</w:t>
            </w:r>
            <w:r>
              <w:rPr>
                <w:rFonts w:hint="eastAsia" w:ascii="宋体" w:hAnsi="宋体" w:eastAsia="宋体" w:cs="宋体"/>
                <w:b w:val="0"/>
                <w:bCs w:val="0"/>
                <w:i w:val="0"/>
                <w:color w:val="auto"/>
                <w:sz w:val="21"/>
                <w:szCs w:val="21"/>
                <w:highlight w:val="none"/>
                <w:u w:val="none"/>
              </w:rPr>
              <w:t>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lang w:val="en-US" w:eastAsia="zh-CN"/>
              </w:rPr>
              <w:t>1</w:t>
            </w:r>
            <w:r>
              <w:rPr>
                <w:rFonts w:hint="eastAsia" w:ascii="宋体" w:hAnsi="宋体" w:eastAsia="宋体" w:cs="宋体"/>
                <w:b w:val="0"/>
                <w:bCs w:val="0"/>
                <w:i w:val="0"/>
                <w:color w:val="auto"/>
                <w:sz w:val="21"/>
                <w:szCs w:val="21"/>
                <w:highlight w:val="none"/>
                <w:u w:val="none"/>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8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质量指标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网络畅通率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sz w:val="21"/>
                <w:szCs w:val="21"/>
                <w:highlight w:val="none"/>
                <w:u w:val="none"/>
                <w:lang w:val="en-US" w:eastAsia="zh-CN"/>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lang w:val="en-US" w:eastAsia="zh-CN"/>
              </w:rPr>
            </w:pPr>
            <w:r>
              <w:rPr>
                <w:rFonts w:hint="eastAsia" w:ascii="宋体" w:hAnsi="宋体" w:eastAsia="宋体" w:cs="宋体"/>
                <w:b w:val="0"/>
                <w:bCs w:val="0"/>
                <w:i w:val="0"/>
                <w:color w:val="auto"/>
                <w:sz w:val="21"/>
                <w:szCs w:val="21"/>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0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时效指标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工作完成时限</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2021年12月31日前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4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p>
        </w:tc>
        <w:tc>
          <w:tcPr>
            <w:tcW w:w="166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成本指标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维护费用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lang w:val="en-US" w:eastAsia="zh-CN"/>
              </w:rPr>
              <w:t>0.24</w:t>
            </w:r>
            <w:r>
              <w:rPr>
                <w:rFonts w:hint="eastAsia" w:ascii="宋体" w:hAnsi="宋体" w:eastAsia="宋体" w:cs="宋体"/>
                <w:b w:val="0"/>
                <w:bCs w:val="0"/>
                <w:i w:val="0"/>
                <w:color w:val="auto"/>
                <w:sz w:val="21"/>
                <w:szCs w:val="21"/>
                <w:highlight w:val="none"/>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lang w:val="en-US" w:eastAsia="zh-CN"/>
              </w:rPr>
              <w:t>0.24</w:t>
            </w:r>
            <w:r>
              <w:rPr>
                <w:rFonts w:hint="eastAsia" w:ascii="宋体" w:hAnsi="宋体" w:eastAsia="宋体" w:cs="宋体"/>
                <w:b w:val="0"/>
                <w:bCs w:val="0"/>
                <w:i w:val="0"/>
                <w:color w:val="auto"/>
                <w:sz w:val="21"/>
                <w:szCs w:val="21"/>
                <w:highlight w:val="none"/>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0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效益</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指标</w:t>
            </w:r>
          </w:p>
        </w:tc>
        <w:tc>
          <w:tcPr>
            <w:tcW w:w="16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社会效益指标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color w:val="auto"/>
                <w:kern w:val="0"/>
                <w:sz w:val="21"/>
                <w:szCs w:val="21"/>
                <w:lang w:val="en-US" w:eastAsia="zh-CN"/>
              </w:rPr>
              <w:t>保障专网正常运行</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077"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1"/>
                <w:szCs w:val="21"/>
                <w:highlight w:val="none"/>
                <w:u w:val="none"/>
              </w:rPr>
            </w:pP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度指标</w:t>
            </w:r>
          </w:p>
        </w:tc>
        <w:tc>
          <w:tcPr>
            <w:tcW w:w="16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满意度指标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使用专网人员满意度</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sz w:val="21"/>
                <w:szCs w:val="21"/>
                <w:highlight w:val="none"/>
                <w:u w:val="none"/>
              </w:rPr>
              <w:t>≥99%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b w:val="0"/>
                <w:bCs w:val="0"/>
                <w:i w:val="0"/>
                <w:color w:val="auto"/>
                <w:sz w:val="21"/>
                <w:szCs w:val="21"/>
                <w:highlight w:val="none"/>
                <w:u w:val="none"/>
              </w:rPr>
            </w:pPr>
            <w:r>
              <w:rPr>
                <w:rFonts w:hint="eastAsia" w:ascii="宋体" w:hAnsi="宋体" w:cs="宋体"/>
                <w:b w:val="0"/>
                <w:bCs w:val="0"/>
                <w:i w:val="0"/>
                <w:color w:val="auto"/>
                <w:sz w:val="21"/>
                <w:szCs w:val="21"/>
                <w:highlight w:val="none"/>
                <w:u w:val="none"/>
                <w:lang w:val="en-US" w:eastAsia="zh-CN"/>
              </w:rPr>
              <w:t>100</w:t>
            </w:r>
            <w:r>
              <w:rPr>
                <w:rFonts w:hint="eastAsia" w:ascii="宋体" w:hAnsi="宋体" w:eastAsia="宋体" w:cs="宋体"/>
                <w:b w:val="0"/>
                <w:bCs w:val="0"/>
                <w:i w:val="0"/>
                <w:color w:val="auto"/>
                <w:sz w:val="21"/>
                <w:szCs w:val="21"/>
                <w:highlight w:val="none"/>
                <w:u w:val="none"/>
              </w:rPr>
              <w:t>%</w:t>
            </w:r>
          </w:p>
        </w:tc>
      </w:tr>
    </w:tbl>
    <w:p>
      <w:pPr>
        <w:rPr>
          <w:rFonts w:hint="eastAsia" w:ascii="黑体" w:hAnsi="黑体" w:eastAsia="黑体"/>
          <w:b w:val="0"/>
          <w:bCs w:val="0"/>
          <w:color w:val="auto"/>
          <w:sz w:val="44"/>
          <w:szCs w:val="44"/>
          <w:highlight w:val="none"/>
        </w:rPr>
      </w:pPr>
    </w:p>
    <w:p>
      <w:pPr>
        <w:spacing w:line="600" w:lineRule="exact"/>
        <w:jc w:val="center"/>
        <w:outlineLvl w:val="0"/>
        <w:rPr>
          <w:rFonts w:hint="eastAsia" w:ascii="仿宋" w:hAnsi="仿宋" w:eastAsia="仿宋"/>
          <w:b w:val="0"/>
          <w:bCs w:val="0"/>
          <w:color w:val="auto"/>
          <w:highlight w:val="none"/>
        </w:rPr>
      </w:pPr>
      <w:r>
        <w:rPr>
          <w:rFonts w:hint="eastAsia" w:ascii="黑体" w:hAnsi="黑体" w:eastAsia="黑体"/>
          <w:b w:val="0"/>
          <w:bCs w:val="0"/>
          <w:color w:val="auto"/>
          <w:sz w:val="44"/>
          <w:szCs w:val="44"/>
          <w:highlight w:val="none"/>
        </w:rPr>
        <w:t>第</w:t>
      </w:r>
      <w:r>
        <w:rPr>
          <w:rStyle w:val="28"/>
          <w:rFonts w:hint="eastAsia" w:ascii="黑体" w:hAnsi="黑体" w:eastAsia="黑体"/>
          <w:b w:val="0"/>
          <w:bCs w:val="0"/>
          <w:color w:val="auto"/>
          <w:highlight w:val="none"/>
        </w:rPr>
        <w:t>五部分 附表</w:t>
      </w:r>
      <w:bookmarkEnd w:id="57"/>
      <w:bookmarkEnd w:id="59"/>
      <w:bookmarkStart w:id="60" w:name="_Toc15396619"/>
    </w:p>
    <w:p>
      <w:pPr>
        <w:spacing w:line="600" w:lineRule="exact"/>
        <w:jc w:val="both"/>
        <w:outlineLvl w:val="0"/>
        <w:rPr>
          <w:rStyle w:val="29"/>
          <w:rFonts w:hint="eastAsia" w:ascii="仿宋_GB2312" w:hAnsi="仿宋_GB2312" w:eastAsia="仿宋_GB2312" w:cs="仿宋_GB2312"/>
          <w:b w:val="0"/>
          <w:bCs w:val="0"/>
          <w:color w:val="auto"/>
          <w:highlight w:val="none"/>
          <w:lang w:val="en-US" w:eastAsia="zh-CN" w:bidi="ar-SA"/>
        </w:rPr>
      </w:pPr>
      <w:r>
        <w:rPr>
          <w:rStyle w:val="29"/>
          <w:rFonts w:hint="eastAsia" w:ascii="仿宋_GB2312" w:hAnsi="仿宋_GB2312" w:eastAsia="仿宋_GB2312" w:cs="仿宋_GB2312"/>
          <w:b w:val="0"/>
          <w:bCs w:val="0"/>
          <w:color w:val="auto"/>
          <w:highlight w:val="none"/>
          <w:lang w:val="en-US" w:eastAsia="zh-CN" w:bidi="ar-SA"/>
        </w:rPr>
        <w:t>一、收入支出决算总表</w:t>
      </w:r>
      <w:bookmarkEnd w:id="60"/>
    </w:p>
    <w:p>
      <w:pPr>
        <w:pStyle w:val="5"/>
        <w:rPr>
          <w:rStyle w:val="29"/>
          <w:rFonts w:hint="eastAsia" w:ascii="仿宋_GB2312" w:hAnsi="仿宋_GB2312" w:eastAsia="仿宋_GB2312" w:cs="仿宋_GB2312"/>
          <w:b w:val="0"/>
          <w:bCs w:val="0"/>
          <w:color w:val="auto"/>
          <w:highlight w:val="none"/>
          <w:lang w:val="en-US" w:eastAsia="zh-CN" w:bidi="ar-SA"/>
        </w:rPr>
      </w:pPr>
      <w:bookmarkStart w:id="61" w:name="_Toc15396620"/>
      <w:r>
        <w:rPr>
          <w:rStyle w:val="29"/>
          <w:rFonts w:hint="eastAsia" w:ascii="仿宋_GB2312" w:hAnsi="仿宋_GB2312" w:eastAsia="仿宋_GB2312" w:cs="仿宋_GB2312"/>
          <w:b w:val="0"/>
          <w:bCs w:val="0"/>
          <w:color w:val="auto"/>
          <w:highlight w:val="none"/>
          <w:lang w:val="en-US" w:eastAsia="zh-CN" w:bidi="ar-SA"/>
        </w:rPr>
        <w:t>二、收入决算表</w:t>
      </w:r>
      <w:bookmarkEnd w:id="61"/>
    </w:p>
    <w:p>
      <w:pPr>
        <w:pStyle w:val="5"/>
        <w:rPr>
          <w:rFonts w:hint="eastAsia" w:ascii="仿宋_GB2312" w:hAnsi="仿宋_GB2312" w:eastAsia="仿宋_GB2312" w:cs="仿宋_GB2312"/>
          <w:b w:val="0"/>
          <w:bCs w:val="0"/>
          <w:color w:val="auto"/>
          <w:highlight w:val="none"/>
        </w:rPr>
      </w:pPr>
      <w:bookmarkStart w:id="62" w:name="_Toc15396621"/>
      <w:r>
        <w:rPr>
          <w:rStyle w:val="29"/>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bCs w:val="0"/>
          <w:color w:val="auto"/>
          <w:highlight w:val="none"/>
        </w:rPr>
        <w:t>支</w:t>
      </w:r>
      <w:r>
        <w:rPr>
          <w:rStyle w:val="29"/>
          <w:rFonts w:hint="eastAsia" w:ascii="仿宋_GB2312" w:hAnsi="仿宋_GB2312" w:eastAsia="仿宋_GB2312" w:cs="仿宋_GB2312"/>
          <w:b w:val="0"/>
          <w:bCs w:val="0"/>
          <w:color w:val="auto"/>
          <w:highlight w:val="none"/>
        </w:rPr>
        <w:t>出决算表</w:t>
      </w:r>
      <w:bookmarkEnd w:id="62"/>
    </w:p>
    <w:p>
      <w:pPr>
        <w:pStyle w:val="5"/>
        <w:rPr>
          <w:rFonts w:hint="eastAsia" w:ascii="仿宋_GB2312" w:hAnsi="仿宋_GB2312" w:eastAsia="仿宋_GB2312" w:cs="仿宋_GB2312"/>
          <w:b w:val="0"/>
          <w:bCs w:val="0"/>
          <w:color w:val="auto"/>
          <w:highlight w:val="none"/>
        </w:rPr>
      </w:pPr>
      <w:bookmarkStart w:id="63" w:name="_Toc15396622"/>
      <w:r>
        <w:rPr>
          <w:rStyle w:val="29"/>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bCs w:val="0"/>
          <w:color w:val="auto"/>
          <w:highlight w:val="none"/>
        </w:rPr>
        <w:t>财</w:t>
      </w:r>
      <w:r>
        <w:rPr>
          <w:rStyle w:val="29"/>
          <w:rFonts w:hint="eastAsia" w:ascii="仿宋_GB2312" w:hAnsi="仿宋_GB2312" w:eastAsia="仿宋_GB2312" w:cs="仿宋_GB2312"/>
          <w:b w:val="0"/>
          <w:bCs w:val="0"/>
          <w:color w:val="auto"/>
          <w:highlight w:val="none"/>
        </w:rPr>
        <w:t>政拨款收入支出决算总表</w:t>
      </w:r>
      <w:bookmarkEnd w:id="63"/>
    </w:p>
    <w:p>
      <w:pPr>
        <w:pStyle w:val="5"/>
        <w:rPr>
          <w:rStyle w:val="29"/>
          <w:rFonts w:hint="eastAsia" w:ascii="仿宋_GB2312" w:hAnsi="仿宋_GB2312" w:eastAsia="仿宋_GB2312" w:cs="仿宋_GB2312"/>
          <w:b w:val="0"/>
          <w:bCs w:val="0"/>
          <w:color w:val="auto"/>
          <w:highlight w:val="none"/>
        </w:rPr>
      </w:pPr>
      <w:bookmarkStart w:id="64" w:name="_Toc15396623"/>
      <w:r>
        <w:rPr>
          <w:rStyle w:val="29"/>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bCs w:val="0"/>
          <w:color w:val="auto"/>
          <w:highlight w:val="none"/>
        </w:rPr>
        <w:t>财</w:t>
      </w:r>
      <w:r>
        <w:rPr>
          <w:rStyle w:val="29"/>
          <w:rFonts w:hint="eastAsia" w:ascii="仿宋_GB2312" w:hAnsi="仿宋_GB2312" w:eastAsia="仿宋_GB2312" w:cs="仿宋_GB2312"/>
          <w:b w:val="0"/>
          <w:bCs w:val="0"/>
          <w:color w:val="auto"/>
          <w:highlight w:val="none"/>
        </w:rPr>
        <w:t>政拨款支出决算明细表</w:t>
      </w:r>
      <w:bookmarkEnd w:id="64"/>
      <w:bookmarkStart w:id="65" w:name="_Toc15396624"/>
    </w:p>
    <w:p>
      <w:pPr>
        <w:pStyle w:val="5"/>
        <w:rPr>
          <w:rFonts w:hint="eastAsia" w:ascii="仿宋_GB2312" w:hAnsi="仿宋_GB2312" w:eastAsia="仿宋_GB2312" w:cs="仿宋_GB2312"/>
          <w:b w:val="0"/>
          <w:bCs w:val="0"/>
          <w:color w:val="auto"/>
          <w:highlight w:val="none"/>
        </w:rPr>
      </w:pPr>
      <w:r>
        <w:rPr>
          <w:rStyle w:val="29"/>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bCs w:val="0"/>
          <w:color w:val="auto"/>
          <w:highlight w:val="none"/>
        </w:rPr>
        <w:t>一</w:t>
      </w:r>
      <w:r>
        <w:rPr>
          <w:rStyle w:val="29"/>
          <w:rFonts w:hint="eastAsia" w:ascii="仿宋_GB2312" w:hAnsi="仿宋_GB2312" w:eastAsia="仿宋_GB2312" w:cs="仿宋_GB2312"/>
          <w:b w:val="0"/>
          <w:bCs w:val="0"/>
          <w:color w:val="auto"/>
          <w:highlight w:val="none"/>
        </w:rPr>
        <w:t>般公共预算财政拨款支出决算表</w:t>
      </w:r>
      <w:bookmarkEnd w:id="65"/>
    </w:p>
    <w:p>
      <w:pPr>
        <w:pStyle w:val="5"/>
        <w:rPr>
          <w:rFonts w:hint="eastAsia" w:ascii="仿宋_GB2312" w:hAnsi="仿宋_GB2312" w:eastAsia="仿宋_GB2312" w:cs="仿宋_GB2312"/>
          <w:b w:val="0"/>
          <w:bCs w:val="0"/>
          <w:color w:val="auto"/>
          <w:highlight w:val="none"/>
        </w:rPr>
      </w:pPr>
      <w:bookmarkStart w:id="66" w:name="_Toc15396625"/>
      <w:r>
        <w:rPr>
          <w:rStyle w:val="29"/>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bCs w:val="0"/>
          <w:color w:val="auto"/>
          <w:highlight w:val="none"/>
        </w:rPr>
        <w:t>一</w:t>
      </w:r>
      <w:r>
        <w:rPr>
          <w:rStyle w:val="29"/>
          <w:rFonts w:hint="eastAsia" w:ascii="仿宋_GB2312" w:hAnsi="仿宋_GB2312" w:eastAsia="仿宋_GB2312" w:cs="仿宋_GB2312"/>
          <w:b w:val="0"/>
          <w:bCs w:val="0"/>
          <w:color w:val="auto"/>
          <w:highlight w:val="none"/>
        </w:rPr>
        <w:t>般公共预算财政拨款支出决算明细表</w:t>
      </w:r>
      <w:bookmarkEnd w:id="66"/>
    </w:p>
    <w:p>
      <w:pPr>
        <w:pStyle w:val="5"/>
        <w:rPr>
          <w:rFonts w:hint="eastAsia" w:ascii="仿宋_GB2312" w:hAnsi="仿宋_GB2312" w:eastAsia="仿宋_GB2312" w:cs="仿宋_GB2312"/>
          <w:b w:val="0"/>
          <w:bCs w:val="0"/>
          <w:color w:val="auto"/>
          <w:highlight w:val="none"/>
        </w:rPr>
      </w:pPr>
      <w:bookmarkStart w:id="67" w:name="_Toc15396626"/>
      <w:r>
        <w:rPr>
          <w:rStyle w:val="29"/>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bCs w:val="0"/>
          <w:color w:val="auto"/>
          <w:highlight w:val="none"/>
        </w:rPr>
        <w:t>一</w:t>
      </w:r>
      <w:r>
        <w:rPr>
          <w:rStyle w:val="29"/>
          <w:rFonts w:hint="eastAsia" w:ascii="仿宋_GB2312" w:hAnsi="仿宋_GB2312" w:eastAsia="仿宋_GB2312" w:cs="仿宋_GB2312"/>
          <w:b w:val="0"/>
          <w:bCs w:val="0"/>
          <w:color w:val="auto"/>
          <w:highlight w:val="none"/>
        </w:rPr>
        <w:t>般公共预算财政拨款基本支出决算表</w:t>
      </w:r>
      <w:bookmarkEnd w:id="67"/>
    </w:p>
    <w:p>
      <w:pPr>
        <w:pStyle w:val="5"/>
        <w:rPr>
          <w:rFonts w:hint="eastAsia" w:ascii="仿宋_GB2312" w:hAnsi="仿宋_GB2312" w:eastAsia="仿宋_GB2312" w:cs="仿宋_GB2312"/>
          <w:b w:val="0"/>
          <w:bCs w:val="0"/>
          <w:color w:val="auto"/>
          <w:highlight w:val="none"/>
        </w:rPr>
      </w:pPr>
      <w:bookmarkStart w:id="68" w:name="_Toc15396627"/>
      <w:r>
        <w:rPr>
          <w:rStyle w:val="29"/>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bCs w:val="0"/>
          <w:color w:val="auto"/>
          <w:highlight w:val="none"/>
        </w:rPr>
        <w:t>一</w:t>
      </w:r>
      <w:r>
        <w:rPr>
          <w:rStyle w:val="29"/>
          <w:rFonts w:hint="eastAsia" w:ascii="仿宋_GB2312" w:hAnsi="仿宋_GB2312" w:eastAsia="仿宋_GB2312" w:cs="仿宋_GB2312"/>
          <w:b w:val="0"/>
          <w:bCs w:val="0"/>
          <w:color w:val="auto"/>
          <w:highlight w:val="none"/>
        </w:rPr>
        <w:t>般公共预算财政拨款项目支出决算表</w:t>
      </w:r>
      <w:bookmarkEnd w:id="68"/>
    </w:p>
    <w:p>
      <w:pPr>
        <w:pStyle w:val="5"/>
        <w:rPr>
          <w:rFonts w:hint="eastAsia" w:ascii="仿宋_GB2312" w:hAnsi="仿宋_GB2312" w:eastAsia="仿宋_GB2312" w:cs="仿宋_GB2312"/>
          <w:b w:val="0"/>
          <w:bCs w:val="0"/>
          <w:color w:val="auto"/>
          <w:highlight w:val="none"/>
        </w:rPr>
      </w:pPr>
      <w:bookmarkStart w:id="69" w:name="_Toc15396628"/>
      <w:r>
        <w:rPr>
          <w:rStyle w:val="29"/>
          <w:rFonts w:hint="eastAsia" w:ascii="仿宋_GB2312" w:hAnsi="仿宋_GB2312" w:eastAsia="仿宋_GB2312" w:cs="仿宋_GB2312"/>
          <w:b w:val="0"/>
          <w:bCs w:val="0"/>
          <w:color w:val="auto"/>
          <w:highlight w:val="none"/>
        </w:rPr>
        <w:t>十、</w:t>
      </w:r>
      <w:r>
        <w:rPr>
          <w:rFonts w:hint="eastAsia" w:ascii="仿宋_GB2312" w:hAnsi="仿宋_GB2312" w:eastAsia="仿宋_GB2312" w:cs="仿宋_GB2312"/>
          <w:b w:val="0"/>
          <w:bCs w:val="0"/>
          <w:color w:val="auto"/>
          <w:highlight w:val="none"/>
        </w:rPr>
        <w:t>一</w:t>
      </w:r>
      <w:r>
        <w:rPr>
          <w:rStyle w:val="29"/>
          <w:rFonts w:hint="eastAsia" w:ascii="仿宋_GB2312" w:hAnsi="仿宋_GB2312" w:eastAsia="仿宋_GB2312" w:cs="仿宋_GB2312"/>
          <w:b w:val="0"/>
          <w:bCs w:val="0"/>
          <w:color w:val="auto"/>
          <w:highlight w:val="none"/>
        </w:rPr>
        <w:t>般公共预算财政拨款“三公”经费支出决算表</w:t>
      </w:r>
      <w:bookmarkEnd w:id="69"/>
    </w:p>
    <w:p>
      <w:pPr>
        <w:pStyle w:val="5"/>
        <w:rPr>
          <w:rFonts w:hint="eastAsia" w:ascii="仿宋_GB2312" w:hAnsi="仿宋_GB2312" w:eastAsia="仿宋_GB2312" w:cs="仿宋_GB2312"/>
          <w:b w:val="0"/>
          <w:bCs w:val="0"/>
          <w:color w:val="auto"/>
          <w:highlight w:val="none"/>
        </w:rPr>
      </w:pPr>
      <w:bookmarkStart w:id="70" w:name="_Toc15396629"/>
      <w:r>
        <w:rPr>
          <w:rStyle w:val="29"/>
          <w:rFonts w:hint="eastAsia" w:ascii="仿宋_GB2312" w:hAnsi="仿宋_GB2312" w:eastAsia="仿宋_GB2312" w:cs="仿宋_GB2312"/>
          <w:b w:val="0"/>
          <w:bCs w:val="0"/>
          <w:color w:val="auto"/>
          <w:highlight w:val="none"/>
        </w:rPr>
        <w:t>十一、</w:t>
      </w:r>
      <w:r>
        <w:rPr>
          <w:rFonts w:hint="eastAsia" w:ascii="仿宋_GB2312" w:hAnsi="仿宋_GB2312" w:eastAsia="仿宋_GB2312" w:cs="仿宋_GB2312"/>
          <w:b w:val="0"/>
          <w:bCs w:val="0"/>
          <w:color w:val="auto"/>
          <w:highlight w:val="none"/>
        </w:rPr>
        <w:t>政</w:t>
      </w:r>
      <w:r>
        <w:rPr>
          <w:rStyle w:val="29"/>
          <w:rFonts w:hint="eastAsia" w:ascii="仿宋_GB2312" w:hAnsi="仿宋_GB2312" w:eastAsia="仿宋_GB2312" w:cs="仿宋_GB2312"/>
          <w:b w:val="0"/>
          <w:bCs w:val="0"/>
          <w:color w:val="auto"/>
          <w:highlight w:val="none"/>
        </w:rPr>
        <w:t>府性基金预算财政拨款收入支出决算表</w:t>
      </w:r>
      <w:bookmarkEnd w:id="70"/>
    </w:p>
    <w:p>
      <w:pPr>
        <w:pStyle w:val="5"/>
        <w:rPr>
          <w:rFonts w:hint="eastAsia" w:ascii="仿宋_GB2312" w:hAnsi="仿宋_GB2312" w:eastAsia="仿宋_GB2312" w:cs="仿宋_GB2312"/>
          <w:b w:val="0"/>
          <w:bCs w:val="0"/>
          <w:color w:val="auto"/>
          <w:highlight w:val="none"/>
        </w:rPr>
      </w:pPr>
      <w:bookmarkStart w:id="71" w:name="_Toc15396630"/>
      <w:r>
        <w:rPr>
          <w:rStyle w:val="29"/>
          <w:rFonts w:hint="eastAsia" w:ascii="仿宋_GB2312" w:hAnsi="仿宋_GB2312" w:eastAsia="仿宋_GB2312" w:cs="仿宋_GB2312"/>
          <w:b w:val="0"/>
          <w:bCs w:val="0"/>
          <w:color w:val="auto"/>
          <w:highlight w:val="none"/>
        </w:rPr>
        <w:t>十二、</w:t>
      </w:r>
      <w:r>
        <w:rPr>
          <w:rFonts w:hint="eastAsia" w:ascii="仿宋_GB2312" w:hAnsi="仿宋_GB2312" w:eastAsia="仿宋_GB2312" w:cs="仿宋_GB2312"/>
          <w:b w:val="0"/>
          <w:bCs w:val="0"/>
          <w:color w:val="auto"/>
          <w:highlight w:val="none"/>
        </w:rPr>
        <w:t>政</w:t>
      </w:r>
      <w:r>
        <w:rPr>
          <w:rStyle w:val="29"/>
          <w:rFonts w:hint="eastAsia" w:ascii="仿宋_GB2312" w:hAnsi="仿宋_GB2312" w:eastAsia="仿宋_GB2312" w:cs="仿宋_GB2312"/>
          <w:b w:val="0"/>
          <w:bCs w:val="0"/>
          <w:color w:val="auto"/>
          <w:highlight w:val="none"/>
        </w:rPr>
        <w:t>府性基金预算财政拨款“三公”经费支出决算表</w:t>
      </w:r>
      <w:bookmarkEnd w:id="71"/>
    </w:p>
    <w:p>
      <w:pPr>
        <w:pStyle w:val="5"/>
        <w:rPr>
          <w:rStyle w:val="29"/>
          <w:rFonts w:hint="eastAsia" w:ascii="仿宋_GB2312" w:hAnsi="仿宋_GB2312" w:eastAsia="仿宋_GB2312" w:cs="仿宋_GB2312"/>
          <w:b w:val="0"/>
          <w:bCs w:val="0"/>
          <w:color w:val="auto"/>
          <w:highlight w:val="none"/>
        </w:rPr>
      </w:pPr>
      <w:bookmarkStart w:id="72" w:name="_Toc15396631"/>
      <w:r>
        <w:rPr>
          <w:rStyle w:val="29"/>
          <w:rFonts w:hint="eastAsia" w:ascii="仿宋_GB2312" w:hAnsi="仿宋_GB2312" w:eastAsia="仿宋_GB2312" w:cs="仿宋_GB2312"/>
          <w:b w:val="0"/>
          <w:bCs w:val="0"/>
          <w:color w:val="auto"/>
          <w:highlight w:val="none"/>
        </w:rPr>
        <w:t>十三、</w:t>
      </w:r>
      <w:r>
        <w:rPr>
          <w:rFonts w:hint="eastAsia" w:ascii="仿宋_GB2312" w:hAnsi="仿宋_GB2312" w:eastAsia="仿宋_GB2312" w:cs="仿宋_GB2312"/>
          <w:b w:val="0"/>
          <w:bCs w:val="0"/>
          <w:color w:val="auto"/>
          <w:highlight w:val="none"/>
        </w:rPr>
        <w:t>国</w:t>
      </w:r>
      <w:r>
        <w:rPr>
          <w:rStyle w:val="29"/>
          <w:rFonts w:hint="eastAsia" w:ascii="仿宋_GB2312" w:hAnsi="仿宋_GB2312" w:eastAsia="仿宋_GB2312" w:cs="仿宋_GB2312"/>
          <w:b w:val="0"/>
          <w:bCs w:val="0"/>
          <w:color w:val="auto"/>
          <w:highlight w:val="none"/>
        </w:rPr>
        <w:t>有资本经营预算</w:t>
      </w:r>
      <w:r>
        <w:rPr>
          <w:rStyle w:val="29"/>
          <w:rFonts w:hint="eastAsia" w:ascii="仿宋_GB2312" w:hAnsi="仿宋_GB2312" w:eastAsia="仿宋_GB2312" w:cs="仿宋_GB2312"/>
          <w:b w:val="0"/>
          <w:bCs w:val="0"/>
          <w:color w:val="auto"/>
          <w:highlight w:val="none"/>
          <w:lang w:eastAsia="zh-CN"/>
        </w:rPr>
        <w:t>财政拨款收入</w:t>
      </w:r>
      <w:r>
        <w:rPr>
          <w:rStyle w:val="29"/>
          <w:rFonts w:hint="eastAsia" w:ascii="仿宋_GB2312" w:hAnsi="仿宋_GB2312" w:eastAsia="仿宋_GB2312" w:cs="仿宋_GB2312"/>
          <w:b w:val="0"/>
          <w:bCs w:val="0"/>
          <w:color w:val="auto"/>
          <w:highlight w:val="none"/>
        </w:rPr>
        <w:t>支出决算表</w:t>
      </w:r>
      <w:bookmarkEnd w:id="72"/>
    </w:p>
    <w:p>
      <w:pPr>
        <w:rPr>
          <w:rFonts w:hint="eastAsia" w:ascii="仿宋_GB2312" w:hAnsi="仿宋_GB2312" w:eastAsia="仿宋_GB2312" w:cs="仿宋_GB2312"/>
          <w:b w:val="0"/>
          <w:bCs w:val="0"/>
          <w:color w:val="auto"/>
          <w:highlight w:val="none"/>
          <w:lang w:eastAsia="zh-CN"/>
        </w:rPr>
      </w:pPr>
      <w:r>
        <w:rPr>
          <w:rStyle w:val="29"/>
          <w:rFonts w:hint="eastAsia" w:ascii="仿宋_GB2312" w:hAnsi="仿宋_GB2312" w:eastAsia="仿宋_GB2312" w:cs="仿宋_GB2312"/>
          <w:b w:val="0"/>
          <w:bCs w:val="0"/>
          <w:color w:val="auto"/>
          <w:highlight w:val="none"/>
          <w:lang w:eastAsia="zh-CN"/>
        </w:rPr>
        <w:t>十四、国有资本经营预算财政拨款支出决算表</w:t>
      </w:r>
    </w:p>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00" w:usb3="00000000" w:csb0="00040000" w:csb1="00000000"/>
  </w:font>
  <w:font w:name="??">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BFFE029"/>
    <w:multiLevelType w:val="singleLevel"/>
    <w:tmpl w:val="FBFFE029"/>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19"/>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YjNhZjNlZWUxMmZhOWY5ZjIwYjliNGNiZTcxZj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17AB3"/>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5F4CC9"/>
    <w:rsid w:val="066E0107"/>
    <w:rsid w:val="07996F6E"/>
    <w:rsid w:val="0A2032A3"/>
    <w:rsid w:val="0D9553DC"/>
    <w:rsid w:val="101860EC"/>
    <w:rsid w:val="1025747B"/>
    <w:rsid w:val="10C055FF"/>
    <w:rsid w:val="118107EC"/>
    <w:rsid w:val="12557610"/>
    <w:rsid w:val="13D50BC4"/>
    <w:rsid w:val="16BB723D"/>
    <w:rsid w:val="1BE8440E"/>
    <w:rsid w:val="1C2F73A1"/>
    <w:rsid w:val="1D155CEE"/>
    <w:rsid w:val="23860B96"/>
    <w:rsid w:val="240371BF"/>
    <w:rsid w:val="27306E23"/>
    <w:rsid w:val="29FD04D3"/>
    <w:rsid w:val="2C8A61B5"/>
    <w:rsid w:val="2DF04E50"/>
    <w:rsid w:val="319F7F4E"/>
    <w:rsid w:val="335F1FA7"/>
    <w:rsid w:val="359F7AA1"/>
    <w:rsid w:val="36AA5135"/>
    <w:rsid w:val="379F1B87"/>
    <w:rsid w:val="37CC69DD"/>
    <w:rsid w:val="37E16F03"/>
    <w:rsid w:val="396F0447"/>
    <w:rsid w:val="3D98207C"/>
    <w:rsid w:val="3DE25B6C"/>
    <w:rsid w:val="44E268DA"/>
    <w:rsid w:val="45AA2397"/>
    <w:rsid w:val="48F52897"/>
    <w:rsid w:val="4A627F82"/>
    <w:rsid w:val="4B4F25DA"/>
    <w:rsid w:val="4BB03F0B"/>
    <w:rsid w:val="4BE068DB"/>
    <w:rsid w:val="4D1B4BF6"/>
    <w:rsid w:val="4D577224"/>
    <w:rsid w:val="4EAB630A"/>
    <w:rsid w:val="4ECE2238"/>
    <w:rsid w:val="56E709FD"/>
    <w:rsid w:val="5AF92295"/>
    <w:rsid w:val="5CD71FC4"/>
    <w:rsid w:val="66376316"/>
    <w:rsid w:val="6C4A05C8"/>
    <w:rsid w:val="6C870808"/>
    <w:rsid w:val="6DFE33A1"/>
    <w:rsid w:val="6E7E3605"/>
    <w:rsid w:val="6FF5CC65"/>
    <w:rsid w:val="715C0E4B"/>
    <w:rsid w:val="72734D90"/>
    <w:rsid w:val="730F52EE"/>
    <w:rsid w:val="73AD73D5"/>
    <w:rsid w:val="73B6EB34"/>
    <w:rsid w:val="743C1F31"/>
    <w:rsid w:val="788F3CBB"/>
    <w:rsid w:val="797A3B41"/>
    <w:rsid w:val="79B116E4"/>
    <w:rsid w:val="79EE5BA4"/>
    <w:rsid w:val="7A894339"/>
    <w:rsid w:val="7BC22C9E"/>
    <w:rsid w:val="7EEF11D3"/>
    <w:rsid w:val="7FA30C79"/>
    <w:rsid w:val="7FBA3453"/>
    <w:rsid w:val="7FC82489"/>
    <w:rsid w:val="7FC96657"/>
    <w:rsid w:val="7FDD0CE1"/>
    <w:rsid w:val="7FEB2779"/>
    <w:rsid w:val="7FEC022D"/>
    <w:rsid w:val="BAEF4AB7"/>
    <w:rsid w:val="BFFF0C82"/>
    <w:rsid w:val="D8D6DB89"/>
    <w:rsid w:val="DA3D13EA"/>
    <w:rsid w:val="DB6F4CAB"/>
    <w:rsid w:val="DEB9CAF4"/>
    <w:rsid w:val="DF6F9789"/>
    <w:rsid w:val="DFDEFCE4"/>
    <w:rsid w:val="E9FAD0CA"/>
    <w:rsid w:val="EDD9FE6F"/>
    <w:rsid w:val="EDFD9A3A"/>
    <w:rsid w:val="EFF4ED27"/>
    <w:rsid w:val="F9DE5130"/>
    <w:rsid w:val="FDFFF8E1"/>
    <w:rsid w:val="FF6F80BF"/>
    <w:rsid w:val="FFBBBB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576" w:lineRule="exact"/>
      <w:ind w:firstLine="420" w:firstLineChars="200"/>
    </w:pPr>
    <w:rPr>
      <w:rFonts w:ascii="Calibri" w:hAnsi="Calibri"/>
    </w:rPr>
  </w:style>
  <w:style w:type="paragraph" w:styleId="3">
    <w:name w:val="Body Text Indent"/>
    <w:basedOn w:val="1"/>
    <w:semiHidden/>
    <w:qFormat/>
    <w:uiPriority w:val="0"/>
    <w:pPr>
      <w:spacing w:after="120"/>
      <w:ind w:left="420" w:leftChars="200"/>
    </w:pPr>
  </w:style>
  <w:style w:type="paragraph" w:styleId="7">
    <w:name w:val="Body Text"/>
    <w:basedOn w:val="1"/>
    <w:next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rFonts w:ascii="Calibri" w:hAnsi="Calibri" w:eastAsia="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Body Text First Indent"/>
    <w:basedOn w:val="7"/>
    <w:next w:val="1"/>
    <w:qFormat/>
    <w:uiPriority w:val="0"/>
    <w:pPr>
      <w:spacing w:after="0" w:afterLines="0" w:line="560" w:lineRule="exact"/>
      <w:ind w:firstLine="643" w:firstLineChars="200"/>
      <w:jc w:val="center"/>
    </w:pPr>
    <w:rPr>
      <w:rFonts w:ascii="Calibri" w:hAnsi="Calibri" w:eastAsia="仿宋" w:cs="Times New Roman"/>
      <w:sz w:val="32"/>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 Char Char6"/>
    <w:basedOn w:val="16"/>
    <w:link w:val="4"/>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Documents\WeChat%20Files\wxid_fg0sm9p2igwb21\FileStorage\File\2022-09\&#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Documents\WeChat%20Files\wxid_fg0sm9p2igwb21\FileStorage\File\2022-09\&#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ser/Desktop/&#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Users\Documents\WeChat%20Files\wxid_fg0sm9p2igwb21\FileStorage\File\2022-09\&#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Documents\WeChat%20Files\wxid_fg0sm9p2igwb21\FileStorage\File\2022-09\&#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Users\Documents\WeChat%20Files\wxid_fg0sm9p2igwb21\FileStorage\File\2022-0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effectLst/>
                <a:latin typeface="+mn-lt"/>
                <a:ea typeface="+mn-ea"/>
                <a:cs typeface="+mn-cs"/>
              </a:defRPr>
            </a:pPr>
            <a:r>
              <a:rPr>
                <a:solidFill>
                  <a:schemeClr val="tx1"/>
                </a:solidFill>
                <a:effectLst/>
                <a:uFillTx/>
                <a:latin typeface="宋体" panose="02010600030101010101" charset="-122"/>
                <a:ea typeface="宋体" panose="02010600030101010101" charset="-122"/>
                <a:cs typeface="宋体" panose="02010600030101010101" charset="-122"/>
              </a:rPr>
              <a:t>收、支决算总计变动情况图</a:t>
            </a:r>
            <a:endParaRPr>
              <a:solidFill>
                <a:schemeClr val="tx1"/>
              </a:solidFill>
              <a:effectLst/>
              <a:uFillTx/>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effectLst/>
                <a:latin typeface="+mn-lt"/>
                <a:ea typeface="+mn-ea"/>
                <a:cs typeface="+mn-cs"/>
              </a:defRPr>
            </a:pPr>
            <a:r>
              <a:rPr sz="1100">
                <a:solidFill>
                  <a:schemeClr val="tx1"/>
                </a:solidFill>
                <a:effectLst/>
                <a:uFillTx/>
                <a:latin typeface="宋体" panose="02010600030101010101" charset="-122"/>
                <a:ea typeface="宋体" panose="02010600030101010101" charset="-122"/>
                <a:cs typeface="宋体" panose="02010600030101010101" charset="-122"/>
              </a:rPr>
              <a:t>（单位：万元）</a:t>
            </a:r>
            <a:endParaRPr sz="1100">
              <a:solidFill>
                <a:schemeClr val="tx1"/>
              </a:solidFill>
              <a:effectLst/>
              <a:uFillTx/>
              <a:latin typeface="宋体" panose="02010600030101010101" charset="-122"/>
              <a:ea typeface="宋体" panose="02010600030101010101" charset="-122"/>
              <a:cs typeface="宋体" panose="02010600030101010101" charset="-122"/>
            </a:endParaRPr>
          </a:p>
        </c:rich>
      </c:tx>
      <c:layout>
        <c:manualLayout>
          <c:xMode val="edge"/>
          <c:yMode val="edge"/>
          <c:x val="0.249722222222222"/>
          <c:y val="0.0138888888888889"/>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effectLst/>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[图表.xlsx]Sheet1!$A$1:$B$2</c:f>
              <c:multiLvlStrCache>
                <c:ptCount val="2"/>
                <c:lvl>
                  <c:pt idx="0">
                    <c:v>2020年</c:v>
                  </c:pt>
                  <c:pt idx="1">
                    <c:v>2021年</c:v>
                  </c:pt>
                </c:lvl>
                <c:lvl/>
              </c:multiLvlStrCache>
            </c:multiLvlStrRef>
          </c:cat>
          <c:val>
            <c:numRef>
              <c:f>[图表.xlsx]Sheet1!$A$3:$B$3</c:f>
              <c:numCache>
                <c:formatCode>General</c:formatCode>
                <c:ptCount val="2"/>
                <c:pt idx="0">
                  <c:v>113.05</c:v>
                </c:pt>
                <c:pt idx="1">
                  <c:v>142</c:v>
                </c:pt>
              </c:numCache>
            </c:numRef>
          </c:val>
        </c:ser>
        <c:dLbls>
          <c:showLegendKey val="false"/>
          <c:showVal val="true"/>
          <c:showCatName val="false"/>
          <c:showSerName val="false"/>
          <c:showPercent val="false"/>
          <c:showBubbleSize val="false"/>
        </c:dLbls>
        <c:gapWidth val="219"/>
        <c:overlap val="-27"/>
        <c:axId val="414951099"/>
        <c:axId val="445233447"/>
      </c:barChart>
      <c:catAx>
        <c:axId val="41495109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effectLst/>
                <a:latin typeface="+mn-lt"/>
                <a:ea typeface="+mn-ea"/>
                <a:cs typeface="+mn-cs"/>
              </a:defRPr>
            </a:pPr>
          </a:p>
        </c:txPr>
        <c:crossAx val="445233447"/>
        <c:crosses val="autoZero"/>
        <c:auto val="true"/>
        <c:lblAlgn val="ctr"/>
        <c:lblOffset val="100"/>
        <c:noMultiLvlLbl val="false"/>
      </c:catAx>
      <c:valAx>
        <c:axId val="44523344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effectLst/>
                <a:latin typeface="+mn-lt"/>
                <a:ea typeface="+mn-ea"/>
                <a:cs typeface="+mn-cs"/>
              </a:defRPr>
            </a:pPr>
          </a:p>
        </c:txPr>
        <c:crossAx val="41495109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effectLst/>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收入决算结构图</a:t>
            </a:r>
            <a:endParaRPr>
              <a:solidFill>
                <a:sysClr val="windowText" lastClr="000000"/>
              </a:solidFill>
            </a:endParaRPr>
          </a:p>
          <a:p>
            <a:pPr defTabSz="914400">
              <a:defRPr lang="zh-CN" sz="1400" b="0" i="0" u="none" strike="noStrike" kern="1200" spc="0" baseline="0">
                <a:solidFill>
                  <a:schemeClr val="tx1">
                    <a:lumMod val="65000"/>
                    <a:lumOff val="35000"/>
                  </a:schemeClr>
                </a:solidFill>
                <a:latin typeface="+mn-lt"/>
                <a:ea typeface="+mn-ea"/>
                <a:cs typeface="+mn-cs"/>
              </a:defRPr>
            </a:pPr>
            <a:r>
              <a:rPr sz="1100">
                <a:solidFill>
                  <a:sysClr val="windowText" lastClr="000000"/>
                </a:solidFill>
              </a:rPr>
              <a:t>（单位：万元）</a:t>
            </a:r>
            <a:endParaRPr sz="1100">
              <a:solidFill>
                <a:sysClr val="windowText" lastClr="000000"/>
              </a:solidFill>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[图表.xlsx]Sheet1!$A$20:$A$26</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[图表.xlsx]Sheet1!$B$20:$B$26</c:f>
              <c:numCache>
                <c:formatCode>General</c:formatCode>
                <c:ptCount val="7"/>
                <c:pt idx="0">
                  <c:v>142</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支出决算结构图</a:t>
            </a:r>
            <a:endParaRPr>
              <a:solidFill>
                <a:sysClr val="windowText" lastClr="000000"/>
              </a:solidFill>
            </a:endParaRPr>
          </a:p>
          <a:p>
            <a:pPr defTabSz="914400">
              <a:defRPr lang="zh-CN" sz="1400" b="0" i="0" u="none" strike="noStrike" kern="1200" spc="0" baseline="0">
                <a:solidFill>
                  <a:schemeClr val="tx1">
                    <a:lumMod val="65000"/>
                    <a:lumOff val="35000"/>
                  </a:schemeClr>
                </a:solidFill>
                <a:latin typeface="+mn-lt"/>
                <a:ea typeface="+mn-ea"/>
                <a:cs typeface="+mn-cs"/>
              </a:defRPr>
            </a:pPr>
            <a:r>
              <a:rPr sz="1100">
                <a:solidFill>
                  <a:sysClr val="windowText" lastClr="000000"/>
                </a:solidFill>
              </a:rPr>
              <a:t>（单位：万元）</a:t>
            </a:r>
            <a:endParaRPr sz="1100">
              <a:solidFill>
                <a:sysClr val="windowText" lastClr="000000"/>
              </a:solidFill>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[图表.xlsx]Sheet1!$A$36:$A$40</c:f>
              <c:strCache>
                <c:ptCount val="5"/>
                <c:pt idx="0">
                  <c:v>基本支出</c:v>
                </c:pt>
                <c:pt idx="1">
                  <c:v>项目支出</c:v>
                </c:pt>
                <c:pt idx="2">
                  <c:v>上缴上级支出</c:v>
                </c:pt>
                <c:pt idx="3">
                  <c:v>经营支出</c:v>
                </c:pt>
                <c:pt idx="4">
                  <c:v>对附属单位补助支出</c:v>
                </c:pt>
              </c:strCache>
            </c:strRef>
          </c:cat>
          <c:val>
            <c:numRef>
              <c:f>[图表.xlsx]Sheet1!$B$36:$B$40</c:f>
              <c:numCache>
                <c:formatCode>General</c:formatCode>
                <c:ptCount val="5"/>
                <c:pt idx="0">
                  <c:v>98</c:v>
                </c:pt>
                <c:pt idx="1">
                  <c:v>44</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财政拨款收、支决算总计变动情况图</a:t>
            </a:r>
            <a:endParaRPr>
              <a:solidFill>
                <a:sysClr val="windowText" lastClr="000000"/>
              </a:solidFill>
            </a:endParaRPr>
          </a:p>
          <a:p>
            <a:pPr defTabSz="914400">
              <a:defRPr lang="zh-CN" sz="1400" b="0" i="0" u="none" strike="noStrike" kern="1200" spc="0" baseline="0">
                <a:solidFill>
                  <a:schemeClr val="tx1">
                    <a:lumMod val="65000"/>
                    <a:lumOff val="35000"/>
                  </a:schemeClr>
                </a:solidFill>
                <a:latin typeface="+mn-lt"/>
                <a:ea typeface="+mn-ea"/>
                <a:cs typeface="+mn-cs"/>
              </a:defRPr>
            </a:pPr>
            <a:r>
              <a:rPr sz="1100">
                <a:solidFill>
                  <a:sysClr val="windowText" lastClr="000000"/>
                </a:solidFill>
              </a:rPr>
              <a:t>（单位：万元）</a:t>
            </a:r>
            <a:endParaRPr sz="1100">
              <a:solidFill>
                <a:sysClr val="windowText" lastClr="000000"/>
              </a:solidFill>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[图表.xlsx]Sheet1!$A$55:$B$55</c:f>
              <c:strCache>
                <c:ptCount val="2"/>
                <c:pt idx="0">
                  <c:v>2020年</c:v>
                </c:pt>
                <c:pt idx="1">
                  <c:v>2021年</c:v>
                </c:pt>
              </c:strCache>
            </c:strRef>
          </c:cat>
          <c:val>
            <c:numRef>
              <c:f>[图表.xlsx]Sheet1!$A$56:$B$56</c:f>
              <c:numCache>
                <c:formatCode>General</c:formatCode>
                <c:ptCount val="2"/>
                <c:pt idx="0">
                  <c:v>113.05</c:v>
                </c:pt>
                <c:pt idx="1">
                  <c:v>142</c:v>
                </c:pt>
              </c:numCache>
            </c:numRef>
          </c:val>
        </c:ser>
        <c:dLbls>
          <c:showLegendKey val="false"/>
          <c:showVal val="true"/>
          <c:showCatName val="false"/>
          <c:showSerName val="false"/>
          <c:showPercent val="false"/>
          <c:showBubbleSize val="false"/>
        </c:dLbls>
        <c:gapWidth val="219"/>
        <c:overlap val="-27"/>
        <c:axId val="607522251"/>
        <c:axId val="78490159"/>
      </c:barChart>
      <c:catAx>
        <c:axId val="60752225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490159"/>
        <c:crosses val="autoZero"/>
        <c:auto val="true"/>
        <c:lblAlgn val="ctr"/>
        <c:lblOffset val="100"/>
        <c:noMultiLvlLbl val="false"/>
      </c:catAx>
      <c:valAx>
        <c:axId val="7849015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752225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一般公共预算财政拨款支出决算变动情况</a:t>
            </a:r>
            <a:endParaRPr>
              <a:solidFill>
                <a:sysClr val="windowText" lastClr="000000"/>
              </a:solidFill>
            </a:endParaRPr>
          </a:p>
          <a:p>
            <a:pPr defTabSz="914400">
              <a:defRPr lang="zh-CN" sz="1400" b="0" i="0" u="none" strike="noStrike" kern="1200" spc="0" baseline="0">
                <a:solidFill>
                  <a:schemeClr val="tx1">
                    <a:lumMod val="65000"/>
                    <a:lumOff val="35000"/>
                  </a:schemeClr>
                </a:solidFill>
                <a:latin typeface="+mn-lt"/>
                <a:ea typeface="+mn-ea"/>
                <a:cs typeface="+mn-cs"/>
              </a:defRPr>
            </a:pPr>
            <a:r>
              <a:rPr sz="1100">
                <a:solidFill>
                  <a:sysClr val="windowText" lastClr="000000"/>
                </a:solidFill>
              </a:rPr>
              <a:t>（单位：万元）</a:t>
            </a:r>
            <a:endParaRPr sz="1100">
              <a:solidFill>
                <a:sysClr val="windowText" lastClr="000000"/>
              </a:solidFill>
            </a:endParaRPr>
          </a:p>
        </c:rich>
      </c:tx>
      <c:layout>
        <c:manualLayout>
          <c:xMode val="edge"/>
          <c:yMode val="edge"/>
          <c:x val="0.12125"/>
          <c:y val="0.0381944444444444"/>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[图表.xlsx]Sheet1!$A$76:$B$76</c:f>
              <c:strCache>
                <c:ptCount val="2"/>
                <c:pt idx="0">
                  <c:v>2020年</c:v>
                </c:pt>
                <c:pt idx="1">
                  <c:v>2021年</c:v>
                </c:pt>
              </c:strCache>
            </c:strRef>
          </c:cat>
          <c:val>
            <c:numRef>
              <c:f>[图表.xlsx]Sheet1!$A$77:$B$77</c:f>
              <c:numCache>
                <c:formatCode>General</c:formatCode>
                <c:ptCount val="2"/>
                <c:pt idx="0">
                  <c:v>113.05</c:v>
                </c:pt>
                <c:pt idx="1">
                  <c:v>142</c:v>
                </c:pt>
              </c:numCache>
            </c:numRef>
          </c:val>
        </c:ser>
        <c:dLbls>
          <c:showLegendKey val="false"/>
          <c:showVal val="true"/>
          <c:showCatName val="false"/>
          <c:showSerName val="false"/>
          <c:showPercent val="false"/>
          <c:showBubbleSize val="false"/>
        </c:dLbls>
        <c:gapWidth val="219"/>
        <c:overlap val="-27"/>
        <c:axId val="171429808"/>
        <c:axId val="933817304"/>
      </c:barChart>
      <c:catAx>
        <c:axId val="17142980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3817304"/>
        <c:crosses val="autoZero"/>
        <c:auto val="true"/>
        <c:lblAlgn val="ctr"/>
        <c:lblOffset val="100"/>
        <c:noMultiLvlLbl val="false"/>
      </c:catAx>
      <c:valAx>
        <c:axId val="93381730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142980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一般公共预算财政拨款支出决算结构</a:t>
            </a:r>
            <a:endParaRPr>
              <a:solidFill>
                <a:sysClr val="windowText" lastClr="000000"/>
              </a:solidFill>
            </a:endParaRPr>
          </a:p>
          <a:p>
            <a:pPr defTabSz="914400">
              <a:defRPr lang="zh-CN" sz="1400" b="0" i="0" u="none" strike="noStrike" kern="1200" spc="0" baseline="0">
                <a:solidFill>
                  <a:schemeClr val="tx1">
                    <a:lumMod val="65000"/>
                    <a:lumOff val="35000"/>
                  </a:schemeClr>
                </a:solidFill>
                <a:latin typeface="+mn-lt"/>
                <a:ea typeface="+mn-ea"/>
                <a:cs typeface="+mn-cs"/>
              </a:defRPr>
            </a:pPr>
            <a:r>
              <a:rPr sz="1100">
                <a:solidFill>
                  <a:sysClr val="windowText" lastClr="000000"/>
                </a:solidFill>
              </a:rPr>
              <a:t>（单位：万元）</a:t>
            </a:r>
            <a:endParaRPr sz="1100">
              <a:solidFill>
                <a:sysClr val="windowText" lastClr="000000"/>
              </a:solidFill>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1"/>
              <c:layout>
                <c:manualLayout>
                  <c:x val="-0.0941795480402088"/>
                  <c:y val="0.022157743969071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236893516058563"/>
                  <c:y val="-0.012476601452914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58903794675521"/>
                  <c:y val="-0.026333785718055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[图表.xlsx]Sheet1!$A$96:$A$99</c:f>
              <c:strCache>
                <c:ptCount val="4"/>
                <c:pt idx="0">
                  <c:v>一般公共服务</c:v>
                </c:pt>
                <c:pt idx="1">
                  <c:v>社会保障和就业</c:v>
                </c:pt>
                <c:pt idx="2">
                  <c:v>卫生健康</c:v>
                </c:pt>
                <c:pt idx="3">
                  <c:v>住房保障</c:v>
                </c:pt>
              </c:strCache>
            </c:strRef>
          </c:cat>
          <c:val>
            <c:numRef>
              <c:f>[图表.xlsx]Sheet1!$B$96:$B$99</c:f>
              <c:numCache>
                <c:formatCode>General</c:formatCode>
                <c:ptCount val="4"/>
                <c:pt idx="0">
                  <c:v>130.56</c:v>
                </c:pt>
                <c:pt idx="1">
                  <c:v>6.17</c:v>
                </c:pt>
                <c:pt idx="2">
                  <c:v>2.11</c:v>
                </c:pt>
                <c:pt idx="3">
                  <c:v>23.16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宋体" panose="02010600030101010101" charset="-122"/>
                <a:ea typeface="宋体" panose="02010600030101010101" charset="-122"/>
                <a:cs typeface="宋体" panose="02010600030101010101" charset="-122"/>
              </a:rPr>
              <a:t>“三公”经费财政拨款支出结构</a:t>
            </a:r>
            <a:endParaRPr>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100">
                <a:latin typeface="宋体" panose="02010600030101010101" charset="-122"/>
                <a:ea typeface="宋体" panose="02010600030101010101" charset="-122"/>
                <a:cs typeface="宋体" panose="02010600030101010101" charset="-122"/>
              </a:rPr>
              <a:t>（单位：万元）</a:t>
            </a:r>
            <a:endParaRPr sz="1100">
              <a:latin typeface="宋体" panose="02010600030101010101" charset="-122"/>
              <a:ea typeface="宋体" panose="02010600030101010101" charset="-122"/>
              <a:cs typeface="宋体" panose="02010600030101010101" charset="-122"/>
            </a:endParaRPr>
          </a:p>
        </c:rich>
      </c:tx>
      <c:layout>
        <c:manualLayout>
          <c:xMode val="edge"/>
          <c:yMode val="edge"/>
          <c:x val="0.217916666666667"/>
          <c:y val="0.0277777777777778"/>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[图表.xlsx]Sheet1!$A$116:$A$118</c:f>
              <c:strCache>
                <c:ptCount val="3"/>
                <c:pt idx="0">
                  <c:v>公务接待费支出</c:v>
                </c:pt>
                <c:pt idx="1">
                  <c:v>因公出国（境）费支出</c:v>
                </c:pt>
                <c:pt idx="2">
                  <c:v>公务用车购置及运行维护费支出</c:v>
                </c:pt>
              </c:strCache>
            </c:strRef>
          </c:cat>
          <c:val>
            <c:numRef>
              <c:f>[图表.xlsx]Sheet1!$B$116:$B$118</c:f>
              <c:numCache>
                <c:formatCode>General</c:formatCode>
                <c:ptCount val="3"/>
                <c:pt idx="0">
                  <c:v>0.36</c:v>
                </c:pt>
                <c:pt idx="1">
                  <c:v>0</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20302</Words>
  <Characters>21249</Characters>
  <Lines>61</Lines>
  <Paragraphs>17</Paragraphs>
  <TotalTime>4</TotalTime>
  <ScaleCrop>false</ScaleCrop>
  <LinksUpToDate>false</LinksUpToDate>
  <CharactersWithSpaces>21564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2022-08-09T17:11:00Z</cp:lastPrinted>
  <dcterms:modified xsi:type="dcterms:W3CDTF">2024-12-20T15:43:20Z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D35456B1AC6741C493133C3B1A6B5E19</vt:lpwstr>
  </property>
</Properties>
</file>