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简体" w:hAnsi="方正小标宋简体" w:eastAsia="方正小标宋简体"/>
          <w:color w:val="000000"/>
          <w:kern w:val="2"/>
          <w:sz w:val="72"/>
          <w:szCs w:val="24"/>
          <w:lang w:val="zh-CN"/>
        </w:rPr>
      </w:pPr>
      <w:bookmarkStart w:id="44" w:name="_GoBack"/>
      <w:bookmarkEnd w:id="44"/>
    </w:p>
    <w:p>
      <w:pPr>
        <w:spacing w:line="600" w:lineRule="exact"/>
        <w:jc w:val="center"/>
        <w:rPr>
          <w:rFonts w:hint="eastAsia" w:ascii="方正小标宋简体" w:hAnsi="方正小标宋简体" w:eastAsia="方正小标宋简体"/>
          <w:color w:val="000000"/>
          <w:kern w:val="2"/>
          <w:sz w:val="72"/>
          <w:szCs w:val="24"/>
          <w:lang w:val="zh-CN"/>
        </w:rPr>
      </w:pPr>
    </w:p>
    <w:p>
      <w:pPr>
        <w:spacing w:line="600" w:lineRule="exact"/>
        <w:jc w:val="center"/>
        <w:rPr>
          <w:rFonts w:hint="eastAsia" w:ascii="方正小标宋简体" w:hAnsi="方正小标宋简体" w:eastAsia="方正小标宋简体"/>
          <w:color w:val="000000"/>
          <w:kern w:val="2"/>
          <w:sz w:val="72"/>
          <w:szCs w:val="24"/>
          <w:lang w:val="zh-CN"/>
        </w:rPr>
      </w:pPr>
    </w:p>
    <w:p>
      <w:pPr>
        <w:spacing w:line="600" w:lineRule="exact"/>
        <w:jc w:val="center"/>
        <w:rPr>
          <w:rFonts w:hint="eastAsia" w:ascii="方正小标宋简体" w:hAnsi="方正小标宋简体" w:eastAsia="方正小标宋简体"/>
          <w:color w:val="000000"/>
          <w:kern w:val="2"/>
          <w:sz w:val="72"/>
          <w:szCs w:val="24"/>
          <w:lang w:val="zh-CN"/>
        </w:rPr>
      </w:pPr>
    </w:p>
    <w:p>
      <w:pPr>
        <w:spacing w:line="600" w:lineRule="exact"/>
        <w:jc w:val="center"/>
        <w:rPr>
          <w:rFonts w:hint="eastAsia" w:ascii="方正小标宋简体" w:hAnsi="方正小标宋简体" w:eastAsia="方正小标宋简体"/>
          <w:color w:val="000000"/>
          <w:kern w:val="2"/>
          <w:sz w:val="72"/>
          <w:szCs w:val="24"/>
          <w:lang w:val="zh-CN"/>
        </w:rPr>
      </w:pPr>
    </w:p>
    <w:p>
      <w:pPr>
        <w:spacing w:line="360" w:lineRule="auto"/>
        <w:jc w:val="center"/>
        <w:rPr>
          <w:rFonts w:hint="eastAsia" w:ascii="黑体" w:hAnsi="黑体" w:eastAsia="黑体"/>
          <w:color w:val="000000"/>
          <w:kern w:val="2"/>
          <w:sz w:val="72"/>
          <w:szCs w:val="24"/>
          <w:lang w:val="zh-CN"/>
        </w:rPr>
      </w:pPr>
      <w:r>
        <w:rPr>
          <w:rFonts w:hint="eastAsia" w:ascii="黑体" w:hAnsi="黑体" w:eastAsia="黑体"/>
          <w:color w:val="000000"/>
          <w:kern w:val="2"/>
          <w:sz w:val="72"/>
          <w:szCs w:val="24"/>
          <w:lang w:val="zh-CN"/>
        </w:rPr>
        <w:t>2023年度</w:t>
      </w:r>
    </w:p>
    <w:p>
      <w:pPr>
        <w:snapToGrid w:val="0"/>
        <w:spacing w:line="360" w:lineRule="auto"/>
        <w:jc w:val="center"/>
        <w:outlineLvl w:val="0"/>
        <w:rPr>
          <w:rFonts w:hint="eastAsia" w:ascii="黑体" w:hAnsi="黑体" w:eastAsia="黑体"/>
          <w:color w:val="000000"/>
          <w:kern w:val="2"/>
          <w:sz w:val="72"/>
          <w:szCs w:val="24"/>
          <w:lang w:val="zh-CN"/>
        </w:rPr>
      </w:pPr>
      <w:bookmarkStart w:id="0" w:name="_Toc1599"/>
      <w:r>
        <w:rPr>
          <w:rFonts w:hint="eastAsia" w:ascii="黑体" w:hAnsi="黑体" w:eastAsia="黑体"/>
          <w:color w:val="000000"/>
          <w:kern w:val="2"/>
          <w:sz w:val="72"/>
          <w:szCs w:val="24"/>
          <w:lang w:val="zh-CN" w:eastAsia="zh-CN"/>
        </w:rPr>
        <w:t>广元市朝天区发展和改革局</w:t>
      </w:r>
      <w:r>
        <w:rPr>
          <w:rFonts w:hint="eastAsia" w:ascii="黑体" w:hAnsi="黑体" w:eastAsia="黑体"/>
          <w:color w:val="000000"/>
          <w:kern w:val="2"/>
          <w:sz w:val="72"/>
          <w:szCs w:val="24"/>
          <w:lang w:val="zh-CN"/>
        </w:rPr>
        <w:t>部门决算</w:t>
      </w:r>
      <w:bookmarkEnd w:id="0"/>
    </w:p>
    <w:p>
      <w:pPr>
        <w:spacing w:line="360" w:lineRule="auto"/>
        <w:jc w:val="center"/>
        <w:rPr>
          <w:rFonts w:hint="eastAsia" w:ascii="黑体" w:hAnsi="黑体" w:eastAsia="黑体"/>
          <w:color w:val="000000"/>
          <w:kern w:val="2"/>
          <w:sz w:val="72"/>
          <w:szCs w:val="24"/>
          <w:lang w:val="zh-CN"/>
        </w:rPr>
      </w:pPr>
    </w:p>
    <w:p>
      <w:pPr>
        <w:jc w:val="both"/>
        <w:rPr>
          <w:rFonts w:hint="default" w:ascii="宋体" w:hAnsi="宋体" w:eastAsia="宋体"/>
          <w:sz w:val="21"/>
          <w:szCs w:val="24"/>
        </w:rPr>
      </w:pPr>
    </w:p>
    <w:p>
      <w:pPr>
        <w:jc w:val="both"/>
        <w:rPr>
          <w:rFonts w:hint="default" w:ascii="宋体" w:hAnsi="宋体" w:eastAsia="宋体"/>
          <w:sz w:val="21"/>
          <w:szCs w:val="24"/>
        </w:rPr>
      </w:pPr>
    </w:p>
    <w:p>
      <w:pPr>
        <w:jc w:val="both"/>
        <w:rPr>
          <w:rFonts w:hint="default" w:ascii="宋体" w:hAnsi="宋体" w:eastAsia="宋体"/>
          <w:sz w:val="21"/>
          <w:szCs w:val="24"/>
        </w:rPr>
      </w:pPr>
    </w:p>
    <w:p>
      <w:pPr>
        <w:jc w:val="both"/>
        <w:rPr>
          <w:rFonts w:hint="default" w:ascii="宋体" w:hAnsi="宋体" w:eastAsia="宋体"/>
          <w:sz w:val="21"/>
          <w:szCs w:val="24"/>
        </w:rPr>
      </w:pPr>
    </w:p>
    <w:p>
      <w:pPr>
        <w:jc w:val="both"/>
        <w:rPr>
          <w:rFonts w:hint="default" w:ascii="宋体" w:hAnsi="宋体" w:eastAsia="宋体"/>
          <w:sz w:val="21"/>
          <w:szCs w:val="24"/>
        </w:rPr>
      </w:pPr>
    </w:p>
    <w:p>
      <w:pPr>
        <w:jc w:val="both"/>
        <w:rPr>
          <w:rFonts w:hint="default" w:ascii="宋体" w:hAnsi="宋体" w:eastAsia="宋体"/>
          <w:sz w:val="21"/>
          <w:szCs w:val="24"/>
        </w:rPr>
      </w:pPr>
    </w:p>
    <w:p>
      <w:pPr>
        <w:jc w:val="both"/>
        <w:rPr>
          <w:rFonts w:hint="default" w:ascii="宋体" w:hAnsi="宋体" w:eastAsia="宋体"/>
          <w:sz w:val="21"/>
          <w:szCs w:val="24"/>
        </w:rPr>
      </w:pPr>
    </w:p>
    <w:p>
      <w:pPr>
        <w:jc w:val="both"/>
        <w:rPr>
          <w:rFonts w:hint="default" w:ascii="宋体" w:hAnsi="宋体" w:eastAsia="宋体"/>
          <w:sz w:val="21"/>
          <w:szCs w:val="24"/>
        </w:rPr>
      </w:pPr>
    </w:p>
    <w:p>
      <w:pPr>
        <w:keepNext w:val="0"/>
        <w:keepLines w:val="0"/>
        <w:pageBreakBefore w:val="0"/>
        <w:widowControl w:val="0"/>
        <w:kinsoku/>
        <w:wordWrap/>
        <w:overflowPunct/>
        <w:topLinePunct w:val="0"/>
        <w:autoSpaceDE w:val="0"/>
        <w:autoSpaceDN w:val="0"/>
        <w:bidi w:val="0"/>
        <w:adjustRightInd w:val="0"/>
        <w:snapToGrid/>
        <w:spacing w:before="292" w:beforeLines="50" w:after="292" w:afterLines="50" w:line="576" w:lineRule="exact"/>
        <w:jc w:val="center"/>
        <w:textAlignment w:val="auto"/>
        <w:rPr>
          <w:rFonts w:hint="eastAsia" w:ascii="黑体" w:hAnsi="黑体" w:eastAsia="黑体" w:cs="黑体"/>
          <w:b/>
          <w:sz w:val="44"/>
          <w:szCs w:val="44"/>
        </w:rPr>
      </w:pPr>
      <w:r>
        <w:rPr>
          <w:rFonts w:hint="eastAsia" w:ascii="黑体" w:hAnsi="黑体" w:eastAsia="黑体" w:cs="黑体"/>
          <w:b/>
          <w:sz w:val="44"/>
          <w:szCs w:val="44"/>
        </w:rPr>
        <w:t>目</w:t>
      </w: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录</w:t>
      </w:r>
    </w:p>
    <w:p>
      <w:pPr>
        <w:pStyle w:val="9"/>
        <w:keepNext w:val="0"/>
        <w:keepLines w:val="0"/>
        <w:pageBreakBefore w:val="0"/>
        <w:widowControl w:val="0"/>
        <w:tabs>
          <w:tab w:val="right" w:leader="dot" w:pos="8845"/>
          <w:tab w:val="clear" w:pos="8296"/>
        </w:tabs>
        <w:kinsoku/>
        <w:wordWrap/>
        <w:overflowPunct/>
        <w:topLinePunct w:val="0"/>
        <w:autoSpaceDE w:val="0"/>
        <w:autoSpaceDN w:val="0"/>
        <w:bidi w:val="0"/>
        <w:adjustRightInd w:val="0"/>
        <w:snapToGrid/>
        <w:spacing w:before="0" w:line="576" w:lineRule="exact"/>
        <w:textAlignment w:val="auto"/>
        <w:rPr>
          <w:rFonts w:hint="default" w:ascii="仿宋_GB2312" w:hAnsi="仿宋_GB2312" w:eastAsia="仿宋_GB2312" w:cs="仿宋_GB2312"/>
          <w:color w:val="auto"/>
          <w:kern w:val="44"/>
          <w:sz w:val="32"/>
          <w:szCs w:val="32"/>
          <w:lang w:val="en-US" w:eastAsia="zh-CN"/>
        </w:rPr>
      </w:pPr>
      <w:r>
        <w:rPr>
          <w:rFonts w:hint="eastAsia" w:ascii="仿宋_GB2312" w:hAnsi="仿宋_GB2312" w:eastAsia="仿宋_GB2312" w:cs="仿宋_GB2312"/>
          <w:color w:val="auto"/>
          <w:kern w:val="44"/>
          <w:sz w:val="32"/>
          <w:szCs w:val="32"/>
          <w:lang w:val="en-US" w:eastAsia="zh-CN"/>
        </w:rPr>
        <w:t>公开时间：2024年10月18日</w:t>
      </w:r>
    </w:p>
    <w:p>
      <w:pPr>
        <w:pStyle w:val="9"/>
        <w:keepNext w:val="0"/>
        <w:keepLines w:val="0"/>
        <w:pageBreakBefore w:val="0"/>
        <w:widowControl w:val="0"/>
        <w:tabs>
          <w:tab w:val="right" w:leader="dot" w:pos="8845"/>
          <w:tab w:val="clear" w:pos="8296"/>
        </w:tabs>
        <w:kinsoku/>
        <w:wordWrap/>
        <w:overflowPunct/>
        <w:topLinePunct w:val="0"/>
        <w:autoSpaceDE w:val="0"/>
        <w:autoSpaceDN w:val="0"/>
        <w:bidi w:val="0"/>
        <w:adjustRightInd w:val="0"/>
        <w:snapToGrid/>
        <w:spacing w:before="0" w:line="520" w:lineRule="exact"/>
        <w:textAlignment w:val="auto"/>
        <w:rPr>
          <w:rFonts w:hint="eastAsia" w:ascii="仿宋_GB2312" w:hAnsi="仿宋_GB2312" w:eastAsia="仿宋_GB2312" w:cs="仿宋_GB2312"/>
          <w:color w:val="auto"/>
          <w:kern w:val="44"/>
          <w:sz w:val="24"/>
          <w:szCs w:val="24"/>
          <w:lang w:val="en-US"/>
        </w:rPr>
      </w:pPr>
    </w:p>
    <w:p>
      <w:pPr>
        <w:pStyle w:val="9"/>
        <w:keepNext w:val="0"/>
        <w:keepLines w:val="0"/>
        <w:pageBreakBefore w:val="0"/>
        <w:widowControl w:val="0"/>
        <w:tabs>
          <w:tab w:val="right" w:leader="dot" w:pos="8845"/>
          <w:tab w:val="clear" w:pos="8296"/>
        </w:tabs>
        <w:kinsoku/>
        <w:wordWrap/>
        <w:overflowPunct/>
        <w:topLinePunct w:val="0"/>
        <w:autoSpaceDE w:val="0"/>
        <w:autoSpaceDN w:val="0"/>
        <w:bidi w:val="0"/>
        <w:adjustRightInd w:val="0"/>
        <w:snapToGrid/>
        <w:spacing w:before="0"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kern w:val="44"/>
          <w:sz w:val="24"/>
          <w:szCs w:val="24"/>
          <w:lang w:val="en-US"/>
        </w:rPr>
        <w:fldChar w:fldCharType="begin"/>
      </w:r>
      <w:r>
        <w:rPr>
          <w:rFonts w:hint="eastAsia" w:ascii="仿宋_GB2312" w:hAnsi="仿宋_GB2312" w:eastAsia="仿宋_GB2312" w:cs="仿宋_GB2312"/>
          <w:color w:val="auto"/>
          <w:kern w:val="44"/>
          <w:sz w:val="24"/>
          <w:szCs w:val="24"/>
          <w:lang w:val="en-US"/>
        </w:rPr>
        <w:instrText xml:space="preserve">TOC \o "1-3" \h \u </w:instrText>
      </w:r>
      <w:r>
        <w:rPr>
          <w:rFonts w:hint="eastAsia" w:ascii="仿宋_GB2312" w:hAnsi="仿宋_GB2312" w:eastAsia="仿宋_GB2312" w:cs="仿宋_GB2312"/>
          <w:color w:val="auto"/>
          <w:kern w:val="44"/>
          <w:sz w:val="24"/>
          <w:szCs w:val="24"/>
          <w:lang w:val="en-US"/>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_Toc18062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44"/>
          <w:sz w:val="28"/>
          <w:szCs w:val="28"/>
          <w:lang w:val="en-US"/>
        </w:rPr>
        <w:t>第一部分 部门概况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_Toc18062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_Toc22384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rPr>
        <w:t>一、</w:t>
      </w:r>
      <w:r>
        <w:rPr>
          <w:rFonts w:hint="eastAsia" w:ascii="仿宋_GB2312" w:hAnsi="仿宋_GB2312" w:eastAsia="仿宋_GB2312" w:cs="仿宋_GB2312"/>
          <w:kern w:val="2"/>
          <w:sz w:val="28"/>
          <w:szCs w:val="28"/>
          <w:lang w:val="en-US"/>
        </w:rPr>
        <w:t>部门职责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_Toc22384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_Toc31177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rPr>
        <w:t>二、</w:t>
      </w:r>
      <w:r>
        <w:rPr>
          <w:rFonts w:hint="eastAsia" w:ascii="仿宋_GB2312" w:hAnsi="仿宋_GB2312" w:eastAsia="仿宋_GB2312" w:cs="仿宋_GB2312"/>
          <w:kern w:val="2"/>
          <w:sz w:val="28"/>
          <w:szCs w:val="28"/>
          <w:lang w:val="en-US"/>
        </w:rPr>
        <w:t>机构设置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_Toc31177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keepNext w:val="0"/>
        <w:keepLines w:val="0"/>
        <w:pageBreakBefore w:val="0"/>
        <w:widowControl w:val="0"/>
        <w:tabs>
          <w:tab w:val="right" w:leader="dot" w:pos="8845"/>
          <w:tab w:val="clear" w:pos="8296"/>
        </w:tabs>
        <w:kinsoku/>
        <w:wordWrap/>
        <w:overflowPunct/>
        <w:topLinePunct w:val="0"/>
        <w:autoSpaceDE w:val="0"/>
        <w:autoSpaceDN w:val="0"/>
        <w:bidi w:val="0"/>
        <w:adjustRightInd w:val="0"/>
        <w:snapToGrid/>
        <w:spacing w:before="0"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_Toc29806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44"/>
          <w:sz w:val="28"/>
          <w:szCs w:val="28"/>
          <w:lang w:val="en-US" w:eastAsia="zh-CN"/>
        </w:rPr>
        <w:t>第</w:t>
      </w:r>
      <w:r>
        <w:rPr>
          <w:rFonts w:hint="eastAsia" w:ascii="仿宋_GB2312" w:hAnsi="仿宋_GB2312" w:eastAsia="仿宋_GB2312" w:cs="仿宋_GB2312"/>
          <w:kern w:val="44"/>
          <w:sz w:val="28"/>
          <w:szCs w:val="28"/>
          <w:lang w:val="en-US"/>
        </w:rPr>
        <w:t>二部分 2023年度部门决算情况说明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_Toc29806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_Toc32100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rPr>
        <w:t>一、</w:t>
      </w:r>
      <w:r>
        <w:rPr>
          <w:rFonts w:hint="eastAsia" w:ascii="仿宋_GB2312" w:hAnsi="仿宋_GB2312" w:eastAsia="仿宋_GB2312" w:cs="仿宋_GB2312"/>
          <w:kern w:val="2"/>
          <w:sz w:val="28"/>
          <w:szCs w:val="28"/>
          <w:lang w:val="en-US"/>
        </w:rPr>
        <w:t>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_Toc32100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_Toc24069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rPr>
        <w:t>二、</w:t>
      </w:r>
      <w:r>
        <w:rPr>
          <w:rFonts w:hint="eastAsia" w:ascii="仿宋_GB2312" w:hAnsi="仿宋_GB2312" w:eastAsia="仿宋_GB2312" w:cs="仿宋_GB2312"/>
          <w:kern w:val="2"/>
          <w:sz w:val="28"/>
          <w:szCs w:val="28"/>
          <w:lang w:val="en-US"/>
        </w:rPr>
        <w:t>收入决算情况说明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_Toc24069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_Toc22276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val="en-US"/>
        </w:rPr>
        <w:t>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_Toc22276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_Toc13073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rPr>
        <w:t>四、</w:t>
      </w:r>
      <w:r>
        <w:rPr>
          <w:rFonts w:hint="eastAsia" w:ascii="仿宋_GB2312" w:hAnsi="仿宋_GB2312" w:eastAsia="仿宋_GB2312" w:cs="仿宋_GB2312"/>
          <w:kern w:val="2"/>
          <w:sz w:val="28"/>
          <w:szCs w:val="28"/>
          <w:lang w:val="en-US"/>
        </w:rPr>
        <w:t>财政拨款收入支出决算总体情况说明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_Toc13073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_Toc17086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rPr>
        <w:t>五、</w:t>
      </w:r>
      <w:r>
        <w:rPr>
          <w:rFonts w:hint="eastAsia" w:ascii="仿宋_GB2312" w:hAnsi="仿宋_GB2312" w:eastAsia="仿宋_GB2312" w:cs="仿宋_GB2312"/>
          <w:kern w:val="2"/>
          <w:sz w:val="28"/>
          <w:szCs w:val="28"/>
          <w:lang w:val="en-US"/>
        </w:rPr>
        <w:t>一般公共预算财政拨款支出决算情况说明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_Toc17086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_Toc32109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rPr>
        <w:t>六、一般公共预算财政拨款基本支出决算情况说明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_Toc32109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_Toc20656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rPr>
        <w:t>七、</w:t>
      </w:r>
      <w:r>
        <w:rPr>
          <w:rFonts w:hint="eastAsia" w:ascii="仿宋_GB2312" w:hAnsi="仿宋_GB2312" w:eastAsia="仿宋_GB2312" w:cs="仿宋_GB2312"/>
          <w:kern w:val="2"/>
          <w:sz w:val="28"/>
          <w:szCs w:val="28"/>
          <w:lang w:val="en-US"/>
        </w:rPr>
        <w:t>财政拨款“三公”经费支出决算情况说明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_Toc20656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_Toc19366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rPr>
        <w:t>八、</w:t>
      </w:r>
      <w:r>
        <w:rPr>
          <w:rFonts w:hint="eastAsia" w:ascii="仿宋_GB2312" w:hAnsi="仿宋_GB2312" w:eastAsia="仿宋_GB2312" w:cs="仿宋_GB2312"/>
          <w:kern w:val="2"/>
          <w:sz w:val="28"/>
          <w:szCs w:val="28"/>
          <w:lang w:val="en-US"/>
        </w:rPr>
        <w:t>政府性基金预算支出决算情况说明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_Toc19366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_Toc16499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rPr>
        <w:t>九、</w:t>
      </w:r>
      <w:r>
        <w:rPr>
          <w:rFonts w:hint="eastAsia" w:ascii="仿宋_GB2312" w:hAnsi="仿宋_GB2312" w:eastAsia="仿宋_GB2312" w:cs="仿宋_GB2312"/>
          <w:kern w:val="2"/>
          <w:sz w:val="28"/>
          <w:szCs w:val="28"/>
          <w:lang w:val="en-US"/>
        </w:rPr>
        <w:t>国有资本经营预算支出决算情况说明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_Toc16499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_Toc9519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rPr>
        <w:t>十、</w:t>
      </w:r>
      <w:r>
        <w:rPr>
          <w:rFonts w:hint="eastAsia" w:ascii="仿宋_GB2312" w:hAnsi="仿宋_GB2312" w:eastAsia="仿宋_GB2312" w:cs="仿宋_GB2312"/>
          <w:kern w:val="2"/>
          <w:sz w:val="28"/>
          <w:szCs w:val="28"/>
          <w:lang w:val="en-US"/>
        </w:rPr>
        <w:t>其他重要事项的情况说明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_Toc9519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keepNext w:val="0"/>
        <w:keepLines w:val="0"/>
        <w:pageBreakBefore w:val="0"/>
        <w:widowControl w:val="0"/>
        <w:tabs>
          <w:tab w:val="right" w:leader="dot" w:pos="8845"/>
          <w:tab w:val="clear" w:pos="8296"/>
        </w:tabs>
        <w:kinsoku/>
        <w:wordWrap/>
        <w:overflowPunct/>
        <w:topLinePunct w:val="0"/>
        <w:autoSpaceDE w:val="0"/>
        <w:autoSpaceDN w:val="0"/>
        <w:bidi w:val="0"/>
        <w:adjustRightInd w:val="0"/>
        <w:snapToGrid/>
        <w:spacing w:before="0"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_Toc4357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rPr>
        <w:t>第三部分 名</w:t>
      </w:r>
      <w:r>
        <w:rPr>
          <w:rFonts w:hint="eastAsia" w:ascii="仿宋_GB2312" w:hAnsi="仿宋_GB2312" w:eastAsia="仿宋_GB2312" w:cs="仿宋_GB2312"/>
          <w:kern w:val="44"/>
          <w:sz w:val="28"/>
          <w:szCs w:val="28"/>
          <w:lang w:val="en-US"/>
        </w:rPr>
        <w:t>词解释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_Toc4357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keepNext w:val="0"/>
        <w:keepLines w:val="0"/>
        <w:pageBreakBefore w:val="0"/>
        <w:widowControl w:val="0"/>
        <w:tabs>
          <w:tab w:val="right" w:leader="dot" w:pos="8845"/>
          <w:tab w:val="clear" w:pos="8296"/>
        </w:tabs>
        <w:kinsoku/>
        <w:wordWrap/>
        <w:overflowPunct/>
        <w:topLinePunct w:val="0"/>
        <w:autoSpaceDE w:val="0"/>
        <w:autoSpaceDN w:val="0"/>
        <w:bidi w:val="0"/>
        <w:adjustRightInd w:val="0"/>
        <w:snapToGrid/>
        <w:spacing w:before="0"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_Toc5397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rPr>
        <w:t>第</w:t>
      </w:r>
      <w:r>
        <w:rPr>
          <w:rFonts w:hint="eastAsia" w:ascii="仿宋_GB2312" w:hAnsi="仿宋_GB2312" w:eastAsia="仿宋_GB2312" w:cs="仿宋_GB2312"/>
          <w:kern w:val="44"/>
          <w:sz w:val="28"/>
          <w:szCs w:val="28"/>
          <w:lang w:val="en-US"/>
        </w:rPr>
        <w:t>四部分 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_Toc5397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_Toc12573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rPr>
        <w:t>附件1</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_Toc12573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845"/>
        </w:tabs>
        <w:kinsoku/>
        <w:wordWrap/>
        <w:overflowPunct/>
        <w:topLinePunct w:val="0"/>
        <w:autoSpaceDE w:val="0"/>
        <w:autoSpaceDN w:val="0"/>
        <w:bidi w:val="0"/>
        <w:adjustRightInd w:val="0"/>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_Toc10128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附件2</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_Toc10128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keepNext w:val="0"/>
        <w:keepLines w:val="0"/>
        <w:pageBreakBefore w:val="0"/>
        <w:widowControl w:val="0"/>
        <w:tabs>
          <w:tab w:val="right" w:leader="dot" w:pos="8845"/>
          <w:tab w:val="clear" w:pos="8296"/>
        </w:tabs>
        <w:kinsoku/>
        <w:wordWrap/>
        <w:overflowPunct/>
        <w:topLinePunct w:val="0"/>
        <w:autoSpaceDE w:val="0"/>
        <w:autoSpaceDN w:val="0"/>
        <w:bidi w:val="0"/>
        <w:adjustRightInd w:val="0"/>
        <w:snapToGrid/>
        <w:spacing w:before="0" w:line="520" w:lineRule="exac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_Toc23303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rPr>
        <w:t>第</w:t>
      </w:r>
      <w:r>
        <w:rPr>
          <w:rFonts w:hint="eastAsia" w:ascii="仿宋_GB2312" w:hAnsi="仿宋_GB2312" w:eastAsia="仿宋_GB2312" w:cs="仿宋_GB2312"/>
          <w:kern w:val="44"/>
          <w:sz w:val="28"/>
          <w:szCs w:val="28"/>
          <w:lang w:val="en-US"/>
        </w:rPr>
        <w:t>五部分 附表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_Toc23303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9"/>
        <w:keepNext w:val="0"/>
        <w:keepLines w:val="0"/>
        <w:pageBreakBefore w:val="0"/>
        <w:widowControl w:val="0"/>
        <w:tabs>
          <w:tab w:val="right" w:leader="dot" w:pos="8845"/>
          <w:tab w:val="clear" w:pos="8296"/>
        </w:tabs>
        <w:kinsoku/>
        <w:wordWrap/>
        <w:overflowPunct/>
        <w:topLinePunct w:val="0"/>
        <w:autoSpaceDE w:val="0"/>
        <w:autoSpaceDN w:val="0"/>
        <w:bidi w:val="0"/>
        <w:adjustRightInd w:val="0"/>
        <w:snapToGrid/>
        <w:spacing w:before="0" w:line="5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fldChar w:fldCharType="end"/>
      </w:r>
    </w:p>
    <w:p>
      <w:pPr>
        <w:pStyle w:val="9"/>
        <w:tabs>
          <w:tab w:val="right" w:leader="dot" w:pos="8845"/>
          <w:tab w:val="clear" w:pos="8296"/>
        </w:tabs>
        <w:spacing w:before="0" w:line="576" w:lineRule="exact"/>
        <w:rPr>
          <w:rFonts w:hint="eastAsia" w:ascii="黑体" w:hAnsi="黑体" w:eastAsia="黑体"/>
          <w:color w:val="auto"/>
          <w:kern w:val="44"/>
          <w:sz w:val="44"/>
          <w:szCs w:val="24"/>
          <w:lang w:val="en-US"/>
        </w:rPr>
        <w:sectPr>
          <w:pgSz w:w="11907" w:h="16840"/>
          <w:pgMar w:top="2098" w:right="1474" w:bottom="1984" w:left="1588" w:header="720" w:footer="1400" w:gutter="0"/>
          <w:lnNumType w:countBy="0" w:distance="360"/>
          <w:cols w:space="720" w:num="1"/>
          <w:docGrid w:type="linesAndChars" w:linePitch="579" w:charSpace="-842"/>
        </w:sectPr>
      </w:pPr>
    </w:p>
    <w:p>
      <w:pPr>
        <w:pStyle w:val="9"/>
        <w:tabs>
          <w:tab w:val="right" w:leader="dot" w:pos="8845"/>
          <w:tab w:val="clear" w:pos="8296"/>
        </w:tabs>
        <w:spacing w:before="292" w:beforeLines="50" w:after="292" w:afterLines="50" w:line="576" w:lineRule="exact"/>
        <w:outlineLvl w:val="0"/>
        <w:rPr>
          <w:rFonts w:hint="eastAsia" w:ascii="黑体" w:hAnsi="黑体" w:eastAsia="黑体"/>
          <w:b/>
          <w:color w:val="auto"/>
          <w:kern w:val="44"/>
          <w:sz w:val="44"/>
          <w:szCs w:val="24"/>
          <w:lang w:val="en-US"/>
        </w:rPr>
      </w:pPr>
      <w:bookmarkStart w:id="1" w:name="_Toc18062"/>
      <w:r>
        <w:rPr>
          <w:rFonts w:hint="eastAsia" w:ascii="黑体" w:hAnsi="黑体" w:eastAsia="黑体"/>
          <w:color w:val="auto"/>
          <w:kern w:val="44"/>
          <w:sz w:val="44"/>
          <w:szCs w:val="24"/>
          <w:lang w:val="en-US"/>
        </w:rPr>
        <w:t>第一部分 部门概况</w:t>
      </w:r>
      <w:bookmarkEnd w:id="1"/>
    </w:p>
    <w:p>
      <w:pPr>
        <w:pStyle w:val="3"/>
        <w:numPr>
          <w:ilvl w:val="0"/>
          <w:numId w:val="0"/>
        </w:numPr>
        <w:tabs>
          <w:tab w:val="left" w:pos="420"/>
        </w:tabs>
        <w:spacing w:line="576" w:lineRule="exact"/>
        <w:ind w:leftChars="200"/>
        <w:jc w:val="both"/>
        <w:outlineLvl w:val="1"/>
        <w:rPr>
          <w:rFonts w:hint="eastAsia" w:ascii="黑体" w:hAnsi="黑体" w:eastAsia="黑体" w:cs="黑体"/>
          <w:color w:val="auto"/>
          <w:kern w:val="2"/>
          <w:sz w:val="32"/>
          <w:szCs w:val="24"/>
          <w:lang w:val="en-US"/>
        </w:rPr>
      </w:pPr>
      <w:bookmarkStart w:id="2" w:name="_Toc22384"/>
      <w:r>
        <w:rPr>
          <w:rFonts w:hint="eastAsia" w:ascii="黑体" w:hAnsi="黑体" w:eastAsia="黑体" w:cs="黑体"/>
          <w:color w:val="000000"/>
          <w:kern w:val="2"/>
          <w:sz w:val="32"/>
          <w:szCs w:val="24"/>
          <w:lang w:val="en-US" w:eastAsia="zh-CN"/>
        </w:rPr>
        <w:t>一、</w:t>
      </w:r>
      <w:r>
        <w:rPr>
          <w:rFonts w:hint="eastAsia" w:ascii="黑体" w:hAnsi="黑体" w:eastAsia="黑体" w:cs="黑体"/>
          <w:color w:val="000000"/>
          <w:kern w:val="2"/>
          <w:sz w:val="32"/>
          <w:szCs w:val="24"/>
          <w:lang w:val="en-US"/>
        </w:rPr>
        <w:t>部门职责</w:t>
      </w:r>
      <w:bookmarkEnd w:id="2"/>
    </w:p>
    <w:p>
      <w:pPr>
        <w:numPr>
          <w:ilvl w:val="0"/>
          <w:numId w:val="1"/>
        </w:numPr>
        <w:spacing w:line="576" w:lineRule="exact"/>
        <w:ind w:firstLine="632" w:firstLineChars="200"/>
        <w:jc w:val="both"/>
        <w:rPr>
          <w:rFonts w:hint="eastAsia" w:ascii="楷体" w:hAnsi="楷体" w:eastAsia="楷体" w:cs="楷体"/>
          <w:color w:val="000000"/>
          <w:sz w:val="32"/>
          <w:szCs w:val="24"/>
          <w:lang w:val="en-US"/>
        </w:rPr>
      </w:pPr>
      <w:r>
        <w:rPr>
          <w:rFonts w:hint="eastAsia" w:ascii="楷体" w:hAnsi="楷体" w:eastAsia="楷体" w:cs="楷体"/>
          <w:color w:val="000000"/>
          <w:sz w:val="32"/>
          <w:szCs w:val="24"/>
          <w:lang w:val="en-US"/>
        </w:rPr>
        <w:t>主要职能</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贯彻执行国家、省市国民经济和社会发展的战略、方针和政策，研究提出相应的对策措施；拟订并组织实施全区经济和社会发展战略、中长期规划和年度计划</w:t>
      </w:r>
      <w:r>
        <w:rPr>
          <w:rFonts w:hint="eastAsia" w:ascii="仿宋_GB2312" w:hAnsi="仿宋_GB2312" w:eastAsia="仿宋_GB2312" w:cs="仿宋_GB2312"/>
          <w:sz w:val="32"/>
          <w:szCs w:val="32"/>
          <w:lang w:eastAsia="zh-CN"/>
        </w:rPr>
        <w:t>。</w:t>
      </w:r>
    </w:p>
    <w:p>
      <w:pPr>
        <w:autoSpaceDE/>
        <w:autoSpaceDN/>
        <w:adjustRightInd/>
        <w:spacing w:line="576"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研究分析区内外经济形势和发展情况，进行宏观经济的预测、预警。</w:t>
      </w:r>
    </w:p>
    <w:p>
      <w:pPr>
        <w:autoSpaceDE/>
        <w:autoSpaceDN/>
        <w:adjustRightInd/>
        <w:spacing w:line="576"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研究全区经济体制改革和对外开放的综合性、全局性问题及对策，提出以改革开放促进发展的建议，协调发展与改革中的重大问题</w:t>
      </w:r>
      <w:r>
        <w:rPr>
          <w:rFonts w:hint="eastAsia" w:ascii="仿宋_GB2312" w:hAnsi="仿宋_GB2312" w:eastAsia="仿宋_GB2312" w:cs="仿宋_GB2312"/>
          <w:sz w:val="32"/>
          <w:szCs w:val="32"/>
          <w:lang w:eastAsia="zh-CN"/>
        </w:rPr>
        <w:t>。</w:t>
      </w:r>
    </w:p>
    <w:p>
      <w:pPr>
        <w:autoSpaceDE/>
        <w:autoSpaceDN/>
        <w:adjustRightInd/>
        <w:spacing w:line="576"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提出全区固定资产投资总规模、投资结构，编制年度投资计划；研究提出有关重大投资政策，规划重大项目和生产力布局。</w:t>
      </w:r>
    </w:p>
    <w:p>
      <w:pPr>
        <w:autoSpaceDE/>
        <w:autoSpaceDN/>
        <w:adjustRightInd/>
        <w:spacing w:line="576"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研究分析全区经济结构的状况，提出全区重要经济产业的发展战略和规划，推进产业结构战略性调整和升级。</w:t>
      </w:r>
    </w:p>
    <w:p>
      <w:pPr>
        <w:autoSpaceDE/>
        <w:autoSpaceDN/>
        <w:adjustRightInd/>
        <w:spacing w:line="576"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促进城乡区域协调发展。</w:t>
      </w:r>
    </w:p>
    <w:p>
      <w:pPr>
        <w:autoSpaceDE/>
        <w:autoSpaceDN/>
        <w:adjustRightInd/>
        <w:spacing w:line="576" w:lineRule="exact"/>
        <w:ind w:firstLine="608" w:firstLineChars="200"/>
        <w:jc w:val="both"/>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spacing w:val="-6"/>
          <w:sz w:val="32"/>
          <w:szCs w:val="32"/>
          <w:lang w:val="en-US" w:eastAsia="zh-CN"/>
        </w:rPr>
        <w:t>7.</w:t>
      </w:r>
      <w:r>
        <w:rPr>
          <w:rFonts w:hint="eastAsia" w:ascii="仿宋_GB2312" w:hAnsi="仿宋_GB2312" w:eastAsia="仿宋_GB2312" w:cs="仿宋_GB2312"/>
          <w:spacing w:val="-6"/>
          <w:sz w:val="32"/>
          <w:szCs w:val="32"/>
        </w:rPr>
        <w:t>推进可持续发展，负责全区节能减排的综合协调工作。</w:t>
      </w:r>
    </w:p>
    <w:p>
      <w:pPr>
        <w:autoSpaceDE/>
        <w:autoSpaceDN/>
        <w:adjustRightInd/>
        <w:spacing w:line="576"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负责管理指导和协调</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全区</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招标投标工作。</w:t>
      </w:r>
    </w:p>
    <w:p>
      <w:pPr>
        <w:autoSpaceDE/>
        <w:autoSpaceDN/>
        <w:adjustRightInd/>
        <w:spacing w:line="576"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负责区内物资价格监测和行政事业性、涉企收费定价管理工作。</w:t>
      </w:r>
    </w:p>
    <w:p>
      <w:pPr>
        <w:autoSpaceDE/>
        <w:autoSpaceDN/>
        <w:spacing w:line="576" w:lineRule="exact"/>
        <w:ind w:firstLine="632" w:firstLineChars="200"/>
        <w:jc w:val="both"/>
        <w:rPr>
          <w:rFonts w:hint="eastAsia" w:ascii="仿宋_GB2312" w:hAnsi="仿宋_GB2312" w:eastAsia="仿宋_GB2312" w:cs="仿宋_GB2312"/>
          <w:color w:val="000000"/>
          <w:sz w:val="32"/>
          <w:szCs w:val="24"/>
          <w:lang w:val="en-US"/>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负责全区粮食物资储备及安全管理工作。</w:t>
      </w:r>
    </w:p>
    <w:p>
      <w:pPr>
        <w:numPr>
          <w:ilvl w:val="0"/>
          <w:numId w:val="2"/>
        </w:numPr>
        <w:spacing w:line="576" w:lineRule="exact"/>
        <w:ind w:firstLine="632" w:firstLineChars="200"/>
        <w:jc w:val="both"/>
        <w:rPr>
          <w:rFonts w:hint="eastAsia" w:ascii="楷体" w:hAnsi="楷体" w:eastAsia="楷体" w:cs="楷体"/>
          <w:color w:val="000000"/>
          <w:sz w:val="32"/>
          <w:szCs w:val="24"/>
          <w:lang w:val="en-US"/>
        </w:rPr>
      </w:pPr>
      <w:r>
        <w:rPr>
          <w:rFonts w:hint="eastAsia" w:ascii="楷体" w:hAnsi="楷体" w:eastAsia="楷体" w:cs="楷体"/>
          <w:color w:val="000000"/>
          <w:sz w:val="32"/>
          <w:szCs w:val="24"/>
          <w:lang w:val="en-US"/>
        </w:rPr>
        <w:t>2023年重点工作完成情况</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1.抓调度重研判，稳住经济增长大盘。</w:t>
      </w:r>
      <w:r>
        <w:rPr>
          <w:rFonts w:hint="eastAsia" w:ascii="仿宋_GB2312" w:hAnsi="仿宋_GB2312" w:eastAsia="仿宋_GB2312" w:cs="仿宋_GB2312"/>
          <w:sz w:val="32"/>
          <w:szCs w:val="32"/>
          <w:lang w:val="en-US" w:eastAsia="zh-CN"/>
        </w:rPr>
        <w:t>2023年全区各项经济指标实现合理增长，基本符合预期，预计全年主要经济指标综合排位保持全市第一方阵。其中：预计全年，全区地区生产总值增长6.8%；规模以上工业增加值增长9.7%；全社会固定资产投资增长-1.0%；社会消费品零售总额增长9.3%；地方一般公共预算收入、增长10.0%，城镇居民可支配收入7.5%，农村居民人均可支配收入8.0%。</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2.抓项目促投资，多措并举稳定增长。</w:t>
      </w:r>
      <w:r>
        <w:rPr>
          <w:rFonts w:hint="eastAsia" w:ascii="仿宋_GB2312" w:hAnsi="仿宋_GB2312" w:eastAsia="仿宋_GB2312" w:cs="仿宋_GB2312"/>
          <w:sz w:val="32"/>
          <w:szCs w:val="32"/>
          <w:lang w:val="en-US" w:eastAsia="zh-CN"/>
        </w:rPr>
        <w:t>扎实开展项目投资“拉练评比”活动，1～12月，精心谋划完善重大项目储备库，项目总投资达1480.6亿元，完成市下目标的121.4%，获批下达央省预算内项目8个，到位资金1.02亿元，同比增长68.76%，发行地方政府专项债项目12个，发行金额4.88亿元，同比增长41.45%。集中开工项目4批次108个项目，总投资86.88亿元。1～12月，预计14个省市重点项目累计完成54.72亿元，占全年任务的120%。预计区本级固定资产投资完成40.1亿元，完成市下目标任务的100.4%。累计实施项目193个，曾家山“荣乐”国际生态康养度假区（熙园）、金堆初级中学建设等109个重大项目开工建设，国家储备林建设及森林质量提升项目（一期）等124个项目加快建设，曾家山康养医院、八庙沟水电站等69个项目实现竣工。</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3.紧抓系统治理，优化营商环境。</w:t>
      </w:r>
      <w:r>
        <w:rPr>
          <w:rFonts w:hint="eastAsia" w:ascii="仿宋_GB2312" w:hAnsi="仿宋_GB2312" w:eastAsia="仿宋_GB2312" w:cs="仿宋_GB2312"/>
          <w:sz w:val="32"/>
          <w:szCs w:val="32"/>
          <w:lang w:val="en-US" w:eastAsia="zh-CN"/>
        </w:rPr>
        <w:t>一是落实全市统一安排，持续推进工程招投标领域突出问题系统治理和营商环境指标提升。出台了《朝天区紧盯重点任务持续推进工程招投标领域突出问题系统治理开展“清廉项目”建设工作方案》。二是建立工程项目台账，系统梳理和排查问题线索。全区累计开展系统治理专项检查7次，发出整改通知书4份，开展约谈2次。三是推行招标投标新机制，力促工程项目招投标减环节、降成本增便利。取消招标文件事前备案，全面执行招标计划提前发布机制，全面推行中小微企业投标人免除投标保证金制度，已开标24个招标项目共1224家投标单位参与投标，所有招标项目应交投标保证金共计18263.73万元，其中，免交保证金共计354家，免交总金额6751.6万元。四是强化项目综合监督，有效遏制工程项目建设领域突出问题。制定了招投标“双随机一公开”监督检查方案，建立了在建工程项目库、市场主体名录库和执法人员名录库及问题整改台账，完成了招投标领域“双随机一公开”监督检查。建立了重点工程项目督导机制和招投标领域“两书一函”制度，建立了项目招投标事中事后监管措施。</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sz w:val="32"/>
          <w:szCs w:val="32"/>
          <w:lang w:val="en-US" w:eastAsia="zh-CN"/>
        </w:rPr>
        <w:t>4.抓过程重保障，粮食物资储备充足。</w:t>
      </w:r>
      <w:r>
        <w:rPr>
          <w:rFonts w:hint="eastAsia" w:ascii="仿宋_GB2312" w:hAnsi="仿宋_GB2312" w:eastAsia="仿宋_GB2312" w:cs="仿宋_GB2312"/>
          <w:sz w:val="32"/>
          <w:szCs w:val="32"/>
          <w:lang w:val="en-US" w:eastAsia="zh-CN"/>
        </w:rPr>
        <w:t>一是落实地方储备粮储备规模，现存区级储备粮2740吨，分别为稻谷1000吨、小麦1500储存于朝天粮库，小包装成品大米200吨，成品菜籽油40吨储存于羊木粮库。二是强化粮食监管执法，将区内的两家粮油购销公司和一家粮食加工企业纳入信息平台管理，加大粮食市场监管执法力度和频次，针对性开展专项联合执法2次，开展“双随机、一公开”随机抽查2次，常态开展日常监督检查20余次，今年共查处粮食流通违法案件3件，未发生12325举报事件，全区粮食流通市场平稳有序运行。三是健全粮食保障应急体系，认真落实《广元市朝天区粮食应急预案》，对全区粮油应急供应网点进行了梳理和更新，重新签订了《粮油应急保障协议书》，落实粮食应急加工企业1家、储运企业1家、供应网点13个、配送中心1个，确保粮油应急供应不脱销、不断档。四是</w:t>
      </w:r>
      <w:r>
        <w:rPr>
          <w:rFonts w:hint="eastAsia" w:ascii="仿宋_GB2312" w:hAnsi="仿宋_GB2312" w:eastAsia="仿宋_GB2312" w:cs="仿宋_GB2312"/>
          <w:sz w:val="32"/>
          <w:szCs w:val="32"/>
          <w:lang w:val="zh-CN" w:eastAsia="zh-CN"/>
        </w:rPr>
        <w:t>加强和规范全区救灾物资储备统一管理，提高突发事件的应对能力，保障应急所需，建立管理规范、发放高效、运转有序的物资储备体系。</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 w:hAnsi="仿宋" w:eastAsia="仿宋_GB2312" w:cs="仿宋"/>
          <w:b/>
          <w:sz w:val="32"/>
          <w:szCs w:val="32"/>
          <w:lang w:val="en-US" w:eastAsia="zh-CN"/>
        </w:rPr>
        <w:t>5.抓衔接真帮扶，巩固成果振兴乡村。</w:t>
      </w:r>
      <w:r>
        <w:rPr>
          <w:rFonts w:hint="eastAsia" w:ascii="仿宋_GB2312" w:hAnsi="仿宋_GB2312" w:eastAsia="仿宋_GB2312" w:cs="仿宋_GB2312"/>
          <w:sz w:val="32"/>
          <w:szCs w:val="32"/>
          <w:lang w:val="en-US" w:eastAsia="zh-CN"/>
        </w:rPr>
        <w:t>制定了2023年推进乡村振兴帮扶工作方案，严格按照《四川省驻村第一书记和工作队管理办法》要求，脱产驻村抓帮扶，局党组全年专题研究驻村帮扶工作2次，主要领导深入帮扶村专题调研工作7次，讲党课1次，慰问脱贫户和困难群众物资价值3.6万余元。为促进脱贫户和监测户稳定增收，2023年帮扶的四新、望坪、蒋家3个村发展蔬菜共1200余亩，劳务输出700余人，望坪村发展种植天目湖茶叶320亩。2023年3个村共138户脱贫户和监测户人均纯收入均超10000元。</w:t>
      </w:r>
    </w:p>
    <w:p>
      <w:pPr>
        <w:numPr>
          <w:ilvl w:val="0"/>
          <w:numId w:val="0"/>
        </w:numPr>
        <w:autoSpaceDE/>
        <w:autoSpaceDN/>
        <w:adjustRightInd/>
        <w:spacing w:line="576" w:lineRule="exact"/>
        <w:ind w:firstLine="632" w:firstLineChars="200"/>
        <w:jc w:val="both"/>
        <w:rPr>
          <w:rFonts w:hint="eastAsia" w:ascii="仿宋" w:hAnsi="仿宋" w:eastAsia="仿宋_GB2312" w:cs="仿宋"/>
          <w:sz w:val="32"/>
          <w:szCs w:val="32"/>
          <w:lang w:val="en-US" w:eastAsia="zh-CN"/>
        </w:rPr>
      </w:pPr>
      <w:r>
        <w:rPr>
          <w:rFonts w:hint="eastAsia" w:ascii="仿宋" w:hAnsi="仿宋" w:eastAsia="仿宋_GB2312" w:cs="仿宋"/>
          <w:b/>
          <w:sz w:val="32"/>
          <w:szCs w:val="32"/>
          <w:lang w:val="en-US" w:eastAsia="zh-CN"/>
        </w:rPr>
        <w:t>6.抓管理转作风，队伍建设从严从实。</w:t>
      </w:r>
      <w:r>
        <w:rPr>
          <w:rFonts w:hint="eastAsia" w:ascii="仿宋" w:hAnsi="仿宋" w:eastAsia="仿宋_GB2312" w:cs="仿宋"/>
          <w:sz w:val="32"/>
          <w:szCs w:val="32"/>
          <w:lang w:val="en-US" w:eastAsia="zh-CN"/>
        </w:rPr>
        <w:t>认真学习习近平总书记来川来广视察指示精神，贯彻落实党的二十大精神和省委、市委、区委全委会精神，认真开展学习贯彻习近平新时代中国特色社会主义思想主题教育工作，严格执行“三重一大”决策程序相关规定，严格执行《广元市朝天区发展和改革局管理制度》，2023年在局机关开展“抓制度强管理、抓学习强业务、抓精品强质量、抓效能强执行、抓纪律强保障”活动，开展了“夜学大讲堂”11讲，进一步提升了干部综合素质。</w:t>
      </w:r>
    </w:p>
    <w:p>
      <w:pPr>
        <w:pStyle w:val="3"/>
        <w:numPr>
          <w:ilvl w:val="0"/>
          <w:numId w:val="0"/>
        </w:numPr>
        <w:tabs>
          <w:tab w:val="left" w:pos="420"/>
        </w:tabs>
        <w:spacing w:line="576" w:lineRule="exact"/>
        <w:ind w:leftChars="200"/>
        <w:jc w:val="both"/>
        <w:outlineLvl w:val="1"/>
        <w:rPr>
          <w:rFonts w:hint="eastAsia" w:ascii="黑体" w:hAnsi="黑体" w:eastAsia="黑体" w:cs="黑体"/>
          <w:color w:val="auto"/>
          <w:kern w:val="2"/>
          <w:sz w:val="32"/>
          <w:szCs w:val="24"/>
          <w:lang w:val="en-US"/>
        </w:rPr>
      </w:pPr>
      <w:bookmarkStart w:id="3" w:name="_Toc31177"/>
      <w:r>
        <w:rPr>
          <w:rFonts w:hint="eastAsia" w:ascii="黑体" w:hAnsi="黑体" w:eastAsia="黑体" w:cs="黑体"/>
          <w:color w:val="000000"/>
          <w:kern w:val="2"/>
          <w:sz w:val="32"/>
          <w:szCs w:val="24"/>
          <w:lang w:val="en-US" w:eastAsia="zh-CN"/>
        </w:rPr>
        <w:t>二、</w:t>
      </w:r>
      <w:r>
        <w:rPr>
          <w:rFonts w:hint="eastAsia" w:ascii="黑体" w:hAnsi="黑体" w:eastAsia="黑体" w:cs="黑体"/>
          <w:color w:val="000000"/>
          <w:kern w:val="2"/>
          <w:sz w:val="32"/>
          <w:szCs w:val="24"/>
          <w:lang w:val="en-US"/>
        </w:rPr>
        <w:t>机</w:t>
      </w:r>
      <w:r>
        <w:rPr>
          <w:rFonts w:hint="eastAsia" w:ascii="黑体" w:hAnsi="黑体" w:eastAsia="黑体" w:cs="黑体"/>
          <w:color w:val="auto"/>
          <w:kern w:val="2"/>
          <w:sz w:val="32"/>
          <w:szCs w:val="24"/>
          <w:lang w:val="en-US"/>
        </w:rPr>
        <w:t>构设置</w:t>
      </w:r>
      <w:bookmarkEnd w:id="3"/>
    </w:p>
    <w:p>
      <w:pPr>
        <w:numPr>
          <w:ilvl w:val="0"/>
          <w:numId w:val="0"/>
        </w:numPr>
        <w:autoSpaceDE/>
        <w:autoSpaceDN/>
        <w:adjustRightInd/>
        <w:spacing w:line="576" w:lineRule="exact"/>
        <w:ind w:firstLine="632" w:firstLineChars="200"/>
        <w:jc w:val="both"/>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广元市朝天区发展和改革局部门属于一级预算单位，下属预算单位0个，其中行政单位1个，参照公务员法管理的事业单位0个，其他事业单位0个。</w:t>
      </w:r>
    </w:p>
    <w:p>
      <w:pPr>
        <w:spacing w:line="576" w:lineRule="exact"/>
        <w:jc w:val="center"/>
        <w:rPr>
          <w:rFonts w:hint="eastAsia" w:ascii="黑体" w:hAnsi="黑体" w:eastAsia="黑体" w:cs="黑体"/>
          <w:color w:val="auto"/>
          <w:kern w:val="44"/>
          <w:sz w:val="44"/>
          <w:szCs w:val="36"/>
          <w:lang w:val="en-US" w:eastAsia="zh-CN"/>
        </w:rPr>
      </w:pPr>
    </w:p>
    <w:p>
      <w:pPr>
        <w:spacing w:line="576" w:lineRule="exact"/>
        <w:jc w:val="center"/>
        <w:rPr>
          <w:rFonts w:hint="eastAsia" w:ascii="黑体" w:hAnsi="黑体" w:eastAsia="黑体" w:cs="黑体"/>
          <w:color w:val="auto"/>
          <w:kern w:val="44"/>
          <w:sz w:val="44"/>
          <w:szCs w:val="36"/>
          <w:lang w:val="en-US" w:eastAsia="zh-CN"/>
        </w:rPr>
      </w:pPr>
    </w:p>
    <w:p>
      <w:pPr>
        <w:spacing w:line="576" w:lineRule="exact"/>
        <w:jc w:val="center"/>
        <w:rPr>
          <w:rFonts w:hint="eastAsia" w:ascii="黑体" w:hAnsi="黑体" w:eastAsia="黑体" w:cs="黑体"/>
          <w:color w:val="auto"/>
          <w:kern w:val="44"/>
          <w:sz w:val="44"/>
          <w:szCs w:val="36"/>
          <w:lang w:val="en-US" w:eastAsia="zh-CN"/>
        </w:rPr>
      </w:pPr>
    </w:p>
    <w:p>
      <w:pPr>
        <w:spacing w:line="576" w:lineRule="exact"/>
        <w:jc w:val="center"/>
        <w:rPr>
          <w:rFonts w:hint="eastAsia" w:ascii="黑体" w:hAnsi="黑体" w:eastAsia="黑体" w:cs="黑体"/>
          <w:color w:val="auto"/>
          <w:kern w:val="44"/>
          <w:sz w:val="44"/>
          <w:szCs w:val="36"/>
          <w:lang w:val="en-US" w:eastAsia="zh-CN"/>
        </w:rPr>
      </w:pPr>
    </w:p>
    <w:p>
      <w:pPr>
        <w:spacing w:line="576" w:lineRule="exact"/>
        <w:jc w:val="center"/>
        <w:rPr>
          <w:rFonts w:hint="eastAsia" w:ascii="黑体" w:hAnsi="黑体" w:eastAsia="黑体" w:cs="黑体"/>
          <w:color w:val="auto"/>
          <w:kern w:val="44"/>
          <w:sz w:val="44"/>
          <w:szCs w:val="36"/>
          <w:lang w:val="en-US" w:eastAsia="zh-CN"/>
        </w:rPr>
      </w:pPr>
    </w:p>
    <w:p>
      <w:pPr>
        <w:spacing w:line="576" w:lineRule="exact"/>
        <w:jc w:val="center"/>
        <w:rPr>
          <w:rFonts w:hint="eastAsia" w:ascii="黑体" w:hAnsi="黑体" w:eastAsia="黑体" w:cs="黑体"/>
          <w:color w:val="auto"/>
          <w:kern w:val="44"/>
          <w:sz w:val="44"/>
          <w:szCs w:val="36"/>
          <w:lang w:val="en-US" w:eastAsia="zh-CN"/>
        </w:rPr>
      </w:pPr>
    </w:p>
    <w:p>
      <w:pPr>
        <w:spacing w:line="576" w:lineRule="exact"/>
        <w:jc w:val="center"/>
        <w:rPr>
          <w:rFonts w:hint="eastAsia" w:ascii="黑体" w:hAnsi="黑体" w:eastAsia="黑体" w:cs="黑体"/>
          <w:color w:val="auto"/>
          <w:kern w:val="44"/>
          <w:sz w:val="44"/>
          <w:szCs w:val="36"/>
          <w:lang w:val="en-US" w:eastAsia="zh-CN"/>
        </w:rPr>
      </w:pPr>
    </w:p>
    <w:p>
      <w:pPr>
        <w:spacing w:line="576" w:lineRule="exact"/>
        <w:jc w:val="center"/>
        <w:rPr>
          <w:rFonts w:hint="eastAsia" w:ascii="黑体" w:hAnsi="黑体" w:eastAsia="黑体" w:cs="黑体"/>
          <w:color w:val="auto"/>
          <w:kern w:val="44"/>
          <w:sz w:val="44"/>
          <w:szCs w:val="36"/>
          <w:lang w:val="en-US" w:eastAsia="zh-CN"/>
        </w:rPr>
      </w:pPr>
    </w:p>
    <w:p>
      <w:pPr>
        <w:spacing w:line="576" w:lineRule="exact"/>
        <w:jc w:val="center"/>
        <w:rPr>
          <w:rFonts w:hint="eastAsia" w:ascii="黑体" w:hAnsi="黑体" w:eastAsia="黑体" w:cs="黑体"/>
          <w:color w:val="auto"/>
          <w:kern w:val="44"/>
          <w:sz w:val="44"/>
          <w:szCs w:val="36"/>
          <w:lang w:val="en-US" w:eastAsia="zh-CN"/>
        </w:rPr>
      </w:pPr>
    </w:p>
    <w:p>
      <w:pPr>
        <w:spacing w:line="576" w:lineRule="exact"/>
        <w:jc w:val="center"/>
        <w:rPr>
          <w:rFonts w:hint="eastAsia" w:ascii="黑体" w:hAnsi="黑体" w:eastAsia="黑体" w:cs="黑体"/>
          <w:color w:val="auto"/>
          <w:kern w:val="44"/>
          <w:sz w:val="44"/>
          <w:szCs w:val="36"/>
          <w:lang w:val="en-US" w:eastAsia="zh-CN"/>
        </w:rPr>
      </w:pPr>
    </w:p>
    <w:p>
      <w:pPr>
        <w:spacing w:line="576" w:lineRule="exact"/>
        <w:jc w:val="center"/>
        <w:rPr>
          <w:rFonts w:hint="eastAsia" w:ascii="黑体" w:hAnsi="黑体" w:eastAsia="黑体" w:cs="黑体"/>
          <w:color w:val="auto"/>
          <w:kern w:val="44"/>
          <w:sz w:val="44"/>
          <w:szCs w:val="36"/>
          <w:lang w:val="en-US" w:eastAsia="zh-CN"/>
        </w:rPr>
      </w:pPr>
    </w:p>
    <w:p>
      <w:pPr>
        <w:spacing w:line="576" w:lineRule="exact"/>
        <w:jc w:val="center"/>
        <w:rPr>
          <w:rFonts w:hint="eastAsia" w:ascii="黑体" w:hAnsi="黑体" w:eastAsia="黑体" w:cs="黑体"/>
          <w:color w:val="auto"/>
          <w:kern w:val="44"/>
          <w:sz w:val="44"/>
          <w:szCs w:val="36"/>
          <w:lang w:val="en-US" w:eastAsia="zh-CN"/>
        </w:rPr>
      </w:pPr>
    </w:p>
    <w:p>
      <w:pPr>
        <w:spacing w:line="576" w:lineRule="exact"/>
        <w:jc w:val="both"/>
        <w:rPr>
          <w:rFonts w:hint="eastAsia" w:ascii="黑体" w:hAnsi="黑体" w:eastAsia="黑体" w:cs="黑体"/>
          <w:color w:val="auto"/>
          <w:kern w:val="44"/>
          <w:sz w:val="44"/>
          <w:szCs w:val="36"/>
          <w:lang w:val="en-US" w:eastAsia="zh-CN"/>
        </w:rPr>
      </w:pPr>
    </w:p>
    <w:p>
      <w:pPr>
        <w:spacing w:line="576" w:lineRule="exact"/>
        <w:jc w:val="both"/>
        <w:rPr>
          <w:rFonts w:hint="eastAsia" w:ascii="黑体" w:hAnsi="黑体" w:eastAsia="黑体" w:cs="黑体"/>
          <w:color w:val="auto"/>
          <w:kern w:val="44"/>
          <w:sz w:val="44"/>
          <w:szCs w:val="36"/>
          <w:lang w:val="en-US" w:eastAsia="zh-CN"/>
        </w:rPr>
      </w:pPr>
    </w:p>
    <w:p>
      <w:pPr>
        <w:spacing w:before="292" w:beforeLines="50" w:after="292" w:afterLines="50" w:line="576" w:lineRule="exact"/>
        <w:jc w:val="center"/>
        <w:outlineLvl w:val="0"/>
        <w:rPr>
          <w:rFonts w:hint="eastAsia" w:ascii="黑体" w:hAnsi="黑体" w:eastAsia="黑体" w:cs="黑体"/>
          <w:color w:val="auto"/>
          <w:kern w:val="2"/>
          <w:sz w:val="44"/>
          <w:szCs w:val="36"/>
          <w:lang w:val="en-US"/>
        </w:rPr>
      </w:pPr>
      <w:bookmarkStart w:id="4" w:name="_Toc29806"/>
      <w:r>
        <w:rPr>
          <w:rFonts w:hint="eastAsia" w:ascii="黑体" w:hAnsi="黑体" w:eastAsia="黑体" w:cs="黑体"/>
          <w:color w:val="auto"/>
          <w:kern w:val="44"/>
          <w:sz w:val="44"/>
          <w:szCs w:val="36"/>
          <w:lang w:val="en-US" w:eastAsia="zh-CN"/>
        </w:rPr>
        <w:t>第</w:t>
      </w:r>
      <w:r>
        <w:rPr>
          <w:rFonts w:hint="eastAsia" w:ascii="黑体" w:hAnsi="黑体" w:eastAsia="黑体" w:cs="黑体"/>
          <w:color w:val="auto"/>
          <w:kern w:val="44"/>
          <w:sz w:val="44"/>
          <w:szCs w:val="36"/>
          <w:lang w:val="en-US"/>
        </w:rPr>
        <w:t>二部分 2023年度部门决算情况说明</w:t>
      </w:r>
      <w:bookmarkEnd w:id="4"/>
    </w:p>
    <w:p>
      <w:pPr>
        <w:numPr>
          <w:ilvl w:val="0"/>
          <w:numId w:val="0"/>
        </w:numPr>
        <w:tabs>
          <w:tab w:val="left" w:pos="420"/>
        </w:tabs>
        <w:spacing w:line="576" w:lineRule="exact"/>
        <w:ind w:firstLine="632" w:firstLineChars="200"/>
        <w:jc w:val="both"/>
        <w:outlineLvl w:val="1"/>
        <w:rPr>
          <w:rFonts w:hint="eastAsia" w:ascii="黑体" w:hAnsi="黑体" w:eastAsia="黑体" w:cs="黑体"/>
          <w:color w:val="auto"/>
          <w:kern w:val="2"/>
          <w:sz w:val="32"/>
          <w:szCs w:val="24"/>
          <w:lang w:val="en-US"/>
        </w:rPr>
      </w:pPr>
      <w:bookmarkStart w:id="5" w:name="_Toc32100"/>
      <w:r>
        <w:rPr>
          <w:rFonts w:hint="eastAsia" w:ascii="黑体" w:hAnsi="黑体" w:eastAsia="黑体" w:cs="黑体"/>
          <w:color w:val="000000"/>
          <w:kern w:val="2"/>
          <w:sz w:val="32"/>
          <w:szCs w:val="24"/>
          <w:lang w:val="en-US" w:eastAsia="zh-CN"/>
        </w:rPr>
        <w:t>一、</w:t>
      </w:r>
      <w:r>
        <w:rPr>
          <w:rFonts w:hint="eastAsia" w:ascii="黑体" w:hAnsi="黑体" w:eastAsia="黑体" w:cs="黑体"/>
          <w:color w:val="000000"/>
          <w:kern w:val="2"/>
          <w:sz w:val="32"/>
          <w:szCs w:val="24"/>
          <w:lang w:val="en-US"/>
        </w:rPr>
        <w:t>收</w:t>
      </w:r>
      <w:r>
        <w:rPr>
          <w:rFonts w:hint="eastAsia" w:ascii="黑体" w:hAnsi="黑体" w:eastAsia="黑体" w:cs="黑体"/>
          <w:color w:val="auto"/>
          <w:kern w:val="2"/>
          <w:sz w:val="32"/>
          <w:szCs w:val="24"/>
          <w:lang w:val="en-US"/>
        </w:rPr>
        <w:t>入支出决算总体情况说明</w:t>
      </w:r>
      <w:bookmarkEnd w:id="5"/>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color w:val="auto"/>
          <w:sz w:val="32"/>
          <w:szCs w:val="32"/>
        </w:rPr>
      </w:pPr>
      <w:r>
        <w:rPr>
          <w:rFonts w:hint="default" w:ascii="仿宋_GB2312" w:hAnsi="仿宋_GB2312" w:eastAsia="仿宋_GB2312" w:cs="仿宋_GB2312"/>
          <w:color w:val="000000"/>
          <w:sz w:val="32"/>
          <w:szCs w:val="24"/>
        </w:rPr>
        <w:pict>
          <v:shape id="Object 11" o:spid="_x0000_s2050" o:spt="75" type="#_x0000_t75" style="position:absolute;left:0pt;margin-left:32.95pt;margin-top:95.15pt;height:174pt;width:370.65pt;mso-wrap-distance-bottom:0pt;mso-wrap-distance-top:0pt;z-index:251662336;mso-width-relative:page;mso-height-relative:page;" o:ole="t" filled="f" o:preferrelative="t" stroked="f" coordsize="21600,21600">
            <v:path/>
            <v:fill on="f" focussize="0,0"/>
            <v:stroke on="f"/>
            <v:imagedata r:id="rId6" o:title=""/>
            <o:lock v:ext="edit" aspectratio="f"/>
            <w10:wrap type="topAndBottom"/>
          </v:shape>
          <o:OLEObject Type="Embed" ProgID="Excel.Sheet.8" ShapeID="Object 11" DrawAspect="Content" ObjectID="_1468075725" r:id="rId5">
            <o:LockedField>false</o:LockedField>
          </o:OLEObject>
        </w:pict>
      </w:r>
      <w:r>
        <w:rPr>
          <w:rFonts w:hint="eastAsia" w:ascii="仿宋_GB2312" w:hAnsi="仿宋_GB2312" w:eastAsia="仿宋_GB2312" w:cs="仿宋_GB2312"/>
          <w:sz w:val="32"/>
          <w:szCs w:val="32"/>
          <w:lang w:val="en-US" w:eastAsia="zh-CN"/>
        </w:rPr>
        <w:t>2023年度收、支1798.04万元，与2022年相比收、支各增加1115.65万元，上升163.5%。主要变动原因是人员经费及项目增加。</w:t>
      </w:r>
    </w:p>
    <w:p>
      <w:pPr>
        <w:spacing w:line="576" w:lineRule="exact"/>
        <w:jc w:val="center"/>
        <w:rPr>
          <w:rFonts w:hint="eastAsia"/>
          <w:sz w:val="24"/>
          <w:szCs w:val="24"/>
          <w:lang w:val="en-US"/>
        </w:rPr>
      </w:pPr>
      <w:r>
        <w:rPr>
          <w:rFonts w:hint="eastAsia" w:ascii="仿宋_GB2312" w:hAnsi="仿宋_GB2312" w:eastAsia="仿宋_GB2312" w:cs="仿宋_GB2312"/>
          <w:color w:val="auto"/>
          <w:sz w:val="32"/>
          <w:szCs w:val="32"/>
        </w:rPr>
        <w:t>（图1：收、支决算总计变动情况图）</w:t>
      </w:r>
    </w:p>
    <w:p>
      <w:pPr>
        <w:numPr>
          <w:ilvl w:val="0"/>
          <w:numId w:val="0"/>
        </w:numPr>
        <w:tabs>
          <w:tab w:val="left" w:pos="420"/>
        </w:tabs>
        <w:spacing w:line="576" w:lineRule="exact"/>
        <w:ind w:firstLine="632" w:firstLineChars="200"/>
        <w:jc w:val="both"/>
        <w:outlineLvl w:val="1"/>
        <w:rPr>
          <w:rFonts w:hint="eastAsia" w:ascii="黑体" w:hAnsi="黑体" w:eastAsia="黑体" w:cs="黑体"/>
          <w:color w:val="000000"/>
          <w:kern w:val="2"/>
          <w:sz w:val="32"/>
          <w:szCs w:val="24"/>
          <w:lang w:val="en-US"/>
        </w:rPr>
      </w:pPr>
      <w:bookmarkStart w:id="6" w:name="_Toc24069"/>
      <w:r>
        <w:rPr>
          <w:rFonts w:hint="eastAsia" w:ascii="黑体" w:hAnsi="黑体" w:eastAsia="黑体" w:cs="黑体"/>
          <w:color w:val="000000"/>
          <w:kern w:val="2"/>
          <w:sz w:val="32"/>
          <w:szCs w:val="24"/>
          <w:lang w:val="en-US" w:eastAsia="zh-CN"/>
        </w:rPr>
        <w:t>二、</w:t>
      </w:r>
      <w:r>
        <w:rPr>
          <w:rFonts w:hint="eastAsia" w:ascii="黑体" w:hAnsi="黑体" w:eastAsia="黑体" w:cs="黑体"/>
          <w:color w:val="000000"/>
          <w:kern w:val="2"/>
          <w:sz w:val="32"/>
          <w:szCs w:val="24"/>
          <w:lang w:val="en-US"/>
        </w:rPr>
        <w:t>收入决算情况说明</w:t>
      </w:r>
      <w:bookmarkEnd w:id="6"/>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2023年本年收入合计1733.64万元，其中：一般公共预算财政拨款收入1733.64万元，占100%。</w:t>
      </w:r>
    </w:p>
    <w:p>
      <w:pPr>
        <w:numPr>
          <w:ilvl w:val="0"/>
          <w:numId w:val="0"/>
        </w:numPr>
        <w:autoSpaceDE/>
        <w:autoSpaceDN/>
        <w:adjustRightInd/>
        <w:spacing w:line="560" w:lineRule="exact"/>
        <w:jc w:val="both"/>
        <w:rPr>
          <w:rFonts w:hint="eastAsia" w:eastAsia="仿宋"/>
          <w:sz w:val="32"/>
          <w:szCs w:val="24"/>
        </w:rPr>
      </w:pPr>
    </w:p>
    <w:p>
      <w:pPr>
        <w:numPr>
          <w:ilvl w:val="0"/>
          <w:numId w:val="0"/>
        </w:numPr>
        <w:autoSpaceDE/>
        <w:autoSpaceDN/>
        <w:adjustRightInd/>
        <w:spacing w:line="560" w:lineRule="exact"/>
        <w:jc w:val="center"/>
        <w:rPr>
          <w:rFonts w:hint="eastAsia" w:eastAsia="仿宋"/>
          <w:sz w:val="32"/>
          <w:szCs w:val="24"/>
        </w:rPr>
      </w:pPr>
      <w:r>
        <w:rPr>
          <w:rFonts w:hint="default" w:ascii="仿宋_GB2312" w:hAnsi="仿宋_GB2312" w:eastAsia="仿宋_GB2312" w:cs="仿宋_GB2312"/>
          <w:b/>
          <w:sz w:val="32"/>
          <w:szCs w:val="32"/>
        </w:rPr>
        <w:pict>
          <v:shape id="Object 3" o:spid="_x0000_s2051" o:spt="75" type="#_x0000_t75" style="position:absolute;left:0pt;margin-left:24.75pt;margin-top:8.85pt;height:180.55pt;width:387pt;mso-wrap-distance-bottom:0pt;mso-wrap-distance-top:0pt;z-index:251663360;mso-width-relative:page;mso-height-relative:page;" o:ole="t" filled="f" o:preferrelative="t" stroked="f" coordsize="21600,21600">
            <v:path/>
            <v:fill on="f" focussize="0,0"/>
            <v:stroke on="f"/>
            <v:imagedata r:id="rId8" o:title=""/>
            <o:lock v:ext="edit" aspectratio="f"/>
            <w10:wrap type="topAndBottom"/>
          </v:shape>
          <o:OLEObject Type="Embed" ProgID="Excel.Sheet.8" ShapeID="Object 3" DrawAspect="Content" ObjectID="_1468075726" r:id="rId7">
            <o:LockedField>false</o:LockedField>
          </o:OLEObject>
        </w:pict>
      </w:r>
      <w:r>
        <w:rPr>
          <w:rFonts w:hint="eastAsia" w:eastAsia="仿宋"/>
          <w:sz w:val="32"/>
          <w:szCs w:val="24"/>
        </w:rPr>
        <w:t>（图2：收入决算结构图）</w:t>
      </w:r>
    </w:p>
    <w:p>
      <w:pPr>
        <w:numPr>
          <w:ilvl w:val="0"/>
          <w:numId w:val="0"/>
        </w:numPr>
        <w:tabs>
          <w:tab w:val="left" w:pos="420"/>
        </w:tabs>
        <w:spacing w:before="118" w:beforeLines="20" w:after="118" w:afterLines="20"/>
        <w:ind w:firstLine="632" w:firstLineChars="200"/>
        <w:outlineLvl w:val="1"/>
        <w:rPr>
          <w:rFonts w:hint="eastAsia" w:ascii="黑体" w:hAnsi="黑体" w:eastAsia="黑体" w:cs="黑体"/>
          <w:color w:val="000000"/>
          <w:kern w:val="2"/>
          <w:sz w:val="32"/>
          <w:szCs w:val="24"/>
          <w:lang w:val="en-US"/>
        </w:rPr>
      </w:pPr>
      <w:bookmarkStart w:id="7" w:name="_Toc22276"/>
      <w:r>
        <w:rPr>
          <w:rFonts w:hint="eastAsia" w:ascii="黑体" w:hAnsi="黑体" w:eastAsia="黑体" w:cs="黑体"/>
          <w:sz w:val="32"/>
          <w:szCs w:val="24"/>
          <w:lang w:val="en-US" w:eastAsia="zh-CN"/>
        </w:rPr>
        <w:t>三、</w:t>
      </w:r>
      <w:r>
        <w:rPr>
          <w:rFonts w:hint="eastAsia" w:ascii="黑体" w:hAnsi="黑体" w:eastAsia="黑体" w:cs="黑体"/>
          <w:sz w:val="32"/>
          <w:szCs w:val="24"/>
          <w:lang w:val="en-US"/>
        </w:rPr>
        <w:t>支出决算情况说明</w:t>
      </w:r>
      <w:bookmarkEnd w:id="7"/>
    </w:p>
    <w:p>
      <w:pPr>
        <w:numPr>
          <w:ilvl w:val="0"/>
          <w:numId w:val="0"/>
        </w:numPr>
        <w:tabs>
          <w:tab w:val="left" w:pos="420"/>
        </w:tabs>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2023年本年支出合计1798.04万元，其中：基本支出681.18万元，占37.9%；项目支出1116.86万元，占62.1%。</w:t>
      </w:r>
    </w:p>
    <w:p>
      <w:pPr>
        <w:numPr>
          <w:ilvl w:val="0"/>
          <w:numId w:val="0"/>
        </w:numPr>
        <w:tabs>
          <w:tab w:val="left" w:pos="420"/>
        </w:tabs>
        <w:jc w:val="center"/>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24"/>
          <w:lang w:val="en-US" w:eastAsia="zh-CN"/>
        </w:rPr>
        <w:pict>
          <v:shape id="Object 2" o:spid="_x0000_s2052" o:spt="75" type="#_x0000_t75" style="position:absolute;left:0pt;margin-left:28.5pt;margin-top:2.5pt;height:210.25pt;width:379.55pt;mso-wrap-distance-bottom:0pt;mso-wrap-distance-top:0pt;z-index:251664384;mso-width-relative:page;mso-height-relative:page;" o:ole="t" filled="f" o:preferrelative="t" stroked="f" coordsize="21600,21600">
            <v:path/>
            <v:fill on="f" focussize="0,0"/>
            <v:stroke on="f"/>
            <v:imagedata r:id="rId10" o:title=""/>
            <o:lock v:ext="edit" aspectratio="f"/>
            <w10:wrap type="topAndBottom"/>
          </v:shape>
          <o:OLEObject Type="Embed" ProgID="Excel.Sheet.8" ShapeID="Object 2" DrawAspect="Content" ObjectID="_1468075727" r:id="rId9">
            <o:LockedField>false</o:LockedField>
          </o:OLEObject>
        </w:pict>
      </w:r>
      <w:r>
        <w:rPr>
          <w:rFonts w:hint="eastAsia" w:ascii="仿宋_GB2312" w:hAnsi="仿宋_GB2312" w:eastAsia="仿宋_GB2312" w:cs="仿宋_GB2312"/>
          <w:color w:val="auto"/>
          <w:sz w:val="32"/>
          <w:szCs w:val="32"/>
        </w:rPr>
        <w:t>（图3：支出决算结构图）</w:t>
      </w:r>
    </w:p>
    <w:p>
      <w:pPr>
        <w:keepNext/>
        <w:keepLines/>
        <w:numPr>
          <w:ilvl w:val="0"/>
          <w:numId w:val="0"/>
        </w:numPr>
        <w:tabs>
          <w:tab w:val="left" w:pos="420"/>
        </w:tabs>
        <w:spacing w:line="576" w:lineRule="exact"/>
        <w:ind w:leftChars="200"/>
        <w:jc w:val="both"/>
        <w:outlineLvl w:val="1"/>
        <w:rPr>
          <w:rFonts w:hint="eastAsia" w:ascii="黑体" w:hAnsi="黑体" w:eastAsia="黑体" w:cs="黑体"/>
          <w:color w:val="000000"/>
          <w:kern w:val="2"/>
          <w:sz w:val="32"/>
          <w:szCs w:val="24"/>
          <w:lang w:val="en-US"/>
        </w:rPr>
      </w:pPr>
      <w:bookmarkStart w:id="8" w:name="_Toc13073"/>
      <w:r>
        <w:rPr>
          <w:rFonts w:hint="eastAsia" w:ascii="黑体" w:hAnsi="黑体" w:eastAsia="黑体" w:cs="黑体"/>
          <w:color w:val="000000"/>
          <w:kern w:val="2"/>
          <w:sz w:val="32"/>
          <w:szCs w:val="24"/>
          <w:lang w:val="en-US" w:eastAsia="zh-CN"/>
        </w:rPr>
        <w:t>四、</w:t>
      </w:r>
      <w:r>
        <w:rPr>
          <w:rFonts w:hint="eastAsia" w:ascii="黑体" w:hAnsi="黑体" w:eastAsia="黑体" w:cs="黑体"/>
          <w:color w:val="000000"/>
          <w:kern w:val="2"/>
          <w:sz w:val="32"/>
          <w:szCs w:val="24"/>
          <w:lang w:val="en-US"/>
        </w:rPr>
        <w:t>财政拨款收入支出决算总体情况说明</w:t>
      </w:r>
      <w:bookmarkEnd w:id="8"/>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2023年度财政拨款收、支总计均为1798.04万元。与2022年度相比，财政拨款收、支总计各增加1115.65万元，增长163.5%。主要变动原因是人员经费及项目增加。</w:t>
      </w:r>
    </w:p>
    <w:p>
      <w:pPr>
        <w:autoSpaceDE/>
        <w:autoSpaceDN/>
        <w:adjustRightInd/>
        <w:spacing w:line="576" w:lineRule="exact"/>
        <w:ind w:firstLine="632" w:firstLineChars="200"/>
        <w:jc w:val="center"/>
        <w:rPr>
          <w:rFonts w:hint="eastAsia" w:ascii="仿宋_GB2312" w:hAnsi="仿宋_GB2312" w:eastAsia="仿宋_GB2312"/>
          <w:color w:val="000000"/>
          <w:kern w:val="2"/>
          <w:sz w:val="32"/>
          <w:szCs w:val="24"/>
          <w:lang w:val="en-US"/>
        </w:rPr>
      </w:pPr>
      <w:r>
        <w:rPr>
          <w:rFonts w:hint="default" w:ascii="仿宋_GB2312" w:hAnsi="仿宋_GB2312" w:eastAsia="仿宋_GB2312" w:cs="仿宋_GB2312"/>
          <w:color w:val="000000"/>
          <w:kern w:val="2"/>
          <w:sz w:val="32"/>
          <w:szCs w:val="24"/>
          <w:lang w:val="en-US"/>
        </w:rPr>
        <w:pict>
          <v:shape id="Object 6" o:spid="_x0000_s2053" o:spt="75" type="#_x0000_t75" style="position:absolute;left:0pt;margin-left:21.4pt;margin-top:3.1pt;height:206pt;width:393.75pt;mso-wrap-distance-bottom:0pt;mso-wrap-distance-top:0pt;z-index:251659264;mso-width-relative:page;mso-height-relative:page;" o:ole="t" filled="f" o:preferrelative="t" stroked="f" coordsize="21600,21600">
            <v:path/>
            <v:fill on="f" focussize="0,0"/>
            <v:stroke on="f"/>
            <v:imagedata r:id="rId12" o:title=""/>
            <o:lock v:ext="edit" aspectratio="f"/>
            <w10:wrap type="topAndBottom"/>
          </v:shape>
          <o:OLEObject Type="Embed" ProgID="Excel.Sheet.8" ShapeID="Object 6" DrawAspect="Content" ObjectID="_1468075728" r:id="rId11">
            <o:LockedField>false</o:LockedField>
          </o:OLEObject>
        </w:pict>
      </w:r>
      <w:r>
        <w:rPr>
          <w:rFonts w:hint="eastAsia" w:ascii="仿宋_GB2312" w:hAnsi="仿宋_GB2312" w:eastAsia="仿宋_GB2312" w:cs="仿宋_GB2312"/>
          <w:color w:val="000000"/>
          <w:kern w:val="2"/>
          <w:sz w:val="32"/>
          <w:szCs w:val="24"/>
          <w:lang w:val="en-US"/>
        </w:rPr>
        <w:t>（图4：财政拨款收、支决算总计变动情</w:t>
      </w:r>
      <w:r>
        <w:rPr>
          <w:rFonts w:hint="eastAsia" w:ascii="仿宋_GB2312" w:hAnsi="仿宋_GB2312" w:eastAsia="仿宋_GB2312"/>
          <w:color w:val="000000"/>
          <w:kern w:val="2"/>
          <w:sz w:val="32"/>
          <w:szCs w:val="24"/>
          <w:lang w:val="en-US"/>
        </w:rPr>
        <w:t>况）</w:t>
      </w:r>
    </w:p>
    <w:p>
      <w:pPr>
        <w:keepNext/>
        <w:keepLines/>
        <w:numPr>
          <w:ilvl w:val="0"/>
          <w:numId w:val="0"/>
        </w:numPr>
        <w:tabs>
          <w:tab w:val="left" w:pos="420"/>
        </w:tabs>
        <w:spacing w:line="576" w:lineRule="exact"/>
        <w:ind w:firstLine="632" w:firstLineChars="200"/>
        <w:jc w:val="both"/>
        <w:outlineLvl w:val="1"/>
        <w:rPr>
          <w:rFonts w:hint="eastAsia" w:ascii="黑体" w:hAnsi="黑体" w:eastAsia="黑体" w:cs="黑体"/>
          <w:color w:val="000000"/>
          <w:kern w:val="2"/>
          <w:sz w:val="32"/>
          <w:szCs w:val="24"/>
          <w:lang w:val="en-US"/>
        </w:rPr>
      </w:pPr>
      <w:bookmarkStart w:id="9" w:name="_Toc17086"/>
      <w:r>
        <w:rPr>
          <w:rFonts w:hint="eastAsia" w:ascii="黑体" w:hAnsi="黑体" w:eastAsia="黑体" w:cs="黑体"/>
          <w:color w:val="000000"/>
          <w:kern w:val="2"/>
          <w:sz w:val="32"/>
          <w:szCs w:val="24"/>
          <w:lang w:val="en-US" w:eastAsia="zh-CN"/>
        </w:rPr>
        <w:t>五、</w:t>
      </w:r>
      <w:r>
        <w:rPr>
          <w:rFonts w:hint="eastAsia" w:ascii="黑体" w:hAnsi="黑体" w:eastAsia="黑体" w:cs="黑体"/>
          <w:color w:val="000000"/>
          <w:kern w:val="2"/>
          <w:sz w:val="32"/>
          <w:szCs w:val="24"/>
          <w:lang w:val="en-US"/>
        </w:rPr>
        <w:t>一般公共预算财政拨款支出决算情况说明</w:t>
      </w:r>
      <w:bookmarkEnd w:id="9"/>
    </w:p>
    <w:p>
      <w:pPr>
        <w:keepNext/>
        <w:keepLines/>
        <w:spacing w:line="576" w:lineRule="exact"/>
        <w:ind w:firstLine="643"/>
        <w:jc w:val="both"/>
        <w:rPr>
          <w:rFonts w:hint="eastAsia" w:ascii="仿宋_GB2312" w:hAnsi="仿宋_GB2312" w:eastAsia="仿宋_GB2312" w:cs="仿宋_GB2312"/>
          <w:b/>
          <w:color w:val="000000"/>
          <w:kern w:val="2"/>
          <w:sz w:val="32"/>
          <w:szCs w:val="24"/>
          <w:lang w:val="en-US"/>
        </w:rPr>
      </w:pPr>
      <w:bookmarkStart w:id="10" w:name="_Toc1622"/>
      <w:r>
        <w:rPr>
          <w:rFonts w:hint="eastAsia" w:ascii="仿宋_GB2312" w:hAnsi="仿宋_GB2312" w:eastAsia="仿宋_GB2312" w:cs="仿宋_GB2312"/>
          <w:b/>
          <w:color w:val="000000"/>
          <w:kern w:val="2"/>
          <w:sz w:val="32"/>
          <w:szCs w:val="24"/>
          <w:lang w:val="en-US"/>
        </w:rPr>
        <w:t>（一）一般公共预算财政拨款支出决算总体情况</w:t>
      </w:r>
      <w:bookmarkEnd w:id="10"/>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2023年度一般公共预算财政拨款支出1798.04万元，占本年支出合计的100%。与2022年度相比，一般公共预算财政拨款支出增加1115.65万元，增长163.5%。主要变动原因是人员经费及项目增加。</w:t>
      </w:r>
    </w:p>
    <w:p>
      <w:pPr>
        <w:numPr>
          <w:ilvl w:val="0"/>
          <w:numId w:val="0"/>
        </w:numPr>
        <w:autoSpaceDE/>
        <w:autoSpaceDN/>
        <w:adjustRightInd/>
        <w:spacing w:line="576" w:lineRule="exact"/>
        <w:ind w:firstLine="632" w:firstLineChars="200"/>
        <w:jc w:val="both"/>
        <w:rPr>
          <w:rFonts w:hint="eastAsia" w:ascii="仿宋" w:hAnsi="仿宋" w:eastAsia="仿宋_GB2312" w:cs="仿宋"/>
          <w:sz w:val="32"/>
          <w:szCs w:val="32"/>
          <w:lang w:val="en-US" w:eastAsia="zh-CN"/>
        </w:rPr>
      </w:pPr>
    </w:p>
    <w:p>
      <w:pPr>
        <w:numPr>
          <w:ilvl w:val="0"/>
          <w:numId w:val="0"/>
        </w:numPr>
        <w:autoSpaceDE/>
        <w:autoSpaceDN/>
        <w:adjustRightInd/>
        <w:spacing w:line="560" w:lineRule="exact"/>
        <w:ind w:firstLine="632" w:firstLineChars="200"/>
        <w:jc w:val="both"/>
        <w:rPr>
          <w:rFonts w:hint="eastAsia" w:ascii="仿宋" w:hAnsi="仿宋" w:eastAsia="仿宋_GB2312" w:cs="仿宋"/>
          <w:sz w:val="32"/>
          <w:szCs w:val="32"/>
          <w:lang w:val="en-US" w:eastAsia="zh-CN"/>
        </w:rPr>
      </w:pPr>
    </w:p>
    <w:p>
      <w:pPr>
        <w:numPr>
          <w:ilvl w:val="0"/>
          <w:numId w:val="0"/>
        </w:numPr>
        <w:autoSpaceDE/>
        <w:autoSpaceDN/>
        <w:adjustRightInd/>
        <w:spacing w:line="560" w:lineRule="exact"/>
        <w:jc w:val="center"/>
        <w:rPr>
          <w:rFonts w:hint="eastAsia" w:ascii="仿宋_GB2312" w:hAnsi="仿宋_GB2312" w:eastAsia="仿宋_GB2312" w:cs="仿宋_GB2312"/>
          <w:i/>
          <w:color w:val="000000"/>
          <w:kern w:val="2"/>
          <w:sz w:val="32"/>
          <w:szCs w:val="24"/>
          <w:highlight w:val="yellow"/>
          <w:lang w:val="en-US"/>
        </w:rPr>
      </w:pPr>
      <w:r>
        <w:rPr>
          <w:rFonts w:hint="default" w:ascii="仿宋_GB2312" w:hAnsi="仿宋_GB2312" w:eastAsia="仿宋_GB2312" w:cs="仿宋_GB2312"/>
          <w:sz w:val="32"/>
          <w:szCs w:val="32"/>
          <w:lang w:val="en-US" w:eastAsia="zh-CN"/>
        </w:rPr>
        <w:pict>
          <v:shape id="Object 9" o:spid="_x0000_s2054" o:spt="75" type="#_x0000_t75" style="position:absolute;left:0pt;margin-left:26.3pt;margin-top:6.35pt;height:199.5pt;width:384pt;mso-wrap-distance-bottom:0pt;mso-wrap-distance-top:0pt;z-index:251665408;mso-width-relative:page;mso-height-relative:page;" o:ole="t" filled="f" o:preferrelative="t" stroked="f" coordsize="21600,21600">
            <v:path/>
            <v:fill on="f" focussize="0,0"/>
            <v:stroke on="f"/>
            <v:imagedata r:id="rId14" o:title=""/>
            <o:lock v:ext="edit" aspectratio="f"/>
            <w10:wrap type="topAndBottom"/>
          </v:shape>
          <o:OLEObject Type="Embed" ProgID="Excel.Sheet.8" ShapeID="Object 9" DrawAspect="Content" ObjectID="_1468075729" r:id="rId13">
            <o:LockedField>false</o:LockedField>
          </o:OLEObject>
        </w:pict>
      </w:r>
      <w:r>
        <w:rPr>
          <w:rFonts w:hint="eastAsia" w:ascii="仿宋_GB2312" w:hAnsi="仿宋_GB2312" w:eastAsia="仿宋_GB2312" w:cs="仿宋_GB2312"/>
          <w:color w:val="000000"/>
          <w:kern w:val="2"/>
          <w:sz w:val="32"/>
          <w:szCs w:val="24"/>
          <w:lang w:val="en-US"/>
        </w:rPr>
        <w:t>（图5：一般公共预算财政拨款支出决算变动情况）</w:t>
      </w:r>
    </w:p>
    <w:p>
      <w:pPr>
        <w:keepNext/>
        <w:keepLines/>
        <w:spacing w:line="576" w:lineRule="exact"/>
        <w:ind w:firstLine="643"/>
        <w:jc w:val="both"/>
        <w:rPr>
          <w:rFonts w:hint="eastAsia" w:ascii="仿宋_GB2312" w:hAnsi="仿宋_GB2312" w:eastAsia="仿宋_GB2312" w:cs="仿宋_GB2312"/>
          <w:b/>
          <w:color w:val="000000"/>
          <w:kern w:val="2"/>
          <w:sz w:val="32"/>
          <w:szCs w:val="24"/>
          <w:lang w:val="en-US"/>
        </w:rPr>
      </w:pPr>
      <w:bookmarkStart w:id="11" w:name="_Toc17589"/>
      <w:r>
        <w:rPr>
          <w:rFonts w:hint="eastAsia" w:ascii="仿宋_GB2312" w:hAnsi="仿宋_GB2312" w:eastAsia="仿宋_GB2312" w:cs="仿宋_GB2312"/>
          <w:b/>
          <w:color w:val="000000"/>
          <w:kern w:val="2"/>
          <w:sz w:val="32"/>
          <w:szCs w:val="24"/>
          <w:lang w:val="en-US"/>
        </w:rPr>
        <w:t>（二）一般公共预算财政拨款支出决算结构情况</w:t>
      </w:r>
      <w:bookmarkEnd w:id="11"/>
    </w:p>
    <w:p>
      <w:pPr>
        <w:spacing w:line="576" w:lineRule="exact"/>
        <w:ind w:firstLine="632" w:firstLineChars="200"/>
        <w:rPr>
          <w:rFonts w:hint="eastAsia" w:ascii="仿宋_GB2312" w:hAnsi="仿宋_GB2312" w:eastAsia="仿宋_GB2312" w:cs="仿宋_GB2312"/>
          <w:sz w:val="32"/>
          <w:szCs w:val="24"/>
          <w:lang w:val="en-US" w:eastAsia="zh-CN"/>
        </w:rPr>
      </w:pPr>
      <w:r>
        <w:rPr>
          <w:rFonts w:hint="default" w:ascii="仿宋_GB2312" w:hAnsi="仿宋_GB2312" w:eastAsia="仿宋_GB2312" w:cs="仿宋_GB2312"/>
          <w:color w:val="000000"/>
          <w:kern w:val="2"/>
          <w:sz w:val="32"/>
          <w:szCs w:val="24"/>
          <w:lang w:val="en-US"/>
        </w:rPr>
        <w:pict>
          <v:shape id="Object 10" o:spid="_x0000_s2055" o:spt="75" type="#_x0000_t75" style="position:absolute;left:0pt;margin-left:30.6pt;margin-top:173.35pt;height:171pt;width:392.25pt;mso-wrap-distance-bottom:0pt;mso-wrap-distance-top:0pt;z-index:251660288;mso-width-relative:page;mso-height-relative:page;" o:ole="t" filled="f" o:preferrelative="t" stroked="f" coordsize="21600,21600">
            <v:path/>
            <v:fill on="f" focussize="0,0"/>
            <v:stroke on="f"/>
            <v:imagedata r:id="rId16" o:title=""/>
            <o:lock v:ext="edit" aspectratio="f"/>
            <w10:wrap type="topAndBottom"/>
          </v:shape>
          <o:OLEObject Type="Embed" ProgID="Excel.Sheet.8" ShapeID="Object 10" DrawAspect="Content" ObjectID="_1468075730" r:id="rId15">
            <o:LockedField>false</o:LockedField>
          </o:OLEObject>
        </w:pict>
      </w:r>
      <w:r>
        <w:rPr>
          <w:rFonts w:hint="eastAsia" w:ascii="仿宋_GB2312" w:hAnsi="仿宋_GB2312" w:eastAsia="仿宋_GB2312" w:cs="仿宋_GB2312"/>
          <w:sz w:val="32"/>
          <w:szCs w:val="24"/>
          <w:lang w:val="en-US" w:eastAsia="zh-CN"/>
        </w:rPr>
        <w:t>2023年度一般公共预算财政拨款支出1798.04万元，主要用于以下方面:一般公共服务支出785.15万元，占43.7%；社会保障和就业支出75.74万元，占4.2%；卫生健康支出23.88万元，占1.3%；农林水支出331.5万元，占18.4%；住房保障支出52.57万元，占2.9%；粮油物资储备支出439.35万元，占24.4%；其他支出89.85万元，占5%。</w:t>
      </w:r>
    </w:p>
    <w:p>
      <w:pPr>
        <w:jc w:val="center"/>
        <w:rPr>
          <w:rFonts w:hint="eastAsia" w:ascii="仿宋_GB2312" w:hAnsi="仿宋_GB2312" w:eastAsia="仿宋_GB2312" w:cs="仿宋_GB2312"/>
          <w:sz w:val="32"/>
          <w:szCs w:val="24"/>
          <w:lang w:val="en-US"/>
        </w:rPr>
      </w:pPr>
      <w:r>
        <w:rPr>
          <w:rFonts w:hint="eastAsia" w:ascii="仿宋_GB2312" w:hAnsi="仿宋_GB2312" w:eastAsia="仿宋_GB2312" w:cs="仿宋_GB2312"/>
          <w:color w:val="000000"/>
          <w:kern w:val="2"/>
          <w:sz w:val="32"/>
          <w:szCs w:val="24"/>
          <w:lang w:val="en-US"/>
        </w:rPr>
        <w:t>（图6：一般公共预算财政拨款支出决算结构</w:t>
      </w:r>
      <w:r>
        <w:rPr>
          <w:rFonts w:hint="eastAsia" w:ascii="仿宋_GB2312" w:hAnsi="仿宋_GB2312" w:eastAsia="仿宋_GB2312" w:cs="仿宋_GB2312"/>
          <w:color w:val="000000"/>
          <w:kern w:val="2"/>
          <w:sz w:val="32"/>
          <w:szCs w:val="24"/>
          <w:lang w:val="en-US" w:eastAsia="zh-CN"/>
        </w:rPr>
        <w:t>）</w:t>
      </w:r>
    </w:p>
    <w:p>
      <w:pPr>
        <w:spacing w:line="576" w:lineRule="exact"/>
        <w:ind w:firstLine="643"/>
        <w:jc w:val="both"/>
        <w:rPr>
          <w:rFonts w:hint="eastAsia" w:ascii="仿宋_GB2312" w:hAnsi="仿宋_GB2312" w:eastAsia="仿宋_GB2312" w:cs="仿宋_GB2312"/>
          <w:b/>
          <w:color w:val="000000"/>
          <w:kern w:val="2"/>
          <w:sz w:val="32"/>
          <w:szCs w:val="24"/>
          <w:lang w:val="en-US"/>
        </w:rPr>
      </w:pPr>
      <w:bookmarkStart w:id="12" w:name="_Toc29314"/>
      <w:r>
        <w:rPr>
          <w:rFonts w:hint="eastAsia" w:ascii="仿宋_GB2312" w:hAnsi="仿宋_GB2312" w:eastAsia="仿宋_GB2312" w:cs="仿宋_GB2312"/>
          <w:b/>
          <w:color w:val="000000"/>
          <w:kern w:val="2"/>
          <w:sz w:val="32"/>
          <w:szCs w:val="24"/>
          <w:lang w:val="en-US"/>
        </w:rPr>
        <w:t>（三）一般公共预算财政拨款支出决算具体情况</w:t>
      </w:r>
      <w:bookmarkEnd w:id="12"/>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2023年度一般公共预算支出全年预算数为1798.04万元，支出决算数为1798.04万元，完成全年预算数的100%。其中：</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1.一般公共服务支出（类）</w:t>
      </w:r>
      <w:r>
        <w:rPr>
          <w:rFonts w:hint="eastAsia" w:ascii="仿宋_GB2312" w:hAnsi="仿宋_GB2312" w:eastAsia="仿宋_GB2312" w:cs="仿宋_GB2312"/>
          <w:b w:val="0"/>
          <w:bCs/>
          <w:sz w:val="32"/>
          <w:szCs w:val="32"/>
          <w:lang w:val="en-US" w:eastAsia="zh-CN"/>
        </w:rPr>
        <w:t>发展与改革事务（</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行政运行</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全年预算为290.49万元，支出决算为290.49万元，完成全年预算的100%。决算数与全年预算数持平。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2.一般公共服务支出（类）</w:t>
      </w:r>
      <w:r>
        <w:rPr>
          <w:rFonts w:hint="eastAsia" w:ascii="仿宋_GB2312" w:hAnsi="仿宋_GB2312" w:eastAsia="仿宋_GB2312" w:cs="仿宋_GB2312"/>
          <w:b w:val="0"/>
          <w:bCs/>
          <w:sz w:val="32"/>
          <w:szCs w:val="32"/>
          <w:lang w:val="en-US" w:eastAsia="zh-CN"/>
        </w:rPr>
        <w:t>发展与改革事务</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物价管理</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全年预算为3万元，支出决算为3万元，完成全年预算的100%。决算数与全年预算数持平。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3.一般公共服务支出（类）</w:t>
      </w:r>
      <w:r>
        <w:rPr>
          <w:rFonts w:hint="eastAsia" w:ascii="仿宋_GB2312" w:hAnsi="仿宋_GB2312" w:eastAsia="仿宋_GB2312" w:cs="仿宋_GB2312"/>
          <w:b w:val="0"/>
          <w:bCs/>
          <w:sz w:val="32"/>
          <w:szCs w:val="32"/>
          <w:lang w:val="en-US" w:eastAsia="zh-CN"/>
        </w:rPr>
        <w:t>发展与改革事务</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事业运行</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全年预算为236万元，支出决算为236万元，完成全年预算的100%。决算数与全年预算数持平。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4.一般公共服务支出（类）</w:t>
      </w:r>
      <w:r>
        <w:rPr>
          <w:rFonts w:hint="eastAsia" w:ascii="仿宋_GB2312" w:hAnsi="仿宋_GB2312" w:eastAsia="仿宋_GB2312" w:cs="仿宋_GB2312"/>
          <w:b w:val="0"/>
          <w:bCs/>
          <w:sz w:val="32"/>
          <w:szCs w:val="32"/>
          <w:lang w:val="en-US" w:eastAsia="zh-CN"/>
        </w:rPr>
        <w:t>发展与改革事务</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其他发展与改革事务支出</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全年预算为254.66万元，支出决算为254.66万元，完成全年预算的100%。决算数与全年预算数持平。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5.社会保障和就业支出（类）</w:t>
      </w:r>
      <w:r>
        <w:rPr>
          <w:rFonts w:hint="eastAsia" w:ascii="仿宋_GB2312" w:hAnsi="仿宋_GB2312" w:eastAsia="仿宋_GB2312" w:cs="仿宋_GB2312"/>
          <w:b w:val="0"/>
          <w:bCs/>
          <w:sz w:val="32"/>
          <w:szCs w:val="32"/>
          <w:lang w:val="en-US" w:eastAsia="zh-CN"/>
        </w:rPr>
        <w:t>人力资源和社会保障管理事务</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引进人才</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全年预算为5.16万元，支出决算为5.16万元，完成全年预算的100%。决算数与全年预算数持平。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6.社会保障和就业支出（类）</w:t>
      </w:r>
      <w:r>
        <w:rPr>
          <w:rFonts w:hint="eastAsia" w:ascii="仿宋_GB2312" w:hAnsi="仿宋_GB2312" w:eastAsia="仿宋_GB2312" w:cs="仿宋_GB2312"/>
          <w:b w:val="0"/>
          <w:bCs/>
          <w:sz w:val="32"/>
          <w:szCs w:val="32"/>
          <w:lang w:val="en-US" w:eastAsia="zh-CN"/>
        </w:rPr>
        <w:t>行政事业单位养老支出</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机关事业单位基本养老保险缴费</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全年预算为67.51万元，支出决算为67.51万元，完成全年预算的100%。决算数与全年预算数持平。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7.社会保障和就业支出（类）</w:t>
      </w:r>
      <w:r>
        <w:rPr>
          <w:rFonts w:hint="eastAsia" w:ascii="仿宋_GB2312" w:hAnsi="仿宋_GB2312" w:eastAsia="仿宋_GB2312" w:cs="仿宋_GB2312"/>
          <w:b w:val="0"/>
          <w:bCs/>
          <w:sz w:val="32"/>
          <w:szCs w:val="32"/>
          <w:lang w:val="en-US" w:eastAsia="zh-CN"/>
        </w:rPr>
        <w:t>行政事业单位养老支出</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机关事业单位职业年金缴费支出</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全年预算为0.53万元，支出决算为0.53万元，完成全年预算的100%。决算数与全年预算数持平。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8.社会保障和就业支出（类）</w:t>
      </w:r>
      <w:r>
        <w:rPr>
          <w:rFonts w:hint="eastAsia" w:ascii="仿宋_GB2312" w:hAnsi="仿宋_GB2312" w:eastAsia="仿宋_GB2312" w:cs="仿宋_GB2312"/>
          <w:b w:val="0"/>
          <w:bCs/>
          <w:sz w:val="32"/>
          <w:szCs w:val="32"/>
          <w:lang w:val="en-US" w:eastAsia="zh-CN"/>
        </w:rPr>
        <w:t>其他社会保障和就业支出</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其他社会保障和就业支出</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全年预算为2.55万元，支出决算为2.55万元，完成全年预算的100%。决算数与全年预算数持平。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9.卫生健康支出（类）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行政单位医疗</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全年预算为12.99万元，支出决算为12.99万元，完成全年预算的100%。决算数与全年预算数持平。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10.卫生健康支出（类）</w:t>
      </w:r>
      <w:r>
        <w:rPr>
          <w:rFonts w:hint="eastAsia" w:ascii="仿宋_GB2312" w:hAnsi="仿宋_GB2312" w:eastAsia="仿宋_GB2312" w:cs="仿宋_GB2312"/>
          <w:b w:val="0"/>
          <w:bCs/>
          <w:sz w:val="32"/>
          <w:szCs w:val="32"/>
          <w:lang w:val="en-US" w:eastAsia="zh-CN"/>
        </w:rPr>
        <w:t>行政事业单位医疗</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事业单位医疗</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全年预算为10.89万元，支出决算为10.89万元，完成全年预算的100%。决算数与全年预算数持平。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11.农林水支出（类）</w:t>
      </w:r>
      <w:r>
        <w:rPr>
          <w:rFonts w:hint="eastAsia" w:ascii="仿宋_GB2312" w:hAnsi="仿宋_GB2312" w:eastAsia="仿宋_GB2312" w:cs="仿宋_GB2312"/>
          <w:b w:val="0"/>
          <w:bCs/>
          <w:sz w:val="32"/>
          <w:szCs w:val="32"/>
          <w:lang w:val="en-US" w:eastAsia="zh-CN"/>
        </w:rPr>
        <w:t>巩固脱贫攻坚成果衔接乡村振兴支出</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其他巩固脱贫攻坚成果衔接乡村振兴支出</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全年预算为1.5万元，支出决算为1.5万元，完成全年预算的100%。决算数与全年预算数持平。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12.农林水支出（类）</w:t>
      </w:r>
      <w:r>
        <w:rPr>
          <w:rFonts w:hint="eastAsia" w:ascii="仿宋_GB2312" w:hAnsi="仿宋_GB2312" w:eastAsia="仿宋_GB2312" w:cs="仿宋_GB2312"/>
          <w:b w:val="0"/>
          <w:bCs/>
          <w:sz w:val="32"/>
          <w:szCs w:val="32"/>
          <w:lang w:val="en-US" w:eastAsia="zh-CN"/>
        </w:rPr>
        <w:t>其他农林水支出</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其他农林水支出</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全年预算为330万元，支出决算为330万元，完成全年预算的100%。决算数与全年预算数持平。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13.住房保障支出（类）</w:t>
      </w:r>
      <w:r>
        <w:rPr>
          <w:rFonts w:hint="eastAsia" w:ascii="仿宋_GB2312" w:hAnsi="仿宋_GB2312" w:eastAsia="仿宋_GB2312" w:cs="仿宋_GB2312"/>
          <w:b w:val="0"/>
          <w:bCs/>
          <w:sz w:val="32"/>
          <w:szCs w:val="32"/>
          <w:lang w:val="en-US" w:eastAsia="zh-CN"/>
        </w:rPr>
        <w:t>住房改革支出</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住房公积金</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全年预算为52.57万元，支出决算为52.57万元，完成全年预算的100%。决算数与全年预算数持平。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14.粮油物资储备支出（类）</w:t>
      </w:r>
      <w:r>
        <w:rPr>
          <w:rFonts w:hint="eastAsia" w:ascii="仿宋_GB2312" w:hAnsi="仿宋_GB2312" w:eastAsia="仿宋_GB2312" w:cs="仿宋_GB2312"/>
          <w:b w:val="0"/>
          <w:bCs/>
          <w:sz w:val="32"/>
          <w:szCs w:val="32"/>
          <w:lang w:val="en-US" w:eastAsia="zh-CN"/>
        </w:rPr>
        <w:t>粮油物资事务</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信息统计</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全年预算为7万元，支出决算为7万元，完成全年预算的100%。决算数与全年预算数持平。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15.粮油物资储备支出（类）</w:t>
      </w:r>
      <w:r>
        <w:rPr>
          <w:rFonts w:hint="eastAsia" w:ascii="仿宋_GB2312" w:hAnsi="仿宋_GB2312" w:eastAsia="仿宋_GB2312" w:cs="仿宋_GB2312"/>
          <w:b w:val="0"/>
          <w:bCs/>
          <w:sz w:val="32"/>
          <w:szCs w:val="32"/>
          <w:lang w:val="en-US" w:eastAsia="zh-CN"/>
        </w:rPr>
        <w:t>粮油物资事务</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物资保管保养</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全年预算为48.53万元，支出决算为48.53万元，完成全年预算的100%。决算数与全年预算数持平。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16.粮油物资储备支出（类）</w:t>
      </w:r>
      <w:r>
        <w:rPr>
          <w:rFonts w:hint="eastAsia" w:ascii="仿宋_GB2312" w:hAnsi="仿宋_GB2312" w:eastAsia="仿宋_GB2312" w:cs="仿宋_GB2312"/>
          <w:b w:val="0"/>
          <w:bCs/>
          <w:sz w:val="32"/>
          <w:szCs w:val="32"/>
          <w:lang w:val="en-US" w:eastAsia="zh-CN"/>
        </w:rPr>
        <w:t>粮油物资事务</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其他粮油物资事务支出</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全年预算为348.32万元，支出决算为348.32万元，完成全年预算的100%。决算数与全年预算数持平。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17.粮油物资储备支出（类）</w:t>
      </w:r>
      <w:r>
        <w:rPr>
          <w:rFonts w:hint="eastAsia" w:ascii="仿宋_GB2312" w:hAnsi="仿宋_GB2312" w:eastAsia="仿宋_GB2312" w:cs="仿宋_GB2312"/>
          <w:b w:val="0"/>
          <w:bCs/>
          <w:sz w:val="32"/>
          <w:szCs w:val="32"/>
          <w:lang w:val="en-US" w:eastAsia="zh-CN"/>
        </w:rPr>
        <w:t>粮油储备</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储备粮油价差补贴</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全年预算为35.5万元，支出决算为35.5万元，完成全年预算的100%。决算数与全年预算数持平。</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18.其他支出（类）</w:t>
      </w:r>
      <w:r>
        <w:rPr>
          <w:rFonts w:hint="eastAsia" w:ascii="仿宋_GB2312" w:hAnsi="仿宋_GB2312" w:eastAsia="仿宋_GB2312" w:cs="仿宋_GB2312"/>
          <w:b w:val="0"/>
          <w:bCs/>
          <w:sz w:val="32"/>
          <w:szCs w:val="32"/>
          <w:lang w:val="en-US" w:eastAsia="zh-CN"/>
        </w:rPr>
        <w:t>其他支出</w:t>
      </w:r>
      <w:r>
        <w:rPr>
          <w:rFonts w:hint="eastAsia" w:ascii="仿宋_GB2312" w:hAnsi="仿宋_GB2312" w:eastAsia="仿宋_GB2312" w:cs="仿宋_GB2312"/>
          <w:b/>
          <w:sz w:val="32"/>
          <w:szCs w:val="32"/>
          <w:lang w:val="en-US" w:eastAsia="zh-CN"/>
        </w:rPr>
        <w:t>（款）</w:t>
      </w:r>
      <w:r>
        <w:rPr>
          <w:rFonts w:hint="eastAsia" w:ascii="仿宋_GB2312" w:hAnsi="仿宋_GB2312" w:eastAsia="仿宋_GB2312" w:cs="仿宋_GB2312"/>
          <w:b w:val="0"/>
          <w:bCs/>
          <w:sz w:val="32"/>
          <w:szCs w:val="32"/>
          <w:lang w:val="en-US" w:eastAsia="zh-CN"/>
        </w:rPr>
        <w:t>其他支出</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sz w:val="32"/>
          <w:szCs w:val="32"/>
          <w:lang w:val="en-US" w:eastAsia="zh-CN"/>
        </w:rPr>
        <w:t>全年预算为89.85万元，支出决算为89.85万元，完成全年预算的100%。决算数与全年预算数持平。</w:t>
      </w:r>
    </w:p>
    <w:p>
      <w:pPr>
        <w:numPr>
          <w:ilvl w:val="0"/>
          <w:numId w:val="0"/>
        </w:numPr>
        <w:tabs>
          <w:tab w:val="left" w:pos="420"/>
        </w:tabs>
        <w:spacing w:line="576" w:lineRule="exact"/>
        <w:ind w:leftChars="200"/>
        <w:jc w:val="both"/>
        <w:outlineLvl w:val="1"/>
        <w:rPr>
          <w:rFonts w:hint="eastAsia" w:ascii="黑体" w:hAnsi="黑体" w:eastAsia="黑体" w:cs="黑体"/>
          <w:color w:val="000000"/>
          <w:kern w:val="2"/>
          <w:sz w:val="32"/>
          <w:szCs w:val="24"/>
          <w:lang w:val="en-US" w:eastAsia="zh-CN"/>
        </w:rPr>
      </w:pPr>
      <w:bookmarkStart w:id="13" w:name="_Toc32109"/>
      <w:r>
        <w:rPr>
          <w:rFonts w:hint="eastAsia" w:ascii="黑体" w:hAnsi="黑体" w:eastAsia="黑体" w:cs="黑体"/>
          <w:color w:val="000000"/>
          <w:kern w:val="2"/>
          <w:sz w:val="32"/>
          <w:szCs w:val="24"/>
          <w:lang w:val="en-US" w:eastAsia="zh-CN"/>
        </w:rPr>
        <w:t>六、一般公共预算财政拨款基本支出决算情况说明</w:t>
      </w:r>
      <w:bookmarkEnd w:id="13"/>
      <w:r>
        <w:rPr>
          <w:rFonts w:hint="eastAsia" w:ascii="黑体" w:hAnsi="黑体" w:eastAsia="黑体" w:cs="黑体"/>
          <w:color w:val="000000"/>
          <w:kern w:val="2"/>
          <w:sz w:val="32"/>
          <w:szCs w:val="24"/>
          <w:lang w:val="en-US" w:eastAsia="zh-CN"/>
        </w:rPr>
        <w:tab/>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2023年度一般公共预算财政拨款基本支出681.18万元，其中：</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经费597.36万元，主要包括：基本工资163.16万元、津贴补贴75.36万元、奖金133.83万元、绩效工资53.58万元、机关事业单位基本养老保险缴费67.51万元、职业年金缴费0.53万元、职工基本医疗保险缴费23.88万元、其他社会保障缴费2.55万元、住房公积金52.57万元、其他工资福利支出24.39万元。</w:t>
      </w:r>
    </w:p>
    <w:p>
      <w:pPr>
        <w:numPr>
          <w:ilvl w:val="0"/>
          <w:numId w:val="0"/>
        </w:numPr>
        <w:autoSpaceDE/>
        <w:autoSpaceDN/>
        <w:adjustRightInd/>
        <w:spacing w:line="560"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83.82万元，主要包括：办公费25.24万元、印刷费0.75万元、水费0.13万元、电费1.86万元、邮电费2.54万元、差旅费12.4万元、维修（护）费0.7万元、公务接待费3万元、劳务费0.33万元、委托业务费1万元、工会经费9.26万元、其他交通费21.13万元、生活补助5.16万元、奖励金0.17万元、其他对个人和家庭的补助0.15万元。</w:t>
      </w:r>
    </w:p>
    <w:p>
      <w:pPr>
        <w:numPr>
          <w:ilvl w:val="0"/>
          <w:numId w:val="0"/>
        </w:numPr>
        <w:tabs>
          <w:tab w:val="left" w:pos="420"/>
        </w:tabs>
        <w:spacing w:line="560" w:lineRule="exact"/>
        <w:ind w:leftChars="200"/>
        <w:jc w:val="both"/>
        <w:outlineLvl w:val="1"/>
        <w:rPr>
          <w:rFonts w:hint="eastAsia" w:ascii="黑体" w:hAnsi="黑体" w:eastAsia="黑体" w:cs="黑体"/>
          <w:color w:val="000000"/>
          <w:kern w:val="2"/>
          <w:sz w:val="32"/>
          <w:szCs w:val="24"/>
          <w:lang w:val="en-US"/>
        </w:rPr>
      </w:pPr>
      <w:bookmarkStart w:id="14" w:name="_Toc20656"/>
      <w:r>
        <w:rPr>
          <w:rFonts w:hint="eastAsia" w:ascii="黑体" w:hAnsi="黑体" w:eastAsia="黑体" w:cs="黑体"/>
          <w:color w:val="000000"/>
          <w:kern w:val="2"/>
          <w:sz w:val="32"/>
          <w:szCs w:val="24"/>
          <w:lang w:val="en-US" w:eastAsia="zh-CN"/>
        </w:rPr>
        <w:t>七、</w:t>
      </w:r>
      <w:r>
        <w:rPr>
          <w:rFonts w:hint="eastAsia" w:ascii="黑体" w:hAnsi="黑体" w:eastAsia="黑体" w:cs="黑体"/>
          <w:color w:val="000000"/>
          <w:kern w:val="2"/>
          <w:sz w:val="32"/>
          <w:szCs w:val="24"/>
          <w:lang w:val="en-US"/>
        </w:rPr>
        <w:t>财政拨款“三公”经费支出决算情况说明</w:t>
      </w:r>
      <w:bookmarkEnd w:id="14"/>
    </w:p>
    <w:p>
      <w:pPr>
        <w:spacing w:line="560" w:lineRule="exact"/>
        <w:ind w:firstLine="641"/>
        <w:jc w:val="both"/>
        <w:rPr>
          <w:rFonts w:hint="eastAsia" w:ascii="仿宋_GB2312" w:hAnsi="仿宋_GB2312" w:eastAsia="仿宋_GB2312" w:cs="仿宋_GB2312"/>
          <w:b/>
          <w:color w:val="000000"/>
          <w:kern w:val="2"/>
          <w:sz w:val="32"/>
          <w:szCs w:val="24"/>
          <w:lang w:val="en-US"/>
        </w:rPr>
      </w:pPr>
      <w:bookmarkStart w:id="15" w:name="_Toc12145"/>
      <w:r>
        <w:rPr>
          <w:rFonts w:hint="eastAsia" w:ascii="仿宋_GB2312" w:hAnsi="仿宋_GB2312" w:eastAsia="仿宋_GB2312" w:cs="仿宋_GB2312"/>
          <w:b/>
          <w:color w:val="000000"/>
          <w:kern w:val="2"/>
          <w:sz w:val="32"/>
          <w:szCs w:val="24"/>
          <w:lang w:val="en-US"/>
        </w:rPr>
        <w:t>（一）“三公”经费财政拨款支出决算总体情况说明</w:t>
      </w:r>
      <w:bookmarkEnd w:id="15"/>
    </w:p>
    <w:p>
      <w:pPr>
        <w:numPr>
          <w:ilvl w:val="0"/>
          <w:numId w:val="0"/>
        </w:numPr>
        <w:autoSpaceDE/>
        <w:autoSpaceDN/>
        <w:adjustRightInd/>
        <w:spacing w:line="560"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2023年度“三公”经费财政拨款支出预算为3万元，支出决算为3万元，完成预算的100%；较上年增加0.24万元，增长8.7%。决算数与预算数持平。决算数较上年增加的主要原因是接待事务增加。</w:t>
      </w:r>
    </w:p>
    <w:p>
      <w:pPr>
        <w:spacing w:line="560" w:lineRule="exact"/>
        <w:ind w:firstLine="643"/>
        <w:jc w:val="both"/>
        <w:rPr>
          <w:rFonts w:hint="eastAsia" w:ascii="仿宋_GB2312" w:hAnsi="仿宋_GB2312" w:eastAsia="仿宋_GB2312" w:cs="仿宋_GB2312"/>
          <w:b/>
          <w:color w:val="000000"/>
          <w:kern w:val="2"/>
          <w:sz w:val="32"/>
          <w:szCs w:val="24"/>
          <w:lang w:val="en-US"/>
        </w:rPr>
      </w:pPr>
      <w:bookmarkStart w:id="16" w:name="_Toc24209"/>
      <w:r>
        <w:rPr>
          <w:rFonts w:hint="eastAsia" w:ascii="仿宋_GB2312" w:hAnsi="仿宋_GB2312" w:eastAsia="仿宋_GB2312" w:cs="仿宋_GB2312"/>
          <w:b/>
          <w:color w:val="000000"/>
          <w:kern w:val="2"/>
          <w:sz w:val="32"/>
          <w:szCs w:val="24"/>
          <w:lang w:val="en-US"/>
        </w:rPr>
        <w:t>（二）“三公”经费财政拨款支出决算具体情况说明</w:t>
      </w:r>
      <w:bookmarkEnd w:id="16"/>
    </w:p>
    <w:p>
      <w:pPr>
        <w:numPr>
          <w:ilvl w:val="0"/>
          <w:numId w:val="0"/>
        </w:numPr>
        <w:autoSpaceDE/>
        <w:autoSpaceDN/>
        <w:adjustRightInd/>
        <w:spacing w:line="560" w:lineRule="exact"/>
        <w:ind w:firstLine="632"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color w:val="000000"/>
          <w:sz w:val="32"/>
          <w:szCs w:val="24"/>
        </w:rPr>
        <w:pict>
          <v:shape id="Object 4" o:spid="_x0000_s2056" o:spt="75" type="#_x0000_t75" style="position:absolute;left:0pt;margin-left:40.55pt;margin-top:110.25pt;height:168.75pt;width:359.3pt;z-index:-251655168;mso-width-relative:page;mso-height-relative:page;" o:ole="t" filled="f" o:preferrelative="t" stroked="f" coordsize="21600,21600">
            <v:path/>
            <v:fill on="f" focussize="0,0"/>
            <v:stroke on="f"/>
            <v:imagedata r:id="rId18" o:title=""/>
            <o:lock v:ext="edit" aspectratio="f"/>
          </v:shape>
          <o:OLEObject Type="Embed" ProgID="Excel.Sheet.8" ShapeID="Object 4" DrawAspect="Content" ObjectID="_1468075731" r:id="rId17">
            <o:LockedField>false</o:LockedField>
          </o:OLEObject>
        </w:pict>
      </w:r>
      <w:r>
        <w:rPr>
          <w:rFonts w:hint="eastAsia" w:ascii="仿宋_GB2312" w:hAnsi="仿宋_GB2312" w:eastAsia="仿宋_GB2312" w:cs="仿宋_GB2312"/>
          <w:sz w:val="32"/>
          <w:szCs w:val="32"/>
          <w:lang w:val="en-US" w:eastAsia="zh-CN"/>
        </w:rPr>
        <w:t>2023年度“三公”经费财政拨款支出决算中，因公出国（境）费支出决算0万元，占0%；公务用车购置及运行维护费支出决算0万元，占0%；公务接待费支出决算3万元，占100%。具体情况如下：</w:t>
      </w:r>
    </w:p>
    <w:p>
      <w:pPr>
        <w:numPr>
          <w:ilvl w:val="0"/>
          <w:numId w:val="0"/>
        </w:numPr>
        <w:autoSpaceDE/>
        <w:autoSpaceDN/>
        <w:adjustRightInd/>
        <w:spacing w:line="560" w:lineRule="exact"/>
        <w:ind w:firstLine="632" w:firstLineChars="200"/>
        <w:jc w:val="both"/>
        <w:rPr>
          <w:rFonts w:hint="eastAsia" w:ascii="仿宋_GB2312" w:hAnsi="仿宋_GB2312" w:eastAsia="仿宋_GB2312" w:cs="仿宋_GB2312"/>
          <w:sz w:val="32"/>
          <w:szCs w:val="32"/>
          <w:lang w:val="en-US" w:eastAsia="zh-CN"/>
        </w:rPr>
      </w:pPr>
    </w:p>
    <w:p>
      <w:pPr>
        <w:numPr>
          <w:ilvl w:val="0"/>
          <w:numId w:val="0"/>
        </w:numPr>
        <w:autoSpaceDE/>
        <w:autoSpaceDN/>
        <w:adjustRightInd/>
        <w:spacing w:line="560" w:lineRule="exact"/>
        <w:ind w:firstLine="632" w:firstLineChars="200"/>
        <w:jc w:val="both"/>
        <w:rPr>
          <w:rFonts w:hint="eastAsia" w:ascii="仿宋_GB2312" w:hAnsi="仿宋_GB2312" w:eastAsia="仿宋_GB2312" w:cs="仿宋_GB2312"/>
          <w:sz w:val="32"/>
          <w:szCs w:val="32"/>
          <w:lang w:val="en-US" w:eastAsia="zh-CN"/>
        </w:rPr>
      </w:pPr>
    </w:p>
    <w:p>
      <w:pPr>
        <w:numPr>
          <w:ilvl w:val="0"/>
          <w:numId w:val="0"/>
        </w:numPr>
        <w:autoSpaceDE/>
        <w:autoSpaceDN/>
        <w:adjustRightInd/>
        <w:spacing w:line="560" w:lineRule="exact"/>
        <w:ind w:firstLine="632" w:firstLineChars="200"/>
        <w:jc w:val="both"/>
        <w:rPr>
          <w:rFonts w:hint="eastAsia" w:ascii="仿宋_GB2312" w:hAnsi="仿宋_GB2312" w:eastAsia="仿宋_GB2312" w:cs="仿宋_GB2312"/>
          <w:sz w:val="32"/>
          <w:szCs w:val="32"/>
          <w:lang w:val="en-US" w:eastAsia="zh-CN"/>
        </w:rPr>
      </w:pPr>
    </w:p>
    <w:p>
      <w:pPr>
        <w:numPr>
          <w:ilvl w:val="0"/>
          <w:numId w:val="0"/>
        </w:numPr>
        <w:autoSpaceDE/>
        <w:autoSpaceDN/>
        <w:adjustRightInd/>
        <w:spacing w:line="560" w:lineRule="exact"/>
        <w:ind w:firstLine="632" w:firstLineChars="200"/>
        <w:jc w:val="both"/>
        <w:rPr>
          <w:rFonts w:hint="eastAsia" w:ascii="仿宋_GB2312" w:hAnsi="仿宋_GB2312" w:eastAsia="仿宋_GB2312" w:cs="仿宋_GB2312"/>
          <w:sz w:val="32"/>
          <w:szCs w:val="32"/>
          <w:lang w:val="en-US" w:eastAsia="zh-CN"/>
        </w:rPr>
      </w:pPr>
    </w:p>
    <w:p>
      <w:pPr>
        <w:numPr>
          <w:ilvl w:val="0"/>
          <w:numId w:val="0"/>
        </w:numPr>
        <w:autoSpaceDE/>
        <w:autoSpaceDN/>
        <w:adjustRightInd/>
        <w:spacing w:line="560" w:lineRule="exact"/>
        <w:jc w:val="both"/>
        <w:rPr>
          <w:rFonts w:hint="eastAsia" w:ascii="仿宋_GB2312" w:hAnsi="仿宋_GB2312" w:eastAsia="仿宋_GB2312" w:cs="仿宋_GB2312"/>
          <w:sz w:val="32"/>
          <w:szCs w:val="32"/>
          <w:lang w:val="en-US" w:eastAsia="zh-CN"/>
        </w:rPr>
      </w:pPr>
    </w:p>
    <w:p>
      <w:pPr>
        <w:spacing w:line="240" w:lineRule="atLeast"/>
        <w:jc w:val="center"/>
        <w:rPr>
          <w:rFonts w:hint="eastAsia" w:ascii="仿宋_GB2312" w:hAnsi="仿宋_GB2312" w:eastAsia="仿宋_GB2312" w:cs="仿宋_GB2312"/>
          <w:sz w:val="32"/>
          <w:szCs w:val="24"/>
          <w:lang w:val="en-US"/>
        </w:rPr>
      </w:pPr>
    </w:p>
    <w:p>
      <w:pPr>
        <w:spacing w:line="240" w:lineRule="atLeast"/>
        <w:jc w:val="center"/>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sz w:val="32"/>
          <w:szCs w:val="24"/>
          <w:lang w:val="en-US"/>
        </w:rPr>
        <w:t>（图7：“三公”经费</w:t>
      </w:r>
      <w:r>
        <w:rPr>
          <w:rFonts w:hint="eastAsia" w:ascii="仿宋_GB2312" w:hAnsi="仿宋_GB2312" w:eastAsia="仿宋_GB2312" w:cs="仿宋_GB2312"/>
          <w:color w:val="000000"/>
          <w:kern w:val="2"/>
          <w:sz w:val="32"/>
          <w:szCs w:val="24"/>
          <w:lang w:val="en-US"/>
        </w:rPr>
        <w:t>财政拨款支出结构）</w:t>
      </w:r>
    </w:p>
    <w:p>
      <w:pPr>
        <w:spacing w:line="576" w:lineRule="exact"/>
        <w:ind w:firstLine="643"/>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rPr>
        <w:t>1.因公出国（境）经费</w:t>
      </w:r>
      <w:r>
        <w:rPr>
          <w:rFonts w:hint="eastAsia" w:ascii="仿宋_GB2312" w:hAnsi="仿宋_GB2312" w:eastAsia="仿宋_GB2312" w:cs="仿宋_GB2312"/>
          <w:sz w:val="32"/>
          <w:szCs w:val="32"/>
          <w:lang w:val="en-US" w:eastAsia="zh-CN"/>
        </w:rPr>
        <w:t>因公出国（境）支出0万元，年初未安排预算，因公出国（境）支出决算较2022年度无变化。</w:t>
      </w:r>
    </w:p>
    <w:p>
      <w:pPr>
        <w:spacing w:line="576" w:lineRule="exact"/>
        <w:ind w:firstLine="643"/>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rPr>
        <w:t>2.公务用车购置及运行维护费</w:t>
      </w:r>
      <w:r>
        <w:rPr>
          <w:rFonts w:hint="eastAsia" w:ascii="仿宋_GB2312" w:hAnsi="仿宋_GB2312" w:eastAsia="仿宋_GB2312" w:cs="仿宋_GB2312"/>
          <w:sz w:val="32"/>
          <w:szCs w:val="32"/>
          <w:lang w:val="en-US" w:eastAsia="zh-CN"/>
        </w:rPr>
        <w:t>预算为0万元,支出决算为0万元，完成预算的0%。公务用车购置及运行维护费支出决算较2022年度持平。</w:t>
      </w:r>
    </w:p>
    <w:p>
      <w:pPr>
        <w:spacing w:line="576" w:lineRule="exact"/>
        <w:ind w:firstLine="64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color w:val="000000"/>
          <w:kern w:val="2"/>
          <w:sz w:val="32"/>
          <w:szCs w:val="24"/>
          <w:lang w:val="en-US"/>
        </w:rPr>
        <w:t>其中：</w:t>
      </w:r>
      <w:r>
        <w:rPr>
          <w:rFonts w:hint="eastAsia" w:ascii="仿宋_GB2312" w:hAnsi="仿宋_GB2312" w:eastAsia="仿宋_GB2312" w:cs="仿宋_GB2312"/>
          <w:b/>
          <w:color w:val="000000"/>
          <w:kern w:val="2"/>
          <w:sz w:val="32"/>
          <w:szCs w:val="24"/>
          <w:lang w:val="en-US"/>
        </w:rPr>
        <w:t>公务用车购置费</w:t>
      </w:r>
      <w:r>
        <w:rPr>
          <w:rFonts w:hint="eastAsia" w:ascii="仿宋_GB2312" w:hAnsi="仿宋_GB2312" w:eastAsia="仿宋_GB2312" w:cs="仿宋_GB2312"/>
          <w:sz w:val="32"/>
          <w:szCs w:val="32"/>
          <w:lang w:val="en-US" w:eastAsia="zh-CN"/>
        </w:rPr>
        <w:t>支出0万元。全年按规定更新购置公务用车0辆，其中：轿车0辆、金额0万元，越野车0辆、金额0万元，小型客车0辆、金额0万元，中型客车和大型客车0辆、金额0万元，其他车型0辆、金额0万元。截至2023年12月31日，本部门共有公务用车0辆，其中：轿车0辆、越野车0辆、小型客车0辆、中型客车和大型客车0辆、其他车型0辆。</w:t>
      </w:r>
    </w:p>
    <w:p>
      <w:pPr>
        <w:spacing w:line="576" w:lineRule="exact"/>
        <w:ind w:firstLine="643"/>
        <w:jc w:val="both"/>
        <w:rPr>
          <w:rFonts w:hint="eastAsia" w:ascii="仿宋_GB2312" w:hAnsi="仿宋_GB2312" w:eastAsia="仿宋_GB2312" w:cs="仿宋_GB2312"/>
          <w:color w:val="000000"/>
          <w:kern w:val="2"/>
          <w:sz w:val="32"/>
          <w:szCs w:val="24"/>
          <w:highlight w:val="yellow"/>
          <w:lang w:val="en-US"/>
        </w:rPr>
      </w:pPr>
      <w:r>
        <w:rPr>
          <w:rFonts w:hint="eastAsia" w:ascii="仿宋_GB2312" w:hAnsi="仿宋_GB2312" w:eastAsia="仿宋_GB2312" w:cs="仿宋_GB2312"/>
          <w:b/>
          <w:color w:val="000000"/>
          <w:kern w:val="2"/>
          <w:sz w:val="32"/>
          <w:szCs w:val="24"/>
          <w:lang w:val="en-US"/>
        </w:rPr>
        <w:t>公务用车运行维护费</w:t>
      </w:r>
      <w:r>
        <w:rPr>
          <w:rFonts w:hint="eastAsia" w:ascii="仿宋_GB2312" w:hAnsi="仿宋_GB2312" w:eastAsia="仿宋_GB2312" w:cs="仿宋_GB2312"/>
          <w:sz w:val="32"/>
          <w:szCs w:val="32"/>
          <w:lang w:val="en-US" w:eastAsia="zh-CN"/>
        </w:rPr>
        <w:t>支出0万元。</w:t>
      </w:r>
    </w:p>
    <w:p>
      <w:pPr>
        <w:spacing w:line="576" w:lineRule="exact"/>
        <w:ind w:firstLine="643"/>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rPr>
        <w:t>3.公务接待费</w:t>
      </w:r>
      <w:r>
        <w:rPr>
          <w:rFonts w:hint="eastAsia" w:ascii="仿宋_GB2312" w:hAnsi="仿宋_GB2312" w:eastAsia="仿宋_GB2312" w:cs="仿宋_GB2312"/>
          <w:sz w:val="32"/>
          <w:szCs w:val="32"/>
          <w:lang w:val="en-US" w:eastAsia="zh-CN"/>
        </w:rPr>
        <w:t>预算为3万元，支出决算为3万元，完成预算的100%。公务接待费支出决算比2022年度增加0.24万元，增长8.7%。主要原因是接待事务增加。其中：</w:t>
      </w:r>
    </w:p>
    <w:p>
      <w:pPr>
        <w:spacing w:line="576" w:lineRule="exact"/>
        <w:ind w:firstLine="643"/>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rPr>
        <w:t>国内公务接待</w:t>
      </w:r>
      <w:r>
        <w:rPr>
          <w:rFonts w:hint="eastAsia" w:ascii="仿宋_GB2312" w:hAnsi="仿宋_GB2312" w:eastAsia="仿宋_GB2312" w:cs="仿宋_GB2312"/>
          <w:sz w:val="32"/>
          <w:szCs w:val="32"/>
          <w:lang w:val="en-US" w:eastAsia="zh-CN"/>
        </w:rPr>
        <w:t>支出3万元。主要用于(执行公务、开展业务活动开支的用餐费。国内公务接待31批次310人次，共计支出3万元，具体内容包括：省市发改委检查指导工作，兄弟县区发改部门考察调研等开展业务活动的餐费。</w:t>
      </w:r>
    </w:p>
    <w:p>
      <w:pPr>
        <w:numPr>
          <w:ilvl w:val="0"/>
          <w:numId w:val="0"/>
        </w:numPr>
        <w:tabs>
          <w:tab w:val="left" w:pos="420"/>
        </w:tabs>
        <w:spacing w:line="576" w:lineRule="exact"/>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rPr>
        <w:t>外事接待</w:t>
      </w:r>
      <w:r>
        <w:rPr>
          <w:rFonts w:hint="eastAsia" w:ascii="仿宋_GB2312" w:hAnsi="仿宋_GB2312" w:eastAsia="仿宋_GB2312" w:cs="仿宋_GB2312"/>
          <w:sz w:val="32"/>
          <w:szCs w:val="32"/>
          <w:lang w:val="en-US" w:eastAsia="zh-CN"/>
        </w:rPr>
        <w:t>支出0万元，外事接待0批次，0人，共计支出0万元。</w:t>
      </w:r>
    </w:p>
    <w:p>
      <w:pPr>
        <w:numPr>
          <w:ilvl w:val="0"/>
          <w:numId w:val="0"/>
        </w:numPr>
        <w:tabs>
          <w:tab w:val="left" w:pos="420"/>
        </w:tabs>
        <w:spacing w:line="576" w:lineRule="exact"/>
        <w:ind w:firstLine="632" w:firstLineChars="200"/>
        <w:jc w:val="both"/>
        <w:outlineLvl w:val="1"/>
        <w:rPr>
          <w:rFonts w:hint="eastAsia" w:ascii="黑体" w:hAnsi="黑体" w:eastAsia="黑体" w:cs="黑体"/>
          <w:color w:val="000000"/>
          <w:kern w:val="2"/>
          <w:sz w:val="32"/>
          <w:szCs w:val="24"/>
          <w:lang w:val="en-US"/>
        </w:rPr>
      </w:pPr>
      <w:bookmarkStart w:id="17" w:name="_Toc19366"/>
      <w:r>
        <w:rPr>
          <w:rFonts w:hint="eastAsia" w:ascii="黑体" w:hAnsi="黑体" w:eastAsia="黑体" w:cs="黑体"/>
          <w:color w:val="000000"/>
          <w:kern w:val="2"/>
          <w:sz w:val="32"/>
          <w:szCs w:val="24"/>
          <w:lang w:val="en-US" w:eastAsia="zh-CN"/>
        </w:rPr>
        <w:t>八、</w:t>
      </w:r>
      <w:r>
        <w:rPr>
          <w:rFonts w:hint="eastAsia" w:ascii="黑体" w:hAnsi="黑体" w:eastAsia="黑体" w:cs="黑体"/>
          <w:color w:val="000000"/>
          <w:kern w:val="2"/>
          <w:sz w:val="32"/>
          <w:szCs w:val="24"/>
          <w:lang w:val="en-US"/>
        </w:rPr>
        <w:t>政府性基金预算支出决算情况说明</w:t>
      </w:r>
      <w:bookmarkEnd w:id="17"/>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2023年度政府性基金预算拨款支出0万元。</w:t>
      </w:r>
    </w:p>
    <w:p>
      <w:pPr>
        <w:numPr>
          <w:ilvl w:val="0"/>
          <w:numId w:val="0"/>
        </w:numPr>
        <w:tabs>
          <w:tab w:val="left" w:pos="420"/>
        </w:tabs>
        <w:spacing w:line="576" w:lineRule="exact"/>
        <w:ind w:firstLine="632" w:firstLineChars="200"/>
        <w:jc w:val="both"/>
        <w:outlineLvl w:val="1"/>
        <w:rPr>
          <w:rFonts w:hint="eastAsia" w:ascii="黑体" w:hAnsi="黑体" w:eastAsia="黑体" w:cs="黑体"/>
          <w:color w:val="000000"/>
          <w:kern w:val="2"/>
          <w:sz w:val="32"/>
          <w:szCs w:val="24"/>
          <w:lang w:val="en-US"/>
        </w:rPr>
      </w:pPr>
      <w:bookmarkStart w:id="18" w:name="_Toc16499"/>
      <w:r>
        <w:rPr>
          <w:rFonts w:hint="eastAsia" w:ascii="黑体" w:hAnsi="黑体" w:eastAsia="黑体" w:cs="黑体"/>
          <w:color w:val="000000"/>
          <w:kern w:val="2"/>
          <w:sz w:val="32"/>
          <w:szCs w:val="24"/>
          <w:lang w:val="en-US" w:eastAsia="zh-CN"/>
        </w:rPr>
        <w:t>九、</w:t>
      </w:r>
      <w:r>
        <w:rPr>
          <w:rFonts w:hint="eastAsia" w:ascii="黑体" w:hAnsi="黑体" w:eastAsia="黑体" w:cs="黑体"/>
          <w:color w:val="000000"/>
          <w:kern w:val="2"/>
          <w:sz w:val="32"/>
          <w:szCs w:val="24"/>
          <w:lang w:val="en-US"/>
        </w:rPr>
        <w:t>国有资本经营预算支出决算情况说明</w:t>
      </w:r>
      <w:bookmarkEnd w:id="18"/>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2023年度国有资本经营预算拨款支出0万元。</w:t>
      </w:r>
    </w:p>
    <w:p>
      <w:pPr>
        <w:numPr>
          <w:ilvl w:val="0"/>
          <w:numId w:val="0"/>
        </w:numPr>
        <w:tabs>
          <w:tab w:val="left" w:pos="420"/>
        </w:tabs>
        <w:spacing w:line="576" w:lineRule="exact"/>
        <w:ind w:firstLine="632" w:firstLineChars="200"/>
        <w:jc w:val="both"/>
        <w:outlineLvl w:val="1"/>
        <w:rPr>
          <w:rFonts w:hint="eastAsia" w:ascii="黑体" w:hAnsi="黑体" w:eastAsia="黑体" w:cs="黑体"/>
          <w:color w:val="000000"/>
          <w:kern w:val="2"/>
          <w:sz w:val="32"/>
          <w:szCs w:val="24"/>
          <w:lang w:val="en-US"/>
        </w:rPr>
      </w:pPr>
      <w:bookmarkStart w:id="19" w:name="_Toc9519"/>
      <w:r>
        <w:rPr>
          <w:rFonts w:hint="eastAsia" w:ascii="黑体" w:hAnsi="黑体" w:eastAsia="黑体" w:cs="黑体"/>
          <w:color w:val="000000"/>
          <w:kern w:val="2"/>
          <w:sz w:val="32"/>
          <w:szCs w:val="24"/>
          <w:lang w:val="en-US" w:eastAsia="zh-CN"/>
        </w:rPr>
        <w:t>十、</w:t>
      </w:r>
      <w:r>
        <w:rPr>
          <w:rFonts w:hint="eastAsia" w:ascii="黑体" w:hAnsi="黑体" w:eastAsia="黑体" w:cs="黑体"/>
          <w:color w:val="000000"/>
          <w:kern w:val="2"/>
          <w:sz w:val="32"/>
          <w:szCs w:val="24"/>
          <w:lang w:val="en-US"/>
        </w:rPr>
        <w:t>其他重要事项的情况说明</w:t>
      </w:r>
      <w:bookmarkEnd w:id="19"/>
    </w:p>
    <w:p>
      <w:pPr>
        <w:spacing w:line="576" w:lineRule="exact"/>
        <w:ind w:firstLine="643"/>
        <w:jc w:val="both"/>
        <w:rPr>
          <w:rFonts w:hint="eastAsia" w:ascii="仿宋_GB2312" w:hAnsi="仿宋_GB2312" w:eastAsia="仿宋_GB2312" w:cs="仿宋_GB2312"/>
          <w:color w:val="000000"/>
          <w:kern w:val="2"/>
          <w:sz w:val="32"/>
          <w:szCs w:val="32"/>
          <w:lang w:val="en-US"/>
        </w:rPr>
      </w:pPr>
      <w:bookmarkStart w:id="20" w:name="_Toc15934"/>
      <w:r>
        <w:rPr>
          <w:rFonts w:hint="eastAsia" w:ascii="仿宋_GB2312" w:hAnsi="仿宋_GB2312" w:eastAsia="仿宋_GB2312" w:cs="仿宋_GB2312"/>
          <w:b/>
          <w:color w:val="000000"/>
          <w:kern w:val="2"/>
          <w:sz w:val="32"/>
          <w:szCs w:val="32"/>
          <w:lang w:val="en-US"/>
        </w:rPr>
        <w:t>（一）机关运行经费支出情况</w:t>
      </w:r>
      <w:bookmarkEnd w:id="20"/>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2023年，广元市朝天区发展和改革局机关运行经费支出83.82万元，比2022年度增加49.67万元，增长145%。较2022年决算数增长持平。主要原因是公用经费预算提高了标准。</w:t>
      </w:r>
    </w:p>
    <w:p>
      <w:pPr>
        <w:spacing w:line="576" w:lineRule="exact"/>
        <w:ind w:firstLine="643"/>
        <w:rPr>
          <w:rFonts w:hint="eastAsia" w:ascii="仿宋_GB2312" w:hAnsi="仿宋_GB2312" w:eastAsia="仿宋_GB2312" w:cs="仿宋_GB2312"/>
          <w:b/>
          <w:color w:val="000000"/>
          <w:kern w:val="2"/>
          <w:sz w:val="32"/>
          <w:szCs w:val="32"/>
          <w:lang w:val="en-US"/>
        </w:rPr>
      </w:pPr>
      <w:bookmarkStart w:id="21" w:name="_Toc31145"/>
      <w:r>
        <w:rPr>
          <w:rFonts w:hint="eastAsia" w:ascii="仿宋_GB2312" w:hAnsi="仿宋_GB2312" w:eastAsia="仿宋_GB2312" w:cs="仿宋_GB2312"/>
          <w:b/>
          <w:color w:val="000000"/>
          <w:kern w:val="2"/>
          <w:sz w:val="32"/>
          <w:szCs w:val="32"/>
          <w:lang w:val="en-US"/>
        </w:rPr>
        <w:t>（二）政府采购支出情况</w:t>
      </w:r>
      <w:bookmarkEnd w:id="21"/>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2023年，广元市朝天区发展和改革局未发生政府采购。</w:t>
      </w:r>
    </w:p>
    <w:p>
      <w:pPr>
        <w:spacing w:line="576" w:lineRule="exact"/>
        <w:ind w:firstLine="643"/>
        <w:rPr>
          <w:rFonts w:hint="eastAsia" w:ascii="仿宋_GB2312" w:hAnsi="仿宋_GB2312" w:eastAsia="仿宋_GB2312" w:cs="仿宋_GB2312"/>
          <w:b/>
          <w:color w:val="000000"/>
          <w:kern w:val="2"/>
          <w:sz w:val="32"/>
          <w:szCs w:val="32"/>
          <w:lang w:val="en-US"/>
        </w:rPr>
      </w:pPr>
      <w:bookmarkStart w:id="22" w:name="_Toc1985"/>
      <w:r>
        <w:rPr>
          <w:rFonts w:hint="eastAsia" w:ascii="仿宋_GB2312" w:hAnsi="仿宋_GB2312" w:eastAsia="仿宋_GB2312" w:cs="仿宋_GB2312"/>
          <w:b/>
          <w:color w:val="000000"/>
          <w:kern w:val="2"/>
          <w:sz w:val="32"/>
          <w:szCs w:val="32"/>
          <w:lang w:val="en-US"/>
        </w:rPr>
        <w:t>（三）国有资产占有使用情况</w:t>
      </w:r>
      <w:bookmarkEnd w:id="22"/>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截至2023年12月31日，本单位无公务用车辆，其他用车0辆。</w:t>
      </w:r>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单价100万元（含）以上设备0台（套）。</w:t>
      </w:r>
    </w:p>
    <w:p>
      <w:pPr>
        <w:spacing w:line="576" w:lineRule="exact"/>
        <w:ind w:firstLine="643"/>
        <w:rPr>
          <w:rFonts w:hint="eastAsia" w:ascii="仿宋_GB2312" w:hAnsi="仿宋_GB2312" w:eastAsia="仿宋_GB2312" w:cs="仿宋_GB2312"/>
          <w:b/>
          <w:color w:val="000000"/>
          <w:kern w:val="2"/>
          <w:sz w:val="32"/>
          <w:szCs w:val="32"/>
          <w:lang w:val="en-US"/>
        </w:rPr>
      </w:pPr>
      <w:bookmarkStart w:id="23" w:name="_Toc15136"/>
      <w:r>
        <w:rPr>
          <w:rFonts w:hint="eastAsia" w:ascii="仿宋_GB2312" w:hAnsi="仿宋_GB2312" w:eastAsia="仿宋_GB2312" w:cs="仿宋_GB2312"/>
          <w:b/>
          <w:color w:val="000000"/>
          <w:kern w:val="2"/>
          <w:sz w:val="32"/>
          <w:szCs w:val="32"/>
          <w:lang w:val="en-US"/>
        </w:rPr>
        <w:t>（四）预算绩效管理情况。</w:t>
      </w:r>
      <w:bookmarkEnd w:id="23"/>
    </w:p>
    <w:p>
      <w:pPr>
        <w:numPr>
          <w:ilvl w:val="0"/>
          <w:numId w:val="0"/>
        </w:numPr>
        <w:autoSpaceDE/>
        <w:autoSpaceDN/>
        <w:adjustRightInd/>
        <w:spacing w:line="576" w:lineRule="exact"/>
        <w:ind w:firstLine="63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根据预算绩效管理要求，本部门在2023年度预算编制阶段，组织对29个特定类项目编制了绩效目标，预算执行过程中，选取25个项目开展绩效监控。</w:t>
      </w:r>
    </w:p>
    <w:p>
      <w:pPr>
        <w:spacing w:line="576" w:lineRule="exact"/>
        <w:ind w:firstLine="608" w:firstLineChars="200"/>
        <w:rPr>
          <w:rFonts w:hint="eastAsia" w:ascii="仿宋_GB2312" w:hAnsi="仿宋_GB2312" w:eastAsia="仿宋_GB2312" w:cs="仿宋_GB2312"/>
          <w:color w:val="000000"/>
          <w:kern w:val="2"/>
          <w:sz w:val="32"/>
          <w:szCs w:val="32"/>
          <w:lang w:val="en-US"/>
        </w:rPr>
      </w:pPr>
      <w:r>
        <w:rPr>
          <w:rFonts w:hint="eastAsia" w:ascii="仿宋_GB2312" w:hAnsi="仿宋_GB2312" w:eastAsia="仿宋_GB2312" w:cs="仿宋_GB2312"/>
          <w:color w:val="auto"/>
          <w:spacing w:val="-6"/>
          <w:kern w:val="2"/>
          <w:sz w:val="32"/>
          <w:szCs w:val="32"/>
          <w:lang w:val="en-US"/>
        </w:rPr>
        <w:t>组织对2023年度一般公共预算</w:t>
      </w:r>
      <w:r>
        <w:rPr>
          <w:rFonts w:hint="eastAsia" w:ascii="仿宋_GB2312" w:hAnsi="仿宋_GB2312" w:eastAsia="仿宋_GB2312" w:cs="仿宋_GB2312"/>
          <w:color w:val="auto"/>
          <w:spacing w:val="-6"/>
          <w:kern w:val="2"/>
          <w:sz w:val="32"/>
          <w:szCs w:val="32"/>
          <w:lang w:val="en-US" w:eastAsia="zh-CN"/>
        </w:rPr>
        <w:t>人员经费及项目资金</w:t>
      </w:r>
      <w:r>
        <w:rPr>
          <w:rFonts w:hint="eastAsia" w:ascii="仿宋_GB2312" w:hAnsi="仿宋_GB2312" w:eastAsia="仿宋_GB2312" w:cs="仿宋_GB2312"/>
          <w:color w:val="auto"/>
          <w:spacing w:val="-6"/>
          <w:kern w:val="2"/>
          <w:sz w:val="32"/>
          <w:szCs w:val="32"/>
          <w:lang w:val="en-US"/>
        </w:rPr>
        <w:t>全面开展绩效自评，形成</w:t>
      </w:r>
      <w:r>
        <w:rPr>
          <w:rFonts w:hint="eastAsia" w:ascii="仿宋_GB2312" w:hAnsi="仿宋_GB2312" w:eastAsia="仿宋_GB2312" w:cs="仿宋_GB2312"/>
          <w:color w:val="auto"/>
          <w:spacing w:val="-6"/>
          <w:kern w:val="2"/>
          <w:sz w:val="32"/>
          <w:szCs w:val="32"/>
          <w:lang w:val="en-US" w:eastAsia="zh-CN"/>
        </w:rPr>
        <w:t>了《广元市朝天区发展和改革局部门</w:t>
      </w:r>
      <w:r>
        <w:rPr>
          <w:rFonts w:hint="eastAsia" w:ascii="仿宋_GB2312" w:hAnsi="仿宋_GB2312" w:eastAsia="仿宋_GB2312" w:cs="仿宋_GB2312"/>
          <w:color w:val="auto"/>
          <w:spacing w:val="-6"/>
          <w:kern w:val="2"/>
          <w:sz w:val="32"/>
          <w:szCs w:val="32"/>
          <w:lang w:val="en-US"/>
        </w:rPr>
        <w:t>整体绩效自评报告</w:t>
      </w:r>
      <w:r>
        <w:rPr>
          <w:rFonts w:hint="eastAsia" w:ascii="仿宋_GB2312" w:hAnsi="仿宋_GB2312" w:eastAsia="仿宋_GB2312" w:cs="仿宋_GB2312"/>
          <w:color w:val="auto"/>
          <w:spacing w:val="-6"/>
          <w:kern w:val="2"/>
          <w:sz w:val="32"/>
          <w:szCs w:val="32"/>
          <w:lang w:val="en-US" w:eastAsia="zh-CN"/>
        </w:rPr>
        <w:t>》</w:t>
      </w:r>
      <w:r>
        <w:rPr>
          <w:rFonts w:hint="eastAsia" w:ascii="仿宋_GB2312" w:hAnsi="仿宋_GB2312" w:eastAsia="仿宋_GB2312" w:cs="仿宋_GB2312"/>
          <w:color w:val="auto"/>
          <w:spacing w:val="-6"/>
          <w:kern w:val="2"/>
          <w:sz w:val="32"/>
          <w:szCs w:val="32"/>
          <w:lang w:val="en-US"/>
        </w:rPr>
        <w:t>（含部门预算项目）</w:t>
      </w:r>
      <w:r>
        <w:rPr>
          <w:rFonts w:hint="eastAsia" w:ascii="仿宋_GB2312" w:hAnsi="仿宋_GB2312" w:eastAsia="仿宋_GB2312" w:cs="仿宋_GB2312"/>
          <w:color w:val="auto"/>
          <w:spacing w:val="-6"/>
          <w:kern w:val="2"/>
          <w:sz w:val="32"/>
          <w:szCs w:val="32"/>
          <w:lang w:val="en-US" w:eastAsia="zh-CN"/>
        </w:rPr>
        <w:t>，</w:t>
      </w:r>
      <w:r>
        <w:rPr>
          <w:rFonts w:hint="eastAsia" w:ascii="仿宋_GB2312" w:hAnsi="仿宋_GB2312" w:eastAsia="仿宋_GB2312" w:cs="仿宋_GB2312"/>
          <w:color w:val="auto"/>
          <w:spacing w:val="-6"/>
          <w:kern w:val="2"/>
          <w:sz w:val="32"/>
          <w:szCs w:val="32"/>
          <w:lang w:val="en-US"/>
        </w:rPr>
        <w:t>绩效自评得分为</w:t>
      </w:r>
      <w:r>
        <w:rPr>
          <w:rFonts w:hint="eastAsia" w:ascii="仿宋_GB2312" w:hAnsi="仿宋_GB2312" w:eastAsia="仿宋_GB2312" w:cs="仿宋_GB2312"/>
          <w:color w:val="auto"/>
          <w:spacing w:val="-6"/>
          <w:kern w:val="2"/>
          <w:sz w:val="32"/>
          <w:szCs w:val="32"/>
          <w:lang w:val="en-US" w:eastAsia="zh-CN"/>
        </w:rPr>
        <w:t>98</w:t>
      </w:r>
      <w:r>
        <w:rPr>
          <w:rFonts w:hint="eastAsia" w:ascii="仿宋_GB2312" w:hAnsi="仿宋_GB2312" w:eastAsia="仿宋_GB2312" w:cs="仿宋_GB2312"/>
          <w:color w:val="auto"/>
          <w:spacing w:val="-6"/>
          <w:kern w:val="2"/>
          <w:sz w:val="32"/>
          <w:szCs w:val="32"/>
          <w:lang w:val="en-US"/>
        </w:rPr>
        <w:t>分</w:t>
      </w:r>
      <w:r>
        <w:rPr>
          <w:rFonts w:hint="eastAsia" w:ascii="仿宋_GB2312" w:hAnsi="仿宋_GB2312" w:eastAsia="仿宋_GB2312" w:cs="仿宋_GB2312"/>
          <w:color w:val="auto"/>
          <w:spacing w:val="-6"/>
          <w:kern w:val="2"/>
          <w:sz w:val="32"/>
          <w:szCs w:val="32"/>
          <w:lang w:val="en-US" w:eastAsia="zh-CN"/>
        </w:rPr>
        <w:t>。并对存在的问题及时反馈整改，对评价结果进行充分运用。2023年《广元市朝天区发展和改革局部门</w:t>
      </w:r>
      <w:r>
        <w:rPr>
          <w:rFonts w:hint="eastAsia" w:ascii="仿宋_GB2312" w:hAnsi="仿宋_GB2312" w:eastAsia="仿宋_GB2312" w:cs="仿宋_GB2312"/>
          <w:color w:val="auto"/>
          <w:spacing w:val="-6"/>
          <w:kern w:val="2"/>
          <w:sz w:val="32"/>
          <w:szCs w:val="32"/>
          <w:lang w:val="en-US"/>
        </w:rPr>
        <w:t>整体绩效自评报告</w:t>
      </w:r>
      <w:r>
        <w:rPr>
          <w:rFonts w:hint="eastAsia" w:ascii="仿宋_GB2312" w:hAnsi="仿宋_GB2312" w:eastAsia="仿宋_GB2312" w:cs="仿宋_GB2312"/>
          <w:color w:val="auto"/>
          <w:spacing w:val="-6"/>
          <w:kern w:val="2"/>
          <w:sz w:val="32"/>
          <w:szCs w:val="32"/>
          <w:lang w:val="en-US" w:eastAsia="zh-CN"/>
        </w:rPr>
        <w:t>》</w:t>
      </w:r>
      <w:r>
        <w:rPr>
          <w:rFonts w:hint="eastAsia" w:ascii="仿宋_GB2312" w:hAnsi="仿宋_GB2312" w:eastAsia="仿宋_GB2312" w:cs="仿宋_GB2312"/>
          <w:color w:val="auto"/>
          <w:spacing w:val="-6"/>
          <w:kern w:val="2"/>
          <w:sz w:val="32"/>
          <w:szCs w:val="32"/>
          <w:lang w:val="en-US"/>
        </w:rPr>
        <w:t>详见附件（第四部分）。</w:t>
      </w:r>
    </w:p>
    <w:p>
      <w:pPr>
        <w:topLinePunct/>
        <w:autoSpaceDE/>
        <w:autoSpaceDN/>
        <w:spacing w:before="292" w:beforeLines="50" w:after="292" w:afterLines="50" w:line="576" w:lineRule="exact"/>
        <w:jc w:val="center"/>
        <w:outlineLvl w:val="0"/>
        <w:rPr>
          <w:rFonts w:hint="eastAsia" w:ascii="黑体" w:hAnsi="黑体" w:eastAsia="黑体"/>
          <w:color w:val="auto"/>
          <w:kern w:val="44"/>
          <w:sz w:val="44"/>
          <w:szCs w:val="24"/>
          <w:lang w:val="en-US"/>
        </w:rPr>
      </w:pPr>
      <w:bookmarkStart w:id="24" w:name="_Toc4357"/>
      <w:r>
        <w:rPr>
          <w:rFonts w:hint="eastAsia" w:ascii="黑体" w:hAnsi="黑体" w:eastAsia="黑体"/>
          <w:color w:val="000000"/>
          <w:kern w:val="2"/>
          <w:sz w:val="44"/>
          <w:szCs w:val="24"/>
          <w:lang w:val="en-US"/>
        </w:rPr>
        <w:t>第三部分 名</w:t>
      </w:r>
      <w:r>
        <w:rPr>
          <w:rFonts w:hint="eastAsia" w:ascii="黑体" w:hAnsi="黑体" w:eastAsia="黑体"/>
          <w:color w:val="auto"/>
          <w:kern w:val="44"/>
          <w:sz w:val="44"/>
          <w:szCs w:val="24"/>
          <w:lang w:val="en-US"/>
        </w:rPr>
        <w:t>词解释</w:t>
      </w:r>
      <w:bookmarkEnd w:id="24"/>
    </w:p>
    <w:p>
      <w:pPr>
        <w:spacing w:line="576" w:lineRule="exact"/>
        <w:ind w:firstLine="640"/>
        <w:rPr>
          <w:rFonts w:hint="eastAsia" w:ascii="仿宋_GB2312" w:hAnsi="仿宋_GB2312" w:eastAsia="仿宋_GB2312" w:cs="仿宋_GB2312"/>
          <w:color w:val="000000"/>
          <w:sz w:val="32"/>
          <w:szCs w:val="24"/>
          <w:lang w:val="en-US"/>
        </w:rPr>
      </w:pPr>
      <w:bookmarkStart w:id="25" w:name="_Toc3253"/>
      <w:r>
        <w:rPr>
          <w:rFonts w:hint="eastAsia" w:ascii="仿宋_GB2312" w:hAnsi="仿宋_GB2312" w:eastAsia="仿宋_GB2312" w:cs="仿宋_GB2312"/>
          <w:b/>
          <w:color w:val="000000"/>
          <w:sz w:val="32"/>
          <w:szCs w:val="24"/>
          <w:lang w:val="en-US"/>
        </w:rPr>
        <w:t>一、财政拨款收入</w:t>
      </w:r>
      <w:r>
        <w:rPr>
          <w:rFonts w:hint="eastAsia" w:ascii="仿宋_GB2312" w:hAnsi="仿宋_GB2312" w:eastAsia="仿宋_GB2312" w:cs="仿宋_GB2312"/>
          <w:color w:val="000000"/>
          <w:sz w:val="32"/>
          <w:szCs w:val="24"/>
          <w:lang w:val="en-US"/>
        </w:rPr>
        <w:t>：指单位从同级财政部门取得的财政预算资金。</w:t>
      </w:r>
      <w:bookmarkEnd w:id="25"/>
    </w:p>
    <w:p>
      <w:pPr>
        <w:spacing w:line="576" w:lineRule="exact"/>
        <w:ind w:firstLine="640"/>
        <w:rPr>
          <w:rFonts w:hint="eastAsia" w:ascii="仿宋_GB2312" w:hAnsi="仿宋_GB2312" w:eastAsia="仿宋_GB2312" w:cs="仿宋_GB2312"/>
          <w:color w:val="000000"/>
          <w:sz w:val="32"/>
          <w:szCs w:val="24"/>
          <w:lang w:val="en-US"/>
        </w:rPr>
      </w:pPr>
      <w:r>
        <w:rPr>
          <w:rFonts w:hint="eastAsia" w:ascii="仿宋_GB2312" w:hAnsi="仿宋_GB2312" w:eastAsia="仿宋_GB2312" w:cs="仿宋_GB2312"/>
          <w:b/>
          <w:color w:val="000000"/>
          <w:sz w:val="32"/>
          <w:szCs w:val="24"/>
          <w:lang w:val="en-US"/>
        </w:rPr>
        <w:t>二、事业收入</w:t>
      </w:r>
      <w:r>
        <w:rPr>
          <w:rFonts w:hint="eastAsia" w:ascii="仿宋_GB2312" w:hAnsi="仿宋_GB2312" w:eastAsia="仿宋_GB2312" w:cs="仿宋_GB2312"/>
          <w:color w:val="000000"/>
          <w:sz w:val="32"/>
          <w:szCs w:val="24"/>
          <w:lang w:val="en-US"/>
        </w:rPr>
        <w:t>：指事业单位开展专业业务活动及辅助活动取得的收入。</w:t>
      </w:r>
    </w:p>
    <w:p>
      <w:pPr>
        <w:spacing w:line="576" w:lineRule="exact"/>
        <w:ind w:firstLine="640"/>
        <w:rPr>
          <w:rFonts w:hint="eastAsia" w:ascii="仿宋_GB2312" w:hAnsi="仿宋_GB2312" w:eastAsia="仿宋_GB2312" w:cs="仿宋_GB2312"/>
          <w:color w:val="000000"/>
          <w:sz w:val="32"/>
          <w:szCs w:val="24"/>
          <w:lang w:val="en-US"/>
        </w:rPr>
      </w:pPr>
      <w:r>
        <w:rPr>
          <w:rFonts w:hint="eastAsia" w:ascii="仿宋_GB2312" w:hAnsi="仿宋_GB2312" w:eastAsia="仿宋_GB2312" w:cs="仿宋_GB2312"/>
          <w:b/>
          <w:color w:val="000000"/>
          <w:sz w:val="32"/>
          <w:szCs w:val="24"/>
          <w:lang w:val="en-US"/>
        </w:rPr>
        <w:t>三、经营收入</w:t>
      </w:r>
      <w:r>
        <w:rPr>
          <w:rFonts w:hint="eastAsia" w:ascii="仿宋_GB2312" w:hAnsi="仿宋_GB2312" w:eastAsia="仿宋_GB2312" w:cs="仿宋_GB2312"/>
          <w:color w:val="000000"/>
          <w:sz w:val="32"/>
          <w:szCs w:val="24"/>
          <w:lang w:val="en-US"/>
        </w:rPr>
        <w:t>：指事业单位在专业业务活动及其辅助活动之外开展非独立核算经营活动取得的收入。</w:t>
      </w:r>
    </w:p>
    <w:p>
      <w:pPr>
        <w:spacing w:line="576" w:lineRule="exact"/>
        <w:ind w:firstLine="640"/>
        <w:rPr>
          <w:rFonts w:hint="eastAsia" w:ascii="仿宋_GB2312" w:hAnsi="仿宋_GB2312" w:eastAsia="仿宋_GB2312" w:cs="仿宋_GB2312"/>
          <w:color w:val="000000"/>
          <w:sz w:val="32"/>
          <w:szCs w:val="24"/>
          <w:lang w:val="en-US"/>
        </w:rPr>
      </w:pPr>
      <w:bookmarkStart w:id="26" w:name="_Toc5145"/>
      <w:r>
        <w:rPr>
          <w:rFonts w:hint="eastAsia" w:ascii="仿宋_GB2312" w:hAnsi="仿宋_GB2312" w:eastAsia="仿宋_GB2312" w:cs="仿宋_GB2312"/>
          <w:b/>
          <w:color w:val="000000"/>
          <w:sz w:val="32"/>
          <w:szCs w:val="24"/>
          <w:lang w:val="en-US"/>
        </w:rPr>
        <w:t>四、其他收入</w:t>
      </w:r>
      <w:r>
        <w:rPr>
          <w:rFonts w:hint="eastAsia" w:ascii="仿宋_GB2312" w:hAnsi="仿宋_GB2312" w:eastAsia="仿宋_GB2312" w:cs="仿宋_GB2312"/>
          <w:color w:val="000000"/>
          <w:sz w:val="32"/>
          <w:szCs w:val="24"/>
          <w:lang w:val="en-US"/>
        </w:rPr>
        <w:t>：指单位取得的除上述收入以外的各项收入。</w:t>
      </w:r>
      <w:bookmarkEnd w:id="26"/>
    </w:p>
    <w:p>
      <w:pPr>
        <w:keepNext/>
        <w:keepLines/>
        <w:suppressLineNumbers/>
        <w:spacing w:line="576" w:lineRule="exact"/>
        <w:ind w:firstLine="640"/>
        <w:jc w:val="both"/>
        <w:rPr>
          <w:rFonts w:hint="eastAsia" w:ascii="仿宋_GB2312" w:hAnsi="仿宋_GB2312" w:eastAsia="仿宋_GB2312" w:cs="仿宋_GB2312"/>
          <w:color w:val="auto"/>
          <w:kern w:val="2"/>
          <w:sz w:val="32"/>
          <w:szCs w:val="24"/>
          <w:lang w:val="en-US"/>
        </w:rPr>
      </w:pPr>
      <w:r>
        <w:rPr>
          <w:rFonts w:hint="eastAsia" w:ascii="仿宋_GB2312" w:hAnsi="仿宋_GB2312" w:eastAsia="仿宋_GB2312" w:cs="仿宋_GB2312"/>
          <w:b/>
          <w:color w:val="auto"/>
          <w:kern w:val="2"/>
          <w:sz w:val="32"/>
          <w:szCs w:val="24"/>
          <w:lang w:val="en-US"/>
        </w:rPr>
        <w:t>五、使用非财政拨款结余</w:t>
      </w:r>
      <w:r>
        <w:rPr>
          <w:rFonts w:hint="eastAsia" w:ascii="仿宋_GB2312" w:hAnsi="仿宋_GB2312" w:eastAsia="仿宋_GB2312" w:cs="仿宋_GB2312"/>
          <w:color w:val="auto"/>
          <w:kern w:val="2"/>
          <w:sz w:val="32"/>
          <w:szCs w:val="24"/>
          <w:lang w:val="en-US"/>
        </w:rPr>
        <w:t>（含专用结余）：指事业单位使用以前年度积累的非财政拨款结余弥补当年收支差额的金额。</w:t>
      </w:r>
    </w:p>
    <w:p>
      <w:pPr>
        <w:spacing w:line="576" w:lineRule="exact"/>
        <w:ind w:firstLine="640"/>
        <w:rPr>
          <w:rFonts w:hint="eastAsia" w:ascii="仿宋_GB2312" w:hAnsi="仿宋_GB2312" w:eastAsia="仿宋_GB2312" w:cs="仿宋_GB2312"/>
          <w:color w:val="000000"/>
          <w:sz w:val="32"/>
          <w:szCs w:val="24"/>
          <w:lang w:val="en-US"/>
        </w:rPr>
      </w:pPr>
      <w:r>
        <w:rPr>
          <w:rFonts w:hint="eastAsia" w:ascii="仿宋_GB2312" w:hAnsi="仿宋_GB2312" w:eastAsia="仿宋_GB2312" w:cs="仿宋_GB2312"/>
          <w:b/>
          <w:color w:val="000000"/>
          <w:sz w:val="32"/>
          <w:szCs w:val="24"/>
          <w:lang w:val="en-US"/>
        </w:rPr>
        <w:t>六、年初结转和结余</w:t>
      </w:r>
      <w:r>
        <w:rPr>
          <w:rFonts w:hint="eastAsia" w:ascii="仿宋_GB2312" w:hAnsi="仿宋_GB2312" w:eastAsia="仿宋_GB2312" w:cs="仿宋_GB2312"/>
          <w:color w:val="000000"/>
          <w:sz w:val="32"/>
          <w:szCs w:val="24"/>
          <w:lang w:val="en-US"/>
        </w:rPr>
        <w:t xml:space="preserve">：指以前年度尚未完成、结转到本年按有关规定继续使用的资金。 </w:t>
      </w:r>
    </w:p>
    <w:p>
      <w:pPr>
        <w:spacing w:line="576" w:lineRule="exact"/>
        <w:ind w:firstLine="640"/>
        <w:rPr>
          <w:rFonts w:hint="eastAsia" w:ascii="仿宋_GB2312" w:hAnsi="仿宋_GB2312" w:eastAsia="仿宋_GB2312" w:cs="仿宋_GB2312"/>
          <w:color w:val="000000"/>
          <w:sz w:val="32"/>
          <w:szCs w:val="24"/>
          <w:lang w:val="en-US"/>
        </w:rPr>
      </w:pPr>
      <w:r>
        <w:rPr>
          <w:rFonts w:hint="eastAsia" w:ascii="仿宋_GB2312" w:hAnsi="仿宋_GB2312" w:eastAsia="仿宋_GB2312" w:cs="仿宋_GB2312"/>
          <w:b/>
          <w:color w:val="000000"/>
          <w:sz w:val="32"/>
          <w:szCs w:val="24"/>
          <w:lang w:val="en-US"/>
        </w:rPr>
        <w:t>七、结余分配</w:t>
      </w:r>
      <w:r>
        <w:rPr>
          <w:rFonts w:hint="eastAsia" w:ascii="仿宋_GB2312" w:hAnsi="仿宋_GB2312" w:eastAsia="仿宋_GB2312" w:cs="仿宋_GB2312"/>
          <w:color w:val="000000"/>
          <w:sz w:val="32"/>
          <w:szCs w:val="24"/>
          <w:lang w:val="en-US"/>
        </w:rPr>
        <w:t>：指事业单位按照会计制度规定缴纳的所得税、提取的专用结余以及转入非财政拨款结余的金额等。</w:t>
      </w:r>
    </w:p>
    <w:p>
      <w:pPr>
        <w:spacing w:line="576" w:lineRule="exact"/>
        <w:ind w:firstLine="640"/>
        <w:rPr>
          <w:rFonts w:hint="eastAsia" w:ascii="仿宋_GB2312" w:hAnsi="仿宋_GB2312" w:eastAsia="仿宋_GB2312" w:cs="仿宋_GB2312"/>
          <w:color w:val="000000"/>
          <w:sz w:val="32"/>
          <w:szCs w:val="24"/>
          <w:lang w:val="en-US"/>
        </w:rPr>
      </w:pPr>
      <w:r>
        <w:rPr>
          <w:rFonts w:hint="eastAsia" w:ascii="仿宋_GB2312" w:hAnsi="仿宋_GB2312" w:eastAsia="仿宋_GB2312" w:cs="仿宋_GB2312"/>
          <w:b/>
          <w:color w:val="000000"/>
          <w:sz w:val="32"/>
          <w:szCs w:val="24"/>
          <w:lang w:val="en-US"/>
        </w:rPr>
        <w:t>八、年末结转和结余</w:t>
      </w:r>
      <w:r>
        <w:rPr>
          <w:rFonts w:hint="eastAsia" w:ascii="仿宋_GB2312" w:hAnsi="仿宋_GB2312" w:eastAsia="仿宋_GB2312" w:cs="仿宋_GB2312"/>
          <w:color w:val="000000"/>
          <w:sz w:val="32"/>
          <w:szCs w:val="24"/>
          <w:lang w:val="en-US"/>
        </w:rPr>
        <w:t>：指单位按有关规定结转到下年或以后年度继续使用的资金。</w:t>
      </w:r>
    </w:p>
    <w:p>
      <w:pPr>
        <w:autoSpaceDE/>
        <w:autoSpaceDN/>
        <w:adjustRightInd/>
        <w:spacing w:line="576" w:lineRule="exact"/>
        <w:ind w:firstLine="632" w:firstLineChars="20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rPr>
        <w:t>九、一般公共服务支出（类）</w:t>
      </w:r>
      <w:r>
        <w:rPr>
          <w:rFonts w:hint="eastAsia" w:ascii="仿宋_GB2312" w:hAnsi="仿宋_GB2312" w:eastAsia="仿宋_GB2312" w:cs="仿宋_GB2312"/>
          <w:b w:val="0"/>
          <w:bCs/>
          <w:color w:val="000000"/>
          <w:kern w:val="2"/>
          <w:sz w:val="32"/>
          <w:szCs w:val="24"/>
          <w:lang w:val="en-US" w:eastAsia="zh-CN"/>
        </w:rPr>
        <w:t>发展与改革事务</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行政运行</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color w:val="000000"/>
          <w:kern w:val="2"/>
          <w:sz w:val="32"/>
          <w:szCs w:val="24"/>
          <w:lang w:val="en-US"/>
        </w:rPr>
        <w:t>：指</w:t>
      </w:r>
      <w:r>
        <w:rPr>
          <w:rFonts w:hint="eastAsia" w:ascii="仿宋_GB2312" w:hAnsi="仿宋_GB2312" w:eastAsia="仿宋_GB2312" w:cs="仿宋_GB2312"/>
          <w:color w:val="000000"/>
          <w:kern w:val="2"/>
          <w:sz w:val="32"/>
          <w:szCs w:val="32"/>
          <w:lang w:val="en-US" w:eastAsia="zh-CN" w:bidi="ar"/>
        </w:rPr>
        <w:t>发展与改革事务行政运行，</w:t>
      </w:r>
      <w:r>
        <w:rPr>
          <w:rFonts w:hint="eastAsia" w:ascii="仿宋_GB2312" w:hAnsi="仿宋_GB2312" w:eastAsia="仿宋_GB2312" w:cs="仿宋_GB2312"/>
          <w:sz w:val="32"/>
          <w:szCs w:val="32"/>
        </w:rPr>
        <w:t>反映行政单位（包括实行公务员管理的事业单位）的基本支出。</w:t>
      </w:r>
      <w:r>
        <w:rPr>
          <w:rFonts w:hint="eastAsia" w:ascii="仿宋_GB2312" w:hAnsi="仿宋_GB2312" w:eastAsia="仿宋_GB2312" w:cs="仿宋_GB2312"/>
          <w:color w:val="000000"/>
          <w:kern w:val="2"/>
          <w:sz w:val="32"/>
          <w:szCs w:val="24"/>
          <w:lang w:val="en-US"/>
        </w:rPr>
        <w:t>。</w:t>
      </w:r>
    </w:p>
    <w:p>
      <w:pPr>
        <w:autoSpaceDE/>
        <w:autoSpaceDN/>
        <w:adjustRightInd/>
        <w:spacing w:line="576" w:lineRule="exact"/>
        <w:ind w:firstLine="632" w:firstLineChars="20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eastAsia="zh-CN"/>
        </w:rPr>
        <w:t>十</w:t>
      </w:r>
      <w:r>
        <w:rPr>
          <w:rFonts w:hint="eastAsia" w:ascii="仿宋_GB2312" w:hAnsi="仿宋_GB2312" w:eastAsia="仿宋_GB2312" w:cs="仿宋_GB2312"/>
          <w:b/>
          <w:color w:val="000000"/>
          <w:kern w:val="2"/>
          <w:sz w:val="32"/>
          <w:szCs w:val="24"/>
          <w:lang w:val="en-US"/>
        </w:rPr>
        <w:t>、一般公共服务支出（类）</w:t>
      </w:r>
      <w:r>
        <w:rPr>
          <w:rFonts w:hint="eastAsia" w:ascii="仿宋_GB2312" w:hAnsi="仿宋_GB2312" w:eastAsia="仿宋_GB2312" w:cs="仿宋_GB2312"/>
          <w:b w:val="0"/>
          <w:bCs/>
          <w:color w:val="000000"/>
          <w:kern w:val="2"/>
          <w:sz w:val="32"/>
          <w:szCs w:val="24"/>
          <w:lang w:val="en-US" w:eastAsia="zh-CN"/>
        </w:rPr>
        <w:t>发展与改革事务</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物价管理</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color w:val="000000"/>
          <w:kern w:val="2"/>
          <w:sz w:val="32"/>
          <w:szCs w:val="24"/>
          <w:lang w:val="en-US"/>
        </w:rPr>
        <w:t>：</w:t>
      </w:r>
      <w:r>
        <w:rPr>
          <w:rFonts w:hint="eastAsia" w:ascii="仿宋_GB2312" w:hAnsi="仿宋_GB2312" w:eastAsia="仿宋_GB2312" w:cs="仿宋_GB2312"/>
          <w:color w:val="000000"/>
          <w:spacing w:val="-11"/>
          <w:kern w:val="2"/>
          <w:sz w:val="32"/>
          <w:szCs w:val="32"/>
          <w:lang w:val="en-US" w:eastAsia="zh-CN" w:bidi="ar"/>
        </w:rPr>
        <w:t>其他发展改革事务支出，指其他发展与改革事务支出中的物价管理工作事务支出</w:t>
      </w:r>
      <w:r>
        <w:rPr>
          <w:rFonts w:hint="eastAsia" w:ascii="仿宋_GB2312" w:hAnsi="仿宋_GB2312" w:eastAsia="仿宋_GB2312" w:cs="仿宋_GB2312"/>
          <w:spacing w:val="-11"/>
          <w:sz w:val="32"/>
          <w:szCs w:val="32"/>
        </w:rPr>
        <w:t>。</w:t>
      </w:r>
    </w:p>
    <w:p>
      <w:pPr>
        <w:autoSpaceDE/>
        <w:autoSpaceDN/>
        <w:adjustRightInd/>
        <w:spacing w:line="576" w:lineRule="exact"/>
        <w:ind w:firstLine="632" w:firstLineChars="200"/>
        <w:jc w:val="both"/>
        <w:rPr>
          <w:rFonts w:hint="eastAsia" w:ascii="仿宋_GB2312" w:hAnsi="仿宋_GB2312" w:eastAsia="仿宋_GB2312" w:cs="仿宋_GB2312"/>
          <w:color w:val="000000"/>
          <w:spacing w:val="-11"/>
          <w:kern w:val="2"/>
          <w:sz w:val="32"/>
          <w:szCs w:val="32"/>
          <w:lang w:val="en-US" w:eastAsia="zh-CN" w:bidi="ar"/>
        </w:rPr>
      </w:pPr>
      <w:r>
        <w:rPr>
          <w:rFonts w:hint="eastAsia" w:ascii="仿宋_GB2312" w:hAnsi="仿宋_GB2312" w:eastAsia="仿宋_GB2312" w:cs="仿宋_GB2312"/>
          <w:b/>
          <w:color w:val="000000"/>
          <w:kern w:val="2"/>
          <w:sz w:val="32"/>
          <w:szCs w:val="24"/>
          <w:lang w:val="en-US" w:eastAsia="zh-CN"/>
        </w:rPr>
        <w:t>十一</w:t>
      </w:r>
      <w:r>
        <w:rPr>
          <w:rFonts w:hint="eastAsia" w:ascii="仿宋_GB2312" w:hAnsi="仿宋_GB2312" w:eastAsia="仿宋_GB2312" w:cs="仿宋_GB2312"/>
          <w:b/>
          <w:color w:val="000000"/>
          <w:kern w:val="2"/>
          <w:sz w:val="32"/>
          <w:szCs w:val="24"/>
          <w:lang w:val="en-US"/>
        </w:rPr>
        <w:t>、一般公共服务支出（类）</w:t>
      </w:r>
      <w:r>
        <w:rPr>
          <w:rFonts w:hint="eastAsia" w:ascii="仿宋_GB2312" w:hAnsi="仿宋_GB2312" w:eastAsia="仿宋_GB2312" w:cs="仿宋_GB2312"/>
          <w:b w:val="0"/>
          <w:bCs/>
          <w:color w:val="000000"/>
          <w:kern w:val="2"/>
          <w:sz w:val="32"/>
          <w:szCs w:val="24"/>
          <w:lang w:val="en-US" w:eastAsia="zh-CN"/>
        </w:rPr>
        <w:t>发展与改革事务</w:t>
      </w:r>
      <w:r>
        <w:rPr>
          <w:rFonts w:hint="eastAsia" w:ascii="仿宋_GB2312" w:hAnsi="仿宋_GB2312" w:eastAsia="仿宋_GB2312" w:cs="仿宋_GB2312"/>
          <w:b/>
          <w:bCs w:val="0"/>
          <w:color w:val="000000"/>
          <w:kern w:val="2"/>
          <w:sz w:val="32"/>
          <w:szCs w:val="24"/>
          <w:lang w:val="en-US" w:eastAsia="zh-CN"/>
        </w:rPr>
        <w:t>（</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事业运行</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b/>
          <w:color w:val="000000"/>
          <w:kern w:val="2"/>
          <w:sz w:val="32"/>
          <w:szCs w:val="24"/>
          <w:lang w:val="en-US" w:eastAsia="zh-CN"/>
        </w:rPr>
        <w:t>：</w:t>
      </w:r>
      <w:r>
        <w:rPr>
          <w:rFonts w:hint="eastAsia" w:ascii="仿宋_GB2312" w:hAnsi="仿宋_GB2312" w:eastAsia="仿宋_GB2312" w:cs="仿宋_GB2312"/>
          <w:color w:val="000000"/>
          <w:spacing w:val="-11"/>
          <w:kern w:val="2"/>
          <w:sz w:val="32"/>
          <w:szCs w:val="32"/>
          <w:lang w:val="en-US" w:eastAsia="zh-CN" w:bidi="ar"/>
        </w:rPr>
        <w:t>指其他发展与改革事务中的事业运行，反映事业单位的基本支出。</w:t>
      </w:r>
    </w:p>
    <w:p>
      <w:pPr>
        <w:autoSpaceDE/>
        <w:autoSpaceDN/>
        <w:adjustRightInd/>
        <w:spacing w:line="576" w:lineRule="exact"/>
        <w:ind w:firstLine="632" w:firstLineChars="200"/>
        <w:jc w:val="both"/>
        <w:rPr>
          <w:rFonts w:hint="eastAsia" w:ascii="仿宋_GB2312" w:hAnsi="仿宋_GB2312" w:eastAsia="仿宋_GB2312" w:cs="仿宋_GB2312"/>
          <w:color w:val="000000"/>
          <w:kern w:val="2"/>
          <w:sz w:val="32"/>
          <w:szCs w:val="24"/>
          <w:lang w:val="en-US" w:eastAsia="zh-CN"/>
        </w:rPr>
      </w:pPr>
      <w:r>
        <w:rPr>
          <w:rFonts w:hint="eastAsia" w:ascii="仿宋_GB2312" w:hAnsi="仿宋_GB2312" w:eastAsia="仿宋_GB2312" w:cs="仿宋_GB2312"/>
          <w:b/>
          <w:color w:val="000000"/>
          <w:kern w:val="2"/>
          <w:sz w:val="32"/>
          <w:szCs w:val="24"/>
          <w:lang w:val="en-US" w:eastAsia="zh-CN"/>
        </w:rPr>
        <w:t>十二</w:t>
      </w:r>
      <w:r>
        <w:rPr>
          <w:rFonts w:hint="eastAsia" w:ascii="仿宋_GB2312" w:hAnsi="仿宋_GB2312" w:eastAsia="仿宋_GB2312" w:cs="仿宋_GB2312"/>
          <w:b/>
          <w:color w:val="000000"/>
          <w:kern w:val="2"/>
          <w:sz w:val="32"/>
          <w:szCs w:val="24"/>
          <w:lang w:val="en-US"/>
        </w:rPr>
        <w:t>、一般公共服务支出（类）</w:t>
      </w:r>
      <w:r>
        <w:rPr>
          <w:rFonts w:hint="eastAsia" w:ascii="仿宋_GB2312" w:hAnsi="仿宋_GB2312" w:eastAsia="仿宋_GB2312" w:cs="仿宋_GB2312"/>
          <w:b w:val="0"/>
          <w:bCs/>
          <w:color w:val="000000"/>
          <w:kern w:val="2"/>
          <w:sz w:val="32"/>
          <w:szCs w:val="24"/>
          <w:lang w:val="en-US" w:eastAsia="zh-CN"/>
        </w:rPr>
        <w:t>发展与改革事务</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其他发展改革事务支出</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b/>
          <w:color w:val="000000"/>
          <w:kern w:val="2"/>
          <w:sz w:val="32"/>
          <w:szCs w:val="24"/>
          <w:lang w:val="en-US" w:eastAsia="zh-CN"/>
        </w:rPr>
        <w:t>：</w:t>
      </w:r>
      <w:r>
        <w:rPr>
          <w:rFonts w:hint="eastAsia" w:ascii="仿宋_GB2312" w:hAnsi="仿宋_GB2312" w:eastAsia="仿宋_GB2312" w:cs="仿宋_GB2312"/>
          <w:color w:val="000000"/>
          <w:kern w:val="2"/>
          <w:sz w:val="32"/>
          <w:szCs w:val="24"/>
          <w:lang w:val="en-US" w:eastAsia="zh-CN"/>
        </w:rPr>
        <w:t>指其他发展与改革事务支出的项目支出。</w:t>
      </w:r>
    </w:p>
    <w:p>
      <w:pPr>
        <w:spacing w:line="576" w:lineRule="exact"/>
        <w:ind w:firstLine="64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rPr>
        <w:t>十五、社会保障和就业支出（类）</w:t>
      </w:r>
      <w:r>
        <w:rPr>
          <w:rFonts w:hint="eastAsia" w:ascii="仿宋_GB2312" w:hAnsi="仿宋_GB2312" w:eastAsia="仿宋_GB2312" w:cs="仿宋_GB2312"/>
          <w:b w:val="0"/>
          <w:bCs/>
          <w:color w:val="000000"/>
          <w:kern w:val="2"/>
          <w:sz w:val="32"/>
          <w:szCs w:val="24"/>
          <w:lang w:val="en-US" w:eastAsia="zh-CN"/>
        </w:rPr>
        <w:t>人力资源和社会保障管理事务</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引进人才</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color w:val="000000"/>
          <w:kern w:val="2"/>
          <w:sz w:val="32"/>
          <w:szCs w:val="24"/>
          <w:lang w:val="en-US"/>
        </w:rPr>
        <w:t>：指</w:t>
      </w:r>
      <w:r>
        <w:rPr>
          <w:rFonts w:hint="eastAsia" w:ascii="仿宋_GB2312" w:hAnsi="仿宋_GB2312" w:eastAsia="仿宋_GB2312" w:cs="仿宋_GB2312"/>
          <w:color w:val="000000"/>
          <w:kern w:val="2"/>
          <w:sz w:val="32"/>
          <w:szCs w:val="24"/>
          <w:lang w:val="en-US" w:eastAsia="zh-CN"/>
        </w:rPr>
        <w:t>社会保障和就业支出，人力资源和社会保障管理事务，引进人才费用</w:t>
      </w:r>
      <w:r>
        <w:rPr>
          <w:rFonts w:hint="eastAsia" w:ascii="仿宋_GB2312" w:hAnsi="仿宋_GB2312" w:eastAsia="仿宋_GB2312" w:cs="仿宋_GB2312"/>
          <w:color w:val="000000"/>
          <w:kern w:val="2"/>
          <w:sz w:val="32"/>
          <w:szCs w:val="24"/>
          <w:lang w:val="en-US"/>
        </w:rPr>
        <w:t>。</w:t>
      </w:r>
    </w:p>
    <w:p>
      <w:pPr>
        <w:autoSpaceDE/>
        <w:autoSpaceDN/>
        <w:adjustRightInd/>
        <w:spacing w:line="576" w:lineRule="exact"/>
        <w:ind w:firstLine="632" w:firstLineChars="200"/>
        <w:jc w:val="both"/>
        <w:rPr>
          <w:rFonts w:hint="eastAsia" w:ascii="仿宋_GB2312" w:hAnsi="仿宋_GB2312" w:eastAsia="仿宋_GB2312" w:cs="仿宋_GB2312"/>
          <w:spacing w:val="-11"/>
          <w:sz w:val="32"/>
          <w:szCs w:val="32"/>
        </w:rPr>
      </w:pPr>
      <w:r>
        <w:rPr>
          <w:rFonts w:hint="eastAsia" w:ascii="仿宋_GB2312" w:hAnsi="仿宋_GB2312" w:eastAsia="仿宋_GB2312" w:cs="仿宋_GB2312"/>
          <w:b/>
          <w:color w:val="000000"/>
          <w:kern w:val="2"/>
          <w:sz w:val="32"/>
          <w:szCs w:val="24"/>
          <w:lang w:val="en-US"/>
        </w:rPr>
        <w:t>十</w:t>
      </w:r>
      <w:r>
        <w:rPr>
          <w:rFonts w:hint="eastAsia" w:ascii="仿宋_GB2312" w:hAnsi="仿宋_GB2312" w:eastAsia="仿宋_GB2312" w:cs="仿宋_GB2312"/>
          <w:b/>
          <w:color w:val="000000"/>
          <w:kern w:val="2"/>
          <w:sz w:val="32"/>
          <w:szCs w:val="24"/>
          <w:lang w:val="en-US" w:eastAsia="zh-CN"/>
        </w:rPr>
        <w:t>六</w:t>
      </w:r>
      <w:r>
        <w:rPr>
          <w:rFonts w:hint="eastAsia" w:ascii="仿宋_GB2312" w:hAnsi="仿宋_GB2312" w:eastAsia="仿宋_GB2312" w:cs="仿宋_GB2312"/>
          <w:b/>
          <w:color w:val="000000"/>
          <w:kern w:val="2"/>
          <w:sz w:val="32"/>
          <w:szCs w:val="24"/>
          <w:lang w:val="en-US"/>
        </w:rPr>
        <w:t>、社会保障和就业支出（类）</w:t>
      </w:r>
      <w:r>
        <w:rPr>
          <w:rFonts w:hint="eastAsia" w:ascii="仿宋_GB2312" w:hAnsi="仿宋_GB2312" w:eastAsia="仿宋_GB2312" w:cs="仿宋_GB2312"/>
          <w:b w:val="0"/>
          <w:bCs/>
          <w:color w:val="000000"/>
          <w:kern w:val="2"/>
          <w:sz w:val="32"/>
          <w:szCs w:val="24"/>
          <w:lang w:val="en-US" w:eastAsia="zh-CN"/>
        </w:rPr>
        <w:t>行政事业单位养老支出</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机关事业单位基本养老保险缴费支出</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b/>
          <w:color w:val="000000"/>
          <w:kern w:val="2"/>
          <w:sz w:val="32"/>
          <w:szCs w:val="24"/>
          <w:lang w:val="en-US" w:eastAsia="zh-CN"/>
        </w:rPr>
        <w:t>：</w:t>
      </w:r>
      <w:r>
        <w:rPr>
          <w:rFonts w:hint="eastAsia" w:ascii="仿宋_GB2312" w:hAnsi="仿宋_GB2312" w:eastAsia="仿宋_GB2312" w:cs="仿宋_GB2312"/>
          <w:color w:val="000000"/>
          <w:spacing w:val="-11"/>
          <w:kern w:val="2"/>
          <w:sz w:val="32"/>
          <w:szCs w:val="32"/>
          <w:lang w:val="en-US" w:eastAsia="zh-CN" w:bidi="ar"/>
        </w:rPr>
        <w:t>指机关事业单位基本养老保险缴费支出，</w:t>
      </w:r>
      <w:r>
        <w:rPr>
          <w:rFonts w:hint="eastAsia" w:ascii="仿宋_GB2312" w:hAnsi="仿宋_GB2312" w:eastAsia="仿宋_GB2312" w:cs="仿宋_GB2312"/>
          <w:spacing w:val="-11"/>
          <w:sz w:val="32"/>
          <w:szCs w:val="32"/>
        </w:rPr>
        <w:t>反映机关事业单位实施养老保险制度由单位缴纳的基本养老保险缴费支出。</w:t>
      </w:r>
    </w:p>
    <w:p>
      <w:pPr>
        <w:spacing w:line="576" w:lineRule="exact"/>
        <w:ind w:firstLine="632" w:firstLineChars="200"/>
        <w:jc w:val="both"/>
        <w:rPr>
          <w:rFonts w:hint="eastAsia" w:ascii="仿宋_GB2312" w:hAnsi="仿宋_GB2312" w:eastAsia="仿宋_GB2312" w:cs="仿宋_GB2312"/>
          <w:color w:val="000000"/>
          <w:kern w:val="2"/>
          <w:sz w:val="32"/>
          <w:szCs w:val="24"/>
          <w:lang w:val="en-US" w:eastAsia="zh-CN"/>
        </w:rPr>
      </w:pPr>
      <w:r>
        <w:rPr>
          <w:rFonts w:hint="eastAsia" w:ascii="仿宋_GB2312" w:hAnsi="仿宋_GB2312" w:eastAsia="仿宋_GB2312" w:cs="仿宋_GB2312"/>
          <w:b/>
          <w:color w:val="000000"/>
          <w:kern w:val="2"/>
          <w:sz w:val="32"/>
          <w:szCs w:val="24"/>
          <w:lang w:val="en-US"/>
        </w:rPr>
        <w:t>十</w:t>
      </w:r>
      <w:r>
        <w:rPr>
          <w:rFonts w:hint="eastAsia" w:ascii="仿宋_GB2312" w:hAnsi="仿宋_GB2312" w:eastAsia="仿宋_GB2312" w:cs="仿宋_GB2312"/>
          <w:b/>
          <w:color w:val="000000"/>
          <w:kern w:val="2"/>
          <w:sz w:val="32"/>
          <w:szCs w:val="24"/>
          <w:lang w:val="en-US" w:eastAsia="zh-CN"/>
        </w:rPr>
        <w:t>七</w:t>
      </w:r>
      <w:r>
        <w:rPr>
          <w:rFonts w:hint="eastAsia" w:ascii="仿宋_GB2312" w:hAnsi="仿宋_GB2312" w:eastAsia="仿宋_GB2312" w:cs="仿宋_GB2312"/>
          <w:b/>
          <w:color w:val="000000"/>
          <w:kern w:val="2"/>
          <w:sz w:val="32"/>
          <w:szCs w:val="24"/>
          <w:lang w:val="en-US"/>
        </w:rPr>
        <w:t>、社会保障和就业支出（类）</w:t>
      </w:r>
      <w:r>
        <w:rPr>
          <w:rFonts w:hint="eastAsia" w:ascii="仿宋_GB2312" w:hAnsi="仿宋_GB2312" w:eastAsia="仿宋_GB2312" w:cs="仿宋_GB2312"/>
          <w:b w:val="0"/>
          <w:bCs/>
          <w:color w:val="000000"/>
          <w:kern w:val="2"/>
          <w:sz w:val="32"/>
          <w:szCs w:val="24"/>
          <w:lang w:val="en-US" w:eastAsia="zh-CN"/>
        </w:rPr>
        <w:t>行政事业单位养老支出</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机关事业单位职业年金经费支出</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b/>
          <w:color w:val="000000"/>
          <w:kern w:val="2"/>
          <w:sz w:val="32"/>
          <w:szCs w:val="24"/>
          <w:lang w:val="en-US" w:eastAsia="zh-CN"/>
        </w:rPr>
        <w:t>：</w:t>
      </w:r>
      <w:r>
        <w:rPr>
          <w:rFonts w:hint="eastAsia" w:ascii="仿宋_GB2312" w:hAnsi="仿宋_GB2312" w:eastAsia="仿宋_GB2312" w:cs="仿宋_GB2312"/>
          <w:color w:val="000000"/>
          <w:kern w:val="2"/>
          <w:sz w:val="32"/>
          <w:szCs w:val="24"/>
          <w:lang w:val="en-US" w:eastAsia="zh-CN"/>
        </w:rPr>
        <w:t>指机关事业单位职业年缴费，反映机关事业单位实施养老保险制度由单位实际缴纳的职业年金支出</w:t>
      </w:r>
    </w:p>
    <w:p>
      <w:pPr>
        <w:spacing w:line="576" w:lineRule="exact"/>
        <w:ind w:firstLine="640"/>
        <w:jc w:val="both"/>
        <w:rPr>
          <w:rFonts w:hint="eastAsia" w:ascii="仿宋_GB2312" w:hAnsi="仿宋_GB2312" w:eastAsia="仿宋_GB2312" w:cs="仿宋_GB2312"/>
          <w:color w:val="000000"/>
          <w:kern w:val="2"/>
          <w:sz w:val="32"/>
          <w:szCs w:val="24"/>
          <w:lang w:val="en-US" w:eastAsia="zh-CN"/>
        </w:rPr>
      </w:pPr>
      <w:r>
        <w:rPr>
          <w:rFonts w:hint="eastAsia" w:ascii="仿宋_GB2312" w:hAnsi="仿宋_GB2312" w:eastAsia="仿宋_GB2312" w:cs="仿宋_GB2312"/>
          <w:b/>
          <w:color w:val="000000"/>
          <w:kern w:val="2"/>
          <w:sz w:val="32"/>
          <w:szCs w:val="24"/>
          <w:lang w:val="en-US" w:eastAsia="zh-CN"/>
        </w:rPr>
        <w:t>十八、</w:t>
      </w:r>
      <w:r>
        <w:rPr>
          <w:rFonts w:hint="eastAsia" w:ascii="仿宋_GB2312" w:hAnsi="仿宋_GB2312" w:eastAsia="仿宋_GB2312" w:cs="仿宋_GB2312"/>
          <w:b/>
          <w:color w:val="000000"/>
          <w:kern w:val="2"/>
          <w:sz w:val="32"/>
          <w:szCs w:val="24"/>
          <w:lang w:val="en-US"/>
        </w:rPr>
        <w:t>社会保障和就业支出（类）</w:t>
      </w:r>
      <w:r>
        <w:rPr>
          <w:rFonts w:hint="eastAsia" w:ascii="仿宋_GB2312" w:hAnsi="仿宋_GB2312" w:eastAsia="仿宋_GB2312" w:cs="仿宋_GB2312"/>
          <w:b w:val="0"/>
          <w:bCs/>
          <w:color w:val="000000"/>
          <w:kern w:val="2"/>
          <w:sz w:val="32"/>
          <w:szCs w:val="24"/>
          <w:lang w:val="en-US" w:eastAsia="zh-CN"/>
        </w:rPr>
        <w:t>其他社会保障和就业支出</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其他社会保障和就业支出</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b/>
          <w:color w:val="000000"/>
          <w:kern w:val="2"/>
          <w:sz w:val="32"/>
          <w:szCs w:val="24"/>
          <w:lang w:val="en-US" w:eastAsia="zh-CN"/>
        </w:rPr>
        <w:t>：</w:t>
      </w:r>
      <w:r>
        <w:rPr>
          <w:rFonts w:hint="eastAsia" w:ascii="仿宋_GB2312" w:hAnsi="仿宋_GB2312" w:eastAsia="仿宋_GB2312" w:cs="仿宋_GB2312"/>
          <w:color w:val="000000"/>
          <w:kern w:val="2"/>
          <w:sz w:val="32"/>
          <w:szCs w:val="24"/>
          <w:lang w:val="en-US" w:eastAsia="zh-CN"/>
        </w:rPr>
        <w:t>指其他行政事业单位养老支出，除养老保险、职业年金以外的其他用于行政事业单位养老方面的支出。</w:t>
      </w:r>
    </w:p>
    <w:p>
      <w:pPr>
        <w:autoSpaceDE/>
        <w:autoSpaceDN/>
        <w:adjustRightInd/>
        <w:spacing w:line="576" w:lineRule="exact"/>
        <w:ind w:firstLine="632" w:firstLineChars="20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rPr>
        <w:t>十</w:t>
      </w:r>
      <w:r>
        <w:rPr>
          <w:rFonts w:hint="eastAsia" w:ascii="仿宋_GB2312" w:hAnsi="仿宋_GB2312" w:eastAsia="仿宋_GB2312" w:cs="仿宋_GB2312"/>
          <w:b/>
          <w:color w:val="000000"/>
          <w:kern w:val="2"/>
          <w:sz w:val="32"/>
          <w:szCs w:val="24"/>
          <w:lang w:val="en-US" w:eastAsia="zh-CN"/>
        </w:rPr>
        <w:t>九</w:t>
      </w:r>
      <w:r>
        <w:rPr>
          <w:rFonts w:hint="eastAsia" w:ascii="仿宋_GB2312" w:hAnsi="仿宋_GB2312" w:eastAsia="仿宋_GB2312" w:cs="仿宋_GB2312"/>
          <w:b/>
          <w:color w:val="000000"/>
          <w:kern w:val="2"/>
          <w:sz w:val="32"/>
          <w:szCs w:val="24"/>
          <w:lang w:val="en-US"/>
        </w:rPr>
        <w:t>、卫生健康支出（类）</w:t>
      </w:r>
      <w:r>
        <w:rPr>
          <w:rFonts w:hint="eastAsia" w:ascii="仿宋_GB2312" w:hAnsi="仿宋_GB2312" w:eastAsia="仿宋_GB2312" w:cs="仿宋_GB2312"/>
          <w:b w:val="0"/>
          <w:bCs/>
          <w:color w:val="000000"/>
          <w:kern w:val="2"/>
          <w:sz w:val="32"/>
          <w:szCs w:val="24"/>
          <w:lang w:val="en-US" w:eastAsia="zh-CN"/>
        </w:rPr>
        <w:t>行政事业单位医疗</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行政单位医疗</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color w:val="000000"/>
          <w:kern w:val="2"/>
          <w:sz w:val="32"/>
          <w:szCs w:val="24"/>
          <w:lang w:val="en-US"/>
        </w:rPr>
        <w:t>指</w:t>
      </w:r>
      <w:r>
        <w:rPr>
          <w:rFonts w:hint="eastAsia" w:ascii="仿宋_GB2312" w:hAnsi="仿宋_GB2312" w:eastAsia="仿宋_GB2312" w:cs="仿宋_GB2312"/>
          <w:color w:val="000000"/>
          <w:kern w:val="2"/>
          <w:sz w:val="32"/>
          <w:szCs w:val="32"/>
          <w:lang w:val="en-US" w:eastAsia="zh-CN" w:bidi="ar"/>
        </w:rPr>
        <w:t>行政单位医疗，</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单位职工</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医疗</w:t>
      </w:r>
      <w:r>
        <w:rPr>
          <w:rFonts w:hint="eastAsia" w:ascii="仿宋_GB2312" w:hAnsi="仿宋_GB2312" w:eastAsia="仿宋_GB2312" w:cs="仿宋_GB2312"/>
          <w:sz w:val="32"/>
          <w:szCs w:val="32"/>
          <w:lang w:eastAsia="zh-CN"/>
        </w:rPr>
        <w:t>缴费</w:t>
      </w:r>
      <w:r>
        <w:rPr>
          <w:rFonts w:hint="eastAsia" w:ascii="仿宋_GB2312" w:hAnsi="仿宋_GB2312" w:eastAsia="仿宋_GB2312" w:cs="仿宋_GB2312"/>
          <w:sz w:val="32"/>
          <w:szCs w:val="32"/>
        </w:rPr>
        <w:t>支出。</w:t>
      </w:r>
    </w:p>
    <w:p>
      <w:pPr>
        <w:autoSpaceDE/>
        <w:autoSpaceDN/>
        <w:adjustRightInd/>
        <w:spacing w:line="576" w:lineRule="exact"/>
        <w:ind w:firstLine="632" w:firstLineChars="20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eastAsia="zh-CN"/>
        </w:rPr>
        <w:t>二十</w:t>
      </w:r>
      <w:r>
        <w:rPr>
          <w:rFonts w:hint="eastAsia" w:ascii="仿宋_GB2312" w:hAnsi="仿宋_GB2312" w:eastAsia="仿宋_GB2312" w:cs="仿宋_GB2312"/>
          <w:b/>
          <w:color w:val="000000"/>
          <w:kern w:val="2"/>
          <w:sz w:val="32"/>
          <w:szCs w:val="24"/>
          <w:lang w:val="en-US"/>
        </w:rPr>
        <w:t>、卫生健康支出（类）</w:t>
      </w:r>
      <w:r>
        <w:rPr>
          <w:rFonts w:hint="eastAsia" w:ascii="仿宋_GB2312" w:hAnsi="仿宋_GB2312" w:eastAsia="仿宋_GB2312" w:cs="仿宋_GB2312"/>
          <w:b w:val="0"/>
          <w:bCs/>
          <w:color w:val="000000"/>
          <w:kern w:val="2"/>
          <w:sz w:val="32"/>
          <w:szCs w:val="24"/>
          <w:lang w:val="en-US" w:eastAsia="zh-CN"/>
        </w:rPr>
        <w:t>行政事业单位医疗</w:t>
      </w:r>
      <w:r>
        <w:rPr>
          <w:rFonts w:hint="eastAsia" w:ascii="仿宋_GB2312" w:hAnsi="仿宋_GB2312" w:eastAsia="仿宋_GB2312" w:cs="仿宋_GB2312"/>
          <w:b/>
          <w:bCs w:val="0"/>
          <w:color w:val="000000"/>
          <w:kern w:val="2"/>
          <w:sz w:val="32"/>
          <w:szCs w:val="24"/>
          <w:lang w:val="en-US" w:eastAsia="zh-CN"/>
        </w:rPr>
        <w:t>（</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事业单位医疗</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color w:val="000000"/>
          <w:kern w:val="2"/>
          <w:sz w:val="32"/>
          <w:szCs w:val="24"/>
          <w:lang w:val="en-US"/>
        </w:rPr>
        <w:t>指</w:t>
      </w:r>
      <w:r>
        <w:rPr>
          <w:rFonts w:hint="eastAsia" w:ascii="仿宋_GB2312" w:hAnsi="仿宋_GB2312" w:eastAsia="仿宋_GB2312" w:cs="仿宋_GB2312"/>
          <w:color w:val="000000"/>
          <w:kern w:val="2"/>
          <w:sz w:val="32"/>
          <w:szCs w:val="24"/>
          <w:lang w:val="en-US" w:eastAsia="zh-CN"/>
        </w:rPr>
        <w:t>事业</w:t>
      </w:r>
      <w:r>
        <w:rPr>
          <w:rFonts w:hint="eastAsia" w:ascii="仿宋_GB2312" w:hAnsi="仿宋_GB2312" w:eastAsia="仿宋_GB2312" w:cs="仿宋_GB2312"/>
          <w:color w:val="000000"/>
          <w:kern w:val="2"/>
          <w:sz w:val="32"/>
          <w:szCs w:val="32"/>
          <w:lang w:val="en-US" w:eastAsia="zh-CN" w:bidi="ar"/>
        </w:rPr>
        <w:t>单位医疗，</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单位职工</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医疗</w:t>
      </w:r>
      <w:r>
        <w:rPr>
          <w:rFonts w:hint="eastAsia" w:ascii="仿宋_GB2312" w:hAnsi="仿宋_GB2312" w:eastAsia="仿宋_GB2312" w:cs="仿宋_GB2312"/>
          <w:sz w:val="32"/>
          <w:szCs w:val="32"/>
          <w:lang w:eastAsia="zh-CN"/>
        </w:rPr>
        <w:t>缴费</w:t>
      </w:r>
      <w:r>
        <w:rPr>
          <w:rFonts w:hint="eastAsia" w:ascii="仿宋_GB2312" w:hAnsi="仿宋_GB2312" w:eastAsia="仿宋_GB2312" w:cs="仿宋_GB2312"/>
          <w:sz w:val="32"/>
          <w:szCs w:val="32"/>
        </w:rPr>
        <w:t>支出。</w:t>
      </w:r>
    </w:p>
    <w:p>
      <w:pPr>
        <w:spacing w:line="576" w:lineRule="exact"/>
        <w:ind w:firstLine="64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eastAsia="zh-CN"/>
        </w:rPr>
        <w:t>二十一</w:t>
      </w:r>
      <w:r>
        <w:rPr>
          <w:rFonts w:hint="eastAsia" w:ascii="仿宋_GB2312" w:hAnsi="仿宋_GB2312" w:eastAsia="仿宋_GB2312" w:cs="仿宋_GB2312"/>
          <w:b/>
          <w:color w:val="000000"/>
          <w:kern w:val="2"/>
          <w:sz w:val="32"/>
          <w:szCs w:val="24"/>
          <w:lang w:val="en-US"/>
        </w:rPr>
        <w:t>、农林水支出（类）</w:t>
      </w:r>
      <w:r>
        <w:rPr>
          <w:rFonts w:hint="eastAsia" w:ascii="仿宋_GB2312" w:hAnsi="仿宋_GB2312" w:eastAsia="仿宋_GB2312" w:cs="仿宋_GB2312"/>
          <w:b w:val="0"/>
          <w:bCs/>
          <w:color w:val="000000"/>
          <w:kern w:val="2"/>
          <w:sz w:val="32"/>
          <w:szCs w:val="24"/>
          <w:lang w:val="en-US" w:eastAsia="zh-CN"/>
        </w:rPr>
        <w:t>巩固脱贫攻坚成果衔接乡村振兴</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其他巩固脱贫攻坚成果衔接乡村振兴支出</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color w:val="000000"/>
          <w:kern w:val="2"/>
          <w:sz w:val="32"/>
          <w:szCs w:val="24"/>
          <w:lang w:val="en-US"/>
        </w:rPr>
        <w:t>指</w:t>
      </w:r>
      <w:r>
        <w:rPr>
          <w:rFonts w:hint="eastAsia" w:ascii="仿宋_GB2312" w:hAnsi="仿宋_GB2312" w:eastAsia="仿宋_GB2312" w:cs="仿宋_GB2312"/>
          <w:color w:val="000000"/>
          <w:kern w:val="2"/>
          <w:sz w:val="32"/>
          <w:szCs w:val="24"/>
          <w:lang w:val="en-US" w:eastAsia="zh-CN"/>
        </w:rPr>
        <w:t>巩固脱贫攻坚成果衔接乡村振兴方面的支出</w:t>
      </w:r>
      <w:r>
        <w:rPr>
          <w:rFonts w:hint="eastAsia" w:ascii="仿宋_GB2312" w:hAnsi="仿宋_GB2312" w:eastAsia="仿宋_GB2312" w:cs="仿宋_GB2312"/>
          <w:color w:val="000000"/>
          <w:kern w:val="2"/>
          <w:sz w:val="32"/>
          <w:szCs w:val="24"/>
          <w:lang w:val="en-US"/>
        </w:rPr>
        <w:t>。</w:t>
      </w:r>
    </w:p>
    <w:p>
      <w:pPr>
        <w:spacing w:line="576" w:lineRule="exact"/>
        <w:ind w:firstLine="64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eastAsia="zh-CN"/>
        </w:rPr>
        <w:t>二十二</w:t>
      </w:r>
      <w:r>
        <w:rPr>
          <w:rFonts w:hint="eastAsia" w:ascii="仿宋_GB2312" w:hAnsi="仿宋_GB2312" w:eastAsia="仿宋_GB2312" w:cs="仿宋_GB2312"/>
          <w:b/>
          <w:color w:val="000000"/>
          <w:kern w:val="2"/>
          <w:sz w:val="32"/>
          <w:szCs w:val="24"/>
          <w:lang w:val="en-US"/>
        </w:rPr>
        <w:t>、农林水支出（类）</w:t>
      </w:r>
      <w:r>
        <w:rPr>
          <w:rFonts w:hint="eastAsia" w:ascii="仿宋_GB2312" w:hAnsi="仿宋_GB2312" w:eastAsia="仿宋_GB2312" w:cs="仿宋_GB2312"/>
          <w:b w:val="0"/>
          <w:bCs/>
          <w:color w:val="000000"/>
          <w:kern w:val="2"/>
          <w:sz w:val="32"/>
          <w:szCs w:val="24"/>
          <w:lang w:val="en-US" w:eastAsia="zh-CN"/>
        </w:rPr>
        <w:t>其他农林水支出</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其他农林水支出</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color w:val="000000"/>
          <w:kern w:val="2"/>
          <w:sz w:val="32"/>
          <w:szCs w:val="24"/>
          <w:lang w:val="en-US"/>
        </w:rPr>
        <w:t>指</w:t>
      </w:r>
      <w:r>
        <w:rPr>
          <w:rFonts w:hint="eastAsia" w:ascii="仿宋_GB2312" w:hAnsi="仿宋_GB2312" w:eastAsia="仿宋_GB2312" w:cs="仿宋_GB2312"/>
          <w:color w:val="000000"/>
          <w:kern w:val="2"/>
          <w:sz w:val="32"/>
          <w:szCs w:val="24"/>
          <w:lang w:val="en-US" w:eastAsia="zh-CN"/>
        </w:rPr>
        <w:t>除巩固脱贫攻坚成果衔接乡村振兴以外其他用于农林水方面的支出</w:t>
      </w:r>
      <w:r>
        <w:rPr>
          <w:rFonts w:hint="eastAsia" w:ascii="仿宋_GB2312" w:hAnsi="仿宋_GB2312" w:eastAsia="仿宋_GB2312" w:cs="仿宋_GB2312"/>
          <w:color w:val="000000"/>
          <w:kern w:val="2"/>
          <w:sz w:val="32"/>
          <w:szCs w:val="24"/>
          <w:lang w:val="en-US"/>
        </w:rPr>
        <w:t>。</w:t>
      </w:r>
    </w:p>
    <w:p>
      <w:pPr>
        <w:autoSpaceDE/>
        <w:autoSpaceDN/>
        <w:adjustRightInd/>
        <w:spacing w:line="576" w:lineRule="exact"/>
        <w:ind w:firstLine="632" w:firstLineChars="20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rPr>
        <w:t>二十</w:t>
      </w:r>
      <w:r>
        <w:rPr>
          <w:rFonts w:hint="eastAsia" w:ascii="仿宋_GB2312" w:hAnsi="仿宋_GB2312" w:eastAsia="仿宋_GB2312" w:cs="仿宋_GB2312"/>
          <w:b/>
          <w:color w:val="000000"/>
          <w:kern w:val="2"/>
          <w:sz w:val="32"/>
          <w:szCs w:val="24"/>
          <w:lang w:val="en-US" w:eastAsia="zh-CN"/>
        </w:rPr>
        <w:t>三</w:t>
      </w:r>
      <w:r>
        <w:rPr>
          <w:rFonts w:hint="eastAsia" w:ascii="仿宋_GB2312" w:hAnsi="仿宋_GB2312" w:eastAsia="仿宋_GB2312" w:cs="仿宋_GB2312"/>
          <w:b/>
          <w:color w:val="000000"/>
          <w:kern w:val="2"/>
          <w:sz w:val="32"/>
          <w:szCs w:val="24"/>
          <w:lang w:val="en-US"/>
        </w:rPr>
        <w:t>、住房保障支出（类）</w:t>
      </w:r>
      <w:r>
        <w:rPr>
          <w:rFonts w:hint="eastAsia" w:ascii="仿宋_GB2312" w:hAnsi="仿宋_GB2312" w:eastAsia="仿宋_GB2312" w:cs="仿宋_GB2312"/>
          <w:b w:val="0"/>
          <w:bCs/>
          <w:color w:val="000000"/>
          <w:kern w:val="2"/>
          <w:sz w:val="32"/>
          <w:szCs w:val="24"/>
          <w:lang w:val="en-US" w:eastAsia="zh-CN"/>
        </w:rPr>
        <w:t>住房改革支出</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住房公积金</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color w:val="000000"/>
          <w:kern w:val="2"/>
          <w:sz w:val="32"/>
          <w:szCs w:val="24"/>
          <w:lang w:val="en-US"/>
        </w:rPr>
        <w:t>：</w:t>
      </w:r>
      <w:r>
        <w:rPr>
          <w:rFonts w:hint="eastAsia" w:ascii="仿宋_GB2312" w:hAnsi="仿宋_GB2312" w:eastAsia="仿宋_GB2312" w:cs="仿宋_GB2312"/>
          <w:sz w:val="32"/>
          <w:szCs w:val="32"/>
        </w:rPr>
        <w:t>指反映行政事业单位按人力资源和社会保障部、财政部规定的基本工资和津贴补贴以及规定比例为职工缴纳的住房公积金。</w:t>
      </w:r>
    </w:p>
    <w:p>
      <w:pPr>
        <w:spacing w:line="576" w:lineRule="exact"/>
        <w:ind w:firstLine="64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rPr>
        <w:t>二十</w:t>
      </w:r>
      <w:r>
        <w:rPr>
          <w:rFonts w:hint="eastAsia" w:ascii="仿宋_GB2312" w:hAnsi="仿宋_GB2312" w:eastAsia="仿宋_GB2312" w:cs="仿宋_GB2312"/>
          <w:b/>
          <w:color w:val="000000"/>
          <w:kern w:val="2"/>
          <w:sz w:val="32"/>
          <w:szCs w:val="24"/>
          <w:lang w:val="en-US" w:eastAsia="zh-CN"/>
        </w:rPr>
        <w:t>四</w:t>
      </w:r>
      <w:r>
        <w:rPr>
          <w:rFonts w:hint="eastAsia" w:ascii="仿宋_GB2312" w:hAnsi="仿宋_GB2312" w:eastAsia="仿宋_GB2312" w:cs="仿宋_GB2312"/>
          <w:b/>
          <w:color w:val="000000"/>
          <w:kern w:val="2"/>
          <w:sz w:val="32"/>
          <w:szCs w:val="24"/>
          <w:lang w:val="en-US"/>
        </w:rPr>
        <w:t>、粮油物资储备支出（类）</w:t>
      </w:r>
      <w:r>
        <w:rPr>
          <w:rFonts w:hint="eastAsia" w:ascii="仿宋_GB2312" w:hAnsi="仿宋_GB2312" w:eastAsia="仿宋_GB2312" w:cs="仿宋_GB2312"/>
          <w:b w:val="0"/>
          <w:bCs/>
          <w:color w:val="000000"/>
          <w:kern w:val="2"/>
          <w:sz w:val="32"/>
          <w:szCs w:val="24"/>
          <w:lang w:val="en-US" w:eastAsia="zh-CN"/>
        </w:rPr>
        <w:t>粮油物资事务</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信息统计</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color w:val="000000"/>
          <w:kern w:val="2"/>
          <w:sz w:val="32"/>
          <w:szCs w:val="24"/>
          <w:lang w:val="en-US"/>
        </w:rPr>
        <w:t>指</w:t>
      </w:r>
      <w:r>
        <w:rPr>
          <w:rFonts w:hint="eastAsia" w:ascii="仿宋_GB2312" w:hAnsi="仿宋_GB2312" w:eastAsia="仿宋_GB2312" w:cs="仿宋_GB2312"/>
          <w:color w:val="000000"/>
          <w:kern w:val="2"/>
          <w:sz w:val="32"/>
          <w:szCs w:val="24"/>
          <w:lang w:val="en-US" w:eastAsia="zh-CN"/>
        </w:rPr>
        <w:t>用于粮食和储备信息统计、社会调查等方面的支出</w:t>
      </w:r>
      <w:r>
        <w:rPr>
          <w:rFonts w:hint="eastAsia" w:ascii="仿宋_GB2312" w:hAnsi="仿宋_GB2312" w:eastAsia="仿宋_GB2312" w:cs="仿宋_GB2312"/>
          <w:color w:val="000000"/>
          <w:kern w:val="2"/>
          <w:sz w:val="32"/>
          <w:szCs w:val="24"/>
          <w:lang w:val="en-US"/>
        </w:rPr>
        <w:t>。</w:t>
      </w:r>
    </w:p>
    <w:p>
      <w:pPr>
        <w:spacing w:line="576" w:lineRule="exact"/>
        <w:ind w:firstLine="640"/>
        <w:jc w:val="both"/>
        <w:rPr>
          <w:rFonts w:hint="eastAsia" w:ascii="仿宋_GB2312" w:hAnsi="仿宋_GB2312" w:eastAsia="仿宋_GB2312" w:cs="仿宋_GB2312"/>
          <w:color w:val="000000"/>
          <w:kern w:val="2"/>
          <w:sz w:val="32"/>
          <w:szCs w:val="24"/>
          <w:lang w:val="en-US" w:eastAsia="zh-CN"/>
        </w:rPr>
      </w:pPr>
      <w:r>
        <w:rPr>
          <w:rFonts w:hint="eastAsia" w:ascii="仿宋_GB2312" w:hAnsi="仿宋_GB2312" w:eastAsia="仿宋_GB2312" w:cs="仿宋_GB2312"/>
          <w:b/>
          <w:color w:val="000000"/>
          <w:kern w:val="2"/>
          <w:sz w:val="32"/>
          <w:szCs w:val="24"/>
          <w:lang w:val="en-US"/>
        </w:rPr>
        <w:t>二十</w:t>
      </w:r>
      <w:r>
        <w:rPr>
          <w:rFonts w:hint="eastAsia" w:ascii="仿宋_GB2312" w:hAnsi="仿宋_GB2312" w:eastAsia="仿宋_GB2312" w:cs="仿宋_GB2312"/>
          <w:b/>
          <w:color w:val="000000"/>
          <w:kern w:val="2"/>
          <w:sz w:val="32"/>
          <w:szCs w:val="24"/>
          <w:lang w:val="en-US" w:eastAsia="zh-CN"/>
        </w:rPr>
        <w:t>五</w:t>
      </w:r>
      <w:r>
        <w:rPr>
          <w:rFonts w:hint="eastAsia" w:ascii="仿宋_GB2312" w:hAnsi="仿宋_GB2312" w:eastAsia="仿宋_GB2312" w:cs="仿宋_GB2312"/>
          <w:b/>
          <w:color w:val="000000"/>
          <w:kern w:val="2"/>
          <w:sz w:val="32"/>
          <w:szCs w:val="24"/>
          <w:lang w:val="en-US"/>
        </w:rPr>
        <w:t>、粮油物资储备支出（类）</w:t>
      </w:r>
      <w:r>
        <w:rPr>
          <w:rFonts w:hint="eastAsia" w:ascii="仿宋_GB2312" w:hAnsi="仿宋_GB2312" w:eastAsia="仿宋_GB2312" w:cs="仿宋_GB2312"/>
          <w:b w:val="0"/>
          <w:bCs/>
          <w:color w:val="000000"/>
          <w:kern w:val="2"/>
          <w:sz w:val="32"/>
          <w:szCs w:val="24"/>
          <w:lang w:val="en-US" w:eastAsia="zh-CN"/>
        </w:rPr>
        <w:t>物资保管保养</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其他粮油物资事务支出</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color w:val="000000"/>
          <w:kern w:val="2"/>
          <w:sz w:val="32"/>
          <w:szCs w:val="24"/>
          <w:lang w:val="en-US"/>
        </w:rPr>
        <w:t>指</w:t>
      </w:r>
      <w:r>
        <w:rPr>
          <w:rFonts w:hint="eastAsia" w:ascii="仿宋_GB2312" w:hAnsi="仿宋_GB2312" w:eastAsia="仿宋_GB2312" w:cs="仿宋_GB2312"/>
          <w:color w:val="000000"/>
          <w:kern w:val="2"/>
          <w:sz w:val="32"/>
          <w:szCs w:val="24"/>
          <w:lang w:val="en-US" w:eastAsia="zh-CN"/>
        </w:rPr>
        <w:t>粮食和储备部门物资保管保养、轮换转移仓储物资许可，作业人员培训等支出。</w:t>
      </w:r>
    </w:p>
    <w:p>
      <w:pPr>
        <w:spacing w:line="576" w:lineRule="exact"/>
        <w:ind w:firstLine="64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rPr>
        <w:t>二十</w:t>
      </w:r>
      <w:r>
        <w:rPr>
          <w:rFonts w:hint="eastAsia" w:ascii="仿宋_GB2312" w:hAnsi="仿宋_GB2312" w:eastAsia="仿宋_GB2312" w:cs="仿宋_GB2312"/>
          <w:b/>
          <w:color w:val="000000"/>
          <w:kern w:val="2"/>
          <w:sz w:val="32"/>
          <w:szCs w:val="24"/>
          <w:lang w:val="en-US" w:eastAsia="zh-CN"/>
        </w:rPr>
        <w:t>六</w:t>
      </w:r>
      <w:r>
        <w:rPr>
          <w:rFonts w:hint="eastAsia" w:ascii="仿宋_GB2312" w:hAnsi="仿宋_GB2312" w:eastAsia="仿宋_GB2312" w:cs="仿宋_GB2312"/>
          <w:b/>
          <w:color w:val="000000"/>
          <w:kern w:val="2"/>
          <w:sz w:val="32"/>
          <w:szCs w:val="24"/>
          <w:lang w:val="en-US"/>
        </w:rPr>
        <w:t>、粮油物资储备支出（类）</w:t>
      </w:r>
      <w:r>
        <w:rPr>
          <w:rFonts w:hint="eastAsia" w:ascii="仿宋_GB2312" w:hAnsi="仿宋_GB2312" w:eastAsia="仿宋_GB2312" w:cs="仿宋_GB2312"/>
          <w:b w:val="0"/>
          <w:bCs/>
          <w:color w:val="000000"/>
          <w:kern w:val="2"/>
          <w:sz w:val="32"/>
          <w:szCs w:val="24"/>
          <w:lang w:val="en-US" w:eastAsia="zh-CN"/>
        </w:rPr>
        <w:t>粮油物资事务</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其他粮油物资事务支出</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color w:val="000000"/>
          <w:kern w:val="2"/>
          <w:sz w:val="32"/>
          <w:szCs w:val="24"/>
          <w:lang w:val="en-US"/>
        </w:rPr>
        <w:t>指</w:t>
      </w:r>
      <w:r>
        <w:rPr>
          <w:rFonts w:hint="eastAsia" w:ascii="仿宋_GB2312" w:hAnsi="仿宋_GB2312" w:eastAsia="仿宋_GB2312" w:cs="仿宋_GB2312"/>
          <w:color w:val="000000"/>
          <w:kern w:val="2"/>
          <w:sz w:val="32"/>
          <w:szCs w:val="24"/>
          <w:lang w:val="en-US" w:eastAsia="zh-CN"/>
        </w:rPr>
        <w:t>除粮油物资保管保养、轮换以外的粮油和物资事务方面的支出。</w:t>
      </w:r>
    </w:p>
    <w:p>
      <w:pPr>
        <w:spacing w:line="576" w:lineRule="exact"/>
        <w:ind w:firstLine="64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rPr>
        <w:t>二十</w:t>
      </w:r>
      <w:r>
        <w:rPr>
          <w:rFonts w:hint="eastAsia" w:ascii="仿宋_GB2312" w:hAnsi="仿宋_GB2312" w:eastAsia="仿宋_GB2312" w:cs="仿宋_GB2312"/>
          <w:b/>
          <w:color w:val="000000"/>
          <w:kern w:val="2"/>
          <w:sz w:val="32"/>
          <w:szCs w:val="24"/>
          <w:lang w:val="en-US" w:eastAsia="zh-CN"/>
        </w:rPr>
        <w:t>七</w:t>
      </w:r>
      <w:r>
        <w:rPr>
          <w:rFonts w:hint="eastAsia" w:ascii="仿宋_GB2312" w:hAnsi="仿宋_GB2312" w:eastAsia="仿宋_GB2312" w:cs="仿宋_GB2312"/>
          <w:b/>
          <w:color w:val="000000"/>
          <w:kern w:val="2"/>
          <w:sz w:val="32"/>
          <w:szCs w:val="24"/>
          <w:lang w:val="en-US"/>
        </w:rPr>
        <w:t>、粮油物资储备支出（类）</w:t>
      </w:r>
      <w:r>
        <w:rPr>
          <w:rFonts w:hint="eastAsia" w:ascii="仿宋_GB2312" w:hAnsi="仿宋_GB2312" w:eastAsia="仿宋_GB2312" w:cs="仿宋_GB2312"/>
          <w:b w:val="0"/>
          <w:bCs/>
          <w:color w:val="000000"/>
          <w:kern w:val="2"/>
          <w:sz w:val="32"/>
          <w:szCs w:val="24"/>
          <w:lang w:val="en-US" w:eastAsia="zh-CN"/>
        </w:rPr>
        <w:t>粮油储备</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储备粮油价差补贴</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color w:val="000000"/>
          <w:kern w:val="2"/>
          <w:sz w:val="32"/>
          <w:szCs w:val="24"/>
          <w:lang w:val="en-US"/>
        </w:rPr>
        <w:t>指</w:t>
      </w:r>
      <w:r>
        <w:rPr>
          <w:rFonts w:hint="eastAsia" w:ascii="仿宋_GB2312" w:hAnsi="仿宋_GB2312" w:eastAsia="仿宋_GB2312" w:cs="仿宋_GB2312"/>
          <w:color w:val="000000"/>
          <w:kern w:val="2"/>
          <w:sz w:val="32"/>
          <w:szCs w:val="24"/>
          <w:lang w:val="en-US" w:eastAsia="zh-CN"/>
        </w:rPr>
        <w:t>国家储备粮油差价补贴支出。</w:t>
      </w:r>
    </w:p>
    <w:p>
      <w:pPr>
        <w:spacing w:line="576" w:lineRule="exact"/>
        <w:ind w:firstLine="640"/>
        <w:jc w:val="both"/>
        <w:rPr>
          <w:rFonts w:hint="eastAsia" w:ascii="仿宋_GB2312" w:hAnsi="仿宋_GB2312" w:eastAsia="仿宋_GB2312" w:cs="仿宋_GB2312"/>
          <w:i/>
          <w:color w:val="000000"/>
          <w:kern w:val="2"/>
          <w:sz w:val="32"/>
          <w:szCs w:val="24"/>
          <w:lang w:val="en-US"/>
        </w:rPr>
      </w:pPr>
      <w:r>
        <w:rPr>
          <w:rFonts w:hint="eastAsia" w:ascii="仿宋_GB2312" w:hAnsi="仿宋_GB2312" w:eastAsia="仿宋_GB2312" w:cs="仿宋_GB2312"/>
          <w:b/>
          <w:color w:val="000000"/>
          <w:kern w:val="2"/>
          <w:sz w:val="32"/>
          <w:szCs w:val="24"/>
          <w:lang w:val="en-US"/>
        </w:rPr>
        <w:t>二十</w:t>
      </w:r>
      <w:r>
        <w:rPr>
          <w:rFonts w:hint="eastAsia" w:ascii="仿宋_GB2312" w:hAnsi="仿宋_GB2312" w:eastAsia="仿宋_GB2312" w:cs="仿宋_GB2312"/>
          <w:b/>
          <w:color w:val="000000"/>
          <w:kern w:val="2"/>
          <w:sz w:val="32"/>
          <w:szCs w:val="24"/>
          <w:lang w:val="en-US" w:eastAsia="zh-CN"/>
        </w:rPr>
        <w:t>八</w:t>
      </w:r>
      <w:r>
        <w:rPr>
          <w:rFonts w:hint="eastAsia" w:ascii="仿宋_GB2312" w:hAnsi="仿宋_GB2312" w:eastAsia="仿宋_GB2312" w:cs="仿宋_GB2312"/>
          <w:b/>
          <w:color w:val="000000"/>
          <w:kern w:val="2"/>
          <w:sz w:val="32"/>
          <w:szCs w:val="24"/>
          <w:lang w:val="en-US"/>
        </w:rPr>
        <w:t>、</w:t>
      </w:r>
      <w:r>
        <w:rPr>
          <w:rFonts w:hint="eastAsia" w:ascii="仿宋_GB2312" w:hAnsi="仿宋_GB2312" w:eastAsia="仿宋_GB2312" w:cs="仿宋_GB2312"/>
          <w:b/>
          <w:color w:val="000000"/>
          <w:kern w:val="2"/>
          <w:sz w:val="32"/>
          <w:szCs w:val="24"/>
          <w:lang w:val="en-US" w:eastAsia="zh-CN"/>
        </w:rPr>
        <w:t>其他</w:t>
      </w:r>
      <w:r>
        <w:rPr>
          <w:rFonts w:hint="eastAsia" w:ascii="仿宋_GB2312" w:hAnsi="仿宋_GB2312" w:eastAsia="仿宋_GB2312" w:cs="仿宋_GB2312"/>
          <w:b/>
          <w:color w:val="000000"/>
          <w:kern w:val="2"/>
          <w:sz w:val="32"/>
          <w:szCs w:val="24"/>
          <w:lang w:val="en-US"/>
        </w:rPr>
        <w:t>支出（类）</w:t>
      </w:r>
      <w:r>
        <w:rPr>
          <w:rFonts w:hint="eastAsia" w:ascii="仿宋_GB2312" w:hAnsi="仿宋_GB2312" w:eastAsia="仿宋_GB2312" w:cs="仿宋_GB2312"/>
          <w:b w:val="0"/>
          <w:bCs/>
          <w:color w:val="000000"/>
          <w:kern w:val="2"/>
          <w:sz w:val="32"/>
          <w:szCs w:val="24"/>
          <w:lang w:val="en-US" w:eastAsia="zh-CN"/>
        </w:rPr>
        <w:t>其他</w:t>
      </w:r>
      <w:r>
        <w:rPr>
          <w:rFonts w:hint="eastAsia" w:ascii="仿宋_GB2312" w:hAnsi="仿宋_GB2312" w:eastAsia="仿宋_GB2312" w:cs="仿宋_GB2312"/>
          <w:b w:val="0"/>
          <w:bCs/>
          <w:color w:val="000000"/>
          <w:kern w:val="2"/>
          <w:sz w:val="32"/>
          <w:szCs w:val="24"/>
          <w:lang w:val="en-US"/>
        </w:rPr>
        <w:t>支出</w:t>
      </w:r>
      <w:r>
        <w:rPr>
          <w:rFonts w:hint="eastAsia" w:ascii="仿宋_GB2312" w:hAnsi="仿宋_GB2312" w:eastAsia="仿宋_GB2312" w:cs="仿宋_GB2312"/>
          <w:b/>
          <w:color w:val="000000"/>
          <w:kern w:val="2"/>
          <w:sz w:val="32"/>
          <w:szCs w:val="24"/>
          <w:lang w:val="en-US"/>
        </w:rPr>
        <w:t>（款）</w:t>
      </w:r>
      <w:r>
        <w:rPr>
          <w:rFonts w:hint="eastAsia" w:ascii="仿宋_GB2312" w:hAnsi="仿宋_GB2312" w:eastAsia="仿宋_GB2312" w:cs="仿宋_GB2312"/>
          <w:b w:val="0"/>
          <w:bCs/>
          <w:color w:val="000000"/>
          <w:kern w:val="2"/>
          <w:sz w:val="32"/>
          <w:szCs w:val="24"/>
          <w:lang w:val="en-US" w:eastAsia="zh-CN"/>
        </w:rPr>
        <w:t>其他</w:t>
      </w:r>
      <w:r>
        <w:rPr>
          <w:rFonts w:hint="eastAsia" w:ascii="仿宋_GB2312" w:hAnsi="仿宋_GB2312" w:eastAsia="仿宋_GB2312" w:cs="仿宋_GB2312"/>
          <w:b w:val="0"/>
          <w:bCs/>
          <w:color w:val="000000"/>
          <w:kern w:val="2"/>
          <w:sz w:val="32"/>
          <w:szCs w:val="24"/>
          <w:lang w:val="en-US"/>
        </w:rPr>
        <w:t>支出</w:t>
      </w:r>
      <w:r>
        <w:rPr>
          <w:rFonts w:hint="eastAsia" w:ascii="仿宋_GB2312" w:hAnsi="仿宋_GB2312" w:eastAsia="仿宋_GB2312" w:cs="仿宋_GB2312"/>
          <w:b/>
          <w:color w:val="000000"/>
          <w:kern w:val="2"/>
          <w:sz w:val="32"/>
          <w:szCs w:val="24"/>
          <w:lang w:val="en-US" w:eastAsia="zh-CN"/>
        </w:rPr>
        <w:t>（</w:t>
      </w:r>
      <w:r>
        <w:rPr>
          <w:rFonts w:hint="eastAsia" w:ascii="仿宋_GB2312" w:hAnsi="仿宋_GB2312" w:eastAsia="仿宋_GB2312" w:cs="仿宋_GB2312"/>
          <w:b/>
          <w:color w:val="000000"/>
          <w:kern w:val="2"/>
          <w:sz w:val="32"/>
          <w:szCs w:val="24"/>
          <w:lang w:val="en-US"/>
        </w:rPr>
        <w:t>项）：</w:t>
      </w:r>
      <w:r>
        <w:rPr>
          <w:rFonts w:hint="eastAsia" w:ascii="仿宋_GB2312" w:hAnsi="仿宋_GB2312" w:eastAsia="仿宋_GB2312" w:cs="仿宋_GB2312"/>
          <w:color w:val="000000"/>
          <w:kern w:val="2"/>
          <w:sz w:val="32"/>
          <w:szCs w:val="24"/>
          <w:lang w:val="en-US" w:eastAsia="zh-CN"/>
        </w:rPr>
        <w:t>指除以上项目以外的不能划分到具体功能科目的项目支出。</w:t>
      </w:r>
    </w:p>
    <w:p>
      <w:pPr>
        <w:spacing w:line="576" w:lineRule="exact"/>
        <w:ind w:firstLine="64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rPr>
        <w:t>二十</w:t>
      </w:r>
      <w:r>
        <w:rPr>
          <w:rFonts w:hint="eastAsia" w:ascii="仿宋_GB2312" w:hAnsi="仿宋_GB2312" w:eastAsia="仿宋_GB2312" w:cs="仿宋_GB2312"/>
          <w:b/>
          <w:color w:val="000000"/>
          <w:kern w:val="2"/>
          <w:sz w:val="32"/>
          <w:szCs w:val="24"/>
          <w:lang w:val="en-US" w:eastAsia="zh-CN"/>
        </w:rPr>
        <w:t>九</w:t>
      </w:r>
      <w:r>
        <w:rPr>
          <w:rFonts w:hint="eastAsia" w:ascii="仿宋_GB2312" w:hAnsi="仿宋_GB2312" w:eastAsia="仿宋_GB2312" w:cs="仿宋_GB2312"/>
          <w:b/>
          <w:color w:val="000000"/>
          <w:kern w:val="2"/>
          <w:sz w:val="32"/>
          <w:szCs w:val="24"/>
          <w:lang w:val="en-US"/>
        </w:rPr>
        <w:t>、基本支出：</w:t>
      </w:r>
      <w:r>
        <w:rPr>
          <w:rFonts w:hint="eastAsia" w:ascii="仿宋_GB2312" w:hAnsi="仿宋_GB2312" w:eastAsia="仿宋_GB2312" w:cs="仿宋_GB2312"/>
          <w:color w:val="000000"/>
          <w:kern w:val="2"/>
          <w:sz w:val="32"/>
          <w:szCs w:val="24"/>
          <w:lang w:val="en-US"/>
        </w:rPr>
        <w:t>指为保障机构正常运转、完成日常工作任务而发生的人员支出和公用支出。</w:t>
      </w:r>
    </w:p>
    <w:p>
      <w:pPr>
        <w:spacing w:line="576" w:lineRule="exact"/>
        <w:ind w:firstLine="640"/>
        <w:jc w:val="both"/>
        <w:rPr>
          <w:rFonts w:hint="eastAsia" w:ascii="仿宋_GB2312" w:hAnsi="仿宋_GB2312" w:eastAsia="仿宋_GB2312" w:cs="仿宋_GB2312"/>
          <w:color w:val="000000"/>
          <w:kern w:val="2"/>
          <w:sz w:val="32"/>
          <w:szCs w:val="24"/>
          <w:lang w:val="en-US"/>
        </w:rPr>
      </w:pPr>
      <w:r>
        <w:rPr>
          <w:rFonts w:hint="eastAsia" w:ascii="仿宋_GB2312" w:hAnsi="仿宋_GB2312" w:eastAsia="仿宋_GB2312" w:cs="仿宋_GB2312"/>
          <w:b/>
          <w:color w:val="000000"/>
          <w:kern w:val="2"/>
          <w:sz w:val="32"/>
          <w:szCs w:val="24"/>
          <w:lang w:val="en-US" w:eastAsia="zh-CN"/>
        </w:rPr>
        <w:t>三十</w:t>
      </w:r>
      <w:r>
        <w:rPr>
          <w:rFonts w:hint="eastAsia" w:ascii="仿宋_GB2312" w:hAnsi="仿宋_GB2312" w:eastAsia="仿宋_GB2312" w:cs="仿宋_GB2312"/>
          <w:b/>
          <w:color w:val="000000"/>
          <w:kern w:val="2"/>
          <w:sz w:val="32"/>
          <w:szCs w:val="24"/>
          <w:lang w:val="en-US"/>
        </w:rPr>
        <w:t>、项目支出</w:t>
      </w:r>
      <w:r>
        <w:rPr>
          <w:rFonts w:hint="eastAsia" w:ascii="仿宋_GB2312" w:hAnsi="仿宋_GB2312" w:eastAsia="仿宋_GB2312" w:cs="仿宋_GB2312"/>
          <w:color w:val="000000"/>
          <w:kern w:val="2"/>
          <w:sz w:val="32"/>
          <w:szCs w:val="24"/>
          <w:lang w:val="en-US"/>
        </w:rPr>
        <w:t xml:space="preserve">：指在基本支出之外为完成特定行政任务和事业发展目标所发生的支出。 </w:t>
      </w:r>
    </w:p>
    <w:p>
      <w:pPr>
        <w:spacing w:line="576" w:lineRule="exact"/>
        <w:ind w:firstLine="640"/>
        <w:rPr>
          <w:rFonts w:hint="eastAsia" w:ascii="仿宋_GB2312" w:hAnsi="仿宋_GB2312" w:eastAsia="仿宋_GB2312" w:cs="仿宋_GB2312"/>
          <w:color w:val="000000"/>
          <w:sz w:val="32"/>
          <w:szCs w:val="24"/>
          <w:lang w:val="en-US"/>
        </w:rPr>
      </w:pPr>
      <w:r>
        <w:rPr>
          <w:rFonts w:hint="eastAsia" w:ascii="仿宋_GB2312" w:hAnsi="仿宋_GB2312" w:eastAsia="仿宋_GB2312" w:cs="仿宋_GB2312"/>
          <w:b/>
          <w:color w:val="000000"/>
          <w:sz w:val="32"/>
          <w:szCs w:val="24"/>
          <w:lang w:val="en-US"/>
        </w:rPr>
        <w:t>三十</w:t>
      </w:r>
      <w:r>
        <w:rPr>
          <w:rFonts w:hint="eastAsia" w:ascii="仿宋_GB2312" w:hAnsi="仿宋_GB2312" w:eastAsia="仿宋_GB2312" w:cs="仿宋_GB2312"/>
          <w:b/>
          <w:color w:val="000000"/>
          <w:sz w:val="32"/>
          <w:szCs w:val="24"/>
          <w:lang w:val="en-US" w:eastAsia="zh-CN"/>
        </w:rPr>
        <w:t>一</w:t>
      </w:r>
      <w:r>
        <w:rPr>
          <w:rFonts w:hint="eastAsia" w:ascii="仿宋_GB2312" w:hAnsi="仿宋_GB2312" w:eastAsia="仿宋_GB2312" w:cs="仿宋_GB2312"/>
          <w:b/>
          <w:color w:val="000000"/>
          <w:sz w:val="32"/>
          <w:szCs w:val="24"/>
          <w:lang w:val="en-US"/>
        </w:rPr>
        <w:t>、“三公”经费</w:t>
      </w:r>
      <w:r>
        <w:rPr>
          <w:rFonts w:hint="eastAsia" w:ascii="仿宋_GB2312" w:hAnsi="仿宋_GB2312" w:eastAsia="仿宋_GB2312" w:cs="仿宋_GB2312"/>
          <w:color w:val="000000"/>
          <w:sz w:val="32"/>
          <w:szCs w:val="24"/>
          <w:lang w:val="en-US"/>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rPr>
          <w:rFonts w:hint="eastAsia" w:ascii="仿宋_GB2312" w:hAnsi="仿宋_GB2312" w:eastAsia="仿宋_GB2312" w:cs="仿宋_GB2312"/>
          <w:color w:val="000000"/>
          <w:sz w:val="32"/>
          <w:szCs w:val="24"/>
          <w:lang w:val="en-US"/>
        </w:rPr>
      </w:pPr>
      <w:r>
        <w:rPr>
          <w:rFonts w:hint="eastAsia" w:ascii="仿宋_GB2312" w:hAnsi="仿宋_GB2312" w:eastAsia="仿宋_GB2312" w:cs="仿宋_GB2312"/>
          <w:b/>
          <w:color w:val="000000"/>
          <w:sz w:val="32"/>
          <w:szCs w:val="24"/>
          <w:lang w:val="en-US"/>
        </w:rPr>
        <w:t>三十</w:t>
      </w:r>
      <w:r>
        <w:rPr>
          <w:rFonts w:hint="eastAsia" w:ascii="仿宋_GB2312" w:hAnsi="仿宋_GB2312" w:eastAsia="仿宋_GB2312" w:cs="仿宋_GB2312"/>
          <w:b/>
          <w:color w:val="000000"/>
          <w:sz w:val="32"/>
          <w:szCs w:val="24"/>
          <w:lang w:val="en-US" w:eastAsia="zh-CN"/>
        </w:rPr>
        <w:t>二</w:t>
      </w:r>
      <w:r>
        <w:rPr>
          <w:rFonts w:hint="eastAsia" w:ascii="仿宋_GB2312" w:hAnsi="仿宋_GB2312" w:eastAsia="仿宋_GB2312" w:cs="仿宋_GB2312"/>
          <w:b/>
          <w:color w:val="000000"/>
          <w:sz w:val="32"/>
          <w:szCs w:val="24"/>
          <w:lang w:val="en-US"/>
        </w:rPr>
        <w:t>、机关运行经费：</w:t>
      </w:r>
      <w:r>
        <w:rPr>
          <w:rFonts w:hint="eastAsia" w:ascii="仿宋_GB2312" w:hAnsi="仿宋_GB2312" w:eastAsia="仿宋_GB2312" w:cs="仿宋_GB2312"/>
          <w:color w:val="000000"/>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6" w:lineRule="exact"/>
        <w:rPr>
          <w:rFonts w:hint="eastAsia" w:ascii="黑体" w:hAnsi="黑体" w:eastAsia="黑体"/>
          <w:color w:val="000000"/>
          <w:kern w:val="2"/>
          <w:sz w:val="44"/>
          <w:szCs w:val="24"/>
          <w:lang w:val="en-US"/>
        </w:rPr>
      </w:pPr>
    </w:p>
    <w:p>
      <w:pPr>
        <w:spacing w:line="576" w:lineRule="exact"/>
        <w:rPr>
          <w:rFonts w:hint="eastAsia"/>
          <w:sz w:val="24"/>
          <w:szCs w:val="24"/>
        </w:rPr>
      </w:pPr>
    </w:p>
    <w:p>
      <w:pPr>
        <w:spacing w:line="576" w:lineRule="exact"/>
        <w:rPr>
          <w:rFonts w:hint="eastAsia"/>
          <w:sz w:val="24"/>
          <w:szCs w:val="24"/>
        </w:rPr>
      </w:pPr>
    </w:p>
    <w:p>
      <w:pPr>
        <w:spacing w:line="576" w:lineRule="exact"/>
        <w:rPr>
          <w:rFonts w:hint="eastAsia"/>
          <w:sz w:val="24"/>
          <w:szCs w:val="24"/>
        </w:rPr>
      </w:pPr>
    </w:p>
    <w:p>
      <w:pPr>
        <w:spacing w:line="576" w:lineRule="exact"/>
        <w:rPr>
          <w:rFonts w:hint="eastAsia"/>
          <w:sz w:val="24"/>
          <w:szCs w:val="24"/>
        </w:rPr>
      </w:pPr>
    </w:p>
    <w:p>
      <w:pPr>
        <w:spacing w:line="576" w:lineRule="exact"/>
        <w:rPr>
          <w:rFonts w:hint="eastAsia"/>
          <w:sz w:val="24"/>
          <w:szCs w:val="24"/>
        </w:rPr>
      </w:pPr>
    </w:p>
    <w:p>
      <w:pPr>
        <w:spacing w:line="576" w:lineRule="exact"/>
        <w:rPr>
          <w:rFonts w:hint="eastAsia"/>
          <w:sz w:val="24"/>
          <w:szCs w:val="24"/>
        </w:rPr>
      </w:pPr>
    </w:p>
    <w:p>
      <w:pPr>
        <w:spacing w:line="576" w:lineRule="exact"/>
        <w:rPr>
          <w:rFonts w:hint="eastAsia"/>
          <w:sz w:val="24"/>
          <w:szCs w:val="24"/>
        </w:rPr>
      </w:pPr>
    </w:p>
    <w:p>
      <w:pPr>
        <w:spacing w:line="576" w:lineRule="exact"/>
        <w:rPr>
          <w:rFonts w:hint="eastAsia"/>
          <w:sz w:val="24"/>
          <w:szCs w:val="24"/>
        </w:rPr>
      </w:pPr>
    </w:p>
    <w:p>
      <w:pPr>
        <w:spacing w:line="576" w:lineRule="exact"/>
        <w:rPr>
          <w:rFonts w:hint="eastAsia"/>
          <w:sz w:val="24"/>
          <w:szCs w:val="24"/>
        </w:rPr>
      </w:pPr>
    </w:p>
    <w:p>
      <w:pPr>
        <w:spacing w:line="576" w:lineRule="exact"/>
        <w:rPr>
          <w:rFonts w:hint="eastAsia"/>
          <w:sz w:val="24"/>
          <w:szCs w:val="24"/>
        </w:rPr>
      </w:pPr>
    </w:p>
    <w:p>
      <w:pPr>
        <w:topLinePunct/>
        <w:autoSpaceDE/>
        <w:autoSpaceDN/>
        <w:spacing w:before="292" w:beforeLines="50" w:after="292" w:afterLines="50" w:line="576" w:lineRule="exact"/>
        <w:jc w:val="center"/>
        <w:outlineLvl w:val="0"/>
        <w:rPr>
          <w:rFonts w:hint="eastAsia" w:ascii="黑体" w:hAnsi="黑体" w:eastAsia="黑体"/>
          <w:color w:val="auto"/>
          <w:kern w:val="44"/>
          <w:sz w:val="44"/>
          <w:szCs w:val="24"/>
          <w:lang w:val="en-US"/>
        </w:rPr>
      </w:pPr>
      <w:bookmarkStart w:id="27" w:name="_Toc5397"/>
      <w:r>
        <w:rPr>
          <w:rFonts w:hint="eastAsia" w:ascii="黑体" w:hAnsi="黑体" w:eastAsia="黑体"/>
          <w:color w:val="000000"/>
          <w:kern w:val="2"/>
          <w:sz w:val="44"/>
          <w:szCs w:val="24"/>
          <w:lang w:val="en-US"/>
        </w:rPr>
        <w:t>第</w:t>
      </w:r>
      <w:r>
        <w:rPr>
          <w:rFonts w:hint="eastAsia" w:ascii="黑体" w:hAnsi="黑体" w:eastAsia="黑体"/>
          <w:color w:val="auto"/>
          <w:kern w:val="44"/>
          <w:sz w:val="44"/>
          <w:szCs w:val="24"/>
          <w:lang w:val="en-US"/>
        </w:rPr>
        <w:t>四部分 附件</w:t>
      </w:r>
      <w:bookmarkEnd w:id="27"/>
    </w:p>
    <w:p>
      <w:pPr>
        <w:keepNext/>
        <w:keepLines/>
        <w:spacing w:line="576" w:lineRule="exact"/>
        <w:outlineLvl w:val="1"/>
        <w:rPr>
          <w:rFonts w:hint="eastAsia" w:ascii="方正小标宋简体" w:hAnsi="方正小标宋简体" w:eastAsia="方正小标宋简体"/>
          <w:color w:val="auto"/>
          <w:kern w:val="2"/>
          <w:sz w:val="44"/>
          <w:szCs w:val="24"/>
          <w:lang w:val="en-US"/>
        </w:rPr>
      </w:pPr>
      <w:bookmarkStart w:id="28" w:name="_Toc12573"/>
      <w:r>
        <w:rPr>
          <w:rFonts w:hint="eastAsia" w:ascii="黑体" w:hAnsi="黑体" w:eastAsia="黑体"/>
          <w:color w:val="auto"/>
          <w:kern w:val="2"/>
          <w:sz w:val="32"/>
          <w:szCs w:val="24"/>
          <w:lang w:val="en-US"/>
        </w:rPr>
        <w:t>附件1</w:t>
      </w:r>
      <w:bookmarkEnd w:id="28"/>
    </w:p>
    <w:p>
      <w:pPr>
        <w:keepNext/>
        <w:keepLines/>
        <w:spacing w:line="576" w:lineRule="exact"/>
        <w:jc w:val="center"/>
        <w:outlineLvl w:val="9"/>
        <w:rPr>
          <w:rFonts w:hint="eastAsia" w:ascii="黑体" w:hAnsi="黑体" w:eastAsia="黑体"/>
          <w:color w:val="000000"/>
          <w:sz w:val="44"/>
          <w:szCs w:val="24"/>
          <w:lang w:val="en-US" w:eastAsia="zh-CN"/>
        </w:rPr>
      </w:pPr>
      <w:r>
        <w:rPr>
          <w:rFonts w:hint="eastAsia" w:ascii="黑体" w:hAnsi="黑体" w:eastAsia="黑体"/>
          <w:color w:val="000000"/>
          <w:sz w:val="44"/>
          <w:szCs w:val="24"/>
          <w:lang w:val="en-US" w:eastAsia="zh-CN"/>
        </w:rPr>
        <w:t>广元市朝天区发展和改革局</w:t>
      </w:r>
    </w:p>
    <w:p>
      <w:pPr>
        <w:keepNext/>
        <w:keepLines/>
        <w:spacing w:line="576" w:lineRule="exact"/>
        <w:jc w:val="center"/>
        <w:outlineLvl w:val="9"/>
        <w:rPr>
          <w:rFonts w:hint="eastAsia" w:ascii="黑体" w:hAnsi="黑体" w:eastAsia="黑体"/>
          <w:color w:val="000000"/>
          <w:sz w:val="44"/>
          <w:szCs w:val="24"/>
          <w:lang w:val="zh-CN"/>
        </w:rPr>
      </w:pPr>
      <w:r>
        <w:rPr>
          <w:rFonts w:hint="eastAsia" w:ascii="黑体" w:hAnsi="黑体" w:eastAsia="黑体"/>
          <w:color w:val="000000"/>
          <w:sz w:val="44"/>
          <w:szCs w:val="24"/>
          <w:lang w:val="en-US"/>
        </w:rPr>
        <w:t>2023年</w:t>
      </w:r>
      <w:r>
        <w:rPr>
          <w:rFonts w:hint="eastAsia" w:ascii="黑体" w:hAnsi="黑体" w:eastAsia="黑体"/>
          <w:color w:val="000000"/>
          <w:sz w:val="44"/>
          <w:szCs w:val="24"/>
          <w:lang w:val="en-US" w:eastAsia="zh-CN"/>
        </w:rPr>
        <w:t>部门整体</w:t>
      </w:r>
      <w:r>
        <w:rPr>
          <w:rFonts w:hint="eastAsia" w:ascii="黑体" w:hAnsi="黑体" w:eastAsia="黑体"/>
          <w:color w:val="000000"/>
          <w:sz w:val="44"/>
          <w:szCs w:val="24"/>
          <w:lang w:val="en-US"/>
        </w:rPr>
        <w:t>预算</w:t>
      </w:r>
      <w:r>
        <w:rPr>
          <w:rFonts w:hint="eastAsia" w:ascii="黑体" w:hAnsi="黑体" w:eastAsia="黑体"/>
          <w:color w:val="000000"/>
          <w:sz w:val="44"/>
          <w:szCs w:val="24"/>
          <w:lang w:val="zh-CN"/>
        </w:rPr>
        <w:t>绩效评价报告</w:t>
      </w:r>
    </w:p>
    <w:p>
      <w:pPr>
        <w:keepNext/>
        <w:keepLines/>
        <w:spacing w:line="576" w:lineRule="exact"/>
        <w:jc w:val="both"/>
        <w:outlineLvl w:val="9"/>
        <w:rPr>
          <w:rFonts w:hint="eastAsia" w:ascii="仿宋_GB2312" w:hAnsi="仿宋_GB2312" w:eastAsia="仿宋_GB2312"/>
          <w:i/>
          <w:color w:val="auto"/>
          <w:kern w:val="2"/>
          <w:sz w:val="32"/>
          <w:szCs w:val="24"/>
          <w:lang w:val="en-US"/>
        </w:rPr>
      </w:pPr>
    </w:p>
    <w:p>
      <w:pPr>
        <w:keepNext/>
        <w:keepLines/>
        <w:numPr>
          <w:ilvl w:val="0"/>
          <w:numId w:val="0"/>
        </w:numPr>
        <w:tabs>
          <w:tab w:val="left" w:pos="420"/>
        </w:tabs>
        <w:spacing w:line="576" w:lineRule="exact"/>
        <w:ind w:leftChars="200"/>
        <w:outlineLvl w:val="9"/>
        <w:rPr>
          <w:rFonts w:hint="eastAsia" w:ascii="黑体" w:hAnsi="黑体" w:eastAsia="黑体" w:cs="黑体"/>
          <w:color w:val="000000"/>
          <w:sz w:val="32"/>
          <w:szCs w:val="24"/>
          <w:lang w:val="zh-CN"/>
        </w:rPr>
      </w:pPr>
      <w:r>
        <w:rPr>
          <w:rFonts w:hint="eastAsia" w:ascii="黑体" w:hAnsi="黑体" w:eastAsia="黑体" w:cs="黑体"/>
          <w:color w:val="000000"/>
          <w:sz w:val="32"/>
          <w:szCs w:val="24"/>
          <w:lang w:val="en-US" w:eastAsia="zh-CN"/>
        </w:rPr>
        <w:t>一、</w:t>
      </w:r>
      <w:r>
        <w:rPr>
          <w:rFonts w:hint="eastAsia" w:ascii="黑体" w:hAnsi="黑体" w:eastAsia="黑体" w:cs="黑体"/>
          <w:color w:val="000000"/>
          <w:sz w:val="32"/>
          <w:szCs w:val="24"/>
          <w:lang w:val="zh-CN"/>
        </w:rPr>
        <w:t>部门基本情况</w:t>
      </w:r>
    </w:p>
    <w:p>
      <w:pPr>
        <w:keepNext/>
        <w:keepLines/>
        <w:spacing w:line="576" w:lineRule="exact"/>
        <w:ind w:firstLine="643"/>
        <w:outlineLvl w:val="9"/>
        <w:rPr>
          <w:rFonts w:hint="eastAsia" w:ascii="仿宋_GB2312" w:hAnsi="仿宋_GB2312" w:eastAsia="仿宋_GB2312"/>
          <w:b/>
          <w:i/>
          <w:color w:val="000000"/>
          <w:sz w:val="32"/>
          <w:szCs w:val="24"/>
          <w:highlight w:val="white"/>
          <w:lang w:val="zh-CN"/>
        </w:rPr>
      </w:pPr>
      <w:bookmarkStart w:id="29" w:name="_Toc31300"/>
      <w:r>
        <w:rPr>
          <w:rFonts w:hint="eastAsia" w:ascii="仿宋_GB2312" w:hAnsi="仿宋_GB2312" w:eastAsia="仿宋_GB2312"/>
          <w:b/>
          <w:color w:val="000000"/>
          <w:sz w:val="32"/>
          <w:szCs w:val="24"/>
          <w:lang w:val="zh-CN"/>
        </w:rPr>
        <w:t>（一）机构组成。</w:t>
      </w:r>
      <w:bookmarkEnd w:id="29"/>
    </w:p>
    <w:p>
      <w:pPr>
        <w:numPr>
          <w:ilvl w:val="0"/>
          <w:numId w:val="0"/>
        </w:numPr>
        <w:autoSpaceDE/>
        <w:autoSpaceDN/>
        <w:spacing w:line="576" w:lineRule="exact"/>
        <w:ind w:firstLine="63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发改局属一级预算单位，无下属二级预算单位。局内设股室10个，分别是国民经济综合和体改股、人事财务股、办公室、党办、产业发展和能源环资股、政策法规和招投标管理股、价格管理股、项目审批储备股、项目协调管理股、粮食仓储流通和调控股。</w:t>
      </w:r>
    </w:p>
    <w:p>
      <w:pPr>
        <w:numPr>
          <w:ilvl w:val="0"/>
          <w:numId w:val="0"/>
        </w:numPr>
        <w:autoSpaceDE/>
        <w:autoSpaceDN/>
        <w:spacing w:line="576" w:lineRule="exact"/>
        <w:ind w:firstLine="632" w:firstLineChars="200"/>
        <w:jc w:val="both"/>
        <w:rPr>
          <w:rFonts w:hint="eastAsia" w:ascii="仿宋_GB2312" w:hAnsi="仿宋_GB2312" w:eastAsia="仿宋_GB2312"/>
          <w:b/>
          <w:color w:val="000000"/>
          <w:sz w:val="32"/>
          <w:szCs w:val="24"/>
          <w:lang w:val="zh-CN"/>
        </w:rPr>
      </w:pPr>
      <w:bookmarkStart w:id="30" w:name="_Toc15002"/>
      <w:r>
        <w:rPr>
          <w:rFonts w:hint="eastAsia" w:ascii="仿宋_GB2312" w:hAnsi="仿宋_GB2312" w:eastAsia="仿宋_GB2312"/>
          <w:b/>
          <w:color w:val="000000"/>
          <w:sz w:val="32"/>
          <w:szCs w:val="24"/>
          <w:lang w:val="zh-CN"/>
        </w:rPr>
        <w:t>（二）机构职能。</w:t>
      </w:r>
      <w:bookmarkEnd w:id="30"/>
    </w:p>
    <w:p>
      <w:pPr>
        <w:numPr>
          <w:ilvl w:val="0"/>
          <w:numId w:val="0"/>
        </w:numPr>
        <w:autoSpaceDE/>
        <w:autoSpaceDN/>
        <w:spacing w:line="576" w:lineRule="exact"/>
        <w:ind w:firstLine="63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rPr>
        <w:t>贯彻执行国家、省市国民经济和社会发展的战略、方针和政策，研究提出相应的对策措施；拟订并组织实施全区经济和社会发展战略、中长期规划和年度计划</w:t>
      </w:r>
      <w:r>
        <w:rPr>
          <w:rFonts w:hint="eastAsia" w:ascii="仿宋_GB2312" w:hAnsi="仿宋_GB2312" w:eastAsia="仿宋_GB2312" w:cs="仿宋_GB2312"/>
          <w:sz w:val="32"/>
          <w:szCs w:val="32"/>
          <w:lang w:eastAsia="zh-CN"/>
        </w:rPr>
        <w:t>。</w:t>
      </w:r>
    </w:p>
    <w:p>
      <w:pPr>
        <w:autoSpaceDE/>
        <w:autoSpaceDN/>
        <w:spacing w:line="576"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研究分析区内外经济形势和发展情况，进行宏观经济的预测、预警。</w:t>
      </w:r>
    </w:p>
    <w:p>
      <w:pPr>
        <w:autoSpaceDE/>
        <w:autoSpaceDN/>
        <w:spacing w:line="576"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研究全区经济体制改革和对外开放的综合性、全局性问题及对策，提出以改革开放促进发展的建议，协调发展与改革中的重大问题</w:t>
      </w:r>
      <w:r>
        <w:rPr>
          <w:rFonts w:hint="eastAsia" w:ascii="仿宋_GB2312" w:hAnsi="仿宋_GB2312" w:eastAsia="仿宋_GB2312" w:cs="仿宋_GB2312"/>
          <w:sz w:val="32"/>
          <w:szCs w:val="32"/>
          <w:lang w:eastAsia="zh-CN"/>
        </w:rPr>
        <w:t>。</w:t>
      </w:r>
    </w:p>
    <w:p>
      <w:pPr>
        <w:autoSpaceDE/>
        <w:autoSpaceDN/>
        <w:spacing w:line="576"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提出全区固定资产投资总规模、投资结构，编制年度投资计划；研究提出有关重大投资政策，规划重大项目和生产力布局。</w:t>
      </w:r>
    </w:p>
    <w:p>
      <w:pPr>
        <w:autoSpaceDE/>
        <w:autoSpaceDN/>
        <w:spacing w:line="576"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研究分析全区经济结构的状况，提出全区重要经济产业的发展战略和规划，推进产业结构战略性调整和升级。</w:t>
      </w:r>
    </w:p>
    <w:p>
      <w:pPr>
        <w:autoSpaceDE/>
        <w:autoSpaceDN/>
        <w:spacing w:line="576"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促进城乡区域协调发展。</w:t>
      </w:r>
    </w:p>
    <w:p>
      <w:pPr>
        <w:autoSpaceDE/>
        <w:autoSpaceDN/>
        <w:spacing w:line="576" w:lineRule="exact"/>
        <w:ind w:firstLine="608" w:firstLineChars="200"/>
        <w:jc w:val="both"/>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spacing w:val="-6"/>
          <w:sz w:val="32"/>
          <w:szCs w:val="32"/>
          <w:lang w:val="en-US" w:eastAsia="zh-CN"/>
        </w:rPr>
        <w:t>7.</w:t>
      </w:r>
      <w:r>
        <w:rPr>
          <w:rFonts w:hint="eastAsia" w:ascii="仿宋_GB2312" w:hAnsi="仿宋_GB2312" w:eastAsia="仿宋_GB2312" w:cs="仿宋_GB2312"/>
          <w:spacing w:val="-6"/>
          <w:sz w:val="32"/>
          <w:szCs w:val="32"/>
        </w:rPr>
        <w:t>推进可持续发展，负责全区节能减排的综合协调工作。</w:t>
      </w:r>
    </w:p>
    <w:p>
      <w:pPr>
        <w:autoSpaceDE/>
        <w:autoSpaceDN/>
        <w:spacing w:line="576"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负责管理指导和协调</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全区</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招标投标工作。</w:t>
      </w:r>
    </w:p>
    <w:p>
      <w:pPr>
        <w:autoSpaceDE/>
        <w:autoSpaceDN/>
        <w:spacing w:line="576"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负责区内物资价格监测和行政事业性、涉企收费定价管理工作。</w:t>
      </w:r>
    </w:p>
    <w:p>
      <w:pPr>
        <w:autoSpaceDE/>
        <w:autoSpaceDN/>
        <w:spacing w:line="576"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负责全区粮食物资储备及安全管理工作。</w:t>
      </w:r>
    </w:p>
    <w:p>
      <w:pPr>
        <w:numPr>
          <w:ilvl w:val="0"/>
          <w:numId w:val="0"/>
        </w:numPr>
        <w:autoSpaceDE/>
        <w:autoSpaceDN/>
        <w:adjustRightInd/>
        <w:spacing w:line="576" w:lineRule="exact"/>
        <w:ind w:firstLine="632" w:firstLineChars="200"/>
        <w:rPr>
          <w:rFonts w:hint="eastAsia" w:ascii="仿宋_GB2312" w:hAnsi="仿宋_GB2312" w:eastAsia="仿宋_GB2312"/>
          <w:b/>
          <w:color w:val="000000"/>
          <w:sz w:val="32"/>
          <w:szCs w:val="24"/>
          <w:lang w:val="zh-CN"/>
        </w:rPr>
      </w:pPr>
      <w:bookmarkStart w:id="31" w:name="_Toc5387"/>
      <w:r>
        <w:rPr>
          <w:rFonts w:hint="eastAsia" w:ascii="仿宋_GB2312" w:hAnsi="仿宋_GB2312" w:eastAsia="仿宋_GB2312"/>
          <w:b/>
          <w:color w:val="000000"/>
          <w:sz w:val="32"/>
          <w:szCs w:val="24"/>
          <w:lang w:val="zh-CN"/>
        </w:rPr>
        <w:t>（三）人员概况。</w:t>
      </w:r>
      <w:bookmarkEnd w:id="31"/>
    </w:p>
    <w:p>
      <w:pPr>
        <w:numPr>
          <w:ilvl w:val="0"/>
          <w:numId w:val="0"/>
        </w:numPr>
        <w:autoSpaceDE/>
        <w:autoSpaceDN/>
        <w:adjustRightInd/>
        <w:spacing w:line="576" w:lineRule="exact"/>
        <w:ind w:firstLine="632"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部门人员</w:t>
      </w:r>
      <w:r>
        <w:rPr>
          <w:rFonts w:hint="eastAsia" w:ascii="仿宋_GB2312" w:hAnsi="仿宋_GB2312" w:eastAsia="仿宋_GB2312" w:cs="仿宋_GB2312"/>
          <w:sz w:val="32"/>
          <w:szCs w:val="32"/>
        </w:rPr>
        <w:t>编制数</w:t>
      </w:r>
      <w:r>
        <w:rPr>
          <w:rFonts w:hint="eastAsia" w:ascii="仿宋_GB2312" w:hAnsi="仿宋_GB2312" w:eastAsia="仿宋_GB2312" w:cs="仿宋_GB2312"/>
          <w:sz w:val="32"/>
          <w:szCs w:val="32"/>
          <w:lang w:val="en-US" w:eastAsia="zh-CN"/>
        </w:rPr>
        <w:t>41个</w:t>
      </w:r>
      <w:r>
        <w:rPr>
          <w:rFonts w:hint="eastAsia" w:ascii="仿宋_GB2312" w:hAnsi="仿宋_GB2312" w:eastAsia="仿宋_GB2312" w:cs="仿宋_GB2312"/>
          <w:sz w:val="32"/>
          <w:szCs w:val="32"/>
        </w:rPr>
        <w:t>，其中：行政编制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参公编</w:t>
      </w:r>
      <w:r>
        <w:rPr>
          <w:rFonts w:hint="eastAsia" w:ascii="仿宋_GB2312" w:hAnsi="仿宋_GB2312" w:eastAsia="仿宋_GB2312" w:cs="仿宋_GB2312"/>
          <w:sz w:val="32"/>
          <w:szCs w:val="32"/>
          <w:lang w:val="en-US" w:eastAsia="zh-CN"/>
        </w:rPr>
        <w:t>9个，</w:t>
      </w:r>
      <w:r>
        <w:rPr>
          <w:rFonts w:hint="eastAsia" w:ascii="仿宋_GB2312" w:hAnsi="仿宋_GB2312" w:eastAsia="仿宋_GB2312" w:cs="仿宋_GB2312"/>
          <w:sz w:val="32"/>
          <w:szCs w:val="32"/>
        </w:rPr>
        <w:t>事业编制2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人，工勤编2人。2</w:t>
      </w:r>
      <w:r>
        <w:rPr>
          <w:rFonts w:hint="eastAsia" w:ascii="仿宋_GB2312" w:hAnsi="仿宋_GB2312" w:eastAsia="仿宋_GB2312" w:cs="仿宋_GB2312"/>
          <w:color w:val="000000"/>
          <w:sz w:val="32"/>
          <w:szCs w:val="32"/>
          <w:lang w:val="en-US" w:eastAsia="zh-CN"/>
        </w:rPr>
        <w:t>023年底实有在职人员40人，其中：行政人员8人，参公人员6个，事业人员20人，工勤人员6人。</w:t>
      </w:r>
    </w:p>
    <w:p>
      <w:pPr>
        <w:keepNext/>
        <w:keepLines/>
        <w:numPr>
          <w:ilvl w:val="0"/>
          <w:numId w:val="0"/>
        </w:numPr>
        <w:tabs>
          <w:tab w:val="left" w:pos="420"/>
        </w:tabs>
        <w:spacing w:line="576" w:lineRule="exact"/>
        <w:ind w:leftChars="200"/>
        <w:outlineLvl w:val="9"/>
        <w:rPr>
          <w:rFonts w:hint="eastAsia" w:ascii="黑体" w:hAnsi="黑体" w:eastAsia="黑体" w:cs="黑体"/>
          <w:color w:val="000000"/>
          <w:sz w:val="32"/>
          <w:szCs w:val="24"/>
          <w:lang w:val="en-US"/>
        </w:rPr>
      </w:pPr>
      <w:r>
        <w:rPr>
          <w:rFonts w:hint="eastAsia" w:ascii="黑体" w:hAnsi="黑体" w:eastAsia="黑体" w:cs="黑体"/>
          <w:color w:val="000000"/>
          <w:sz w:val="32"/>
          <w:szCs w:val="24"/>
          <w:lang w:val="en-US" w:eastAsia="zh-CN"/>
        </w:rPr>
        <w:t>二、</w:t>
      </w:r>
      <w:r>
        <w:rPr>
          <w:rFonts w:hint="eastAsia" w:ascii="黑体" w:hAnsi="黑体" w:eastAsia="黑体" w:cs="黑体"/>
          <w:color w:val="000000"/>
          <w:sz w:val="32"/>
          <w:szCs w:val="24"/>
          <w:lang w:val="en-US"/>
        </w:rPr>
        <w:t>部门资金收支情况</w:t>
      </w:r>
    </w:p>
    <w:p>
      <w:pPr>
        <w:numPr>
          <w:ilvl w:val="0"/>
          <w:numId w:val="0"/>
        </w:numPr>
        <w:autoSpaceDE/>
        <w:autoSpaceDN/>
        <w:adjustRightInd/>
        <w:spacing w:line="576" w:lineRule="exact"/>
        <w:ind w:firstLine="632" w:firstLineChars="200"/>
        <w:rPr>
          <w:rFonts w:hint="eastAsia" w:ascii="楷体_GB2312" w:hAnsi="楷体_GB2312" w:eastAsia="楷体_GB2312"/>
          <w:b/>
          <w:color w:val="000000"/>
          <w:sz w:val="32"/>
          <w:szCs w:val="24"/>
          <w:lang w:val="en-US"/>
        </w:rPr>
      </w:pPr>
      <w:bookmarkStart w:id="32" w:name="_Toc32238"/>
      <w:r>
        <w:rPr>
          <w:rFonts w:hint="eastAsia" w:ascii="楷体_GB2312" w:hAnsi="楷体_GB2312" w:eastAsia="楷体_GB2312"/>
          <w:b/>
          <w:color w:val="000000"/>
          <w:sz w:val="32"/>
          <w:szCs w:val="24"/>
          <w:lang w:val="en-US" w:eastAsia="zh-CN"/>
        </w:rPr>
        <w:t>（一）</w:t>
      </w:r>
      <w:r>
        <w:rPr>
          <w:rFonts w:hint="eastAsia" w:ascii="楷体_GB2312" w:hAnsi="楷体_GB2312" w:eastAsia="楷体_GB2312"/>
          <w:b/>
          <w:color w:val="000000"/>
          <w:sz w:val="32"/>
          <w:szCs w:val="24"/>
          <w:lang w:val="en-US"/>
        </w:rPr>
        <w:t>收入情况。</w:t>
      </w:r>
      <w:bookmarkEnd w:id="32"/>
    </w:p>
    <w:p>
      <w:pPr>
        <w:autoSpaceDE/>
        <w:autoSpaceDN/>
        <w:adjustRightInd/>
        <w:spacing w:line="576" w:lineRule="exact"/>
        <w:ind w:firstLine="632" w:firstLineChars="200"/>
        <w:rPr>
          <w:rFonts w:hint="eastAsia" w:ascii="仿宋_GB2312" w:hAnsi="仿宋_GB2312" w:eastAsia="仿宋_GB2312"/>
          <w:color w:val="000000"/>
          <w:sz w:val="32"/>
          <w:szCs w:val="24"/>
          <w:lang w:val="en-US"/>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年，本单位年初预算安排</w:t>
      </w:r>
      <w:r>
        <w:rPr>
          <w:rFonts w:hint="eastAsia" w:ascii="仿宋_GB2312" w:hAnsi="仿宋_GB2312" w:eastAsia="仿宋_GB2312" w:cs="仿宋_GB2312"/>
          <w:sz w:val="32"/>
          <w:szCs w:val="32"/>
          <w:lang w:val="en-US" w:eastAsia="zh-CN"/>
        </w:rPr>
        <w:t>1269.32万</w:t>
      </w:r>
      <w:r>
        <w:rPr>
          <w:rFonts w:hint="eastAsia" w:ascii="仿宋_GB2312" w:hAnsi="仿宋_GB2312" w:eastAsia="仿宋_GB2312" w:cs="仿宋_GB2312"/>
          <w:sz w:val="32"/>
          <w:szCs w:val="32"/>
          <w:lang w:eastAsia="zh-CN"/>
        </w:rPr>
        <w:t>元。年内调整追加人员经费</w:t>
      </w:r>
      <w:r>
        <w:rPr>
          <w:rFonts w:hint="eastAsia" w:ascii="仿宋_GB2312" w:hAnsi="仿宋_GB2312" w:eastAsia="仿宋_GB2312" w:cs="仿宋_GB2312"/>
          <w:sz w:val="32"/>
          <w:szCs w:val="32"/>
          <w:lang w:val="en-US" w:eastAsia="zh-CN"/>
        </w:rPr>
        <w:t>10.36</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lang w:val="en-US" w:eastAsia="zh-CN"/>
        </w:rPr>
        <w:t>元、项目工作经费453.96万元。全年共计预算收入1733.64万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1051.25</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154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机改单位合并人员经费及</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经费增加</w:t>
      </w:r>
      <w:r>
        <w:rPr>
          <w:rFonts w:hint="eastAsia" w:ascii="仿宋_GB2312" w:hAnsi="仿宋_GB2312" w:eastAsia="仿宋_GB2312" w:cs="仿宋_GB2312"/>
          <w:sz w:val="32"/>
          <w:szCs w:val="32"/>
        </w:rPr>
        <w:t>。</w:t>
      </w:r>
    </w:p>
    <w:p>
      <w:pPr>
        <w:keepNext/>
        <w:keepLines/>
        <w:spacing w:line="576" w:lineRule="exact"/>
        <w:ind w:firstLine="643"/>
        <w:rPr>
          <w:rFonts w:hint="eastAsia" w:ascii="楷体_GB2312" w:hAnsi="楷体_GB2312" w:eastAsia="楷体_GB2312"/>
          <w:b/>
          <w:color w:val="000000"/>
          <w:sz w:val="32"/>
          <w:szCs w:val="24"/>
          <w:lang w:val="en-US"/>
        </w:rPr>
      </w:pPr>
      <w:bookmarkStart w:id="33" w:name="_Toc31428"/>
      <w:r>
        <w:rPr>
          <w:rFonts w:hint="eastAsia" w:ascii="楷体_GB2312" w:hAnsi="楷体_GB2312" w:eastAsia="楷体_GB2312"/>
          <w:b/>
          <w:color w:val="000000"/>
          <w:sz w:val="32"/>
          <w:szCs w:val="24"/>
          <w:lang w:val="en-US"/>
        </w:rPr>
        <w:t>（二）支出情况。</w:t>
      </w:r>
      <w:bookmarkEnd w:id="33"/>
    </w:p>
    <w:p>
      <w:pPr>
        <w:autoSpaceDE/>
        <w:autoSpaceDN/>
        <w:adjustRightInd/>
        <w:spacing w:line="576"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年预算支出</w:t>
      </w:r>
      <w:r>
        <w:rPr>
          <w:rFonts w:hint="eastAsia" w:ascii="仿宋_GB2312" w:hAnsi="仿宋_GB2312" w:eastAsia="仿宋_GB2312" w:cs="仿宋_GB2312"/>
          <w:sz w:val="32"/>
          <w:szCs w:val="32"/>
          <w:lang w:val="en-US" w:eastAsia="zh-CN"/>
        </w:rPr>
        <w:t>1733.64</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其中：基本拨款支出</w:t>
      </w:r>
      <w:r>
        <w:rPr>
          <w:rFonts w:hint="eastAsia" w:ascii="仿宋_GB2312" w:hAnsi="仿宋_GB2312" w:eastAsia="仿宋_GB2312" w:cs="仿宋_GB2312"/>
          <w:sz w:val="32"/>
          <w:szCs w:val="32"/>
          <w:lang w:val="en-US" w:eastAsia="zh-CN"/>
        </w:rPr>
        <w:t>681.18</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219.33万元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%、项目拨款支出</w:t>
      </w:r>
      <w:r>
        <w:rPr>
          <w:rFonts w:hint="eastAsia" w:ascii="仿宋_GB2312" w:hAnsi="仿宋_GB2312" w:eastAsia="仿宋_GB2312" w:cs="仿宋_GB2312"/>
          <w:sz w:val="32"/>
          <w:szCs w:val="32"/>
          <w:lang w:val="en-US" w:eastAsia="zh-CN"/>
        </w:rPr>
        <w:t>1052.46</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831.92万元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机改单位合并人员经费及</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经费增加</w:t>
      </w:r>
      <w:r>
        <w:rPr>
          <w:rFonts w:hint="eastAsia" w:ascii="仿宋_GB2312" w:hAnsi="仿宋_GB2312" w:eastAsia="仿宋_GB2312" w:cs="仿宋_GB2312"/>
          <w:sz w:val="32"/>
          <w:szCs w:val="32"/>
        </w:rPr>
        <w:t>。</w:t>
      </w:r>
    </w:p>
    <w:p>
      <w:pPr>
        <w:numPr>
          <w:ilvl w:val="0"/>
          <w:numId w:val="3"/>
        </w:numPr>
        <w:autoSpaceDE/>
        <w:autoSpaceDN/>
        <w:adjustRightInd/>
        <w:spacing w:line="576" w:lineRule="exact"/>
        <w:ind w:firstLine="632" w:firstLineChars="200"/>
        <w:rPr>
          <w:rFonts w:hint="eastAsia" w:ascii="楷体_GB2312" w:hAnsi="楷体_GB2312" w:eastAsia="楷体_GB2312"/>
          <w:b/>
          <w:color w:val="000000"/>
          <w:sz w:val="32"/>
          <w:szCs w:val="24"/>
          <w:lang w:val="en-US"/>
        </w:rPr>
      </w:pPr>
      <w:bookmarkStart w:id="34" w:name="_Toc18261"/>
      <w:r>
        <w:rPr>
          <w:rFonts w:hint="eastAsia" w:ascii="楷体_GB2312" w:hAnsi="楷体_GB2312" w:eastAsia="楷体_GB2312"/>
          <w:b/>
          <w:color w:val="000000"/>
          <w:sz w:val="32"/>
          <w:szCs w:val="24"/>
          <w:lang w:val="en-US"/>
        </w:rPr>
        <w:t>结余分配和结转结余情况。</w:t>
      </w:r>
      <w:bookmarkEnd w:id="34"/>
    </w:p>
    <w:p>
      <w:pPr>
        <w:numPr>
          <w:ilvl w:val="0"/>
          <w:numId w:val="0"/>
        </w:numPr>
        <w:autoSpaceDE/>
        <w:autoSpaceDN/>
        <w:adjustRightInd/>
        <w:spacing w:line="576" w:lineRule="exact"/>
        <w:ind w:firstLine="632" w:firstLineChars="200"/>
        <w:rPr>
          <w:rFonts w:hint="eastAsia" w:ascii="仿宋_GB2312" w:hAnsi="仿宋_GB2312" w:eastAsia="仿宋_GB2312" w:cs="仿宋_GB2312"/>
          <w:color w:val="000000"/>
          <w:sz w:val="32"/>
          <w:szCs w:val="24"/>
          <w:lang w:val="en-US" w:eastAsia="zh-CN"/>
        </w:rPr>
      </w:pPr>
      <w:r>
        <w:rPr>
          <w:rFonts w:hint="eastAsia" w:ascii="仿宋_GB2312" w:hAnsi="仿宋_GB2312" w:eastAsia="仿宋_GB2312" w:cs="仿宋_GB2312"/>
          <w:color w:val="000000"/>
          <w:sz w:val="32"/>
          <w:szCs w:val="24"/>
          <w:lang w:val="zh-CN"/>
        </w:rPr>
        <w:t>年初结转结余项目资金</w:t>
      </w:r>
      <w:r>
        <w:rPr>
          <w:rFonts w:hint="eastAsia" w:ascii="仿宋_GB2312" w:hAnsi="仿宋_GB2312" w:eastAsia="仿宋_GB2312" w:cs="仿宋_GB2312"/>
          <w:color w:val="000000"/>
          <w:sz w:val="32"/>
          <w:szCs w:val="24"/>
          <w:lang w:val="en-US" w:eastAsia="zh-CN"/>
        </w:rPr>
        <w:t>64.4万元，年内安排支出结转结余资金64.4万元。年内无结转结余资金。</w:t>
      </w:r>
    </w:p>
    <w:p>
      <w:pPr>
        <w:keepNext/>
        <w:keepLines/>
        <w:numPr>
          <w:ilvl w:val="0"/>
          <w:numId w:val="0"/>
        </w:numPr>
        <w:tabs>
          <w:tab w:val="left" w:pos="420"/>
        </w:tabs>
        <w:spacing w:line="576" w:lineRule="exact"/>
        <w:ind w:leftChars="200"/>
        <w:outlineLvl w:val="9"/>
        <w:rPr>
          <w:rFonts w:hint="eastAsia" w:ascii="黑体" w:hAnsi="黑体" w:eastAsia="黑体" w:cs="黑体"/>
          <w:color w:val="000000"/>
          <w:sz w:val="32"/>
          <w:szCs w:val="24"/>
          <w:lang w:val="en-US"/>
        </w:rPr>
      </w:pPr>
      <w:r>
        <w:rPr>
          <w:rFonts w:hint="eastAsia" w:ascii="黑体" w:hAnsi="黑体" w:eastAsia="黑体" w:cs="黑体"/>
          <w:color w:val="000000"/>
          <w:sz w:val="32"/>
          <w:szCs w:val="24"/>
          <w:lang w:val="en-US" w:eastAsia="zh-CN"/>
        </w:rPr>
        <w:t>三、</w:t>
      </w:r>
      <w:r>
        <w:rPr>
          <w:rFonts w:hint="eastAsia" w:ascii="黑体" w:hAnsi="黑体" w:eastAsia="黑体" w:cs="黑体"/>
          <w:color w:val="000000"/>
          <w:sz w:val="32"/>
          <w:szCs w:val="24"/>
          <w:lang w:val="en-US"/>
        </w:rPr>
        <w:t>部门预算绩效分析</w:t>
      </w:r>
    </w:p>
    <w:p>
      <w:pPr>
        <w:numPr>
          <w:ilvl w:val="0"/>
          <w:numId w:val="0"/>
        </w:numPr>
        <w:autoSpaceDE/>
        <w:autoSpaceDN/>
        <w:adjustRightInd/>
        <w:spacing w:line="576" w:lineRule="exact"/>
        <w:ind w:firstLine="632" w:firstLineChars="200"/>
        <w:rPr>
          <w:rFonts w:hint="eastAsia" w:ascii="仿宋_GB2312" w:hAnsi="仿宋_GB2312" w:eastAsia="仿宋_GB2312"/>
          <w:color w:val="auto"/>
          <w:sz w:val="32"/>
          <w:szCs w:val="24"/>
          <w:highlight w:val="yellow"/>
          <w:lang w:val="en-US"/>
        </w:rPr>
      </w:pPr>
      <w:bookmarkStart w:id="35" w:name="_Toc14165"/>
      <w:r>
        <w:rPr>
          <w:rFonts w:hint="eastAsia" w:ascii="楷体_GB2312" w:hAnsi="楷体_GB2312" w:eastAsia="楷体_GB2312"/>
          <w:b/>
          <w:color w:val="000000"/>
          <w:sz w:val="32"/>
          <w:szCs w:val="24"/>
          <w:lang w:val="zh-CN"/>
        </w:rPr>
        <w:t>（一）部门预算总体绩效分析。</w:t>
      </w:r>
      <w:bookmarkEnd w:id="35"/>
    </w:p>
    <w:p>
      <w:pPr>
        <w:spacing w:line="576" w:lineRule="exact"/>
        <w:ind w:firstLine="632" w:firstLineChars="200"/>
        <w:rPr>
          <w:rFonts w:hint="eastAsia" w:ascii="仿宋_GB2312" w:hAnsi="仿宋_GB2312" w:eastAsia="仿宋_GB2312" w:cs="仿宋_GB2312"/>
          <w:color w:val="000000"/>
          <w:sz w:val="32"/>
          <w:szCs w:val="24"/>
          <w:lang w:val="zh-CN"/>
        </w:rPr>
      </w:pPr>
      <w:r>
        <w:rPr>
          <w:rFonts w:hint="eastAsia" w:ascii="仿宋_GB2312" w:hAnsi="仿宋_GB2312" w:eastAsia="仿宋_GB2312" w:cs="仿宋_GB2312"/>
          <w:b/>
          <w:color w:val="auto"/>
          <w:sz w:val="32"/>
          <w:szCs w:val="24"/>
          <w:lang w:val="en-US"/>
        </w:rPr>
        <w:t>1.履职效能。</w:t>
      </w:r>
      <w:r>
        <w:rPr>
          <w:rFonts w:hint="eastAsia" w:ascii="仿宋_GB2312" w:hAnsi="仿宋_GB2312" w:eastAsia="仿宋_GB2312" w:cs="仿宋_GB2312"/>
          <w:color w:val="000000"/>
          <w:sz w:val="32"/>
          <w:szCs w:val="24"/>
          <w:lang w:val="zh-CN" w:eastAsia="zh-CN"/>
        </w:rPr>
        <w:t>一是</w:t>
      </w:r>
      <w:r>
        <w:rPr>
          <w:rFonts w:hint="eastAsia" w:ascii="仿宋_GB2312" w:hAnsi="仿宋_GB2312" w:eastAsia="仿宋_GB2312" w:cs="仿宋_GB2312"/>
          <w:color w:val="000000"/>
          <w:sz w:val="32"/>
          <w:szCs w:val="24"/>
          <w:lang w:val="zh-CN"/>
        </w:rPr>
        <w:t>贯彻执行国家、省市国民经济和社会发展的战略、方针和政策，研究提出相应的对策措施</w:t>
      </w:r>
      <w:r>
        <w:rPr>
          <w:rFonts w:hint="eastAsia" w:ascii="仿宋_GB2312" w:hAnsi="仿宋_GB2312" w:eastAsia="仿宋_GB2312" w:cs="仿宋_GB2312"/>
          <w:color w:val="000000"/>
          <w:sz w:val="32"/>
          <w:szCs w:val="24"/>
          <w:lang w:val="zh-CN" w:eastAsia="zh-CN"/>
        </w:rPr>
        <w:t>，</w:t>
      </w:r>
      <w:r>
        <w:rPr>
          <w:rFonts w:hint="eastAsia" w:ascii="仿宋_GB2312" w:hAnsi="仿宋_GB2312" w:eastAsia="仿宋_GB2312" w:cs="仿宋_GB2312"/>
          <w:color w:val="000000"/>
          <w:sz w:val="32"/>
          <w:szCs w:val="24"/>
          <w:lang w:val="zh-CN"/>
        </w:rPr>
        <w:t>拟订并组织实施全区经济和社会发展战略、中长期规划和年度计划</w:t>
      </w:r>
      <w:r>
        <w:rPr>
          <w:rFonts w:hint="eastAsia" w:ascii="仿宋_GB2312" w:hAnsi="仿宋_GB2312" w:eastAsia="仿宋_GB2312" w:cs="仿宋_GB2312"/>
          <w:color w:val="000000"/>
          <w:sz w:val="32"/>
          <w:szCs w:val="24"/>
          <w:lang w:val="zh-CN" w:eastAsia="zh-CN"/>
        </w:rPr>
        <w:t>；二是</w:t>
      </w:r>
      <w:r>
        <w:rPr>
          <w:rFonts w:hint="eastAsia" w:ascii="仿宋_GB2312" w:hAnsi="仿宋_GB2312" w:eastAsia="仿宋_GB2312" w:cs="仿宋_GB2312"/>
          <w:color w:val="000000"/>
          <w:sz w:val="32"/>
          <w:szCs w:val="24"/>
          <w:lang w:val="zh-CN"/>
        </w:rPr>
        <w:t>研究分析区内外经济形势和发展情况，进行宏观经济的预测、预警</w:t>
      </w:r>
      <w:r>
        <w:rPr>
          <w:rFonts w:hint="eastAsia" w:ascii="仿宋_GB2312" w:hAnsi="仿宋_GB2312" w:eastAsia="仿宋_GB2312" w:cs="仿宋_GB2312"/>
          <w:color w:val="000000"/>
          <w:sz w:val="32"/>
          <w:szCs w:val="24"/>
          <w:lang w:val="zh-CN" w:eastAsia="zh-CN"/>
        </w:rPr>
        <w:t>；三是</w:t>
      </w:r>
      <w:r>
        <w:rPr>
          <w:rFonts w:hint="eastAsia" w:ascii="仿宋_GB2312" w:hAnsi="仿宋_GB2312" w:eastAsia="仿宋_GB2312" w:cs="仿宋_GB2312"/>
          <w:color w:val="000000"/>
          <w:sz w:val="32"/>
          <w:szCs w:val="24"/>
          <w:lang w:val="en-US" w:eastAsia="zh-CN"/>
        </w:rPr>
        <w:t>.</w:t>
      </w:r>
      <w:r>
        <w:rPr>
          <w:rFonts w:hint="eastAsia" w:ascii="仿宋_GB2312" w:hAnsi="仿宋_GB2312" w:eastAsia="仿宋_GB2312" w:cs="仿宋_GB2312"/>
          <w:color w:val="000000"/>
          <w:sz w:val="32"/>
          <w:szCs w:val="24"/>
          <w:lang w:val="zh-CN"/>
        </w:rPr>
        <w:t>研究全区经济体制改革和对外开放的综合性、全局性问题及对策，提出以改革开放促进发展的建议，协调发展与改革中的重大问题</w:t>
      </w:r>
      <w:r>
        <w:rPr>
          <w:rFonts w:hint="eastAsia" w:ascii="仿宋_GB2312" w:hAnsi="仿宋_GB2312" w:eastAsia="仿宋_GB2312" w:cs="仿宋_GB2312"/>
          <w:color w:val="000000"/>
          <w:sz w:val="32"/>
          <w:szCs w:val="24"/>
          <w:lang w:val="zh-CN" w:eastAsia="zh-CN"/>
        </w:rPr>
        <w:t>；四是</w:t>
      </w:r>
      <w:r>
        <w:rPr>
          <w:rFonts w:hint="eastAsia" w:ascii="仿宋_GB2312" w:hAnsi="仿宋_GB2312" w:eastAsia="仿宋_GB2312" w:cs="仿宋_GB2312"/>
          <w:color w:val="000000"/>
          <w:sz w:val="32"/>
          <w:szCs w:val="24"/>
          <w:lang w:val="zh-CN"/>
        </w:rPr>
        <w:t>提出全区固定资产投资总规模、投资结构，编制年度投资计划</w:t>
      </w:r>
      <w:r>
        <w:rPr>
          <w:rFonts w:hint="eastAsia" w:ascii="仿宋_GB2312" w:hAnsi="仿宋_GB2312" w:eastAsia="仿宋_GB2312" w:cs="仿宋_GB2312"/>
          <w:color w:val="000000"/>
          <w:sz w:val="32"/>
          <w:szCs w:val="24"/>
          <w:lang w:val="zh-CN" w:eastAsia="zh-CN"/>
        </w:rPr>
        <w:t>，</w:t>
      </w:r>
      <w:r>
        <w:rPr>
          <w:rFonts w:hint="eastAsia" w:ascii="仿宋_GB2312" w:hAnsi="仿宋_GB2312" w:eastAsia="仿宋_GB2312" w:cs="仿宋_GB2312"/>
          <w:color w:val="000000"/>
          <w:sz w:val="32"/>
          <w:szCs w:val="24"/>
          <w:lang w:val="zh-CN"/>
        </w:rPr>
        <w:t>研究提出有关重大投资政策，规划重大项目和生产力布局</w:t>
      </w:r>
      <w:r>
        <w:rPr>
          <w:rFonts w:hint="eastAsia" w:ascii="仿宋_GB2312" w:hAnsi="仿宋_GB2312" w:eastAsia="仿宋_GB2312" w:cs="仿宋_GB2312"/>
          <w:color w:val="000000"/>
          <w:sz w:val="32"/>
          <w:szCs w:val="24"/>
          <w:lang w:val="zh-CN" w:eastAsia="zh-CN"/>
        </w:rPr>
        <w:t>；五是</w:t>
      </w:r>
      <w:r>
        <w:rPr>
          <w:rFonts w:hint="eastAsia" w:ascii="仿宋_GB2312" w:hAnsi="仿宋_GB2312" w:eastAsia="仿宋_GB2312" w:cs="仿宋_GB2312"/>
          <w:color w:val="000000"/>
          <w:sz w:val="32"/>
          <w:szCs w:val="24"/>
          <w:lang w:val="zh-CN"/>
        </w:rPr>
        <w:t>研究分析全区经济结构的状况，提出全区重要经济产业的发展战略和规划，推进产业结构战略性调整和升级</w:t>
      </w:r>
      <w:r>
        <w:rPr>
          <w:rFonts w:hint="eastAsia" w:ascii="仿宋_GB2312" w:hAnsi="仿宋_GB2312" w:eastAsia="仿宋_GB2312" w:cs="仿宋_GB2312"/>
          <w:color w:val="000000"/>
          <w:sz w:val="32"/>
          <w:szCs w:val="24"/>
          <w:lang w:val="zh-CN" w:eastAsia="zh-CN"/>
        </w:rPr>
        <w:t>；六是</w:t>
      </w:r>
      <w:r>
        <w:rPr>
          <w:rFonts w:hint="eastAsia" w:ascii="仿宋_GB2312" w:hAnsi="仿宋_GB2312" w:eastAsia="仿宋_GB2312" w:cs="仿宋_GB2312"/>
          <w:color w:val="000000"/>
          <w:sz w:val="32"/>
          <w:szCs w:val="24"/>
          <w:lang w:val="zh-CN"/>
        </w:rPr>
        <w:t>促进城乡区域协调发展。</w:t>
      </w:r>
    </w:p>
    <w:p>
      <w:pPr>
        <w:spacing w:line="576" w:lineRule="exact"/>
        <w:ind w:firstLine="632" w:firstLineChars="200"/>
        <w:rPr>
          <w:rFonts w:hint="eastAsia" w:ascii="仿宋_GB2312" w:hAnsi="仿宋_GB2312" w:eastAsia="仿宋_GB2312"/>
          <w:color w:val="auto"/>
          <w:sz w:val="32"/>
          <w:szCs w:val="24"/>
          <w:highlight w:val="yellow"/>
          <w:lang w:val="zh-CN"/>
        </w:rPr>
      </w:pPr>
      <w:r>
        <w:rPr>
          <w:rFonts w:hint="eastAsia" w:ascii="仿宋_GB2312" w:hAnsi="仿宋_GB2312" w:eastAsia="仿宋_GB2312" w:cs="仿宋_GB2312"/>
          <w:b/>
          <w:color w:val="auto"/>
          <w:sz w:val="32"/>
          <w:szCs w:val="24"/>
          <w:lang w:val="en-US"/>
        </w:rPr>
        <w:t>2.预算管理。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健全项目绩效评价管理</w:t>
      </w:r>
      <w:r>
        <w:rPr>
          <w:rFonts w:hint="eastAsia" w:ascii="仿宋_GB2312" w:hAnsi="仿宋_GB2312" w:eastAsia="仿宋_GB2312" w:cs="仿宋_GB2312"/>
          <w:sz w:val="32"/>
          <w:szCs w:val="32"/>
          <w:lang w:eastAsia="zh-CN"/>
        </w:rPr>
        <w:t>工作制度及管理办法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健全绩效评价管理干部队伍、项目绩效评价体系、</w:t>
      </w:r>
      <w:r>
        <w:rPr>
          <w:rFonts w:hint="eastAsia" w:ascii="仿宋_GB2312" w:hAnsi="仿宋_GB2312" w:eastAsia="仿宋_GB2312" w:cs="仿宋_GB2312"/>
          <w:sz w:val="32"/>
          <w:szCs w:val="32"/>
        </w:rPr>
        <w:t>项目绩效目标编报质量</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完善重大项目支出绩效评价机制，加强项目绩效信息公开。全面开展项目绩效目标执行监控，确保绩效自评结果客观、准确。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严格按照人员类、特定目标类项目高质量编制年初预算、绩效目标、目标实现管理制度。在绩效管理过程中，严格监控管理，始终将资金使用与绩效目标完成、目标实现相结合，当资金使用与绩效目标完成出现偏差时给予了及时分析、处置，确保了年度内项目执行进度与预算完成有效衔接，大大提高资金使用效率，杜绝年内项目资金大量结余、项目低效和资金使用违规等行为发生，确保了项目绩效目标的全面完成。</w:t>
      </w:r>
    </w:p>
    <w:p>
      <w:pPr>
        <w:spacing w:line="576"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auto"/>
          <w:sz w:val="32"/>
          <w:szCs w:val="24"/>
          <w:lang w:val="en-US" w:eastAsia="zh-CN"/>
        </w:rPr>
        <w:t>3.财务管理。</w:t>
      </w:r>
      <w:r>
        <w:rPr>
          <w:rFonts w:hint="eastAsia" w:ascii="仿宋_GB2312" w:hAnsi="仿宋_GB2312" w:eastAsia="仿宋_GB2312" w:cs="仿宋_GB2312"/>
          <w:sz w:val="32"/>
          <w:szCs w:val="32"/>
          <w:lang w:val="en-US" w:eastAsia="zh-CN"/>
        </w:rPr>
        <w:t>一是进一步建立健全财务管理制度和内部控制制度，合理设置财务人员工作岗位；二是加强日常预算资金收支管理；三是合理安排收支预算，严格预算管理；四是加强资金支付审核监管，资金支付进度必须与绩效目标完进度相匹配；五是加强年度绩效目标排查，适时纠正资金支付与绩效目标完成情况的偏离度。</w:t>
      </w:r>
    </w:p>
    <w:p>
      <w:pPr>
        <w:spacing w:line="576"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auto"/>
          <w:sz w:val="32"/>
          <w:szCs w:val="24"/>
          <w:lang w:val="en-US" w:eastAsia="zh-CN"/>
        </w:rPr>
        <w:t>4.</w:t>
      </w:r>
      <w:r>
        <w:rPr>
          <w:rFonts w:hint="eastAsia" w:ascii="仿宋_GB2312" w:hAnsi="仿宋_GB2312" w:eastAsia="仿宋_GB2312" w:cs="仿宋_GB2312"/>
          <w:b/>
          <w:color w:val="auto"/>
          <w:sz w:val="32"/>
          <w:szCs w:val="24"/>
          <w:lang w:val="en-US"/>
        </w:rPr>
        <w:t>资产管理。</w:t>
      </w:r>
      <w:r>
        <w:rPr>
          <w:rFonts w:hint="eastAsia" w:ascii="仿宋_GB2312" w:hAnsi="仿宋_GB2312" w:eastAsia="仿宋_GB2312" w:cs="仿宋_GB2312"/>
          <w:sz w:val="32"/>
          <w:szCs w:val="32"/>
          <w:lang w:val="en-US" w:eastAsia="zh-CN"/>
        </w:rPr>
        <w:t>一是进一步完善固定资产管理制度、固定资产管理内控制度；二是加强固定资产的会计核算工作，固定资产登记、转移、核销管理。定时清理核查固定资产的人均配置率和资产利用率，年内资产盘活率100%；三是进一步加强资产管理队伍建设，加强业务培训，增强资产管理的能力和水平；四是积极消化挂账资金，加强往来资金清理，减少应付、应收账款。</w:t>
      </w:r>
    </w:p>
    <w:p>
      <w:pPr>
        <w:spacing w:line="576" w:lineRule="exact"/>
        <w:ind w:firstLine="632" w:firstLineChars="200"/>
        <w:rPr>
          <w:rFonts w:hint="eastAsia" w:ascii="仿宋_GB2312" w:hAnsi="仿宋_GB2312" w:eastAsia="仿宋_GB2312" w:cs="仿宋_GB2312"/>
          <w:b/>
          <w:color w:val="auto"/>
          <w:sz w:val="32"/>
          <w:szCs w:val="24"/>
          <w:lang w:val="en-US"/>
        </w:rPr>
      </w:pPr>
      <w:r>
        <w:rPr>
          <w:rFonts w:hint="eastAsia" w:ascii="仿宋_GB2312" w:hAnsi="仿宋_GB2312" w:eastAsia="仿宋_GB2312" w:cs="仿宋_GB2312"/>
          <w:b/>
          <w:color w:val="auto"/>
          <w:sz w:val="32"/>
          <w:szCs w:val="24"/>
          <w:lang w:val="en-US"/>
        </w:rPr>
        <w:t>5.采购管理。</w:t>
      </w:r>
    </w:p>
    <w:p>
      <w:pPr>
        <w:spacing w:line="576" w:lineRule="exact"/>
        <w:ind w:firstLine="632" w:firstLineChars="200"/>
        <w:rPr>
          <w:rFonts w:hint="eastAsia" w:eastAsia="仿宋_GB2312"/>
          <w:sz w:val="32"/>
          <w:szCs w:val="24"/>
          <w:lang w:val="en-US" w:eastAsia="zh-CN"/>
        </w:rPr>
      </w:pPr>
      <w:r>
        <w:rPr>
          <w:rFonts w:hint="eastAsia" w:eastAsia="仿宋_GB2312"/>
          <w:sz w:val="32"/>
          <w:szCs w:val="24"/>
          <w:lang w:val="en-US" w:eastAsia="zh-CN"/>
        </w:rPr>
        <w:t>2023年单位未发生政府采购业务。</w:t>
      </w:r>
      <w:bookmarkStart w:id="36" w:name="_Toc2877"/>
    </w:p>
    <w:p>
      <w:pPr>
        <w:spacing w:line="576" w:lineRule="exact"/>
        <w:ind w:firstLine="632" w:firstLineChars="200"/>
        <w:rPr>
          <w:rFonts w:hint="eastAsia" w:ascii="仿宋_GB2312" w:hAnsi="仿宋_GB2312" w:eastAsia="仿宋_GB2312"/>
          <w:b/>
          <w:color w:val="000000"/>
          <w:sz w:val="32"/>
          <w:szCs w:val="24"/>
          <w:lang w:val="zh-CN"/>
        </w:rPr>
      </w:pPr>
      <w:r>
        <w:rPr>
          <w:rFonts w:hint="eastAsia" w:ascii="楷体_GB2312" w:hAnsi="楷体_GB2312" w:eastAsia="楷体_GB2312"/>
          <w:b/>
          <w:color w:val="000000"/>
          <w:sz w:val="32"/>
          <w:szCs w:val="24"/>
          <w:lang w:val="zh-CN"/>
        </w:rPr>
        <w:t>（二）部门预算</w:t>
      </w:r>
      <w:r>
        <w:rPr>
          <w:rFonts w:hint="eastAsia" w:ascii="楷体_GB2312" w:hAnsi="楷体_GB2312" w:eastAsia="楷体_GB2312"/>
          <w:b/>
          <w:color w:val="auto"/>
          <w:sz w:val="32"/>
          <w:szCs w:val="24"/>
          <w:lang w:val="zh-CN"/>
        </w:rPr>
        <w:t>项目绩效分析</w:t>
      </w:r>
      <w:r>
        <w:rPr>
          <w:rFonts w:hint="eastAsia" w:ascii="楷体_GB2312" w:hAnsi="楷体_GB2312" w:eastAsia="楷体_GB2312"/>
          <w:b/>
          <w:color w:val="000000"/>
          <w:sz w:val="32"/>
          <w:szCs w:val="24"/>
          <w:lang w:val="zh-CN"/>
        </w:rPr>
        <w:t>。</w:t>
      </w:r>
      <w:bookmarkEnd w:id="36"/>
    </w:p>
    <w:p>
      <w:pPr>
        <w:spacing w:line="576" w:lineRule="exact"/>
        <w:ind w:firstLine="632" w:firstLineChars="200"/>
        <w:rPr>
          <w:rFonts w:hint="eastAsia" w:ascii="仿宋_GB2312" w:hAnsi="仿宋_GB2312" w:eastAsia="仿宋_GB2312" w:cs="仿宋_GB2312"/>
          <w:sz w:val="32"/>
          <w:szCs w:val="24"/>
          <w:lang w:val="en-US"/>
        </w:rPr>
      </w:pPr>
      <w:r>
        <w:rPr>
          <w:rFonts w:hint="eastAsia" w:ascii="仿宋_GB2312" w:hAnsi="仿宋_GB2312" w:eastAsia="仿宋_GB2312" w:cs="仿宋_GB2312"/>
          <w:sz w:val="32"/>
          <w:szCs w:val="24"/>
          <w:lang w:val="en-US"/>
        </w:rPr>
        <w:t>常年项目绩效分析。该类项目总数</w:t>
      </w:r>
      <w:r>
        <w:rPr>
          <w:rFonts w:hint="eastAsia" w:ascii="仿宋_GB2312" w:hAnsi="仿宋_GB2312" w:eastAsia="仿宋_GB2312" w:cs="仿宋_GB2312"/>
          <w:sz w:val="32"/>
          <w:szCs w:val="24"/>
          <w:lang w:val="en-US" w:eastAsia="zh-CN"/>
        </w:rPr>
        <w:t>14</w:t>
      </w:r>
      <w:r>
        <w:rPr>
          <w:rFonts w:hint="eastAsia" w:ascii="仿宋_GB2312" w:hAnsi="仿宋_GB2312" w:eastAsia="仿宋_GB2312" w:cs="仿宋_GB2312"/>
          <w:sz w:val="32"/>
          <w:szCs w:val="24"/>
          <w:lang w:val="en-US"/>
        </w:rPr>
        <w:t>个，涉及预算总金额</w:t>
      </w:r>
      <w:r>
        <w:rPr>
          <w:rFonts w:hint="eastAsia" w:ascii="仿宋_GB2312" w:hAnsi="仿宋_GB2312" w:eastAsia="仿宋_GB2312" w:cs="仿宋_GB2312"/>
          <w:sz w:val="32"/>
          <w:szCs w:val="24"/>
          <w:lang w:val="en-US" w:eastAsia="zh-CN"/>
        </w:rPr>
        <w:t>681.18</w:t>
      </w:r>
      <w:r>
        <w:rPr>
          <w:rFonts w:hint="eastAsia" w:ascii="仿宋_GB2312" w:hAnsi="仿宋_GB2312" w:eastAsia="仿宋_GB2312" w:cs="仿宋_GB2312"/>
          <w:sz w:val="32"/>
          <w:szCs w:val="24"/>
          <w:lang w:val="en-US"/>
        </w:rPr>
        <w:t>万元，1-12月预算执行总体进度为</w:t>
      </w:r>
      <w:r>
        <w:rPr>
          <w:rFonts w:hint="eastAsia" w:ascii="仿宋_GB2312" w:hAnsi="仿宋_GB2312" w:eastAsia="仿宋_GB2312" w:cs="仿宋_GB2312"/>
          <w:sz w:val="32"/>
          <w:szCs w:val="24"/>
          <w:lang w:val="en-US" w:eastAsia="zh-CN"/>
        </w:rPr>
        <w:t>100</w:t>
      </w:r>
      <w:r>
        <w:rPr>
          <w:rFonts w:hint="eastAsia" w:ascii="仿宋_GB2312" w:hAnsi="仿宋_GB2312" w:eastAsia="仿宋_GB2312" w:cs="仿宋_GB2312"/>
          <w:sz w:val="32"/>
          <w:szCs w:val="24"/>
          <w:lang w:val="en-US"/>
        </w:rPr>
        <w:t>%。</w:t>
      </w:r>
    </w:p>
    <w:p>
      <w:pPr>
        <w:spacing w:line="576" w:lineRule="exact"/>
        <w:rPr>
          <w:rFonts w:hint="eastAsia" w:ascii="仿宋_GB2312" w:hAnsi="仿宋_GB2312" w:eastAsia="仿宋_GB2312" w:cs="仿宋_GB2312"/>
          <w:sz w:val="32"/>
          <w:szCs w:val="24"/>
          <w:lang w:val="en-US"/>
        </w:rPr>
      </w:pPr>
      <w:r>
        <w:rPr>
          <w:rFonts w:hint="eastAsia" w:ascii="仿宋_GB2312" w:hAnsi="仿宋_GB2312" w:eastAsia="仿宋_GB2312" w:cs="仿宋_GB2312"/>
          <w:sz w:val="32"/>
          <w:szCs w:val="24"/>
          <w:lang w:val="en-US"/>
        </w:rPr>
        <w:t>阶段（一次性）项目绩效分析。该类项目总数</w:t>
      </w:r>
      <w:r>
        <w:rPr>
          <w:rFonts w:hint="eastAsia" w:ascii="仿宋_GB2312" w:hAnsi="仿宋_GB2312" w:eastAsia="仿宋_GB2312" w:cs="仿宋_GB2312"/>
          <w:sz w:val="32"/>
          <w:szCs w:val="24"/>
          <w:lang w:val="en-US" w:eastAsia="zh-CN"/>
        </w:rPr>
        <w:t>29</w:t>
      </w:r>
      <w:r>
        <w:rPr>
          <w:rFonts w:hint="eastAsia" w:ascii="仿宋_GB2312" w:hAnsi="仿宋_GB2312" w:eastAsia="仿宋_GB2312" w:cs="仿宋_GB2312"/>
          <w:sz w:val="32"/>
          <w:szCs w:val="24"/>
          <w:lang w:val="en-US"/>
        </w:rPr>
        <w:t>个，涉及预算总金额</w:t>
      </w:r>
      <w:r>
        <w:rPr>
          <w:rFonts w:hint="eastAsia" w:ascii="仿宋_GB2312" w:hAnsi="仿宋_GB2312" w:eastAsia="仿宋_GB2312" w:cs="仿宋_GB2312"/>
          <w:sz w:val="32"/>
          <w:szCs w:val="24"/>
          <w:lang w:val="en-US" w:eastAsia="zh-CN"/>
        </w:rPr>
        <w:t>1052.46</w:t>
      </w:r>
      <w:r>
        <w:rPr>
          <w:rFonts w:hint="eastAsia" w:ascii="仿宋_GB2312" w:hAnsi="仿宋_GB2312" w:eastAsia="仿宋_GB2312" w:cs="仿宋_GB2312"/>
          <w:sz w:val="32"/>
          <w:szCs w:val="24"/>
          <w:lang w:val="en-US"/>
        </w:rPr>
        <w:t>万元，1-12月预算执行总体进度为</w:t>
      </w:r>
      <w:r>
        <w:rPr>
          <w:rFonts w:hint="eastAsia" w:ascii="仿宋_GB2312" w:hAnsi="仿宋_GB2312" w:eastAsia="仿宋_GB2312" w:cs="仿宋_GB2312"/>
          <w:sz w:val="32"/>
          <w:szCs w:val="24"/>
          <w:lang w:val="en-US" w:eastAsia="zh-CN"/>
        </w:rPr>
        <w:t>100</w:t>
      </w:r>
      <w:r>
        <w:rPr>
          <w:rFonts w:hint="eastAsia" w:ascii="仿宋_GB2312" w:hAnsi="仿宋_GB2312" w:eastAsia="仿宋_GB2312" w:cs="仿宋_GB2312"/>
          <w:sz w:val="32"/>
          <w:szCs w:val="24"/>
          <w:lang w:val="en-US"/>
        </w:rPr>
        <w:t>%。</w:t>
      </w:r>
    </w:p>
    <w:p>
      <w:pPr>
        <w:spacing w:line="576" w:lineRule="exact"/>
        <w:ind w:firstLine="632" w:firstLineChars="200"/>
        <w:jc w:val="both"/>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b/>
          <w:sz w:val="32"/>
          <w:szCs w:val="24"/>
          <w:lang w:val="en-US"/>
        </w:rPr>
        <w:t>1.项目决策。</w:t>
      </w:r>
      <w:r>
        <w:rPr>
          <w:rFonts w:hint="eastAsia" w:ascii="仿宋_GB2312" w:hAnsi="仿宋_GB2312" w:eastAsia="仿宋_GB2312" w:cs="仿宋_GB2312"/>
          <w:sz w:val="32"/>
          <w:szCs w:val="24"/>
          <w:lang w:val="en-US" w:eastAsia="zh-CN"/>
        </w:rPr>
        <w:t>根据部门职能职责及年度工作部门任务，年初向区财政申报了阶段性项目32个，通过区政府、区财政最终审核通过29个，预算总金额1052.46万元。本部门严格按规定程序对29个项目在预算一体化平台进行了项目登记入库工作管理，并在年度内对项目资金支付与绩效目标完成进行监控。</w:t>
      </w:r>
    </w:p>
    <w:p>
      <w:pPr>
        <w:spacing w:line="576" w:lineRule="exact"/>
        <w:ind w:firstLine="632"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b/>
          <w:sz w:val="32"/>
          <w:szCs w:val="24"/>
          <w:lang w:val="en-US" w:eastAsia="zh-CN"/>
        </w:rPr>
        <w:t>2.</w:t>
      </w:r>
      <w:r>
        <w:rPr>
          <w:rFonts w:hint="eastAsia" w:ascii="仿宋_GB2312" w:hAnsi="仿宋_GB2312" w:eastAsia="仿宋_GB2312" w:cs="仿宋_GB2312"/>
          <w:b/>
          <w:sz w:val="32"/>
          <w:szCs w:val="24"/>
          <w:lang w:val="en-US"/>
        </w:rPr>
        <w:t>项目执行。</w:t>
      </w:r>
      <w:r>
        <w:rPr>
          <w:rFonts w:hint="eastAsia" w:ascii="仿宋_GB2312" w:hAnsi="仿宋_GB2312" w:eastAsia="仿宋_GB2312" w:cs="仿宋_GB2312"/>
          <w:sz w:val="32"/>
          <w:szCs w:val="24"/>
          <w:lang w:val="en-US" w:eastAsia="zh-CN"/>
        </w:rPr>
        <w:t>年内未对预算项目进行调整，资金支付与项目绩效目标完成相匹配，预算执行与项目绩效目标任务同步完成。</w:t>
      </w:r>
    </w:p>
    <w:p>
      <w:pPr>
        <w:spacing w:line="576" w:lineRule="exact"/>
        <w:ind w:firstLine="632"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b/>
          <w:sz w:val="32"/>
          <w:szCs w:val="24"/>
          <w:lang w:val="en-US" w:eastAsia="zh-CN"/>
        </w:rPr>
        <w:t>3.</w:t>
      </w:r>
      <w:r>
        <w:rPr>
          <w:rFonts w:hint="eastAsia" w:ascii="仿宋_GB2312" w:hAnsi="仿宋_GB2312" w:eastAsia="仿宋_GB2312" w:cs="仿宋_GB2312"/>
          <w:b/>
          <w:sz w:val="32"/>
          <w:szCs w:val="24"/>
          <w:lang w:val="en-US"/>
        </w:rPr>
        <w:t>目标实现。</w:t>
      </w:r>
      <w:r>
        <w:rPr>
          <w:rFonts w:hint="eastAsia" w:ascii="仿宋_GB2312" w:hAnsi="仿宋_GB2312" w:eastAsia="仿宋_GB2312" w:cs="仿宋_GB2312"/>
          <w:sz w:val="32"/>
          <w:szCs w:val="24"/>
          <w:lang w:val="en-US" w:eastAsia="zh-CN"/>
        </w:rPr>
        <w:t>一是加强对项目实施的全面跟踪监控，保证了项目实施进度，确保绩效目标任务完成；二是加强预算执行管理确保项目资金支付进度，预算执行与项目绩效目标任务同步完成。达到了预期目标任务，推动了部门全年工作目标任务的全面完成。</w:t>
      </w:r>
      <w:bookmarkStart w:id="37" w:name="_Toc2083"/>
    </w:p>
    <w:p>
      <w:pPr>
        <w:spacing w:line="576" w:lineRule="exact"/>
        <w:ind w:firstLine="632" w:firstLineChars="200"/>
        <w:rPr>
          <w:rFonts w:hint="eastAsia" w:ascii="楷体_GB2312" w:hAnsi="楷体_GB2312" w:eastAsia="楷体_GB2312"/>
          <w:b/>
          <w:color w:val="auto"/>
          <w:sz w:val="32"/>
          <w:szCs w:val="24"/>
          <w:lang w:val="zh-CN"/>
        </w:rPr>
      </w:pPr>
      <w:r>
        <w:rPr>
          <w:rFonts w:hint="eastAsia" w:ascii="楷体_GB2312" w:hAnsi="楷体_GB2312" w:eastAsia="楷体_GB2312"/>
          <w:b/>
          <w:color w:val="auto"/>
          <w:sz w:val="32"/>
          <w:szCs w:val="24"/>
          <w:lang w:val="zh-CN"/>
        </w:rPr>
        <w:t>（三）重点领域绩效分析。</w:t>
      </w:r>
      <w:bookmarkEnd w:id="37"/>
    </w:p>
    <w:p>
      <w:pPr>
        <w:spacing w:line="576" w:lineRule="exact"/>
        <w:ind w:firstLine="632" w:firstLineChars="2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本部门2023年度不涉及国有资本、行政事业性国有资产、债券资金、政府采购和政府购买服务等重点领域的项目。</w:t>
      </w:r>
      <w:bookmarkStart w:id="38" w:name="_Toc6086"/>
    </w:p>
    <w:p>
      <w:pPr>
        <w:spacing w:line="576" w:lineRule="exact"/>
        <w:ind w:firstLine="632" w:firstLineChars="200"/>
        <w:rPr>
          <w:rFonts w:hint="eastAsia" w:ascii="仿宋_GB2312" w:hAnsi="仿宋_GB2312" w:eastAsia="仿宋_GB2312" w:cs="仿宋_GB2312"/>
          <w:b/>
          <w:color w:val="auto"/>
          <w:sz w:val="32"/>
          <w:szCs w:val="24"/>
          <w:lang w:val="zh-CN"/>
        </w:rPr>
      </w:pPr>
      <w:r>
        <w:rPr>
          <w:rFonts w:hint="eastAsia" w:ascii="仿宋_GB2312" w:hAnsi="仿宋_GB2312" w:eastAsia="仿宋_GB2312" w:cs="仿宋_GB2312"/>
          <w:b/>
          <w:color w:val="auto"/>
          <w:sz w:val="32"/>
          <w:szCs w:val="24"/>
          <w:lang w:val="zh-CN"/>
        </w:rPr>
        <w:t>（四）绩效结果应用情况。</w:t>
      </w:r>
      <w:bookmarkEnd w:id="38"/>
    </w:p>
    <w:p>
      <w:pPr>
        <w:spacing w:line="576" w:lineRule="exact"/>
        <w:ind w:firstLine="632" w:firstLineChars="200"/>
        <w:rPr>
          <w:rFonts w:hint="eastAsia" w:ascii="仿宋_GB2312" w:hAnsi="仿宋_GB2312" w:eastAsia="仿宋_GB2312" w:cs="仿宋_GB2312"/>
          <w:color w:val="000000"/>
          <w:sz w:val="32"/>
          <w:szCs w:val="24"/>
          <w:lang w:val="zh-CN" w:eastAsia="zh-CN"/>
        </w:rPr>
      </w:pPr>
      <w:r>
        <w:rPr>
          <w:rFonts w:hint="eastAsia" w:ascii="仿宋_GB2312" w:hAnsi="仿宋_GB2312" w:eastAsia="仿宋_GB2312" w:cs="仿宋_GB2312"/>
          <w:color w:val="000000"/>
          <w:sz w:val="32"/>
          <w:szCs w:val="24"/>
          <w:lang w:val="zh-CN" w:eastAsia="zh-CN"/>
        </w:rPr>
        <w:t>一是加强对绩效结果进行分析总结，对财政绩效监管部门反馈的问题进行及时整改；二是加强对绩效结果在内部应用，为今后预算绩效管理工作积累经验；三是加强预算绩效信息公开工作，结合决算公开一并在政府门户网站上进行公开。</w:t>
      </w:r>
    </w:p>
    <w:p>
      <w:pPr>
        <w:keepNext/>
        <w:keepLines/>
        <w:numPr>
          <w:ilvl w:val="0"/>
          <w:numId w:val="0"/>
        </w:numPr>
        <w:tabs>
          <w:tab w:val="left" w:pos="420"/>
        </w:tabs>
        <w:spacing w:line="576" w:lineRule="exact"/>
        <w:ind w:leftChars="200"/>
        <w:outlineLvl w:val="9"/>
        <w:rPr>
          <w:rFonts w:hint="eastAsia" w:ascii="黑体" w:hAnsi="黑体" w:eastAsia="黑体" w:cs="黑体"/>
          <w:color w:val="000000"/>
          <w:sz w:val="32"/>
          <w:szCs w:val="24"/>
          <w:lang w:val="en-US"/>
        </w:rPr>
      </w:pPr>
      <w:r>
        <w:rPr>
          <w:rFonts w:hint="eastAsia" w:ascii="黑体" w:hAnsi="黑体" w:eastAsia="黑体" w:cs="黑体"/>
          <w:color w:val="000000"/>
          <w:sz w:val="32"/>
          <w:szCs w:val="24"/>
          <w:lang w:val="en-US" w:eastAsia="zh-CN"/>
        </w:rPr>
        <w:t>四、</w:t>
      </w:r>
      <w:r>
        <w:rPr>
          <w:rFonts w:hint="eastAsia" w:ascii="黑体" w:hAnsi="黑体" w:eastAsia="黑体" w:cs="黑体"/>
          <w:color w:val="000000"/>
          <w:sz w:val="32"/>
          <w:szCs w:val="24"/>
          <w:lang w:val="en-US"/>
        </w:rPr>
        <w:t>评价结论及建议</w:t>
      </w:r>
    </w:p>
    <w:p>
      <w:pPr>
        <w:keepNext/>
        <w:keepLines/>
        <w:spacing w:line="576" w:lineRule="exact"/>
        <w:ind w:firstLine="643"/>
        <w:rPr>
          <w:rFonts w:hint="eastAsia" w:ascii="仿宋_GB2312" w:hAnsi="仿宋_GB2312" w:eastAsia="仿宋_GB2312" w:cs="仿宋_GB2312"/>
          <w:b/>
          <w:color w:val="000000"/>
          <w:sz w:val="32"/>
          <w:szCs w:val="24"/>
          <w:lang w:val="zh-CN"/>
        </w:rPr>
      </w:pPr>
      <w:bookmarkStart w:id="39" w:name="_Toc6421"/>
      <w:r>
        <w:rPr>
          <w:rFonts w:hint="eastAsia" w:ascii="仿宋_GB2312" w:hAnsi="仿宋_GB2312" w:eastAsia="仿宋_GB2312" w:cs="仿宋_GB2312"/>
          <w:b/>
          <w:color w:val="000000"/>
          <w:sz w:val="32"/>
          <w:szCs w:val="24"/>
          <w:lang w:val="zh-CN"/>
        </w:rPr>
        <w:t>（一）评价结论。</w:t>
      </w:r>
      <w:bookmarkEnd w:id="39"/>
    </w:p>
    <w:p>
      <w:pPr>
        <w:keepNext/>
        <w:keepLines/>
        <w:spacing w:line="576" w:lineRule="exact"/>
        <w:ind w:firstLine="640"/>
        <w:rPr>
          <w:rFonts w:hint="eastAsia" w:ascii="仿宋_GB2312" w:hAnsi="仿宋_GB2312" w:eastAsia="仿宋_GB2312" w:cs="仿宋_GB2312"/>
          <w:color w:val="000000"/>
          <w:sz w:val="32"/>
          <w:szCs w:val="24"/>
          <w:lang w:val="zh-CN" w:eastAsia="zh-CN"/>
        </w:rPr>
      </w:pPr>
      <w:r>
        <w:rPr>
          <w:rFonts w:hint="eastAsia" w:ascii="仿宋_GB2312" w:hAnsi="仿宋_GB2312" w:eastAsia="仿宋_GB2312" w:cs="仿宋_GB2312"/>
          <w:color w:val="000000"/>
          <w:sz w:val="32"/>
          <w:szCs w:val="24"/>
          <w:lang w:val="en-US" w:eastAsia="zh-CN"/>
        </w:rPr>
        <w:t>通过对部门整体预算绩效目标完成情况的自评（含预算项目），评价结果为优秀，</w:t>
      </w:r>
      <w:r>
        <w:rPr>
          <w:rFonts w:hint="eastAsia" w:ascii="仿宋_GB2312" w:hAnsi="仿宋_GB2312" w:eastAsia="仿宋_GB2312" w:cs="仿宋_GB2312"/>
          <w:color w:val="000000"/>
          <w:sz w:val="32"/>
          <w:szCs w:val="24"/>
          <w:lang w:val="zh-CN" w:eastAsia="zh-CN"/>
        </w:rPr>
        <w:t>评价得分</w:t>
      </w:r>
      <w:r>
        <w:rPr>
          <w:rFonts w:hint="eastAsia" w:ascii="仿宋_GB2312" w:hAnsi="仿宋_GB2312" w:eastAsia="仿宋_GB2312" w:cs="仿宋_GB2312"/>
          <w:color w:val="000000"/>
          <w:sz w:val="32"/>
          <w:szCs w:val="24"/>
          <w:lang w:val="en-US" w:eastAsia="zh-CN"/>
        </w:rPr>
        <w:t>98分。</w:t>
      </w:r>
    </w:p>
    <w:p>
      <w:pPr>
        <w:keepNext/>
        <w:keepLines/>
        <w:spacing w:line="576" w:lineRule="exact"/>
        <w:ind w:firstLine="632" w:firstLineChars="200"/>
        <w:rPr>
          <w:rFonts w:hint="eastAsia" w:ascii="仿宋_GB2312" w:hAnsi="仿宋_GB2312" w:eastAsia="仿宋_GB2312" w:cs="仿宋_GB2312"/>
          <w:b/>
          <w:color w:val="000000"/>
          <w:sz w:val="32"/>
          <w:szCs w:val="24"/>
          <w:lang w:val="zh-CN"/>
        </w:rPr>
      </w:pPr>
      <w:bookmarkStart w:id="40" w:name="_Toc29586"/>
      <w:r>
        <w:rPr>
          <w:rFonts w:hint="eastAsia" w:ascii="仿宋_GB2312" w:hAnsi="仿宋_GB2312" w:eastAsia="仿宋_GB2312" w:cs="仿宋_GB2312"/>
          <w:b/>
          <w:color w:val="000000"/>
          <w:sz w:val="32"/>
          <w:szCs w:val="24"/>
          <w:lang w:val="zh-CN"/>
        </w:rPr>
        <w:t>（二）存在问题。</w:t>
      </w:r>
      <w:bookmarkEnd w:id="40"/>
    </w:p>
    <w:p>
      <w:pPr>
        <w:spacing w:line="576"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1.重视程度有待加强，绩效目标设定不够精细合理；</w:t>
      </w:r>
    </w:p>
    <w:p>
      <w:pPr>
        <w:spacing w:line="576"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2.绩效评价思想上存在误区，绩效评价方式比较单一，形式和内容不够全面；</w:t>
      </w:r>
    </w:p>
    <w:p>
      <w:pPr>
        <w:spacing w:line="576" w:lineRule="exact"/>
        <w:ind w:firstLine="632" w:firstLineChars="200"/>
        <w:rPr>
          <w:rFonts w:hint="eastAsia" w:ascii="仿宋_GB2312" w:hAnsi="仿宋_GB2312" w:eastAsia="仿宋_GB2312" w:cs="仿宋_GB2312"/>
          <w:b/>
          <w:color w:val="000000"/>
          <w:sz w:val="32"/>
          <w:szCs w:val="24"/>
          <w:lang w:val="zh-CN"/>
        </w:rPr>
      </w:pPr>
      <w:r>
        <w:rPr>
          <w:rFonts w:hint="eastAsia" w:ascii="仿宋_GB2312" w:hAnsi="仿宋_GB2312" w:eastAsia="仿宋_GB2312" w:cs="仿宋_GB2312"/>
          <w:sz w:val="32"/>
          <w:szCs w:val="32"/>
        </w:rPr>
        <w:t>3.项目支出绩效目标设置不够精细，指标数量不够明晰，结构不太合理。</w:t>
      </w:r>
    </w:p>
    <w:p>
      <w:pPr>
        <w:keepNext/>
        <w:keepLines/>
        <w:spacing w:line="576" w:lineRule="exact"/>
        <w:ind w:firstLine="643"/>
        <w:rPr>
          <w:rFonts w:hint="eastAsia" w:ascii="仿宋_GB2312" w:hAnsi="仿宋_GB2312" w:eastAsia="仿宋_GB2312" w:cs="仿宋_GB2312"/>
          <w:b/>
          <w:color w:val="000000"/>
          <w:sz w:val="32"/>
          <w:szCs w:val="24"/>
          <w:lang w:val="zh-CN"/>
        </w:rPr>
      </w:pPr>
      <w:bookmarkStart w:id="41" w:name="_Toc25034"/>
      <w:r>
        <w:rPr>
          <w:rFonts w:hint="eastAsia" w:ascii="仿宋_GB2312" w:hAnsi="仿宋_GB2312" w:eastAsia="仿宋_GB2312" w:cs="仿宋_GB2312"/>
          <w:b/>
          <w:color w:val="000000"/>
          <w:sz w:val="32"/>
          <w:szCs w:val="24"/>
          <w:lang w:val="zh-CN"/>
        </w:rPr>
        <w:t>（三）改进建议。</w:t>
      </w:r>
      <w:bookmarkEnd w:id="41"/>
    </w:p>
    <w:p>
      <w:pPr>
        <w:spacing w:line="576"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1.进一步树立正确的绩效评价观，加强绩效评价工作中的预算编制、预算管理和预算执行等基础工作建设；</w:t>
      </w:r>
    </w:p>
    <w:p>
      <w:pPr>
        <w:spacing w:line="576"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2.进一步加强财务管理，建立健全财务管理制度及体系，规范财务行为，强化绩效目标完成与预算执行相互衔接、相互促进，确保绩效目标全面完成；</w:t>
      </w:r>
    </w:p>
    <w:p>
      <w:pPr>
        <w:spacing w:line="576"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加强业务培训学习，提升业务技能水平，切实提高预算编制、绩效目标设置的质量和水平。</w:t>
      </w:r>
    </w:p>
    <w:p>
      <w:pPr>
        <w:spacing w:line="576"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4.改进绩效评价工作方法。一是加强预算编制与目标设置的一致性；二是加强预算执行与绩效目标完成的一致性；三是构建合理、适当、可操作的评价体系；四是对绩效评价的结果充分</w:t>
      </w:r>
      <w:r>
        <w:rPr>
          <w:rFonts w:hint="eastAsia" w:ascii="仿宋_GB2312" w:hAnsi="仿宋_GB2312" w:eastAsia="仿宋_GB2312" w:cs="仿宋_GB2312"/>
          <w:sz w:val="32"/>
          <w:szCs w:val="32"/>
          <w:lang w:eastAsia="zh-CN"/>
        </w:rPr>
        <w:t>利用，为进一步提升绩效目标管理</w:t>
      </w:r>
      <w:r>
        <w:rPr>
          <w:rFonts w:hint="eastAsia" w:ascii="仿宋_GB2312" w:hAnsi="仿宋_GB2312" w:eastAsia="仿宋_GB2312" w:cs="仿宋_GB2312"/>
          <w:sz w:val="32"/>
          <w:szCs w:val="32"/>
        </w:rPr>
        <w:t>发挥作用。</w:t>
      </w:r>
    </w:p>
    <w:p>
      <w:pPr>
        <w:spacing w:line="576" w:lineRule="exact"/>
        <w:ind w:firstLine="632" w:firstLineChars="200"/>
        <w:rPr>
          <w:rFonts w:hint="eastAsia" w:ascii="仿宋_GB2312" w:hAnsi="仿宋_GB2312" w:eastAsia="仿宋_GB2312" w:cs="仿宋_GB2312"/>
          <w:sz w:val="32"/>
          <w:szCs w:val="24"/>
          <w:lang w:val="en-US"/>
        </w:rPr>
      </w:pPr>
      <w:r>
        <w:rPr>
          <w:rFonts w:hint="eastAsia" w:ascii="仿宋_GB2312" w:hAnsi="仿宋_GB2312" w:eastAsia="仿宋_GB2312" w:cs="仿宋_GB2312"/>
          <w:sz w:val="32"/>
          <w:szCs w:val="24"/>
          <w:lang w:val="en-US"/>
        </w:rPr>
        <w:t>附表：部门预算项目支出绩效自评表（2023年度）</w:t>
      </w:r>
    </w:p>
    <w:p>
      <w:pPr>
        <w:spacing w:line="576" w:lineRule="exact"/>
        <w:ind w:firstLine="632" w:firstLineChars="200"/>
        <w:rPr>
          <w:rFonts w:hint="eastAsia" w:ascii="仿宋_GB2312" w:hAnsi="仿宋_GB2312" w:eastAsia="仿宋_GB2312" w:cs="仿宋_GB2312"/>
          <w:sz w:val="32"/>
          <w:szCs w:val="24"/>
          <w:lang w:val="en-US"/>
        </w:rPr>
      </w:pPr>
    </w:p>
    <w:p>
      <w:pPr>
        <w:ind w:firstLine="632" w:firstLineChars="200"/>
        <w:rPr>
          <w:rFonts w:hint="eastAsia" w:eastAsia="仿宋_GB2312"/>
          <w:sz w:val="32"/>
          <w:szCs w:val="24"/>
          <w:lang w:val="en-US"/>
        </w:rPr>
      </w:pPr>
    </w:p>
    <w:p>
      <w:pPr>
        <w:ind w:firstLine="632" w:firstLineChars="200"/>
        <w:rPr>
          <w:rFonts w:hint="eastAsia" w:eastAsia="仿宋_GB2312"/>
          <w:sz w:val="32"/>
          <w:szCs w:val="24"/>
          <w:lang w:val="en-US"/>
        </w:rPr>
        <w:sectPr>
          <w:footerReference r:id="rId3" w:type="default"/>
          <w:pgSz w:w="11907" w:h="16840"/>
          <w:pgMar w:top="2098" w:right="1474" w:bottom="1984" w:left="1588" w:header="720" w:footer="1400" w:gutter="0"/>
          <w:lnNumType w:countBy="0" w:distance="360"/>
          <w:pgNumType w:start="1"/>
          <w:cols w:space="720" w:num="1"/>
          <w:docGrid w:type="linesAndChars" w:linePitch="579" w:charSpace="-842"/>
        </w:sectPr>
      </w:pPr>
    </w:p>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eastAsia="zh-CN"/>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0"/>
        <w:gridCol w:w="2023"/>
        <w:gridCol w:w="1769"/>
        <w:gridCol w:w="2245"/>
        <w:gridCol w:w="790"/>
        <w:gridCol w:w="1452"/>
        <w:gridCol w:w="878"/>
        <w:gridCol w:w="1136"/>
        <w:gridCol w:w="547"/>
        <w:gridCol w:w="547"/>
        <w:gridCol w:w="2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000"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407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92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241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383" w:type="pct"/>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128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68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241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1663"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2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68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241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严格执行相关政策，保障工资及时、足额发放或社保及时、足额缴纳，预算编制科学合理，减少结余资金。</w:t>
            </w:r>
          </w:p>
        </w:tc>
        <w:tc>
          <w:tcPr>
            <w:tcW w:w="1663"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407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4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5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7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105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2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5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1.87</w:t>
            </w:r>
          </w:p>
        </w:tc>
        <w:tc>
          <w:tcPr>
            <w:tcW w:w="7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1.87</w:t>
            </w:r>
          </w:p>
        </w:tc>
        <w:tc>
          <w:tcPr>
            <w:tcW w:w="105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1.87</w:t>
            </w: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90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5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1.87</w:t>
            </w:r>
          </w:p>
        </w:tc>
        <w:tc>
          <w:tcPr>
            <w:tcW w:w="7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1.87</w:t>
            </w:r>
          </w:p>
        </w:tc>
        <w:tc>
          <w:tcPr>
            <w:tcW w:w="105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1.87</w:t>
            </w: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0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2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5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7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05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0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5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7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05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0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2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5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7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105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0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4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5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7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2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5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7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发放（缴纳）覆盖率</w:t>
            </w:r>
          </w:p>
        </w:tc>
        <w:tc>
          <w:tcPr>
            <w:tcW w:w="2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2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c>
          <w:tcPr>
            <w:tcW w:w="6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5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7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足额保障率（参保率）</w:t>
            </w:r>
          </w:p>
        </w:tc>
        <w:tc>
          <w:tcPr>
            <w:tcW w:w="2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4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38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19"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90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4759"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4759"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4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4759"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54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项目负责人：周拥军</w:t>
            </w:r>
          </w:p>
        </w:tc>
        <w:tc>
          <w:tcPr>
            <w:tcW w:w="245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autoSpaceDE/>
              <w:autoSpaceDN/>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11"/>
          <w:szCs w:val="8"/>
        </w:rPr>
      </w:pPr>
    </w:p>
    <w:tbl>
      <w:tblPr>
        <w:tblStyle w:val="12"/>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1997"/>
        <w:gridCol w:w="1748"/>
        <w:gridCol w:w="2216"/>
        <w:gridCol w:w="1181"/>
        <w:gridCol w:w="1033"/>
        <w:gridCol w:w="866"/>
        <w:gridCol w:w="1120"/>
        <w:gridCol w:w="543"/>
        <w:gridCol w:w="543"/>
        <w:gridCol w:w="2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460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2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项目名称</w:t>
            </w:r>
          </w:p>
        </w:tc>
        <w:tc>
          <w:tcPr>
            <w:tcW w:w="1190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主管部门</w:t>
            </w:r>
          </w:p>
        </w:tc>
        <w:tc>
          <w:tcPr>
            <w:tcW w:w="70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1120" w:type="dxa"/>
            <w:tcBorders>
              <w:top w:val="nil"/>
              <w:left w:val="nil"/>
              <w:bottom w:val="nil"/>
              <w:right w:val="nil"/>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实施单位 （盖章）</w:t>
            </w:r>
          </w:p>
        </w:tc>
        <w:tc>
          <w:tcPr>
            <w:tcW w:w="373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项目基本情况</w:t>
            </w:r>
          </w:p>
        </w:tc>
        <w:tc>
          <w:tcPr>
            <w:tcW w:w="199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1.项目年度目标完成情况</w:t>
            </w:r>
          </w:p>
        </w:tc>
        <w:tc>
          <w:tcPr>
            <w:tcW w:w="70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项目年度目标</w:t>
            </w:r>
          </w:p>
        </w:tc>
        <w:tc>
          <w:tcPr>
            <w:tcW w:w="485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70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严格执行相关政策，保障工资及时、足额发放或社保及时、足额缴纳，预算编制科学合理，减少结余资金。</w:t>
            </w:r>
          </w:p>
        </w:tc>
        <w:tc>
          <w:tcPr>
            <w:tcW w:w="485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2.项目实施内容及过程概述</w:t>
            </w:r>
          </w:p>
        </w:tc>
        <w:tc>
          <w:tcPr>
            <w:tcW w:w="1190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7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预算执行情况（10分）</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年度预算数（万元）</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年初预算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调整后预算数</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预算执行数</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预算执行率</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权重</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得分</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总额</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18.52</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18.41</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18.41</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w:t>
            </w:r>
          </w:p>
        </w:tc>
        <w:tc>
          <w:tcPr>
            <w:tcW w:w="26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其中：财政资金</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18.52</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18.41</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18.41</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26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财政专户管理资金</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26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单位资金</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26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其他资金</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26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绩效指标（90分）</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一级指标</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二级指标</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三级指标</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指标性质</w:t>
            </w: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指标值</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度量单位</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完成值</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权重</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得分</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产出指标</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数量指标</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发放（缴纳）覆盖率</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60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60</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效益指标</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社会效益指标</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足额保障率（参保率）</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10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30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30</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0864"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合计</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评价结论</w:t>
            </w:r>
          </w:p>
        </w:tc>
        <w:tc>
          <w:tcPr>
            <w:tcW w:w="1389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存在问题</w:t>
            </w:r>
          </w:p>
        </w:tc>
        <w:tc>
          <w:tcPr>
            <w:tcW w:w="1389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改进措施</w:t>
            </w:r>
          </w:p>
        </w:tc>
        <w:tc>
          <w:tcPr>
            <w:tcW w:w="1389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84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项目负责人：周拥军</w:t>
            </w:r>
          </w:p>
        </w:tc>
        <w:tc>
          <w:tcPr>
            <w:tcW w:w="6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财务负责人：严一丰</w:t>
            </w:r>
          </w:p>
        </w:tc>
      </w:tr>
    </w:tbl>
    <w:p>
      <w:pPr>
        <w:spacing w:line="240" w:lineRule="atLeast"/>
        <w:rPr>
          <w:rFonts w:hint="eastAsia"/>
          <w:sz w:val="11"/>
          <w:szCs w:val="8"/>
        </w:rPr>
      </w:pPr>
    </w:p>
    <w:tbl>
      <w:tblPr>
        <w:tblStyle w:val="12"/>
        <w:tblW w:w="146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1997"/>
        <w:gridCol w:w="1748"/>
        <w:gridCol w:w="2216"/>
        <w:gridCol w:w="539"/>
        <w:gridCol w:w="1675"/>
        <w:gridCol w:w="866"/>
        <w:gridCol w:w="1120"/>
        <w:gridCol w:w="543"/>
        <w:gridCol w:w="543"/>
        <w:gridCol w:w="2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460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2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项目名称</w:t>
            </w:r>
          </w:p>
        </w:tc>
        <w:tc>
          <w:tcPr>
            <w:tcW w:w="1190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主管部门</w:t>
            </w:r>
          </w:p>
        </w:tc>
        <w:tc>
          <w:tcPr>
            <w:tcW w:w="70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1120" w:type="dxa"/>
            <w:tcBorders>
              <w:top w:val="nil"/>
              <w:left w:val="nil"/>
              <w:bottom w:val="nil"/>
              <w:right w:val="nil"/>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实施单位 （盖章）</w:t>
            </w:r>
          </w:p>
        </w:tc>
        <w:tc>
          <w:tcPr>
            <w:tcW w:w="373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7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项目基本情况</w:t>
            </w:r>
          </w:p>
        </w:tc>
        <w:tc>
          <w:tcPr>
            <w:tcW w:w="199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1.项目年度目标完成情况</w:t>
            </w:r>
          </w:p>
        </w:tc>
        <w:tc>
          <w:tcPr>
            <w:tcW w:w="70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项目年度目标</w:t>
            </w:r>
          </w:p>
        </w:tc>
        <w:tc>
          <w:tcPr>
            <w:tcW w:w="485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70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严格执行相关政策，保障工资及时、足额发放或社保及时、足额缴纳，预算编制科学合理，减少结余资金。</w:t>
            </w:r>
          </w:p>
        </w:tc>
        <w:tc>
          <w:tcPr>
            <w:tcW w:w="485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2.项目实施内容及过程概述</w:t>
            </w:r>
          </w:p>
        </w:tc>
        <w:tc>
          <w:tcPr>
            <w:tcW w:w="1190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7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预算执行情况（10分）</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年度预算数（万元）</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年初预算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调整后预算数</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预算执行数</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预算执行率</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权重</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得分</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总额</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18.52</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18.41</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18.41</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w:t>
            </w:r>
          </w:p>
        </w:tc>
        <w:tc>
          <w:tcPr>
            <w:tcW w:w="26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其中：财政资金</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18.52</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18.41</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18.41</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26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财政专户管理资金</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26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单位资金</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0.00%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26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其他资金</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26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7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绩效指标（90分）</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一级指标</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二级指标</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三级指标</w:t>
            </w:r>
          </w:p>
        </w:tc>
        <w:tc>
          <w:tcPr>
            <w:tcW w:w="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指标性质</w:t>
            </w: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指标值</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度量单位</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完成值</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权重</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得分</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产出指标</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数量指标</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发放（缴纳）覆盖率</w:t>
            </w:r>
          </w:p>
        </w:tc>
        <w:tc>
          <w:tcPr>
            <w:tcW w:w="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60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60</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效益指标</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社会效益指标</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足额保障率（参保率）</w:t>
            </w:r>
          </w:p>
        </w:tc>
        <w:tc>
          <w:tcPr>
            <w:tcW w:w="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30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30</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0864"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合计</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100</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评价结论</w:t>
            </w:r>
          </w:p>
        </w:tc>
        <w:tc>
          <w:tcPr>
            <w:tcW w:w="1389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存在问题</w:t>
            </w:r>
          </w:p>
        </w:tc>
        <w:tc>
          <w:tcPr>
            <w:tcW w:w="1389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改进措施</w:t>
            </w:r>
          </w:p>
        </w:tc>
        <w:tc>
          <w:tcPr>
            <w:tcW w:w="1389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20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项目负责人：周拥军</w:t>
            </w:r>
          </w:p>
        </w:tc>
        <w:tc>
          <w:tcPr>
            <w:tcW w:w="739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napToGrid w:val="0"/>
              <w:spacing w:line="240" w:lineRule="atLeast"/>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15"/>
          <w:szCs w:val="11"/>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74"/>
        <w:gridCol w:w="1903"/>
        <w:gridCol w:w="1584"/>
        <w:gridCol w:w="2382"/>
        <w:gridCol w:w="1138"/>
        <w:gridCol w:w="981"/>
        <w:gridCol w:w="1138"/>
        <w:gridCol w:w="1598"/>
        <w:gridCol w:w="591"/>
        <w:gridCol w:w="591"/>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2.96</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5.16</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5.16</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2.96</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5.16</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5.16</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发放（缴纳）覆盖率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足额保障率（参保率）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项目负责人：周拥军</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
          <w:szCs w:val="2"/>
        </w:rPr>
      </w:pPr>
    </w:p>
    <w:tbl>
      <w:tblPr>
        <w:tblStyle w:val="12"/>
        <w:tblW w:w="14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1997"/>
        <w:gridCol w:w="1748"/>
        <w:gridCol w:w="2216"/>
        <w:gridCol w:w="539"/>
        <w:gridCol w:w="1675"/>
        <w:gridCol w:w="866"/>
        <w:gridCol w:w="1120"/>
        <w:gridCol w:w="543"/>
        <w:gridCol w:w="543"/>
        <w:gridCol w:w="2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460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90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51081223R000007945709-2023年工资性支出（行政）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2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70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1120" w:type="dxa"/>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373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199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70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485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70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严格执行相关政策，保障工资及时、足额发放或社保及时、足额缴纳，预算编制科学合理，减少结余资金。</w:t>
            </w:r>
          </w:p>
        </w:tc>
        <w:tc>
          <w:tcPr>
            <w:tcW w:w="485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90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230.33</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230.99</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230.99</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6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230.33</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230.99</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230.99</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30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7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发放（缴纳）覆盖率</w:t>
            </w:r>
          </w:p>
        </w:tc>
        <w:tc>
          <w:tcPr>
            <w:tcW w:w="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2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足额保障率（参保率）</w:t>
            </w:r>
          </w:p>
        </w:tc>
        <w:tc>
          <w:tcPr>
            <w:tcW w:w="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1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864"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26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7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89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89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89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项目负责人：周拥军</w:t>
            </w:r>
          </w:p>
        </w:tc>
        <w:tc>
          <w:tcPr>
            <w:tcW w:w="739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13"/>
          <w:szCs w:val="10"/>
        </w:rPr>
      </w:pPr>
    </w:p>
    <w:tbl>
      <w:tblPr>
        <w:tblStyle w:val="12"/>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2"/>
        <w:gridCol w:w="1994"/>
        <w:gridCol w:w="1746"/>
        <w:gridCol w:w="2213"/>
        <w:gridCol w:w="538"/>
        <w:gridCol w:w="1673"/>
        <w:gridCol w:w="864"/>
        <w:gridCol w:w="1118"/>
        <w:gridCol w:w="542"/>
        <w:gridCol w:w="542"/>
        <w:gridCol w:w="2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45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88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51081223R000007945883-2023年工资性支出（事业）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703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1118" w:type="dxa"/>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37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0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19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703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4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703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严格执行相关政策，保障工资及时、足额发放或社保及时、足额缴纳，预算编制科学合理，减少结余资金。</w:t>
            </w:r>
          </w:p>
        </w:tc>
        <w:tc>
          <w:tcPr>
            <w:tcW w:w="4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88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0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30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185.85</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194.39</w:t>
            </w:r>
          </w:p>
        </w:tc>
        <w:tc>
          <w:tcPr>
            <w:tcW w:w="30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194.39</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64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185.85</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194.39</w:t>
            </w:r>
          </w:p>
        </w:tc>
        <w:tc>
          <w:tcPr>
            <w:tcW w:w="30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194.39</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0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0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30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70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16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8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发放（缴纳）覆盖率</w:t>
            </w:r>
          </w:p>
        </w:tc>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6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8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2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足额保障率（参保率）</w:t>
            </w:r>
          </w:p>
        </w:tc>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6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8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2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0848"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2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8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8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8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1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项目负责人：周拥军</w:t>
            </w:r>
          </w:p>
        </w:tc>
        <w:tc>
          <w:tcPr>
            <w:tcW w:w="738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8"/>
          <w:szCs w:val="22"/>
        </w:rPr>
      </w:pPr>
    </w:p>
    <w:tbl>
      <w:tblPr>
        <w:tblStyle w:val="12"/>
        <w:tblW w:w="14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2002"/>
        <w:gridCol w:w="1753"/>
        <w:gridCol w:w="2222"/>
        <w:gridCol w:w="540"/>
        <w:gridCol w:w="1679"/>
        <w:gridCol w:w="869"/>
        <w:gridCol w:w="1123"/>
        <w:gridCol w:w="545"/>
        <w:gridCol w:w="545"/>
        <w:gridCol w:w="2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64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7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93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51081223R000007946093-各类保险及住房公积金单位缴费（行政）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7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706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1123" w:type="dxa"/>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374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200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706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48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706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严格执行相关政策，保障工资及时、足额发放或社保及时、足额缴纳，预算编制科学合理，减少结余资金。</w:t>
            </w:r>
          </w:p>
        </w:tc>
        <w:tc>
          <w:tcPr>
            <w:tcW w:w="48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93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30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77.47</w:t>
            </w:r>
          </w:p>
        </w:tc>
        <w:tc>
          <w:tcPr>
            <w:tcW w:w="2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80.64</w:t>
            </w:r>
          </w:p>
        </w:tc>
        <w:tc>
          <w:tcPr>
            <w:tcW w:w="30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80.64</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6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77.47</w:t>
            </w:r>
          </w:p>
        </w:tc>
        <w:tc>
          <w:tcPr>
            <w:tcW w:w="2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80.64</w:t>
            </w:r>
          </w:p>
        </w:tc>
        <w:tc>
          <w:tcPr>
            <w:tcW w:w="30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80.64</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0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0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30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7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1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8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发放（缴纳）覆盖率</w:t>
            </w:r>
          </w:p>
        </w:tc>
        <w:tc>
          <w:tcPr>
            <w:tcW w:w="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8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2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7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22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足额保障率（参保率）</w:t>
            </w:r>
          </w:p>
        </w:tc>
        <w:tc>
          <w:tcPr>
            <w:tcW w:w="5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8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2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089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2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93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93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93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7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项目负责人：周拥军</w:t>
            </w:r>
          </w:p>
        </w:tc>
        <w:tc>
          <w:tcPr>
            <w:tcW w:w="741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9"/>
        <w:gridCol w:w="1929"/>
        <w:gridCol w:w="1689"/>
        <w:gridCol w:w="2141"/>
        <w:gridCol w:w="521"/>
        <w:gridCol w:w="1618"/>
        <w:gridCol w:w="834"/>
        <w:gridCol w:w="1082"/>
        <w:gridCol w:w="525"/>
        <w:gridCol w:w="525"/>
        <w:gridCol w:w="2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10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49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51081223R000007946267-各类保险及住房公积金单位缴费（事业）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6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680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1082" w:type="dxa"/>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36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19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680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468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80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严格执行相关政策，保障工资及时、足额发放或社保及时、足额缴纳，预算编制科学合理，减少结余资金。</w:t>
            </w:r>
          </w:p>
        </w:tc>
        <w:tc>
          <w:tcPr>
            <w:tcW w:w="468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49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297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64.09</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66.39</w:t>
            </w:r>
          </w:p>
        </w:tc>
        <w:tc>
          <w:tcPr>
            <w:tcW w:w="297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66.39</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64.09</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66.39</w:t>
            </w:r>
          </w:p>
        </w:tc>
        <w:tc>
          <w:tcPr>
            <w:tcW w:w="297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66.39</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5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97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5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97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5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97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5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16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发放（缴纳）覆盖率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6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2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足额保障率（参保率）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6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2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2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4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4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4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5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项目负责人：周拥军</w:t>
            </w:r>
          </w:p>
        </w:tc>
        <w:tc>
          <w:tcPr>
            <w:tcW w:w="714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2"/>
          <w:szCs w:val="20"/>
        </w:rPr>
      </w:pPr>
    </w:p>
    <w:tbl>
      <w:tblPr>
        <w:tblStyle w:val="12"/>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2"/>
        <w:gridCol w:w="1994"/>
        <w:gridCol w:w="1746"/>
        <w:gridCol w:w="2213"/>
        <w:gridCol w:w="538"/>
        <w:gridCol w:w="1673"/>
        <w:gridCol w:w="864"/>
        <w:gridCol w:w="1118"/>
        <w:gridCol w:w="542"/>
        <w:gridCol w:w="542"/>
        <w:gridCol w:w="2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45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88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51081223R000008146493-考核目标绩效奖（行政）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703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1118" w:type="dxa"/>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37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70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19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703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4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703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严格执行相关政策，保障工资及时、足额发放或社保及时、足额缴纳，预算编制科学合理，减少结余资金。</w:t>
            </w:r>
          </w:p>
        </w:tc>
        <w:tc>
          <w:tcPr>
            <w:tcW w:w="48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88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0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30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13.59</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10.33</w:t>
            </w:r>
          </w:p>
        </w:tc>
        <w:tc>
          <w:tcPr>
            <w:tcW w:w="30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10.33</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64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13.59</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10.33</w:t>
            </w:r>
          </w:p>
        </w:tc>
        <w:tc>
          <w:tcPr>
            <w:tcW w:w="30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10.33</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0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0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30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6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70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16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8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发放（缴纳）覆盖率</w:t>
            </w:r>
          </w:p>
        </w:tc>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6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8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2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足额保障率（参保率）</w:t>
            </w:r>
          </w:p>
        </w:tc>
        <w:tc>
          <w:tcPr>
            <w:tcW w:w="5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6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8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1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2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0848"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26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8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8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8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71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项目负责人：周拥军</w:t>
            </w:r>
          </w:p>
        </w:tc>
        <w:tc>
          <w:tcPr>
            <w:tcW w:w="738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9"/>
        <w:gridCol w:w="1929"/>
        <w:gridCol w:w="1689"/>
        <w:gridCol w:w="2141"/>
        <w:gridCol w:w="521"/>
        <w:gridCol w:w="1618"/>
        <w:gridCol w:w="834"/>
        <w:gridCol w:w="1082"/>
        <w:gridCol w:w="525"/>
        <w:gridCol w:w="525"/>
        <w:gridCol w:w="2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410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49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51081223R000008146617-考核目标绩效奖（事业）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6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680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1082" w:type="dxa"/>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36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19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680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468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80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严格执行相关政策，保障工资及时、足额发放或社保及时、足额缴纳，预算编制科学合理，减少结余资金。</w:t>
            </w:r>
          </w:p>
        </w:tc>
        <w:tc>
          <w:tcPr>
            <w:tcW w:w="468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49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297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12.94</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297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5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12.94</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297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5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97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5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97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5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97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5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16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发放（缴纳）覆盖率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6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2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21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足额保障率（参保率）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6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8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2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2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4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4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42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95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项目负责人：周拥军</w:t>
            </w:r>
          </w:p>
        </w:tc>
        <w:tc>
          <w:tcPr>
            <w:tcW w:w="714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1"/>
          <w:szCs w:val="18"/>
        </w:rPr>
      </w:pPr>
    </w:p>
    <w:tbl>
      <w:tblPr>
        <w:tblStyle w:val="12"/>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4"/>
        <w:gridCol w:w="2010"/>
        <w:gridCol w:w="1695"/>
        <w:gridCol w:w="2295"/>
        <w:gridCol w:w="1200"/>
        <w:gridCol w:w="840"/>
        <w:gridCol w:w="780"/>
        <w:gridCol w:w="285"/>
        <w:gridCol w:w="1275"/>
        <w:gridCol w:w="246"/>
        <w:gridCol w:w="414"/>
        <w:gridCol w:w="630"/>
        <w:gridCol w:w="1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458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3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42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51081223T000007628865-项目前期工作激励工作经费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3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68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1806" w:type="dxa"/>
            <w:gridSpan w:val="3"/>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实施单位（盖章）</w:t>
            </w:r>
          </w:p>
        </w:tc>
        <w:tc>
          <w:tcPr>
            <w:tcW w:w="28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1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201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68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461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8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为激励全区上下以“起步就冲刺、开局就争先”的精气神抓好项目建设，推动项目及早开工、在建项目提速增量，积极扩大有效投资，形成大抓项目、抓大项目的浓厚氛围，促进全区全年投资平稳较快增长。</w:t>
            </w:r>
          </w:p>
        </w:tc>
        <w:tc>
          <w:tcPr>
            <w:tcW w:w="461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42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2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310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30.00</w:t>
            </w:r>
          </w:p>
        </w:tc>
        <w:tc>
          <w:tcPr>
            <w:tcW w:w="310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7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30.00</w:t>
            </w:r>
          </w:p>
        </w:tc>
        <w:tc>
          <w:tcPr>
            <w:tcW w:w="310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10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10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310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2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6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项目开工数量</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132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个</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132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6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专项债项目申报数量</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42</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个</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6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项目储备数量</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255</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个</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255</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省重点项目投资规模</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14</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亿元</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14</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全年目标任务完成率</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可持续影响指标</w:t>
            </w: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促进全年投资增长指标完成率</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1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公众满意度</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1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16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2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项目前期工作经费</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152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43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43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43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83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项目负责人：袁浩</w:t>
            </w:r>
          </w:p>
        </w:tc>
        <w:tc>
          <w:tcPr>
            <w:tcW w:w="623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11"/>
          <w:szCs w:val="8"/>
        </w:rPr>
      </w:pPr>
    </w:p>
    <w:tbl>
      <w:tblPr>
        <w:tblStyle w:val="12"/>
        <w:tblW w:w="15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4"/>
        <w:gridCol w:w="1907"/>
        <w:gridCol w:w="1607"/>
        <w:gridCol w:w="3094"/>
        <w:gridCol w:w="1126"/>
        <w:gridCol w:w="120"/>
        <w:gridCol w:w="736"/>
        <w:gridCol w:w="1096"/>
        <w:gridCol w:w="1261"/>
        <w:gridCol w:w="690"/>
        <w:gridCol w:w="675"/>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5080"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2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项目名称</w:t>
            </w:r>
          </w:p>
        </w:tc>
        <w:tc>
          <w:tcPr>
            <w:tcW w:w="1212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51081223T000008998263-06-2022年产粮大县奖励金（用于促进粮油产业高质项资金）量发展项目专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29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主管部门</w:t>
            </w:r>
          </w:p>
        </w:tc>
        <w:tc>
          <w:tcPr>
            <w:tcW w:w="594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广元市朝天区发展和改革局部门</w:t>
            </w:r>
          </w:p>
        </w:tc>
        <w:tc>
          <w:tcPr>
            <w:tcW w:w="1832" w:type="dxa"/>
            <w:gridSpan w:val="2"/>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实施单位（盖章）</w:t>
            </w:r>
          </w:p>
        </w:tc>
        <w:tc>
          <w:tcPr>
            <w:tcW w:w="43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10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项目基本情况</w:t>
            </w:r>
          </w:p>
        </w:tc>
        <w:tc>
          <w:tcPr>
            <w:tcW w:w="190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1.项目年度目标完成情况</w:t>
            </w:r>
          </w:p>
        </w:tc>
        <w:tc>
          <w:tcPr>
            <w:tcW w:w="777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项目年度目标</w:t>
            </w:r>
          </w:p>
        </w:tc>
        <w:tc>
          <w:tcPr>
            <w:tcW w:w="43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777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以绿色仓储为载体，建设“仓顶阳光”项目一个，促进粮油产业高质量发展，确保地区粮食安全。2、贯彻国家优质粮食工程总体需求，完善建设快检能力提升项目1个，促进粮油产业高质量发展，切实提升粮食质量安全风险监测监管能力和企业收购效率，确保地区粮食安全。</w:t>
            </w:r>
          </w:p>
        </w:tc>
        <w:tc>
          <w:tcPr>
            <w:tcW w:w="435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2.项目实施内容及过程概述</w:t>
            </w:r>
          </w:p>
        </w:tc>
        <w:tc>
          <w:tcPr>
            <w:tcW w:w="1212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预算执行情况（10分）</w:t>
            </w:r>
          </w:p>
        </w:tc>
        <w:tc>
          <w:tcPr>
            <w:tcW w:w="19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年度预算数（万元）</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年初预算</w:t>
            </w: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调整后预算数</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预算执行数</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预算执行率</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权重</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得分</w:t>
            </w:r>
          </w:p>
        </w:tc>
        <w:tc>
          <w:tcPr>
            <w:tcW w:w="17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总额</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407.20</w:t>
            </w: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287.20</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287.20</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17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其中：财政资金</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407.20</w:t>
            </w: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287.20</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287.20</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17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财政专户管理资金</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17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单位资金</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17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其他资金</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17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10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绩效指标（90分）</w:t>
            </w:r>
          </w:p>
        </w:tc>
        <w:tc>
          <w:tcPr>
            <w:tcW w:w="19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一级指标</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二级指标</w:t>
            </w: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三级指标</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指标性质</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指标值</w:t>
            </w:r>
          </w:p>
        </w:tc>
        <w:tc>
          <w:tcPr>
            <w:tcW w:w="10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度量单位</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完成值</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权重</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得分</w:t>
            </w:r>
          </w:p>
        </w:tc>
        <w:tc>
          <w:tcPr>
            <w:tcW w:w="17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产出指标</w:t>
            </w:r>
          </w:p>
        </w:tc>
        <w:tc>
          <w:tcPr>
            <w:tcW w:w="160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数量指标</w:t>
            </w: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完善建设快能项目个数</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4</w:t>
            </w:r>
          </w:p>
        </w:tc>
        <w:tc>
          <w:tcPr>
            <w:tcW w:w="10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个</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4</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17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60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完成应急粮油保障能力提升项目个数</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w:t>
            </w:r>
          </w:p>
        </w:tc>
        <w:tc>
          <w:tcPr>
            <w:tcW w:w="10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个</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17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60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建设“仓顶阳光”升级项目个数</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w:t>
            </w:r>
          </w:p>
        </w:tc>
        <w:tc>
          <w:tcPr>
            <w:tcW w:w="10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个</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17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60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质量指标</w:t>
            </w: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资金支付率</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10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17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60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项目验收通过率</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10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17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时效指标</w:t>
            </w: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2023年1月-2023年12月</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12</w:t>
            </w:r>
          </w:p>
        </w:tc>
        <w:tc>
          <w:tcPr>
            <w:tcW w:w="10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月</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12</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17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效益指标</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社会效益指标</w:t>
            </w: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区应急粮油储备保障率</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10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30</w:t>
            </w:r>
          </w:p>
        </w:tc>
        <w:tc>
          <w:tcPr>
            <w:tcW w:w="17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0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满意度指标</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服务对象满意度指标</w:t>
            </w:r>
          </w:p>
        </w:tc>
        <w:tc>
          <w:tcPr>
            <w:tcW w:w="30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服务对象满意度</w:t>
            </w:r>
          </w:p>
        </w:tc>
        <w:tc>
          <w:tcPr>
            <w:tcW w:w="11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10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17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1199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合计</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17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评价结论</w:t>
            </w:r>
          </w:p>
        </w:tc>
        <w:tc>
          <w:tcPr>
            <w:tcW w:w="1403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存在问题</w:t>
            </w:r>
          </w:p>
        </w:tc>
        <w:tc>
          <w:tcPr>
            <w:tcW w:w="1403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改进措施</w:t>
            </w:r>
          </w:p>
        </w:tc>
        <w:tc>
          <w:tcPr>
            <w:tcW w:w="1403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877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项目负责人：毛延寿</w:t>
            </w:r>
          </w:p>
        </w:tc>
        <w:tc>
          <w:tcPr>
            <w:tcW w:w="6302"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2"/>
          <w:szCs w:val="20"/>
        </w:rPr>
      </w:pPr>
    </w:p>
    <w:tbl>
      <w:tblPr>
        <w:tblStyle w:val="12"/>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4"/>
        <w:gridCol w:w="1939"/>
        <w:gridCol w:w="1449"/>
        <w:gridCol w:w="2268"/>
        <w:gridCol w:w="1044"/>
        <w:gridCol w:w="611"/>
        <w:gridCol w:w="259"/>
        <w:gridCol w:w="1035"/>
        <w:gridCol w:w="1230"/>
        <w:gridCol w:w="674"/>
        <w:gridCol w:w="676"/>
        <w:gridCol w:w="2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940"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310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项目名称</w:t>
            </w:r>
          </w:p>
        </w:tc>
        <w:tc>
          <w:tcPr>
            <w:tcW w:w="1183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51081223T000009002616-物价管理经费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0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主管部门</w:t>
            </w:r>
          </w:p>
        </w:tc>
        <w:tc>
          <w:tcPr>
            <w:tcW w:w="53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广元市朝天区发展和改革局部门</w:t>
            </w:r>
          </w:p>
        </w:tc>
        <w:tc>
          <w:tcPr>
            <w:tcW w:w="2524" w:type="dxa"/>
            <w:gridSpan w:val="3"/>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实施单位 （盖章）</w:t>
            </w:r>
          </w:p>
        </w:tc>
        <w:tc>
          <w:tcPr>
            <w:tcW w:w="39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1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项目基本情况</w:t>
            </w:r>
          </w:p>
        </w:tc>
        <w:tc>
          <w:tcPr>
            <w:tcW w:w="193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1.项目年度目标完成情况</w:t>
            </w:r>
          </w:p>
        </w:tc>
        <w:tc>
          <w:tcPr>
            <w:tcW w:w="666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项目年度目标</w:t>
            </w:r>
          </w:p>
        </w:tc>
        <w:tc>
          <w:tcPr>
            <w:tcW w:w="517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666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1.完成年度内燃气、城区垃圾处理、益后公墓服务收费等项目的成本监审及定价工作；2.完成重要节假日民生商品价格监测。</w:t>
            </w:r>
          </w:p>
        </w:tc>
        <w:tc>
          <w:tcPr>
            <w:tcW w:w="517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2.项目实施内容及过程概述</w:t>
            </w:r>
          </w:p>
        </w:tc>
        <w:tc>
          <w:tcPr>
            <w:tcW w:w="1183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1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预算执行情况（10分）</w:t>
            </w:r>
          </w:p>
        </w:tc>
        <w:tc>
          <w:tcPr>
            <w:tcW w:w="19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年度预算数（万元）</w:t>
            </w: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年初预算</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调整后预算数</w:t>
            </w:r>
          </w:p>
        </w:tc>
        <w:tc>
          <w:tcPr>
            <w:tcW w:w="294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预算执行数</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预算执行率</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权重</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得分</w:t>
            </w:r>
          </w:p>
        </w:tc>
        <w:tc>
          <w:tcPr>
            <w:tcW w:w="2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总额</w:t>
            </w: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5.00</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3.00</w:t>
            </w:r>
          </w:p>
        </w:tc>
        <w:tc>
          <w:tcPr>
            <w:tcW w:w="294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3.00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59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其中：财政资金</w:t>
            </w: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5.00</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3.00</w:t>
            </w:r>
          </w:p>
        </w:tc>
        <w:tc>
          <w:tcPr>
            <w:tcW w:w="294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3.00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5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财政专户管理资金</w:t>
            </w: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294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5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单位资金</w:t>
            </w: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294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5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其他资金</w:t>
            </w: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294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5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1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绩效指标（90分）</w:t>
            </w:r>
          </w:p>
        </w:tc>
        <w:tc>
          <w:tcPr>
            <w:tcW w:w="19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一级指标</w:t>
            </w: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二级指标</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三级指标</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指标性质</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指标值</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度量单位</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完成值</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权重</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得分</w:t>
            </w:r>
          </w:p>
        </w:tc>
        <w:tc>
          <w:tcPr>
            <w:tcW w:w="2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产出指标</w:t>
            </w:r>
          </w:p>
        </w:tc>
        <w:tc>
          <w:tcPr>
            <w:tcW w:w="14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数量指标</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收费项目成本监审</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个</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节假日重要民生商品价格监测</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次</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2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4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印制宣传资料分数</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份</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质量指标</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完成工作任务准确率</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时效指标</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年内完成</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2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效益指标</w:t>
            </w: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社会效益指标</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促进人民福祉，促进社会稳定群众获得感率</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2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满意度指标</w:t>
            </w: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服务对象满意度指标</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公众满意度</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成本指标</w:t>
            </w:r>
          </w:p>
        </w:tc>
        <w:tc>
          <w:tcPr>
            <w:tcW w:w="14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经济成本指标</w:t>
            </w:r>
          </w:p>
        </w:tc>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使用工作经费</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万元</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2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0999"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合计</w:t>
            </w:r>
          </w:p>
        </w:tc>
        <w:tc>
          <w:tcPr>
            <w:tcW w:w="6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2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评价结论</w:t>
            </w:r>
          </w:p>
        </w:tc>
        <w:tc>
          <w:tcPr>
            <w:tcW w:w="137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1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存在问题</w:t>
            </w:r>
          </w:p>
        </w:tc>
        <w:tc>
          <w:tcPr>
            <w:tcW w:w="137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1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改进措施</w:t>
            </w:r>
          </w:p>
        </w:tc>
        <w:tc>
          <w:tcPr>
            <w:tcW w:w="1377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786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项目负责人：马丽娟</w:t>
            </w:r>
          </w:p>
        </w:tc>
        <w:tc>
          <w:tcPr>
            <w:tcW w:w="707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18"/>
          <w:szCs w:val="15"/>
        </w:rPr>
      </w:pPr>
    </w:p>
    <w:tbl>
      <w:tblPr>
        <w:tblStyle w:val="12"/>
        <w:tblW w:w="15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7"/>
        <w:gridCol w:w="1957"/>
        <w:gridCol w:w="1511"/>
        <w:gridCol w:w="2371"/>
        <w:gridCol w:w="1002"/>
        <w:gridCol w:w="840"/>
        <w:gridCol w:w="1050"/>
        <w:gridCol w:w="1260"/>
        <w:gridCol w:w="663"/>
        <w:gridCol w:w="702"/>
        <w:gridCol w:w="2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50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项目名称</w:t>
            </w:r>
          </w:p>
        </w:tc>
        <w:tc>
          <w:tcPr>
            <w:tcW w:w="1199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51081223T000009003708-经济运行调度管理工作经费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0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主管部门</w:t>
            </w:r>
          </w:p>
        </w:tc>
        <w:tc>
          <w:tcPr>
            <w:tcW w:w="488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广元市朝天区发展和改革局部门</w:t>
            </w:r>
          </w:p>
        </w:tc>
        <w:tc>
          <w:tcPr>
            <w:tcW w:w="3150" w:type="dxa"/>
            <w:gridSpan w:val="3"/>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实施单位 （盖章）</w:t>
            </w:r>
          </w:p>
        </w:tc>
        <w:tc>
          <w:tcPr>
            <w:tcW w:w="3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2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项目基本情况</w:t>
            </w:r>
          </w:p>
        </w:tc>
        <w:tc>
          <w:tcPr>
            <w:tcW w:w="19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1.项目年度目标完成情况</w:t>
            </w:r>
          </w:p>
        </w:tc>
        <w:tc>
          <w:tcPr>
            <w:tcW w:w="677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项目年度目标</w:t>
            </w:r>
          </w:p>
        </w:tc>
        <w:tc>
          <w:tcPr>
            <w:tcW w:w="522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677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1.制定《全区经济工作要点》，落实分解经济目标任务；</w:t>
            </w:r>
            <w:r>
              <w:rPr>
                <w:rFonts w:hint="eastAsia" w:eastAsia="仿宋_GB2312"/>
                <w:sz w:val="20"/>
                <w:szCs w:val="20"/>
                <w:lang w:val="en-US" w:eastAsia="zh-CN"/>
              </w:rPr>
              <w:br w:type="textWrapping"/>
            </w:r>
            <w:r>
              <w:rPr>
                <w:rFonts w:hint="eastAsia" w:eastAsia="仿宋_GB2312"/>
                <w:sz w:val="20"/>
                <w:szCs w:val="20"/>
                <w:lang w:val="en-US" w:eastAsia="zh-CN"/>
              </w:rPr>
              <w:t>2.按月召开经济运行调度会一次，每季度召开经济运行分析会一次。</w:t>
            </w:r>
            <w:r>
              <w:rPr>
                <w:rFonts w:hint="eastAsia" w:eastAsia="仿宋_GB2312"/>
                <w:sz w:val="20"/>
                <w:szCs w:val="20"/>
                <w:lang w:val="en-US" w:eastAsia="zh-CN"/>
              </w:rPr>
              <w:br w:type="textWrapping"/>
            </w:r>
            <w:r>
              <w:rPr>
                <w:rFonts w:hint="eastAsia" w:eastAsia="仿宋_GB2312"/>
                <w:sz w:val="20"/>
                <w:szCs w:val="20"/>
                <w:lang w:val="en-US" w:eastAsia="zh-CN"/>
              </w:rPr>
              <w:t>3.做好县域经济与经济运行监测分析。</w:t>
            </w:r>
          </w:p>
        </w:tc>
        <w:tc>
          <w:tcPr>
            <w:tcW w:w="522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2.项目实施内容及过程概述</w:t>
            </w:r>
          </w:p>
        </w:tc>
        <w:tc>
          <w:tcPr>
            <w:tcW w:w="1199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12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预算执行情况（10分）</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年度预算数（万元）</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年初预算</w:t>
            </w: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调整后预算数</w:t>
            </w:r>
          </w:p>
        </w:tc>
        <w:tc>
          <w:tcPr>
            <w:tcW w:w="28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预算执行数</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预算执行率</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权重</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得分</w:t>
            </w:r>
          </w:p>
        </w:tc>
        <w:tc>
          <w:tcPr>
            <w:tcW w:w="25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总额</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5.00</w:t>
            </w: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5.00</w:t>
            </w:r>
          </w:p>
        </w:tc>
        <w:tc>
          <w:tcPr>
            <w:tcW w:w="28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5.00</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59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其中：财政资金</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5.00</w:t>
            </w: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5.00</w:t>
            </w:r>
          </w:p>
        </w:tc>
        <w:tc>
          <w:tcPr>
            <w:tcW w:w="28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5.00</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5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财政专户管理资金</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28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5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单位资金</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28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5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其他资金</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28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5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112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绩效指标（90分）</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一级指标</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二级指标</w:t>
            </w: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三级指标</w:t>
            </w:r>
          </w:p>
        </w:tc>
        <w:tc>
          <w:tcPr>
            <w:tcW w:w="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指标性质</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指标值</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度量单位</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完成值</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权重</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得分</w:t>
            </w:r>
          </w:p>
        </w:tc>
        <w:tc>
          <w:tcPr>
            <w:tcW w:w="25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产出指标</w:t>
            </w:r>
          </w:p>
        </w:tc>
        <w:tc>
          <w:tcPr>
            <w:tcW w:w="151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数量指标</w:t>
            </w: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调度会、分析会总次数</w:t>
            </w:r>
          </w:p>
        </w:tc>
        <w:tc>
          <w:tcPr>
            <w:tcW w:w="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16</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次</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16</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5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5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经济要点细化落实分解到单位数量</w:t>
            </w:r>
          </w:p>
        </w:tc>
        <w:tc>
          <w:tcPr>
            <w:tcW w:w="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78</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个</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78</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5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质量指标</w:t>
            </w: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工作任务完成优质率</w:t>
            </w:r>
          </w:p>
        </w:tc>
        <w:tc>
          <w:tcPr>
            <w:tcW w:w="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5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时效指标</w:t>
            </w: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2023年1月-2023年12月</w:t>
            </w:r>
          </w:p>
        </w:tc>
        <w:tc>
          <w:tcPr>
            <w:tcW w:w="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5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效益指标</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社会效益指标</w:t>
            </w: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促进全区经济增长百分点</w:t>
            </w:r>
          </w:p>
        </w:tc>
        <w:tc>
          <w:tcPr>
            <w:tcW w:w="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个</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25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满意度指标</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服务对象满意度指标</w:t>
            </w: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公众满意度</w:t>
            </w:r>
          </w:p>
        </w:tc>
        <w:tc>
          <w:tcPr>
            <w:tcW w:w="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5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12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成本指标</w:t>
            </w:r>
          </w:p>
        </w:tc>
        <w:tc>
          <w:tcPr>
            <w:tcW w:w="1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经济成本指标</w:t>
            </w:r>
          </w:p>
        </w:tc>
        <w:tc>
          <w:tcPr>
            <w:tcW w:w="23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工作经费</w:t>
            </w:r>
          </w:p>
        </w:tc>
        <w:tc>
          <w:tcPr>
            <w:tcW w:w="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万元</w:t>
            </w:r>
          </w:p>
        </w:tc>
        <w:tc>
          <w:tcPr>
            <w:tcW w:w="12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25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118"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合计</w:t>
            </w:r>
          </w:p>
        </w:tc>
        <w:tc>
          <w:tcPr>
            <w:tcW w:w="6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7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25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评价结论</w:t>
            </w:r>
          </w:p>
        </w:tc>
        <w:tc>
          <w:tcPr>
            <w:tcW w:w="13953"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存在问题</w:t>
            </w:r>
          </w:p>
        </w:tc>
        <w:tc>
          <w:tcPr>
            <w:tcW w:w="13953"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改进措施</w:t>
            </w:r>
          </w:p>
        </w:tc>
        <w:tc>
          <w:tcPr>
            <w:tcW w:w="13953"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796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项目负责人：段杰林</w:t>
            </w:r>
          </w:p>
        </w:tc>
        <w:tc>
          <w:tcPr>
            <w:tcW w:w="711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4"/>
          <w:szCs w:val="21"/>
        </w:rPr>
      </w:pPr>
    </w:p>
    <w:tbl>
      <w:tblPr>
        <w:tblStyle w:val="12"/>
        <w:tblW w:w="14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8"/>
        <w:gridCol w:w="1935"/>
        <w:gridCol w:w="1506"/>
        <w:gridCol w:w="2262"/>
        <w:gridCol w:w="1137"/>
        <w:gridCol w:w="915"/>
        <w:gridCol w:w="1050"/>
        <w:gridCol w:w="1275"/>
        <w:gridCol w:w="630"/>
        <w:gridCol w:w="675"/>
        <w:gridCol w:w="2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490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0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86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51081223T000009003840-项目投资“拉练评比”工作经费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30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687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1275" w:type="dxa"/>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372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0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19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687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499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0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87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年内每个季度组织全区项目集中开工1次，全年共计4次。强化项目投资规模，确保年度项目投资工作目标任务全面完成。</w:t>
            </w:r>
          </w:p>
        </w:tc>
        <w:tc>
          <w:tcPr>
            <w:tcW w:w="499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0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86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10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1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31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10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20.00</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31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4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0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20.00</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31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4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0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1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4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0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1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4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310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4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1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11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全年集中开工次数</w:t>
            </w:r>
          </w:p>
        </w:tc>
        <w:tc>
          <w:tcPr>
            <w:tcW w:w="11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次</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每季度开工次数</w:t>
            </w:r>
          </w:p>
        </w:tc>
        <w:tc>
          <w:tcPr>
            <w:tcW w:w="11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次</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2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2023年1月-2023年12月</w:t>
            </w:r>
          </w:p>
        </w:tc>
        <w:tc>
          <w:tcPr>
            <w:tcW w:w="11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2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0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经济效益指标</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通过项目建设促进经济增长百分点</w:t>
            </w:r>
          </w:p>
        </w:tc>
        <w:tc>
          <w:tcPr>
            <w:tcW w:w="11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个</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2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0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1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服务对象满意度指标</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公众满意度</w:t>
            </w:r>
          </w:p>
        </w:tc>
        <w:tc>
          <w:tcPr>
            <w:tcW w:w="11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0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15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22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工作经费</w:t>
            </w:r>
          </w:p>
        </w:tc>
        <w:tc>
          <w:tcPr>
            <w:tcW w:w="11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2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1178"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24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80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80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80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793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项目负责人：黄鑫</w:t>
            </w:r>
          </w:p>
        </w:tc>
        <w:tc>
          <w:tcPr>
            <w:tcW w:w="696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4"/>
          <w:szCs w:val="21"/>
        </w:rPr>
      </w:pPr>
    </w:p>
    <w:tbl>
      <w:tblPr>
        <w:tblStyle w:val="12"/>
        <w:tblW w:w="14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9"/>
        <w:gridCol w:w="1920"/>
        <w:gridCol w:w="1555"/>
        <w:gridCol w:w="2259"/>
        <w:gridCol w:w="1076"/>
        <w:gridCol w:w="795"/>
        <w:gridCol w:w="60"/>
        <w:gridCol w:w="1050"/>
        <w:gridCol w:w="1298"/>
        <w:gridCol w:w="727"/>
        <w:gridCol w:w="660"/>
        <w:gridCol w:w="2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4880"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29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90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51081223T000009003935-项目的数据中心运行维护经费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297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568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2408" w:type="dxa"/>
            <w:gridSpan w:val="3"/>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05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19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679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510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79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全年确定25个信息采集点位，调整更换4个点位，开通光纤2条。2.实现全区重点项目建设全过程监控，做到实时管理，查询、汇总、统计、分析，并通过大数据反映项目状况。3.实现远程办公，远程交流指导工作。</w:t>
            </w:r>
          </w:p>
        </w:tc>
        <w:tc>
          <w:tcPr>
            <w:tcW w:w="510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90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105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298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15.00</w:t>
            </w: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5.30</w:t>
            </w:r>
          </w:p>
        </w:tc>
        <w:tc>
          <w:tcPr>
            <w:tcW w:w="298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5.30</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42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15.00</w:t>
            </w: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5.30</w:t>
            </w:r>
          </w:p>
        </w:tc>
        <w:tc>
          <w:tcPr>
            <w:tcW w:w="298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5.30</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4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98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4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98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4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98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4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jc w:val="center"/>
        </w:trPr>
        <w:tc>
          <w:tcPr>
            <w:tcW w:w="105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5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更换点位个数</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个</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5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监测点位数量</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25</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处</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25</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5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开通光纤数量</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条</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项目监测、监管覆盖率</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95</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95</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2023年1月-2023年12月</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基础设施建设提升率</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95</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95</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服务对象满意度指标</w:t>
            </w: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公众满意度</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05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15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22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运行维护费</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12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107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7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10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82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82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0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82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786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项目负责人：杨雪峰</w:t>
            </w:r>
          </w:p>
        </w:tc>
        <w:tc>
          <w:tcPr>
            <w:tcW w:w="701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5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6"/>
        <w:gridCol w:w="2078"/>
        <w:gridCol w:w="1485"/>
        <w:gridCol w:w="2099"/>
        <w:gridCol w:w="1135"/>
        <w:gridCol w:w="607"/>
        <w:gridCol w:w="318"/>
        <w:gridCol w:w="1091"/>
        <w:gridCol w:w="1305"/>
        <w:gridCol w:w="660"/>
        <w:gridCol w:w="675"/>
        <w:gridCol w:w="2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000"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2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73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51081223T000009003973-项目前期工作经费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2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532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2714" w:type="dxa"/>
            <w:gridSpan w:val="3"/>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369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207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673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500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73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全年力争向中央、省级争取预算内项目5个，资金规模4000万元以上。</w:t>
            </w:r>
          </w:p>
        </w:tc>
        <w:tc>
          <w:tcPr>
            <w:tcW w:w="500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73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11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2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31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3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48.00</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48.00</w:t>
            </w:r>
          </w:p>
        </w:tc>
        <w:tc>
          <w:tcPr>
            <w:tcW w:w="31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48.00</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3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48.00</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48.00</w:t>
            </w:r>
          </w:p>
        </w:tc>
        <w:tc>
          <w:tcPr>
            <w:tcW w:w="31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48.00</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3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1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3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1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3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31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3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11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2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1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3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4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争取基金、中长期贷款、专项债项目</w:t>
            </w:r>
          </w:p>
        </w:tc>
        <w:tc>
          <w:tcPr>
            <w:tcW w:w="1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个</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3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4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项目资金规模</w:t>
            </w:r>
          </w:p>
        </w:tc>
        <w:tc>
          <w:tcPr>
            <w:tcW w:w="1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4000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3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项目资金到位率</w:t>
            </w:r>
          </w:p>
        </w:tc>
        <w:tc>
          <w:tcPr>
            <w:tcW w:w="1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3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2023年1月-2023年12月</w:t>
            </w:r>
          </w:p>
        </w:tc>
        <w:tc>
          <w:tcPr>
            <w:tcW w:w="1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3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基础设施建设提升率</w:t>
            </w:r>
          </w:p>
        </w:tc>
        <w:tc>
          <w:tcPr>
            <w:tcW w:w="1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23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社会满意度</w:t>
            </w:r>
          </w:p>
        </w:tc>
        <w:tc>
          <w:tcPr>
            <w:tcW w:w="1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3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工作经费</w:t>
            </w:r>
          </w:p>
        </w:tc>
        <w:tc>
          <w:tcPr>
            <w:tcW w:w="11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9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48</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13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48</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23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130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23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81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81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81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798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项目负责人：袁浩</w:t>
            </w:r>
          </w:p>
        </w:tc>
        <w:tc>
          <w:tcPr>
            <w:tcW w:w="7017"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4"/>
        <w:gridCol w:w="1890"/>
        <w:gridCol w:w="1470"/>
        <w:gridCol w:w="2280"/>
        <w:gridCol w:w="1065"/>
        <w:gridCol w:w="300"/>
        <w:gridCol w:w="570"/>
        <w:gridCol w:w="1095"/>
        <w:gridCol w:w="1328"/>
        <w:gridCol w:w="742"/>
        <w:gridCol w:w="645"/>
        <w:gridCol w:w="2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jc w:val="center"/>
        </w:trPr>
        <w:tc>
          <w:tcPr>
            <w:tcW w:w="14880"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29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91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51081223T000009004241-粮食执法经费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jc w:val="center"/>
        </w:trPr>
        <w:tc>
          <w:tcPr>
            <w:tcW w:w="29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511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2993" w:type="dxa"/>
            <w:gridSpan w:val="3"/>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0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1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678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513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78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1.完成全年粮食执法检查工作任务；2.购买粮食执法记录仪、照相机；3.发放粮食安全生产，节约粮食宣传资料。</w:t>
            </w:r>
          </w:p>
        </w:tc>
        <w:tc>
          <w:tcPr>
            <w:tcW w:w="513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91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10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303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5.00</w:t>
            </w: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5.00</w:t>
            </w:r>
          </w:p>
        </w:tc>
        <w:tc>
          <w:tcPr>
            <w:tcW w:w="303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42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5.00</w:t>
            </w: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5.00</w:t>
            </w:r>
          </w:p>
        </w:tc>
        <w:tc>
          <w:tcPr>
            <w:tcW w:w="303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4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03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4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03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4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303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4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0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4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购买执法记录仪、照相机各1台</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台</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4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印制宣传资料</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2000</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份</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2000</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4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完成执法检查</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12</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次</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12</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执法工作任务完成率</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2023年1月-2023年12月</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粮食安全保障率</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服务对象满意度指标</w:t>
            </w: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公众满意度</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jc w:val="center"/>
        </w:trPr>
        <w:tc>
          <w:tcPr>
            <w:tcW w:w="10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22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工作经费</w:t>
            </w:r>
          </w:p>
        </w:tc>
        <w:tc>
          <w:tcPr>
            <w:tcW w:w="10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13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107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24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10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80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10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80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10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80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jc w:val="center"/>
        </w:trPr>
        <w:tc>
          <w:tcPr>
            <w:tcW w:w="777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项目负责人：袁清剑</w:t>
            </w:r>
          </w:p>
        </w:tc>
        <w:tc>
          <w:tcPr>
            <w:tcW w:w="710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1"/>
          <w:szCs w:val="18"/>
        </w:rPr>
      </w:pPr>
    </w:p>
    <w:tbl>
      <w:tblPr>
        <w:tblStyle w:val="12"/>
        <w:tblW w:w="14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4"/>
        <w:gridCol w:w="2001"/>
        <w:gridCol w:w="1606"/>
        <w:gridCol w:w="2362"/>
        <w:gridCol w:w="898"/>
        <w:gridCol w:w="201"/>
        <w:gridCol w:w="240"/>
        <w:gridCol w:w="645"/>
        <w:gridCol w:w="977"/>
        <w:gridCol w:w="138"/>
        <w:gridCol w:w="2"/>
        <w:gridCol w:w="1214"/>
        <w:gridCol w:w="97"/>
        <w:gridCol w:w="2"/>
        <w:gridCol w:w="684"/>
        <w:gridCol w:w="2"/>
        <w:gridCol w:w="741"/>
        <w:gridCol w:w="1840"/>
        <w:gridCol w:w="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283" w:hRule="atLeast"/>
          <w:jc w:val="center"/>
        </w:trPr>
        <w:tc>
          <w:tcPr>
            <w:tcW w:w="14804"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283" w:hRule="atLeast"/>
          <w:jc w:val="center"/>
        </w:trPr>
        <w:tc>
          <w:tcPr>
            <w:tcW w:w="31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649"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51081223T000009005001-粮食质量检测经费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283" w:hRule="atLeast"/>
          <w:jc w:val="center"/>
        </w:trPr>
        <w:tc>
          <w:tcPr>
            <w:tcW w:w="31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530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2976" w:type="dxa"/>
            <w:gridSpan w:val="5"/>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336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297" w:hRule="atLeast"/>
          <w:jc w:val="center"/>
        </w:trPr>
        <w:tc>
          <w:tcPr>
            <w:tcW w:w="115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200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692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472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556"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92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1.完成夏粮扦样100份；2.完成秋粮扦样200份；3.完成地方储备粮检测9批次。</w:t>
            </w:r>
          </w:p>
        </w:tc>
        <w:tc>
          <w:tcPr>
            <w:tcW w:w="472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556"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649"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310" w:hRule="atLeast"/>
          <w:jc w:val="center"/>
        </w:trPr>
        <w:tc>
          <w:tcPr>
            <w:tcW w:w="115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20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310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7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1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357"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7.00</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7.00</w:t>
            </w:r>
          </w:p>
        </w:tc>
        <w:tc>
          <w:tcPr>
            <w:tcW w:w="310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7.00</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7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8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402"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7.00</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7.00</w:t>
            </w:r>
          </w:p>
        </w:tc>
        <w:tc>
          <w:tcPr>
            <w:tcW w:w="310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7.00</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7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419"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10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7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372"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10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7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350"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310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7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283" w:hRule="atLeast"/>
          <w:jc w:val="center"/>
        </w:trPr>
        <w:tc>
          <w:tcPr>
            <w:tcW w:w="115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20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10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8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11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1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350"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60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完成夏凉扦样</w:t>
            </w:r>
          </w:p>
        </w:tc>
        <w:tc>
          <w:tcPr>
            <w:tcW w:w="10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1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份</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350"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6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完成储备粮检测</w:t>
            </w:r>
          </w:p>
        </w:tc>
        <w:tc>
          <w:tcPr>
            <w:tcW w:w="10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w:t>
            </w:r>
          </w:p>
        </w:tc>
        <w:tc>
          <w:tcPr>
            <w:tcW w:w="11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批次</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1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350"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6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完成秋粮扦样</w:t>
            </w:r>
          </w:p>
        </w:tc>
        <w:tc>
          <w:tcPr>
            <w:tcW w:w="10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w:t>
            </w:r>
          </w:p>
        </w:tc>
        <w:tc>
          <w:tcPr>
            <w:tcW w:w="11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份</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556"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检测物符合粮食质量等级标准</w:t>
            </w:r>
          </w:p>
        </w:tc>
        <w:tc>
          <w:tcPr>
            <w:tcW w:w="10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11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级</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350"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2023年1月-2023年12月</w:t>
            </w:r>
          </w:p>
        </w:tc>
        <w:tc>
          <w:tcPr>
            <w:tcW w:w="10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11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1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350"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储备粮优质率</w:t>
            </w:r>
          </w:p>
        </w:tc>
        <w:tc>
          <w:tcPr>
            <w:tcW w:w="10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11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1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556"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服务对象满意度指标</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公众满意度</w:t>
            </w:r>
          </w:p>
        </w:tc>
        <w:tc>
          <w:tcPr>
            <w:tcW w:w="10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11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283" w:hRule="atLeast"/>
          <w:jc w:val="center"/>
        </w:trPr>
        <w:tc>
          <w:tcPr>
            <w:tcW w:w="11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0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1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工作经费</w:t>
            </w:r>
          </w:p>
        </w:tc>
        <w:tc>
          <w:tcPr>
            <w:tcW w:w="10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w:t>
            </w:r>
          </w:p>
        </w:tc>
        <w:tc>
          <w:tcPr>
            <w:tcW w:w="11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13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1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53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6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7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8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283" w:hRule="atLeast"/>
          <w:jc w:val="center"/>
        </w:trPr>
        <w:tc>
          <w:tcPr>
            <w:tcW w:w="11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650"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283" w:hRule="atLeast"/>
          <w:jc w:val="center"/>
        </w:trPr>
        <w:tc>
          <w:tcPr>
            <w:tcW w:w="11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650"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283" w:hRule="atLeast"/>
          <w:jc w:val="center"/>
        </w:trPr>
        <w:tc>
          <w:tcPr>
            <w:tcW w:w="11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650"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3" w:type="dxa"/>
          <w:trHeight w:val="307" w:hRule="atLeast"/>
          <w:jc w:val="center"/>
        </w:trPr>
        <w:tc>
          <w:tcPr>
            <w:tcW w:w="802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项目负责人：田兴斌</w:t>
            </w:r>
          </w:p>
        </w:tc>
        <w:tc>
          <w:tcPr>
            <w:tcW w:w="678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10"/>
          <w:szCs w:val="6"/>
        </w:rPr>
      </w:pPr>
    </w:p>
    <w:tbl>
      <w:tblPr>
        <w:tblStyle w:val="12"/>
        <w:tblW w:w="14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06"/>
        <w:gridCol w:w="2308"/>
        <w:gridCol w:w="1842"/>
        <w:gridCol w:w="2017"/>
        <w:gridCol w:w="939"/>
        <w:gridCol w:w="800"/>
        <w:gridCol w:w="939"/>
        <w:gridCol w:w="1304"/>
        <w:gridCol w:w="698"/>
        <w:gridCol w:w="611"/>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51081223T000009005033-2023年2500吨地方储备粮保管费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559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2255" w:type="dxa"/>
            <w:gridSpan w:val="2"/>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27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做好2500吨地方储备粮管护工作。</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32.50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32.50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32.50</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32.50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32.50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32.50</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地方储备粮保管数量</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2500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吨</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2500</w:t>
            </w: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储备粮达原粮国家标准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级</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w:t>
            </w: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2023年1月-2023年12月</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粮食物资应急保障率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服务对象满意度指标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公众满意度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保管费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32.5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32.5</w:t>
            </w: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15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6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项目负责人：毛延寿</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1"/>
          <w:szCs w:val="18"/>
        </w:rPr>
      </w:pPr>
    </w:p>
    <w:tbl>
      <w:tblPr>
        <w:tblStyle w:val="12"/>
        <w:tblW w:w="14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43"/>
        <w:gridCol w:w="2474"/>
        <w:gridCol w:w="1390"/>
        <w:gridCol w:w="2116"/>
        <w:gridCol w:w="990"/>
        <w:gridCol w:w="413"/>
        <w:gridCol w:w="408"/>
        <w:gridCol w:w="1023"/>
        <w:gridCol w:w="1223"/>
        <w:gridCol w:w="620"/>
        <w:gridCol w:w="62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51081223T000009005810-朝天区大中坝农贸市场公厕改造项目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gridSpan w:val="3"/>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对大中坝农贸市场公厕进行彻底改造。</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14.72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14.72</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14.72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14.72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14.72</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14.72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改造面积</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平方米</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更换灯具、门窗数量</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处</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改造管理房数量</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座（处）</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蹲位设施安装数量</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个</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公厕改造标准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类</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2023年1月-2023年12月</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人民群众获得感率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公众满意度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改造工程款</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14.72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14.72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项目负责人：毛延寿</w:t>
            </w:r>
          </w:p>
        </w:tc>
        <w:tc>
          <w:tcPr>
            <w:tcW w:w="0" w:type="auto"/>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84"/>
        <w:gridCol w:w="2160"/>
        <w:gridCol w:w="1716"/>
        <w:gridCol w:w="2059"/>
        <w:gridCol w:w="894"/>
        <w:gridCol w:w="773"/>
        <w:gridCol w:w="894"/>
        <w:gridCol w:w="1727"/>
        <w:gridCol w:w="604"/>
        <w:gridCol w:w="604"/>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51081223T000009005902-2023年小包装大米、菜籽油轮换费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1.轮换小包装大米200吨；</w:t>
            </w:r>
            <w:r>
              <w:rPr>
                <w:rFonts w:hint="eastAsia" w:eastAsia="仿宋_GB2312"/>
                <w:sz w:val="21"/>
                <w:szCs w:val="21"/>
                <w:lang w:val="en-US" w:eastAsia="zh-CN"/>
              </w:rPr>
              <w:br w:type="textWrapping"/>
            </w:r>
            <w:r>
              <w:rPr>
                <w:rFonts w:hint="eastAsia" w:eastAsia="仿宋_GB2312"/>
                <w:sz w:val="21"/>
                <w:szCs w:val="21"/>
                <w:lang w:val="en-US" w:eastAsia="zh-CN"/>
              </w:rPr>
              <w:t>2.轮换小包装菜籽油40吨。</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7.68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4.63</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4.63</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7.68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4.63</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4.63</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小包装菜籽油轮换</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小包装大米轮换</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达到国家标准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级</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2023年1月-2023年12月</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突发应急粮油物资保障率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服务对象满意度指标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公众满意度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轮换费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7.68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7.68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jc w:val="center"/>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项目负责人：毛延寿</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2"/>
          <w:szCs w:val="20"/>
        </w:rPr>
      </w:pPr>
    </w:p>
    <w:tbl>
      <w:tblPr>
        <w:tblStyle w:val="12"/>
        <w:tblW w:w="14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00"/>
        <w:gridCol w:w="2178"/>
        <w:gridCol w:w="1752"/>
        <w:gridCol w:w="2074"/>
        <w:gridCol w:w="899"/>
        <w:gridCol w:w="775"/>
        <w:gridCol w:w="899"/>
        <w:gridCol w:w="1736"/>
        <w:gridCol w:w="605"/>
        <w:gridCol w:w="605"/>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51081223T000009005924-小包装大米、菜籽油保管费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完成小包装大米200吨、菜籽油40吨保管职责任务。</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11.40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11.40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11.40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11.40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11.40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11.40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小包装菜籽油保管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小包装大米保管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大米、油质量达国家标准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级</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2023年1月-2023年12月</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粮食储备保障率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服务对象满意度指标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公众满意度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保管费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11.4</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11.4</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项目负责人：田兴斌</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2"/>
          <w:szCs w:val="20"/>
        </w:rPr>
      </w:pPr>
    </w:p>
    <w:tbl>
      <w:tblPr>
        <w:tblStyle w:val="12"/>
        <w:tblW w:w="14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0"/>
        <w:gridCol w:w="1956"/>
        <w:gridCol w:w="1458"/>
        <w:gridCol w:w="2993"/>
        <w:gridCol w:w="1097"/>
        <w:gridCol w:w="212"/>
        <w:gridCol w:w="630"/>
        <w:gridCol w:w="1054"/>
        <w:gridCol w:w="1309"/>
        <w:gridCol w:w="676"/>
        <w:gridCol w:w="631"/>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900"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85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51081223T000009081351-项目工作经费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0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576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2993" w:type="dxa"/>
            <w:gridSpan w:val="3"/>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3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19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744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441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744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储备项目450个，总投资1600亿元；完成项目审批320个；争取央省预算内资金4000万元；发行地方政府专项债3亿元。</w:t>
            </w:r>
          </w:p>
        </w:tc>
        <w:tc>
          <w:tcPr>
            <w:tcW w:w="441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85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0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299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20.00</w:t>
            </w: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20.00</w:t>
            </w:r>
          </w:p>
        </w:tc>
        <w:tc>
          <w:tcPr>
            <w:tcW w:w="299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20.00</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79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20.00</w:t>
            </w: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20.00</w:t>
            </w:r>
          </w:p>
        </w:tc>
        <w:tc>
          <w:tcPr>
            <w:tcW w:w="299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20.00</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99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99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99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79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8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4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项目投资</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1600</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亿元</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1600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4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发行地方政府专项债</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亿元</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4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项目审批</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320</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个</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320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4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储备项目</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450</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个</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450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4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争取资金</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4000</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4000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工作任务完成率</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2023年1月-2023年12月</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促进地方经济社会发展优质率</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服务对象满意度指标</w:t>
            </w: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公众满意度</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14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2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工作经费</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13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799"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6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7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81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81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81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859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项目负责人：袁浩</w:t>
            </w:r>
          </w:p>
        </w:tc>
        <w:tc>
          <w:tcPr>
            <w:tcW w:w="630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75"/>
        <w:gridCol w:w="1905"/>
        <w:gridCol w:w="1586"/>
        <w:gridCol w:w="2385"/>
        <w:gridCol w:w="1139"/>
        <w:gridCol w:w="982"/>
        <w:gridCol w:w="1139"/>
        <w:gridCol w:w="1599"/>
        <w:gridCol w:w="591"/>
        <w:gridCol w:w="591"/>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0.19</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0.16</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0.16</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0.19</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0.16</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0.16</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发放（缴纳）覆盖率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足额保障率（参保率）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项目负责人：周拥军</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78"/>
        <w:gridCol w:w="1908"/>
        <w:gridCol w:w="1588"/>
        <w:gridCol w:w="2389"/>
        <w:gridCol w:w="1141"/>
        <w:gridCol w:w="983"/>
        <w:gridCol w:w="1141"/>
        <w:gridCol w:w="1600"/>
        <w:gridCol w:w="591"/>
        <w:gridCol w:w="591"/>
        <w:gridCol w:w="1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51081223R000009778479-优秀事业人员奖励金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2.10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2.10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发放（缴纳）覆盖率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足额保障率（参保率）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项目负责人：周拥军</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8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16"/>
        <w:gridCol w:w="2198"/>
        <w:gridCol w:w="1744"/>
        <w:gridCol w:w="2468"/>
        <w:gridCol w:w="906"/>
        <w:gridCol w:w="767"/>
        <w:gridCol w:w="906"/>
        <w:gridCol w:w="1747"/>
        <w:gridCol w:w="606"/>
        <w:gridCol w:w="583"/>
        <w:gridCol w:w="1389"/>
        <w:gridCol w:w="432"/>
        <w:gridCol w:w="432"/>
        <w:gridCol w:w="432"/>
        <w:gridCol w:w="432"/>
        <w:gridCol w:w="432"/>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51081223T000009224649-2022年500吨稻谷轮换价差补贴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560"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2023年2月底完成地方储备粮500吨稻谷到期轮换工作。</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560"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27.00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27.00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27.00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27.00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560"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稻谷轮换数量</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Times New Roman" w:hAnsi="Times New Roman" w:eastAsia="仿宋_GB2312" w:cs="Times New Roman"/>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稻谷达到国家等级标准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级</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Times New Roman" w:hAnsi="Times New Roman" w:eastAsia="仿宋_GB2312" w:cs="Times New Roman"/>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完成时限2023年1月-2023年2月</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天</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Times New Roman" w:hAnsi="Times New Roman" w:eastAsia="仿宋_GB2312" w:cs="Times New Roman"/>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粮食储备保障率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Times New Roman" w:hAnsi="Times New Roman" w:eastAsia="仿宋_GB2312" w:cs="Times New Roman"/>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56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服务对象满意度指标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公众满意度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Times New Roman" w:hAnsi="Times New Roman" w:eastAsia="仿宋_GB2312" w:cs="Times New Roman"/>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价差费用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27</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27</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Times New Roman" w:hAnsi="Times New Roman" w:eastAsia="仿宋_GB2312" w:cs="Times New Roman"/>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Times New Roman" w:hAnsi="Times New Roman" w:eastAsia="仿宋_GB2312" w:cs="Times New Roman"/>
                <w:sz w:val="21"/>
                <w:szCs w:val="21"/>
                <w:lang w:val="en-US"/>
              </w:rPr>
            </w:pPr>
            <w:r>
              <w:rPr>
                <w:rFonts w:hint="eastAsia" w:eastAsia="仿宋_GB2312"/>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0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3612" w:type="dxa"/>
          <w:trHeight w:val="341"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项目负责人：毛延寿</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527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0"/>
        <w:gridCol w:w="1537"/>
        <w:gridCol w:w="1992"/>
        <w:gridCol w:w="3614"/>
        <w:gridCol w:w="455"/>
        <w:gridCol w:w="652"/>
        <w:gridCol w:w="895"/>
        <w:gridCol w:w="1132"/>
        <w:gridCol w:w="1313"/>
        <w:gridCol w:w="702"/>
        <w:gridCol w:w="677"/>
        <w:gridCol w:w="1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500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1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项目名称</w:t>
            </w:r>
          </w:p>
        </w:tc>
        <w:tc>
          <w:tcPr>
            <w:tcW w:w="4185"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51081223T000009361308-固定资产投资入库和政府投资项目前期工作等补助经费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1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主管部门</w:t>
            </w:r>
          </w:p>
        </w:tc>
        <w:tc>
          <w:tcPr>
            <w:tcW w:w="194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广元市朝天区发展和改革局部门</w:t>
            </w:r>
          </w:p>
        </w:tc>
        <w:tc>
          <w:tcPr>
            <w:tcW w:w="859" w:type="pct"/>
            <w:gridSpan w:val="3"/>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实施单位 （盖章）</w:t>
            </w:r>
          </w:p>
        </w:tc>
        <w:tc>
          <w:tcPr>
            <w:tcW w:w="138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32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项目基本情况</w:t>
            </w:r>
          </w:p>
        </w:tc>
        <w:tc>
          <w:tcPr>
            <w:tcW w:w="49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1.项目年度目标完成情况</w:t>
            </w:r>
          </w:p>
        </w:tc>
        <w:tc>
          <w:tcPr>
            <w:tcW w:w="2803"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项目年度目标</w:t>
            </w:r>
          </w:p>
        </w:tc>
        <w:tc>
          <w:tcPr>
            <w:tcW w:w="138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2803"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 xml:space="preserve">     按照中共广元市朝天区委办公室，广朝委办[2022]29号关于《广元市朝天区政府投资项目工作经费补助暂行办法》《广元市朝天区重点项目前期工作经费管理暂行办法》《广元市朝天区固定资产投资考评实行办法》的通知的文件精神，兑现各乡镇、区级各部门2022年固定资产投资入库和政府投资项目前期工作等补助经费。</w:t>
            </w:r>
          </w:p>
        </w:tc>
        <w:tc>
          <w:tcPr>
            <w:tcW w:w="1382"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eastAsia="仿宋_GB2312"/>
                <w:sz w:val="20"/>
                <w:szCs w:val="20"/>
                <w:lang w:val="en-US"/>
              </w:rPr>
            </w:pPr>
            <w:r>
              <w:rPr>
                <w:rFonts w:hint="eastAsia" w:eastAsia="仿宋_GB2312"/>
                <w:sz w:val="20"/>
                <w:szCs w:val="20"/>
                <w:lang w:val="en-US" w:eastAsia="zh-CN"/>
              </w:rPr>
              <w:t>2.项目实施内容及过程概述</w:t>
            </w:r>
          </w:p>
        </w:tc>
        <w:tc>
          <w:tcPr>
            <w:tcW w:w="4185"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32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预算执行情况（10分）</w:t>
            </w: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年度预算数（万元）</w:t>
            </w:r>
          </w:p>
        </w:tc>
        <w:tc>
          <w:tcPr>
            <w:tcW w:w="6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年初预算</w:t>
            </w: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调整后预算数</w:t>
            </w:r>
          </w:p>
        </w:tc>
        <w:tc>
          <w:tcPr>
            <w:tcW w:w="100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预算执行数</w:t>
            </w: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预算执行率</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权重</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得分</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总额</w:t>
            </w:r>
          </w:p>
        </w:tc>
        <w:tc>
          <w:tcPr>
            <w:tcW w:w="6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96.36</w:t>
            </w:r>
          </w:p>
        </w:tc>
        <w:tc>
          <w:tcPr>
            <w:tcW w:w="100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96.36</w:t>
            </w: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51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其中：财政资金</w:t>
            </w:r>
          </w:p>
        </w:tc>
        <w:tc>
          <w:tcPr>
            <w:tcW w:w="6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96.36</w:t>
            </w:r>
          </w:p>
        </w:tc>
        <w:tc>
          <w:tcPr>
            <w:tcW w:w="100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96.36</w:t>
            </w: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5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财政专户管理资金</w:t>
            </w:r>
          </w:p>
        </w:tc>
        <w:tc>
          <w:tcPr>
            <w:tcW w:w="6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00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5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单位资金</w:t>
            </w:r>
          </w:p>
        </w:tc>
        <w:tc>
          <w:tcPr>
            <w:tcW w:w="6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00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5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其他资金</w:t>
            </w:r>
          </w:p>
        </w:tc>
        <w:tc>
          <w:tcPr>
            <w:tcW w:w="6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00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5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32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绩效指标（90分）</w:t>
            </w: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一级指标</w:t>
            </w:r>
          </w:p>
        </w:tc>
        <w:tc>
          <w:tcPr>
            <w:tcW w:w="6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二级指标</w:t>
            </w: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三级指标</w:t>
            </w:r>
          </w:p>
        </w:tc>
        <w:tc>
          <w:tcPr>
            <w:tcW w:w="35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指标性质</w:t>
            </w:r>
          </w:p>
        </w:tc>
        <w:tc>
          <w:tcPr>
            <w:tcW w:w="2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指标值</w:t>
            </w:r>
          </w:p>
        </w:tc>
        <w:tc>
          <w:tcPr>
            <w:tcW w:w="3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度量单位</w:t>
            </w: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完成值</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权重</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得分</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产出指标</w:t>
            </w:r>
          </w:p>
        </w:tc>
        <w:tc>
          <w:tcPr>
            <w:tcW w:w="63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数量指标</w:t>
            </w: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兑现完成中央预算内项目个数</w:t>
            </w:r>
          </w:p>
        </w:tc>
        <w:tc>
          <w:tcPr>
            <w:tcW w:w="35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w:t>
            </w:r>
          </w:p>
        </w:tc>
        <w:tc>
          <w:tcPr>
            <w:tcW w:w="2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11</w:t>
            </w:r>
          </w:p>
        </w:tc>
        <w:tc>
          <w:tcPr>
            <w:tcW w:w="3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个</w:t>
            </w: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11</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10</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10</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6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兑现完成项目集中开工补助经费批次</w:t>
            </w:r>
          </w:p>
        </w:tc>
        <w:tc>
          <w:tcPr>
            <w:tcW w:w="35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w:t>
            </w:r>
          </w:p>
        </w:tc>
        <w:tc>
          <w:tcPr>
            <w:tcW w:w="2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6</w:t>
            </w:r>
          </w:p>
        </w:tc>
        <w:tc>
          <w:tcPr>
            <w:tcW w:w="3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批次</w:t>
            </w: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6</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10</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10</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6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质量指标</w:t>
            </w: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补助经费兑现完成率</w:t>
            </w:r>
          </w:p>
        </w:tc>
        <w:tc>
          <w:tcPr>
            <w:tcW w:w="35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w:t>
            </w:r>
          </w:p>
        </w:tc>
        <w:tc>
          <w:tcPr>
            <w:tcW w:w="2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100</w:t>
            </w:r>
          </w:p>
        </w:tc>
        <w:tc>
          <w:tcPr>
            <w:tcW w:w="3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w:t>
            </w: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100</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10</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10</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6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时效指标</w:t>
            </w: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项目完成时限：2023年1月-2023年5月</w:t>
            </w:r>
          </w:p>
        </w:tc>
        <w:tc>
          <w:tcPr>
            <w:tcW w:w="35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w:t>
            </w:r>
          </w:p>
        </w:tc>
        <w:tc>
          <w:tcPr>
            <w:tcW w:w="2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150</w:t>
            </w:r>
          </w:p>
        </w:tc>
        <w:tc>
          <w:tcPr>
            <w:tcW w:w="3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天</w:t>
            </w: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150</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10</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10</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效益指标</w:t>
            </w:r>
          </w:p>
        </w:tc>
        <w:tc>
          <w:tcPr>
            <w:tcW w:w="6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社会效益指标</w:t>
            </w: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推动2023年投资入库增长率</w:t>
            </w:r>
          </w:p>
        </w:tc>
        <w:tc>
          <w:tcPr>
            <w:tcW w:w="35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w:t>
            </w:r>
          </w:p>
        </w:tc>
        <w:tc>
          <w:tcPr>
            <w:tcW w:w="2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12</w:t>
            </w:r>
          </w:p>
        </w:tc>
        <w:tc>
          <w:tcPr>
            <w:tcW w:w="3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w:t>
            </w: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12</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20</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20</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满意度指标</w:t>
            </w:r>
          </w:p>
        </w:tc>
        <w:tc>
          <w:tcPr>
            <w:tcW w:w="6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服务对象满意度指标</w:t>
            </w: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服务对象满意度</w:t>
            </w:r>
          </w:p>
        </w:tc>
        <w:tc>
          <w:tcPr>
            <w:tcW w:w="35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w:t>
            </w:r>
          </w:p>
        </w:tc>
        <w:tc>
          <w:tcPr>
            <w:tcW w:w="2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98</w:t>
            </w:r>
          </w:p>
        </w:tc>
        <w:tc>
          <w:tcPr>
            <w:tcW w:w="3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w:t>
            </w: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98</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10</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10</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3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成本指标</w:t>
            </w:r>
          </w:p>
        </w:tc>
        <w:tc>
          <w:tcPr>
            <w:tcW w:w="6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经济成本指标</w:t>
            </w:r>
          </w:p>
        </w:tc>
        <w:tc>
          <w:tcPr>
            <w:tcW w:w="115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政府项目投资及固定资产投资入库增长率</w:t>
            </w:r>
          </w:p>
        </w:tc>
        <w:tc>
          <w:tcPr>
            <w:tcW w:w="35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w:t>
            </w:r>
          </w:p>
        </w:tc>
        <w:tc>
          <w:tcPr>
            <w:tcW w:w="2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96.36</w:t>
            </w:r>
          </w:p>
        </w:tc>
        <w:tc>
          <w:tcPr>
            <w:tcW w:w="3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万元</w:t>
            </w:r>
          </w:p>
        </w:tc>
        <w:tc>
          <w:tcPr>
            <w:tcW w:w="4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96.36</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20</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r>
              <w:rPr>
                <w:rFonts w:hint="eastAsia" w:eastAsia="仿宋_GB2312"/>
                <w:sz w:val="20"/>
                <w:szCs w:val="20"/>
                <w:lang w:val="en-US" w:eastAsia="zh-CN"/>
              </w:rPr>
              <w:t>20</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jc w:val="center"/>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403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合计</w:t>
            </w:r>
          </w:p>
        </w:tc>
        <w:tc>
          <w:tcPr>
            <w:tcW w:w="2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21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5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评价结论</w:t>
            </w:r>
          </w:p>
        </w:tc>
        <w:tc>
          <w:tcPr>
            <w:tcW w:w="4678"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存在问题</w:t>
            </w:r>
          </w:p>
        </w:tc>
        <w:tc>
          <w:tcPr>
            <w:tcW w:w="4678"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3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改进措施</w:t>
            </w:r>
          </w:p>
        </w:tc>
        <w:tc>
          <w:tcPr>
            <w:tcW w:w="4678"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967"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项目负责人：杨雪峰</w:t>
            </w:r>
          </w:p>
        </w:tc>
        <w:tc>
          <w:tcPr>
            <w:tcW w:w="20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5"/>
        <w:gridCol w:w="2293"/>
        <w:gridCol w:w="1303"/>
        <w:gridCol w:w="2166"/>
        <w:gridCol w:w="935"/>
        <w:gridCol w:w="790"/>
        <w:gridCol w:w="935"/>
        <w:gridCol w:w="1795"/>
        <w:gridCol w:w="610"/>
        <w:gridCol w:w="610"/>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51081223T000009469615-2022年小包装大米、菜籽油保管费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完成大米200吨、菜籽油40吨的保管维护工作。</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8.22</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8.22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8.22</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8.22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保管大米、菜油数量</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240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240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粮油质量符合国家标准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级</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保管期限</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确保粮食供给稳定保障率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保管费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8.22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8.22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项目负责人：田兴斌</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2240"/>
        <w:gridCol w:w="1280"/>
        <w:gridCol w:w="2350"/>
        <w:gridCol w:w="918"/>
        <w:gridCol w:w="783"/>
        <w:gridCol w:w="918"/>
        <w:gridCol w:w="1768"/>
        <w:gridCol w:w="608"/>
        <w:gridCol w:w="608"/>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51081223T000009469655-2022年地方储备粮小包装大米、菜籽油轮换费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2022年地方储备粮小包装大米200吨、菜籽油40吨进行轮换。</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7.68</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7.68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7.68</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7.68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轮换粮油数量</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240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240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符合国家标准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级</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2023年2月1日-2023年3月2日</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天</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粮食安全保障率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轮换费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7.68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7.68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项目负责人：毛延寿</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6"/>
        <w:gridCol w:w="2112"/>
        <w:gridCol w:w="1224"/>
        <w:gridCol w:w="2904"/>
        <w:gridCol w:w="879"/>
        <w:gridCol w:w="754"/>
        <w:gridCol w:w="879"/>
        <w:gridCol w:w="1703"/>
        <w:gridCol w:w="601"/>
        <w:gridCol w:w="601"/>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51081223T000009469693-2022年500吨稻谷原粮轮换费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2022年500吨原粮轮换费。</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轮换粮食数量</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储备粮国家标准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级</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完成时限2023年1月1日-2023年1月30日</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天</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粮食储备保障率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轮换费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项目负责人：毛延寿</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0"/>
        <w:gridCol w:w="2105"/>
        <w:gridCol w:w="1221"/>
        <w:gridCol w:w="2894"/>
        <w:gridCol w:w="877"/>
        <w:gridCol w:w="752"/>
        <w:gridCol w:w="877"/>
        <w:gridCol w:w="1700"/>
        <w:gridCol w:w="601"/>
        <w:gridCol w:w="601"/>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51081223T000009469731-2022年小包装大米轮换等级价差补贴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完成小包装大米轮换和等级升级。</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2.50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2.50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2.50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2.50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大米轮换数量</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轮换粮食等级</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级</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轮换时限2023年1月1日-2023年1月30日</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天</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粮食安全保障率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轮换等级价差</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项目负责人：毛延寿</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5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6"/>
        <w:gridCol w:w="1203"/>
        <w:gridCol w:w="1574"/>
        <w:gridCol w:w="5001"/>
        <w:gridCol w:w="1138"/>
        <w:gridCol w:w="971"/>
        <w:gridCol w:w="1138"/>
        <w:gridCol w:w="1219"/>
        <w:gridCol w:w="541"/>
        <w:gridCol w:w="541"/>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51081223T000009470608-朝天区“十四五”规划实施中期评估工作经费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 xml:space="preserve">    形成高质量《朝天区国民经济和社会发展第十四个五年规划纲要中期评估报告》，实现以中期评估推动党的二十大精神朝天实践落地、推动省第十二次党代会和省委十二届二次全会精神在朝天开花结果、推动“十四五”规划《纲要》目标任务圆满实现，为全面建设社会主义现代化做出新的贡献。</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完成评估市、区“十四五”规划“纲要”涉及朝天事项数量</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个</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完成我区十四五中期评估工作。形成高质量评估报告</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个</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2023年4月-2023年6月</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60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天</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60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促进朝天经济社会发展贡献率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社会满意度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第三方中介机构服务费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项目负责人：段杰林</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8"/>
        <w:gridCol w:w="2078"/>
        <w:gridCol w:w="1655"/>
        <w:gridCol w:w="2576"/>
        <w:gridCol w:w="868"/>
        <w:gridCol w:w="777"/>
        <w:gridCol w:w="868"/>
        <w:gridCol w:w="1686"/>
        <w:gridCol w:w="599"/>
        <w:gridCol w:w="599"/>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51081223T000009630545-广元市2022年四季度基金项目落实情况激励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全年力争向上争取基金项目2个以上，资金规模5000万元以上。</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69.85</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69.85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69.85</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69.85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争取基金项目数量</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个</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项目资金到位率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争取基金项目资金规模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争取项目、实施项目工作激励经费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服务对象满意度指标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项目实施促进基础实施建设提升率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70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项目负责人：杨雪峰</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2"/>
        <w:gridCol w:w="2253"/>
        <w:gridCol w:w="1369"/>
        <w:gridCol w:w="2103"/>
        <w:gridCol w:w="983"/>
        <w:gridCol w:w="833"/>
        <w:gridCol w:w="982"/>
        <w:gridCol w:w="1775"/>
        <w:gridCol w:w="608"/>
        <w:gridCol w:w="608"/>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51081224T000010030935-川陕甘渝5万吨粮食仓储物流项目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完成新建5万吨仓容粮库，以及钢罩棚等配套设施建设，完成工程尾款支付。</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18.50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18.50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18.50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18.50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新建粮库仓容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新建库验收合格率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工期</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促进地方储备粮保障率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项目补助资金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18.5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项目负责人：毛延寿</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1"/>
          <w:szCs w:val="18"/>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86"/>
        <w:gridCol w:w="1458"/>
        <w:gridCol w:w="1485"/>
        <w:gridCol w:w="3452"/>
        <w:gridCol w:w="1082"/>
        <w:gridCol w:w="1080"/>
        <w:gridCol w:w="1156"/>
        <w:gridCol w:w="1272"/>
        <w:gridCol w:w="663"/>
        <w:gridCol w:w="677"/>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5000"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2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项目名称</w:t>
            </w:r>
          </w:p>
        </w:tc>
        <w:tc>
          <w:tcPr>
            <w:tcW w:w="407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51081224T000010065519-2023年促投资稳增长前期工作激励资金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2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主管部门</w:t>
            </w:r>
          </w:p>
        </w:tc>
        <w:tc>
          <w:tcPr>
            <w:tcW w:w="2035"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广元市朝天区发展和改革局部门</w:t>
            </w:r>
          </w:p>
        </w:tc>
        <w:tc>
          <w:tcPr>
            <w:tcW w:w="755" w:type="pct"/>
            <w:gridSpan w:val="2"/>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实施单位 （盖章）</w:t>
            </w:r>
          </w:p>
        </w:tc>
        <w:tc>
          <w:tcPr>
            <w:tcW w:w="128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项目基本情况</w:t>
            </w:r>
          </w:p>
        </w:tc>
        <w:tc>
          <w:tcPr>
            <w:tcW w:w="49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1.项目年度目标完成情况</w:t>
            </w:r>
          </w:p>
        </w:tc>
        <w:tc>
          <w:tcPr>
            <w:tcW w:w="279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项目年度目标</w:t>
            </w:r>
          </w:p>
        </w:tc>
        <w:tc>
          <w:tcPr>
            <w:tcW w:w="128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279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 xml:space="preserve">2023年促投资稳增长前期工作激励资金200万元，其中：180万元用于补助朝天草房沟新建校舍27821.33平方米，20万元用于补助羊木新建300万吨原油国家储备地埋式封库一座。  </w:t>
            </w:r>
          </w:p>
        </w:tc>
        <w:tc>
          <w:tcPr>
            <w:tcW w:w="128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2.项目实施内容及过程概述</w:t>
            </w:r>
          </w:p>
        </w:tc>
        <w:tc>
          <w:tcPr>
            <w:tcW w:w="407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3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预算执行情况（10分）</w:t>
            </w: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年度预算数（万元）</w:t>
            </w:r>
          </w:p>
        </w:tc>
        <w:tc>
          <w:tcPr>
            <w:tcW w:w="5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年初预算</w:t>
            </w: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调整后预算数</w:t>
            </w:r>
          </w:p>
        </w:tc>
        <w:tc>
          <w:tcPr>
            <w:tcW w:w="112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预算执行数</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预算执行率</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权重</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得分</w:t>
            </w:r>
          </w:p>
        </w:tc>
        <w:tc>
          <w:tcPr>
            <w:tcW w:w="3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总额</w:t>
            </w:r>
          </w:p>
        </w:tc>
        <w:tc>
          <w:tcPr>
            <w:tcW w:w="5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20.00</w:t>
            </w:r>
          </w:p>
        </w:tc>
        <w:tc>
          <w:tcPr>
            <w:tcW w:w="112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20.00</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39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其中：财政资金</w:t>
            </w:r>
          </w:p>
        </w:tc>
        <w:tc>
          <w:tcPr>
            <w:tcW w:w="5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20.00</w:t>
            </w:r>
          </w:p>
        </w:tc>
        <w:tc>
          <w:tcPr>
            <w:tcW w:w="112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20.00</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100.00%</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39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财政专户管理资金</w:t>
            </w:r>
          </w:p>
        </w:tc>
        <w:tc>
          <w:tcPr>
            <w:tcW w:w="5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12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39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单位资金</w:t>
            </w:r>
          </w:p>
        </w:tc>
        <w:tc>
          <w:tcPr>
            <w:tcW w:w="5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112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0.00%</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39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其他资金</w:t>
            </w:r>
          </w:p>
        </w:tc>
        <w:tc>
          <w:tcPr>
            <w:tcW w:w="5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12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39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43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绩效指标（90分）</w:t>
            </w: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一级指标</w:t>
            </w:r>
          </w:p>
        </w:tc>
        <w:tc>
          <w:tcPr>
            <w:tcW w:w="5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二级指标</w:t>
            </w: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三级指标</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指标性质</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指标值</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度量单位</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完成值</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权重</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得分</w:t>
            </w:r>
          </w:p>
        </w:tc>
        <w:tc>
          <w:tcPr>
            <w:tcW w:w="3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产出指标</w:t>
            </w:r>
          </w:p>
        </w:tc>
        <w:tc>
          <w:tcPr>
            <w:tcW w:w="50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数量指标</w:t>
            </w: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区发改局新建原油国家储备库储量</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300</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万吨</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300</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3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50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区教科局新建校舍项目规模</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27821.33</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平方米</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27821.33</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3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5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质量指标</w:t>
            </w: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激励资金预算执行率</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3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5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时效指标</w:t>
            </w: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2023年1月—2023年12月</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12</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月</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12</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3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效益指标</w:t>
            </w:r>
          </w:p>
        </w:tc>
        <w:tc>
          <w:tcPr>
            <w:tcW w:w="50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社会效益指标</w:t>
            </w: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促进朝天社会就业和经济增长</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定性</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3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50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促进朝天初级中学基础设施建设更加完善</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定性</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w:t>
            </w:r>
          </w:p>
        </w:tc>
        <w:tc>
          <w:tcPr>
            <w:tcW w:w="3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满意度指标</w:t>
            </w:r>
          </w:p>
        </w:tc>
        <w:tc>
          <w:tcPr>
            <w:tcW w:w="50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满意度指标</w:t>
            </w: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受益群众满意度</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3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50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受益学生及家长满意度</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98</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5</w:t>
            </w:r>
          </w:p>
        </w:tc>
        <w:tc>
          <w:tcPr>
            <w:tcW w:w="3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c>
          <w:tcPr>
            <w:tcW w:w="4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成本指标</w:t>
            </w:r>
          </w:p>
        </w:tc>
        <w:tc>
          <w:tcPr>
            <w:tcW w:w="5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经济成本指标</w:t>
            </w:r>
          </w:p>
        </w:tc>
        <w:tc>
          <w:tcPr>
            <w:tcW w:w="116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新建校舍、原油库激励资金资金</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w:t>
            </w:r>
          </w:p>
        </w:tc>
        <w:tc>
          <w:tcPr>
            <w:tcW w:w="36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200</w:t>
            </w:r>
          </w:p>
        </w:tc>
        <w:tc>
          <w:tcPr>
            <w:tcW w:w="38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万元</w:t>
            </w:r>
          </w:p>
        </w:tc>
        <w:tc>
          <w:tcPr>
            <w:tcW w:w="42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200</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20</w:t>
            </w:r>
          </w:p>
        </w:tc>
        <w:tc>
          <w:tcPr>
            <w:tcW w:w="3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4147"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合计</w:t>
            </w:r>
          </w:p>
        </w:tc>
        <w:tc>
          <w:tcPr>
            <w:tcW w:w="22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2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100</w:t>
            </w:r>
          </w:p>
        </w:tc>
        <w:tc>
          <w:tcPr>
            <w:tcW w:w="3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评价结论</w:t>
            </w:r>
          </w:p>
        </w:tc>
        <w:tc>
          <w:tcPr>
            <w:tcW w:w="456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存在问题</w:t>
            </w:r>
          </w:p>
        </w:tc>
        <w:tc>
          <w:tcPr>
            <w:tcW w:w="456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43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改进措施</w:t>
            </w:r>
          </w:p>
        </w:tc>
        <w:tc>
          <w:tcPr>
            <w:tcW w:w="456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963"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项目负责人：郑永蓉</w:t>
            </w:r>
          </w:p>
        </w:tc>
        <w:tc>
          <w:tcPr>
            <w:tcW w:w="2036"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0"/>
                <w:szCs w:val="20"/>
                <w:lang w:val="en-US"/>
              </w:rPr>
            </w:pPr>
            <w:r>
              <w:rPr>
                <w:rFonts w:hint="eastAsia" w:eastAsia="仿宋_GB2312"/>
                <w:sz w:val="20"/>
                <w:szCs w:val="20"/>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79"/>
        <w:gridCol w:w="2274"/>
        <w:gridCol w:w="1295"/>
        <w:gridCol w:w="2157"/>
        <w:gridCol w:w="929"/>
        <w:gridCol w:w="797"/>
        <w:gridCol w:w="929"/>
        <w:gridCol w:w="1785"/>
        <w:gridCol w:w="609"/>
        <w:gridCol w:w="609"/>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51081224T000010097981-羊木石油储备基地项目前期工作经费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拟建羊木油品储备库一座，前期工作。</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编制、评审可研报告</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个</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进京赴省汇报跟进</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项目前期勘测、征地规模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亩</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完成时限</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资金使用合规率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促进地方经济发展</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定性</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优</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优</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工作经费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项目负责人：郑永蓉</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32"/>
          <w:szCs w:val="24"/>
        </w:rPr>
      </w:pPr>
    </w:p>
    <w:tbl>
      <w:tblPr>
        <w:tblStyle w:val="12"/>
        <w:tblW w:w="14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4"/>
        <w:gridCol w:w="1707"/>
        <w:gridCol w:w="1658"/>
        <w:gridCol w:w="2700"/>
        <w:gridCol w:w="1193"/>
        <w:gridCol w:w="1090"/>
        <w:gridCol w:w="1192"/>
        <w:gridCol w:w="1499"/>
        <w:gridCol w:w="580"/>
        <w:gridCol w:w="580"/>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51081224T000010100624-项目储备工作经费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年内储备项目298个，计划总投资1368亿元，发行地方专项债12个，发行金额4.88亿元，争取中央省预算内资金项目8个，10227亿元。</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项目投资规模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1368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亿元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1368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发行专项债项目数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个</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储备项目数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个</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项目资金到位率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2023年1月-2023年12月</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月</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促进地方GDP增速</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办公费、差旅费、印刷费</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项目负责人：袁浩</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1"/>
          <w:szCs w:val="18"/>
        </w:rPr>
      </w:pPr>
    </w:p>
    <w:tbl>
      <w:tblPr>
        <w:tblStyle w:val="12"/>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73"/>
        <w:gridCol w:w="2266"/>
        <w:gridCol w:w="1291"/>
        <w:gridCol w:w="2169"/>
        <w:gridCol w:w="927"/>
        <w:gridCol w:w="777"/>
        <w:gridCol w:w="927"/>
        <w:gridCol w:w="1781"/>
        <w:gridCol w:w="609"/>
        <w:gridCol w:w="609"/>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51081224T000011243530-政策性粮食挂账贷款偿还本金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0" w:type="auto"/>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年内偿还政策性粮食挂账贷款本金330万元。</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330.00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330.00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330.00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330.00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偿还贷款本金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还款准确率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2023年11月-2023年12月</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月</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确保政府化债任务完成率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还贷本金</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330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0" w:type="auto"/>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项目负责人：田兴斌</w:t>
            </w:r>
          </w:p>
        </w:tc>
        <w:tc>
          <w:tcPr>
            <w:tcW w:w="0" w:type="auto"/>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sz w:val="21"/>
          <w:szCs w:val="18"/>
        </w:rPr>
      </w:pPr>
    </w:p>
    <w:tbl>
      <w:tblPr>
        <w:tblStyle w:val="12"/>
        <w:tblW w:w="14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6"/>
        <w:gridCol w:w="1955"/>
        <w:gridCol w:w="1478"/>
        <w:gridCol w:w="2400"/>
        <w:gridCol w:w="1052"/>
        <w:gridCol w:w="845"/>
        <w:gridCol w:w="11"/>
        <w:gridCol w:w="1110"/>
        <w:gridCol w:w="1299"/>
        <w:gridCol w:w="646"/>
        <w:gridCol w:w="691"/>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4940"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3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项目名称</w:t>
            </w:r>
          </w:p>
        </w:tc>
        <w:tc>
          <w:tcPr>
            <w:tcW w:w="1186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51081224T000011243678-轮换大米、菜籽油3级升2级等级价差费用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3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主管部门</w:t>
            </w:r>
          </w:p>
        </w:tc>
        <w:tc>
          <w:tcPr>
            <w:tcW w:w="57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广元市朝天区发展和改革局部门</w:t>
            </w:r>
          </w:p>
        </w:tc>
        <w:tc>
          <w:tcPr>
            <w:tcW w:w="2420" w:type="dxa"/>
            <w:gridSpan w:val="3"/>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实施单位 （盖章）</w:t>
            </w:r>
          </w:p>
        </w:tc>
        <w:tc>
          <w:tcPr>
            <w:tcW w:w="367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1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项目基本情况</w:t>
            </w:r>
          </w:p>
        </w:tc>
        <w:tc>
          <w:tcPr>
            <w:tcW w:w="19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1.项目年度目标完成情况</w:t>
            </w:r>
          </w:p>
        </w:tc>
        <w:tc>
          <w:tcPr>
            <w:tcW w:w="68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项目年度目标</w:t>
            </w:r>
          </w:p>
        </w:tc>
        <w:tc>
          <w:tcPr>
            <w:tcW w:w="49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8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轮换小包装大米200吨、菜籽油三级升二级，等级价差费用</w:t>
            </w:r>
          </w:p>
        </w:tc>
        <w:tc>
          <w:tcPr>
            <w:tcW w:w="49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2.项目实施内容及过程概述</w:t>
            </w:r>
          </w:p>
        </w:tc>
        <w:tc>
          <w:tcPr>
            <w:tcW w:w="1186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预算执行情况（10分）</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年度预算数（万元）</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年初预算</w:t>
            </w: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调整后预算数</w:t>
            </w:r>
          </w:p>
        </w:tc>
        <w:tc>
          <w:tcPr>
            <w:tcW w:w="30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预算执行数</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预算执行率</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总额</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6.00</w:t>
            </w:r>
          </w:p>
        </w:tc>
        <w:tc>
          <w:tcPr>
            <w:tcW w:w="30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6.00</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33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其中：财政资金</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6.00</w:t>
            </w:r>
          </w:p>
        </w:tc>
        <w:tc>
          <w:tcPr>
            <w:tcW w:w="30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6.00</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100.00%</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3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财政专户管理资金</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0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3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单位资金</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30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0.00%</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3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其他资金</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30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23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1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绩效指标（90分）</w:t>
            </w: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一级指标</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二级指标</w:t>
            </w: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三级指标</w:t>
            </w:r>
          </w:p>
        </w:tc>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指标性质</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指标值</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度量单位</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完成值</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权重</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得分</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轮换小包装大米</w:t>
            </w:r>
          </w:p>
        </w:tc>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吨</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200</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数量指标</w:t>
            </w: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轮换小包装菜籽油</w:t>
            </w:r>
          </w:p>
        </w:tc>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40</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吨</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40</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质量指标</w:t>
            </w: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轮换标准</w:t>
            </w:r>
          </w:p>
        </w:tc>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级</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产出指标</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时效指标</w:t>
            </w: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2023年8月-2023年10月</w:t>
            </w:r>
          </w:p>
        </w:tc>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月</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3</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效益指标</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社会效益指标</w:t>
            </w: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确保储备粮供给保障率</w:t>
            </w:r>
          </w:p>
        </w:tc>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满意度指标</w:t>
            </w: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社会满意度</w:t>
            </w:r>
          </w:p>
        </w:tc>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1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c>
          <w:tcPr>
            <w:tcW w:w="19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成本指标</w:t>
            </w:r>
          </w:p>
        </w:tc>
        <w:tc>
          <w:tcPr>
            <w:tcW w:w="1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经济成本指标</w:t>
            </w:r>
          </w:p>
        </w:tc>
        <w:tc>
          <w:tcPr>
            <w:tcW w:w="2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等级价差费用</w:t>
            </w:r>
          </w:p>
        </w:tc>
        <w:tc>
          <w:tcPr>
            <w:tcW w:w="10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w:t>
            </w:r>
          </w:p>
        </w:tc>
        <w:tc>
          <w:tcPr>
            <w:tcW w:w="8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万元</w:t>
            </w:r>
          </w:p>
        </w:tc>
        <w:tc>
          <w:tcPr>
            <w:tcW w:w="12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6</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20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1126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合计</w:t>
            </w:r>
          </w:p>
        </w:tc>
        <w:tc>
          <w:tcPr>
            <w:tcW w:w="6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6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100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评价结论</w:t>
            </w:r>
          </w:p>
        </w:tc>
        <w:tc>
          <w:tcPr>
            <w:tcW w:w="1382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存在问题</w:t>
            </w:r>
          </w:p>
        </w:tc>
        <w:tc>
          <w:tcPr>
            <w:tcW w:w="1382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1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改进措施</w:t>
            </w:r>
          </w:p>
        </w:tc>
        <w:tc>
          <w:tcPr>
            <w:tcW w:w="1382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0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项目负责人：毛延寿</w:t>
            </w:r>
          </w:p>
        </w:tc>
        <w:tc>
          <w:tcPr>
            <w:tcW w:w="693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rPr>
            </w:pPr>
            <w:r>
              <w:rPr>
                <w:rFonts w:hint="eastAsia" w:eastAsia="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
          <w:sz w:val="11"/>
          <w:szCs w:val="8"/>
          <w:lang w:eastAsia="zh-CN"/>
        </w:rPr>
      </w:pPr>
    </w:p>
    <w:tbl>
      <w:tblPr>
        <w:tblStyle w:val="12"/>
        <w:tblW w:w="14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1953"/>
        <w:gridCol w:w="1617"/>
        <w:gridCol w:w="2372"/>
        <w:gridCol w:w="1072"/>
        <w:gridCol w:w="853"/>
        <w:gridCol w:w="1081"/>
        <w:gridCol w:w="1303"/>
        <w:gridCol w:w="629"/>
        <w:gridCol w:w="689"/>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490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31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项目名称</w:t>
            </w:r>
          </w:p>
        </w:tc>
        <w:tc>
          <w:tcPr>
            <w:tcW w:w="117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51081224T000011243814-粮食应急体系建设经费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31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主管部门</w:t>
            </w:r>
          </w:p>
        </w:tc>
        <w:tc>
          <w:tcPr>
            <w:tcW w:w="699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广元市朝天区发展和改革局部门</w:t>
            </w:r>
          </w:p>
        </w:tc>
        <w:tc>
          <w:tcPr>
            <w:tcW w:w="1303" w:type="dxa"/>
            <w:tcBorders>
              <w:top w:val="nil"/>
              <w:left w:val="nil"/>
              <w:bottom w:val="nil"/>
              <w:right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实施单位 （盖章）</w:t>
            </w:r>
          </w:p>
        </w:tc>
        <w:tc>
          <w:tcPr>
            <w:tcW w:w="34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项目基本情况</w:t>
            </w:r>
          </w:p>
        </w:tc>
        <w:tc>
          <w:tcPr>
            <w:tcW w:w="195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1.项目年度目标完成情况</w:t>
            </w:r>
          </w:p>
        </w:tc>
        <w:tc>
          <w:tcPr>
            <w:tcW w:w="699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项目年度目标</w:t>
            </w:r>
          </w:p>
        </w:tc>
        <w:tc>
          <w:tcPr>
            <w:tcW w:w="47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699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完善粮食应急体系，强化应急演练，保障粮食应急供应。</w:t>
            </w:r>
          </w:p>
        </w:tc>
        <w:tc>
          <w:tcPr>
            <w:tcW w:w="47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2.项目实施内容及过程概述</w:t>
            </w:r>
          </w:p>
        </w:tc>
        <w:tc>
          <w:tcPr>
            <w:tcW w:w="117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1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预算执行情况（10分）</w:t>
            </w: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年度预算数（万元）</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年初预算</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调整后预算数</w:t>
            </w:r>
          </w:p>
        </w:tc>
        <w:tc>
          <w:tcPr>
            <w:tcW w:w="300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预算执行数</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预算执行率</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权重</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得分</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总额</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0.00</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1.00</w:t>
            </w:r>
          </w:p>
        </w:tc>
        <w:tc>
          <w:tcPr>
            <w:tcW w:w="300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1.00</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100.00%</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w:t>
            </w:r>
          </w:p>
        </w:tc>
        <w:tc>
          <w:tcPr>
            <w:tcW w:w="21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其中：财政资金</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0.00</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1.00</w:t>
            </w:r>
          </w:p>
        </w:tc>
        <w:tc>
          <w:tcPr>
            <w:tcW w:w="300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1.00</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100.00%</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21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财政专户管理资金</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0.00</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0.00</w:t>
            </w:r>
          </w:p>
        </w:tc>
        <w:tc>
          <w:tcPr>
            <w:tcW w:w="300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0.00</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0.00%</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21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单位资金</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0.00</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0.00</w:t>
            </w:r>
          </w:p>
        </w:tc>
        <w:tc>
          <w:tcPr>
            <w:tcW w:w="300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0.00</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0.00%</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21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其他资金</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300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21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1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绩效指标（90分）</w:t>
            </w: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一级指标</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二级指标</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三级指标</w:t>
            </w:r>
          </w:p>
        </w:tc>
        <w:tc>
          <w:tcPr>
            <w:tcW w:w="1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指标性质</w:t>
            </w:r>
          </w:p>
        </w:tc>
        <w:tc>
          <w:tcPr>
            <w:tcW w:w="8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指标值</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度量单位</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完成值</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权重</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得分</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产出指标</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数量指标</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制作应急网点标识牌</w:t>
            </w:r>
          </w:p>
        </w:tc>
        <w:tc>
          <w:tcPr>
            <w:tcW w:w="1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8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15</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个</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15</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产出指标</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数量指标</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开展集中演练</w:t>
            </w:r>
          </w:p>
        </w:tc>
        <w:tc>
          <w:tcPr>
            <w:tcW w:w="1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8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次</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产出指标</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数量指标</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突击检查工作</w:t>
            </w:r>
          </w:p>
        </w:tc>
        <w:tc>
          <w:tcPr>
            <w:tcW w:w="1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8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次</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产出指标</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时效指标</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2023年1月-2023年12月</w:t>
            </w:r>
          </w:p>
        </w:tc>
        <w:tc>
          <w:tcPr>
            <w:tcW w:w="1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8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年</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产出指标</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质量指标</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应急物资等级</w:t>
            </w:r>
          </w:p>
        </w:tc>
        <w:tc>
          <w:tcPr>
            <w:tcW w:w="1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8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级</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效益指标</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社会效益指标</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确保应急物资供给</w:t>
            </w:r>
          </w:p>
        </w:tc>
        <w:tc>
          <w:tcPr>
            <w:tcW w:w="1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8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100</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100</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20</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20</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满意度指标</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满意度指标</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社会满意度</w:t>
            </w:r>
          </w:p>
        </w:tc>
        <w:tc>
          <w:tcPr>
            <w:tcW w:w="1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8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98</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98</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1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c>
          <w:tcPr>
            <w:tcW w:w="19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成本指标</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工作经费</w:t>
            </w:r>
          </w:p>
        </w:tc>
        <w:tc>
          <w:tcPr>
            <w:tcW w:w="23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工作经费</w:t>
            </w:r>
          </w:p>
        </w:tc>
        <w:tc>
          <w:tcPr>
            <w:tcW w:w="10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w:t>
            </w:r>
          </w:p>
        </w:tc>
        <w:tc>
          <w:tcPr>
            <w:tcW w:w="8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万元</w:t>
            </w:r>
          </w:p>
        </w:tc>
        <w:tc>
          <w:tcPr>
            <w:tcW w:w="13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20</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20</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141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合计</w:t>
            </w:r>
          </w:p>
        </w:tc>
        <w:tc>
          <w:tcPr>
            <w:tcW w:w="6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100</w:t>
            </w:r>
          </w:p>
        </w:tc>
        <w:tc>
          <w:tcPr>
            <w:tcW w:w="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100</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1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评价结论</w:t>
            </w:r>
          </w:p>
        </w:tc>
        <w:tc>
          <w:tcPr>
            <w:tcW w:w="1373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存在问题</w:t>
            </w:r>
          </w:p>
        </w:tc>
        <w:tc>
          <w:tcPr>
            <w:tcW w:w="1373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11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改进措施</w:t>
            </w:r>
          </w:p>
        </w:tc>
        <w:tc>
          <w:tcPr>
            <w:tcW w:w="1373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817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项目负责人：袁清剑</w:t>
            </w:r>
          </w:p>
        </w:tc>
        <w:tc>
          <w:tcPr>
            <w:tcW w:w="672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sz w:val="22"/>
          <w:szCs w:val="20"/>
        </w:rPr>
      </w:pPr>
    </w:p>
    <w:tbl>
      <w:tblPr>
        <w:tblStyle w:val="12"/>
        <w:tblW w:w="148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8"/>
        <w:gridCol w:w="1716"/>
        <w:gridCol w:w="1112"/>
        <w:gridCol w:w="4613"/>
        <w:gridCol w:w="749"/>
        <w:gridCol w:w="688"/>
        <w:gridCol w:w="749"/>
        <w:gridCol w:w="1481"/>
        <w:gridCol w:w="579"/>
        <w:gridCol w:w="579"/>
        <w:gridCol w:w="1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广元市朝天区发展和改革局部门</w:t>
            </w:r>
          </w:p>
        </w:tc>
        <w:tc>
          <w:tcPr>
            <w:tcW w:w="0" w:type="auto"/>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28.74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28.74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28.74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28.74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项目负责人：周拥军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sz w:val="16"/>
          <w:szCs w:val="13"/>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2"/>
        <w:gridCol w:w="1709"/>
        <w:gridCol w:w="1109"/>
        <w:gridCol w:w="4591"/>
        <w:gridCol w:w="746"/>
        <w:gridCol w:w="687"/>
        <w:gridCol w:w="746"/>
        <w:gridCol w:w="1478"/>
        <w:gridCol w:w="579"/>
        <w:gridCol w:w="579"/>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广元市朝天区发展和改革局部门</w:t>
            </w:r>
          </w:p>
        </w:tc>
        <w:tc>
          <w:tcPr>
            <w:tcW w:w="0" w:type="auto"/>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项目负责人：周拥军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财务负责人：严一丰</w:t>
            </w:r>
          </w:p>
        </w:tc>
      </w:tr>
    </w:tbl>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8"/>
        <w:gridCol w:w="1785"/>
        <w:gridCol w:w="1079"/>
        <w:gridCol w:w="4824"/>
        <w:gridCol w:w="765"/>
        <w:gridCol w:w="687"/>
        <w:gridCol w:w="765"/>
        <w:gridCol w:w="1079"/>
        <w:gridCol w:w="569"/>
        <w:gridCol w:w="569"/>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主管部门</w:t>
            </w:r>
          </w:p>
        </w:tc>
        <w:tc>
          <w:tcPr>
            <w:tcW w:w="6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广元市朝天区发展和改革局部门</w:t>
            </w:r>
          </w:p>
        </w:tc>
        <w:tc>
          <w:tcPr>
            <w:tcW w:w="2709" w:type="dxa"/>
            <w:gridSpan w:val="3"/>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实施单位 （盖章）</w:t>
            </w:r>
          </w:p>
        </w:tc>
        <w:tc>
          <w:tcPr>
            <w:tcW w:w="3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广元市朝天区发展和改革局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项目负责人：周拥军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财务负责人：严一丰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4856" w:type="dxa"/>
            <w:gridSpan w:val="11"/>
            <w:tcBorders>
              <w:top w:val="nil"/>
              <w:left w:val="nil"/>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eastAsia="zh-CN"/>
              </w:rPr>
            </w:pPr>
            <w:r>
              <w:rPr>
                <w:rFonts w:hint="eastAsia" w:eastAsia="仿宋_GB2312"/>
                <w:sz w:val="21"/>
                <w:szCs w:val="21"/>
                <w:lang w:val="en-US" w:eastAsia="zh-CN"/>
              </w:rPr>
              <w:t>1、报表说明:该报表查询项目信息、绩效目标信息、预算及执行情况，用于预算单位查询导出开展项目自评。</w:t>
            </w:r>
          </w:p>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eastAsia="zh-CN"/>
              </w:rPr>
            </w:pPr>
            <w:r>
              <w:rPr>
                <w:rFonts w:hint="eastAsia" w:eastAsia="仿宋_GB2312"/>
                <w:sz w:val="21"/>
                <w:szCs w:val="21"/>
                <w:lang w:val="en-US" w:eastAsia="zh-CN"/>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4856" w:type="dxa"/>
            <w:gridSpan w:val="11"/>
            <w:tcBorders>
              <w:top w:val="nil"/>
              <w:left w:val="nil"/>
              <w:bottom w:val="nil"/>
              <w:right w:val="nil"/>
              <w:tl2br w:val="nil"/>
              <w:tr2bl w:val="nil"/>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eastAsia="zh-CN"/>
              </w:rPr>
            </w:pPr>
            <w:r>
              <w:rPr>
                <w:rFonts w:hint="eastAsia" w:eastAsia="仿宋_GB2312"/>
                <w:sz w:val="21"/>
                <w:szCs w:val="21"/>
                <w:lang w:val="en-US" w:eastAsia="zh-CN"/>
              </w:rPr>
              <w:t>适用地区：全省范围</w:t>
            </w:r>
          </w:p>
          <w:p>
            <w:pPr>
              <w:keepNext w:val="0"/>
              <w:keepLines w:val="0"/>
              <w:pageBreakBefore w:val="0"/>
              <w:widowControl w:val="0"/>
              <w:kinsoku/>
              <w:wordWrap/>
              <w:overflowPunct/>
              <w:topLinePunct w:val="0"/>
              <w:autoSpaceDE w:val="0"/>
              <w:autoSpaceDN w:val="0"/>
              <w:bidi w:val="0"/>
              <w:adjustRightInd w:val="0"/>
              <w:snapToGrid/>
              <w:spacing w:line="0" w:lineRule="atLeast"/>
              <w:textAlignment w:val="auto"/>
              <w:rPr>
                <w:rFonts w:hint="eastAsia" w:eastAsia="仿宋_GB2312"/>
                <w:sz w:val="21"/>
                <w:szCs w:val="21"/>
                <w:lang w:val="en-US" w:eastAsia="zh-CN"/>
              </w:rPr>
            </w:pPr>
            <w:r>
              <w:rPr>
                <w:rFonts w:hint="eastAsia" w:eastAsia="仿宋_GB2312"/>
                <w:sz w:val="21"/>
                <w:szCs w:val="21"/>
                <w:lang w:val="en-US" w:eastAsia="zh-CN"/>
              </w:rPr>
              <w:t>适用用户：部门用户、单位用户</w:t>
            </w:r>
          </w:p>
        </w:tc>
      </w:tr>
    </w:tbl>
    <w:p>
      <w:pPr>
        <w:spacing w:line="240" w:lineRule="atLeast"/>
        <w:rPr>
          <w:rFonts w:hint="eastAsia" w:eastAsia="仿宋_GB2312"/>
          <w:sz w:val="11"/>
          <w:szCs w:val="11"/>
          <w:lang w:val="en-US"/>
        </w:rPr>
        <w:sectPr>
          <w:pgSz w:w="16840" w:h="11907" w:orient="landscape"/>
          <w:pgMar w:top="1134" w:right="1134" w:bottom="1134" w:left="1134" w:header="624" w:footer="680" w:gutter="0"/>
          <w:lnNumType w:countBy="0" w:distance="360"/>
          <w:cols w:space="720" w:num="1"/>
          <w:docGrid w:type="linesAndChars" w:linePitch="579" w:charSpace="-842"/>
        </w:sectPr>
      </w:pPr>
    </w:p>
    <w:p>
      <w:pPr>
        <w:bidi w:val="0"/>
        <w:outlineLvl w:val="1"/>
        <w:rPr>
          <w:rFonts w:hint="eastAsia" w:ascii="楷体_GB2312" w:hAnsi="楷体_GB2312" w:eastAsia="楷体_GB2312" w:cs="楷体_GB2312"/>
          <w:kern w:val="2"/>
          <w:sz w:val="32"/>
          <w:szCs w:val="32"/>
          <w:lang w:val="en-US" w:eastAsia="zh-CN" w:bidi="ar-SA"/>
        </w:rPr>
      </w:pPr>
      <w:bookmarkStart w:id="42" w:name="_Toc10128"/>
      <w:r>
        <w:rPr>
          <w:rFonts w:hint="eastAsia" w:ascii="黑体" w:hAnsi="黑体" w:eastAsia="黑体" w:cs="黑体"/>
          <w:lang w:val="en-US" w:eastAsia="zh-CN"/>
        </w:rPr>
        <w:t>附件2</w:t>
      </w:r>
      <w:bookmarkEnd w:id="42"/>
    </w:p>
    <w:p>
      <w:pPr>
        <w:keepNext w:val="0"/>
        <w:keepLines w:val="0"/>
        <w:pageBreakBefore w:val="0"/>
        <w:widowControl w:val="0"/>
        <w:kinsoku/>
        <w:wordWrap/>
        <w:overflowPunct/>
        <w:topLinePunct w:val="0"/>
        <w:autoSpaceDE w:val="0"/>
        <w:autoSpaceDN/>
        <w:bidi w:val="0"/>
        <w:adjustRightInd/>
        <w:snapToGrid/>
        <w:spacing w:line="576"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napToGrid/>
        <w:spacing w:line="576"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关于2023年度项目前期工作激励工作经费</w:t>
      </w:r>
    </w:p>
    <w:p>
      <w:pPr>
        <w:keepNext w:val="0"/>
        <w:keepLines w:val="0"/>
        <w:pageBreakBefore w:val="0"/>
        <w:widowControl w:val="0"/>
        <w:kinsoku/>
        <w:wordWrap/>
        <w:overflowPunct/>
        <w:topLinePunct w:val="0"/>
        <w:autoSpaceDE w:val="0"/>
        <w:autoSpaceDN/>
        <w:bidi w:val="0"/>
        <w:adjustRightInd/>
        <w:snapToGrid/>
        <w:spacing w:line="576"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项目支出绩效自评报告</w:t>
      </w:r>
    </w:p>
    <w:p>
      <w:pPr>
        <w:keepNext w:val="0"/>
        <w:keepLines w:val="0"/>
        <w:pageBreakBefore w:val="0"/>
        <w:widowControl w:val="0"/>
        <w:kinsoku/>
        <w:wordWrap/>
        <w:overflowPunct/>
        <w:topLinePunct w:val="0"/>
        <w:autoSpaceDE/>
        <w:autoSpaceDN/>
        <w:bidi w:val="0"/>
        <w:adjustRightInd/>
        <w:spacing w:line="576" w:lineRule="exact"/>
        <w:ind w:firstLine="632" w:firstLineChars="200"/>
        <w:jc w:val="both"/>
        <w:rPr>
          <w:rFonts w:hint="eastAsia" w:ascii="仿宋_GB2312" w:hAnsi="仿宋_GB2312" w:eastAsia="仿宋_GB2312" w:cs="仿宋_GB2312"/>
          <w:kern w:val="2"/>
          <w:szCs w:val="2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jc w:val="both"/>
        <w:rPr>
          <w:rFonts w:hint="eastAsia" w:ascii="仿宋_GB2312" w:hAnsi="仿宋_GB2312" w:eastAsia="仿宋_GB2312" w:cs="仿宋_GB2312"/>
          <w:kern w:val="2"/>
          <w:szCs w:val="22"/>
          <w:lang w:val="en-US" w:eastAsia="zh-CN" w:bidi="ar-SA"/>
        </w:rPr>
      </w:pPr>
      <w:r>
        <w:rPr>
          <w:rFonts w:hint="eastAsia" w:ascii="仿宋_GB2312" w:hAnsi="仿宋_GB2312" w:eastAsia="仿宋_GB2312" w:cs="仿宋_GB2312"/>
          <w:kern w:val="2"/>
          <w:szCs w:val="2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根据《关于开展2024年部门整体、政策、项目和资本资产绩效自评工作的通知》（广朝财发〔2024〕21号）的文件要求，结合单位实际，现将2023年项目前期工作激励工作经费项目支出绩效自评情况作如下报告。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08" w:firstLineChars="200"/>
        <w:jc w:val="both"/>
        <w:textAlignment w:val="baseline"/>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年初向区财政申报项目前期工作激励工作经费30万元，区财政批准30万元，纳入本单位年初预算。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为激励全区上下“起步就冲刺、开局就争先”的精气神抓好项目建设，推动项目及早开工，积极扩大有效投资，形成大抓项目、抓大项目的浓厚氛围，促进全区项目投资较快增长。</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年内完成申报专项债项目42个，全区项目集中开工132个，储备项目255个，省重点项目投资规模14亿元。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项目前期工作激励工作经费项目申报内容与具体实施内容相符、申报目标合理可行。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bidi w:val="0"/>
        <w:spacing w:after="0" w:afterLines="0" w:afterAutospacing="0"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年内计划申报项目前期工作激励工作经费30万元，2023年累计调拨项目前期工作激励工作经费30万元，资金到位率100%。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2023年支付项目前期工作激励工作经费30万元，资金支付符合项目前期工作激励工作经费项目的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1.数量指标:完成</w:t>
      </w:r>
      <w:r>
        <w:rPr>
          <w:rFonts w:hint="eastAsia" w:ascii="仿宋_GB2312" w:hAnsi="宋体" w:eastAsia="仿宋_GB2312" w:cs="Times New Roman"/>
          <w:w w:val="99"/>
          <w:kern w:val="2"/>
          <w:sz w:val="32"/>
          <w:szCs w:val="32"/>
          <w:lang w:val="en-US" w:eastAsia="zh-CN" w:bidi="ar-SA"/>
        </w:rPr>
        <w:t>申报专项债项目42个、全区项目集中开工132个、储备项目255个、省重点项目投资规模14亿元。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2.质量指标:项目绩效目标完成率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4.成本指标：工作经费30万元。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1.社会效益:通过项目实施，推动了地方基础设施建设，带动就业，促进地方经济社会快速发展。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3.可持续影响:加快了地方基础设施建设，促进了地方经济发展，对进一步改善民生，促进社会和谐稳定具有十分重要的意义。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1.建议业务主管部门加强对单位、部门业务知识的培训，同时加强对单位、部门的调研指导；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4368" w:firstLineChars="14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992" w:firstLineChars="16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autoSpaceDE w:val="0"/>
        <w:autoSpaceDN/>
        <w:bidi w:val="0"/>
        <w:adjustRightInd/>
        <w:snapToGrid/>
        <w:spacing w:line="576" w:lineRule="exact"/>
        <w:ind w:left="0" w:leftChars="0" w:right="0" w:rightChars="0" w:firstLine="0" w:firstLineChars="0"/>
        <w:jc w:val="both"/>
        <w:textAlignment w:val="auto"/>
        <w:rPr>
          <w:rFonts w:hint="eastAsia" w:ascii="楷体_GB2312" w:hAnsi="楷体_GB2312" w:eastAsia="楷体_GB2312" w:cs="楷体_GB2312"/>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napToGrid/>
        <w:spacing w:line="576" w:lineRule="exact"/>
        <w:ind w:left="0" w:leftChars="0" w:right="0" w:rightChars="0" w:firstLine="0" w:firstLineChars="0"/>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napToGrid/>
        <w:spacing w:line="576" w:lineRule="exact"/>
        <w:ind w:left="0" w:leftChars="0" w:right="0" w:rightChars="0" w:firstLine="0" w:firstLineChars="0"/>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关于2023年度产粮大县奖励金项目支出</w:t>
      </w:r>
    </w:p>
    <w:p>
      <w:pPr>
        <w:keepNext w:val="0"/>
        <w:keepLines w:val="0"/>
        <w:pageBreakBefore w:val="0"/>
        <w:widowControl w:val="0"/>
        <w:kinsoku/>
        <w:wordWrap/>
        <w:overflowPunct/>
        <w:topLinePunct w:val="0"/>
        <w:autoSpaceDE w:val="0"/>
        <w:autoSpaceDN/>
        <w:bidi w:val="0"/>
        <w:adjustRightInd/>
        <w:snapToGrid/>
        <w:spacing w:line="576" w:lineRule="exact"/>
        <w:ind w:left="0" w:leftChars="0" w:right="0" w:rightChars="0" w:firstLine="0" w:firstLineChars="0"/>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绩效自评报告</w:t>
      </w:r>
    </w:p>
    <w:p>
      <w:pPr>
        <w:keepNext w:val="0"/>
        <w:keepLines w:val="0"/>
        <w:pageBreakBefore w:val="0"/>
        <w:widowControl w:val="0"/>
        <w:kinsoku/>
        <w:wordWrap/>
        <w:overflowPunct/>
        <w:topLinePunct w:val="0"/>
        <w:autoSpaceDE/>
        <w:autoSpaceDN/>
        <w:bidi w:val="0"/>
        <w:adjustRightInd/>
        <w:spacing w:line="576" w:lineRule="exact"/>
        <w:jc w:val="both"/>
        <w:rPr>
          <w:rFonts w:hint="eastAsia" w:ascii="仿宋_GB2312" w:hAnsi="仿宋_GB2312" w:eastAsia="仿宋_GB2312" w:cs="仿宋_GB2312"/>
          <w:kern w:val="2"/>
          <w:sz w:val="21"/>
          <w:szCs w:val="2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left"/>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根据《关于开展2024年部门整体、政策、项目和资本资产绩效自评工作的通知》（广朝财发〔2024〕21号）的文件要求，结合单位实际，现将2023年产粮大县奖励金项目支出绩效自评情况作如下报告。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08" w:firstLineChars="200"/>
        <w:jc w:val="both"/>
        <w:textAlignment w:val="baseline"/>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left"/>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年初向区财政申报产粮大县奖励金项目资金287.2万元，区财政审批287.2万元，纳入本单位年初预算。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贯彻国家优质粮食工程总体需求，完善建设快检能力提升项目1个，促进粮油产业高质量发展，切实提升粮食质量安全风险监测监管能力和企业收购效率。以绿色仓储为载体，建设“仓顶阳光”项目一个，促进粮油产业高质量发展，确保地区粮食安全。</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年内完成建设“仓顶阳光”项目1个；完成建设快检能力提升项目1个。</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产粮大县奖励金项目申报内容与具体实施内容相符、申报目标合理可行。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bidi w:val="0"/>
        <w:spacing w:after="0" w:afterLines="0" w:afterAutospacing="0"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年内计划申报产粮大县奖励金项目资金287.2万元，2023年累计调拨产粮大县奖励金项目资金287.2万元，资金到位率100%。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2023年支付产粮大县奖励金项目资金287.2万元，资金支付符合产粮大县奖励金项目的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1.数量指标:年内完成</w:t>
      </w:r>
      <w:r>
        <w:rPr>
          <w:rFonts w:hint="eastAsia" w:ascii="仿宋_GB2312" w:hAnsi="宋体" w:eastAsia="仿宋_GB2312" w:cs="Times New Roman"/>
          <w:w w:val="99"/>
          <w:kern w:val="2"/>
          <w:sz w:val="32"/>
          <w:szCs w:val="32"/>
          <w:lang w:val="en-US" w:eastAsia="zh-CN" w:bidi="ar-SA"/>
        </w:rPr>
        <w:t>建设“仓顶阳光”项目1个、快检能力提升项目1个。</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2.质量指标:项目绩效目标完成率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4.成本指标：项目奖励金278.2万元。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1.社会效益:通过项目实施,促进粮油产业高质量发展，切实提升粮食质量安全风险监测监管能力和企业收购效率，确保地区粮食安全。</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3.可持续影响:加快了地方基础设施建设，促进粮油产业高质量发展。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1.建议业务主管部门加强对单位、部门业务知识的培训，同时加强对单位、部门的调研指导；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autoSpaceDE w:val="0"/>
        <w:autoSpaceDN/>
        <w:bidi w:val="0"/>
        <w:adjustRightInd/>
        <w:spacing w:line="576" w:lineRule="exact"/>
        <w:ind w:left="0" w:leftChars="0" w:right="0" w:rightChars="0" w:firstLine="0" w:firstLineChars="0"/>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ind w:left="0" w:leftChars="0" w:right="0" w:rightChars="0" w:firstLine="0" w:firstLineChars="0"/>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关于2023年度物价管理工作经费项目支出绩效自评报告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right="0" w:rightChars="0" w:firstLine="0" w:firstLineChars="0"/>
        <w:jc w:val="center"/>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根据《关于开展2024年部门整体、政策、项目和资本资产绩效自评工作的通知》（广朝财发〔2024〕21号）的文件要求，结合单位实际，现将2023年物价管理项目支出绩效自评情况作如下报告。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08" w:firstLineChars="200"/>
        <w:jc w:val="both"/>
        <w:textAlignment w:val="baseline"/>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年初向区财政申报物价管理工作经费3万元，区财政批准3万元，纳入本单位年初预算。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一是完成燃气、城区垃圾处理、益后公墓服务收费等项目的成本监审及定价工作；二是完成重要节假日民生商品价格监测；三是加强物价管理政策法规的宣传。</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一是完成燃气、城区垃圾处理、益后公墓服务收费3个项目的成本监审；二是完成重要节假日民生商品价格监测10次以上；三是印刷宣传资料10000份。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物价管理工作经费项目申报内容与具体实施内容相符、申报目标合理可行。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bidi w:val="0"/>
        <w:spacing w:after="0" w:afterLines="0" w:afterAutospacing="0"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年内计划申报物价管理工作经费项目3万元，2023年累计调拨物价管理工作经费3万元，资金到位率100%。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2023年支付物价管理工作经费3万元，资金支付符合物价管理工作经费项目的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w:t>
      </w:r>
      <w:r>
        <w:rPr>
          <w:rFonts w:hint="eastAsia" w:ascii="仿宋_GB2312" w:hAnsi="宋体" w:eastAsia="仿宋_GB2312" w:cs="Times New Roman"/>
          <w:w w:val="99"/>
          <w:kern w:val="2"/>
          <w:sz w:val="32"/>
          <w:szCs w:val="32"/>
          <w:lang w:val="en-US" w:eastAsia="zh-CN" w:bidi="ar-SA"/>
        </w:rPr>
        <w:t>一是完成3个项目的成本监审；二是重要节假日民生商品价格监测10次以上；三是印刷宣传资料10000份。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2.质量指标:项目绩效目标完成率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4.成本指标：工作经费3万元。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1.社会效益:通过项目实施，维护价格秩序稳定，为促进地方经济社会快速发展营造良好的价格秩序。</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3.可持续影响:通过项目实施，维护价格秩序稳定具有十分重要的意义。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关于2023年度经济运行调度管理工作经费</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根据《关于开展2024年部门整体、政策、项目和资本资产绩效自评工作的通知》（广朝财发〔2024〕21号）的文件要求，结合单位实际，现将2023年经济运行调度管理工作经费项目支出绩效自评情况作如下报告。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08" w:firstLineChars="200"/>
        <w:jc w:val="both"/>
        <w:textAlignment w:val="baseline"/>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年初向区财政申报经济运行调度管理工作经费5万元，区财政批准5万元，纳入本单位年初预算。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制定《全区经济工作要点》，落实分解经济目标任务；按月召开经济运行调度会一次，每季度召开经济运行分析会一次;做好县域经济与经济运行监测分析</w:t>
      </w:r>
      <w:r>
        <w:rPr>
          <w:rFonts w:hint="eastAsia" w:ascii="仿宋_GB2312" w:hAnsi="宋体" w:eastAsia="仿宋_GB2312" w:cs="Times New Roman"/>
          <w:b/>
          <w:bCs/>
          <w:w w:val="99"/>
          <w:kern w:val="2"/>
          <w:sz w:val="32"/>
          <w:szCs w:val="32"/>
          <w:lang w:val="en-US" w:eastAsia="zh-CN" w:bidi="ar-SA"/>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制定《全区经济工作要点》1个;召开经济运行调度会12次，召开经济运行分析会4次；县域经济与经济运行监测分析2次。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经济运行调度管理工作经费项目申报内容与具体实施内容相符、申报目标合理可行。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bidi w:val="0"/>
        <w:spacing w:after="0" w:afterLines="0" w:afterAutospacing="0"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年内计划申报经济运行调度管理工作经费3万元，2023年累计调拨经济运行调度管理工作经费3万元，资金到位率100%。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2023年支付经济运行调度管理工作经费3万元，资金支付符合经济运行调度管理工作经费项目的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1.数量指标:一是</w:t>
      </w:r>
      <w:r>
        <w:rPr>
          <w:rFonts w:hint="eastAsia" w:ascii="仿宋_GB2312" w:hAnsi="宋体" w:eastAsia="仿宋_GB2312" w:cs="Times New Roman"/>
          <w:w w:val="99"/>
          <w:kern w:val="2"/>
          <w:sz w:val="32"/>
          <w:szCs w:val="32"/>
          <w:lang w:val="en-US" w:eastAsia="zh-CN" w:bidi="ar-SA"/>
        </w:rPr>
        <w:t>制定《全区经济工作要点》1个;二是召开经济运行调度会12次，召开经济运行分析会4次；三是县域经济与经济运行监测分析2次。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2.质量指标:项目绩效目标完成率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4.成本指标：工作经费5万元。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1.社会效益:通过项目实施，促进国民经济增长率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3%。</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3.可持续影响:通过项目实施，促进地方国民经济快速增长具有十分重要的意义。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keepNext w:val="0"/>
        <w:keepLines w:val="0"/>
        <w:pageBreakBefore w:val="0"/>
        <w:widowControl w:val="0"/>
        <w:kinsoku/>
        <w:wordWrap/>
        <w:overflowPunct/>
        <w:topLinePunct w:val="0"/>
        <w:autoSpaceDE w:val="0"/>
        <w:autoSpaceDN/>
        <w:bidi w:val="0"/>
        <w:adjustRightInd/>
        <w:spacing w:line="576" w:lineRule="exact"/>
        <w:ind w:firstLine="1308" w:firstLineChars="300"/>
        <w:jc w:val="both"/>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关于2023年度项目投资“拉练评比”工作经费项目支出绩效自评报告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center"/>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根据《关于开展2024年部门整体、政策、项目和资本资产绩效自评工作的通知》（广朝财发〔2024〕21号）的文件要求，结合单位实际，现将2023年项目投资“拉练评比”工作经费项目支出绩效自评情况作如下报告。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08" w:firstLineChars="200"/>
        <w:jc w:val="both"/>
        <w:textAlignment w:val="baseline"/>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年初向区财政申报项目投资“拉练评比”工作经费20万元，区财政批准20万元，纳入本单位年初预算。年内调减10万元，调整预算程序合理合规符合预算调整相关规定。调整预算数10万元。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完成全市“拉练评比”1次，每个季度组织全区项目集中开工1次，全年共计4次。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完成全市“拉练评比”1次，组织全区项目集中开工4次。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项目投资“拉练评比”工作经费项目申报内容与具体实施内容相符、申报目标合理可行。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bidi w:val="0"/>
        <w:spacing w:after="0" w:afterLines="0" w:afterAutospacing="0"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年内计划申报项目投资“拉练评比”工作经费10万元，2023年累计调拨项目投资“拉练评比”工作经费10万元，资金到位率100%。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2023年支付项目投资“拉练评比”工作经费10万元，资金支付符合经济运行调度管理工作经费项目的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w:t>
      </w:r>
      <w:r>
        <w:rPr>
          <w:rFonts w:hint="eastAsia" w:ascii="仿宋_GB2312" w:hAnsi="宋体" w:eastAsia="仿宋_GB2312" w:cs="Times New Roman"/>
          <w:w w:val="99"/>
          <w:kern w:val="2"/>
          <w:sz w:val="32"/>
          <w:szCs w:val="32"/>
          <w:lang w:val="en-US" w:eastAsia="zh-CN" w:bidi="ar-SA"/>
        </w:rPr>
        <w:t>完成全市“拉练评比”1次、全区项目集中开工4次。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2.质量指标:项目绩效目标完成率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4.成本指标：工作经费10万元。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1.社会效益:通过项目建设促进经济增长</w:t>
      </w:r>
      <w:r>
        <w:rPr>
          <w:rFonts w:hint="eastAsia" w:ascii="宋体" w:hAnsi="宋体" w:eastAsia="宋体" w:cs="宋体"/>
          <w:b w:val="0"/>
          <w:bCs w:val="0"/>
          <w:w w:val="99"/>
          <w:kern w:val="2"/>
          <w:sz w:val="32"/>
          <w:szCs w:val="32"/>
          <w:lang w:val="en-US" w:eastAsia="zh-CN" w:bidi="ar-SA"/>
        </w:rPr>
        <w:t>≧4</w:t>
      </w:r>
      <w:r>
        <w:rPr>
          <w:rFonts w:hint="eastAsia" w:ascii="仿宋_GB2312" w:hAnsi="宋体" w:eastAsia="仿宋_GB2312" w:cs="Times New Roman"/>
          <w:b w:val="0"/>
          <w:bCs w:val="0"/>
          <w:w w:val="99"/>
          <w:kern w:val="2"/>
          <w:sz w:val="32"/>
          <w:szCs w:val="32"/>
          <w:lang w:val="en-US" w:eastAsia="zh-CN" w:bidi="ar-SA"/>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3.可持续影响:通过项目实施，促进地方经济快速增长。</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spacing w:line="576" w:lineRule="exact"/>
        <w:ind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heme="minorHAnsi" w:hAnsiTheme="minorHAnsi" w:eastAsiaTheme="minorEastAsia" w:cstheme="minorBidi"/>
          <w:kern w:val="2"/>
          <w:sz w:val="21"/>
          <w:szCs w:val="22"/>
          <w:lang w:val="en-US" w:eastAsia="zh-CN" w:bidi="ar-SA"/>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keepNext w:val="0"/>
        <w:keepLines w:val="0"/>
        <w:pageBreakBefore w:val="0"/>
        <w:widowControl w:val="0"/>
        <w:kinsoku/>
        <w:wordWrap/>
        <w:overflowPunct/>
        <w:topLinePunct w:val="0"/>
        <w:autoSpaceDE w:val="0"/>
        <w:autoSpaceDN/>
        <w:bidi w:val="0"/>
        <w:adjustRightInd/>
        <w:spacing w:line="576" w:lineRule="exact"/>
        <w:ind w:left="0" w:leftChars="0" w:right="0" w:rightChars="0" w:firstLine="0" w:firstLineChars="0"/>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left="0" w:leftChars="0" w:right="0" w:rightChars="0" w:firstLine="0" w:firstLineChars="0"/>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ind w:left="0" w:leftChars="0" w:right="0" w:rightChars="0" w:firstLine="0" w:firstLineChars="0"/>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关于2023年度项目大数据中心运行维护费</w:t>
      </w:r>
    </w:p>
    <w:p>
      <w:pPr>
        <w:keepNext w:val="0"/>
        <w:keepLines w:val="0"/>
        <w:pageBreakBefore w:val="0"/>
        <w:widowControl w:val="0"/>
        <w:kinsoku/>
        <w:wordWrap/>
        <w:overflowPunct/>
        <w:topLinePunct w:val="0"/>
        <w:autoSpaceDE w:val="0"/>
        <w:autoSpaceDN/>
        <w:bidi w:val="0"/>
        <w:adjustRightInd/>
        <w:spacing w:line="576" w:lineRule="exact"/>
        <w:ind w:left="0" w:leftChars="0" w:right="0" w:rightChars="0" w:firstLine="0" w:firstLineChars="0"/>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根据《关于开展2024年部门整体、政策、项目和资本资产绩效自评工作的通知》（广朝财发〔2024〕21号）的文件要求，结合单位实际，现将2023年项目大数据中心运行维护费项目支出绩效自评情况作如下报告。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08"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w:t>
      </w:r>
      <w:r>
        <w:rPr>
          <w:rFonts w:hint="eastAsia" w:ascii="楷体_GB2312" w:hAnsi="宋体" w:eastAsia="楷体_GB2312" w:cs="Times New Roman"/>
          <w:b w:val="0"/>
          <w:bCs/>
          <w:w w:val="99"/>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年初向区财政申报项目大数据中心运行维护费15万元，区财政批准15万元，纳入本单位年初预算。年内调减9.7万元，调整预算程序合理合规符合预算调整相关规定。调整预算数5.3万元。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开通光纤2条，更换4个信息采集点位，确定25个信息采集点位，做到实时管理，查询、汇总、统计、分析，实现远程办公、远程交流指导工作。</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开通光纤2条，更换4个信息采集点位，确定25个信息采集点位。实现监控、查询、远程办公。</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项目大数据中心运行维护费项目申报内容与具体实施内容相符、申报目标合理可行。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autoSpaceDN/>
        <w:bidi w:val="0"/>
        <w:spacing w:after="0" w:afterLines="0" w:afterAutospacing="0"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08" w:firstLineChars="20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年内计划申报项目大数据中心运行维护费5.3万元，2023年累计调拨项目大数据中心运行维护费5.3万元，资金到位率100%。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2023年支付项目大数据中心运行维护费5.3万元，资金支付符合项目大数据中心运行维护费项目的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w:t>
      </w:r>
      <w:r>
        <w:rPr>
          <w:rFonts w:hint="eastAsia" w:ascii="仿宋_GB2312" w:hAnsi="宋体" w:eastAsia="仿宋_GB2312" w:cs="Times New Roman"/>
          <w:w w:val="99"/>
          <w:kern w:val="2"/>
          <w:sz w:val="32"/>
          <w:szCs w:val="32"/>
          <w:lang w:val="en-US" w:eastAsia="zh-CN" w:bidi="ar-SA"/>
        </w:rPr>
        <w:t>开通光纤2条，更换4个信息采集点位，确定25个信息采集点位，做到实时管理，查询、汇总、统计、分析，实现远程办公、远程交流指导工作。</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2.质量指标:项目绩效目标完成率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4.成本指标：工作经费5.3万元。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624" w:firstLineChars="20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1.社会效益:通过项目实施，确保项目工作全面完成，进一步完善地方基础设施。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3.可持续影响:通过项目实施，促进了地方经济快速增长。</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4368" w:firstLineChars="14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992" w:firstLineChars="1600"/>
        <w:jc w:val="both"/>
        <w:textAlignment w:val="auto"/>
        <w:rPr>
          <w:rFonts w:hint="eastAsia" w:asciiTheme="minorHAnsi" w:hAnsiTheme="minorHAnsi" w:eastAsiaTheme="minorEastAsia" w:cstheme="minorBidi"/>
          <w:kern w:val="2"/>
          <w:sz w:val="21"/>
          <w:szCs w:val="22"/>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关于2023年度项目前期工作经费项目支出绩效自评报告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根据《关于开展2024年部门整体、政策、项目和资本资产绩效自评工作的通知》（广朝财发〔2024〕21号）的文件要求，结合单位实际，现将2023年项目前期工作经费项目支出绩效自评情况作如下报告。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黑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tabs>
          <w:tab w:val="left" w:pos="5541"/>
        </w:tabs>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（一）项目资金申报及批复情况</w:t>
      </w:r>
    </w:p>
    <w:p>
      <w:pPr>
        <w:keepNext w:val="0"/>
        <w:keepLines w:val="0"/>
        <w:pageBreakBefore w:val="0"/>
        <w:widowControl w:val="0"/>
        <w:tabs>
          <w:tab w:val="left" w:pos="5541"/>
        </w:tabs>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年初向区财政申报项目前期工作经费48万元，区财政批准48万元，纳入本单位年初预算。</w:t>
      </w:r>
    </w:p>
    <w:p>
      <w:pPr>
        <w:keepNext w:val="0"/>
        <w:keepLines w:val="0"/>
        <w:pageBreakBefore w:val="0"/>
        <w:widowControl w:val="0"/>
        <w:tabs>
          <w:tab w:val="left" w:pos="5541"/>
        </w:tabs>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全年力争向中央、省级争取预算内项目5个，资金规模4000万元以上。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争取中央省级项目5个，争取项目资金4000万元。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项目前期工作经费项目申报内容与具体实施内容相符、申报目标合理可行。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autoSpaceDN/>
        <w:bidi w:val="0"/>
        <w:spacing w:after="0" w:afterLines="0" w:afterAutospacing="0"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年内计划申报项目前期工作经费48万元，2023年累计调拨项目前期工作经费48万元，资金到位率100%。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2023年支付项目前期工作经费48万元，资金支付符合项目前期工作经费项目的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w:t>
      </w:r>
      <w:r>
        <w:rPr>
          <w:rFonts w:hint="eastAsia" w:ascii="仿宋_GB2312" w:hAnsi="宋体" w:eastAsia="仿宋_GB2312" w:cs="Times New Roman"/>
          <w:w w:val="99"/>
          <w:kern w:val="2"/>
          <w:sz w:val="32"/>
          <w:szCs w:val="32"/>
          <w:lang w:val="en-US" w:eastAsia="zh-CN" w:bidi="ar-SA"/>
        </w:rPr>
        <w:t>一是争取中央、省级项目5个；二是争取项目资金4000万元以上。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2.质量指标:项目绩效目标完成率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4.成本指标：工作经费48万元。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1.社会效益:通过项目实施，促进了地方固定资产项目投资，促进地方GDP快速增长。</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3.可持续影响:通过项目实施，促进地方基础设施建设和地方经济发展具有十分重要的意义。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bidi w:val="0"/>
        <w:spacing w:line="576" w:lineRule="exact"/>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rPr>
          <w:rFonts w:hint="eastAsia" w:ascii="黑体" w:hAnsi="黑体" w:eastAsia="黑体" w:cs="黑体"/>
          <w:lang w:val="en-US" w:eastAsia="zh-CN"/>
        </w:rPr>
      </w:pP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关于2023年度粮食执法经费项目支出绩效</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根据《关于开展2024年部门整体、政策、项目和资本资产绩效自评工作的通知》（广朝财发〔2024〕21号）的文件要求，结合单位实际，现将2023年粮食执法经费项目支出绩效自评情况作如下报告。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黑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黑体" w:hAnsi="黑体" w:eastAsia="黑体" w:cs="Times New Roman"/>
          <w:w w:val="99"/>
          <w:kern w:val="2"/>
          <w:sz w:val="32"/>
          <w:szCs w:val="32"/>
          <w:lang w:val="en-US" w:eastAsia="zh-CN" w:bidi="ar-SA"/>
        </w:rPr>
        <w:t>（</w:t>
      </w: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年初向区财政申报粮食执法经费5万元，区财政批准5万元，纳入本单位年初预算。</w:t>
      </w:r>
    </w:p>
    <w:p>
      <w:pPr>
        <w:keepNext w:val="0"/>
        <w:keepLines w:val="0"/>
        <w:pageBreakBefore w:val="0"/>
        <w:widowControl w:val="0"/>
        <w:tabs>
          <w:tab w:val="left" w:pos="5541"/>
        </w:tabs>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完成粮食执法检查12次，发放粮食宣传资料2000份，购买执法检查仪器2台。</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发放宣传资料</w:t>
      </w:r>
      <w:r>
        <w:rPr>
          <w:rFonts w:hint="eastAsia" w:ascii="宋体" w:hAnsi="宋体" w:eastAsia="宋体" w:cs="宋体"/>
          <w:w w:val="99"/>
          <w:kern w:val="2"/>
          <w:sz w:val="32"/>
          <w:szCs w:val="32"/>
          <w:lang w:val="en-US" w:eastAsia="zh-CN" w:bidi="ar-SA"/>
        </w:rPr>
        <w:t>≧2000</w:t>
      </w:r>
      <w:r>
        <w:rPr>
          <w:rFonts w:hint="eastAsia" w:ascii="仿宋_GB2312" w:hAnsi="宋体" w:eastAsia="仿宋_GB2312" w:cs="Times New Roman"/>
          <w:w w:val="99"/>
          <w:kern w:val="2"/>
          <w:sz w:val="32"/>
          <w:szCs w:val="32"/>
          <w:lang w:val="en-US" w:eastAsia="zh-CN" w:bidi="ar-SA"/>
        </w:rPr>
        <w:t>份、粮食执法检查</w:t>
      </w:r>
      <w:r>
        <w:rPr>
          <w:rFonts w:hint="eastAsia" w:ascii="宋体" w:hAnsi="宋体" w:eastAsia="宋体" w:cs="宋体"/>
          <w:w w:val="99"/>
          <w:kern w:val="2"/>
          <w:sz w:val="32"/>
          <w:szCs w:val="32"/>
          <w:lang w:val="en-US" w:eastAsia="zh-CN" w:bidi="ar-SA"/>
        </w:rPr>
        <w:t>≧12次</w:t>
      </w:r>
      <w:r>
        <w:rPr>
          <w:rFonts w:hint="eastAsia" w:ascii="仿宋_GB2312" w:hAnsi="宋体" w:eastAsia="仿宋_GB2312" w:cs="Times New Roman"/>
          <w:w w:val="99"/>
          <w:kern w:val="2"/>
          <w:sz w:val="32"/>
          <w:szCs w:val="32"/>
          <w:lang w:val="en-US" w:eastAsia="zh-CN" w:bidi="ar-SA"/>
        </w:rPr>
        <w:t>、购买执法检查仪器</w:t>
      </w:r>
      <w:r>
        <w:rPr>
          <w:rFonts w:hint="eastAsia" w:ascii="宋体" w:hAnsi="宋体" w:eastAsia="宋体" w:cs="宋体"/>
          <w:w w:val="99"/>
          <w:kern w:val="2"/>
          <w:sz w:val="32"/>
          <w:szCs w:val="32"/>
          <w:lang w:val="en-US" w:eastAsia="zh-CN" w:bidi="ar-SA"/>
        </w:rPr>
        <w:t>≧2台</w:t>
      </w:r>
      <w:r>
        <w:rPr>
          <w:rFonts w:hint="eastAsia" w:ascii="仿宋_GB2312" w:hAnsi="宋体" w:eastAsia="仿宋_GB2312" w:cs="Times New Roman"/>
          <w:w w:val="99"/>
          <w:kern w:val="2"/>
          <w:sz w:val="32"/>
          <w:szCs w:val="32"/>
          <w:lang w:val="en-US" w:eastAsia="zh-CN" w:bidi="ar-SA"/>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粮食执法经费项目申报内容与具体实施内容相符、申报目标合理可行。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autoSpaceDN/>
        <w:bidi w:val="0"/>
        <w:spacing w:after="0" w:afterLines="0" w:afterAutospacing="0"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年内计划申报粮食执法经费5万元，2023年累计调拨粮食执法经费5万元，资金到位率100%。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2023年支付粮食执法经费5万元，资金支付符合粮食执法经费项目的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1.数量指标:发放宣传资料</w:t>
      </w:r>
      <w:r>
        <w:rPr>
          <w:rFonts w:hint="eastAsia" w:ascii="宋体" w:hAnsi="宋体" w:eastAsia="宋体" w:cs="宋体"/>
          <w:w w:val="99"/>
          <w:kern w:val="2"/>
          <w:sz w:val="32"/>
          <w:szCs w:val="32"/>
          <w:lang w:val="en-US" w:eastAsia="zh-CN" w:bidi="ar-SA"/>
        </w:rPr>
        <w:t>≧2000</w:t>
      </w:r>
      <w:r>
        <w:rPr>
          <w:rFonts w:hint="eastAsia" w:ascii="仿宋_GB2312" w:hAnsi="宋体" w:eastAsia="仿宋_GB2312" w:cs="Times New Roman"/>
          <w:w w:val="99"/>
          <w:kern w:val="2"/>
          <w:sz w:val="32"/>
          <w:szCs w:val="32"/>
          <w:lang w:val="en-US" w:eastAsia="zh-CN" w:bidi="ar-SA"/>
        </w:rPr>
        <w:t>份、购买执法仪器</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2台、粮食执法检查</w:t>
      </w:r>
      <w:r>
        <w:rPr>
          <w:rFonts w:hint="eastAsia" w:ascii="宋体" w:hAnsi="宋体" w:eastAsia="宋体" w:cs="宋体"/>
          <w:w w:val="99"/>
          <w:kern w:val="2"/>
          <w:sz w:val="32"/>
          <w:szCs w:val="32"/>
          <w:lang w:val="en-US" w:eastAsia="zh-CN" w:bidi="ar-SA"/>
        </w:rPr>
        <w:t>≧12</w:t>
      </w:r>
      <w:r>
        <w:rPr>
          <w:rFonts w:hint="eastAsia" w:ascii="仿宋_GB2312" w:hAnsi="宋体" w:eastAsia="仿宋_GB2312" w:cs="Times New Roman"/>
          <w:w w:val="99"/>
          <w:kern w:val="2"/>
          <w:sz w:val="32"/>
          <w:szCs w:val="32"/>
          <w:lang w:val="en-US" w:eastAsia="zh-CN" w:bidi="ar-SA"/>
        </w:rPr>
        <w:t>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2.质量指标:项目绩效目标完成率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4.成本指标：工作经费5万元。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1.社会效益:通过项目实施，维护了地方粮食经营秩序稳定，确保了地方储备粮质量安全。</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3.可持续影响:通过项目实施，确保地方粮食产业发展和储备粮安全具有十分重要的意义。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bidi w:val="0"/>
        <w:spacing w:line="576" w:lineRule="exact"/>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rPr>
          <w:rFonts w:hint="eastAsia" w:ascii="黑体" w:hAnsi="黑体" w:eastAsia="黑体" w:cs="黑体"/>
          <w:lang w:val="en-US" w:eastAsia="zh-CN"/>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关于2023年度粮食质量检测经费项目支出绩效自评报告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根据《关于开展2024年部门整体、政策、项目和资本资产绩效自评工作的通知》（广朝财发〔2024〕21号）的文件要求，结合单位实际，现将2023年粮食质量检测经费项目支出绩效自评情况作如下报告。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黑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年初向区财政申报粮食质量检测经费7万元，区财政批准7万元，纳入本单位年初预算。</w:t>
      </w:r>
    </w:p>
    <w:p>
      <w:pPr>
        <w:keepNext w:val="0"/>
        <w:keepLines w:val="0"/>
        <w:pageBreakBefore w:val="0"/>
        <w:widowControl w:val="0"/>
        <w:tabs>
          <w:tab w:val="left" w:pos="5541"/>
        </w:tabs>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完成夏粮扦样100份、秋粮扦样200份、地方储备粮检测9批次。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夏粮扦样</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100份、秋粮扦样</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200份、地方储备粮检测</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9批次。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粮食质量检测经费项目申报内容与具体实施内容相符、申报目标合理可行。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autoSpaceDN/>
        <w:bidi w:val="0"/>
        <w:spacing w:after="0" w:afterLines="0" w:afterAutospacing="0"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年内计划申报粮食质量检测经费5万元，2023年累计调拨粮食质量检测经费7万元，资金到位率100%。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2023年支付粮食质量检测经费7万元，资金支付符合粮食质量检测经费项目的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w:t>
      </w:r>
      <w:r>
        <w:rPr>
          <w:rFonts w:hint="eastAsia" w:ascii="仿宋_GB2312" w:hAnsi="宋体" w:eastAsia="仿宋_GB2312" w:cs="Times New Roman"/>
          <w:w w:val="99"/>
          <w:kern w:val="2"/>
          <w:sz w:val="32"/>
          <w:szCs w:val="32"/>
          <w:lang w:val="en-US" w:eastAsia="zh-CN" w:bidi="ar-SA"/>
        </w:rPr>
        <w:t>完成夏粮扦样</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100份、秋粮扦样</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200份、地方储备粮检测</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9批次。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2.质量指标:项目绩效目标完成率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4.成本指标：工作经费7万元。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1.社会效益:通过项目实施，确保了地方粮食产业高质量发展，确保了地方储备粮的质量安全。</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3.可持续影响:通过项目实施，确保地方粮食产业发展和储备粮安全具有十分重要的意义。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spacing w:line="576" w:lineRule="exact"/>
        <w:ind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bidi w:val="0"/>
        <w:spacing w:line="576" w:lineRule="exact"/>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rPr>
          <w:rFonts w:hint="eastAsia" w:ascii="黑体" w:hAnsi="黑体" w:eastAsia="黑体" w:cs="黑体"/>
          <w:lang w:val="en-US" w:eastAsia="zh-CN"/>
        </w:rPr>
      </w:pP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eastAsia" w:ascii="楷体_GB2312" w:hAnsi="楷体_GB2312" w:eastAsia="楷体_GB2312" w:cs="楷体_GB2312"/>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eastAsia" w:ascii="楷体_GB2312" w:hAnsi="楷体_GB2312" w:eastAsia="楷体_GB2312" w:cs="楷体_GB2312"/>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关于2023年度朝天区大中坝农贸市场</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公厕改造项目支出绩效自评报告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center"/>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根据《关于开展2024年部门整体、政策、项目和资本资产绩效自评工作的通知》（广朝财发〔2024〕21号）的文件要求，结合单位实际，现将2023年朝天区大中坝农贸市场公厕改项目支出绩效自评情况作如下报告。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黑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黑体" w:eastAsia="黑体"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年初向区财政申报朝天区大中坝农贸市场公厕改造项目14.72万元，区财政批准14.72万元，纳入本单位年初预算。</w:t>
      </w:r>
    </w:p>
    <w:p>
      <w:pPr>
        <w:keepNext w:val="0"/>
        <w:keepLines w:val="0"/>
        <w:pageBreakBefore w:val="0"/>
        <w:widowControl w:val="0"/>
        <w:tabs>
          <w:tab w:val="left" w:pos="5541"/>
        </w:tabs>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对大中坝农贸市场公厕进行彻底改造。</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更换公厕灯具、门窗、蹲位、地板砖、墙面等设施。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朝天区大中坝农贸市场公厕改造项目申报内容与具体实施内容相符、申报目标合理可行。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autoSpaceDN/>
        <w:bidi w:val="0"/>
        <w:spacing w:after="0" w:afterLines="0" w:afterAutospacing="0"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年内计划申报朝天区大中坝农贸市场公厕改造项目资金14.72万元，2023年累计调拨朝天区大中坝农贸市场公厕改造项目资金14.72万元，资金到位率100%。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2023年支付朝天区大中坝农贸市场公厕改造项目资金14.72万元，资金支付符合朝天区大中坝农贸市场公厕改造项目的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1.数量指标:改造墙地面积</w:t>
      </w:r>
      <w:r>
        <w:rPr>
          <w:rFonts w:hint="eastAsia" w:ascii="微软雅黑" w:hAnsi="微软雅黑" w:eastAsia="微软雅黑" w:cs="微软雅黑"/>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130平方米、更换门窗</w:t>
      </w:r>
      <w:r>
        <w:rPr>
          <w:rFonts w:hint="eastAsia" w:ascii="微软雅黑" w:hAnsi="微软雅黑" w:eastAsia="微软雅黑" w:cs="微软雅黑"/>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12幢、更换蹲位</w:t>
      </w:r>
      <w:r>
        <w:rPr>
          <w:rFonts w:hint="eastAsia" w:ascii="微软雅黑" w:hAnsi="微软雅黑" w:eastAsia="微软雅黑" w:cs="微软雅黑"/>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10个、改造公厕管理房1间</w:t>
      </w:r>
      <w:r>
        <w:rPr>
          <w:rFonts w:hint="eastAsia" w:ascii="仿宋_GB2312" w:hAnsi="宋体" w:eastAsia="仿宋_GB2312" w:cs="Times New Roman"/>
          <w:w w:val="99"/>
          <w:kern w:val="2"/>
          <w:sz w:val="32"/>
          <w:szCs w:val="32"/>
          <w:lang w:val="en-US" w:eastAsia="zh-CN" w:bidi="ar-SA"/>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2.质量指标:公厕改造标准为2类。</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4.成本指标：公厕改造资金14.72万元。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1.社会效益:通过项目实施，提升了农贸市场的公共卫生环境，方便了群众。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3.可持续影响:通过项目实施，方便了地方人民群众，增强了群众的获得感。</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bidi w:val="0"/>
        <w:spacing w:line="576" w:lineRule="exact"/>
        <w:rPr>
          <w:rFonts w:hint="eastAsia" w:ascii="黑体" w:hAnsi="黑体" w:eastAsia="黑体" w:cs="黑体"/>
          <w:lang w:val="en-US" w:eastAsia="zh-CN"/>
        </w:rPr>
      </w:pP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eastAsia" w:ascii="楷体_GB2312" w:hAnsi="楷体_GB2312" w:eastAsia="楷体_GB2312" w:cs="楷体_GB2312"/>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关于2023年度项目工作经费项目支出</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根据《关于开展2024年部门整体、政策、项目和资本资产绩效自评工作的通知》（广朝财发〔2024〕21号）的文件要求，结合单位实际，现将2023年项目工作经费项目支出绩效自评情况作如下报告。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黑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年初向区财政申报项目工作经费20万元，区财政批准20万元，纳入本单位年初预算。</w:t>
      </w:r>
    </w:p>
    <w:p>
      <w:pPr>
        <w:keepNext w:val="0"/>
        <w:keepLines w:val="0"/>
        <w:pageBreakBefore w:val="0"/>
        <w:widowControl w:val="0"/>
        <w:tabs>
          <w:tab w:val="left" w:pos="5541"/>
        </w:tabs>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储备项目450个，总投资1600亿元；完成项目审批320个；争取央省预算内资金4000万元；发行地方政府专项债3亿元。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储备项目</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450个、项目投资</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1600亿元、审批项目</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320个、争取上级预算内资金</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4000万元、发行地方专项债</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3亿元。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项目工作经费项目申报内容与具体实施内容相符、申报目标合理可行。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autoSpaceDN/>
        <w:bidi w:val="0"/>
        <w:spacing w:after="0" w:afterLines="0" w:afterAutospacing="0"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年内计划申报项目工作经费20万元，2023年累计调拨项目工作经费20万元，资金到位率100%。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2023年支付项目工作经费20万元，资金支付符合项目工作经费的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w:t>
      </w:r>
      <w:r>
        <w:rPr>
          <w:rFonts w:hint="eastAsia" w:ascii="仿宋_GB2312" w:hAnsi="宋体" w:eastAsia="仿宋_GB2312" w:cs="Times New Roman"/>
          <w:w w:val="99"/>
          <w:kern w:val="2"/>
          <w:sz w:val="32"/>
          <w:szCs w:val="32"/>
          <w:lang w:val="en-US" w:eastAsia="zh-CN" w:bidi="ar-SA"/>
        </w:rPr>
        <w:t>储备项目</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450个、项目投资</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1600亿元、审批项目</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320个、争取上级预算内资金</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4000万元、发行地方专项债</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3亿元。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2.质量指标:绩效目标任务完成率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4.成本指标：项目工作经费20万元。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1.社会效益:通过项目争取，加大了地方项目投资，促进了地方经济社会发展。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3.可持续影响:通过项目实施，完善了地方基础设施建设，提升了地方城区功能。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autoSpaceDE w:val="0"/>
        <w:autoSpaceDN/>
        <w:bidi w:val="0"/>
        <w:adjustRightInd/>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关于2023年度固定资产投资入库和政府</w:t>
      </w:r>
    </w:p>
    <w:p>
      <w:pPr>
        <w:keepNext w:val="0"/>
        <w:keepLines w:val="0"/>
        <w:pageBreakBefore w:val="0"/>
        <w:widowControl w:val="0"/>
        <w:kinsoku/>
        <w:wordWrap/>
        <w:overflowPunct/>
        <w:topLinePunct w:val="0"/>
        <w:autoSpaceDE w:val="0"/>
        <w:autoSpaceDN/>
        <w:bidi w:val="0"/>
        <w:adjustRightInd/>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投资项目前期工作经费项目支出绩效</w:t>
      </w:r>
    </w:p>
    <w:p>
      <w:pPr>
        <w:keepNext w:val="0"/>
        <w:keepLines w:val="0"/>
        <w:pageBreakBefore w:val="0"/>
        <w:widowControl w:val="0"/>
        <w:kinsoku/>
        <w:wordWrap/>
        <w:overflowPunct/>
        <w:topLinePunct w:val="0"/>
        <w:autoSpaceDE w:val="0"/>
        <w:autoSpaceDN/>
        <w:bidi w:val="0"/>
        <w:adjustRightInd/>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根据《关于开展2024年部门整体、政策、项目和资本资产绩效自评工作的通知》（广朝财发〔2024〕21号）的文件要求，结合单位实际，现将2023年固定资产投资入库和政府</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仿宋_GB2312" w:hAnsi="宋体" w:eastAsia="仿宋_GB2312" w:cs="Times New Roman"/>
          <w:w w:val="99"/>
          <w:kern w:val="2"/>
          <w:sz w:val="32"/>
          <w:szCs w:val="32"/>
          <w:lang w:val="en-US" w:eastAsia="zh-CN" w:bidi="ar-SA"/>
        </w:rPr>
        <w:t>投资项目支出绩效自评情况作如下报告。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08" w:firstLineChars="200"/>
        <w:jc w:val="both"/>
        <w:textAlignment w:val="baseline"/>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年初向区财政申报固定资产投资入库和政府投资项目前期工作等补助经费96.36万元，区财政批准96.36万元，纳入本单位年初预算。</w:t>
      </w:r>
    </w:p>
    <w:p>
      <w:pPr>
        <w:keepNext w:val="0"/>
        <w:keepLines w:val="0"/>
        <w:pageBreakBefore w:val="0"/>
        <w:widowControl w:val="0"/>
        <w:tabs>
          <w:tab w:val="left" w:pos="5541"/>
        </w:tabs>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按照中共广元市朝天区委办公室，广朝委办[2022]29号关于《广元市朝天区政府投资项目工作经费补助暂行办法》《广元市朝天区重点项目前期工作经费管理暂行办法》《广元市朝天区固定资产投资考评实行办法》的通知的文件精神，兑现各乡镇、区级各部门2022年固定资产投资入库和政府投资项目前期工作等补助经费。</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我区2023年完成中央预算内项目的单位11个；我区2023年完成项目集中开工单位6个；完成27个部门单位补助兑现，完成补助经费兑现率≧100%。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固定资产投资入库和政府投资项目前期工作等补助经费项目申报内容与具体实施内容相符、申报目标合理可行。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bidi w:val="0"/>
        <w:spacing w:after="0" w:afterLines="0" w:afterAutospacing="0"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固定资产投资入库和政府投资项目前期工作等补助经费96.36万元，2023年累计调拨固定资产投资入库和政府投资项目前期工作等补助经费96.36万元，资金到位率100%。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2023年支付固定资产投资入库和政府投资项目前期工作等补助经费96.36万元，资金支付符合固定资产投资入库和政府投资项目前期工作等补助经费的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1.数量指标:完成中央预算内项目单位数</w:t>
      </w:r>
      <w:r>
        <w:rPr>
          <w:rFonts w:hint="eastAsia" w:ascii="仿宋_GB2312" w:hAnsi="宋体" w:eastAsia="仿宋_GB2312" w:cs="Times New Roman"/>
          <w:b/>
          <w:bCs/>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11个、完成项目集中开工单位数=6个、兑现补助单位数=27个。</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2.质量指标:绩效目标任务完成率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w:t>
      </w:r>
      <w:r>
        <w:rPr>
          <w:rFonts w:hint="eastAsia" w:ascii="仿宋_GB2312" w:hAnsi="宋体" w:eastAsia="仿宋_GB2312" w:cs="Times New Roman"/>
          <w:w w:val="99"/>
          <w:kern w:val="2"/>
          <w:sz w:val="32"/>
          <w:szCs w:val="32"/>
          <w:lang w:val="en-US" w:eastAsia="zh-CN" w:bidi="ar-SA"/>
        </w:rPr>
        <w:t>固定资产投资入库和政府投资项目前期工作经费96.36</w:t>
      </w:r>
      <w:r>
        <w:rPr>
          <w:rFonts w:hint="eastAsia" w:ascii="仿宋_GB2312" w:hAnsi="宋体" w:eastAsia="仿宋_GB2312" w:cs="Times New Roman"/>
          <w:b w:val="0"/>
          <w:bCs w:val="0"/>
          <w:w w:val="99"/>
          <w:kern w:val="2"/>
          <w:sz w:val="32"/>
          <w:szCs w:val="32"/>
          <w:lang w:val="en-US" w:eastAsia="zh-CN" w:bidi="ar-SA"/>
        </w:rPr>
        <w:t>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1.社会效益:通过实施，促进了地方项目争取和投资入库工作，推动了地方经济社会发展。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3.可持续影响:通过项目实施，对地方经济社会发展具有十分重要的意义。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eastAsia" w:ascii="楷体_GB2312" w:hAnsi="楷体_GB2312" w:eastAsia="楷体_GB2312" w:cs="楷体_GB2312"/>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关于2023年度朝天区“十四五”规划实施中期评估工作经费项目支出绩效自评报告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黑体" w:eastAsia="黑体"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朝天区“十四五”规划实施中期评估工作经费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08" w:firstLineChars="200"/>
        <w:jc w:val="both"/>
        <w:textAlignment w:val="baseline"/>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年初向区财政申报朝天区“十四五”规划实施中期评估工作经费20万元，区财政批准20万元，纳入本单位年初预算。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通过评估形成高质量《朝天区国民经济和社会发展第十四个五年规划纲要中期评估报告》，实现以中期评估推动党的二十大精神朝天实践落地、推动省第十二次党代会和省委十二届二次全会精神在朝天开花结果、推动“十四五”规划《纲要》目标任务圆满实现，为全面建设社会主义现代化做出新的贡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中期评估市区涉及朝天事项3个；通过评估形成高质量《朝天区国民经济和社会发展第十四个五年规划纲要中期评估报告》1个。</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朝天区“十四五”规划实施中期评估工作经费项目申报内容与具体实施内容相符、申报目标合理可行。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bidi w:val="0"/>
        <w:spacing w:after="0" w:afterLines="0" w:afterAutospacing="0"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朝天区“十四五”规划实施中期评估工作经费20万元，2023年累计调拨朝天区“十四五”规划实施中期评估工作经费20万元，资金到位率100%。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2023年支付朝天区“十四五”规划实施中期评估工作经费20万元，资金支付符合朝天区“十四五”规划实施中期评估工作经费的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1.数量指标:完成市区“十四五”中期评估涉及朝天事项3个；形成</w:t>
      </w:r>
      <w:r>
        <w:rPr>
          <w:rFonts w:hint="eastAsia" w:ascii="仿宋_GB2312" w:hAnsi="宋体" w:eastAsia="仿宋_GB2312" w:cs="Times New Roman"/>
          <w:w w:val="99"/>
          <w:kern w:val="2"/>
          <w:sz w:val="32"/>
          <w:szCs w:val="32"/>
          <w:lang w:val="en-US" w:eastAsia="zh-CN" w:bidi="ar-SA"/>
        </w:rPr>
        <w:t>《朝天区国民经济和社会发展第十四个五年规划纲要中期评估报告》</w:t>
      </w:r>
      <w:r>
        <w:rPr>
          <w:rFonts w:hint="eastAsia" w:ascii="仿宋_GB2312" w:hAnsi="宋体" w:eastAsia="仿宋_GB2312" w:cs="Times New Roman"/>
          <w:b w:val="0"/>
          <w:bCs w:val="0"/>
          <w:w w:val="99"/>
          <w:kern w:val="2"/>
          <w:sz w:val="32"/>
          <w:szCs w:val="32"/>
          <w:lang w:val="en-US" w:eastAsia="zh-CN" w:bidi="ar-SA"/>
        </w:rPr>
        <w:t>1个。</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2.质量指标:绩效目标任务完成率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3.时效指标:2023年4月-2023年11月。</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w:t>
      </w:r>
      <w:r>
        <w:rPr>
          <w:rFonts w:hint="eastAsia" w:ascii="仿宋_GB2312" w:hAnsi="宋体" w:eastAsia="仿宋_GB2312" w:cs="Times New Roman"/>
          <w:w w:val="99"/>
          <w:kern w:val="2"/>
          <w:sz w:val="32"/>
          <w:szCs w:val="32"/>
          <w:lang w:val="en-US" w:eastAsia="zh-CN" w:bidi="ar-SA"/>
        </w:rPr>
        <w:t>工作经费20</w:t>
      </w:r>
      <w:r>
        <w:rPr>
          <w:rFonts w:hint="eastAsia" w:ascii="仿宋_GB2312" w:hAnsi="宋体" w:eastAsia="仿宋_GB2312" w:cs="Times New Roman"/>
          <w:b w:val="0"/>
          <w:bCs w:val="0"/>
          <w:w w:val="99"/>
          <w:kern w:val="2"/>
          <w:sz w:val="32"/>
          <w:szCs w:val="32"/>
          <w:lang w:val="en-US" w:eastAsia="zh-CN" w:bidi="ar-SA"/>
        </w:rPr>
        <w:t>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1.社会效益:通过对我区“十四五”中期评估，更进一步推动“十四五”各项目标任务的完成，推动了地方经济社会健康稳定发展。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3.可持续影响:通过项目实施，对推动我区“十四五”目标任务完成具有十分重要的意义。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1308" w:firstLineChars="300"/>
        <w:jc w:val="both"/>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关于2023年度广元市2022年四季度基金</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项目落实情况激励项目支出绩效自评报告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广元市2022年四季度基金项目落实情况激励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08" w:firstLineChars="200"/>
        <w:jc w:val="both"/>
        <w:textAlignment w:val="baseline"/>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年初向区财政申报广元市2022年四季度基金项目落实情况激励项目69.85万元，区财政批准69.85万元，纳入本单位年初预算。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全年向上争取基金项目2个以上，资金规模5000万元以上，兑现2022年四季度落实基金项目单位激励资金69.85万元。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争取基金项目2个以上、争取基金项目资金5000万元以上、兑现激励资金69.85万元。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广元市2022年四季度基金项目落实情况激励项目申报内容与具体实施内容相符、申报目标合理可行。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bidi w:val="0"/>
        <w:spacing w:after="0" w:afterLines="0" w:afterAutospacing="0"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年内计划申报广元市2022年四季度基金项目落实情况激励项目资金69.85万元，2023年累计调拨广元市2022年四季度基金项目落实情况激励项目资金69.85万元，资金到位率100%。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2023年支付广元市2022年四季度基金项目落实情况激励项目资金69.85万元，资金支付符合广元市2022年四季度基金项目落实情况激励项目的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1.数量指标:争取基金项目</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2个、争取基金项目资金</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5000万元、兑现激励资金=69.85万元。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2.质量指标:绩效目标任务完成率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4.成本指标：激励资金69.85万元。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1.社会效益:通过项目实施及资金激励，有效的促进了全区项目投资工作目标任务的完成，加快了地方经济社会健康稳定发展。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3.可持续影响:通过项目实施，加快我区经济社会健康稳定发展，具有十分重要的意义。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autoSpaceDE w:val="0"/>
        <w:autoSpaceDN/>
        <w:bidi w:val="0"/>
        <w:adjustRightInd/>
        <w:spacing w:line="576" w:lineRule="exact"/>
        <w:ind w:firstLine="1308" w:firstLineChars="300"/>
        <w:jc w:val="both"/>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1308" w:firstLineChars="300"/>
        <w:jc w:val="both"/>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关于2023年度川陕甘渝50000吨粮食</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仓储物流项目支出绩效自评报告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根据《关于开展2024年部门整体、政策、项目和资本资产绩效自评工作的通知》（广朝财发〔2024〕21号）的文件要求，结合单位实际，现将2023年川陕甘渝5万吨粮食仓储物流项目支出绩效自评情况作如下报告。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黑体" w:eastAsia="黑体" w:cs="黑体"/>
          <w:b w:val="0"/>
          <w:bCs/>
          <w:w w:val="99"/>
          <w:kern w:val="2"/>
          <w:sz w:val="32"/>
          <w:szCs w:val="32"/>
          <w:lang w:val="en-US" w:eastAsia="zh-CN" w:bidi="ar-SA"/>
        </w:rPr>
      </w:pPr>
      <w:r>
        <w:rPr>
          <w:rFonts w:hint="eastAsia" w:ascii="黑体" w:hAnsi="黑体" w:eastAsia="黑体" w:cs="黑体"/>
          <w:b w:val="0"/>
          <w:bCs/>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年初向区财政申报川陕甘渝5万吨粮食仓储物流项目资金18.5万元，区财政批准18.5万元，纳入本单位年初预算。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完成新建5万吨仓容粮库，以及钢罩棚等配套设施建设，完成工程尾款支付。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完成新建粮库1座，仓容量5万吨。支付建库工程尾款18.5万元。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川陕甘渝5万吨粮食仓储物流项目申报内容与具体实施内容相符、申报目标合理可行。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autoSpaceDN/>
        <w:bidi w:val="0"/>
        <w:spacing w:after="0" w:afterLines="0" w:afterAutospacing="0"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年内计划申报川陕甘渝5万吨粮食仓储物流项目资金18.5万元，2023年累计调拨川陕甘渝5万吨粮食仓储物流项目资金18.5万元，资金到位率100%。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2023年支付川陕甘渝5万吨粮食仓储物流项目资金18.5万元，资金支付符合川陕甘渝5万吨粮食仓储物流项目的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1.数量指标:仓容量</w:t>
      </w:r>
      <w:r>
        <w:rPr>
          <w:rFonts w:hint="eastAsia" w:ascii="宋体" w:hAnsi="宋体" w:eastAsia="宋体" w:cs="宋体"/>
          <w:b w:val="0"/>
          <w:bCs w:val="0"/>
          <w:w w:val="99"/>
          <w:kern w:val="2"/>
          <w:sz w:val="32"/>
          <w:szCs w:val="32"/>
          <w:lang w:val="en-US" w:eastAsia="zh-CN" w:bidi="ar-SA"/>
        </w:rPr>
        <w:t>≧5万吨</w:t>
      </w:r>
      <w:r>
        <w:rPr>
          <w:rFonts w:hint="eastAsia" w:ascii="仿宋_GB2312" w:hAnsi="宋体" w:eastAsia="仿宋_GB2312" w:cs="Times New Roman"/>
          <w:b w:val="0"/>
          <w:bCs w:val="0"/>
          <w:w w:val="99"/>
          <w:kern w:val="2"/>
          <w:sz w:val="32"/>
          <w:szCs w:val="32"/>
          <w:lang w:val="en-US" w:eastAsia="zh-CN" w:bidi="ar-SA"/>
        </w:rPr>
        <w:t>、支付工程尾款=18.5万元。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2.质量指标:绩效目标任务完成率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4.成本指标：工程尾款18.5万元。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1.社会效益:通过项目实施，确保地方粮食经营、流通、储备安全，确保地方社会秩序稳定。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3.可持续影响:通过项目实施，确保地方粮食生产经营、储备安全保障，具有十分重要的意义。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1308" w:firstLineChars="300"/>
        <w:jc w:val="both"/>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关于2023年度促投资稳增长前期工作</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激励资金项目支出绩效自评报告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根据《关于开展2024年部门整体、政策、项目和资本资产绩效自评工作的通知》（广朝财发〔2024〕21号）的文件要求，结合单位实际，现将2023年促投资稳增长前期工作激励资金项目支出绩效自评情况作如下报告。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年初向区财政申报促投资稳增长前期工作激励资金20万元,区财政批准20万元，纳入本单位年初预算。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羊木拟新建300万吨原油国家储备地埋式封库一座,项目前期激励资金20万元。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羊木拟新建300万吨原油国家储备地埋式封库一座完成新建粮库1座。</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促投资稳增长前期工作激励资金项目申报内容与具体实施内容相符、申报目标合理可行。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autoSpaceDN/>
        <w:bidi w:val="0"/>
        <w:spacing w:after="0" w:afterLines="0" w:afterAutospacing="0"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年内计划申报促投资稳增长前期工作激励资金20万元，2023年累计调拨促投资稳增长前期工作激励资金20万元，资金到位率100%。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2023年支付促投资稳增长前期工作激励资金20万元，资金支付符合促投资稳增长前期工作激励资金项目的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1.数量指标:原油库容量</w:t>
      </w:r>
      <w:r>
        <w:rPr>
          <w:rFonts w:hint="eastAsia" w:ascii="宋体" w:hAnsi="宋体" w:eastAsia="宋体" w:cs="宋体"/>
          <w:b w:val="0"/>
          <w:bCs w:val="0"/>
          <w:w w:val="99"/>
          <w:kern w:val="2"/>
          <w:sz w:val="32"/>
          <w:szCs w:val="32"/>
          <w:lang w:val="en-US" w:eastAsia="zh-CN" w:bidi="ar-SA"/>
        </w:rPr>
        <w:t>≧300万吨</w:t>
      </w:r>
      <w:r>
        <w:rPr>
          <w:rFonts w:hint="eastAsia" w:ascii="仿宋_GB2312" w:hAnsi="宋体" w:eastAsia="仿宋_GB2312" w:cs="Times New Roman"/>
          <w:b w:val="0"/>
          <w:bCs w:val="0"/>
          <w:w w:val="99"/>
          <w:kern w:val="2"/>
          <w:sz w:val="32"/>
          <w:szCs w:val="32"/>
          <w:lang w:val="en-US" w:eastAsia="zh-CN" w:bidi="ar-SA"/>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2.质量指标:绩效目标任务完成率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4.成本指标：项目前期激励资金20万元。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1.社会效益:通过项目实施，来年可望在羊木新建大型地埋式原油库一座。</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3.可持续影响:通过项目实施，对扩大地方固定资产投资，促进地方经济发展，增加税收等方面具有十分重要的意义。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spacing w:line="576" w:lineRule="exact"/>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left="0" w:leftChars="0"/>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ind w:left="0" w:leftChars="0"/>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关于2023年度羊木石油储备基地项目前期工作经费项目支出绩效自评报告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羊木石油储备基地项目前期工作经费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val="0"/>
        <w:bidi w:val="0"/>
        <w:adjustRightInd w:val="0"/>
        <w:snapToGrid w:val="0"/>
        <w:spacing w:line="576" w:lineRule="exact"/>
        <w:ind w:left="0" w:leftChars="0" w:firstLine="608" w:firstLineChars="200"/>
        <w:jc w:val="both"/>
        <w:textAlignment w:val="baseline"/>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年初向区财政申报羊木石油基地项目前期工作经费10万元，区财政批准10万元，纳入本单位年初预算。</w:t>
      </w:r>
    </w:p>
    <w:p>
      <w:pPr>
        <w:keepNext w:val="0"/>
        <w:keepLines w:val="0"/>
        <w:pageBreakBefore w:val="0"/>
        <w:widowControl w:val="0"/>
        <w:tabs>
          <w:tab w:val="left" w:pos="5541"/>
        </w:tabs>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完成项目前期预可研评审和项目申报争取工作。</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组织专家评审</w:t>
      </w:r>
      <w:r>
        <w:rPr>
          <w:rFonts w:hint="eastAsia" w:ascii="宋体" w:hAnsi="宋体" w:eastAsia="宋体" w:cs="宋体"/>
          <w:w w:val="99"/>
          <w:kern w:val="2"/>
          <w:sz w:val="32"/>
          <w:szCs w:val="32"/>
          <w:lang w:val="en-US" w:eastAsia="zh-CN" w:bidi="ar-SA"/>
        </w:rPr>
        <w:t>≧1次</w:t>
      </w:r>
      <w:r>
        <w:rPr>
          <w:rFonts w:hint="eastAsia" w:ascii="仿宋_GB2312" w:hAnsi="宋体" w:eastAsia="仿宋_GB2312" w:cs="Times New Roman"/>
          <w:w w:val="99"/>
          <w:kern w:val="2"/>
          <w:sz w:val="32"/>
          <w:szCs w:val="32"/>
          <w:lang w:val="en-US" w:eastAsia="zh-CN" w:bidi="ar-SA"/>
        </w:rPr>
        <w:t>、进京赴省汇报对接工作</w:t>
      </w:r>
      <w:r>
        <w:rPr>
          <w:rFonts w:hint="eastAsia" w:ascii="宋体" w:hAnsi="宋体" w:eastAsia="宋体" w:cs="宋体"/>
          <w:w w:val="99"/>
          <w:kern w:val="2"/>
          <w:sz w:val="32"/>
          <w:szCs w:val="32"/>
          <w:lang w:val="en-US" w:eastAsia="zh-CN" w:bidi="ar-SA"/>
        </w:rPr>
        <w:t>≧6次</w:t>
      </w:r>
      <w:r>
        <w:rPr>
          <w:rFonts w:hint="eastAsia" w:ascii="仿宋_GB2312" w:hAnsi="宋体" w:eastAsia="仿宋_GB2312" w:cs="Times New Roman"/>
          <w:w w:val="99"/>
          <w:kern w:val="2"/>
          <w:sz w:val="32"/>
          <w:szCs w:val="32"/>
          <w:lang w:val="en-US" w:eastAsia="zh-CN" w:bidi="ar-SA"/>
        </w:rPr>
        <w:t>、项目争取落实落地大概率</w:t>
      </w:r>
      <w:r>
        <w:rPr>
          <w:rFonts w:hint="eastAsia" w:ascii="宋体" w:hAnsi="宋体" w:eastAsia="宋体" w:cs="宋体"/>
          <w:w w:val="99"/>
          <w:kern w:val="2"/>
          <w:sz w:val="32"/>
          <w:szCs w:val="32"/>
          <w:lang w:val="en-US" w:eastAsia="zh-CN" w:bidi="ar-SA"/>
        </w:rPr>
        <w:t>≧90%</w:t>
      </w:r>
      <w:r>
        <w:rPr>
          <w:rFonts w:hint="eastAsia" w:ascii="仿宋_GB2312" w:hAnsi="宋体" w:eastAsia="仿宋_GB2312" w:cs="Times New Roman"/>
          <w:w w:val="99"/>
          <w:kern w:val="2"/>
          <w:sz w:val="32"/>
          <w:szCs w:val="32"/>
          <w:lang w:val="en-US" w:eastAsia="zh-CN" w:bidi="ar-SA"/>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羊木石油基地项目前期工作经费项目申报内容与具体实施内容相符、申报目标合理可行。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bidi w:val="0"/>
        <w:spacing w:after="0" w:afterLines="0" w:afterAutospacing="0" w:line="576" w:lineRule="exact"/>
        <w:ind w:left="0" w:leftChars="0"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left="0" w:leftChars="0"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left="0" w:leftChars="0"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年内计划申报羊木石油基地项目前期工作经费10万元，2023年累计调拨羊木石油基地项目前期工作经费10万元，资金到位率100%。</w:t>
      </w:r>
    </w:p>
    <w:p>
      <w:pPr>
        <w:keepNext w:val="0"/>
        <w:keepLines w:val="0"/>
        <w:pageBreakBefore w:val="0"/>
        <w:widowControl w:val="0"/>
        <w:kinsoku/>
        <w:wordWrap/>
        <w:overflowPunct/>
        <w:topLinePunct w:val="0"/>
        <w:autoSpaceDE w:val="0"/>
        <w:autoSpaceDN/>
        <w:bidi w:val="0"/>
        <w:adjustRightInd/>
        <w:spacing w:line="576" w:lineRule="exact"/>
        <w:ind w:left="0" w:leftChars="0"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2023年支付羊木石油基地项目前期工作经费10万元，资金支付符合羊木石油基地项目前期工作经费项目的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left="0" w:leftChars="0"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left="0" w:leftChars="0"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left="0" w:leftChars="0"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w:t>
      </w:r>
      <w:r>
        <w:rPr>
          <w:rFonts w:hint="eastAsia" w:ascii="仿宋_GB2312" w:hAnsi="宋体" w:eastAsia="仿宋_GB2312" w:cs="Times New Roman"/>
          <w:w w:val="99"/>
          <w:kern w:val="2"/>
          <w:sz w:val="32"/>
          <w:szCs w:val="32"/>
          <w:lang w:val="en-US" w:eastAsia="zh-CN" w:bidi="ar-SA"/>
        </w:rPr>
        <w:t>组织专家评审</w:t>
      </w:r>
      <w:r>
        <w:rPr>
          <w:rFonts w:hint="eastAsia" w:ascii="宋体" w:hAnsi="宋体" w:eastAsia="宋体" w:cs="宋体"/>
          <w:w w:val="99"/>
          <w:kern w:val="2"/>
          <w:sz w:val="32"/>
          <w:szCs w:val="32"/>
          <w:lang w:val="en-US" w:eastAsia="zh-CN" w:bidi="ar-SA"/>
        </w:rPr>
        <w:t>≧1次</w:t>
      </w:r>
      <w:r>
        <w:rPr>
          <w:rFonts w:hint="eastAsia" w:ascii="仿宋_GB2312" w:hAnsi="宋体" w:eastAsia="仿宋_GB2312" w:cs="Times New Roman"/>
          <w:w w:val="99"/>
          <w:kern w:val="2"/>
          <w:sz w:val="32"/>
          <w:szCs w:val="32"/>
          <w:lang w:val="en-US" w:eastAsia="zh-CN" w:bidi="ar-SA"/>
        </w:rPr>
        <w:t>、进京赴省汇报对接工作</w:t>
      </w:r>
      <w:r>
        <w:rPr>
          <w:rFonts w:hint="eastAsia" w:ascii="宋体" w:hAnsi="宋体" w:eastAsia="宋体" w:cs="宋体"/>
          <w:w w:val="99"/>
          <w:kern w:val="2"/>
          <w:sz w:val="32"/>
          <w:szCs w:val="32"/>
          <w:lang w:val="en-US" w:eastAsia="zh-CN" w:bidi="ar-SA"/>
        </w:rPr>
        <w:t>≧6次</w:t>
      </w:r>
      <w:r>
        <w:rPr>
          <w:rFonts w:hint="eastAsia" w:ascii="仿宋_GB2312" w:hAnsi="宋体" w:eastAsia="仿宋_GB2312" w:cs="Times New Roman"/>
          <w:w w:val="99"/>
          <w:kern w:val="2"/>
          <w:sz w:val="32"/>
          <w:szCs w:val="32"/>
          <w:lang w:val="en-US" w:eastAsia="zh-CN" w:bidi="ar-SA"/>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2.质量指标:项目绩效目标完成率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4.成本指标：工作经费10万元。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left="0" w:leftChars="0"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1.社会效益:通过项目实施，扩大地方项目投资，促进地方经济发展。</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3.可持续影响:通过项目实施，促进地方经济发展，具有十分重要的意义。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624" w:firstLineChars="2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left="0" w:leftChars="0"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left="0" w:leftChars="0"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left="0" w:leftChars="0"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left="0" w:leftChars="0"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1308" w:firstLineChars="300"/>
        <w:jc w:val="both"/>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关于2023年度项目储备工作经费项目支出绩效自评报告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根据《关于开展2024年部门整体、政策、项目和资本资产绩效自评工作的通知》（广朝财发〔2024〕21号）的文件要求，结合单位实际，现将2023年项目储备工作经费项目支出绩效自评情况作如下报告。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黑体" w:eastAsia="黑体" w:cs="黑体"/>
          <w:b w:val="0"/>
          <w:bCs/>
          <w:w w:val="99"/>
          <w:kern w:val="2"/>
          <w:sz w:val="32"/>
          <w:szCs w:val="32"/>
          <w:lang w:val="en-US" w:eastAsia="zh-CN" w:bidi="ar-SA"/>
        </w:rPr>
      </w:pPr>
      <w:r>
        <w:rPr>
          <w:rFonts w:hint="eastAsia" w:ascii="黑体" w:hAnsi="黑体" w:eastAsia="黑体" w:cs="黑体"/>
          <w:b w:val="0"/>
          <w:bCs/>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年初向区财政申报项目储备工作经费10万元，区财政批准10万元，纳入本单位年初预算。</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储备项目298个，项目总投资1368亿元，发行地方专项债12个、4.88亿元，争取中央省预算内资金项目8个、1.02亿元。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储备项目298个，项目总投资1368亿元，发行地方专项债12个、4.88亿元，争取中央省预算内资金项目8个、1.02亿元。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项目储备工作经费申报内容与具体实施内容相符、申报目标合理可行。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autoSpaceDN/>
        <w:bidi w:val="0"/>
        <w:spacing w:after="120" w:afterLines="0" w:afterAutospacing="0"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年内计划申报项目储备工作经费10万元，2023年累计调拨项目储备工作经费10万元，资金到位率100%。</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2023年支付项目储备工作经费10万元，资金支付符合项目储备工作经费项目的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w:t>
      </w:r>
      <w:r>
        <w:rPr>
          <w:rFonts w:hint="eastAsia" w:ascii="仿宋_GB2312" w:hAnsi="宋体" w:eastAsia="仿宋_GB2312" w:cs="Times New Roman"/>
          <w:w w:val="99"/>
          <w:kern w:val="2"/>
          <w:sz w:val="32"/>
          <w:szCs w:val="32"/>
          <w:lang w:val="en-US" w:eastAsia="zh-CN" w:bidi="ar-SA"/>
        </w:rPr>
        <w:t>储备项目</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298个、项目总投资</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1368亿元；发行地方专项债</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12个、发行金额</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4.88亿元；争取中央省预算内项目</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8个争取项目资金</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1.02亿元。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2.质量指标:绩效目标任务完成率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4.成本指标：工作经费10万元。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1.社会效益:通过项目实施，确保项目储备工作任务圆满完成，确保固定资产投资规模更上新的台阶。</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3.可持续影响:通过项目实施，促进项目投资工作，促进经济增长，具有十分重要的意义。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firstLine="4368" w:firstLineChars="14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5304" w:firstLineChars="17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keepNext w:val="0"/>
        <w:keepLines w:val="0"/>
        <w:pageBreakBefore w:val="0"/>
        <w:widowControl w:val="0"/>
        <w:kinsoku/>
        <w:wordWrap/>
        <w:overflowPunct/>
        <w:topLinePunct w:val="0"/>
        <w:autoSpaceDE w:val="0"/>
        <w:autoSpaceDN/>
        <w:bidi w:val="0"/>
        <w:adjustRightInd/>
        <w:spacing w:line="576" w:lineRule="exact"/>
        <w:ind w:left="0" w:leftChars="0" w:firstLine="1308" w:firstLineChars="300"/>
        <w:jc w:val="both"/>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ind w:left="0" w:leftChars="0"/>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关于2023年度粮食应急体系建设经费</w:t>
      </w:r>
    </w:p>
    <w:p>
      <w:pPr>
        <w:keepNext w:val="0"/>
        <w:keepLines w:val="0"/>
        <w:pageBreakBefore w:val="0"/>
        <w:widowControl w:val="0"/>
        <w:kinsoku/>
        <w:wordWrap/>
        <w:overflowPunct/>
        <w:topLinePunct w:val="0"/>
        <w:autoSpaceDE w:val="0"/>
        <w:autoSpaceDN/>
        <w:bidi w:val="0"/>
        <w:adjustRightInd/>
        <w:spacing w:line="576" w:lineRule="exact"/>
        <w:ind w:left="0" w:leftChars="0"/>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根据《关于开展2024年部门整体、政策、项目和资本资产绩效自评工作的通知》（广朝财发〔2024〕21号）的文件要求，结合单位实际，现将2023年粮食应急体系建设经费项目支出绩效自评情况作如下报告。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黑体" w:hAnsi="黑体" w:eastAsia="黑体" w:cs="黑体"/>
          <w:b w:val="0"/>
          <w:bCs/>
          <w:w w:val="99"/>
          <w:kern w:val="2"/>
          <w:sz w:val="32"/>
          <w:szCs w:val="32"/>
          <w:lang w:val="en-US" w:eastAsia="zh-CN" w:bidi="ar-SA"/>
        </w:rPr>
      </w:pPr>
      <w:r>
        <w:rPr>
          <w:rFonts w:hint="eastAsia" w:ascii="黑体" w:hAnsi="黑体" w:eastAsia="黑体" w:cs="黑体"/>
          <w:b w:val="0"/>
          <w:bCs/>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年初向区财政申报粮食应急体系建设经费1万元，区财政批准1万元，纳入本单位年初预算。</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完善粮食应急体系，强化应急演练，保障粮食应急供应。</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default"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制作应急网点标识牌15个；开展集中演练1次；突击检查工作2次。</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粮食应急体系建设经费申报内容与具体实施内容相符、申报目标合理可行。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autoSpaceDN/>
        <w:bidi w:val="0"/>
        <w:spacing w:after="0" w:afterLines="0" w:afterAutospacing="0" w:line="576" w:lineRule="exact"/>
        <w:ind w:left="0" w:leftChars="0"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left="0" w:leftChars="0"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left="0" w:leftChars="0" w:firstLine="624"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年内计划申报粮食应急体系建设经费10万元，2023年累计调拨粮食应急体系建设10万元，资金到位率100%。</w:t>
      </w:r>
    </w:p>
    <w:p>
      <w:pPr>
        <w:keepNext w:val="0"/>
        <w:keepLines w:val="0"/>
        <w:pageBreakBefore w:val="0"/>
        <w:widowControl w:val="0"/>
        <w:kinsoku/>
        <w:wordWrap/>
        <w:overflowPunct/>
        <w:topLinePunct w:val="0"/>
        <w:autoSpaceDE w:val="0"/>
        <w:autoSpaceDN/>
        <w:bidi w:val="0"/>
        <w:adjustRightInd/>
        <w:spacing w:line="576" w:lineRule="exact"/>
        <w:ind w:left="0" w:leftChars="0"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2023年支付10万元，资金支付粮食应急体系建设符合粮食应急体系建设项目的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left="0" w:leftChars="0"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left="0" w:leftChars="0"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left="0" w:leftChars="0"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w:t>
      </w:r>
      <w:r>
        <w:rPr>
          <w:rFonts w:hint="eastAsia" w:ascii="仿宋_GB2312" w:hAnsi="宋体" w:eastAsia="仿宋_GB2312" w:cs="Times New Roman"/>
          <w:w w:val="99"/>
          <w:kern w:val="2"/>
          <w:sz w:val="32"/>
          <w:szCs w:val="32"/>
          <w:lang w:val="en-US" w:eastAsia="zh-CN" w:bidi="ar-SA"/>
        </w:rPr>
        <w:t>制作标识牌</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15个；集中演练</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1次；突击检查工作</w:t>
      </w:r>
      <w:r>
        <w:rPr>
          <w:rFonts w:hint="eastAsia" w:ascii="宋体" w:hAnsi="宋体" w:eastAsia="宋体" w:cs="宋体"/>
          <w:w w:val="99"/>
          <w:kern w:val="2"/>
          <w:sz w:val="32"/>
          <w:szCs w:val="32"/>
          <w:lang w:val="en-US" w:eastAsia="zh-CN" w:bidi="ar-SA"/>
        </w:rPr>
        <w:t>≧</w:t>
      </w:r>
      <w:r>
        <w:rPr>
          <w:rFonts w:hint="eastAsia" w:ascii="仿宋_GB2312" w:hAnsi="宋体" w:eastAsia="仿宋_GB2312" w:cs="Times New Roman"/>
          <w:w w:val="99"/>
          <w:kern w:val="2"/>
          <w:sz w:val="32"/>
          <w:szCs w:val="32"/>
          <w:lang w:val="en-US" w:eastAsia="zh-CN" w:bidi="ar-SA"/>
        </w:rPr>
        <w:t>2次。</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2.质量指标:绩效目标任务完成率</w:t>
      </w:r>
      <w:r>
        <w:rPr>
          <w:rFonts w:hint="eastAsia" w:ascii="宋体" w:hAnsi="宋体" w:eastAsia="宋体" w:cs="宋体"/>
          <w:b w:val="0"/>
          <w:bCs w:val="0"/>
          <w:w w:val="99"/>
          <w:kern w:val="2"/>
          <w:sz w:val="32"/>
          <w:szCs w:val="32"/>
          <w:lang w:val="en-US" w:eastAsia="zh-CN" w:bidi="ar-SA"/>
        </w:rPr>
        <w:t>≧</w:t>
      </w:r>
      <w:r>
        <w:rPr>
          <w:rFonts w:hint="eastAsia" w:ascii="仿宋_GB2312" w:hAnsi="宋体" w:eastAsia="仿宋_GB2312" w:cs="Times New Roman"/>
          <w:b w:val="0"/>
          <w:bCs w:val="0"/>
          <w:w w:val="99"/>
          <w:kern w:val="2"/>
          <w:sz w:val="32"/>
          <w:szCs w:val="32"/>
          <w:lang w:val="en-US" w:eastAsia="zh-CN" w:bidi="ar-SA"/>
        </w:rPr>
        <w:t>100%。</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4.成本指标：工作经费1万元。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left="0" w:leftChars="0"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1.社会效益:通过项目实施，确保储备粮安全。</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3.可持续影响:通过项目实施，确保储备粮安全，具有十分重要的意义。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624" w:firstLineChars="2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left="0" w:leftChars="0"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left="0" w:leftChars="0"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left="0" w:leftChars="0"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keepNext w:val="0"/>
        <w:keepLines w:val="0"/>
        <w:pageBreakBefore w:val="0"/>
        <w:widowControl w:val="0"/>
        <w:kinsoku/>
        <w:wordWrap/>
        <w:overflowPunct/>
        <w:topLinePunct w:val="0"/>
        <w:autoSpaceDE w:val="0"/>
        <w:autoSpaceDN/>
        <w:bidi w:val="0"/>
        <w:adjustRightInd/>
        <w:spacing w:line="576" w:lineRule="exact"/>
        <w:ind w:left="0" w:leftChars="0"/>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pacing w:line="576" w:lineRule="exact"/>
        <w:ind w:left="0" w:leftChars="0"/>
        <w:jc w:val="center"/>
        <w:textAlignment w:val="auto"/>
        <w:rPr>
          <w:rFonts w:hint="eastAsia" w:ascii="方正大标宋简体" w:hAnsi="方正大标宋简体" w:eastAsia="方正大标宋简体" w:cs="方正大标宋简体"/>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关于2023年度政策性粮食挂账贷款偿还</w:t>
      </w:r>
    </w:p>
    <w:p>
      <w:pPr>
        <w:keepNext w:val="0"/>
        <w:keepLines w:val="0"/>
        <w:pageBreakBefore w:val="0"/>
        <w:widowControl w:val="0"/>
        <w:kinsoku/>
        <w:wordWrap/>
        <w:overflowPunct/>
        <w:topLinePunct w:val="0"/>
        <w:autoSpaceDE w:val="0"/>
        <w:autoSpaceDN/>
        <w:bidi w:val="0"/>
        <w:adjustRightInd/>
        <w:spacing w:line="576" w:lineRule="exact"/>
        <w:ind w:left="0" w:leftChars="0"/>
        <w:jc w:val="center"/>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方正大标宋简体" w:hAnsi="方正大标宋简体" w:eastAsia="方正大标宋简体" w:cs="方正大标宋简体"/>
          <w:b w:val="0"/>
          <w:bCs w:val="0"/>
          <w:color w:val="000000"/>
          <w:kern w:val="0"/>
          <w:sz w:val="44"/>
          <w:szCs w:val="44"/>
          <w:lang w:val="en-US" w:eastAsia="zh-CN" w:bidi="ar-SA"/>
        </w:rPr>
        <w:t>本金项目支出绩效自评报告</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区财政局：</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24" w:firstLineChars="200"/>
        <w:jc w:val="both"/>
        <w:textAlignment w:val="auto"/>
        <w:rPr>
          <w:rFonts w:hint="eastAsia" w:ascii="Arial Unicode MS" w:hAnsi="Arial Unicode MS" w:eastAsia="Arial Unicode MS" w:cs="Arial Unicode MS"/>
          <w:b w:val="0"/>
          <w:bCs w:val="0"/>
          <w:color w:val="000000"/>
          <w:kern w:val="0"/>
          <w:sz w:val="44"/>
          <w:szCs w:val="44"/>
          <w:lang w:val="en-US" w:eastAsia="zh-CN" w:bidi="ar-SA"/>
        </w:rPr>
      </w:pPr>
      <w:r>
        <w:rPr>
          <w:rFonts w:hint="eastAsia" w:ascii="仿宋_GB2312" w:hAnsi="宋体" w:eastAsia="仿宋_GB2312" w:cs="Times New Roman"/>
          <w:w w:val="99"/>
          <w:kern w:val="2"/>
          <w:sz w:val="32"/>
          <w:szCs w:val="32"/>
          <w:lang w:val="en-US" w:eastAsia="zh-CN" w:bidi="ar-SA"/>
        </w:rPr>
        <w:t>根据《关于开展2024年部门整体、政策、项目和资本资产绩效自评工作的通知》（广朝财发〔2024〕21号）的文件要求，结合单位实际，现将2023年政策性粮食挂账贷款偿还本金项目支出绩效自评情况作如下报告。</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黑体" w:hAnsi="黑体" w:eastAsia="黑体" w:cs="Times New Roman"/>
          <w:w w:val="99"/>
          <w:kern w:val="2"/>
          <w:sz w:val="32"/>
          <w:szCs w:val="32"/>
          <w:lang w:val="en-US" w:eastAsia="zh-CN" w:bidi="ar-SA"/>
        </w:rPr>
        <w:t>一、项目概况</w:t>
      </w:r>
    </w:p>
    <w:p>
      <w:pPr>
        <w:keepNext w:val="0"/>
        <w:keepLines w:val="0"/>
        <w:pageBreakBefore w:val="0"/>
        <w:widowControl w:val="0"/>
        <w:kinsoku/>
        <w:wordWrap/>
        <w:overflowPunct/>
        <w:topLinePunct w:val="0"/>
        <w:autoSpaceDE w:val="0"/>
        <w:autoSpaceDN w:val="0"/>
        <w:bidi w:val="0"/>
        <w:adjustRightInd w:val="0"/>
        <w:snapToGrid w:val="0"/>
        <w:spacing w:line="576" w:lineRule="exact"/>
        <w:ind w:left="0" w:leftChars="0" w:firstLine="608" w:firstLineChars="200"/>
        <w:jc w:val="both"/>
        <w:textAlignment w:val="baseline"/>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（一）项目资金申报及批复情况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w w:val="99"/>
          <w:kern w:val="2"/>
          <w:sz w:val="32"/>
          <w:szCs w:val="32"/>
          <w:lang w:val="en-US" w:eastAsia="zh-CN" w:bidi="ar-SA"/>
        </w:rPr>
        <w:t>年初向区财政申报政策性粮食挂账贷款偿还本金330万元，区财政批准330万元，纳入本单位年初预算。</w:t>
      </w:r>
    </w:p>
    <w:p>
      <w:pPr>
        <w:keepNext w:val="0"/>
        <w:keepLines w:val="0"/>
        <w:pageBreakBefore w:val="0"/>
        <w:widowControl w:val="0"/>
        <w:tabs>
          <w:tab w:val="left" w:pos="5541"/>
        </w:tabs>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（二）项目绩效目标</w:t>
      </w:r>
      <w:r>
        <w:rPr>
          <w:rFonts w:hint="eastAsia" w:ascii="楷体_GB2312" w:hAnsi="宋体" w:eastAsia="楷体_GB2312" w:cs="Times New Roman"/>
          <w:b w:val="0"/>
          <w:bCs/>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1．项目主要内容。</w:t>
      </w:r>
      <w:r>
        <w:rPr>
          <w:rFonts w:hint="eastAsia" w:ascii="仿宋_GB2312" w:hAnsi="宋体" w:eastAsia="仿宋_GB2312" w:cs="Times New Roman"/>
          <w:w w:val="99"/>
          <w:kern w:val="2"/>
          <w:sz w:val="32"/>
          <w:szCs w:val="32"/>
          <w:lang w:val="en-US" w:eastAsia="zh-CN" w:bidi="ar-SA"/>
        </w:rPr>
        <w:t>按照化解政府债务相关政策要求，年内偿还政策性粮食贷款本金330万元。</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2.项目绩效目标。</w:t>
      </w:r>
      <w:r>
        <w:rPr>
          <w:rFonts w:hint="eastAsia" w:ascii="仿宋_GB2312" w:hAnsi="宋体" w:eastAsia="仿宋_GB2312" w:cs="Times New Roman"/>
          <w:w w:val="99"/>
          <w:kern w:val="2"/>
          <w:sz w:val="32"/>
          <w:szCs w:val="32"/>
          <w:lang w:val="en-US" w:eastAsia="zh-CN" w:bidi="ar-SA"/>
        </w:rPr>
        <w:t>偿还贷款本金≧330万元。</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3.项目申报情况。</w:t>
      </w:r>
      <w:r>
        <w:rPr>
          <w:rFonts w:hint="eastAsia" w:ascii="仿宋_GB2312" w:hAnsi="宋体" w:eastAsia="仿宋_GB2312" w:cs="Times New Roman"/>
          <w:w w:val="99"/>
          <w:kern w:val="2"/>
          <w:sz w:val="32"/>
          <w:szCs w:val="32"/>
          <w:lang w:val="en-US" w:eastAsia="zh-CN" w:bidi="ar-SA"/>
        </w:rPr>
        <w:t>政策性粮食挂账贷款偿还本金项目申报内容与具体实施内容相符、申报目标合理可行。</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624" w:firstLineChars="20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（三）项目自评步骤及方法。</w:t>
      </w:r>
    </w:p>
    <w:p>
      <w:pPr>
        <w:keepNext w:val="0"/>
        <w:keepLines w:val="0"/>
        <w:pageBreakBefore w:val="0"/>
        <w:widowControl w:val="0"/>
        <w:kinsoku/>
        <w:wordWrap/>
        <w:overflowPunct/>
        <w:topLinePunct w:val="0"/>
        <w:bidi w:val="0"/>
        <w:spacing w:after="0" w:afterLines="0" w:afterAutospacing="0" w:line="576" w:lineRule="exact"/>
        <w:ind w:left="0" w:leftChars="0"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1</w:t>
      </w:r>
      <w:r>
        <w:rPr>
          <w:rFonts w:hint="eastAsia" w:ascii="仿宋_GB2312" w:hAnsi="宋体" w:eastAsia="仿宋_GB2312" w:cs="Times New Roman"/>
          <w:b/>
          <w:bCs/>
          <w:w w:val="99"/>
          <w:kern w:val="2"/>
          <w:sz w:val="32"/>
          <w:szCs w:val="32"/>
          <w:lang w:val="en-US" w:eastAsia="zh-CN" w:bidi="ar-SA"/>
        </w:rPr>
        <w:t>.项目自评的步骤。</w:t>
      </w:r>
      <w:r>
        <w:rPr>
          <w:rFonts w:hint="eastAsia" w:ascii="仿宋_GB2312" w:hAnsi="宋体" w:eastAsia="仿宋_GB2312" w:cs="Times New Roman"/>
          <w:w w:val="99"/>
          <w:kern w:val="2"/>
          <w:sz w:val="32"/>
          <w:szCs w:val="32"/>
          <w:lang w:val="en-US" w:eastAsia="zh-CN" w:bidi="ar-SA"/>
        </w:rPr>
        <w:t>一是确定自评的目标；二是确定自评标准；三是确定评估工具；四是确定项目自评的符合性。</w:t>
      </w:r>
    </w:p>
    <w:p>
      <w:pPr>
        <w:keepNext w:val="0"/>
        <w:keepLines w:val="0"/>
        <w:pageBreakBefore w:val="0"/>
        <w:widowControl w:val="0"/>
        <w:kinsoku/>
        <w:wordWrap/>
        <w:overflowPunct/>
        <w:topLinePunct w:val="0"/>
        <w:autoSpaceDE/>
        <w:autoSpaceDN/>
        <w:bidi w:val="0"/>
        <w:adjustRightInd/>
        <w:spacing w:line="576" w:lineRule="exact"/>
        <w:ind w:left="0" w:leftChars="0"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2.项目自评的方法。</w:t>
      </w:r>
      <w:r>
        <w:rPr>
          <w:rFonts w:hint="eastAsia" w:ascii="仿宋_GB2312" w:hAnsi="宋体" w:eastAsia="仿宋_GB2312" w:cs="Times New Roman"/>
          <w:w w:val="99"/>
          <w:kern w:val="2"/>
          <w:sz w:val="32"/>
          <w:szCs w:val="32"/>
          <w:lang w:val="en-US" w:eastAsia="zh-CN" w:bidi="ar-SA"/>
        </w:rPr>
        <w:t>一是采取现场调查法；二是采取分组讨论法；三是采取行业专家论证法。</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二、项目资金申报及使用情况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（一）资金计划、到位及使用情况</w:t>
      </w:r>
    </w:p>
    <w:p>
      <w:pPr>
        <w:keepNext w:val="0"/>
        <w:keepLines w:val="0"/>
        <w:pageBreakBefore w:val="0"/>
        <w:widowControl w:val="0"/>
        <w:kinsoku/>
        <w:wordWrap/>
        <w:overflowPunct/>
        <w:topLinePunct w:val="0"/>
        <w:autoSpaceDE/>
        <w:autoSpaceDN/>
        <w:bidi w:val="0"/>
        <w:adjustRightInd/>
        <w:spacing w:line="576" w:lineRule="exact"/>
        <w:ind w:left="0" w:leftChars="0" w:firstLine="624" w:firstLineChars="200"/>
        <w:jc w:val="both"/>
        <w:rPr>
          <w:rFonts w:hint="eastAsia" w:ascii="仿宋_GB2312" w:hAnsi="宋体" w:eastAsia="仿宋_GB2312" w:cs="Times New Roman"/>
          <w:w w:val="99"/>
          <w:kern w:val="2"/>
          <w:sz w:val="32"/>
          <w:szCs w:val="32"/>
          <w:lang w:val="en-US" w:eastAsia="zh-CN" w:bidi="ar-SA"/>
        </w:rPr>
      </w:pPr>
      <w:r>
        <w:rPr>
          <w:rFonts w:hint="eastAsia" w:ascii="楷体_GB2312" w:hAnsi="宋体" w:eastAsia="楷体_GB2312" w:cs="Times New Roman"/>
          <w:b/>
          <w:bCs w:val="0"/>
          <w:w w:val="99"/>
          <w:kern w:val="2"/>
          <w:sz w:val="32"/>
          <w:szCs w:val="32"/>
          <w:lang w:val="en-US" w:eastAsia="zh-CN" w:bidi="ar-SA"/>
        </w:rPr>
        <w:t>1.资金计划及到位。</w:t>
      </w:r>
      <w:r>
        <w:rPr>
          <w:rFonts w:hint="eastAsia" w:ascii="仿宋_GB2312" w:hAnsi="宋体" w:eastAsia="仿宋_GB2312" w:cs="Times New Roman"/>
          <w:w w:val="99"/>
          <w:kern w:val="2"/>
          <w:sz w:val="32"/>
          <w:szCs w:val="32"/>
          <w:lang w:val="en-US" w:eastAsia="zh-CN" w:bidi="ar-SA"/>
        </w:rPr>
        <w:t>年内计划申报政策性粮食挂账贷款偿还本金330万元，2023年累计调拨政策性粮食挂账贷款偿还本金330万元，资金到位率100%。</w:t>
      </w:r>
    </w:p>
    <w:p>
      <w:pPr>
        <w:keepNext w:val="0"/>
        <w:keepLines w:val="0"/>
        <w:pageBreakBefore w:val="0"/>
        <w:widowControl w:val="0"/>
        <w:kinsoku/>
        <w:wordWrap/>
        <w:overflowPunct/>
        <w:topLinePunct w:val="0"/>
        <w:autoSpaceDE w:val="0"/>
        <w:autoSpaceDN/>
        <w:bidi w:val="0"/>
        <w:adjustRightInd/>
        <w:spacing w:line="576" w:lineRule="exact"/>
        <w:ind w:left="0" w:leftChars="0"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2.资金使用。</w:t>
      </w:r>
      <w:r>
        <w:rPr>
          <w:rFonts w:hint="eastAsia" w:ascii="仿宋_GB2312" w:hAnsi="宋体" w:eastAsia="仿宋_GB2312" w:cs="Times New Roman"/>
          <w:w w:val="99"/>
          <w:kern w:val="2"/>
          <w:sz w:val="32"/>
          <w:szCs w:val="32"/>
          <w:lang w:val="en-US" w:eastAsia="zh-CN" w:bidi="ar-SA"/>
        </w:rPr>
        <w:t>2023年支付政策性粮食挂账贷款偿还本金330万元，资金支付符合政策性粮食挂账贷款偿还本金项目的</w:t>
      </w:r>
      <w:r>
        <w:rPr>
          <w:rFonts w:hint="eastAsia" w:ascii="仿宋_GB2312" w:hAnsi="Times New Roman" w:eastAsia="仿宋_GB2312" w:cs="Times New Roman"/>
          <w:spacing w:val="-6"/>
          <w:kern w:val="2"/>
          <w:sz w:val="32"/>
          <w:szCs w:val="32"/>
          <w:lang w:val="en-US" w:eastAsia="zh-CN" w:bidi="ar-SA"/>
        </w:rPr>
        <w:t>支出范围、标准、进度，支付依据合规合法，资金支付与预算相符。</w:t>
      </w:r>
    </w:p>
    <w:p>
      <w:pPr>
        <w:keepNext w:val="0"/>
        <w:keepLines w:val="0"/>
        <w:pageBreakBefore w:val="0"/>
        <w:widowControl w:val="0"/>
        <w:kinsoku/>
        <w:wordWrap/>
        <w:overflowPunct/>
        <w:topLinePunct w:val="0"/>
        <w:autoSpaceDE w:val="0"/>
        <w:autoSpaceDN/>
        <w:bidi w:val="0"/>
        <w:adjustRightInd/>
        <w:spacing w:line="576" w:lineRule="exact"/>
        <w:ind w:left="0" w:leftChars="0" w:firstLine="608" w:firstLineChars="200"/>
        <w:jc w:val="both"/>
        <w:textAlignment w:val="auto"/>
        <w:rPr>
          <w:rFonts w:hint="eastAsia" w:ascii="楷体_GB2312" w:hAnsi="Times New Roman" w:eastAsia="楷体_GB2312" w:cs="Times New Roman"/>
          <w:b w:val="0"/>
          <w:bCs/>
          <w:spacing w:val="-6"/>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（二）项目财务管理情况</w:t>
      </w:r>
    </w:p>
    <w:p>
      <w:pPr>
        <w:keepNext w:val="0"/>
        <w:keepLines w:val="0"/>
        <w:pageBreakBefore w:val="0"/>
        <w:widowControl w:val="0"/>
        <w:kinsoku/>
        <w:wordWrap/>
        <w:overflowPunct/>
        <w:topLinePunct w:val="0"/>
        <w:autoSpaceDE w:val="0"/>
        <w:autoSpaceDN/>
        <w:bidi w:val="0"/>
        <w:adjustRightInd/>
        <w:spacing w:line="576" w:lineRule="exact"/>
        <w:ind w:left="0" w:leftChars="0" w:firstLine="624" w:firstLineChars="200"/>
        <w:jc w:val="both"/>
        <w:textAlignment w:val="auto"/>
        <w:rPr>
          <w:rFonts w:hint="eastAsia" w:ascii="仿宋_GB2312" w:hAnsi="Times New Roman" w:eastAsia="仿宋_GB2312" w:cs="Times New Roman"/>
          <w:spacing w:val="-6"/>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一是</w:t>
      </w:r>
      <w:r>
        <w:rPr>
          <w:rFonts w:hint="eastAsia" w:ascii="仿宋_GB2312" w:hAnsi="宋体" w:eastAsia="仿宋_GB2312" w:cs="Times New Roman"/>
          <w:w w:val="99"/>
          <w:kern w:val="2"/>
          <w:sz w:val="32"/>
          <w:szCs w:val="32"/>
          <w:lang w:val="en-US" w:eastAsia="zh-CN" w:bidi="ar-SA"/>
        </w:rPr>
        <w:t>进一步建立健全财务管理制度；</w:t>
      </w:r>
      <w:r>
        <w:rPr>
          <w:rFonts w:hint="eastAsia" w:ascii="仿宋_GB2312" w:hAnsi="宋体" w:eastAsia="仿宋_GB2312" w:cs="Times New Roman"/>
          <w:b/>
          <w:bCs/>
          <w:w w:val="99"/>
          <w:kern w:val="2"/>
          <w:sz w:val="32"/>
          <w:szCs w:val="32"/>
          <w:lang w:val="en-US" w:eastAsia="zh-CN" w:bidi="ar-SA"/>
        </w:rPr>
        <w:t>二是</w:t>
      </w:r>
      <w:r>
        <w:rPr>
          <w:rFonts w:hint="eastAsia" w:ascii="仿宋_GB2312" w:hAnsi="宋体" w:eastAsia="仿宋_GB2312" w:cs="Times New Roman"/>
          <w:w w:val="99"/>
          <w:kern w:val="2"/>
          <w:sz w:val="32"/>
          <w:szCs w:val="32"/>
          <w:lang w:val="en-US" w:eastAsia="zh-CN" w:bidi="ar-SA"/>
        </w:rPr>
        <w:t>按照财务管理制度，严格项目工作经费的</w:t>
      </w:r>
      <w:r>
        <w:rPr>
          <w:rFonts w:hint="eastAsia" w:ascii="仿宋_GB2312" w:hAnsi="Times New Roman" w:eastAsia="仿宋_GB2312" w:cs="Times New Roman"/>
          <w:spacing w:val="-6"/>
          <w:kern w:val="2"/>
          <w:sz w:val="32"/>
          <w:szCs w:val="32"/>
          <w:lang w:val="en-US" w:eastAsia="zh-CN" w:bidi="ar-SA"/>
        </w:rPr>
        <w:t>支出范围、标准和进度；</w:t>
      </w:r>
      <w:r>
        <w:rPr>
          <w:rFonts w:hint="eastAsia" w:ascii="仿宋_GB2312" w:hAnsi="Times New Roman" w:eastAsia="仿宋_GB2312" w:cs="Times New Roman"/>
          <w:b/>
          <w:bCs/>
          <w:spacing w:val="-6"/>
          <w:kern w:val="2"/>
          <w:sz w:val="32"/>
          <w:szCs w:val="32"/>
          <w:lang w:val="en-US" w:eastAsia="zh-CN" w:bidi="ar-SA"/>
        </w:rPr>
        <w:t>三是</w:t>
      </w:r>
      <w:r>
        <w:rPr>
          <w:rFonts w:hint="eastAsia" w:ascii="仿宋_GB2312" w:hAnsi="Times New Roman" w:eastAsia="仿宋_GB2312" w:cs="Times New Roman"/>
          <w:spacing w:val="-6"/>
          <w:kern w:val="2"/>
          <w:sz w:val="32"/>
          <w:szCs w:val="32"/>
          <w:lang w:val="en-US" w:eastAsia="zh-CN" w:bidi="ar-SA"/>
        </w:rPr>
        <w:t>确保资金支付依据合规合法；</w:t>
      </w:r>
      <w:r>
        <w:rPr>
          <w:rFonts w:hint="eastAsia" w:ascii="仿宋_GB2312" w:hAnsi="Times New Roman" w:eastAsia="仿宋_GB2312" w:cs="Times New Roman"/>
          <w:b/>
          <w:bCs/>
          <w:spacing w:val="-6"/>
          <w:kern w:val="2"/>
          <w:sz w:val="32"/>
          <w:szCs w:val="32"/>
          <w:lang w:val="en-US" w:eastAsia="zh-CN" w:bidi="ar-SA"/>
        </w:rPr>
        <w:t>四是</w:t>
      </w:r>
      <w:r>
        <w:rPr>
          <w:rFonts w:hint="eastAsia" w:ascii="仿宋_GB2312" w:hAnsi="Times New Roman" w:eastAsia="仿宋_GB2312" w:cs="Times New Roman"/>
          <w:spacing w:val="-6"/>
          <w:kern w:val="2"/>
          <w:sz w:val="32"/>
          <w:szCs w:val="32"/>
          <w:lang w:val="en-US" w:eastAsia="zh-CN" w:bidi="ar-SA"/>
        </w:rPr>
        <w:t>资金支付与预算相符；</w:t>
      </w:r>
      <w:r>
        <w:rPr>
          <w:rFonts w:hint="eastAsia" w:ascii="仿宋_GB2312" w:hAnsi="Times New Roman" w:eastAsia="仿宋_GB2312" w:cs="Times New Roman"/>
          <w:b/>
          <w:bCs/>
          <w:spacing w:val="-6"/>
          <w:kern w:val="2"/>
          <w:sz w:val="32"/>
          <w:szCs w:val="32"/>
          <w:lang w:val="en-US" w:eastAsia="zh-CN" w:bidi="ar-SA"/>
        </w:rPr>
        <w:t>五</w:t>
      </w:r>
      <w:r>
        <w:rPr>
          <w:rFonts w:hint="eastAsia" w:ascii="仿宋_GB2312" w:hAnsi="宋体" w:eastAsia="仿宋_GB2312" w:cs="Times New Roman"/>
          <w:b/>
          <w:bCs/>
          <w:w w:val="99"/>
          <w:kern w:val="2"/>
          <w:sz w:val="32"/>
          <w:szCs w:val="32"/>
          <w:lang w:val="en-US" w:eastAsia="zh-CN" w:bidi="ar-SA"/>
        </w:rPr>
        <w:t>是</w:t>
      </w:r>
      <w:r>
        <w:rPr>
          <w:rFonts w:hint="eastAsia" w:ascii="仿宋_GB2312" w:hAnsi="宋体" w:eastAsia="仿宋_GB2312" w:cs="Times New Roman"/>
          <w:w w:val="99"/>
          <w:kern w:val="2"/>
          <w:sz w:val="32"/>
          <w:szCs w:val="32"/>
          <w:lang w:val="en-US" w:eastAsia="zh-CN" w:bidi="ar-SA"/>
        </w:rPr>
        <w:t>足额支付项目工作经费，无截留、挤占、挪用、虚列支出等情况，较好地发挥了项目工作经费使用效益和社会效益，圆满的完成绩效目标。</w:t>
      </w:r>
    </w:p>
    <w:p>
      <w:pPr>
        <w:keepNext w:val="0"/>
        <w:keepLines w:val="0"/>
        <w:pageBreakBefore w:val="0"/>
        <w:widowControl w:val="0"/>
        <w:kinsoku/>
        <w:wordWrap/>
        <w:overflowPunct/>
        <w:topLinePunct w:val="0"/>
        <w:autoSpaceDE w:val="0"/>
        <w:autoSpaceDN/>
        <w:bidi w:val="0"/>
        <w:adjustRightInd/>
        <w:spacing w:line="576" w:lineRule="exact"/>
        <w:ind w:left="0" w:leftChars="0" w:firstLine="608" w:firstLineChars="200"/>
        <w:jc w:val="both"/>
        <w:textAlignment w:val="auto"/>
        <w:rPr>
          <w:rFonts w:hint="eastAsia" w:ascii="仿宋_GB2312" w:hAnsi="宋体" w:eastAsia="仿宋_GB2312" w:cs="Times New Roman"/>
          <w:w w:val="99"/>
          <w:kern w:val="2"/>
          <w:sz w:val="32"/>
          <w:szCs w:val="32"/>
          <w:lang w:val="en-US" w:eastAsia="zh-CN" w:bidi="ar-SA"/>
        </w:rPr>
      </w:pPr>
      <w:r>
        <w:rPr>
          <w:rFonts w:hint="eastAsia" w:ascii="楷体_GB2312" w:hAnsi="Times New Roman" w:eastAsia="楷体_GB2312" w:cs="Times New Roman"/>
          <w:b w:val="0"/>
          <w:bCs/>
          <w:spacing w:val="-6"/>
          <w:kern w:val="2"/>
          <w:sz w:val="32"/>
          <w:szCs w:val="32"/>
          <w:lang w:val="en-US" w:eastAsia="zh-CN" w:bidi="ar-SA"/>
        </w:rPr>
        <w:t>（三）项目组织实施情况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bCs/>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1.项目组织架构及实施流程。</w:t>
      </w:r>
      <w:r>
        <w:rPr>
          <w:rFonts w:hint="eastAsia" w:ascii="仿宋_GB2312" w:hAnsi="宋体" w:eastAsia="仿宋_GB2312" w:cs="Times New Roman"/>
          <w:w w:val="99"/>
          <w:kern w:val="2"/>
          <w:sz w:val="32"/>
          <w:szCs w:val="32"/>
          <w:lang w:val="en-US" w:eastAsia="zh-CN" w:bidi="ar-SA"/>
        </w:rPr>
        <w:t>一是成立项目实施管理领导机构；二是确定项目实施工作绩效目标；三是研究项目实施方案步骤，明确工作职责和任务，确保项目绩效目标完成。</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2.项目管理情况。</w:t>
      </w:r>
      <w:r>
        <w:rPr>
          <w:rFonts w:hint="eastAsia" w:ascii="仿宋_GB2312" w:hAnsi="宋体" w:eastAsia="仿宋_GB2312" w:cs="Times New Roman"/>
          <w:w w:val="99"/>
          <w:kern w:val="2"/>
          <w:sz w:val="32"/>
          <w:szCs w:val="32"/>
          <w:lang w:val="en-US" w:eastAsia="zh-CN" w:bidi="ar-SA"/>
        </w:rPr>
        <w:t>一是按照《会计法》及财务管理相关制度严格项目资金的支付管理；二是项目实施全过程中严格执行相关政策及法律法规；三是严格执行项目绩效目标完成公示、公开制等相关规定。</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bCs/>
          <w:w w:val="99"/>
          <w:kern w:val="2"/>
          <w:sz w:val="32"/>
          <w:szCs w:val="32"/>
          <w:lang w:val="en-US" w:eastAsia="zh-CN" w:bidi="ar-SA"/>
        </w:rPr>
        <w:t>3.项目监管情况。一</w:t>
      </w:r>
      <w:r>
        <w:rPr>
          <w:rFonts w:hint="eastAsia" w:ascii="仿宋_GB2312" w:hAnsi="宋体" w:eastAsia="仿宋_GB2312" w:cs="Times New Roman"/>
          <w:w w:val="99"/>
          <w:kern w:val="2"/>
          <w:sz w:val="32"/>
          <w:szCs w:val="32"/>
          <w:lang w:val="en-US" w:eastAsia="zh-CN" w:bidi="ar-SA"/>
        </w:rPr>
        <w:t>是加强项目资金支付使用管理；二是加强项目预算绩效目标完成进度管理；三是加强项目绩效中期监控，对预算执行、绩效目标完成情况进行监督纠偏；四是定期进行工作考核，及时发现工作中存在的问题与不足，以便下一步改进，确保项目实施及目标任务全面完成。</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三、项目绩效情况</w:t>
      </w:r>
      <w:r>
        <w:rPr>
          <w:rFonts w:hint="eastAsia" w:ascii="仿宋_GB2312" w:hAnsi="宋体" w:eastAsia="仿宋_GB2312" w:cs="Times New Roman"/>
          <w:w w:val="99"/>
          <w:kern w:val="2"/>
          <w:sz w:val="32"/>
          <w:szCs w:val="32"/>
          <w:lang w:val="en-US" w:eastAsia="zh-CN" w:bidi="ar-SA"/>
        </w:rPr>
        <w:tab/>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（一）项目完成情况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1.数量指标:偿还贷款本金=330万元。</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2.质量指标:项目绩效目标完成率≧100%。</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default"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3.时效指标:1年。</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楷体_GB2312" w:hAnsi="宋体" w:eastAsia="楷体_GB2312" w:cs="Times New Roman"/>
          <w:b/>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4.成本指标：偿还贷款本金330万元。</w:t>
      </w:r>
    </w:p>
    <w:p>
      <w:pPr>
        <w:keepNext w:val="0"/>
        <w:keepLines w:val="0"/>
        <w:pageBreakBefore w:val="0"/>
        <w:widowControl w:val="0"/>
        <w:numPr>
          <w:ilvl w:val="0"/>
          <w:numId w:val="4"/>
        </w:numPr>
        <w:kinsoku/>
        <w:wordWrap/>
        <w:overflowPunct/>
        <w:topLinePunct w:val="0"/>
        <w:autoSpaceDE w:val="0"/>
        <w:autoSpaceDN/>
        <w:bidi w:val="0"/>
        <w:adjustRightInd w:val="0"/>
        <w:snapToGrid w:val="0"/>
        <w:spacing w:line="576" w:lineRule="exact"/>
        <w:ind w:left="0" w:leftChars="0"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项目效益情况。</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1.社会效益:通过项目实施，维护了地方金融经济秩序。</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2.生态效益:无环境污染事件，生态效益良好。</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left"/>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3.可持续影响:通过项目实施，对维护地方金融经济秩序稳定具有十分重要的意义。</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4.满意度指标:服务对象满意度≧98%。</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黑体" w:hAnsi="宋体" w:eastAsia="黑体" w:cs="Times New Roman"/>
          <w:w w:val="99"/>
          <w:kern w:val="2"/>
          <w:sz w:val="32"/>
          <w:szCs w:val="32"/>
          <w:lang w:val="en-US" w:eastAsia="zh-CN" w:bidi="ar-SA"/>
        </w:rPr>
      </w:pPr>
      <w:r>
        <w:rPr>
          <w:rFonts w:hint="eastAsia" w:ascii="黑体" w:hAnsi="黑体" w:eastAsia="黑体" w:cs="Times New Roman"/>
          <w:w w:val="99"/>
          <w:kern w:val="2"/>
          <w:sz w:val="32"/>
          <w:szCs w:val="32"/>
          <w:lang w:val="en-US" w:eastAsia="zh-CN" w:bidi="ar-SA"/>
        </w:rPr>
        <w:t>四、问题及建议</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default" w:ascii="仿宋_GB2312" w:hAnsi="宋体" w:eastAsia="仿宋_GB2312" w:cs="Times New Roman"/>
          <w:b w:val="0"/>
          <w:bCs w:val="0"/>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（一）评价结论。</w:t>
      </w:r>
      <w:r>
        <w:rPr>
          <w:rFonts w:hint="eastAsia" w:ascii="仿宋_GB2312" w:hAnsi="宋体" w:eastAsia="仿宋_GB2312" w:cs="Times New Roman"/>
          <w:b w:val="0"/>
          <w:bCs w:val="0"/>
          <w:w w:val="99"/>
          <w:kern w:val="2"/>
          <w:sz w:val="32"/>
          <w:szCs w:val="32"/>
          <w:lang w:val="en-US" w:eastAsia="zh-CN" w:bidi="ar-SA"/>
        </w:rPr>
        <w:t>项目绩效目标完成情况自评得分100分，评价等次优。项目实施效果好，达到了项目绩效设置预期目标。</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（二）存在的问题</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1.重视程度有待加强，绩效目标设定不够精细合理；</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2.绩效评价思想上存在误区，绩效评价方式比较单一，形式和内容不够全面；</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3.项目支出绩效目标设置不够精细，指标数量不够明晰，结构不太合理。</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楷体_GB2312" w:hAnsi="宋体" w:eastAsia="楷体_GB2312" w:cs="Times New Roman"/>
          <w:b w:val="0"/>
          <w:bCs/>
          <w:w w:val="99"/>
          <w:kern w:val="2"/>
          <w:sz w:val="32"/>
          <w:szCs w:val="32"/>
          <w:lang w:val="en-US" w:eastAsia="zh-CN" w:bidi="ar-SA"/>
        </w:rPr>
      </w:pPr>
      <w:r>
        <w:rPr>
          <w:rFonts w:hint="eastAsia" w:ascii="楷体_GB2312" w:hAnsi="宋体" w:eastAsia="楷体_GB2312" w:cs="Times New Roman"/>
          <w:b w:val="0"/>
          <w:bCs/>
          <w:w w:val="99"/>
          <w:kern w:val="2"/>
          <w:sz w:val="32"/>
          <w:szCs w:val="32"/>
          <w:lang w:val="en-US" w:eastAsia="zh-CN" w:bidi="ar-SA"/>
        </w:rPr>
        <w:t>（三）相关建议</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1.建议业务主管部门加强对单位、部门业务知识的培训，同时加强对单位、部门调研指导；</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b w:val="0"/>
          <w:bCs w:val="0"/>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2.建议业务主管部门给单位、部门传递更强信号，提高单位领导班子及集体对绩效管理工作的重视程度；</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720"/>
        <w:jc w:val="both"/>
        <w:textAlignment w:val="auto"/>
        <w:rPr>
          <w:rFonts w:hint="eastAsia" w:ascii="仿宋_GB2312" w:hAnsi="宋体" w:eastAsia="仿宋_GB2312" w:cs="Times New Roman"/>
          <w:w w:val="99"/>
          <w:kern w:val="2"/>
          <w:sz w:val="32"/>
          <w:szCs w:val="32"/>
          <w:lang w:val="en-US" w:eastAsia="zh-CN" w:bidi="ar-SA"/>
        </w:rPr>
      </w:pPr>
      <w:r>
        <w:rPr>
          <w:rFonts w:hint="eastAsia" w:ascii="仿宋_GB2312" w:hAnsi="宋体" w:eastAsia="仿宋_GB2312" w:cs="Times New Roman"/>
          <w:b w:val="0"/>
          <w:bCs w:val="0"/>
          <w:w w:val="99"/>
          <w:kern w:val="2"/>
          <w:sz w:val="32"/>
          <w:szCs w:val="32"/>
          <w:lang w:val="en-US" w:eastAsia="zh-CN" w:bidi="ar-SA"/>
        </w:rPr>
        <w:t>3.健全考核制度和办法，逗硬考核，奖惩分明。</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624" w:firstLineChars="200"/>
        <w:jc w:val="both"/>
        <w:textAlignment w:val="auto"/>
        <w:rPr>
          <w:rFonts w:hint="eastAsia" w:ascii="仿宋_GB2312" w:hAnsi="Times New Roman" w:eastAsia="仿宋_GB2312" w:cs="Times New Roman"/>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left="0" w:leftChars="0"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left="0" w:leftChars="0" w:firstLine="4680" w:firstLineChars="1500"/>
        <w:jc w:val="both"/>
        <w:textAlignment w:val="auto"/>
        <w:rPr>
          <w:rFonts w:hint="default" w:ascii="Arial" w:hAnsi="Arial" w:eastAsia="仿宋_GB2312" w:cs="Arial"/>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pacing w:line="576" w:lineRule="exact"/>
        <w:ind w:left="0" w:leftChars="0" w:firstLine="3432" w:firstLineChars="1100"/>
        <w:jc w:val="both"/>
        <w:textAlignment w:val="auto"/>
        <w:rPr>
          <w:rFonts w:hint="eastAsia" w:ascii="仿宋_GB2312" w:hAnsi="Times New Roman" w:eastAsia="仿宋_GB2312" w:cs="Times New Roman"/>
          <w:w w:val="99"/>
          <w:kern w:val="2"/>
          <w:sz w:val="32"/>
          <w:szCs w:val="32"/>
          <w:lang w:val="en-US" w:eastAsia="zh-CN" w:bidi="ar-SA"/>
        </w:rPr>
      </w:pPr>
      <w:r>
        <w:rPr>
          <w:rFonts w:hint="eastAsia" w:ascii="仿宋_GB2312" w:hAnsi="Times New Roman" w:eastAsia="仿宋_GB2312" w:cs="Times New Roman"/>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left="0" w:leftChars="0" w:firstLine="4056" w:firstLineChars="1300"/>
        <w:jc w:val="both"/>
        <w:textAlignment w:val="auto"/>
        <w:rPr>
          <w:rFonts w:hint="eastAsia" w:ascii="Times New Roman" w:hAnsi="Times New Roman" w:eastAsia="宋体" w:cs="Times New Roman"/>
          <w:w w:val="99"/>
          <w:kern w:val="2"/>
          <w:sz w:val="21"/>
          <w:szCs w:val="21"/>
          <w:lang w:val="en-US" w:eastAsia="zh-CN" w:bidi="ar-SA"/>
        </w:rPr>
      </w:pPr>
      <w:r>
        <w:rPr>
          <w:rFonts w:hint="eastAsia" w:ascii="仿宋_GB2312" w:hAnsi="Times New Roman" w:eastAsia="仿宋_GB2312" w:cs="Times New Roman"/>
          <w:w w:val="99"/>
          <w:kern w:val="2"/>
          <w:sz w:val="32"/>
          <w:szCs w:val="32"/>
          <w:lang w:val="en-US" w:eastAsia="zh-CN" w:bidi="ar-SA"/>
        </w:rPr>
        <w:t>2024年6月24日</w:t>
      </w: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keepNext w:val="0"/>
        <w:keepLines w:val="0"/>
        <w:pageBreakBefore w:val="0"/>
        <w:widowControl w:val="0"/>
        <w:kinsoku/>
        <w:wordWrap/>
        <w:overflowPunct/>
        <w:topLinePunct w:val="0"/>
        <w:autoSpaceDE w:val="0"/>
        <w:autoSpaceDN/>
        <w:bidi w:val="0"/>
        <w:adjustRightInd/>
        <w:snapToGrid w:val="0"/>
        <w:spacing w:line="576" w:lineRule="exact"/>
        <w:ind w:left="0" w:leftChars="0"/>
        <w:jc w:val="both"/>
        <w:textAlignment w:val="auto"/>
        <w:rPr>
          <w:rFonts w:hint="eastAsia" w:ascii="宋体" w:hAnsi="宋体" w:eastAsia="宋体" w:cs="宋体"/>
          <w:b/>
          <w:bCs/>
          <w:spacing w:val="20"/>
          <w:kern w:val="2"/>
          <w:sz w:val="44"/>
          <w:szCs w:val="44"/>
          <w:lang w:val="en-US" w:eastAsia="zh-CN" w:bidi="ar-SA"/>
        </w:rPr>
      </w:pPr>
    </w:p>
    <w:p>
      <w:pPr>
        <w:keepNext w:val="0"/>
        <w:keepLines w:val="0"/>
        <w:pageBreakBefore w:val="0"/>
        <w:widowControl w:val="0"/>
        <w:kinsoku/>
        <w:wordWrap/>
        <w:overflowPunct/>
        <w:topLinePunct w:val="0"/>
        <w:autoSpaceDN/>
        <w:bidi w:val="0"/>
        <w:adjustRightInd/>
        <w:spacing w:line="576" w:lineRule="exact"/>
        <w:ind w:firstLine="0" w:firstLineChars="0"/>
        <w:jc w:val="center"/>
        <w:textAlignment w:val="auto"/>
        <w:outlineLvl w:val="9"/>
        <w:rPr>
          <w:rFonts w:hint="eastAsia" w:ascii="方正公文小标宋" w:hAnsi="方正公文小标宋" w:eastAsia="方正小标宋简体" w:cs="方正公文小标宋"/>
          <w:bCs/>
          <w:color w:val="auto"/>
          <w:kern w:val="44"/>
          <w:sz w:val="44"/>
          <w:szCs w:val="44"/>
          <w:lang w:val="en-US" w:eastAsia="zh-CN" w:bidi="ar-SA"/>
        </w:rPr>
      </w:pPr>
      <w:r>
        <w:rPr>
          <w:rFonts w:hint="eastAsia" w:ascii="方正公文小标宋" w:hAnsi="方正公文小标宋" w:eastAsia="方正小标宋简体" w:cs="方正公文小标宋"/>
          <w:bCs/>
          <w:color w:val="auto"/>
          <w:kern w:val="44"/>
          <w:sz w:val="44"/>
          <w:szCs w:val="44"/>
          <w:lang w:val="en-US" w:eastAsia="zh-CN" w:bidi="ar-SA"/>
        </w:rPr>
        <w:t>广元市朝天区发展和改革局</w:t>
      </w:r>
    </w:p>
    <w:p>
      <w:pPr>
        <w:keepNext w:val="0"/>
        <w:keepLines w:val="0"/>
        <w:pageBreakBefore w:val="0"/>
        <w:widowControl w:val="0"/>
        <w:kinsoku/>
        <w:wordWrap/>
        <w:overflowPunct/>
        <w:topLinePunct w:val="0"/>
        <w:autoSpaceDN/>
        <w:bidi w:val="0"/>
        <w:adjustRightInd/>
        <w:spacing w:line="576" w:lineRule="exact"/>
        <w:ind w:firstLine="0" w:firstLineChars="0"/>
        <w:jc w:val="center"/>
        <w:textAlignment w:val="auto"/>
        <w:outlineLvl w:val="9"/>
        <w:rPr>
          <w:rFonts w:hint="eastAsia" w:ascii="方正公文小标宋" w:hAnsi="方正公文小标宋" w:eastAsia="方正小标宋简体" w:cs="方正公文小标宋"/>
          <w:bCs/>
          <w:color w:val="auto"/>
          <w:kern w:val="44"/>
          <w:sz w:val="44"/>
          <w:szCs w:val="44"/>
          <w:lang w:val="en-US" w:eastAsia="zh-CN" w:bidi="ar-SA"/>
        </w:rPr>
      </w:pPr>
      <w:r>
        <w:rPr>
          <w:rFonts w:hint="eastAsia" w:ascii="方正公文小标宋" w:hAnsi="方正公文小标宋" w:eastAsia="方正小标宋简体" w:cs="方正公文小标宋"/>
          <w:bCs/>
          <w:color w:val="auto"/>
          <w:kern w:val="44"/>
          <w:sz w:val="44"/>
          <w:szCs w:val="44"/>
          <w:lang w:val="en-US" w:eastAsia="zh-CN" w:bidi="ar-SA"/>
        </w:rPr>
        <w:t>关于</w:t>
      </w:r>
      <w:r>
        <w:rPr>
          <w:rFonts w:hint="eastAsia" w:ascii="方正小标宋简体" w:hAnsi="方正小标宋简体" w:eastAsia="方正小标宋简体" w:cs="方正小标宋简体"/>
          <w:bCs/>
          <w:color w:val="auto"/>
          <w:kern w:val="44"/>
          <w:sz w:val="44"/>
          <w:szCs w:val="44"/>
          <w:lang w:val="en-US" w:eastAsia="zh-CN" w:bidi="ar-SA"/>
        </w:rPr>
        <w:t>2023</w:t>
      </w:r>
      <w:r>
        <w:rPr>
          <w:rFonts w:hint="eastAsia" w:ascii="方正公文小标宋" w:hAnsi="方正公文小标宋" w:eastAsia="方正小标宋简体" w:cs="方正公文小标宋"/>
          <w:bCs/>
          <w:color w:val="auto"/>
          <w:kern w:val="44"/>
          <w:sz w:val="44"/>
          <w:szCs w:val="44"/>
          <w:lang w:val="en-US" w:eastAsia="zh-CN" w:bidi="ar-SA"/>
        </w:rPr>
        <w:t>年度小包装大米、菜籽油保管费用</w:t>
      </w:r>
    </w:p>
    <w:p>
      <w:pPr>
        <w:keepNext w:val="0"/>
        <w:keepLines w:val="0"/>
        <w:pageBreakBefore w:val="0"/>
        <w:widowControl w:val="0"/>
        <w:kinsoku/>
        <w:wordWrap/>
        <w:overflowPunct/>
        <w:topLinePunct w:val="0"/>
        <w:autoSpaceDN/>
        <w:bidi w:val="0"/>
        <w:adjustRightInd/>
        <w:spacing w:line="576" w:lineRule="exact"/>
        <w:ind w:firstLine="0" w:firstLineChars="0"/>
        <w:jc w:val="center"/>
        <w:textAlignment w:val="auto"/>
        <w:outlineLvl w:val="9"/>
        <w:rPr>
          <w:rFonts w:hint="eastAsia" w:ascii="方正公文小标宋" w:hAnsi="方正公文小标宋" w:eastAsia="方正小标宋简体" w:cs="方正公文小标宋"/>
          <w:bCs/>
          <w:color w:val="auto"/>
          <w:kern w:val="44"/>
          <w:sz w:val="44"/>
          <w:szCs w:val="44"/>
          <w:lang w:val="en-US" w:eastAsia="zh-CN" w:bidi="ar-SA"/>
        </w:rPr>
      </w:pPr>
      <w:r>
        <w:rPr>
          <w:rFonts w:hint="eastAsia" w:ascii="方正公文小标宋" w:hAnsi="方正公文小标宋" w:eastAsia="方正小标宋简体" w:cs="方正公文小标宋"/>
          <w:bCs/>
          <w:color w:val="auto"/>
          <w:kern w:val="44"/>
          <w:sz w:val="44"/>
          <w:szCs w:val="44"/>
          <w:lang w:val="en-US" w:eastAsia="zh-CN" w:bidi="ar-SA"/>
        </w:rPr>
        <w:t>政策支出绩效自评报告</w:t>
      </w: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仿宋_GB2312" w:eastAsia="仿宋_GB2312" w:cs="仿宋_GB2312"/>
          <w:kern w:val="2"/>
          <w:szCs w:val="2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仿宋_GB2312" w:eastAsia="仿宋_GB2312" w:cs="仿宋_GB2312"/>
          <w:kern w:val="2"/>
          <w:szCs w:val="22"/>
          <w:lang w:val="en-US" w:eastAsia="zh-CN" w:bidi="ar-SA"/>
        </w:rPr>
      </w:pPr>
      <w:r>
        <w:rPr>
          <w:rFonts w:hint="eastAsia" w:ascii="仿宋_GB2312" w:hAnsi="仿宋_GB2312" w:eastAsia="仿宋_GB2312" w:cs="仿宋_GB2312"/>
          <w:kern w:val="2"/>
          <w:szCs w:val="22"/>
          <w:lang w:val="en-US" w:eastAsia="zh-CN" w:bidi="ar-SA"/>
        </w:rPr>
        <w:t>区财政局：</w:t>
      </w:r>
    </w:p>
    <w:p>
      <w:pPr>
        <w:keepNext w:val="0"/>
        <w:keepLines w:val="0"/>
        <w:pageBreakBefore w:val="0"/>
        <w:widowControl w:val="0"/>
        <w:kinsoku/>
        <w:wordWrap/>
        <w:overflowPunct/>
        <w:topLinePunct w:val="0"/>
        <w:autoSpaceDE/>
        <w:autoSpaceDN/>
        <w:bidi w:val="0"/>
        <w:adjustRightInd/>
        <w:spacing w:line="576" w:lineRule="exact"/>
        <w:ind w:firstLine="632" w:firstLineChars="200"/>
        <w:jc w:val="both"/>
        <w:textAlignment w:val="auto"/>
        <w:rPr>
          <w:rFonts w:hint="eastAsia" w:ascii="仿宋_GB2312" w:hAnsi="仿宋_GB2312" w:eastAsia="仿宋_GB2312" w:cs="仿宋_GB2312"/>
          <w:kern w:val="2"/>
          <w:szCs w:val="22"/>
          <w:lang w:val="en-US" w:eastAsia="zh-CN" w:bidi="ar-SA"/>
        </w:rPr>
      </w:pPr>
      <w:r>
        <w:rPr>
          <w:rFonts w:hint="eastAsia" w:ascii="仿宋_GB2312" w:hAnsi="仿宋_GB2312" w:eastAsia="仿宋_GB2312" w:cs="仿宋_GB2312"/>
          <w:kern w:val="2"/>
          <w:szCs w:val="22"/>
          <w:lang w:val="en-US" w:eastAsia="zh-CN" w:bidi="ar-SA"/>
        </w:rPr>
        <w:t>根据《关于开展2024年部门整体、政策、项目和资本资产绩效自评工作的通知》（广朝财发〔2024〕21号）的文件要求，结合单位实际，现将2023年</w:t>
      </w:r>
      <w:r>
        <w:rPr>
          <w:rFonts w:hint="eastAsia" w:asciiTheme="minorAscii" w:hAnsiTheme="minorAscii" w:eastAsiaTheme="minorEastAsia" w:cstheme="minorBidi"/>
          <w:kern w:val="2"/>
          <w:szCs w:val="22"/>
          <w:lang w:val="en-US" w:eastAsia="zh-CN" w:bidi="ar-SA"/>
        </w:rPr>
        <w:t>小</w:t>
      </w:r>
      <w:r>
        <w:rPr>
          <w:rFonts w:hint="eastAsia" w:ascii="仿宋_GB2312" w:hAnsi="仿宋_GB2312" w:eastAsia="仿宋_GB2312" w:cs="仿宋_GB2312"/>
          <w:kern w:val="2"/>
          <w:szCs w:val="22"/>
          <w:lang w:val="en-US" w:eastAsia="zh-CN" w:bidi="ar-SA"/>
        </w:rPr>
        <w:t>包装大米、菜籽油保管费用政策性项目支出绩效自评情况作如下报告。</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40" w:firstLineChars="0"/>
        <w:jc w:val="both"/>
        <w:textAlignment w:val="auto"/>
        <w:rPr>
          <w:rFonts w:hint="eastAsia" w:ascii="黑体" w:hAnsi="黑体" w:eastAsia="黑体" w:cs="黑体"/>
          <w:bCs/>
          <w:kern w:val="2"/>
          <w:sz w:val="32"/>
          <w:szCs w:val="22"/>
          <w:lang w:val="en-US" w:eastAsia="zh-CN" w:bidi="ar-SA"/>
        </w:rPr>
      </w:pPr>
      <w:r>
        <w:rPr>
          <w:rFonts w:hint="eastAsia" w:ascii="黑体" w:hAnsi="黑体" w:eastAsia="黑体" w:cs="黑体"/>
          <w:bCs/>
          <w:kern w:val="2"/>
          <w:sz w:val="32"/>
          <w:szCs w:val="22"/>
          <w:lang w:val="en-US" w:eastAsia="zh-CN" w:bidi="ar-SA"/>
        </w:rPr>
        <w:t>财政政策基本情况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宋体" w:hAnsi="宋体" w:eastAsia="宋体" w:cs="宋体"/>
          <w:color w:val="00000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区裕宏粮油购销有限公司共</w:t>
      </w:r>
      <w:r>
        <w:rPr>
          <w:rFonts w:hint="eastAsia" w:ascii="仿宋_GB2312" w:hAnsi="仿宋_GB2312" w:eastAsia="仿宋_GB2312" w:cs="仿宋_GB2312"/>
          <w:b w:val="0"/>
          <w:bCs w:val="0"/>
          <w:color w:val="000000"/>
          <w:kern w:val="2"/>
          <w:sz w:val="32"/>
          <w:szCs w:val="32"/>
          <w:lang w:val="en-US" w:eastAsia="zh-CN" w:bidi="ar-SA"/>
        </w:rPr>
        <w:t>储存区级储备小包装粮油240吨（其中：小包装大米200吨、菜籽油40吨）。</w:t>
      </w:r>
      <w:r>
        <w:rPr>
          <w:rFonts w:hint="eastAsia" w:ascii="仿宋_GB2312" w:hAnsi="仿宋_GB2312" w:eastAsia="仿宋_GB2312" w:cs="仿宋_GB2312"/>
          <w:color w:val="000000"/>
          <w:kern w:val="2"/>
          <w:sz w:val="32"/>
          <w:szCs w:val="32"/>
          <w:lang w:val="en-US" w:eastAsia="zh-CN" w:bidi="ar-SA"/>
        </w:rPr>
        <w:t>2023年全年财政预算储备小包装粮油保管费用补贴11.4万元。该储备小包装粮油</w:t>
      </w:r>
      <w:r>
        <w:rPr>
          <w:rFonts w:hint="eastAsia" w:ascii="仿宋_GB2312" w:hAnsi="仿宋_GB2312" w:eastAsia="仿宋_GB2312" w:cs="仿宋_GB2312"/>
          <w:b w:val="0"/>
          <w:bCs w:val="0"/>
          <w:kern w:val="2"/>
          <w:sz w:val="32"/>
          <w:szCs w:val="32"/>
          <w:lang w:val="en-US" w:eastAsia="zh-CN" w:bidi="ar-SA"/>
        </w:rPr>
        <w:t>用于调节全区粮油供求总量，稳定粮食市场，应对重大自然灾害，重大疫情或其他突发公共事件。</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40" w:firstLineChars="0"/>
        <w:jc w:val="both"/>
        <w:textAlignment w:val="auto"/>
        <w:rPr>
          <w:rFonts w:hint="eastAsia" w:ascii="黑体" w:hAnsi="黑体" w:eastAsia="黑体" w:cs="黑体"/>
          <w:bCs/>
          <w:kern w:val="2"/>
          <w:sz w:val="32"/>
          <w:szCs w:val="22"/>
          <w:lang w:val="en-US" w:eastAsia="zh-CN" w:bidi="ar-SA"/>
        </w:rPr>
      </w:pPr>
      <w:r>
        <w:rPr>
          <w:rFonts w:hint="eastAsia" w:ascii="黑体" w:hAnsi="黑体" w:eastAsia="黑体" w:cs="黑体"/>
          <w:bCs/>
          <w:kern w:val="2"/>
          <w:sz w:val="32"/>
          <w:szCs w:val="22"/>
          <w:lang w:val="en-US" w:eastAsia="zh-CN" w:bidi="ar-SA"/>
        </w:rPr>
        <w:t>评价工作开展情况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小包装成品粮油储备管理办法》和《广元市朝天区区级储备粮油补贴资金管理办法》的相关规定，结合区裕宏粮油购销有限公司储存的区级储备小包装粮油的数量和质量，我们积极组织开展对区级储备小包装粮油进行了绩效自评，以确保我区储备的小包装粮油数量的准确和真实性。</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40" w:firstLineChars="0"/>
        <w:jc w:val="both"/>
        <w:textAlignment w:val="auto"/>
        <w:rPr>
          <w:rFonts w:hint="eastAsia" w:ascii="黑体" w:hAnsi="黑体" w:eastAsia="黑体" w:cs="黑体"/>
          <w:bCs/>
          <w:kern w:val="2"/>
          <w:sz w:val="32"/>
          <w:szCs w:val="22"/>
          <w:lang w:val="en-US" w:eastAsia="zh-CN" w:bidi="ar-SA"/>
        </w:rPr>
      </w:pPr>
      <w:r>
        <w:rPr>
          <w:rFonts w:hint="eastAsia" w:ascii="黑体" w:hAnsi="黑体" w:eastAsia="黑体" w:cs="黑体"/>
          <w:bCs/>
          <w:kern w:val="2"/>
          <w:sz w:val="32"/>
          <w:szCs w:val="22"/>
          <w:lang w:val="en-US" w:eastAsia="zh-CN" w:bidi="ar-SA"/>
        </w:rPr>
        <w:t>政策绩效情况</w:t>
      </w:r>
    </w:p>
    <w:p>
      <w:pPr>
        <w:keepNext w:val="0"/>
        <w:keepLines w:val="0"/>
        <w:pageBreakBefore w:val="0"/>
        <w:widowControl w:val="0"/>
        <w:kinsoku/>
        <w:wordWrap/>
        <w:overflowPunct/>
        <w:topLinePunct w:val="0"/>
        <w:autoSpaceDN/>
        <w:bidi w:val="0"/>
        <w:adjustRightInd/>
        <w:spacing w:line="576" w:lineRule="exact"/>
        <w:ind w:firstLine="632" w:firstLineChars="200"/>
        <w:jc w:val="both"/>
        <w:textAlignment w:val="auto"/>
        <w:outlineLvl w:val="9"/>
        <w:rPr>
          <w:rFonts w:hint="eastAsia" w:ascii="楷体_GB2312" w:hAnsi="楷体_GB2312" w:eastAsia="楷体_GB2312" w:cs="楷体_GB2312"/>
          <w:bCs/>
          <w:kern w:val="2"/>
          <w:sz w:val="32"/>
          <w:szCs w:val="22"/>
          <w:lang w:val="en-US" w:eastAsia="zh-CN" w:bidi="ar-SA"/>
        </w:rPr>
      </w:pPr>
      <w:r>
        <w:rPr>
          <w:rFonts w:hint="eastAsia" w:ascii="楷体_GB2312" w:hAnsi="楷体_GB2312" w:eastAsia="楷体_GB2312" w:cs="楷体_GB2312"/>
          <w:bCs/>
          <w:kern w:val="2"/>
          <w:sz w:val="32"/>
          <w:szCs w:val="22"/>
          <w:lang w:val="en-US" w:eastAsia="zh-CN" w:bidi="ar-SA"/>
        </w:rPr>
        <w:t>（一）政策设计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储备粮油补贴资金管理办法》的相关规定，区级储备粮油补贴资金，由区级财政预算安排，专门用于区级储备粮油各项补贴以及银行贷款利息的补贴资金,包含保管费用、轮换费用、轮换价差以及银行贷款利息等。保管费用补贴标准为：小包装大米每年400元/吨、小包装菜籽油每年850元/吨。</w:t>
      </w:r>
    </w:p>
    <w:p>
      <w:pPr>
        <w:keepNext w:val="0"/>
        <w:keepLines w:val="0"/>
        <w:pageBreakBefore w:val="0"/>
        <w:widowControl w:val="0"/>
        <w:kinsoku/>
        <w:wordWrap/>
        <w:overflowPunct/>
        <w:topLinePunct w:val="0"/>
        <w:autoSpaceDN/>
        <w:bidi w:val="0"/>
        <w:adjustRightInd/>
        <w:spacing w:line="576" w:lineRule="exact"/>
        <w:ind w:firstLine="632" w:firstLineChars="200"/>
        <w:jc w:val="both"/>
        <w:textAlignment w:val="auto"/>
        <w:outlineLvl w:val="9"/>
        <w:rPr>
          <w:rFonts w:hint="eastAsia" w:ascii="楷体_GB2312" w:hAnsi="楷体_GB2312" w:eastAsia="楷体_GB2312" w:cs="楷体_GB2312"/>
          <w:bCs/>
          <w:kern w:val="2"/>
          <w:sz w:val="32"/>
          <w:szCs w:val="22"/>
          <w:lang w:val="en-US" w:eastAsia="zh-CN" w:bidi="ar-SA"/>
        </w:rPr>
      </w:pPr>
      <w:r>
        <w:rPr>
          <w:rFonts w:hint="eastAsia" w:ascii="楷体_GB2312" w:hAnsi="楷体_GB2312" w:eastAsia="楷体_GB2312" w:cs="楷体_GB2312"/>
          <w:bCs/>
          <w:kern w:val="2"/>
          <w:sz w:val="32"/>
          <w:szCs w:val="22"/>
          <w:lang w:val="en-US" w:eastAsia="zh-CN" w:bidi="ar-SA"/>
        </w:rPr>
        <w:t>（二）政策执行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2023年小包装大米库存200吨，小包装菜籽油库存40吨，均库存在区裕宏粮油购销有限公司羊木粮库1至5号仓，对库存的小包装粮油由区发改、财政、市农发行按月监督检查，确保了小包装粮油的储备安全，管理规范。小包装粮油保管费用补贴为11.4万元（大米200吨*400元；菜籽油40吨*800元），并严格按照财务管理制度及完成情况进行支付，财务处理及时、会计核算规范。</w:t>
      </w:r>
    </w:p>
    <w:p>
      <w:pPr>
        <w:keepNext w:val="0"/>
        <w:keepLines w:val="0"/>
        <w:pageBreakBefore w:val="0"/>
        <w:widowControl w:val="0"/>
        <w:kinsoku/>
        <w:wordWrap/>
        <w:overflowPunct/>
        <w:topLinePunct w:val="0"/>
        <w:autoSpaceDN/>
        <w:bidi w:val="0"/>
        <w:adjustRightInd/>
        <w:spacing w:line="576" w:lineRule="exact"/>
        <w:ind w:firstLine="632" w:firstLineChars="200"/>
        <w:jc w:val="both"/>
        <w:textAlignment w:val="auto"/>
        <w:outlineLvl w:val="9"/>
        <w:rPr>
          <w:rFonts w:hint="eastAsia" w:ascii="楷体_GB2312" w:hAnsi="楷体_GB2312" w:eastAsia="楷体_GB2312" w:cs="楷体_GB2312"/>
          <w:bCs/>
          <w:kern w:val="2"/>
          <w:sz w:val="32"/>
          <w:szCs w:val="22"/>
          <w:lang w:val="en-US" w:eastAsia="zh-CN" w:bidi="ar-SA"/>
        </w:rPr>
      </w:pPr>
      <w:r>
        <w:rPr>
          <w:rFonts w:hint="eastAsia" w:ascii="楷体_GB2312" w:hAnsi="楷体_GB2312" w:eastAsia="楷体_GB2312" w:cs="楷体_GB2312"/>
          <w:bCs/>
          <w:kern w:val="2"/>
          <w:sz w:val="32"/>
          <w:szCs w:val="22"/>
          <w:lang w:val="en-US" w:eastAsia="zh-CN" w:bidi="ar-SA"/>
        </w:rPr>
        <w:t>（三）政策效果</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宋体" w:hAnsi="宋体" w:eastAsia="宋体" w:cs="宋体"/>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小包装成品粮油储备管理办法》和《广元市朝天区区级储备粮油补贴资金管理办法》的相关规定，区级财政承担的小包装粮油保管费用11.4万元，已在2023年全部到位，并确保了储粮安全，管理规范，随时能够发挥成品粮油快捷应对市场突发情况的应急功能，起好政府宏观调控粮食市场的主导作用，切实做好区级小包装成品粮油储备的管理工作。</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40" w:firstLineChars="0"/>
        <w:jc w:val="left"/>
        <w:textAlignment w:val="auto"/>
        <w:rPr>
          <w:rFonts w:hint="eastAsia" w:ascii="黑体" w:hAnsi="黑体" w:eastAsia="黑体" w:cs="黑体"/>
          <w:bCs/>
          <w:kern w:val="2"/>
          <w:sz w:val="32"/>
          <w:szCs w:val="22"/>
          <w:lang w:val="en-US" w:eastAsia="zh-CN" w:bidi="ar-SA"/>
        </w:rPr>
      </w:pPr>
      <w:r>
        <w:rPr>
          <w:rFonts w:hint="eastAsia" w:ascii="黑体" w:hAnsi="黑体" w:eastAsia="黑体" w:cs="黑体"/>
          <w:bCs/>
          <w:kern w:val="2"/>
          <w:sz w:val="32"/>
          <w:szCs w:val="22"/>
          <w:lang w:val="en-US" w:eastAsia="zh-CN" w:bidi="ar-SA"/>
        </w:rPr>
        <w:t>存在问题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40" w:firstLineChars="0"/>
        <w:jc w:val="left"/>
        <w:textAlignment w:val="auto"/>
        <w:rPr>
          <w:rFonts w:hint="eastAsia" w:ascii="宋体" w:hAnsi="宋体" w:eastAsia="宋体" w:cs="宋体"/>
          <w:kern w:val="2"/>
          <w:sz w:val="32"/>
          <w:szCs w:val="32"/>
          <w:lang w:val="en-US" w:eastAsia="zh-CN" w:bidi="ar-SA"/>
        </w:rPr>
      </w:pPr>
      <w:r>
        <w:rPr>
          <w:rFonts w:hint="eastAsia" w:ascii="黑体" w:hAnsi="黑体" w:eastAsia="黑体" w:cs="黑体"/>
          <w:bCs/>
          <w:kern w:val="2"/>
          <w:sz w:val="32"/>
          <w:szCs w:val="22"/>
          <w:lang w:val="en-US" w:eastAsia="zh-CN" w:bidi="ar-SA"/>
        </w:rPr>
        <w:t>相关建议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N/>
        <w:bidi w:val="0"/>
        <w:adjustRightInd/>
        <w:spacing w:line="576" w:lineRule="exact"/>
        <w:ind w:firstLine="3792" w:firstLineChars="1200"/>
        <w:jc w:val="both"/>
        <w:textAlignment w:val="auto"/>
        <w:outlineLvl w:val="9"/>
        <w:rPr>
          <w:rFonts w:hint="eastAsia" w:ascii="仿宋_GB2312" w:hAnsi="仿宋_GB2312" w:eastAsia="仿宋_GB2312" w:cs="仿宋_GB2312"/>
          <w:bCs/>
          <w:kern w:val="2"/>
          <w:sz w:val="32"/>
          <w:szCs w:val="22"/>
          <w:lang w:val="en-US" w:eastAsia="zh-CN" w:bidi="ar-SA"/>
        </w:rPr>
      </w:pPr>
      <w:r>
        <w:rPr>
          <w:rFonts w:hint="eastAsia" w:ascii="仿宋_GB2312" w:hAnsi="仿宋_GB2312" w:eastAsia="仿宋_GB2312" w:cs="仿宋_GB2312"/>
          <w:bCs/>
          <w:kern w:val="2"/>
          <w:sz w:val="32"/>
          <w:szCs w:val="2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4424" w:firstLineChars="14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2024年6月24日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4424" w:firstLineChars="1400"/>
        <w:jc w:val="both"/>
        <w:textAlignment w:val="auto"/>
        <w:rPr>
          <w:rFonts w:hint="eastAsia" w:ascii="仿宋_GB2312" w:hAnsi="仿宋_GB2312" w:eastAsia="仿宋_GB2312" w:cs="仿宋_GB2312"/>
          <w:b w:val="0"/>
          <w:bCs w:val="0"/>
          <w:kern w:val="2"/>
          <w:sz w:val="32"/>
          <w:szCs w:val="32"/>
          <w:lang w:val="en-US" w:eastAsia="zh-CN" w:bidi="ar-SA"/>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关于2023年度储备原粮2500吨保管费用</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政策支出绩效自评报告</w:t>
      </w: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仿宋_GB2312" w:eastAsia="仿宋_GB2312" w:cs="仿宋_GB2312"/>
          <w:kern w:val="2"/>
          <w:szCs w:val="2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仿宋_GB2312" w:eastAsia="仿宋_GB2312" w:cs="仿宋_GB2312"/>
          <w:kern w:val="2"/>
          <w:szCs w:val="22"/>
          <w:lang w:val="en-US" w:eastAsia="zh-CN" w:bidi="ar-SA"/>
        </w:rPr>
      </w:pPr>
      <w:r>
        <w:rPr>
          <w:rFonts w:hint="eastAsia" w:ascii="仿宋_GB2312" w:hAnsi="仿宋_GB2312" w:eastAsia="仿宋_GB2312" w:cs="仿宋_GB2312"/>
          <w:kern w:val="2"/>
          <w:szCs w:val="22"/>
          <w:lang w:val="en-US" w:eastAsia="zh-CN" w:bidi="ar-SA"/>
        </w:rPr>
        <w:t>区财政局：</w:t>
      </w:r>
    </w:p>
    <w:p>
      <w:pPr>
        <w:keepNext w:val="0"/>
        <w:keepLines w:val="0"/>
        <w:pageBreakBefore w:val="0"/>
        <w:widowControl w:val="0"/>
        <w:kinsoku/>
        <w:wordWrap/>
        <w:overflowPunct/>
        <w:topLinePunct w:val="0"/>
        <w:autoSpaceDE/>
        <w:autoSpaceDN/>
        <w:bidi w:val="0"/>
        <w:adjustRightInd/>
        <w:spacing w:line="576" w:lineRule="exact"/>
        <w:ind w:firstLine="632" w:firstLineChars="200"/>
        <w:jc w:val="both"/>
        <w:textAlignment w:val="auto"/>
        <w:rPr>
          <w:rFonts w:hint="eastAsia" w:ascii="仿宋_GB2312" w:hAnsi="仿宋_GB2312" w:eastAsia="仿宋_GB2312" w:cs="仿宋_GB2312"/>
          <w:kern w:val="2"/>
          <w:szCs w:val="22"/>
          <w:lang w:val="en-US" w:eastAsia="zh-CN" w:bidi="ar-SA"/>
        </w:rPr>
      </w:pPr>
      <w:r>
        <w:rPr>
          <w:rFonts w:hint="eastAsia" w:ascii="仿宋_GB2312" w:hAnsi="仿宋_GB2312" w:eastAsia="仿宋_GB2312" w:cs="仿宋_GB2312"/>
          <w:kern w:val="2"/>
          <w:szCs w:val="22"/>
          <w:lang w:val="en-US" w:eastAsia="zh-CN" w:bidi="ar-SA"/>
        </w:rPr>
        <w:t>根据《关于开展2024年部门整体、政策、项目和资本资产绩效自评工作的通知》（广朝财发〔2024〕21号）的文件要求，结合单位实际，现将2023年储备原粮2500吨保管费用政策性项目支出绩效自评情况作如下报告。</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32" w:firstLineChars="200"/>
        <w:jc w:val="left"/>
        <w:textAlignment w:val="auto"/>
        <w:rPr>
          <w:rFonts w:hint="eastAsia"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一、财政政策基本情况</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32" w:firstLineChars="200"/>
        <w:jc w:val="both"/>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区裕宏粮油购销有限公司共</w:t>
      </w:r>
      <w:r>
        <w:rPr>
          <w:rFonts w:hint="eastAsia" w:ascii="仿宋_GB2312" w:hAnsi="仿宋_GB2312" w:eastAsia="仿宋_GB2312" w:cs="仿宋_GB2312"/>
          <w:b w:val="0"/>
          <w:bCs w:val="0"/>
          <w:color w:val="000000"/>
          <w:spacing w:val="0"/>
          <w:kern w:val="2"/>
          <w:sz w:val="32"/>
          <w:szCs w:val="32"/>
          <w:lang w:val="en-US" w:eastAsia="zh-CN" w:bidi="ar-SA"/>
        </w:rPr>
        <w:t>储存区级储备原粮2500吨（其中：小麦1500吨、稻谷1000吨）。</w:t>
      </w:r>
      <w:r>
        <w:rPr>
          <w:rFonts w:hint="eastAsia" w:ascii="仿宋_GB2312" w:hAnsi="仿宋_GB2312" w:eastAsia="仿宋_GB2312" w:cs="仿宋_GB2312"/>
          <w:color w:val="000000"/>
          <w:spacing w:val="0"/>
          <w:kern w:val="2"/>
          <w:sz w:val="32"/>
          <w:szCs w:val="32"/>
          <w:lang w:val="en-US" w:eastAsia="zh-CN" w:bidi="ar-SA"/>
        </w:rPr>
        <w:t>2023年全年财政预算储备粮原粮保管费用补贴32.5万元。该储备原粮</w:t>
      </w:r>
      <w:r>
        <w:rPr>
          <w:rFonts w:hint="eastAsia" w:ascii="仿宋_GB2312" w:hAnsi="仿宋_GB2312" w:eastAsia="仿宋_GB2312" w:cs="仿宋_GB2312"/>
          <w:b w:val="0"/>
          <w:bCs w:val="0"/>
          <w:spacing w:val="0"/>
          <w:kern w:val="2"/>
          <w:sz w:val="32"/>
          <w:szCs w:val="32"/>
          <w:lang w:val="en-US" w:eastAsia="zh-CN" w:bidi="ar-SA"/>
        </w:rPr>
        <w:t>用于调节全区粮油供求总量，稳定粮食市场，应对重大自然灾害，重大疫情或其他突发公共事件。</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32" w:firstLineChars="200"/>
        <w:jc w:val="left"/>
        <w:textAlignment w:val="auto"/>
        <w:rPr>
          <w:rFonts w:hint="eastAsia"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二、评价工作开展情况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2"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按照《广元市朝天区区级储备粮油管理办法》和《广元市朝天区区级储备粮油补贴资金管理办法》的相关规定，结合区裕宏粮油购销有限公司储存区级储备粮油的实际情况，我们积极组织开展对区级储备原粮进行了绩效自评，确保我区储备的原粮数量的准确和真实性。</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32" w:firstLineChars="200"/>
        <w:jc w:val="left"/>
        <w:textAlignment w:val="auto"/>
        <w:rPr>
          <w:rFonts w:hint="eastAsia"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三、政策绩效情况</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32" w:firstLineChars="200"/>
        <w:jc w:val="left"/>
        <w:textAlignment w:val="auto"/>
        <w:rPr>
          <w:rFonts w:hint="eastAsia" w:ascii="楷体" w:hAnsi="楷体" w:eastAsia="楷体" w:cs="楷体"/>
          <w:b w:val="0"/>
          <w:bCs w:val="0"/>
          <w:spacing w:val="0"/>
          <w:kern w:val="2"/>
          <w:sz w:val="32"/>
          <w:szCs w:val="32"/>
          <w:lang w:val="en-US" w:eastAsia="zh-CN" w:bidi="ar-SA"/>
        </w:rPr>
      </w:pPr>
      <w:r>
        <w:rPr>
          <w:rFonts w:hint="eastAsia" w:ascii="楷体" w:hAnsi="楷体" w:eastAsia="楷体" w:cs="楷体"/>
          <w:b w:val="0"/>
          <w:bCs w:val="0"/>
          <w:spacing w:val="0"/>
          <w:kern w:val="2"/>
          <w:sz w:val="32"/>
          <w:szCs w:val="32"/>
          <w:lang w:val="en-US" w:eastAsia="zh-CN" w:bidi="ar-SA"/>
        </w:rPr>
        <w:t>（一）政策设计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32" w:firstLineChars="200"/>
        <w:jc w:val="both"/>
        <w:textAlignment w:val="auto"/>
        <w:rPr>
          <w:rFonts w:hint="eastAsia" w:ascii="仿宋_GB2312" w:hAnsi="仿宋_GB2312" w:eastAsia="仿宋_GB2312" w:cs="仿宋_GB2312"/>
          <w:bCs/>
          <w:spacing w:val="0"/>
          <w:kern w:val="2"/>
          <w:sz w:val="32"/>
          <w:szCs w:val="32"/>
          <w:lang w:val="en-US" w:eastAsia="zh-CN" w:bidi="ar-SA"/>
        </w:rPr>
      </w:pPr>
      <w:r>
        <w:rPr>
          <w:rFonts w:hint="eastAsia" w:ascii="仿宋_GB2312" w:hAnsi="仿宋_GB2312" w:eastAsia="仿宋_GB2312" w:cs="仿宋_GB2312"/>
          <w:bCs/>
          <w:spacing w:val="0"/>
          <w:kern w:val="2"/>
          <w:sz w:val="32"/>
          <w:szCs w:val="32"/>
          <w:lang w:val="en-US" w:eastAsia="zh-CN" w:bidi="ar-SA"/>
        </w:rPr>
        <w:t>按照</w:t>
      </w:r>
      <w:r>
        <w:rPr>
          <w:rFonts w:hint="eastAsia" w:ascii="仿宋_GB2312" w:hAnsi="仿宋_GB2312" w:eastAsia="仿宋_GB2312" w:cs="仿宋_GB2312"/>
          <w:b w:val="0"/>
          <w:bCs w:val="0"/>
          <w:spacing w:val="0"/>
          <w:kern w:val="2"/>
          <w:sz w:val="32"/>
          <w:szCs w:val="32"/>
          <w:lang w:val="en-US" w:eastAsia="zh-CN" w:bidi="ar-SA"/>
        </w:rPr>
        <w:t>《广元市朝天区区级储备粮油补贴资金管理办法》的相关规定，区级储备粮油补贴资金由区财政预算安排，专门用于区级储备粮油各项补贴以及银行贷款利息的补贴资金,包含保管费用、轮换费用、轮换价差以及银行贷款利息等。原粮保管费用补贴标准为每年130元/吨。</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32" w:firstLineChars="200"/>
        <w:jc w:val="left"/>
        <w:textAlignment w:val="auto"/>
        <w:rPr>
          <w:rFonts w:hint="eastAsia" w:ascii="楷体" w:hAnsi="楷体" w:eastAsia="楷体" w:cs="楷体"/>
          <w:b w:val="0"/>
          <w:bCs w:val="0"/>
          <w:spacing w:val="0"/>
          <w:kern w:val="2"/>
          <w:sz w:val="32"/>
          <w:szCs w:val="32"/>
          <w:lang w:val="en-US" w:eastAsia="zh-CN" w:bidi="ar-SA"/>
        </w:rPr>
      </w:pPr>
      <w:r>
        <w:rPr>
          <w:rFonts w:hint="eastAsia" w:ascii="楷体" w:hAnsi="楷体" w:eastAsia="楷体" w:cs="楷体"/>
          <w:b w:val="0"/>
          <w:bCs w:val="0"/>
          <w:spacing w:val="0"/>
          <w:kern w:val="2"/>
          <w:sz w:val="32"/>
          <w:szCs w:val="32"/>
          <w:lang w:val="en-US" w:eastAsia="zh-CN" w:bidi="ar-SA"/>
        </w:rPr>
        <w:t>（二）政策执行</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632"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2023年我区共库存政策性原粮2500吨，(其中:小麦1500吨、稻谷1000吨）。均存于裕宏粮油购销有限公司朝天粮库1至3号仓。按照地方储备粮油管理办法相关要求，2023年该库原粮抽样送检2次，均符合相关品质要求，同时由区发改、财政，农发行等相关部门按月监督检查，确保储粮安全，管理规范。</w:t>
      </w:r>
      <w:r>
        <w:rPr>
          <w:rFonts w:hint="eastAsia" w:ascii="仿宋_GB2312" w:hAnsi="仿宋_GB2312" w:eastAsia="仿宋_GB2312" w:cs="仿宋_GB2312"/>
          <w:color w:val="000000"/>
          <w:spacing w:val="0"/>
          <w:kern w:val="2"/>
          <w:sz w:val="32"/>
          <w:szCs w:val="32"/>
          <w:lang w:val="en-US" w:eastAsia="zh-CN" w:bidi="ar-SA"/>
        </w:rPr>
        <w:t>储备原粮保管费用补贴32.5万元，并</w:t>
      </w:r>
      <w:r>
        <w:rPr>
          <w:rFonts w:hint="eastAsia" w:ascii="仿宋_GB2312" w:hAnsi="仿宋_GB2312" w:eastAsia="仿宋_GB2312" w:cs="仿宋_GB2312"/>
          <w:spacing w:val="0"/>
          <w:kern w:val="2"/>
          <w:sz w:val="32"/>
          <w:szCs w:val="32"/>
          <w:lang w:val="en-US" w:eastAsia="zh-CN" w:bidi="ar-SA"/>
        </w:rPr>
        <w:t>严格按照财务管理制度及完成情况进行支付，财务处理及时、会计核算规范。</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32" w:firstLineChars="200"/>
        <w:jc w:val="left"/>
        <w:textAlignment w:val="auto"/>
        <w:rPr>
          <w:rFonts w:hint="eastAsia" w:ascii="楷体" w:hAnsi="楷体" w:eastAsia="楷体" w:cs="楷体"/>
          <w:b w:val="0"/>
          <w:bCs w:val="0"/>
          <w:spacing w:val="0"/>
          <w:kern w:val="2"/>
          <w:sz w:val="32"/>
          <w:szCs w:val="32"/>
          <w:lang w:val="en-US" w:eastAsia="zh-CN" w:bidi="ar-SA"/>
        </w:rPr>
      </w:pPr>
      <w:r>
        <w:rPr>
          <w:rFonts w:hint="eastAsia" w:ascii="楷体" w:hAnsi="楷体" w:eastAsia="楷体" w:cs="楷体"/>
          <w:b w:val="0"/>
          <w:bCs w:val="0"/>
          <w:spacing w:val="0"/>
          <w:kern w:val="2"/>
          <w:sz w:val="32"/>
          <w:szCs w:val="32"/>
          <w:lang w:val="en-US" w:eastAsia="zh-CN" w:bidi="ar-SA"/>
        </w:rPr>
        <w:t>（三）政策效果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32" w:firstLineChars="200"/>
        <w:jc w:val="both"/>
        <w:textAlignment w:val="auto"/>
        <w:rPr>
          <w:rFonts w:hint="eastAsia" w:ascii="仿宋_GB2312" w:hAnsi="仿宋_GB2312" w:eastAsia="仿宋_GB2312" w:cs="仿宋_GB2312"/>
          <w:bCs/>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按照《广元市朝天区区级储备粮油管理办法》和《广元市朝天区区级储备粮油补贴资金管理办法》的相关规定</w:t>
      </w:r>
      <w:r>
        <w:rPr>
          <w:rFonts w:hint="eastAsia" w:ascii="仿宋_GB2312" w:hAnsi="仿宋_GB2312" w:eastAsia="仿宋_GB2312" w:cs="仿宋_GB2312"/>
          <w:spacing w:val="0"/>
          <w:kern w:val="2"/>
          <w:sz w:val="32"/>
          <w:szCs w:val="32"/>
          <w:lang w:val="en-US" w:eastAsia="zh-CN" w:bidi="ar-SA"/>
        </w:rPr>
        <w:t>，区级财政承担原粮保管费用32.5万元，已在2023年全部到位。区裕宏粮油购销有限公司保证区级储备原粮的数量真实，质量完好，储存安全，有效调节了全区粮油供求总量，稳定粮油市场，能及时应对重大自然灾害和其他突发事件，服务对象认可度≥90%以上。</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32" w:firstLineChars="200"/>
        <w:jc w:val="left"/>
        <w:textAlignment w:val="auto"/>
        <w:rPr>
          <w:rFonts w:hint="eastAsia"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四、存在问题</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32" w:firstLineChars="200"/>
        <w:jc w:val="lef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无。</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32" w:firstLineChars="200"/>
        <w:jc w:val="left"/>
        <w:textAlignment w:val="auto"/>
        <w:rPr>
          <w:rFonts w:hint="eastAsia"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五、相关建议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32" w:firstLineChars="200"/>
        <w:jc w:val="both"/>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无</w:t>
      </w:r>
      <w:r>
        <w:rPr>
          <w:rFonts w:hint="eastAsia" w:ascii="仿宋_GB2312" w:hAnsi="仿宋_GB2312" w:eastAsia="仿宋_GB2312" w:cs="仿宋_GB2312"/>
          <w:color w:val="000000"/>
          <w:spacing w:val="0"/>
          <w:kern w:val="2"/>
          <w:sz w:val="32"/>
          <w:szCs w:val="32"/>
          <w:lang w:val="en-US" w:eastAsia="zh-CN" w:bidi="ar-SA"/>
        </w:rPr>
        <w:t>。</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4368" w:firstLineChars="1400"/>
        <w:jc w:val="both"/>
        <w:textAlignment w:val="auto"/>
        <w:rPr>
          <w:rFonts w:hint="eastAsia" w:ascii="仿宋_GB2312" w:hAnsi="仿宋_GB2312" w:eastAsia="仿宋_GB2312" w:cs="仿宋_GB2312"/>
          <w:spacing w:val="0"/>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4368" w:firstLineChars="1400"/>
        <w:jc w:val="both"/>
        <w:textAlignment w:val="auto"/>
        <w:rPr>
          <w:rFonts w:hint="eastAsia" w:ascii="仿宋_GB2312" w:hAnsi="仿宋_GB2312" w:eastAsia="仿宋_GB2312" w:cs="仿宋_GB2312"/>
          <w:spacing w:val="0"/>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4368" w:firstLineChars="1400"/>
        <w:jc w:val="both"/>
        <w:textAlignment w:val="auto"/>
        <w:rPr>
          <w:rFonts w:hint="eastAsia" w:ascii="仿宋_GB2312" w:hAnsi="仿宋_GB2312" w:eastAsia="仿宋_GB2312" w:cs="仿宋_GB2312"/>
          <w:spacing w:val="0"/>
          <w:w w:val="99"/>
          <w:kern w:val="2"/>
          <w:sz w:val="32"/>
          <w:szCs w:val="32"/>
          <w:lang w:val="en-US" w:eastAsia="zh-CN" w:bidi="ar-SA"/>
        </w:rPr>
      </w:pPr>
      <w:r>
        <w:rPr>
          <w:rFonts w:hint="eastAsia" w:ascii="仿宋_GB2312" w:hAnsi="仿宋_GB2312" w:eastAsia="仿宋_GB2312" w:cs="仿宋_GB2312"/>
          <w:spacing w:val="0"/>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4992" w:firstLineChars="1600"/>
        <w:jc w:val="both"/>
        <w:textAlignment w:val="auto"/>
        <w:rPr>
          <w:rFonts w:hint="eastAsia" w:ascii="仿宋_GB2312" w:hAnsi="仿宋_GB2312" w:eastAsia="仿宋_GB2312" w:cs="仿宋_GB2312"/>
          <w:spacing w:val="0"/>
          <w:w w:val="99"/>
          <w:kern w:val="2"/>
          <w:sz w:val="32"/>
          <w:szCs w:val="32"/>
          <w:lang w:val="en-US" w:eastAsia="zh-CN" w:bidi="ar-SA"/>
        </w:rPr>
      </w:pPr>
      <w:r>
        <w:rPr>
          <w:rFonts w:hint="eastAsia" w:ascii="仿宋_GB2312" w:hAnsi="仿宋_GB2312" w:eastAsia="仿宋_GB2312" w:cs="仿宋_GB2312"/>
          <w:spacing w:val="0"/>
          <w:w w:val="99"/>
          <w:kern w:val="2"/>
          <w:sz w:val="32"/>
          <w:szCs w:val="32"/>
          <w:lang w:val="en-US" w:eastAsia="zh-CN" w:bidi="ar-SA"/>
        </w:rPr>
        <w:t>2024年6月24日</w:t>
      </w: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widowControl w:val="0"/>
        <w:ind w:left="1256" w:leftChars="200" w:hanging="624" w:hangingChars="200"/>
        <w:jc w:val="both"/>
        <w:rPr>
          <w:rFonts w:hint="eastAsia" w:ascii="仿宋_GB2312" w:hAnsi="仿宋_GB2312" w:eastAsia="仿宋_GB2312" w:cs="仿宋_GB2312"/>
          <w:spacing w:val="0"/>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20"/>
          <w:kern w:val="2"/>
          <w:sz w:val="44"/>
          <w:szCs w:val="44"/>
          <w:lang w:val="en-US" w:eastAsia="zh-CN" w:bidi="ar-SA"/>
        </w:rPr>
      </w:pP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20"/>
          <w:kern w:val="2"/>
          <w:sz w:val="44"/>
          <w:szCs w:val="44"/>
          <w:lang w:val="en-US" w:eastAsia="zh-CN" w:bidi="ar-SA"/>
        </w:rPr>
      </w:pPr>
      <w:r>
        <w:rPr>
          <w:rFonts w:hint="eastAsia" w:ascii="方正小标宋简体" w:hAnsi="方正小标宋简体" w:eastAsia="方正小标宋简体" w:cs="方正小标宋简体"/>
          <w:b w:val="0"/>
          <w:bCs w:val="0"/>
          <w:spacing w:val="20"/>
          <w:kern w:val="2"/>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20"/>
          <w:kern w:val="2"/>
          <w:sz w:val="44"/>
          <w:szCs w:val="44"/>
          <w:lang w:val="en-US" w:eastAsia="zh-CN" w:bidi="ar-SA"/>
        </w:rPr>
      </w:pPr>
      <w:r>
        <w:rPr>
          <w:rFonts w:hint="eastAsia" w:ascii="方正小标宋简体" w:hAnsi="方正小标宋简体" w:eastAsia="方正小标宋简体" w:cs="方正小标宋简体"/>
          <w:b w:val="0"/>
          <w:bCs w:val="0"/>
          <w:spacing w:val="20"/>
          <w:kern w:val="2"/>
          <w:sz w:val="44"/>
          <w:szCs w:val="44"/>
          <w:lang w:val="en-US" w:eastAsia="zh-CN" w:bidi="ar-SA"/>
        </w:rPr>
        <w:t>关于2023年度小包装大米、菜籽油</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spacing w:val="20"/>
          <w:kern w:val="2"/>
          <w:sz w:val="44"/>
          <w:szCs w:val="44"/>
          <w:lang w:val="en-US" w:eastAsia="zh-CN" w:bidi="ar-SA"/>
        </w:rPr>
        <w:t>轮换费用政策支出绩效自评报告</w:t>
      </w: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仿宋_GB2312" w:eastAsia="仿宋_GB2312" w:cs="仿宋_GB2312"/>
          <w:kern w:val="2"/>
          <w:szCs w:val="2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仿宋_GB2312" w:hAnsi="仿宋_GB2312" w:eastAsia="仿宋_GB2312" w:cs="仿宋_GB2312"/>
          <w:kern w:val="2"/>
          <w:szCs w:val="22"/>
          <w:lang w:val="en-US" w:eastAsia="zh-CN" w:bidi="ar-SA"/>
        </w:rPr>
      </w:pPr>
      <w:r>
        <w:rPr>
          <w:rFonts w:hint="eastAsia" w:ascii="仿宋_GB2312" w:hAnsi="仿宋_GB2312" w:eastAsia="仿宋_GB2312" w:cs="仿宋_GB2312"/>
          <w:kern w:val="2"/>
          <w:szCs w:val="22"/>
          <w:lang w:val="en-US" w:eastAsia="zh-CN" w:bidi="ar-SA"/>
        </w:rPr>
        <w:t>区财政局：</w:t>
      </w:r>
    </w:p>
    <w:p>
      <w:pPr>
        <w:keepNext w:val="0"/>
        <w:keepLines w:val="0"/>
        <w:pageBreakBefore w:val="0"/>
        <w:widowControl w:val="0"/>
        <w:kinsoku/>
        <w:wordWrap/>
        <w:overflowPunct/>
        <w:topLinePunct w:val="0"/>
        <w:autoSpaceDE/>
        <w:autoSpaceDN/>
        <w:bidi w:val="0"/>
        <w:adjustRightInd/>
        <w:spacing w:line="576" w:lineRule="exact"/>
        <w:ind w:firstLine="63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kern w:val="2"/>
          <w:szCs w:val="22"/>
          <w:lang w:val="en-US" w:eastAsia="zh-CN" w:bidi="ar-SA"/>
        </w:rPr>
        <w:t>根据《关于开展2024年部门整体、政策、项目和资本资产绩效自评工作的通知》（广朝财发〔2024〕21号）的文件要求，结合单位实际，现将2023年储备原粮2500吨保管费用政策性项目支出绩效自评情况作如下报告。</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财政政策基本情况</w:t>
      </w:r>
      <w:r>
        <w:rPr>
          <w:rFonts w:hint="eastAsia" w:ascii="黑体" w:hAnsi="黑体" w:eastAsia="黑体" w:cs="黑体"/>
          <w:b w:val="0"/>
          <w:bCs w:val="0"/>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区裕宏粮油购销有限公司共</w:t>
      </w:r>
      <w:r>
        <w:rPr>
          <w:rFonts w:hint="eastAsia" w:ascii="仿宋_GB2312" w:hAnsi="仿宋_GB2312" w:eastAsia="仿宋_GB2312" w:cs="仿宋_GB2312"/>
          <w:b w:val="0"/>
          <w:bCs w:val="0"/>
          <w:color w:val="000000"/>
          <w:kern w:val="2"/>
          <w:sz w:val="32"/>
          <w:szCs w:val="32"/>
          <w:lang w:val="en-US" w:eastAsia="zh-CN" w:bidi="ar-SA"/>
        </w:rPr>
        <w:t>储存区级储备小包装粮油240吨（其中：小包装大米200吨、小包装菜籽油40吨）。</w:t>
      </w:r>
      <w:r>
        <w:rPr>
          <w:rFonts w:hint="eastAsia" w:ascii="仿宋_GB2312" w:hAnsi="仿宋_GB2312" w:eastAsia="仿宋_GB2312" w:cs="仿宋_GB2312"/>
          <w:color w:val="000000"/>
          <w:kern w:val="2"/>
          <w:sz w:val="32"/>
          <w:szCs w:val="32"/>
          <w:lang w:val="en-US" w:eastAsia="zh-CN" w:bidi="ar-SA"/>
        </w:rPr>
        <w:t>2023年全年财政预算储备小包装粮油轮换费用补贴7.68万元。该储备小包装粮油主要</w:t>
      </w:r>
      <w:r>
        <w:rPr>
          <w:rFonts w:hint="eastAsia" w:ascii="仿宋_GB2312" w:hAnsi="仿宋_GB2312" w:eastAsia="仿宋_GB2312" w:cs="仿宋_GB2312"/>
          <w:b w:val="0"/>
          <w:bCs w:val="0"/>
          <w:kern w:val="2"/>
          <w:sz w:val="32"/>
          <w:szCs w:val="32"/>
          <w:lang w:val="en-US" w:eastAsia="zh-CN" w:bidi="ar-SA"/>
        </w:rPr>
        <w:t>用于调节全区粮油供求总量，稳定粮食市场，应对重大自然灾害，重大疫情或其他突发公共事件。</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评价工作开展情况</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储备粮油轮换管理办法》和《广元市朝天区区级小包装成品粮油储备管理办法》的相关规定，结合区裕宏粮油购销有限公司储存的区级小包装储备粮油轮换的实际情况，我们积极开展了绩效自评工作，以确保我区储备的小包装粮油轮换数量的准确和真实性。</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政策绩效情况</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（一）政策设计</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按照</w:t>
      </w:r>
      <w:r>
        <w:rPr>
          <w:rFonts w:hint="eastAsia" w:ascii="仿宋_GB2312" w:hAnsi="仿宋_GB2312" w:eastAsia="仿宋_GB2312" w:cs="仿宋_GB2312"/>
          <w:b w:val="0"/>
          <w:bCs w:val="0"/>
          <w:kern w:val="2"/>
          <w:sz w:val="32"/>
          <w:szCs w:val="32"/>
          <w:lang w:val="en-US" w:eastAsia="zh-CN" w:bidi="ar-SA"/>
        </w:rPr>
        <w:t>《广元市朝天区区级储备粮油轮换管理办法》和《广元市朝天区区级储备粮油补贴资金管理办法》的相关规定，区级储备小包装粮油轮换补贴资金，由区级财政预算安排，专门用于区级储备粮油各项补贴以及银行贷款利息的补贴资金,包含保管费用、轮换费用、轮换价差以及银行贷款利息等。轮换费用补贴标准为：小包装大米轮换补贴标准120元/吨，小包装菜籽油轮换补贴标准120元/吨。小包装成品粮油实行自主轮换，其中小包装大米实行动态轮换方式，小包装菜籽油实行静态轮换方式。储存企业按照“保证数量、保证质量、常储常新”的原则并结合市场状况适时组织实施。轮换周期:小包装成品粮油根据生产保质期限适时轮换，原则上每年至少轮换1次，且在保质期限日1个月前必须完成轮换。2023年储存小包装大米200吨、计划年轮换3次，实行企业自主动态轮换方式；小包装菜籽油40吨，计划轮换1次，通过国家粮食交易中心四川粮油交易中心挂网竞价交易。</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（二）政策执行</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2023年小包装大米库存200吨，</w:t>
      </w:r>
      <w:r>
        <w:rPr>
          <w:rFonts w:hint="eastAsia" w:ascii="仿宋_GB2312" w:hAnsi="仿宋_GB2312" w:eastAsia="仿宋_GB2312" w:cs="仿宋_GB2312"/>
          <w:b w:val="0"/>
          <w:bCs w:val="0"/>
          <w:kern w:val="2"/>
          <w:sz w:val="32"/>
          <w:szCs w:val="32"/>
          <w:lang w:val="en-US" w:eastAsia="zh-CN" w:bidi="ar-SA"/>
        </w:rPr>
        <w:t>企业自主动态轮换。企业与广元市成友米业有限公司签订了小包装大米轮换协议，协议内容按照《广元市朝天区区级小包装成品粮油储备管理办法》的相关规定，确保小包装大米数量、质量、常储常新，</w:t>
      </w:r>
      <w:r>
        <w:rPr>
          <w:rFonts w:hint="eastAsia" w:ascii="仿宋_GB2312" w:hAnsi="仿宋_GB2312" w:eastAsia="仿宋_GB2312" w:cs="仿宋_GB2312"/>
          <w:kern w:val="2"/>
          <w:sz w:val="32"/>
          <w:szCs w:val="32"/>
          <w:lang w:val="en-US" w:eastAsia="zh-CN" w:bidi="ar-SA"/>
        </w:rPr>
        <w:t>严格按照其保质期前1个月之内轮换完成。其形成动态轮换时间分别在2月轮换76吨，5月轮换60吨，7月轮换64吨，9月轮换136吨，12月轮换10吨，累计轮换数量346吨。按照</w:t>
      </w:r>
      <w:r>
        <w:rPr>
          <w:rFonts w:hint="eastAsia" w:ascii="仿宋_GB2312" w:hAnsi="仿宋_GB2312" w:eastAsia="仿宋_GB2312" w:cs="仿宋_GB2312"/>
          <w:b w:val="0"/>
          <w:bCs w:val="0"/>
          <w:kern w:val="2"/>
          <w:sz w:val="32"/>
          <w:szCs w:val="32"/>
          <w:lang w:val="en-US" w:eastAsia="zh-CN" w:bidi="ar-SA"/>
        </w:rPr>
        <w:t>《广元市朝天区区级储备粮油补贴管理办法》的相关规定，小包装大米轮换费用实际为4.152万元（346吨*120元/吨）。</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2023年</w:t>
      </w:r>
      <w:r>
        <w:rPr>
          <w:rFonts w:hint="eastAsia" w:ascii="仿宋_GB2312" w:hAnsi="仿宋_GB2312" w:eastAsia="仿宋_GB2312" w:cs="仿宋_GB2312"/>
          <w:kern w:val="2"/>
          <w:sz w:val="32"/>
          <w:szCs w:val="32"/>
          <w:lang w:val="en-US" w:eastAsia="zh-CN" w:bidi="ar-SA"/>
        </w:rPr>
        <w:t>小包装菜籽油库存40吨。实行静态轮换，</w:t>
      </w:r>
      <w:r>
        <w:rPr>
          <w:rFonts w:hint="eastAsia" w:ascii="仿宋_GB2312" w:hAnsi="仿宋_GB2312" w:eastAsia="仿宋_GB2312" w:cs="仿宋_GB2312"/>
          <w:b w:val="0"/>
          <w:bCs w:val="0"/>
          <w:kern w:val="2"/>
          <w:sz w:val="32"/>
          <w:szCs w:val="32"/>
          <w:lang w:val="en-US" w:eastAsia="zh-CN" w:bidi="ar-SA"/>
        </w:rPr>
        <w:t>在国家粮食交易中心四川粮油交易中心挂网竞价交易。</w:t>
      </w:r>
      <w:r>
        <w:rPr>
          <w:rFonts w:hint="eastAsia" w:ascii="仿宋_GB2312" w:hAnsi="仿宋_GB2312" w:eastAsia="仿宋_GB2312" w:cs="仿宋_GB2312"/>
          <w:kern w:val="2"/>
          <w:sz w:val="32"/>
          <w:szCs w:val="32"/>
          <w:lang w:val="en-US" w:eastAsia="zh-CN" w:bidi="ar-SA"/>
        </w:rPr>
        <w:t>《广元市朝天区发展和改革局关于同意对区级地方储备粮油轮换挂网价格的批复》（广朝发改〔2023〕31号），2023年4月14日在国家粮食交易中心四川粮网轮换竞价（以购竞销），以销售价11600元/吨，采购价13100元/吨交易成功。2023年5月7日小包装菜籽油轮换入库，2023年5月23日区发改局、区财政局、市农发行联合就轮换入库的小包装菜籽油40吨进行检查验收。数量真实，质量符合国家规定二级标准。按照</w:t>
      </w:r>
      <w:r>
        <w:rPr>
          <w:rFonts w:hint="eastAsia" w:ascii="仿宋_GB2312" w:hAnsi="仿宋_GB2312" w:eastAsia="仿宋_GB2312" w:cs="仿宋_GB2312"/>
          <w:b w:val="0"/>
          <w:bCs w:val="0"/>
          <w:kern w:val="2"/>
          <w:sz w:val="32"/>
          <w:szCs w:val="32"/>
          <w:lang w:val="en-US" w:eastAsia="zh-CN" w:bidi="ar-SA"/>
        </w:rPr>
        <w:t>《广元市朝天区区级储备粮油补贴资金管理办法》的相关规定，小包装菜籽油轮换费用实际为0.48万元（40吨*120元/吨）</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N/>
        <w:bidi w:val="0"/>
        <w:spacing w:line="576" w:lineRule="exact"/>
        <w:ind w:left="0" w:leftChars="0" w:firstLine="632" w:firstLineChars="200"/>
        <w:jc w:val="both"/>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color w:val="000000"/>
          <w:kern w:val="2"/>
          <w:sz w:val="32"/>
          <w:szCs w:val="32"/>
          <w:lang w:val="en-US" w:eastAsia="zh-CN" w:bidi="ar-SA"/>
        </w:rPr>
        <w:t>2023年小包装粮油轮换费用按照实际轮换数量进行补贴，实</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际应拨补小包装粮油轮换费用4.63万元，</w:t>
      </w:r>
      <w:r>
        <w:rPr>
          <w:rFonts w:hint="eastAsia" w:ascii="仿宋_GB2312" w:hAnsi="仿宋_GB2312" w:eastAsia="仿宋_GB2312" w:cs="仿宋_GB2312"/>
          <w:kern w:val="2"/>
          <w:sz w:val="32"/>
          <w:szCs w:val="32"/>
          <w:lang w:val="en-US" w:eastAsia="zh-CN" w:bidi="ar-SA"/>
        </w:rPr>
        <w:t>该资金严格按照财务管理制度及完成情况进行支付，财务处理及时、会计核算规范。</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（三）政策效果</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按照《广元市朝天区区级小包装成品粮油储备管理办法》和《广元市朝天区区级储备粮油补贴资金管理办法》的相关规定</w:t>
      </w:r>
      <w:r>
        <w:rPr>
          <w:rFonts w:hint="eastAsia" w:ascii="仿宋_GB2312" w:hAnsi="仿宋_GB2312" w:eastAsia="仿宋_GB2312" w:cs="仿宋_GB2312"/>
          <w:kern w:val="2"/>
          <w:sz w:val="32"/>
          <w:szCs w:val="32"/>
          <w:lang w:val="en-US" w:eastAsia="zh-CN" w:bidi="ar-SA"/>
        </w:rPr>
        <w:t>，区级财政承担（按照实际轮换）小包装大米，菜籽油轮换管费用4.63万元，已在2023年全部到位，确保了小包装粮油储备的安全，管理规范，随时能够发挥成品粮油快捷应对市场突发情况的应急功能，起好政府宏观调控粮食市场的主导作用，切实做好区级小包装成品粮油储备的管理工作。</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存在问题</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项目支出按预算和工作进度执行还需进一步准确。</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相关建议</w:t>
      </w:r>
    </w:p>
    <w:p>
      <w:pPr>
        <w:keepNext w:val="0"/>
        <w:keepLines w:val="0"/>
        <w:pageBreakBefore w:val="0"/>
        <w:widowControl w:val="0"/>
        <w:kinsoku/>
        <w:wordWrap/>
        <w:overflowPunct/>
        <w:topLinePunct w:val="0"/>
        <w:autoSpaceDE/>
        <w:autoSpaceDN/>
        <w:bidi w:val="0"/>
        <w:adjustRightInd/>
        <w:spacing w:line="576" w:lineRule="exact"/>
        <w:ind w:left="0" w:leftChars="0"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加强项目开展进度的跟踪，确保专款专用，保障资金安全。</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仿宋_GB2312" w:eastAsia="仿宋_GB2312" w:cs="仿宋_GB2312"/>
          <w:w w:val="99"/>
          <w:kern w:val="2"/>
          <w:sz w:val="32"/>
          <w:szCs w:val="32"/>
          <w:lang w:val="en-US" w:eastAsia="zh-CN" w:bidi="ar-SA"/>
        </w:rPr>
      </w:pPr>
    </w:p>
    <w:p>
      <w:pPr>
        <w:keepNext w:val="0"/>
        <w:keepLines w:val="0"/>
        <w:pageBreakBefore w:val="0"/>
        <w:widowControl w:val="0"/>
        <w:kinsoku/>
        <w:wordWrap/>
        <w:overflowPunct/>
        <w:topLinePunct w:val="0"/>
        <w:autoSpaceDN/>
        <w:bidi w:val="0"/>
        <w:spacing w:line="576" w:lineRule="exact"/>
        <w:ind w:left="1264" w:leftChars="200" w:hanging="632" w:hangingChars="200"/>
        <w:jc w:val="both"/>
        <w:textAlignment w:val="auto"/>
        <w:rPr>
          <w:rFonts w:hint="eastAsia" w:ascii="仿宋_GB2312" w:hAnsi="仿宋_GB2312" w:eastAsia="仿宋_GB2312" w:cstheme="minorBidi"/>
          <w:kern w:val="2"/>
          <w:sz w:val="32"/>
          <w:szCs w:val="2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left="0" w:leftChars="0" w:firstLine="3744" w:firstLineChars="12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left="0" w:leftChars="0" w:firstLine="4680" w:firstLineChars="15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2024年6月24日</w:t>
      </w:r>
    </w:p>
    <w:p>
      <w:pPr>
        <w:widowControl w:val="0"/>
        <w:jc w:val="both"/>
        <w:rPr>
          <w:rFonts w:hint="eastAsia" w:ascii="仿宋_GB2312" w:hAnsi="仿宋_GB2312" w:eastAsia="仿宋_GB2312" w:cs="仿宋_GB2312"/>
          <w:spacing w:val="0"/>
          <w:w w:val="99"/>
          <w:kern w:val="2"/>
          <w:sz w:val="32"/>
          <w:szCs w:val="32"/>
          <w:lang w:val="en-US" w:eastAsia="zh-CN" w:bidi="ar-SA"/>
        </w:rPr>
      </w:pPr>
    </w:p>
    <w:p>
      <w:pPr>
        <w:widowControl w:val="0"/>
        <w:jc w:val="both"/>
        <w:rPr>
          <w:rFonts w:hint="eastAsia" w:ascii="仿宋_GB2312" w:hAnsi="仿宋_GB2312" w:eastAsia="仿宋_GB2312" w:cs="仿宋_GB2312"/>
          <w:spacing w:val="0"/>
          <w:w w:val="99"/>
          <w:kern w:val="2"/>
          <w:sz w:val="32"/>
          <w:szCs w:val="32"/>
          <w:lang w:val="en-US" w:eastAsia="zh-CN" w:bidi="ar-SA"/>
        </w:rPr>
      </w:pPr>
    </w:p>
    <w:p>
      <w:pPr>
        <w:widowControl w:val="0"/>
        <w:jc w:val="both"/>
        <w:rPr>
          <w:rFonts w:hint="eastAsia" w:ascii="仿宋_GB2312" w:hAnsi="仿宋_GB2312" w:eastAsia="仿宋_GB2312" w:cs="仿宋_GB2312"/>
          <w:spacing w:val="0"/>
          <w:w w:val="99"/>
          <w:kern w:val="2"/>
          <w:sz w:val="32"/>
          <w:szCs w:val="32"/>
          <w:lang w:val="en-US" w:eastAsia="zh-CN" w:bidi="ar-SA"/>
        </w:rPr>
      </w:pPr>
    </w:p>
    <w:p>
      <w:pPr>
        <w:widowControl w:val="0"/>
        <w:jc w:val="both"/>
        <w:rPr>
          <w:rFonts w:hint="eastAsia" w:ascii="仿宋_GB2312" w:hAnsi="仿宋_GB2312" w:eastAsia="仿宋_GB2312" w:cs="仿宋_GB2312"/>
          <w:spacing w:val="0"/>
          <w:w w:val="99"/>
          <w:kern w:val="2"/>
          <w:sz w:val="32"/>
          <w:szCs w:val="32"/>
          <w:lang w:val="en-US" w:eastAsia="zh-CN" w:bidi="ar-SA"/>
        </w:rPr>
      </w:pPr>
    </w:p>
    <w:p>
      <w:pPr>
        <w:widowControl w:val="0"/>
        <w:jc w:val="both"/>
        <w:rPr>
          <w:rFonts w:hint="eastAsia" w:ascii="仿宋_GB2312" w:hAnsi="仿宋_GB2312" w:eastAsia="仿宋_GB2312" w:cs="仿宋_GB2312"/>
          <w:spacing w:val="0"/>
          <w:w w:val="99"/>
          <w:kern w:val="2"/>
          <w:sz w:val="32"/>
          <w:szCs w:val="32"/>
          <w:lang w:val="en-US" w:eastAsia="zh-CN" w:bidi="ar-SA"/>
        </w:rPr>
      </w:pPr>
    </w:p>
    <w:p>
      <w:pPr>
        <w:widowControl w:val="0"/>
        <w:jc w:val="both"/>
        <w:rPr>
          <w:rFonts w:hint="eastAsia" w:ascii="仿宋_GB2312" w:hAnsi="仿宋_GB2312" w:eastAsia="仿宋_GB2312" w:cs="仿宋_GB2312"/>
          <w:spacing w:val="0"/>
          <w:w w:val="99"/>
          <w:kern w:val="2"/>
          <w:sz w:val="32"/>
          <w:szCs w:val="32"/>
          <w:lang w:val="en-US" w:eastAsia="zh-CN" w:bidi="ar-SA"/>
        </w:rPr>
      </w:pPr>
    </w:p>
    <w:p>
      <w:pPr>
        <w:widowControl w:val="0"/>
        <w:jc w:val="both"/>
        <w:rPr>
          <w:rFonts w:hint="eastAsia" w:ascii="仿宋_GB2312" w:hAnsi="仿宋_GB2312" w:eastAsia="仿宋_GB2312" w:cs="仿宋_GB2312"/>
          <w:spacing w:val="0"/>
          <w:w w:val="99"/>
          <w:kern w:val="2"/>
          <w:sz w:val="32"/>
          <w:szCs w:val="32"/>
          <w:lang w:val="en-US" w:eastAsia="zh-CN" w:bidi="ar-SA"/>
        </w:rPr>
      </w:pPr>
    </w:p>
    <w:p>
      <w:pPr>
        <w:widowControl w:val="0"/>
        <w:jc w:val="both"/>
        <w:rPr>
          <w:rFonts w:hint="eastAsia" w:ascii="仿宋_GB2312" w:hAnsi="仿宋_GB2312" w:eastAsia="仿宋_GB2312" w:cs="仿宋_GB2312"/>
          <w:spacing w:val="0"/>
          <w:w w:val="99"/>
          <w:kern w:val="2"/>
          <w:sz w:val="32"/>
          <w:szCs w:val="32"/>
          <w:lang w:val="en-US" w:eastAsia="zh-CN" w:bidi="ar-SA"/>
        </w:rPr>
      </w:pPr>
    </w:p>
    <w:p>
      <w:pPr>
        <w:widowControl w:val="0"/>
        <w:jc w:val="both"/>
        <w:rPr>
          <w:rFonts w:hint="eastAsia" w:ascii="仿宋_GB2312" w:hAnsi="仿宋_GB2312" w:eastAsia="仿宋_GB2312" w:cs="仿宋_GB2312"/>
          <w:spacing w:val="0"/>
          <w:w w:val="99"/>
          <w:kern w:val="2"/>
          <w:sz w:val="32"/>
          <w:szCs w:val="32"/>
          <w:lang w:val="en-US" w:eastAsia="zh-CN" w:bidi="ar-SA"/>
        </w:rPr>
      </w:pPr>
    </w:p>
    <w:p>
      <w:pPr>
        <w:widowControl w:val="0"/>
        <w:jc w:val="both"/>
        <w:rPr>
          <w:rFonts w:hint="eastAsia" w:ascii="仿宋_GB2312" w:hAnsi="仿宋_GB2312" w:eastAsia="仿宋_GB2312" w:cs="仿宋_GB2312"/>
          <w:spacing w:val="0"/>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关于2022年度小包装粮油保管费用</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政策支出绩效自评报告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区财政局：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根据《关于开展2024年部门整体、政策、项目和资本资产绩效自评工作的通知》(广朝财发〔2024〕21号）的文件要求，结合单位实际，现将2022年小包装粮油保管费用政策性项目支出绩效自评情况作如下报告。</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财政政策基本情况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朝天区裕宏粮油购销有限公司共</w:t>
      </w:r>
      <w:r>
        <w:rPr>
          <w:rFonts w:hint="eastAsia" w:ascii="仿宋_GB2312" w:hAnsi="仿宋_GB2312" w:eastAsia="仿宋_GB2312" w:cs="仿宋_GB2312"/>
          <w:b w:val="0"/>
          <w:bCs w:val="0"/>
          <w:color w:val="000000"/>
          <w:kern w:val="2"/>
          <w:sz w:val="32"/>
          <w:szCs w:val="32"/>
          <w:lang w:val="en-US" w:eastAsia="zh-CN" w:bidi="ar-SA"/>
        </w:rPr>
        <w:t>储存区级储备小包装粮油240吨（其中：小包装大米200吨、菜籽油40吨）。</w:t>
      </w:r>
      <w:r>
        <w:rPr>
          <w:rFonts w:hint="eastAsia" w:ascii="仿宋_GB2312" w:hAnsi="仿宋_GB2312" w:eastAsia="仿宋_GB2312" w:cs="仿宋_GB2312"/>
          <w:color w:val="000000"/>
          <w:kern w:val="2"/>
          <w:sz w:val="32"/>
          <w:szCs w:val="32"/>
          <w:lang w:val="en-US" w:eastAsia="zh-CN" w:bidi="ar-SA"/>
        </w:rPr>
        <w:t>2022年财政预算储备小包装粮油保管费用补贴8.22万元。该储备小包装粮油</w:t>
      </w:r>
      <w:r>
        <w:rPr>
          <w:rFonts w:hint="eastAsia" w:ascii="仿宋_GB2312" w:hAnsi="仿宋_GB2312" w:eastAsia="仿宋_GB2312" w:cs="仿宋_GB2312"/>
          <w:b w:val="0"/>
          <w:bCs w:val="0"/>
          <w:kern w:val="2"/>
          <w:sz w:val="32"/>
          <w:szCs w:val="32"/>
          <w:lang w:val="en-US" w:eastAsia="zh-CN" w:bidi="ar-SA"/>
        </w:rPr>
        <w:t>用于调节我区粮油供求总量，稳定粮食市场，应对重大自然灾害，重大疫情或其他突发公共事件。</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评价工作开展情况</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小包装成品粮油储备管理办法》和《广元市朝天区区级储备粮油补贴资金管理办法》的相关规定，结合区裕宏粮油购销有限公司储存的区级小包装粮油的实际情况，我们积极组织开展了绩效自评工作，以确保我区储备的小包装粮油数量的准确和真实性。</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政策绩效情况</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（一）政策设计</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按照</w:t>
      </w:r>
      <w:r>
        <w:rPr>
          <w:rFonts w:hint="eastAsia" w:ascii="仿宋_GB2312" w:hAnsi="仿宋_GB2312" w:eastAsia="仿宋_GB2312" w:cs="仿宋_GB2312"/>
          <w:b w:val="0"/>
          <w:bCs w:val="0"/>
          <w:kern w:val="2"/>
          <w:sz w:val="32"/>
          <w:szCs w:val="32"/>
          <w:lang w:val="en-US" w:eastAsia="zh-CN" w:bidi="ar-SA"/>
        </w:rPr>
        <w:t>《广元市朝天区区级储备粮油补贴资金管理办法》的相关规定，区级储备粮油保管费用补贴资金，由区级财政预算安排，专门用于区级储备粮油各项补贴以及银行贷款利息的补贴。资金包含保管费用、轮换费用、轮换价差以及银行贷款利息等。保管费用补贴标准为：小包装</w:t>
      </w:r>
      <w:r>
        <w:rPr>
          <w:rFonts w:hint="eastAsia" w:ascii="仿宋_GB2312" w:hAnsi="仿宋_GB2312" w:eastAsia="仿宋_GB2312" w:cs="仿宋_GB2312"/>
          <w:kern w:val="2"/>
          <w:sz w:val="32"/>
          <w:szCs w:val="32"/>
          <w:lang w:val="en-US" w:eastAsia="zh-CN" w:bidi="ar-SA"/>
        </w:rPr>
        <w:t>大米每年400元/吨、小包装菜籽油每年850元/吨。</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（二）政策执行</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裕宏粮油购销有限公司2022年共储存小包装大米200吨，小包装菜籽油40吨。均存于裕宏粮油购销有限公司羊木粮库1至5号仓。按照地方储备粮油管理办法相关要求，对每批次入库的小包装粮油必须查验质量检测报告，同时由区发改、财政，农发行等相关部门按月监督检查，确保小包装粮油储备安全，管理规范。</w:t>
      </w:r>
      <w:r>
        <w:rPr>
          <w:rFonts w:hint="eastAsia" w:ascii="仿宋_GB2312" w:hAnsi="仿宋_GB2312" w:eastAsia="仿宋_GB2312" w:cs="仿宋_GB2312"/>
          <w:color w:val="000000"/>
          <w:kern w:val="2"/>
          <w:sz w:val="32"/>
          <w:szCs w:val="32"/>
          <w:lang w:val="en-US" w:eastAsia="zh-CN" w:bidi="ar-SA"/>
        </w:rPr>
        <w:t>储备小包装粮油保管费用补贴8.22万元，</w:t>
      </w:r>
      <w:r>
        <w:rPr>
          <w:rFonts w:hint="eastAsia" w:ascii="仿宋_GB2312" w:hAnsi="仿宋_GB2312" w:eastAsia="仿宋_GB2312" w:cs="仿宋_GB2312"/>
          <w:kern w:val="2"/>
          <w:sz w:val="32"/>
          <w:szCs w:val="32"/>
          <w:lang w:val="en-US" w:eastAsia="zh-CN" w:bidi="ar-SA"/>
        </w:rPr>
        <w:t>该资金严格按照财务管理制度及时进行了支付，财务处理及时、会计核算规范。</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（三）政策效果</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按照《广元市朝天区区级小包装成品粮油储备管理办法》和《广元市朝天区区级储备粮油补贴资金管理办法》的相关规定</w:t>
      </w:r>
      <w:r>
        <w:rPr>
          <w:rFonts w:hint="eastAsia" w:ascii="仿宋_GB2312" w:hAnsi="仿宋_GB2312" w:eastAsia="仿宋_GB2312" w:cs="仿宋_GB2312"/>
          <w:kern w:val="2"/>
          <w:sz w:val="32"/>
          <w:szCs w:val="32"/>
          <w:lang w:val="en-US" w:eastAsia="zh-CN" w:bidi="ar-SA"/>
        </w:rPr>
        <w:t>，区级财政承担小包装粮油保管费用8.22万元，已在2022年全部到位，确保了小包装粮油储备工作的顺利开展，能够发挥成品粮油快捷应对市场突发情况的应急功能，起好政府宏观调控粮食市场的主导作用。</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存在问题</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相关建议</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仿宋_GB2312" w:eastAsia="仿宋_GB2312" w:cs="仿宋_GB2312"/>
          <w:w w:val="99"/>
          <w:kern w:val="2"/>
          <w:sz w:val="32"/>
          <w:szCs w:val="32"/>
          <w:lang w:val="en-US" w:eastAsia="zh-CN" w:bidi="ar-SA"/>
        </w:rPr>
      </w:pPr>
    </w:p>
    <w:p>
      <w:pPr>
        <w:keepNext w:val="0"/>
        <w:keepLines w:val="0"/>
        <w:pageBreakBefore w:val="0"/>
        <w:widowControl w:val="0"/>
        <w:kinsoku/>
        <w:wordWrap/>
        <w:overflowPunct/>
        <w:topLinePunct w:val="0"/>
        <w:autoSpaceDN/>
        <w:bidi w:val="0"/>
        <w:spacing w:line="576" w:lineRule="exact"/>
        <w:ind w:left="1044" w:leftChars="200" w:hanging="412" w:hangingChars="200"/>
        <w:jc w:val="both"/>
        <w:textAlignment w:val="auto"/>
        <w:rPr>
          <w:rFonts w:hint="eastAsia" w:asciiTheme="minorHAnsi" w:hAnsiTheme="minorHAnsi" w:eastAsiaTheme="minorEastAsia" w:cstheme="minorBidi"/>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left="0" w:leftChars="0" w:firstLine="3744" w:firstLineChars="12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left="0" w:leftChars="0" w:firstLine="4368" w:firstLineChars="14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2024年6月24日</w:t>
      </w:r>
    </w:p>
    <w:p>
      <w:pPr>
        <w:widowControl w:val="0"/>
        <w:jc w:val="both"/>
        <w:rPr>
          <w:rFonts w:hint="eastAsia" w:ascii="仿宋_GB2312" w:hAnsi="仿宋_GB2312" w:eastAsia="仿宋_GB2312" w:cs="仿宋_GB2312"/>
          <w:spacing w:val="0"/>
          <w:w w:val="99"/>
          <w:kern w:val="2"/>
          <w:sz w:val="32"/>
          <w:szCs w:val="32"/>
          <w:lang w:val="en-US" w:eastAsia="zh-CN" w:bidi="ar-SA"/>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广元市朝天区发展和改革局</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关于2023年度稻谷轮换价差费用</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政策支出绩效自评报告</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区财政局：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方正小标宋简体" w:hAnsi="方正小标宋简体" w:eastAsia="方正小标宋简体" w:cs="方正小标宋简体"/>
          <w:b w:val="0"/>
          <w:bCs w:val="0"/>
          <w:spacing w:val="20"/>
          <w:kern w:val="2"/>
          <w:sz w:val="44"/>
          <w:szCs w:val="44"/>
          <w:lang w:val="en-US" w:eastAsia="zh-CN" w:bidi="ar-SA"/>
        </w:rPr>
      </w:pPr>
      <w:r>
        <w:rPr>
          <w:rFonts w:hint="eastAsia" w:ascii="仿宋_GB2312" w:hAnsi="仿宋_GB2312" w:eastAsia="仿宋_GB2312" w:cs="仿宋_GB2312"/>
          <w:b w:val="0"/>
          <w:bCs w:val="0"/>
          <w:kern w:val="2"/>
          <w:sz w:val="32"/>
          <w:szCs w:val="32"/>
          <w:lang w:val="en-US" w:eastAsia="zh-CN" w:bidi="ar-SA"/>
        </w:rPr>
        <w:t>根据《关于开展2024年部门整体、政策、项目和资本资产绩效自评工作的通知》(广朝财发〔2024〕21号）的文件要求，结合单位实际，现将2023年稻谷轮换价差费用政策性项目支出绩效自评情况作如下报告。</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财政政策基本情况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区裕宏粮油购销有限公司朝天粮库3号仓储存的500吨稻谷在2022年底已到轮换期，并在当年12月进行挂网交易轮换，</w:t>
      </w:r>
      <w:r>
        <w:rPr>
          <w:rFonts w:hint="eastAsia" w:ascii="仿宋_GB2312" w:hAnsi="仿宋_GB2312" w:eastAsia="仿宋_GB2312" w:cs="仿宋_GB2312"/>
          <w:color w:val="000000"/>
          <w:kern w:val="2"/>
          <w:sz w:val="32"/>
          <w:szCs w:val="32"/>
          <w:lang w:val="en-US" w:eastAsia="zh-CN" w:bidi="ar-SA"/>
        </w:rPr>
        <w:t>2023年财政预算储备原粮（稻谷）轮换价差费用补贴27万元。该储备原粮</w:t>
      </w:r>
      <w:r>
        <w:rPr>
          <w:rFonts w:hint="eastAsia" w:ascii="仿宋_GB2312" w:hAnsi="仿宋_GB2312" w:eastAsia="仿宋_GB2312" w:cs="仿宋_GB2312"/>
          <w:b w:val="0"/>
          <w:bCs w:val="0"/>
          <w:kern w:val="2"/>
          <w:sz w:val="32"/>
          <w:szCs w:val="32"/>
          <w:lang w:val="en-US" w:eastAsia="zh-CN" w:bidi="ar-SA"/>
        </w:rPr>
        <w:t>用于调节全区粮油供求总量，稳定粮食市场，应对重大自然灾害，重大疫情或其他突发公共事件。</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评价工作开展情况</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储备粮油管理办法》《广元市朝天区区级储备粮油轮换管理办法》和《广元市朝天区区级储备粮油补贴资金管理办法》的相关规定，结合区裕宏粮油购销有限公司当年稻谷轮换工作的开展情况，我们积极组织对区级储备原粮轮换进行了绩效自评，以确保此次稻谷轮换工作开展的真实性。</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政策绩效情况</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（一）政策设计</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按照《广元市朝天区区级储备粮油轮换管理办法》和</w:t>
      </w:r>
      <w:r>
        <w:rPr>
          <w:rFonts w:hint="eastAsia" w:ascii="仿宋_GB2312" w:hAnsi="仿宋_GB2312" w:eastAsia="仿宋_GB2312" w:cs="仿宋_GB2312"/>
          <w:b w:val="0"/>
          <w:bCs w:val="0"/>
          <w:kern w:val="2"/>
          <w:sz w:val="32"/>
          <w:szCs w:val="32"/>
          <w:lang w:val="en-US" w:eastAsia="zh-CN" w:bidi="ar-SA"/>
        </w:rPr>
        <w:t>《广元市朝天区区级储备粮油补贴资金管理办法》的相关规定，区级储备粮油轮换价差补贴资金，由区级财政预算安排，专门用于区级储备粮油各项补贴以及银行贷款利息补贴。资金包含保管费用、轮换费用、轮换价差以及银行贷款利息等。</w:t>
      </w:r>
      <w:r>
        <w:rPr>
          <w:rFonts w:hint="eastAsia" w:ascii="仿宋_GB2312" w:hAnsi="仿宋_GB2312" w:eastAsia="仿宋_GB2312" w:cs="仿宋_GB2312"/>
          <w:bCs/>
          <w:kern w:val="2"/>
          <w:sz w:val="32"/>
          <w:szCs w:val="32"/>
          <w:lang w:val="en-US" w:eastAsia="zh-CN" w:bidi="ar-SA"/>
        </w:rPr>
        <w:t>此次轮换按照区委领导批示同意</w:t>
      </w:r>
      <w:r>
        <w:rPr>
          <w:rFonts w:hint="eastAsia" w:ascii="仿宋_GB2312" w:hAnsi="仿宋_GB2312" w:eastAsia="仿宋_GB2312" w:cs="仿宋_GB2312"/>
          <w:kern w:val="2"/>
          <w:sz w:val="32"/>
          <w:szCs w:val="32"/>
          <w:lang w:val="en-US" w:eastAsia="zh-CN" w:bidi="ar-SA"/>
        </w:rPr>
        <w:t>《广元市朝天区发展和改革局关于同意2022年区级地方储备粮轮换的请示》（广朝发改〔2022〕118号），</w:t>
      </w:r>
      <w:r>
        <w:rPr>
          <w:rFonts w:hint="eastAsia" w:ascii="仿宋_GB2312" w:hAnsi="仿宋_GB2312" w:eastAsia="仿宋_GB2312" w:cs="仿宋_GB2312"/>
          <w:bCs/>
          <w:kern w:val="2"/>
          <w:sz w:val="32"/>
          <w:szCs w:val="32"/>
          <w:lang w:val="en-US" w:eastAsia="zh-CN" w:bidi="ar-SA"/>
        </w:rPr>
        <w:t>经区财政局，区发展和改革局、市农业发展银行协同区裕宏粮油购销有限公司一行，先后到广元、旺苍、剑阁等地进行询价和考察，最后</w:t>
      </w:r>
      <w:r>
        <w:rPr>
          <w:rFonts w:hint="eastAsia" w:ascii="仿宋_GB2312" w:hAnsi="仿宋_GB2312" w:eastAsia="仿宋_GB2312" w:cs="仿宋_GB2312"/>
          <w:kern w:val="2"/>
          <w:sz w:val="32"/>
          <w:szCs w:val="32"/>
          <w:lang w:val="en-US" w:eastAsia="zh-CN" w:bidi="ar-SA"/>
        </w:rPr>
        <w:t>严格按照程序通过</w:t>
      </w:r>
      <w:r>
        <w:rPr>
          <w:rFonts w:hint="eastAsia" w:ascii="仿宋_GB2312" w:hAnsi="仿宋_GB2312" w:eastAsia="仿宋_GB2312" w:cs="仿宋_GB2312"/>
          <w:b w:val="0"/>
          <w:bCs w:val="0"/>
          <w:kern w:val="2"/>
          <w:sz w:val="32"/>
          <w:szCs w:val="32"/>
          <w:lang w:val="en-US" w:eastAsia="zh-CN" w:bidi="ar-SA"/>
        </w:rPr>
        <w:t>国家粮食交易中心四川粮油交易网竞价交易。</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（二）政策执行</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广元市朝天区发展和改革局关于同意对区级地方储备粮油轮换第二次挂网价格的批复》（广朝发改〔2022〕132号），2022年12月6日经四川省粮油批发交易中心四川粮网挂网竞价销售储备粮稻谷500吨，单价2480元/吨。2022年12月9日以单价2610元/吨成交，价款130.5万元,与四川金锐粮油有限公司签订地方储备粮竞价（销售）交易买卖合同。2022年12月27日完成轮换出库。按照《广元市朝天区发展和改革局关于同意对区级地方储备粮油轮换采购第二次挂网价格的批复》（广朝发改〔2022〕137号），2022年12月21日经四川省粮油批发交易中心挂网竞价采购储备粮稻谷500吨，单价3150元/吨。2022年12月26日以单价3150元/吨成交，价款157.5万元，与贵州勤仁贸易有限公司签订地方储备粮竞价（采购）交易买卖合同。2022年12月29日由区发改局会同区财政、市农发行对区裕宏粮油购销有限公司朝天粮库3号仓进行了空仓验收。2023年2月19日储备粮稻谷500吨轮换入库完毕，储存于区裕宏粮油购销有限公司朝天粮库3号仓。2023年2月28日由区发改局会同区财政、市农发行、区市场监督管理局对此次轮换的稻谷数量质量及入库程序进行了验收。该次轮换形成</w:t>
      </w:r>
      <w:r>
        <w:rPr>
          <w:rFonts w:hint="eastAsia" w:ascii="仿宋_GB2312" w:hAnsi="仿宋_GB2312" w:eastAsia="仿宋_GB2312" w:cs="仿宋_GB2312"/>
          <w:color w:val="000000"/>
          <w:kern w:val="2"/>
          <w:sz w:val="32"/>
          <w:szCs w:val="32"/>
          <w:lang w:val="en-US" w:eastAsia="zh-CN" w:bidi="ar-SA"/>
        </w:rPr>
        <w:t>价差费用补贴27万元</w:t>
      </w:r>
      <w:r>
        <w:rPr>
          <w:rFonts w:hint="eastAsia" w:ascii="仿宋_GB2312" w:hAnsi="仿宋_GB2312" w:eastAsia="仿宋_GB2312" w:cs="仿宋_GB2312"/>
          <w:kern w:val="2"/>
          <w:sz w:val="32"/>
          <w:szCs w:val="32"/>
          <w:lang w:val="en-US" w:eastAsia="zh-CN" w:bidi="ar-SA"/>
        </w:rPr>
        <w:t>，并严格按照相关财务管理制度及完成情况进行了支付，财务处理及时、会计核算规范。</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（三）政策效果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按照《广元市朝天区区级储备粮油轮换管理办法》和《广元市朝天区区级储备粮油补贴资金管理办法》的相关规定</w:t>
      </w:r>
      <w:r>
        <w:rPr>
          <w:rFonts w:hint="eastAsia" w:ascii="仿宋_GB2312" w:hAnsi="仿宋_GB2312" w:eastAsia="仿宋_GB2312" w:cs="仿宋_GB2312"/>
          <w:kern w:val="2"/>
          <w:sz w:val="32"/>
          <w:szCs w:val="32"/>
          <w:lang w:val="en-US" w:eastAsia="zh-CN" w:bidi="ar-SA"/>
        </w:rPr>
        <w:t>，区级</w:t>
      </w:r>
      <w:r>
        <w:rPr>
          <w:rFonts w:hint="eastAsia" w:ascii="仿宋_GB2312" w:hAnsi="仿宋_GB2312" w:eastAsia="仿宋_GB2312" w:cs="仿宋_GB2312"/>
          <w:color w:val="000000"/>
          <w:kern w:val="2"/>
          <w:sz w:val="32"/>
          <w:szCs w:val="32"/>
          <w:lang w:val="en-US" w:eastAsia="zh-CN" w:bidi="ar-SA"/>
        </w:rPr>
        <w:t>储备原粮（稻谷）轮换价差费用补贴27万元</w:t>
      </w:r>
      <w:r>
        <w:rPr>
          <w:rFonts w:hint="eastAsia" w:ascii="仿宋_GB2312" w:hAnsi="仿宋_GB2312" w:eastAsia="仿宋_GB2312" w:cs="仿宋_GB2312"/>
          <w:kern w:val="2"/>
          <w:sz w:val="32"/>
          <w:szCs w:val="32"/>
          <w:lang w:val="en-US" w:eastAsia="zh-CN" w:bidi="ar-SA"/>
        </w:rPr>
        <w:t>，已在2023年全部到位。保证了区级储备原粮轮换工作的顺利开展，确保数量真实，质量完好，储存安全；有效调节了我区粮油供求总量，稳定粮油市场，能及时应对重大自然灾害和其他突发事件。服务对象认可度≥90%以上。</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存在问题</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相关建议</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keepNext w:val="0"/>
        <w:keepLines w:val="0"/>
        <w:pageBreakBefore w:val="0"/>
        <w:widowControl w:val="0"/>
        <w:kinsoku/>
        <w:wordWrap/>
        <w:overflowPunct/>
        <w:topLinePunct w:val="0"/>
        <w:autoSpaceDE w:val="0"/>
        <w:autoSpaceDN/>
        <w:bidi w:val="0"/>
        <w:adjustRightInd w:val="0"/>
        <w:snapToGrid w:val="0"/>
        <w:spacing w:line="576" w:lineRule="exact"/>
        <w:jc w:val="both"/>
        <w:textAlignment w:val="auto"/>
        <w:rPr>
          <w:rFonts w:hint="eastAsia" w:ascii="仿宋_GB2312" w:hAnsi="仿宋_GB2312" w:eastAsia="仿宋_GB2312" w:cs="仿宋_GB2312"/>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624" w:firstLineChars="200"/>
        <w:jc w:val="both"/>
        <w:textAlignment w:val="auto"/>
        <w:rPr>
          <w:rFonts w:hint="eastAsia" w:ascii="仿宋_GB2312" w:hAnsi="仿宋_GB2312" w:eastAsia="仿宋_GB2312" w:cs="仿宋_GB2312"/>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left="0" w:leftChars="0" w:firstLine="3744" w:firstLineChars="12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left="0" w:leftChars="0" w:firstLine="4368" w:firstLineChars="14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2024年6月24日</w:t>
      </w: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both"/>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关于2022年度小包装粮油轮换费用</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政策支出绩效自评报告</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区财政局：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根据《关于开展2024年部门整体、政策、项目和资本资产绩效自评工作的通知》广朝财发〔2024〕21号）的文件要求，结合单位实际，现将2022年小包装粮油轮换费用政策性项目支出绩效自评情况作如下报告。</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财政政策基本情况</w:t>
      </w:r>
      <w:r>
        <w:rPr>
          <w:rFonts w:hint="eastAsia" w:ascii="黑体" w:hAnsi="黑体" w:eastAsia="黑体" w:cs="黑体"/>
          <w:b w:val="0"/>
          <w:bCs w:val="0"/>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朝天区裕宏粮油购销有限公司共</w:t>
      </w:r>
      <w:r>
        <w:rPr>
          <w:rFonts w:hint="eastAsia" w:ascii="仿宋_GB2312" w:hAnsi="仿宋_GB2312" w:eastAsia="仿宋_GB2312" w:cs="仿宋_GB2312"/>
          <w:b w:val="0"/>
          <w:bCs w:val="0"/>
          <w:color w:val="000000"/>
          <w:kern w:val="2"/>
          <w:sz w:val="32"/>
          <w:szCs w:val="32"/>
          <w:lang w:val="en-US" w:eastAsia="zh-CN" w:bidi="ar-SA"/>
        </w:rPr>
        <w:t>储存区级储备小包装粮油240吨（其中：小包装大米200吨、小包装菜籽油40吨）。</w:t>
      </w:r>
      <w:r>
        <w:rPr>
          <w:rFonts w:hint="eastAsia" w:ascii="仿宋_GB2312" w:hAnsi="仿宋_GB2312" w:eastAsia="仿宋_GB2312" w:cs="仿宋_GB2312"/>
          <w:color w:val="000000"/>
          <w:kern w:val="2"/>
          <w:sz w:val="32"/>
          <w:szCs w:val="32"/>
          <w:lang w:val="en-US" w:eastAsia="zh-CN" w:bidi="ar-SA"/>
        </w:rPr>
        <w:t>2022年全年财政预算储备小包装粮油轮换费用补贴7.68万元。该储备小包装粮油</w:t>
      </w:r>
      <w:r>
        <w:rPr>
          <w:rFonts w:hint="eastAsia" w:ascii="仿宋_GB2312" w:hAnsi="仿宋_GB2312" w:eastAsia="仿宋_GB2312" w:cs="仿宋_GB2312"/>
          <w:b w:val="0"/>
          <w:bCs w:val="0"/>
          <w:kern w:val="2"/>
          <w:sz w:val="32"/>
          <w:szCs w:val="32"/>
          <w:lang w:val="en-US" w:eastAsia="zh-CN" w:bidi="ar-SA"/>
        </w:rPr>
        <w:t>用于调节全区粮油供求总量，稳定粮食市场，应对重大自然灾害，重大疫情或其他突发公共事件。</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评价工作开展情况</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储备粮油轮换管理办法》和《广元市朝天区区级小包装成品粮油储备管理办法》的相关规定，结合区裕宏粮油购销有限公司储存的区级小包装储备粮油的数量和质量，我们积极开展了绩效自评工作，以确保我区储备的小包装粮油轮换数量的准确和真实性。</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政策绩效情况</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（一）政策设计</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按照</w:t>
      </w:r>
      <w:r>
        <w:rPr>
          <w:rFonts w:hint="eastAsia" w:ascii="仿宋_GB2312" w:hAnsi="仿宋_GB2312" w:eastAsia="仿宋_GB2312" w:cs="仿宋_GB2312"/>
          <w:b w:val="0"/>
          <w:bCs w:val="0"/>
          <w:kern w:val="2"/>
          <w:sz w:val="32"/>
          <w:szCs w:val="32"/>
          <w:lang w:val="en-US" w:eastAsia="zh-CN" w:bidi="ar-SA"/>
        </w:rPr>
        <w:t>《广元市朝天区区级储备粮油轮换管理办法》和《广元市朝天区区级储备粮油补贴资金管理办法》的相关规定，区级储备小包装粮油轮换补贴资金，由区级财政预算安排，专门用于区级储备粮油各项补贴以及银行贷款利息的补贴资金,包含保管费用、轮换费用、轮换价差以及银行贷款利息等。轮换费用补贴标准为：小包装大米轮换补贴标准120元/吨，小包装菜籽油轮换补贴标准120元/吨。小包装成品粮油实行自主轮换，其中小包装大米实行动态轮换方式，小包装菜籽油实行静态轮换方式。轮换周期:小包装成品粮油根据生产保质期限适时轮换，原则上每年至少轮换1次，且在保质期限日1个月前必须完成轮换。2022年储存小包装大米200吨、计划年轮换3次，实行企业自主动态轮换方式；小包装菜籽油40吨，计划轮换1次，通过国家粮食交易中心四川粮油交易中心挂网竞价交易。</w:t>
      </w:r>
    </w:p>
    <w:p>
      <w:pPr>
        <w:keepNext w:val="0"/>
        <w:keepLines w:val="0"/>
        <w:pageBreakBefore w:val="0"/>
        <w:widowControl w:val="0"/>
        <w:numPr>
          <w:ilvl w:val="0"/>
          <w:numId w:val="6"/>
        </w:numPr>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政策执行</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2022年小包装大米库存200吨、菜籽油40吨，公司</w:t>
      </w:r>
      <w:r>
        <w:rPr>
          <w:rFonts w:hint="eastAsia" w:ascii="仿宋_GB2312" w:hAnsi="仿宋_GB2312" w:eastAsia="仿宋_GB2312" w:cs="仿宋_GB2312"/>
          <w:b w:val="0"/>
          <w:bCs w:val="0"/>
          <w:kern w:val="2"/>
          <w:sz w:val="32"/>
          <w:szCs w:val="32"/>
          <w:lang w:val="en-US" w:eastAsia="zh-CN" w:bidi="ar-SA"/>
        </w:rPr>
        <w:t>与广元市成友米业有限公司签订了小包装大米、菜籽油轮换协议，协议内容按照《广元市朝天区区级小包装成品粮油储备管理办法》的相关规定，确保小包装粮油的数量、质量、常储常新，</w:t>
      </w:r>
      <w:r>
        <w:rPr>
          <w:rFonts w:hint="eastAsia" w:ascii="仿宋_GB2312" w:hAnsi="仿宋_GB2312" w:eastAsia="仿宋_GB2312" w:cs="仿宋_GB2312"/>
          <w:kern w:val="2"/>
          <w:sz w:val="32"/>
          <w:szCs w:val="32"/>
          <w:lang w:val="en-US" w:eastAsia="zh-CN" w:bidi="ar-SA"/>
        </w:rPr>
        <w:t>严格按照其保质期前1个月之内完成轮换。其形成动态轮换时间分别在2月至4月轮换200吨，5月至8月轮换200吨，9月至12月轮换200吨，累计轮换数量600吨，符合预计轮换数3次。小包装菜籽油库存40吨，</w:t>
      </w:r>
      <w:r>
        <w:rPr>
          <w:rFonts w:hint="eastAsia" w:ascii="仿宋_GB2312" w:hAnsi="仿宋_GB2312" w:eastAsia="仿宋_GB2312" w:cs="仿宋_GB2312"/>
          <w:b w:val="0"/>
          <w:bCs w:val="0"/>
          <w:kern w:val="2"/>
          <w:sz w:val="32"/>
          <w:szCs w:val="32"/>
          <w:lang w:val="en-US" w:eastAsia="zh-CN" w:bidi="ar-SA"/>
        </w:rPr>
        <w:t>企业自主轮换。采用静态轮换方式，每年轮换一次，并在当年3月完成轮换，</w:t>
      </w:r>
      <w:r>
        <w:rPr>
          <w:rFonts w:hint="eastAsia" w:ascii="仿宋_GB2312" w:hAnsi="仿宋_GB2312" w:eastAsia="仿宋_GB2312" w:cs="仿宋_GB2312"/>
          <w:kern w:val="2"/>
          <w:sz w:val="32"/>
          <w:szCs w:val="32"/>
          <w:lang w:val="en-US" w:eastAsia="zh-CN" w:bidi="ar-SA"/>
        </w:rPr>
        <w:t>符合预计轮换数1次。</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储备小包装粮油轮换费用补贴7.68万元，存储企业</w:t>
      </w:r>
      <w:r>
        <w:rPr>
          <w:rFonts w:hint="eastAsia" w:ascii="仿宋_GB2312" w:hAnsi="仿宋_GB2312" w:eastAsia="仿宋_GB2312" w:cs="仿宋_GB2312"/>
          <w:kern w:val="2"/>
          <w:sz w:val="32"/>
          <w:szCs w:val="32"/>
          <w:lang w:val="en-US" w:eastAsia="zh-CN" w:bidi="ar-SA"/>
        </w:rPr>
        <w:t>严格按照相关财务管理制度及完成情况进行了支付，财务处理及时、会计核算规范。</w:t>
      </w:r>
    </w:p>
    <w:p>
      <w:pPr>
        <w:keepNext w:val="0"/>
        <w:keepLines w:val="0"/>
        <w:pageBreakBefore w:val="0"/>
        <w:widowControl w:val="0"/>
        <w:numPr>
          <w:ilvl w:val="0"/>
          <w:numId w:val="6"/>
        </w:numPr>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政策效果</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按照《广元市朝天区区级小包装成品粮油储备管理办法》和《广元市朝天区区级储备粮油补贴资金管理办法》的相关规定</w:t>
      </w:r>
      <w:r>
        <w:rPr>
          <w:rFonts w:hint="eastAsia" w:ascii="仿宋_GB2312" w:hAnsi="仿宋_GB2312" w:eastAsia="仿宋_GB2312" w:cs="仿宋_GB2312"/>
          <w:kern w:val="2"/>
          <w:sz w:val="32"/>
          <w:szCs w:val="32"/>
          <w:lang w:val="en-US" w:eastAsia="zh-CN" w:bidi="ar-SA"/>
        </w:rPr>
        <w:t>，区级财政承担（按照实际轮换）小包装大米，菜籽油轮换费用7.68万元，已在2023年全部到位，确保了小包装粮油储备的安全，管理规范，随时能够发挥成品粮油快捷应对市场突发情况的应急功能，起好政府宏观调控粮食市场的主导作用，切实做好区级小包装成品粮油储备的管理工作。</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存在问题</w:t>
      </w:r>
    </w:p>
    <w:p>
      <w:pPr>
        <w:keepNext w:val="0"/>
        <w:keepLines w:val="0"/>
        <w:pageBreakBefore w:val="0"/>
        <w:widowControl w:val="0"/>
        <w:kinsoku/>
        <w:wordWrap/>
        <w:overflowPunct/>
        <w:topLinePunct w:val="0"/>
        <w:autoSpaceDN/>
        <w:bidi w:val="0"/>
        <w:spacing w:line="576" w:lineRule="exact"/>
        <w:ind w:left="0" w:leftChars="0" w:firstLine="63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无。</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相关建议</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keepNext w:val="0"/>
        <w:keepLines w:val="0"/>
        <w:pageBreakBefore w:val="0"/>
        <w:widowControl w:val="0"/>
        <w:kinsoku/>
        <w:wordWrap/>
        <w:overflowPunct/>
        <w:topLinePunct w:val="0"/>
        <w:autoSpaceDE w:val="0"/>
        <w:autoSpaceDN/>
        <w:bidi w:val="0"/>
        <w:adjustRightInd w:val="0"/>
        <w:snapToGrid w:val="0"/>
        <w:spacing w:line="576" w:lineRule="exact"/>
        <w:ind w:left="0" w:leftChars="0" w:firstLine="624" w:firstLineChars="200"/>
        <w:jc w:val="both"/>
        <w:textAlignment w:val="auto"/>
        <w:rPr>
          <w:rFonts w:hint="eastAsia" w:ascii="仿宋_GB2312" w:hAnsi="仿宋_GB2312" w:eastAsia="仿宋_GB2312" w:cs="仿宋_GB2312"/>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left="0" w:leftChars="0" w:firstLine="3744" w:firstLineChars="1200"/>
        <w:jc w:val="both"/>
        <w:textAlignment w:val="auto"/>
        <w:rPr>
          <w:rFonts w:hint="eastAsia" w:ascii="仿宋_GB2312" w:hAnsi="仿宋_GB2312" w:eastAsia="仿宋_GB2312" w:cs="仿宋_GB2312"/>
          <w:w w:val="99"/>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left="0" w:leftChars="0" w:firstLine="3744" w:firstLineChars="12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left="0" w:leftChars="0" w:firstLine="4680" w:firstLineChars="15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2024年6月24日</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关于2022年度500吨稻谷轮换费用</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政策支出绩效自评报告</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区财政局：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根据《关于开展2024年部门整体、政策、项目和资本资产绩效自评工作的通知》（广朝财发〔2024〕21号）的文件要求，结合单位实际，现将2022年500吨稻谷轮换费用政策性项目支出绩效自评情况作如下报告。</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财政政策基本情况</w:t>
      </w:r>
      <w:r>
        <w:rPr>
          <w:rFonts w:hint="eastAsia" w:ascii="黑体" w:hAnsi="黑体" w:eastAsia="黑体" w:cs="黑体"/>
          <w:b w:val="0"/>
          <w:bCs w:val="0"/>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区裕宏粮油购销有限公司朝天粮库3号仓储存的500吨稻谷在2022年底已到轮换期，并在当年12月进行挂网交易轮换，</w:t>
      </w:r>
      <w:r>
        <w:rPr>
          <w:rFonts w:hint="eastAsia" w:ascii="仿宋_GB2312" w:hAnsi="仿宋_GB2312" w:eastAsia="仿宋_GB2312" w:cs="仿宋_GB2312"/>
          <w:color w:val="000000"/>
          <w:kern w:val="2"/>
          <w:sz w:val="32"/>
          <w:szCs w:val="32"/>
          <w:lang w:val="en-US" w:eastAsia="zh-CN" w:bidi="ar-SA"/>
        </w:rPr>
        <w:t>2022年财政预算储备原粮（稻谷）轮换费用补贴6万元。该储备原粮</w:t>
      </w:r>
      <w:r>
        <w:rPr>
          <w:rFonts w:hint="eastAsia" w:ascii="仿宋_GB2312" w:hAnsi="仿宋_GB2312" w:eastAsia="仿宋_GB2312" w:cs="仿宋_GB2312"/>
          <w:b w:val="0"/>
          <w:bCs w:val="0"/>
          <w:kern w:val="2"/>
          <w:sz w:val="32"/>
          <w:szCs w:val="32"/>
          <w:lang w:val="en-US" w:eastAsia="zh-CN" w:bidi="ar-SA"/>
        </w:rPr>
        <w:t>用于调节全区粮油供求总量，稳定粮食市场，应对重大自然灾害，重大疫情或其他突发公共事件。</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评价工作开展情况</w:t>
      </w:r>
    </w:p>
    <w:p>
      <w:pPr>
        <w:keepNext w:val="0"/>
        <w:keepLines w:val="0"/>
        <w:pageBreakBefore w:val="0"/>
        <w:widowControl w:val="0"/>
        <w:numPr>
          <w:ilvl w:val="0"/>
          <w:numId w:val="0"/>
        </w:numPr>
        <w:kinsoku/>
        <w:wordWrap/>
        <w:overflowPunct/>
        <w:topLinePunct w:val="0"/>
        <w:autoSpaceDE/>
        <w:autoSpaceDN/>
        <w:bidi w:val="0"/>
        <w:adjustRightInd/>
        <w:spacing w:line="576"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储备粮油管理办法》《广元市朝天区区级储备粮油轮换管理办法》和《广元市朝天区区级储备粮油补贴资金管理办法》的相关规定，结合区裕宏粮油购销有限公司当年稻谷轮换工作的开展情况，我们积极组织对区级储备原粮轮换进行了绩效自评，以确保此次稻谷轮换工作开展的真实性。</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政策绩效情况</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（一）政策设计</w:t>
      </w:r>
    </w:p>
    <w:p>
      <w:pPr>
        <w:keepNext w:val="0"/>
        <w:keepLines w:val="0"/>
        <w:pageBreakBefore w:val="0"/>
        <w:widowControl w:val="0"/>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按照《广元市朝天区区级储备粮油轮换管理办法》和</w:t>
      </w:r>
      <w:r>
        <w:rPr>
          <w:rFonts w:hint="eastAsia" w:ascii="仿宋_GB2312" w:hAnsi="仿宋_GB2312" w:eastAsia="仿宋_GB2312" w:cs="仿宋_GB2312"/>
          <w:b w:val="0"/>
          <w:bCs w:val="0"/>
          <w:kern w:val="2"/>
          <w:sz w:val="32"/>
          <w:szCs w:val="32"/>
          <w:lang w:val="en-US" w:eastAsia="zh-CN" w:bidi="ar-SA"/>
        </w:rPr>
        <w:t>《广元市朝天区区级储备粮油补贴资金管理办法》的相关规定，区级储备粮油轮换补贴资金，由区级财政预算安排，专门用于区级储备粮油各项补贴以及银行贷款利息补贴。资金包含保管费用、轮换费用、轮换价差以及银行贷款利息等。轮换费用补贴标准为：稻谷120元/吨，</w:t>
      </w:r>
      <w:r>
        <w:rPr>
          <w:rFonts w:hint="eastAsia" w:ascii="仿宋_GB2312" w:hAnsi="仿宋_GB2312" w:eastAsia="仿宋_GB2312" w:cs="仿宋_GB2312"/>
          <w:bCs/>
          <w:kern w:val="2"/>
          <w:sz w:val="32"/>
          <w:szCs w:val="32"/>
          <w:lang w:val="en-US" w:eastAsia="zh-CN" w:bidi="ar-SA"/>
        </w:rPr>
        <w:t>此次轮换按照区委领导批示同意</w:t>
      </w:r>
      <w:r>
        <w:rPr>
          <w:rFonts w:hint="eastAsia" w:ascii="仿宋_GB2312" w:hAnsi="仿宋_GB2312" w:eastAsia="仿宋_GB2312" w:cs="仿宋_GB2312"/>
          <w:kern w:val="2"/>
          <w:sz w:val="32"/>
          <w:szCs w:val="32"/>
          <w:lang w:val="en-US" w:eastAsia="zh-CN" w:bidi="ar-SA"/>
        </w:rPr>
        <w:t>《广元市朝天区发展和改革局关于同意2022年区级地方储备粮轮换的请示》（广朝发改〔2022〕118号），</w:t>
      </w:r>
      <w:r>
        <w:rPr>
          <w:rFonts w:hint="eastAsia" w:ascii="仿宋_GB2312" w:hAnsi="仿宋_GB2312" w:eastAsia="仿宋_GB2312" w:cs="仿宋_GB2312"/>
          <w:bCs/>
          <w:kern w:val="2"/>
          <w:sz w:val="32"/>
          <w:szCs w:val="32"/>
          <w:lang w:val="en-US" w:eastAsia="zh-CN" w:bidi="ar-SA"/>
        </w:rPr>
        <w:t>经区财政局，区发展和改革局、市农业发展银行协同区裕宏粮油购销有限公司一行，先后到广元、旺苍、剑阁等地进行询价和考察，最后</w:t>
      </w:r>
      <w:r>
        <w:rPr>
          <w:rFonts w:hint="eastAsia" w:ascii="仿宋_GB2312" w:hAnsi="仿宋_GB2312" w:eastAsia="仿宋_GB2312" w:cs="仿宋_GB2312"/>
          <w:kern w:val="2"/>
          <w:sz w:val="32"/>
          <w:szCs w:val="32"/>
          <w:lang w:val="en-US" w:eastAsia="zh-CN" w:bidi="ar-SA"/>
        </w:rPr>
        <w:t>严格按照程序通过</w:t>
      </w:r>
      <w:r>
        <w:rPr>
          <w:rFonts w:hint="eastAsia" w:ascii="仿宋_GB2312" w:hAnsi="仿宋_GB2312" w:eastAsia="仿宋_GB2312" w:cs="仿宋_GB2312"/>
          <w:b w:val="0"/>
          <w:bCs w:val="0"/>
          <w:kern w:val="2"/>
          <w:sz w:val="32"/>
          <w:szCs w:val="32"/>
          <w:lang w:val="en-US" w:eastAsia="zh-CN" w:bidi="ar-SA"/>
        </w:rPr>
        <w:t>国家粮食交易中心四川粮油交易网竞价交易。</w:t>
      </w:r>
    </w:p>
    <w:p>
      <w:pPr>
        <w:keepNext w:val="0"/>
        <w:keepLines w:val="0"/>
        <w:pageBreakBefore w:val="0"/>
        <w:widowControl w:val="0"/>
        <w:numPr>
          <w:ilvl w:val="0"/>
          <w:numId w:val="6"/>
        </w:numPr>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政策执行</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广元市朝天区发展和改革局关于同意对区级地方储备粮油轮换第二次挂网价格的批复》（广朝发改〔2022〕132号），2022年12月6日经四川省粮油批发交易中心四川粮网挂网竞价销售储备粮稻谷500吨，单价2480元/吨。2022年12月9日以单价2610元/吨成交，价款130.5万元。2022年12月27日完成轮换出库。按照《广元市朝天区发展和改革局关于同意对区级地方储备粮油轮换采购第二次挂网价格的批复》（广朝发改〔2022〕137号），2022年12月21日经四川省粮油批发交易中心挂网竞价采购储备粮稻谷500吨，单价3150元/吨。2022年12月26日以单价3150元/吨成交，价款157.5万元。2022年12月29日由区发改局会同区财政、市农发行对区裕宏粮油购销有限公司朝天粮库3号仓进行了空仓验收。2023年2月19储备粮稻谷500吨轮换入库完毕，存放于区裕宏粮油购销有限公司朝天粮库3号仓。2023年2月28日由区发改局会同区财政、市农发行、区市场监督管理局对此次轮换的稻谷数量质量及入库程序进行了验收。该次稻谷轮换</w:t>
      </w:r>
      <w:r>
        <w:rPr>
          <w:rFonts w:hint="eastAsia" w:ascii="仿宋_GB2312" w:hAnsi="仿宋_GB2312" w:eastAsia="仿宋_GB2312" w:cs="仿宋_GB2312"/>
          <w:color w:val="000000"/>
          <w:kern w:val="2"/>
          <w:sz w:val="32"/>
          <w:szCs w:val="32"/>
          <w:lang w:val="en-US" w:eastAsia="zh-CN" w:bidi="ar-SA"/>
        </w:rPr>
        <w:t>费用补贴6万元</w:t>
      </w:r>
      <w:r>
        <w:rPr>
          <w:rFonts w:hint="eastAsia" w:ascii="仿宋_GB2312" w:hAnsi="仿宋_GB2312" w:eastAsia="仿宋_GB2312" w:cs="仿宋_GB2312"/>
          <w:kern w:val="2"/>
          <w:sz w:val="32"/>
          <w:szCs w:val="32"/>
          <w:lang w:val="en-US" w:eastAsia="zh-CN" w:bidi="ar-SA"/>
        </w:rPr>
        <w:t>，并严格按照相关财务管理制度及完成情况进行了支付，财务处理及时、会计核算规范。</w:t>
      </w:r>
    </w:p>
    <w:p>
      <w:pPr>
        <w:keepNext w:val="0"/>
        <w:keepLines w:val="0"/>
        <w:pageBreakBefore w:val="0"/>
        <w:widowControl w:val="0"/>
        <w:numPr>
          <w:ilvl w:val="0"/>
          <w:numId w:val="6"/>
        </w:numPr>
        <w:kinsoku/>
        <w:wordWrap/>
        <w:overflowPunct/>
        <w:topLinePunct w:val="0"/>
        <w:autoSpaceDE w:val="0"/>
        <w:autoSpaceDN/>
        <w:bidi w:val="0"/>
        <w:adjustRightInd/>
        <w:snapToGrid w:val="0"/>
        <w:spacing w:line="576"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政策效果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按照《广元市朝天区区级储备粮油管理办法》和《广元市朝天区区级储备粮油补贴资金管理办法》的相关规定</w:t>
      </w:r>
      <w:r>
        <w:rPr>
          <w:rFonts w:hint="eastAsia" w:ascii="仿宋_GB2312" w:hAnsi="仿宋_GB2312" w:eastAsia="仿宋_GB2312" w:cs="仿宋_GB2312"/>
          <w:kern w:val="2"/>
          <w:sz w:val="32"/>
          <w:szCs w:val="32"/>
          <w:lang w:val="en-US" w:eastAsia="zh-CN" w:bidi="ar-SA"/>
        </w:rPr>
        <w:t>，区级财政承担稻谷轮换费用补贴6万元，已在2023年初全部到位。保证了区级储备原粮轮换工作的顺利开展，确保数量真实，质量完好，储存安全，有效调节了我区粮油供求总量，稳定粮油市场，能及时应对重大自然灾害和其他突发事件。服务对象认可度≥90%以上。</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存在问题</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keepNext w:val="0"/>
        <w:keepLines w:val="0"/>
        <w:pageBreakBefore w:val="0"/>
        <w:widowControl w:val="0"/>
        <w:numPr>
          <w:ilvl w:val="0"/>
          <w:numId w:val="5"/>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相关建议</w:t>
      </w:r>
    </w:p>
    <w:p>
      <w:pPr>
        <w:keepNext w:val="0"/>
        <w:keepLines w:val="0"/>
        <w:pageBreakBefore w:val="0"/>
        <w:widowControl w:val="0"/>
        <w:numPr>
          <w:ilvl w:val="0"/>
          <w:numId w:val="0"/>
        </w:numPr>
        <w:kinsoku/>
        <w:wordWrap/>
        <w:overflowPunct/>
        <w:topLinePunct w:val="0"/>
        <w:autoSpaceDE w:val="0"/>
        <w:autoSpaceDN/>
        <w:bidi w:val="0"/>
        <w:adjustRightInd/>
        <w:snapToGrid w:val="0"/>
        <w:spacing w:line="576" w:lineRule="exact"/>
        <w:ind w:left="0" w:leftChars="0"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建议政府下达轮换指标年度与财政资金预算年度安排一致。</w:t>
      </w:r>
    </w:p>
    <w:p>
      <w:pPr>
        <w:keepNext w:val="0"/>
        <w:keepLines w:val="0"/>
        <w:pageBreakBefore w:val="0"/>
        <w:widowControl w:val="0"/>
        <w:kinsoku/>
        <w:wordWrap/>
        <w:overflowPunct/>
        <w:topLinePunct w:val="0"/>
        <w:autoSpaceDN/>
        <w:bidi w:val="0"/>
        <w:spacing w:line="576" w:lineRule="exact"/>
        <w:ind w:left="0" w:leftChars="0" w:firstLine="632" w:firstLineChars="200"/>
        <w:jc w:val="both"/>
        <w:textAlignment w:val="auto"/>
        <w:rPr>
          <w:rFonts w:hint="eastAsia" w:ascii="仿宋_GB2312" w:hAnsi="仿宋_GB2312" w:eastAsia="仿宋_GB2312" w:cs="仿宋_GB2312"/>
          <w:kern w:val="2"/>
          <w:sz w:val="32"/>
          <w:szCs w:val="22"/>
          <w:lang w:val="en-US" w:eastAsia="zh-CN" w:bidi="ar-SA"/>
        </w:rPr>
      </w:pPr>
    </w:p>
    <w:p>
      <w:pPr>
        <w:keepNext w:val="0"/>
        <w:keepLines w:val="0"/>
        <w:pageBreakBefore w:val="0"/>
        <w:widowControl w:val="0"/>
        <w:kinsoku/>
        <w:wordWrap/>
        <w:overflowPunct/>
        <w:topLinePunct w:val="0"/>
        <w:autoSpaceDE/>
        <w:autoSpaceDN/>
        <w:bidi w:val="0"/>
        <w:adjustRightInd/>
        <w:spacing w:line="576" w:lineRule="exact"/>
        <w:ind w:left="0" w:leftChars="0" w:firstLine="4056" w:firstLineChars="13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autoSpaceDN/>
        <w:bidi w:val="0"/>
        <w:adjustRightInd/>
        <w:spacing w:line="576" w:lineRule="exact"/>
        <w:ind w:firstLine="4680" w:firstLineChars="15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2024年6月24日</w:t>
      </w:r>
    </w:p>
    <w:p>
      <w:pPr>
        <w:keepNext w:val="0"/>
        <w:keepLines w:val="0"/>
        <w:pageBreakBefore w:val="0"/>
        <w:widowControl w:val="0"/>
        <w:kinsoku/>
        <w:wordWrap/>
        <w:overflowPunct/>
        <w:topLinePunct w:val="0"/>
        <w:autoSpaceDE w:val="0"/>
        <w:autoSpaceDN/>
        <w:bidi w:val="0"/>
        <w:adjustRightInd/>
        <w:snapToGrid w:val="0"/>
        <w:spacing w:line="580" w:lineRule="exact"/>
        <w:ind w:left="0" w:leftChars="0" w:right="0" w:rightChars="0" w:firstLine="0" w:firstLineChars="0"/>
        <w:jc w:val="both"/>
        <w:textAlignment w:val="auto"/>
        <w:rPr>
          <w:rFonts w:hint="eastAsia" w:ascii="方正小标宋简体" w:hAnsi="方正小标宋简体" w:eastAsia="方正小标宋简体" w:cs="方正小标宋简体"/>
          <w:b w:val="0"/>
          <w:bCs w:val="0"/>
          <w:spacing w:val="20"/>
          <w:kern w:val="2"/>
          <w:sz w:val="44"/>
          <w:szCs w:val="44"/>
          <w:lang w:val="en-US" w:eastAsia="zh-CN" w:bidi="ar-SA"/>
        </w:rPr>
      </w:pPr>
    </w:p>
    <w:p>
      <w:pPr>
        <w:keepNext w:val="0"/>
        <w:keepLines w:val="0"/>
        <w:pageBreakBefore w:val="0"/>
        <w:widowControl w:val="0"/>
        <w:kinsoku/>
        <w:wordWrap/>
        <w:overflowPunct/>
        <w:topLinePunct w:val="0"/>
        <w:autoSpaceDE w:val="0"/>
        <w:autoSpaceDN/>
        <w:bidi w:val="0"/>
        <w:adjustRightInd/>
        <w:snapToGrid w:val="0"/>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20"/>
          <w:kern w:val="2"/>
          <w:sz w:val="44"/>
          <w:szCs w:val="44"/>
          <w:lang w:val="en-US" w:eastAsia="zh-CN" w:bidi="ar-SA"/>
        </w:rPr>
      </w:pPr>
      <w:r>
        <w:rPr>
          <w:rFonts w:hint="eastAsia" w:ascii="方正小标宋简体" w:hAnsi="方正小标宋简体" w:eastAsia="方正小标宋简体" w:cs="方正小标宋简体"/>
          <w:b w:val="0"/>
          <w:bCs w:val="0"/>
          <w:spacing w:val="20"/>
          <w:kern w:val="2"/>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napToGrid w:val="0"/>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20"/>
          <w:kern w:val="2"/>
          <w:sz w:val="44"/>
          <w:szCs w:val="44"/>
          <w:lang w:val="en-US" w:eastAsia="zh-CN" w:bidi="ar-SA"/>
        </w:rPr>
      </w:pPr>
      <w:r>
        <w:rPr>
          <w:rFonts w:hint="eastAsia" w:ascii="方正小标宋简体" w:hAnsi="方正小标宋简体" w:eastAsia="方正小标宋简体" w:cs="方正小标宋简体"/>
          <w:b w:val="0"/>
          <w:bCs w:val="0"/>
          <w:spacing w:val="20"/>
          <w:kern w:val="2"/>
          <w:sz w:val="44"/>
          <w:szCs w:val="44"/>
          <w:lang w:val="en-US" w:eastAsia="zh-CN" w:bidi="ar-SA"/>
        </w:rPr>
        <w:t>关于2022年区级小包装大米轮换等级价差</w:t>
      </w:r>
    </w:p>
    <w:p>
      <w:pPr>
        <w:keepNext w:val="0"/>
        <w:keepLines w:val="0"/>
        <w:pageBreakBefore w:val="0"/>
        <w:widowControl w:val="0"/>
        <w:kinsoku/>
        <w:wordWrap/>
        <w:overflowPunct/>
        <w:topLinePunct w:val="0"/>
        <w:autoSpaceDE w:val="0"/>
        <w:autoSpaceDN/>
        <w:bidi w:val="0"/>
        <w:adjustRightInd/>
        <w:snapToGrid w:val="0"/>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spacing w:val="20"/>
          <w:kern w:val="2"/>
          <w:sz w:val="44"/>
          <w:szCs w:val="44"/>
          <w:lang w:val="en-US" w:eastAsia="zh-CN" w:bidi="ar-SA"/>
        </w:rPr>
        <w:t>政策支出绩效自评报告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区财政局：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关于开展2024年部门整体、政策、项目和资本资产绩效自评工作的通知》（广朝财发〔2024〕21号）的文件要求，结合单位实际，现将2022年区级小包装大米轮换等级价差费用政策性项目支出绩效自评情况作如下报告。</w:t>
      </w:r>
    </w:p>
    <w:p>
      <w:pPr>
        <w:keepNext w:val="0"/>
        <w:keepLines w:val="0"/>
        <w:pageBreakBefore w:val="0"/>
        <w:widowControl w:val="0"/>
        <w:numPr>
          <w:ilvl w:val="0"/>
          <w:numId w:val="5"/>
        </w:numPr>
        <w:kinsoku/>
        <w:wordWrap/>
        <w:overflowPunct/>
        <w:topLinePunct w:val="0"/>
        <w:autoSpaceDE w:val="0"/>
        <w:autoSpaceDN/>
        <w:bidi w:val="0"/>
        <w:adjustRightInd/>
        <w:snapToGrid w:val="0"/>
        <w:spacing w:line="580"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财政政策基本情况</w:t>
      </w:r>
      <w:r>
        <w:rPr>
          <w:rFonts w:hint="eastAsia" w:ascii="黑体" w:hAnsi="黑体" w:eastAsia="黑体" w:cs="黑体"/>
          <w:b w:val="0"/>
          <w:bCs w:val="0"/>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朝天区裕宏粮油购销有限公司2022年</w:t>
      </w:r>
      <w:r>
        <w:rPr>
          <w:rFonts w:hint="eastAsia" w:ascii="仿宋_GB2312" w:hAnsi="仿宋_GB2312" w:eastAsia="仿宋_GB2312" w:cs="仿宋_GB2312"/>
          <w:b w:val="0"/>
          <w:bCs w:val="0"/>
          <w:color w:val="000000"/>
          <w:kern w:val="2"/>
          <w:sz w:val="32"/>
          <w:szCs w:val="32"/>
          <w:lang w:val="en-US" w:eastAsia="zh-CN" w:bidi="ar-SA"/>
        </w:rPr>
        <w:t>储存的区级储备小包装大米200吨，由于国家对其库存质量等级标准进行了调整，由原存储的国标三级调整为国标二级，形成的价差。</w:t>
      </w:r>
      <w:r>
        <w:rPr>
          <w:rFonts w:hint="eastAsia" w:ascii="仿宋_GB2312" w:hAnsi="仿宋_GB2312" w:eastAsia="仿宋_GB2312" w:cs="仿宋_GB2312"/>
          <w:color w:val="000000"/>
          <w:kern w:val="2"/>
          <w:sz w:val="32"/>
          <w:szCs w:val="32"/>
          <w:lang w:val="en-US" w:eastAsia="zh-CN" w:bidi="ar-SA"/>
        </w:rPr>
        <w:t>2022年全年财政预算储备粮小包装大米轮换价差补贴2.5万元。该储备小包装粮油</w:t>
      </w:r>
      <w:r>
        <w:rPr>
          <w:rFonts w:hint="eastAsia" w:ascii="仿宋_GB2312" w:hAnsi="仿宋_GB2312" w:eastAsia="仿宋_GB2312" w:cs="仿宋_GB2312"/>
          <w:b w:val="0"/>
          <w:bCs w:val="0"/>
          <w:kern w:val="2"/>
          <w:sz w:val="32"/>
          <w:szCs w:val="32"/>
          <w:lang w:val="en-US" w:eastAsia="zh-CN" w:bidi="ar-SA"/>
        </w:rPr>
        <w:t>用于调节全区粮油供求总量，稳定粮食市场，应对重大自然灾害，重大疫情或其他突发公共事件。</w:t>
      </w:r>
    </w:p>
    <w:p>
      <w:pPr>
        <w:keepNext w:val="0"/>
        <w:keepLines w:val="0"/>
        <w:pageBreakBefore w:val="0"/>
        <w:widowControl w:val="0"/>
        <w:numPr>
          <w:ilvl w:val="0"/>
          <w:numId w:val="5"/>
        </w:numPr>
        <w:kinsoku/>
        <w:wordWrap/>
        <w:overflowPunct/>
        <w:topLinePunct w:val="0"/>
        <w:autoSpaceDE w:val="0"/>
        <w:autoSpaceDN/>
        <w:bidi w:val="0"/>
        <w:adjustRightInd/>
        <w:snapToGrid w:val="0"/>
        <w:spacing w:line="580"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评价工作开展情况</w:t>
      </w:r>
    </w:p>
    <w:p>
      <w:pPr>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小包装成品粮油储备管理办法》和《广元市朝天区区级储备粮油补贴资金管理办法》的相关规定，结合区裕宏粮油购销有限公司储存区级小包装大米进行轮换等级调整的实际情况，我们积极开展了绩效自评工作，以确保我区储备的小包装大米轮换等级调整的准确和真实性。</w:t>
      </w:r>
    </w:p>
    <w:p>
      <w:pPr>
        <w:keepNext w:val="0"/>
        <w:keepLines w:val="0"/>
        <w:pageBreakBefore w:val="0"/>
        <w:widowControl w:val="0"/>
        <w:numPr>
          <w:ilvl w:val="0"/>
          <w:numId w:val="5"/>
        </w:numPr>
        <w:kinsoku/>
        <w:wordWrap/>
        <w:overflowPunct/>
        <w:topLinePunct w:val="0"/>
        <w:autoSpaceDE w:val="0"/>
        <w:autoSpaceDN/>
        <w:bidi w:val="0"/>
        <w:adjustRightInd/>
        <w:snapToGrid w:val="0"/>
        <w:spacing w:line="580"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政策绩效情况</w:t>
      </w:r>
    </w:p>
    <w:p>
      <w:pPr>
        <w:keepNext w:val="0"/>
        <w:keepLines w:val="0"/>
        <w:pageBreakBefore w:val="0"/>
        <w:widowControl w:val="0"/>
        <w:kinsoku/>
        <w:wordWrap/>
        <w:overflowPunct/>
        <w:topLinePunct w:val="0"/>
        <w:autoSpaceDE w:val="0"/>
        <w:autoSpaceDN/>
        <w:bidi w:val="0"/>
        <w:adjustRightInd/>
        <w:snapToGrid w:val="0"/>
        <w:spacing w:line="580"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（一）政策设计</w:t>
      </w:r>
    </w:p>
    <w:p>
      <w:pPr>
        <w:keepNext w:val="0"/>
        <w:keepLines w:val="0"/>
        <w:pageBreakBefore w:val="0"/>
        <w:widowControl w:val="0"/>
        <w:kinsoku/>
        <w:wordWrap/>
        <w:overflowPunct/>
        <w:topLinePunct w:val="0"/>
        <w:autoSpaceDE/>
        <w:autoSpaceDN/>
        <w:bidi w:val="0"/>
        <w:adjustRightInd/>
        <w:spacing w:line="580"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储备粮油轮换管理办法》《广元市朝天区区级小包装成品粮油储备管理办法》和《广元市朝天区区级储备粮油补贴资金管理办法》的相关规定，区级储备粮油补贴资金，由区级财政预算安排，专门用于区级储备粮油各项补贴以及银行贷款利息的补贴，资金包含保管费用、轮换费用、轮换价差以及银行贷款利息等。</w:t>
      </w:r>
      <w:r>
        <w:rPr>
          <w:rFonts w:hint="eastAsia" w:ascii="仿宋_GB2312" w:hAnsi="仿宋_GB2312" w:eastAsia="仿宋_GB2312" w:cs="仿宋_GB2312"/>
          <w:kern w:val="2"/>
          <w:sz w:val="32"/>
          <w:szCs w:val="32"/>
          <w:lang w:val="en-US" w:eastAsia="zh-CN" w:bidi="ar-SA"/>
        </w:rPr>
        <w:t>根据四川省发展和改革委员会、四川省粮食和物资储备局、四川省财政厅、中国农业发展银行四川省分行，关于印发《四川省省级储备粮管理暂行办法》的通知和《</w:t>
      </w:r>
      <w:r>
        <w:rPr>
          <w:rFonts w:hint="eastAsia" w:ascii="仿宋_GB2312" w:hAnsi="仿宋_GB2312" w:eastAsia="仿宋_GB2312" w:cs="仿宋_GB2312"/>
          <w:b w:val="0"/>
          <w:bCs w:val="0"/>
          <w:i w:val="0"/>
          <w:iCs w:val="0"/>
          <w:caps w:val="0"/>
          <w:color w:val="333333"/>
          <w:spacing w:val="0"/>
          <w:kern w:val="2"/>
          <w:sz w:val="32"/>
          <w:szCs w:val="32"/>
          <w:shd w:val="clear" w:fill="FFFFFF"/>
          <w:lang w:val="en-US" w:eastAsia="zh-CN" w:bidi="ar-SA"/>
        </w:rPr>
        <w:t>广元市市级小包装成品粮油储备管理办法</w:t>
      </w:r>
      <w:r>
        <w:rPr>
          <w:rFonts w:hint="eastAsia" w:ascii="仿宋_GB2312" w:hAnsi="仿宋_GB2312" w:eastAsia="仿宋_GB2312" w:cs="仿宋_GB2312"/>
          <w:kern w:val="2"/>
          <w:sz w:val="32"/>
          <w:szCs w:val="32"/>
          <w:lang w:val="en-US" w:eastAsia="zh-CN" w:bidi="ar-SA"/>
        </w:rPr>
        <w:t>》的有关要求，对政府储备的成品粮油质量进行了重新调整。原储备的成品粮油质量要求达到国家标准三级及以上，新标准调整为</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国家标准中等及以上（含中等）的</w:t>
      </w:r>
      <w:r>
        <w:rPr>
          <w:rFonts w:hint="eastAsia" w:ascii="仿宋_GB2312" w:hAnsi="仿宋_GB2312" w:eastAsia="仿宋_GB2312" w:cs="仿宋_GB2312"/>
          <w:kern w:val="2"/>
          <w:sz w:val="32"/>
          <w:szCs w:val="32"/>
          <w:lang w:val="en-US" w:eastAsia="zh-CN" w:bidi="ar-SA"/>
        </w:rPr>
        <w:t>质量标准。新标准调整后，储备成品粮大米</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须符合国家标准二级及以上标准。</w:t>
      </w:r>
      <w:r>
        <w:rPr>
          <w:rFonts w:hint="eastAsia" w:ascii="仿宋_GB2312" w:hAnsi="仿宋_GB2312" w:eastAsia="仿宋_GB2312" w:cs="仿宋_GB2312"/>
          <w:kern w:val="2"/>
          <w:sz w:val="32"/>
          <w:szCs w:val="32"/>
          <w:lang w:val="en-US" w:eastAsia="zh-CN" w:bidi="ar-SA"/>
        </w:rPr>
        <w:t>按照上级要求，区裕宏粮油购销有限公司2022年将储备的小包装成品粮大米需从国家标准三级调整为国家标准二级。</w:t>
      </w:r>
    </w:p>
    <w:p>
      <w:pPr>
        <w:keepNext w:val="0"/>
        <w:keepLines w:val="0"/>
        <w:pageBreakBefore w:val="0"/>
        <w:widowControl w:val="0"/>
        <w:kinsoku/>
        <w:wordWrap/>
        <w:overflowPunct/>
        <w:topLinePunct w:val="0"/>
        <w:autoSpaceDE w:val="0"/>
        <w:autoSpaceDN/>
        <w:bidi w:val="0"/>
        <w:adjustRightInd/>
        <w:snapToGrid w:val="0"/>
        <w:spacing w:line="580"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（二）政策执行。</w:t>
      </w:r>
    </w:p>
    <w:p>
      <w:pPr>
        <w:keepNext w:val="0"/>
        <w:keepLines w:val="0"/>
        <w:pageBreakBefore w:val="0"/>
        <w:widowControl w:val="0"/>
        <w:kinsoku/>
        <w:wordWrap/>
        <w:overflowPunct/>
        <w:topLinePunct w:val="0"/>
        <w:autoSpaceDE/>
        <w:autoSpaceDN/>
        <w:bidi w:val="0"/>
        <w:adjustRightInd/>
        <w:spacing w:line="580"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2022年区裕宏粮油购销有限公司储存小包装大米200吨，</w:t>
      </w:r>
      <w:r>
        <w:rPr>
          <w:rFonts w:hint="eastAsia" w:ascii="仿宋_GB2312" w:hAnsi="仿宋_GB2312" w:eastAsia="仿宋_GB2312" w:cs="仿宋_GB2312"/>
          <w:b w:val="0"/>
          <w:bCs w:val="0"/>
          <w:kern w:val="2"/>
          <w:sz w:val="32"/>
          <w:szCs w:val="32"/>
          <w:lang w:val="en-US" w:eastAsia="zh-CN" w:bidi="ar-SA"/>
        </w:rPr>
        <w:t>企业自主动态轮换。企业与广元市成友米业有限公司签订了小包装大米轮换协议，协议内容按照《广元市朝天区区级小包装成品粮油储备管理办法》的相关规定，确保小包装大米数量、质量、常储常新，</w:t>
      </w:r>
      <w:r>
        <w:rPr>
          <w:rFonts w:hint="eastAsia" w:ascii="仿宋_GB2312" w:hAnsi="仿宋_GB2312" w:eastAsia="仿宋_GB2312" w:cs="仿宋_GB2312"/>
          <w:kern w:val="2"/>
          <w:sz w:val="32"/>
          <w:szCs w:val="32"/>
          <w:lang w:val="en-US" w:eastAsia="zh-CN" w:bidi="ar-SA"/>
        </w:rPr>
        <w:t>严格按照其保质期前1个月之内轮换完成。因公司储备的小包装大米质量等级标准调整，按照要求从现有的国标三级调整为国标二级。经区发展和改革局相关股室负责人、公司、合作企业多次协商，达成轮换协议。合作方（成友米业有限公司）同意从6月10日起对我公司库存的200吨三级大米轮换时轮入二级大米，八月底全部轮换完毕，公司承担每吨100元的等级价差，同时承担因等级调整形成包装物（三级包装袋）10000条的差价损失0.5万元，此次小包装大米轮换调整等级形成价差2.5万元，该资金严格按照财务管理制度及完成情况进行了支付，财务处理及时、会计核算规范。</w:t>
      </w:r>
    </w:p>
    <w:p>
      <w:pPr>
        <w:keepNext w:val="0"/>
        <w:keepLines w:val="0"/>
        <w:pageBreakBefore w:val="0"/>
        <w:widowControl w:val="0"/>
        <w:numPr>
          <w:ilvl w:val="0"/>
          <w:numId w:val="0"/>
        </w:numPr>
        <w:kinsoku/>
        <w:wordWrap/>
        <w:overflowPunct/>
        <w:topLinePunct w:val="0"/>
        <w:autoSpaceDE w:val="0"/>
        <w:autoSpaceDN/>
        <w:bidi w:val="0"/>
        <w:adjustRightInd/>
        <w:snapToGrid w:val="0"/>
        <w:spacing w:line="580" w:lineRule="exact"/>
        <w:ind w:left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（三）政策效果</w:t>
      </w:r>
    </w:p>
    <w:p>
      <w:pPr>
        <w:keepNext w:val="0"/>
        <w:keepLines w:val="0"/>
        <w:pageBreakBefore w:val="0"/>
        <w:widowControl w:val="0"/>
        <w:kinsoku/>
        <w:wordWrap/>
        <w:overflowPunct/>
        <w:topLinePunct w:val="0"/>
        <w:autoSpaceDE w:val="0"/>
        <w:autoSpaceDN/>
        <w:bidi w:val="0"/>
        <w:adjustRightInd/>
        <w:snapToGrid w:val="0"/>
        <w:spacing w:line="580"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按照《广元市朝天区区级储备粮油管理办法》和《广元市朝天区区级储备粮油补贴资金管理办法》相关规定</w:t>
      </w:r>
      <w:r>
        <w:rPr>
          <w:rFonts w:hint="eastAsia" w:ascii="仿宋_GB2312" w:hAnsi="仿宋_GB2312" w:eastAsia="仿宋_GB2312" w:cs="仿宋_GB2312"/>
          <w:kern w:val="2"/>
          <w:sz w:val="32"/>
          <w:szCs w:val="32"/>
          <w:lang w:val="en-US" w:eastAsia="zh-CN" w:bidi="ar-SA"/>
        </w:rPr>
        <w:t>，区级</w:t>
      </w:r>
      <w:r>
        <w:rPr>
          <w:rFonts w:hint="eastAsia" w:ascii="仿宋_GB2312" w:hAnsi="仿宋_GB2312" w:eastAsia="仿宋_GB2312" w:cs="仿宋_GB2312"/>
          <w:color w:val="000000"/>
          <w:kern w:val="2"/>
          <w:sz w:val="32"/>
          <w:szCs w:val="32"/>
          <w:lang w:val="en-US" w:eastAsia="zh-CN" w:bidi="ar-SA"/>
        </w:rPr>
        <w:t>财政预算储备小包装大米轮换等级调整形成价差补贴2.5万元，</w:t>
      </w:r>
      <w:r>
        <w:rPr>
          <w:rFonts w:hint="eastAsia" w:ascii="仿宋_GB2312" w:hAnsi="仿宋_GB2312" w:eastAsia="仿宋_GB2312" w:cs="仿宋_GB2312"/>
          <w:kern w:val="2"/>
          <w:sz w:val="32"/>
          <w:szCs w:val="32"/>
          <w:lang w:val="en-US" w:eastAsia="zh-CN" w:bidi="ar-SA"/>
        </w:rPr>
        <w:t>已在2022年全部到位。确保了小包装粮油储备的安全，管理规范，随时能够发挥成品粮油快捷应对市场突发情况的应急功能，起好政府宏观调控粮食市场的主导作用，切实做好区级小包装成品粮油储备的管理工作。</w:t>
      </w:r>
    </w:p>
    <w:p>
      <w:pPr>
        <w:keepNext w:val="0"/>
        <w:keepLines w:val="0"/>
        <w:pageBreakBefore w:val="0"/>
        <w:widowControl w:val="0"/>
        <w:numPr>
          <w:ilvl w:val="0"/>
          <w:numId w:val="5"/>
        </w:numPr>
        <w:kinsoku/>
        <w:wordWrap/>
        <w:overflowPunct/>
        <w:topLinePunct w:val="0"/>
        <w:autoSpaceDE w:val="0"/>
        <w:autoSpaceDN/>
        <w:bidi w:val="0"/>
        <w:adjustRightInd/>
        <w:snapToGrid w:val="0"/>
        <w:spacing w:line="580"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存在问题</w:t>
      </w:r>
    </w:p>
    <w:p>
      <w:pPr>
        <w:keepNext w:val="0"/>
        <w:keepLines w:val="0"/>
        <w:pageBreakBefore w:val="0"/>
        <w:widowControl w:val="0"/>
        <w:numPr>
          <w:ilvl w:val="0"/>
          <w:numId w:val="0"/>
        </w:numPr>
        <w:kinsoku/>
        <w:wordWrap/>
        <w:overflowPunct/>
        <w:topLinePunct w:val="0"/>
        <w:autoSpaceDE w:val="0"/>
        <w:autoSpaceDN/>
        <w:bidi w:val="0"/>
        <w:adjustRightInd/>
        <w:snapToGrid w:val="0"/>
        <w:spacing w:line="580" w:lineRule="exact"/>
        <w:ind w:left="0" w:leftChars="0"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keepNext w:val="0"/>
        <w:keepLines w:val="0"/>
        <w:pageBreakBefore w:val="0"/>
        <w:widowControl w:val="0"/>
        <w:numPr>
          <w:ilvl w:val="0"/>
          <w:numId w:val="5"/>
        </w:numPr>
        <w:kinsoku/>
        <w:wordWrap/>
        <w:overflowPunct/>
        <w:topLinePunct w:val="0"/>
        <w:autoSpaceDE w:val="0"/>
        <w:autoSpaceDN/>
        <w:bidi w:val="0"/>
        <w:adjustRightInd/>
        <w:snapToGrid w:val="0"/>
        <w:spacing w:line="580"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相关建议</w:t>
      </w:r>
    </w:p>
    <w:p>
      <w:pPr>
        <w:keepNext w:val="0"/>
        <w:keepLines w:val="0"/>
        <w:pageBreakBefore w:val="0"/>
        <w:widowControl w:val="0"/>
        <w:kinsoku/>
        <w:wordWrap/>
        <w:overflowPunct/>
        <w:topLinePunct w:val="0"/>
        <w:autoSpaceDE/>
        <w:autoSpaceDN/>
        <w:bidi w:val="0"/>
        <w:adjustRightInd/>
        <w:spacing w:line="580" w:lineRule="exact"/>
        <w:ind w:left="0" w:leftChars="0"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无。</w:t>
      </w:r>
    </w:p>
    <w:p>
      <w:pPr>
        <w:keepNext w:val="0"/>
        <w:keepLines w:val="0"/>
        <w:pageBreakBefore w:val="0"/>
        <w:widowControl w:val="0"/>
        <w:kinsoku/>
        <w:wordWrap/>
        <w:overflowPunct/>
        <w:topLinePunct w:val="0"/>
        <w:autoSpaceDE w:val="0"/>
        <w:autoSpaceDN/>
        <w:bidi w:val="0"/>
        <w:adjustRightInd w:val="0"/>
        <w:snapToGrid w:val="0"/>
        <w:spacing w:line="580" w:lineRule="exact"/>
        <w:ind w:left="0" w:leftChars="0" w:firstLine="624" w:firstLineChars="2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 xml:space="preserve">                  </w:t>
      </w:r>
    </w:p>
    <w:p>
      <w:pPr>
        <w:keepNext w:val="0"/>
        <w:keepLines w:val="0"/>
        <w:pageBreakBefore w:val="0"/>
        <w:widowControl w:val="0"/>
        <w:kinsoku/>
        <w:wordWrap/>
        <w:overflowPunct/>
        <w:topLinePunct w:val="0"/>
        <w:autoSpaceDE w:val="0"/>
        <w:autoSpaceDN/>
        <w:bidi w:val="0"/>
        <w:adjustRightInd w:val="0"/>
        <w:snapToGrid w:val="0"/>
        <w:spacing w:line="580" w:lineRule="exact"/>
        <w:ind w:left="0" w:leftChars="0" w:firstLine="624" w:firstLineChars="2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 xml:space="preserve">                       广元市朝天区发展和改革局</w:t>
      </w:r>
    </w:p>
    <w:p>
      <w:pPr>
        <w:keepNext w:val="0"/>
        <w:keepLines w:val="0"/>
        <w:pageBreakBefore w:val="0"/>
        <w:widowControl w:val="0"/>
        <w:kinsoku/>
        <w:wordWrap/>
        <w:overflowPunct/>
        <w:topLinePunct w:val="0"/>
        <w:autoSpaceDE/>
        <w:autoSpaceDN/>
        <w:bidi w:val="0"/>
        <w:adjustRightInd/>
        <w:spacing w:line="580" w:lineRule="exact"/>
        <w:ind w:left="0" w:leftChars="0" w:firstLine="4992" w:firstLineChars="16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2024年6月24日</w:t>
      </w: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val="0"/>
        <w:keepLines w:val="0"/>
        <w:pageBreakBefore w:val="0"/>
        <w:widowControl w:val="0"/>
        <w:kinsoku/>
        <w:wordWrap/>
        <w:overflowPunct/>
        <w:topLinePunct w:val="0"/>
        <w:autoSpaceDE w:val="0"/>
        <w:autoSpaceDN/>
        <w:bidi w:val="0"/>
        <w:adjustRightInd/>
        <w:snapToGrid w:val="0"/>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snapToGrid w:val="0"/>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关于2023年度区级小包装菜籽油轮换和等级</w:t>
      </w:r>
    </w:p>
    <w:p>
      <w:pPr>
        <w:keepNext w:val="0"/>
        <w:keepLines w:val="0"/>
        <w:pageBreakBefore w:val="0"/>
        <w:widowControl w:val="0"/>
        <w:kinsoku/>
        <w:wordWrap/>
        <w:overflowPunct/>
        <w:topLinePunct w:val="0"/>
        <w:autoSpaceDE w:val="0"/>
        <w:autoSpaceDN/>
        <w:bidi w:val="0"/>
        <w:adjustRightInd/>
        <w:snapToGrid w:val="0"/>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pacing w:val="0"/>
          <w:kern w:val="2"/>
          <w:sz w:val="44"/>
          <w:szCs w:val="44"/>
          <w:lang w:val="en-US" w:eastAsia="zh-CN" w:bidi="ar-SA"/>
        </w:rPr>
      </w:pPr>
      <w:r>
        <w:rPr>
          <w:rFonts w:hint="eastAsia" w:ascii="方正小标宋简体" w:hAnsi="方正小标宋简体" w:eastAsia="方正小标宋简体" w:cs="方正小标宋简体"/>
          <w:b w:val="0"/>
          <w:bCs w:val="0"/>
          <w:spacing w:val="0"/>
          <w:kern w:val="2"/>
          <w:sz w:val="44"/>
          <w:szCs w:val="44"/>
          <w:lang w:val="en-US" w:eastAsia="zh-CN" w:bidi="ar-SA"/>
        </w:rPr>
        <w:t>价差政策支出绩效自评报告</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区财政局：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关于开展2024年部门整体、政策、项目和资本资产绩效自评工作的通知》（广朝财发〔2024〕21号）的文件要求，结合单位实际，现将2023年区级小包装菜籽油轮换等级价差费用政策性项目支出绩效自评情况作如下报告。</w:t>
      </w:r>
    </w:p>
    <w:p>
      <w:pPr>
        <w:keepNext w:val="0"/>
        <w:keepLines w:val="0"/>
        <w:pageBreakBefore w:val="0"/>
        <w:widowControl w:val="0"/>
        <w:numPr>
          <w:ilvl w:val="0"/>
          <w:numId w:val="5"/>
        </w:numPr>
        <w:kinsoku/>
        <w:wordWrap/>
        <w:overflowPunct/>
        <w:topLinePunct w:val="0"/>
        <w:autoSpaceDE w:val="0"/>
        <w:autoSpaceDN/>
        <w:bidi w:val="0"/>
        <w:adjustRightInd/>
        <w:snapToGrid w:val="0"/>
        <w:spacing w:line="540"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财政政策基本情况</w:t>
      </w:r>
      <w:r>
        <w:rPr>
          <w:rFonts w:hint="eastAsia" w:ascii="黑体" w:hAnsi="黑体" w:eastAsia="黑体" w:cs="黑体"/>
          <w:b w:val="0"/>
          <w:bCs w:val="0"/>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朝天区裕宏粮油购销有限公司2023年共</w:t>
      </w:r>
      <w:r>
        <w:rPr>
          <w:rFonts w:hint="eastAsia" w:ascii="仿宋_GB2312" w:hAnsi="仿宋_GB2312" w:eastAsia="仿宋_GB2312" w:cs="仿宋_GB2312"/>
          <w:b w:val="0"/>
          <w:bCs w:val="0"/>
          <w:color w:val="000000"/>
          <w:kern w:val="2"/>
          <w:sz w:val="32"/>
          <w:szCs w:val="32"/>
          <w:lang w:val="en-US" w:eastAsia="zh-CN" w:bidi="ar-SA"/>
        </w:rPr>
        <w:t>储存区级小包装菜籽油40吨，按照相关要求，菜籽油每年进行一次轮换，</w:t>
      </w:r>
      <w:r>
        <w:rPr>
          <w:rFonts w:hint="eastAsia" w:ascii="仿宋_GB2312" w:hAnsi="仿宋_GB2312" w:eastAsia="仿宋_GB2312" w:cs="仿宋_GB2312"/>
          <w:color w:val="000000"/>
          <w:kern w:val="2"/>
          <w:sz w:val="32"/>
          <w:szCs w:val="32"/>
          <w:lang w:val="en-US" w:eastAsia="zh-CN" w:bidi="ar-SA"/>
        </w:rPr>
        <w:t>2023年财政预算小包装菜籽油轮换和等级调整价差补贴6万元。该储备小包装菜籽油</w:t>
      </w:r>
      <w:r>
        <w:rPr>
          <w:rFonts w:hint="eastAsia" w:ascii="仿宋_GB2312" w:hAnsi="仿宋_GB2312" w:eastAsia="仿宋_GB2312" w:cs="仿宋_GB2312"/>
          <w:b w:val="0"/>
          <w:bCs w:val="0"/>
          <w:kern w:val="2"/>
          <w:sz w:val="32"/>
          <w:szCs w:val="32"/>
          <w:lang w:val="en-US" w:eastAsia="zh-CN" w:bidi="ar-SA"/>
        </w:rPr>
        <w:t>用于调节全区粮油供求总量，稳定粮食市场，应对重大自然灾害，重大疫情或其他突发公共事件。</w:t>
      </w:r>
    </w:p>
    <w:p>
      <w:pPr>
        <w:keepNext w:val="0"/>
        <w:keepLines w:val="0"/>
        <w:pageBreakBefore w:val="0"/>
        <w:widowControl w:val="0"/>
        <w:numPr>
          <w:ilvl w:val="0"/>
          <w:numId w:val="5"/>
        </w:numPr>
        <w:kinsoku/>
        <w:wordWrap/>
        <w:overflowPunct/>
        <w:topLinePunct w:val="0"/>
        <w:autoSpaceDE w:val="0"/>
        <w:autoSpaceDN/>
        <w:bidi w:val="0"/>
        <w:adjustRightInd/>
        <w:snapToGrid w:val="0"/>
        <w:spacing w:line="540"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评价工作开展情况</w:t>
      </w:r>
    </w:p>
    <w:p>
      <w:pPr>
        <w:keepNext w:val="0"/>
        <w:keepLines w:val="0"/>
        <w:pageBreakBefore w:val="0"/>
        <w:widowControl w:val="0"/>
        <w:numPr>
          <w:ilvl w:val="0"/>
          <w:numId w:val="0"/>
        </w:numPr>
        <w:kinsoku/>
        <w:wordWrap/>
        <w:overflowPunct/>
        <w:topLinePunct w:val="0"/>
        <w:autoSpaceDE/>
        <w:autoSpaceDN/>
        <w:bidi w:val="0"/>
        <w:adjustRightInd/>
        <w:spacing w:line="540"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小包装成品粮油储备管理办法》和《广元市朝天区区级储备粮油补贴资金管理办法》的相关规定，结合区裕宏粮油购销有限公司储存区级小包装菜籽油进行轮换和等级调整的实际情况，我们积极开展了绩效自评工作，以确保我区储备的小包装菜籽油轮换和等级调整的准确和真实性。</w:t>
      </w:r>
    </w:p>
    <w:p>
      <w:pPr>
        <w:keepNext w:val="0"/>
        <w:keepLines w:val="0"/>
        <w:pageBreakBefore w:val="0"/>
        <w:widowControl w:val="0"/>
        <w:numPr>
          <w:ilvl w:val="0"/>
          <w:numId w:val="5"/>
        </w:numPr>
        <w:kinsoku/>
        <w:wordWrap/>
        <w:overflowPunct/>
        <w:topLinePunct w:val="0"/>
        <w:autoSpaceDE w:val="0"/>
        <w:autoSpaceDN/>
        <w:bidi w:val="0"/>
        <w:adjustRightInd/>
        <w:snapToGrid w:val="0"/>
        <w:spacing w:line="540"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政策绩效情况</w:t>
      </w:r>
    </w:p>
    <w:p>
      <w:pPr>
        <w:keepNext w:val="0"/>
        <w:keepLines w:val="0"/>
        <w:pageBreakBefore w:val="0"/>
        <w:widowControl w:val="0"/>
        <w:kinsoku/>
        <w:wordWrap/>
        <w:overflowPunct/>
        <w:topLinePunct w:val="0"/>
        <w:autoSpaceDE w:val="0"/>
        <w:autoSpaceDN/>
        <w:bidi w:val="0"/>
        <w:adjustRightInd/>
        <w:snapToGrid w:val="0"/>
        <w:spacing w:line="540"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（一）政策设计</w:t>
      </w:r>
    </w:p>
    <w:p>
      <w:pPr>
        <w:keepNext w:val="0"/>
        <w:keepLines w:val="0"/>
        <w:pageBreakBefore w:val="0"/>
        <w:widowControl w:val="0"/>
        <w:numPr>
          <w:ilvl w:val="0"/>
          <w:numId w:val="0"/>
        </w:numPr>
        <w:kinsoku/>
        <w:wordWrap/>
        <w:overflowPunct/>
        <w:topLinePunct w:val="0"/>
        <w:autoSpaceDE/>
        <w:autoSpaceDN/>
        <w:bidi w:val="0"/>
        <w:adjustRightInd/>
        <w:spacing w:line="540"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储备粮油轮换管理办法》《广元市朝天区区级小包装成品粮油储备管理办法》和《广元市朝天区区级储备粮油补贴资金管理办法》的相关规定，区级储备粮油轮换和等级调整价差补贴资金，由区级财政预算安排，专门用于区级储备粮油各项补贴以及银行贷款利息的补贴。资金包含保管费用、轮换费用、轮换价差以及银行贷款利息等。</w:t>
      </w:r>
      <w:r>
        <w:rPr>
          <w:rFonts w:hint="eastAsia" w:ascii="仿宋_GB2312" w:hAnsi="仿宋_GB2312" w:eastAsia="仿宋_GB2312" w:cs="仿宋_GB2312"/>
          <w:kern w:val="2"/>
          <w:sz w:val="32"/>
          <w:szCs w:val="32"/>
          <w:lang w:val="en-US" w:eastAsia="zh-CN" w:bidi="ar-SA"/>
        </w:rPr>
        <w:t>按照2022年6月23日广元市发展和改革委员会、广元市粮食和物资储备局、广元市财政局、中国农业发展银行广元市分行联合下发的《广元市市级小包装成品粮油储备管理办法》的通知（广发改〔2022〕295号）文件，第十四条规定购进储备菜籽油（压榨）须符合国标二级及以上质量标准。2023年区裕宏粮油购销有限公司轮出菜籽油为国标三级，轮入菜籽油需二级以上质量标准。</w:t>
      </w:r>
      <w:r>
        <w:rPr>
          <w:rFonts w:hint="eastAsia" w:ascii="仿宋_GB2312" w:hAnsi="仿宋_GB2312" w:eastAsia="仿宋_GB2312" w:cs="仿宋_GB2312"/>
          <w:b w:val="0"/>
          <w:bCs w:val="0"/>
          <w:kern w:val="2"/>
          <w:sz w:val="32"/>
          <w:szCs w:val="32"/>
          <w:lang w:val="en-US" w:eastAsia="zh-CN" w:bidi="ar-SA"/>
        </w:rPr>
        <w:t>小包装菜籽油实行静态轮换方式，2023年存储小包装菜籽油40吨，计划轮换1次，通过国家粮食交易中心四川粮油交易中心挂网竞价交易。</w:t>
      </w:r>
    </w:p>
    <w:p>
      <w:pPr>
        <w:keepNext w:val="0"/>
        <w:keepLines w:val="0"/>
        <w:pageBreakBefore w:val="0"/>
        <w:widowControl w:val="0"/>
        <w:numPr>
          <w:ilvl w:val="0"/>
          <w:numId w:val="6"/>
        </w:numPr>
        <w:kinsoku/>
        <w:wordWrap/>
        <w:overflowPunct/>
        <w:topLinePunct w:val="0"/>
        <w:autoSpaceDE w:val="0"/>
        <w:autoSpaceDN/>
        <w:bidi w:val="0"/>
        <w:adjustRightInd/>
        <w:snapToGrid w:val="0"/>
        <w:spacing w:line="540" w:lineRule="exact"/>
        <w:ind w:left="0" w:leftChars="0" w:firstLine="632" w:firstLineChars="200"/>
        <w:jc w:val="both"/>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政策执行</w:t>
      </w:r>
    </w:p>
    <w:p>
      <w:pPr>
        <w:keepNext w:val="0"/>
        <w:keepLines w:val="0"/>
        <w:pageBreakBefore w:val="0"/>
        <w:widowControl w:val="0"/>
        <w:kinsoku/>
        <w:wordWrap/>
        <w:overflowPunct/>
        <w:topLinePunct w:val="0"/>
        <w:autoSpaceDE/>
        <w:autoSpaceDN/>
        <w:bidi w:val="0"/>
        <w:adjustRightInd/>
        <w:spacing w:line="540" w:lineRule="exact"/>
        <w:ind w:left="0" w:lef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2023年</w:t>
      </w:r>
      <w:r>
        <w:rPr>
          <w:rFonts w:hint="eastAsia" w:ascii="仿宋_GB2312" w:hAnsi="仿宋_GB2312" w:eastAsia="仿宋_GB2312" w:cs="仿宋_GB2312"/>
          <w:kern w:val="2"/>
          <w:sz w:val="32"/>
          <w:szCs w:val="32"/>
          <w:lang w:val="en-US" w:eastAsia="zh-CN" w:bidi="ar-SA"/>
        </w:rPr>
        <w:t>小包装菜籽油库存40吨。实行静态轮换，</w:t>
      </w:r>
      <w:r>
        <w:rPr>
          <w:rFonts w:hint="eastAsia" w:ascii="仿宋_GB2312" w:hAnsi="仿宋_GB2312" w:eastAsia="仿宋_GB2312" w:cs="仿宋_GB2312"/>
          <w:b w:val="0"/>
          <w:bCs w:val="0"/>
          <w:kern w:val="2"/>
          <w:sz w:val="32"/>
          <w:szCs w:val="32"/>
          <w:lang w:val="en-US" w:eastAsia="zh-CN" w:bidi="ar-SA"/>
        </w:rPr>
        <w:t>在国家粮食交易中心四川粮油交易中心挂网竞价交易。根据</w:t>
      </w:r>
      <w:r>
        <w:rPr>
          <w:rFonts w:hint="eastAsia" w:ascii="仿宋_GB2312" w:hAnsi="仿宋_GB2312" w:eastAsia="仿宋_GB2312" w:cs="仿宋_GB2312"/>
          <w:kern w:val="2"/>
          <w:sz w:val="32"/>
          <w:szCs w:val="32"/>
          <w:lang w:val="en-US" w:eastAsia="zh-CN" w:bidi="ar-SA"/>
        </w:rPr>
        <w:t>广元市朝天区发展和改革局《关于同意对区级地方储备粮油轮换挂网价格的批复》（广朝发改〔2023〕31号），2023年4月14日在国家粮食交易中心四川粮网轮换竞价（以购竞销），与绵阳辉达粮油有限公司交易成功。小包装菜籽油竞价以销售价11600元/吨，总价款46.4万元签订地方储备粮竞价交易买卖（销售）合同；采购价13100元/吨，总价款52.4万元，国标二级，签订了地方储备粮竞价交易买卖（采购）合同，产生菜籽油轮换价差6万元。2023年5月7日小包装菜籽油轮换入库，2023年5月23日区改局牵头，会同广元市农发行，区财政局就轮换入库的小包装菜籽油40吨进行检查验收。数量真实，质量符合国家二级标准。</w:t>
      </w:r>
      <w:r>
        <w:rPr>
          <w:rFonts w:hint="eastAsia" w:ascii="仿宋_GB2312" w:hAnsi="仿宋_GB2312" w:eastAsia="仿宋_GB2312" w:cs="仿宋_GB2312"/>
          <w:color w:val="000000"/>
          <w:kern w:val="2"/>
          <w:sz w:val="32"/>
          <w:szCs w:val="32"/>
          <w:lang w:val="en-US" w:eastAsia="zh-CN" w:bidi="ar-SA"/>
        </w:rPr>
        <w:t>储备小包装菜籽油轮换和等级调整价差补贴6万元，</w:t>
      </w:r>
      <w:r>
        <w:rPr>
          <w:rFonts w:hint="eastAsia" w:ascii="仿宋_GB2312" w:hAnsi="仿宋_GB2312" w:eastAsia="仿宋_GB2312" w:cs="仿宋_GB2312"/>
          <w:kern w:val="2"/>
          <w:sz w:val="32"/>
          <w:szCs w:val="32"/>
          <w:lang w:val="en-US" w:eastAsia="zh-CN" w:bidi="ar-SA"/>
        </w:rPr>
        <w:t>该资金严格按照财务管理制度及完成情况进行了支付，财务处理及时、会计核算规范。</w:t>
      </w:r>
    </w:p>
    <w:p>
      <w:pPr>
        <w:keepNext w:val="0"/>
        <w:keepLines w:val="0"/>
        <w:pageBreakBefore w:val="0"/>
        <w:widowControl w:val="0"/>
        <w:numPr>
          <w:ilvl w:val="0"/>
          <w:numId w:val="0"/>
        </w:numPr>
        <w:kinsoku/>
        <w:wordWrap/>
        <w:overflowPunct/>
        <w:topLinePunct w:val="0"/>
        <w:autoSpaceDE w:val="0"/>
        <w:autoSpaceDN/>
        <w:bidi w:val="0"/>
        <w:adjustRightInd/>
        <w:snapToGrid w:val="0"/>
        <w:spacing w:line="540" w:lineRule="exact"/>
        <w:ind w:leftChars="200"/>
        <w:jc w:val="lef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（三）政策效果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32"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按照《广元市朝天区区级小包装成品粮油储备管理办法》和《广元市朝天区区级储备粮油补贴资金管理办法》的相关规定</w:t>
      </w:r>
      <w:r>
        <w:rPr>
          <w:rFonts w:hint="eastAsia" w:ascii="仿宋_GB2312" w:hAnsi="仿宋_GB2312" w:eastAsia="仿宋_GB2312" w:cs="仿宋_GB2312"/>
          <w:kern w:val="2"/>
          <w:sz w:val="32"/>
          <w:szCs w:val="32"/>
          <w:lang w:val="en-US" w:eastAsia="zh-CN" w:bidi="ar-SA"/>
        </w:rPr>
        <w:t>，区级</w:t>
      </w:r>
      <w:r>
        <w:rPr>
          <w:rFonts w:hint="eastAsia" w:ascii="仿宋_GB2312" w:hAnsi="仿宋_GB2312" w:eastAsia="仿宋_GB2312" w:cs="仿宋_GB2312"/>
          <w:color w:val="000000"/>
          <w:kern w:val="2"/>
          <w:sz w:val="32"/>
          <w:szCs w:val="32"/>
          <w:lang w:val="en-US" w:eastAsia="zh-CN" w:bidi="ar-SA"/>
        </w:rPr>
        <w:t>财政预算储备粮小包装菜籽油轮换和等级调整价差补贴6万元，</w:t>
      </w:r>
      <w:r>
        <w:rPr>
          <w:rFonts w:hint="eastAsia" w:ascii="仿宋_GB2312" w:hAnsi="仿宋_GB2312" w:eastAsia="仿宋_GB2312" w:cs="仿宋_GB2312"/>
          <w:kern w:val="2"/>
          <w:sz w:val="32"/>
          <w:szCs w:val="32"/>
          <w:lang w:val="en-US" w:eastAsia="zh-CN" w:bidi="ar-SA"/>
        </w:rPr>
        <w:t>已在2023年全部到位。确保了小包装粮油储备的安全，管理规范，随时能够发挥成品粮油快捷应对市场突发情况的应急功能，起好政府宏观调控粮食市场的主导作用，切实做好区级小包装成品粮油储备的管理工作。</w:t>
      </w:r>
    </w:p>
    <w:p>
      <w:pPr>
        <w:keepNext w:val="0"/>
        <w:keepLines w:val="0"/>
        <w:pageBreakBefore w:val="0"/>
        <w:widowControl w:val="0"/>
        <w:numPr>
          <w:ilvl w:val="0"/>
          <w:numId w:val="5"/>
        </w:numPr>
        <w:kinsoku/>
        <w:wordWrap/>
        <w:overflowPunct/>
        <w:topLinePunct w:val="0"/>
        <w:autoSpaceDE w:val="0"/>
        <w:autoSpaceDN/>
        <w:bidi w:val="0"/>
        <w:adjustRightInd/>
        <w:snapToGrid w:val="0"/>
        <w:spacing w:line="540"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存在问题</w:t>
      </w:r>
    </w:p>
    <w:p>
      <w:pPr>
        <w:keepNext w:val="0"/>
        <w:keepLines w:val="0"/>
        <w:pageBreakBefore w:val="0"/>
        <w:widowControl w:val="0"/>
        <w:numPr>
          <w:ilvl w:val="0"/>
          <w:numId w:val="0"/>
        </w:numPr>
        <w:kinsoku/>
        <w:wordWrap/>
        <w:overflowPunct/>
        <w:topLinePunct w:val="0"/>
        <w:autoSpaceDE w:val="0"/>
        <w:autoSpaceDN/>
        <w:bidi w:val="0"/>
        <w:adjustRightInd/>
        <w:snapToGrid w:val="0"/>
        <w:spacing w:line="540" w:lineRule="exact"/>
        <w:ind w:left="0" w:leftChars="0" w:firstLine="63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keepNext w:val="0"/>
        <w:keepLines w:val="0"/>
        <w:pageBreakBefore w:val="0"/>
        <w:widowControl w:val="0"/>
        <w:numPr>
          <w:ilvl w:val="0"/>
          <w:numId w:val="5"/>
        </w:numPr>
        <w:kinsoku/>
        <w:wordWrap/>
        <w:overflowPunct/>
        <w:topLinePunct w:val="0"/>
        <w:autoSpaceDE w:val="0"/>
        <w:autoSpaceDN/>
        <w:bidi w:val="0"/>
        <w:adjustRightInd/>
        <w:snapToGrid w:val="0"/>
        <w:spacing w:line="540" w:lineRule="exact"/>
        <w:ind w:left="0" w:leftChars="0" w:firstLine="632"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相关建议</w:t>
      </w:r>
    </w:p>
    <w:p>
      <w:pPr>
        <w:keepNext w:val="0"/>
        <w:keepLines w:val="0"/>
        <w:pageBreakBefore w:val="0"/>
        <w:widowControl w:val="0"/>
        <w:kinsoku/>
        <w:wordWrap/>
        <w:overflowPunct/>
        <w:topLinePunct w:val="0"/>
        <w:autoSpaceDE/>
        <w:autoSpaceDN/>
        <w:bidi w:val="0"/>
        <w:adjustRightInd/>
        <w:spacing w:line="540" w:lineRule="exact"/>
        <w:ind w:left="0" w:leftChars="0" w:firstLine="632" w:firstLineChars="2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24" w:firstLineChars="200"/>
        <w:jc w:val="both"/>
        <w:textAlignment w:val="auto"/>
        <w:rPr>
          <w:rFonts w:hint="eastAsia" w:ascii="仿宋_GB2312" w:hAnsi="仿宋_GB2312" w:eastAsia="仿宋_GB2312" w:cs="仿宋_GB2312"/>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24" w:firstLineChars="200"/>
        <w:jc w:val="both"/>
        <w:textAlignment w:val="auto"/>
        <w:rPr>
          <w:rFonts w:hint="eastAsia" w:ascii="仿宋_GB2312" w:hAnsi="仿宋_GB2312" w:eastAsia="仿宋_GB2312" w:cs="仿宋_GB2312"/>
          <w:w w:val="99"/>
          <w:kern w:val="2"/>
          <w:sz w:val="32"/>
          <w:szCs w:val="32"/>
          <w:lang w:val="en-US" w:eastAsia="zh-CN" w:bidi="ar-SA"/>
        </w:rPr>
      </w:pP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3744" w:firstLineChars="12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广元市朝天区发展和改革局</w:t>
      </w:r>
    </w:p>
    <w:p>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4680" w:firstLineChars="1500"/>
        <w:jc w:val="both"/>
        <w:textAlignment w:val="auto"/>
        <w:rPr>
          <w:rFonts w:hint="eastAsia" w:ascii="仿宋_GB2312" w:hAnsi="仿宋_GB2312" w:eastAsia="仿宋_GB2312" w:cs="仿宋_GB2312"/>
          <w:w w:val="99"/>
          <w:kern w:val="2"/>
          <w:sz w:val="32"/>
          <w:szCs w:val="32"/>
          <w:lang w:val="en-US" w:eastAsia="zh-CN" w:bidi="ar-SA"/>
        </w:rPr>
      </w:pPr>
      <w:r>
        <w:rPr>
          <w:rFonts w:hint="eastAsia" w:ascii="仿宋_GB2312" w:hAnsi="仿宋_GB2312" w:eastAsia="仿宋_GB2312" w:cs="仿宋_GB2312"/>
          <w:w w:val="99"/>
          <w:kern w:val="2"/>
          <w:sz w:val="32"/>
          <w:szCs w:val="32"/>
          <w:lang w:val="en-US" w:eastAsia="zh-CN" w:bidi="ar-SA"/>
        </w:rPr>
        <w:t>2024年6月24日</w:t>
      </w:r>
    </w:p>
    <w:p>
      <w:pPr>
        <w:keepNext w:val="0"/>
        <w:keepLines w:val="0"/>
        <w:pageBreakBefore w:val="0"/>
        <w:widowControl w:val="0"/>
        <w:kinsoku/>
        <w:wordWrap/>
        <w:overflowPunct/>
        <w:topLinePunct w:val="0"/>
        <w:bidi w:val="0"/>
        <w:spacing w:line="576" w:lineRule="exact"/>
        <w:textAlignment w:val="auto"/>
        <w:rPr>
          <w:rFonts w:hint="eastAsia" w:ascii="黑体" w:hAnsi="黑体" w:eastAsia="黑体" w:cs="黑体"/>
          <w:lang w:val="en-US" w:eastAsia="zh-CN"/>
        </w:rPr>
      </w:pPr>
    </w:p>
    <w:p>
      <w:pPr>
        <w:keepNext/>
        <w:keepLines/>
        <w:pageBreakBefore/>
        <w:spacing w:line="576" w:lineRule="exact"/>
        <w:jc w:val="center"/>
        <w:outlineLvl w:val="0"/>
        <w:rPr>
          <w:rFonts w:hint="eastAsia" w:ascii="黑体" w:hAnsi="黑体" w:eastAsia="黑体"/>
          <w:color w:val="auto"/>
          <w:kern w:val="44"/>
          <w:sz w:val="44"/>
          <w:szCs w:val="24"/>
          <w:lang w:val="en-US"/>
        </w:rPr>
      </w:pPr>
      <w:bookmarkStart w:id="43" w:name="_Toc23303"/>
      <w:r>
        <w:rPr>
          <w:rFonts w:hint="eastAsia" w:ascii="黑体" w:hAnsi="黑体" w:eastAsia="黑体"/>
          <w:color w:val="000000"/>
          <w:kern w:val="2"/>
          <w:sz w:val="44"/>
          <w:szCs w:val="24"/>
          <w:lang w:val="en-US"/>
        </w:rPr>
        <w:t>第</w:t>
      </w:r>
      <w:r>
        <w:rPr>
          <w:rFonts w:hint="eastAsia" w:ascii="黑体" w:hAnsi="黑体" w:eastAsia="黑体"/>
          <w:color w:val="auto"/>
          <w:kern w:val="44"/>
          <w:sz w:val="44"/>
          <w:szCs w:val="24"/>
          <w:lang w:val="en-US"/>
        </w:rPr>
        <w:t>五部分 附表</w:t>
      </w:r>
      <w:bookmarkEnd w:id="43"/>
    </w:p>
    <w:p>
      <w:pPr>
        <w:pStyle w:val="3"/>
        <w:keepNext/>
        <w:keepLines/>
        <w:spacing w:line="576" w:lineRule="exact"/>
        <w:ind w:firstLine="640"/>
        <w:jc w:val="both"/>
        <w:rPr>
          <w:rFonts w:hint="eastAsia" w:ascii="仿宋_GB2312" w:hAnsi="仿宋_GB2312" w:eastAsia="仿宋_GB2312"/>
          <w:color w:val="000000"/>
          <w:kern w:val="2"/>
          <w:sz w:val="32"/>
          <w:szCs w:val="24"/>
          <w:lang w:val="en-US"/>
        </w:rPr>
      </w:pPr>
    </w:p>
    <w:p>
      <w:pPr>
        <w:keepNext/>
        <w:keepLines/>
        <w:spacing w:line="576" w:lineRule="exact"/>
        <w:ind w:firstLine="640"/>
        <w:jc w:val="both"/>
        <w:rPr>
          <w:rFonts w:hint="eastAsia" w:ascii="仿宋_GB2312" w:hAnsi="仿宋_GB2312" w:eastAsia="仿宋_GB2312"/>
          <w:b/>
          <w:color w:val="000000"/>
          <w:kern w:val="2"/>
          <w:sz w:val="32"/>
          <w:szCs w:val="32"/>
          <w:lang w:val="en-US"/>
        </w:rPr>
      </w:pPr>
      <w:r>
        <w:rPr>
          <w:rFonts w:hint="eastAsia" w:ascii="仿宋_GB2312" w:hAnsi="仿宋_GB2312" w:eastAsia="仿宋_GB2312"/>
          <w:color w:val="000000"/>
          <w:kern w:val="2"/>
          <w:sz w:val="32"/>
          <w:szCs w:val="32"/>
          <w:lang w:val="en-US"/>
        </w:rPr>
        <w:t>一、收</w:t>
      </w:r>
      <w:r>
        <w:rPr>
          <w:rFonts w:hint="eastAsia" w:ascii="仿宋_GB2312" w:hAnsi="仿宋_GB2312" w:eastAsia="仿宋_GB2312"/>
          <w:color w:val="auto"/>
          <w:kern w:val="2"/>
          <w:sz w:val="32"/>
          <w:szCs w:val="32"/>
          <w:lang w:val="en-US"/>
        </w:rPr>
        <w:t>入支出决算总表</w:t>
      </w:r>
    </w:p>
    <w:p>
      <w:pPr>
        <w:keepNext/>
        <w:keepLines/>
        <w:spacing w:line="576" w:lineRule="exact"/>
        <w:ind w:firstLine="640"/>
        <w:jc w:val="both"/>
        <w:rPr>
          <w:rFonts w:hint="eastAsia" w:ascii="仿宋_GB2312" w:hAnsi="仿宋_GB2312" w:eastAsia="仿宋_GB2312"/>
          <w:b/>
          <w:color w:val="000000"/>
          <w:kern w:val="2"/>
          <w:sz w:val="32"/>
          <w:szCs w:val="32"/>
          <w:lang w:val="en-US"/>
        </w:rPr>
      </w:pPr>
      <w:r>
        <w:rPr>
          <w:rFonts w:hint="eastAsia" w:ascii="仿宋_GB2312" w:hAnsi="仿宋_GB2312" w:eastAsia="仿宋_GB2312"/>
          <w:color w:val="000000"/>
          <w:kern w:val="2"/>
          <w:sz w:val="32"/>
          <w:szCs w:val="32"/>
          <w:lang w:val="en-US"/>
        </w:rPr>
        <w:t>二、收</w:t>
      </w:r>
      <w:r>
        <w:rPr>
          <w:rFonts w:hint="eastAsia" w:ascii="仿宋_GB2312" w:hAnsi="仿宋_GB2312" w:eastAsia="仿宋_GB2312"/>
          <w:color w:val="auto"/>
          <w:kern w:val="2"/>
          <w:sz w:val="32"/>
          <w:szCs w:val="32"/>
          <w:lang w:val="en-US"/>
        </w:rPr>
        <w:t>入决算表</w:t>
      </w:r>
    </w:p>
    <w:p>
      <w:pPr>
        <w:keepNext/>
        <w:keepLines/>
        <w:spacing w:line="576" w:lineRule="exact"/>
        <w:ind w:firstLine="640"/>
        <w:jc w:val="both"/>
        <w:rPr>
          <w:rFonts w:hint="eastAsia" w:ascii="仿宋_GB2312" w:hAnsi="仿宋_GB2312" w:eastAsia="仿宋_GB2312"/>
          <w:b/>
          <w:color w:val="000000"/>
          <w:kern w:val="2"/>
          <w:sz w:val="32"/>
          <w:szCs w:val="32"/>
          <w:lang w:val="en-US"/>
        </w:rPr>
      </w:pPr>
      <w:r>
        <w:rPr>
          <w:rFonts w:hint="eastAsia" w:ascii="仿宋_GB2312" w:hAnsi="仿宋_GB2312" w:eastAsia="仿宋_GB2312"/>
          <w:color w:val="auto"/>
          <w:kern w:val="2"/>
          <w:sz w:val="32"/>
          <w:szCs w:val="32"/>
          <w:lang w:val="en-US"/>
        </w:rPr>
        <w:t>三、</w:t>
      </w:r>
      <w:r>
        <w:rPr>
          <w:rFonts w:hint="eastAsia" w:ascii="仿宋_GB2312" w:hAnsi="仿宋_GB2312" w:eastAsia="仿宋_GB2312"/>
          <w:color w:val="000000"/>
          <w:kern w:val="2"/>
          <w:sz w:val="32"/>
          <w:szCs w:val="32"/>
          <w:lang w:val="en-US"/>
        </w:rPr>
        <w:t>支</w:t>
      </w:r>
      <w:r>
        <w:rPr>
          <w:rFonts w:hint="eastAsia" w:ascii="仿宋_GB2312" w:hAnsi="仿宋_GB2312" w:eastAsia="仿宋_GB2312"/>
          <w:color w:val="auto"/>
          <w:kern w:val="2"/>
          <w:sz w:val="32"/>
          <w:szCs w:val="32"/>
          <w:lang w:val="en-US"/>
        </w:rPr>
        <w:t>出决算表</w:t>
      </w:r>
    </w:p>
    <w:p>
      <w:pPr>
        <w:keepNext/>
        <w:keepLines/>
        <w:spacing w:line="576" w:lineRule="exact"/>
        <w:ind w:firstLine="640"/>
        <w:jc w:val="both"/>
        <w:rPr>
          <w:rFonts w:hint="eastAsia" w:ascii="仿宋_GB2312" w:hAnsi="仿宋_GB2312" w:eastAsia="仿宋_GB2312"/>
          <w:color w:val="000000"/>
          <w:kern w:val="2"/>
          <w:sz w:val="32"/>
          <w:szCs w:val="32"/>
          <w:lang w:val="en-US"/>
        </w:rPr>
      </w:pPr>
      <w:r>
        <w:rPr>
          <w:rFonts w:hint="eastAsia" w:ascii="仿宋_GB2312" w:hAnsi="仿宋_GB2312" w:eastAsia="仿宋_GB2312"/>
          <w:color w:val="auto"/>
          <w:kern w:val="2"/>
          <w:sz w:val="32"/>
          <w:szCs w:val="32"/>
          <w:lang w:val="en-US"/>
        </w:rPr>
        <w:t>四、</w:t>
      </w:r>
      <w:r>
        <w:rPr>
          <w:rFonts w:hint="eastAsia" w:ascii="仿宋_GB2312" w:hAnsi="仿宋_GB2312" w:eastAsia="仿宋_GB2312"/>
          <w:color w:val="000000"/>
          <w:kern w:val="2"/>
          <w:sz w:val="32"/>
          <w:szCs w:val="32"/>
          <w:lang w:val="en-US"/>
        </w:rPr>
        <w:t>财</w:t>
      </w:r>
      <w:r>
        <w:rPr>
          <w:rFonts w:hint="eastAsia" w:ascii="仿宋_GB2312" w:hAnsi="仿宋_GB2312" w:eastAsia="仿宋_GB2312"/>
          <w:color w:val="auto"/>
          <w:kern w:val="2"/>
          <w:sz w:val="32"/>
          <w:szCs w:val="32"/>
          <w:lang w:val="en-US"/>
        </w:rPr>
        <w:t>政拨款收入支出决算总表</w:t>
      </w:r>
    </w:p>
    <w:p>
      <w:pPr>
        <w:keepNext/>
        <w:keepLines/>
        <w:spacing w:line="576" w:lineRule="exact"/>
        <w:ind w:firstLine="640"/>
        <w:jc w:val="both"/>
        <w:rPr>
          <w:rFonts w:hint="eastAsia" w:ascii="仿宋_GB2312" w:hAnsi="仿宋_GB2312" w:eastAsia="仿宋_GB2312"/>
          <w:color w:val="auto"/>
          <w:kern w:val="2"/>
          <w:sz w:val="32"/>
          <w:szCs w:val="32"/>
          <w:lang w:val="en-US"/>
        </w:rPr>
      </w:pPr>
      <w:r>
        <w:rPr>
          <w:rFonts w:hint="eastAsia" w:ascii="仿宋_GB2312" w:hAnsi="仿宋_GB2312" w:eastAsia="仿宋_GB2312"/>
          <w:color w:val="auto"/>
          <w:kern w:val="2"/>
          <w:sz w:val="32"/>
          <w:szCs w:val="32"/>
          <w:lang w:val="en-US"/>
        </w:rPr>
        <w:t>五、</w:t>
      </w:r>
      <w:r>
        <w:rPr>
          <w:rFonts w:hint="eastAsia" w:ascii="仿宋_GB2312" w:hAnsi="仿宋_GB2312" w:eastAsia="仿宋_GB2312"/>
          <w:color w:val="000000"/>
          <w:kern w:val="2"/>
          <w:sz w:val="32"/>
          <w:szCs w:val="32"/>
          <w:lang w:val="en-US"/>
        </w:rPr>
        <w:t>财</w:t>
      </w:r>
      <w:r>
        <w:rPr>
          <w:rFonts w:hint="eastAsia" w:ascii="仿宋_GB2312" w:hAnsi="仿宋_GB2312" w:eastAsia="仿宋_GB2312"/>
          <w:color w:val="auto"/>
          <w:kern w:val="2"/>
          <w:sz w:val="32"/>
          <w:szCs w:val="32"/>
          <w:lang w:val="en-US"/>
        </w:rPr>
        <w:t>政拨款支出决算明细表</w:t>
      </w:r>
    </w:p>
    <w:p>
      <w:pPr>
        <w:keepNext/>
        <w:keepLines/>
        <w:spacing w:line="576" w:lineRule="exact"/>
        <w:ind w:firstLine="640"/>
        <w:jc w:val="both"/>
        <w:rPr>
          <w:rFonts w:hint="eastAsia" w:ascii="仿宋_GB2312" w:hAnsi="仿宋_GB2312" w:eastAsia="仿宋_GB2312"/>
          <w:b/>
          <w:color w:val="000000"/>
          <w:kern w:val="2"/>
          <w:sz w:val="32"/>
          <w:szCs w:val="32"/>
          <w:lang w:val="en-US"/>
        </w:rPr>
      </w:pPr>
      <w:r>
        <w:rPr>
          <w:rFonts w:hint="eastAsia" w:ascii="仿宋_GB2312" w:hAnsi="仿宋_GB2312" w:eastAsia="仿宋_GB2312"/>
          <w:color w:val="auto"/>
          <w:kern w:val="2"/>
          <w:sz w:val="32"/>
          <w:szCs w:val="32"/>
          <w:lang w:val="en-US"/>
        </w:rPr>
        <w:t>六、</w:t>
      </w:r>
      <w:r>
        <w:rPr>
          <w:rFonts w:hint="eastAsia" w:ascii="仿宋_GB2312" w:hAnsi="仿宋_GB2312" w:eastAsia="仿宋_GB2312"/>
          <w:color w:val="000000"/>
          <w:kern w:val="2"/>
          <w:sz w:val="32"/>
          <w:szCs w:val="32"/>
          <w:lang w:val="en-US"/>
        </w:rPr>
        <w:t>一</w:t>
      </w:r>
      <w:r>
        <w:rPr>
          <w:rFonts w:hint="eastAsia" w:ascii="仿宋_GB2312" w:hAnsi="仿宋_GB2312" w:eastAsia="仿宋_GB2312"/>
          <w:color w:val="auto"/>
          <w:kern w:val="2"/>
          <w:sz w:val="32"/>
          <w:szCs w:val="32"/>
          <w:lang w:val="en-US"/>
        </w:rPr>
        <w:t>般公共预算财政拨款支出决算表</w:t>
      </w:r>
    </w:p>
    <w:p>
      <w:pPr>
        <w:keepNext/>
        <w:keepLines/>
        <w:spacing w:line="576" w:lineRule="exact"/>
        <w:ind w:firstLine="640"/>
        <w:jc w:val="both"/>
        <w:rPr>
          <w:rFonts w:hint="eastAsia" w:ascii="仿宋_GB2312" w:hAnsi="仿宋_GB2312" w:eastAsia="仿宋_GB2312"/>
          <w:b/>
          <w:color w:val="000000"/>
          <w:kern w:val="2"/>
          <w:sz w:val="32"/>
          <w:szCs w:val="32"/>
          <w:lang w:val="en-US"/>
        </w:rPr>
      </w:pPr>
      <w:r>
        <w:rPr>
          <w:rFonts w:hint="eastAsia" w:ascii="仿宋_GB2312" w:hAnsi="仿宋_GB2312" w:eastAsia="仿宋_GB2312"/>
          <w:color w:val="auto"/>
          <w:kern w:val="2"/>
          <w:sz w:val="32"/>
          <w:szCs w:val="32"/>
          <w:lang w:val="en-US"/>
        </w:rPr>
        <w:t>七、</w:t>
      </w:r>
      <w:r>
        <w:rPr>
          <w:rFonts w:hint="eastAsia" w:ascii="仿宋_GB2312" w:hAnsi="仿宋_GB2312" w:eastAsia="仿宋_GB2312"/>
          <w:color w:val="000000"/>
          <w:kern w:val="2"/>
          <w:sz w:val="32"/>
          <w:szCs w:val="32"/>
          <w:lang w:val="en-US"/>
        </w:rPr>
        <w:t>一</w:t>
      </w:r>
      <w:r>
        <w:rPr>
          <w:rFonts w:hint="eastAsia" w:ascii="仿宋_GB2312" w:hAnsi="仿宋_GB2312" w:eastAsia="仿宋_GB2312"/>
          <w:color w:val="auto"/>
          <w:kern w:val="2"/>
          <w:sz w:val="32"/>
          <w:szCs w:val="32"/>
          <w:lang w:val="en-US"/>
        </w:rPr>
        <w:t>般公共预算财政拨款支出决算明细表</w:t>
      </w:r>
    </w:p>
    <w:p>
      <w:pPr>
        <w:keepNext/>
        <w:keepLines/>
        <w:spacing w:line="576" w:lineRule="exact"/>
        <w:ind w:firstLine="640"/>
        <w:jc w:val="both"/>
        <w:rPr>
          <w:rFonts w:hint="eastAsia" w:ascii="仿宋_GB2312" w:hAnsi="仿宋_GB2312" w:eastAsia="仿宋_GB2312"/>
          <w:b/>
          <w:color w:val="000000"/>
          <w:kern w:val="2"/>
          <w:sz w:val="32"/>
          <w:szCs w:val="32"/>
          <w:lang w:val="en-US"/>
        </w:rPr>
      </w:pPr>
      <w:r>
        <w:rPr>
          <w:rFonts w:hint="eastAsia" w:ascii="仿宋_GB2312" w:hAnsi="仿宋_GB2312" w:eastAsia="仿宋_GB2312"/>
          <w:color w:val="auto"/>
          <w:kern w:val="2"/>
          <w:sz w:val="32"/>
          <w:szCs w:val="32"/>
          <w:lang w:val="en-US"/>
        </w:rPr>
        <w:t>八、</w:t>
      </w:r>
      <w:r>
        <w:rPr>
          <w:rFonts w:hint="eastAsia" w:ascii="仿宋_GB2312" w:hAnsi="仿宋_GB2312" w:eastAsia="仿宋_GB2312"/>
          <w:color w:val="000000"/>
          <w:kern w:val="2"/>
          <w:sz w:val="32"/>
          <w:szCs w:val="32"/>
          <w:lang w:val="en-US"/>
        </w:rPr>
        <w:t>一</w:t>
      </w:r>
      <w:r>
        <w:rPr>
          <w:rFonts w:hint="eastAsia" w:ascii="仿宋_GB2312" w:hAnsi="仿宋_GB2312" w:eastAsia="仿宋_GB2312"/>
          <w:color w:val="auto"/>
          <w:kern w:val="2"/>
          <w:sz w:val="32"/>
          <w:szCs w:val="32"/>
          <w:lang w:val="en-US"/>
        </w:rPr>
        <w:t>般公共预算财政拨款基本支出决算表</w:t>
      </w:r>
    </w:p>
    <w:p>
      <w:pPr>
        <w:keepNext/>
        <w:keepLines/>
        <w:spacing w:line="576" w:lineRule="exact"/>
        <w:ind w:firstLine="640"/>
        <w:jc w:val="both"/>
        <w:rPr>
          <w:rFonts w:hint="eastAsia" w:ascii="仿宋_GB2312" w:hAnsi="仿宋_GB2312" w:eastAsia="仿宋_GB2312"/>
          <w:b/>
          <w:color w:val="000000"/>
          <w:kern w:val="2"/>
          <w:sz w:val="32"/>
          <w:szCs w:val="32"/>
          <w:lang w:val="en-US"/>
        </w:rPr>
      </w:pPr>
      <w:r>
        <w:rPr>
          <w:rFonts w:hint="eastAsia" w:ascii="仿宋_GB2312" w:hAnsi="仿宋_GB2312" w:eastAsia="仿宋_GB2312"/>
          <w:color w:val="auto"/>
          <w:kern w:val="2"/>
          <w:sz w:val="32"/>
          <w:szCs w:val="32"/>
          <w:lang w:val="en-US"/>
        </w:rPr>
        <w:t>九、</w:t>
      </w:r>
      <w:r>
        <w:rPr>
          <w:rFonts w:hint="eastAsia" w:ascii="仿宋_GB2312" w:hAnsi="仿宋_GB2312" w:eastAsia="仿宋_GB2312"/>
          <w:color w:val="000000"/>
          <w:kern w:val="2"/>
          <w:sz w:val="32"/>
          <w:szCs w:val="32"/>
          <w:lang w:val="en-US"/>
        </w:rPr>
        <w:t>一</w:t>
      </w:r>
      <w:r>
        <w:rPr>
          <w:rFonts w:hint="eastAsia" w:ascii="仿宋_GB2312" w:hAnsi="仿宋_GB2312" w:eastAsia="仿宋_GB2312"/>
          <w:color w:val="auto"/>
          <w:kern w:val="2"/>
          <w:sz w:val="32"/>
          <w:szCs w:val="32"/>
          <w:lang w:val="en-US"/>
        </w:rPr>
        <w:t>般公共预算财政拨款项目支出决算表</w:t>
      </w:r>
    </w:p>
    <w:p>
      <w:pPr>
        <w:keepNext/>
        <w:keepLines/>
        <w:spacing w:line="576" w:lineRule="exact"/>
        <w:ind w:firstLine="640"/>
        <w:jc w:val="both"/>
        <w:rPr>
          <w:rFonts w:hint="eastAsia" w:ascii="仿宋_GB2312" w:hAnsi="仿宋_GB2312" w:eastAsia="仿宋_GB2312"/>
          <w:b/>
          <w:color w:val="000000"/>
          <w:kern w:val="2"/>
          <w:sz w:val="32"/>
          <w:szCs w:val="32"/>
          <w:lang w:val="en-US"/>
        </w:rPr>
      </w:pPr>
      <w:r>
        <w:rPr>
          <w:rFonts w:hint="eastAsia" w:ascii="仿宋_GB2312" w:hAnsi="仿宋_GB2312" w:eastAsia="仿宋_GB2312"/>
          <w:color w:val="auto"/>
          <w:kern w:val="2"/>
          <w:sz w:val="32"/>
          <w:szCs w:val="32"/>
          <w:lang w:val="en-US"/>
        </w:rPr>
        <w:t>十、</w:t>
      </w:r>
      <w:r>
        <w:rPr>
          <w:rFonts w:hint="eastAsia" w:ascii="仿宋_GB2312" w:hAnsi="仿宋_GB2312" w:eastAsia="仿宋_GB2312"/>
          <w:color w:val="000000"/>
          <w:kern w:val="2"/>
          <w:sz w:val="32"/>
          <w:szCs w:val="32"/>
          <w:lang w:val="en-US"/>
        </w:rPr>
        <w:t>政</w:t>
      </w:r>
      <w:r>
        <w:rPr>
          <w:rFonts w:hint="eastAsia" w:ascii="仿宋_GB2312" w:hAnsi="仿宋_GB2312" w:eastAsia="仿宋_GB2312"/>
          <w:color w:val="auto"/>
          <w:kern w:val="2"/>
          <w:sz w:val="32"/>
          <w:szCs w:val="32"/>
          <w:lang w:val="en-US"/>
        </w:rPr>
        <w:t>府性基金预算财政拨款收入支出决算表</w:t>
      </w:r>
    </w:p>
    <w:p>
      <w:pPr>
        <w:keepNext/>
        <w:keepLines/>
        <w:spacing w:line="576" w:lineRule="exact"/>
        <w:ind w:firstLine="640"/>
        <w:jc w:val="both"/>
        <w:rPr>
          <w:rFonts w:hint="eastAsia" w:ascii="仿宋_GB2312" w:hAnsi="仿宋_GB2312" w:eastAsia="仿宋_GB2312"/>
          <w:color w:val="auto"/>
          <w:kern w:val="2"/>
          <w:sz w:val="32"/>
          <w:szCs w:val="32"/>
          <w:lang w:val="en-US"/>
        </w:rPr>
      </w:pPr>
      <w:r>
        <w:rPr>
          <w:rFonts w:hint="eastAsia" w:ascii="仿宋_GB2312" w:hAnsi="仿宋_GB2312" w:eastAsia="仿宋_GB2312"/>
          <w:color w:val="auto"/>
          <w:kern w:val="2"/>
          <w:sz w:val="32"/>
          <w:szCs w:val="32"/>
          <w:lang w:val="en-US"/>
        </w:rPr>
        <w:t>十一、国有资本经营预算财政拨款收入支出决算表</w:t>
      </w:r>
    </w:p>
    <w:p>
      <w:pPr>
        <w:keepNext/>
        <w:keepLines/>
        <w:spacing w:line="576" w:lineRule="exact"/>
        <w:ind w:firstLine="640"/>
        <w:jc w:val="both"/>
        <w:rPr>
          <w:rFonts w:hint="eastAsia" w:ascii="仿宋_GB2312" w:hAnsi="仿宋_GB2312" w:eastAsia="仿宋_GB2312"/>
          <w:color w:val="auto"/>
          <w:kern w:val="2"/>
          <w:sz w:val="32"/>
          <w:szCs w:val="32"/>
          <w:lang w:val="en-US"/>
        </w:rPr>
      </w:pPr>
      <w:r>
        <w:rPr>
          <w:rFonts w:hint="eastAsia" w:ascii="仿宋_GB2312" w:hAnsi="仿宋_GB2312" w:eastAsia="仿宋_GB2312"/>
          <w:color w:val="auto"/>
          <w:kern w:val="2"/>
          <w:sz w:val="32"/>
          <w:szCs w:val="32"/>
          <w:lang w:val="en-US"/>
        </w:rPr>
        <w:t>十二、</w:t>
      </w:r>
      <w:r>
        <w:rPr>
          <w:rFonts w:hint="eastAsia" w:ascii="仿宋_GB2312" w:hAnsi="仿宋_GB2312" w:eastAsia="仿宋_GB2312"/>
          <w:color w:val="000000"/>
          <w:kern w:val="2"/>
          <w:sz w:val="32"/>
          <w:szCs w:val="32"/>
          <w:lang w:val="en-US"/>
        </w:rPr>
        <w:t>国</w:t>
      </w:r>
      <w:r>
        <w:rPr>
          <w:rFonts w:hint="eastAsia" w:ascii="仿宋_GB2312" w:hAnsi="仿宋_GB2312" w:eastAsia="仿宋_GB2312"/>
          <w:color w:val="auto"/>
          <w:kern w:val="2"/>
          <w:sz w:val="32"/>
          <w:szCs w:val="32"/>
          <w:lang w:val="en-US"/>
        </w:rPr>
        <w:t>有资本经营预算财政拨款支出决算表</w:t>
      </w:r>
    </w:p>
    <w:p>
      <w:pPr>
        <w:spacing w:line="576" w:lineRule="exact"/>
        <w:ind w:firstLine="632" w:firstLineChars="200"/>
        <w:rPr>
          <w:rFonts w:hint="eastAsia" w:ascii="仿宋_GB2312" w:hAnsi="仿宋_GB2312" w:eastAsia="仿宋_GB2312"/>
          <w:color w:val="auto"/>
          <w:kern w:val="2"/>
          <w:sz w:val="32"/>
          <w:szCs w:val="32"/>
          <w:lang w:val="en-US"/>
        </w:rPr>
      </w:pPr>
      <w:r>
        <w:rPr>
          <w:rFonts w:hint="eastAsia" w:ascii="仿宋_GB2312" w:hAnsi="仿宋_GB2312" w:eastAsia="仿宋_GB2312"/>
          <w:color w:val="auto"/>
          <w:kern w:val="2"/>
          <w:sz w:val="32"/>
          <w:szCs w:val="32"/>
          <w:lang w:val="en-US"/>
        </w:rPr>
        <w:t>十三、财政拨款“三公”经费支出决算表</w:t>
      </w:r>
    </w:p>
    <w:p>
      <w:pPr>
        <w:spacing w:line="576" w:lineRule="exact"/>
        <w:ind w:firstLine="632" w:firstLineChars="200"/>
        <w:rPr>
          <w:rFonts w:hint="eastAsia" w:ascii="仿宋_GB2312" w:hAnsi="仿宋_GB2312" w:eastAsia="仿宋_GB2312"/>
          <w:color w:val="auto"/>
          <w:kern w:val="2"/>
          <w:sz w:val="32"/>
          <w:szCs w:val="32"/>
          <w:lang w:val="en-US"/>
        </w:rPr>
      </w:pPr>
    </w:p>
    <w:p>
      <w:pPr>
        <w:spacing w:line="576" w:lineRule="exact"/>
        <w:ind w:firstLine="632" w:firstLineChars="200"/>
        <w:rPr>
          <w:rFonts w:hint="eastAsia" w:ascii="仿宋_GB2312" w:hAnsi="仿宋_GB2312" w:eastAsia="仿宋_GB2312"/>
          <w:color w:val="auto"/>
          <w:kern w:val="2"/>
          <w:sz w:val="32"/>
          <w:szCs w:val="32"/>
          <w:lang w:val="en-US"/>
        </w:rPr>
      </w:pPr>
    </w:p>
    <w:p>
      <w:pPr>
        <w:spacing w:line="576" w:lineRule="exact"/>
        <w:ind w:firstLine="632" w:firstLineChars="200"/>
        <w:rPr>
          <w:rFonts w:hint="eastAsia" w:ascii="仿宋_GB2312" w:hAnsi="仿宋_GB2312" w:eastAsia="仿宋_GB2312"/>
          <w:color w:val="auto"/>
          <w:kern w:val="2"/>
          <w:sz w:val="32"/>
          <w:szCs w:val="32"/>
          <w:lang w:val="en-US"/>
        </w:rPr>
      </w:pPr>
    </w:p>
    <w:p>
      <w:pPr>
        <w:spacing w:line="576" w:lineRule="exact"/>
        <w:rPr>
          <w:rFonts w:hint="eastAsia" w:ascii="仿宋_GB2312" w:hAnsi="仿宋_GB2312" w:eastAsia="仿宋_GB2312"/>
          <w:color w:val="auto"/>
          <w:kern w:val="2"/>
          <w:sz w:val="32"/>
          <w:szCs w:val="32"/>
          <w:lang w:val="en-US"/>
        </w:rPr>
      </w:pPr>
    </w:p>
    <w:sectPr>
      <w:pgSz w:w="11907" w:h="16840"/>
      <w:pgMar w:top="2098" w:right="1474" w:bottom="1984" w:left="1587" w:header="720" w:footer="1400" w:gutter="0"/>
      <w:lnNumType w:countBy="0" w:distance="36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大标宋简体">
    <w:altName w:val="宋体"/>
    <w:panose1 w:val="03000509000000000000"/>
    <w:charset w:val="86"/>
    <w:family w:val="auto"/>
    <w:pitch w:val="default"/>
    <w:sig w:usb0="00000000" w:usb1="00000000" w:usb2="00000000" w:usb3="00000000" w:csb0="00040000" w:csb1="00000000"/>
  </w:font>
  <w:font w:name="Arial Unicode MS">
    <w:altName w:val="Times New Roman"/>
    <w:panose1 w:val="020B0604020202020204"/>
    <w:charset w:val="86"/>
    <w:family w:val="auto"/>
    <w:pitch w:val="default"/>
    <w:sig w:usb0="00000000" w:usb1="00000000" w:usb2="0000003F" w:usb3="00000000" w:csb0="603F01FF" w:csb1="FFFF0000"/>
  </w:font>
  <w:font w:name="微软雅黑">
    <w:altName w:val="黑体"/>
    <w:panose1 w:val="020B0503020204020204"/>
    <w:charset w:val="86"/>
    <w:family w:val="auto"/>
    <w:pitch w:val="default"/>
    <w:sig w:usb0="00000000" w:usb1="00000000" w:usb2="00000016" w:usb3="00000000" w:csb0="0004001F" w:csb1="00000000"/>
  </w:font>
  <w:font w:name="方正公文小标宋">
    <w:altName w:val="宋体"/>
    <w:panose1 w:val="02000500000000000000"/>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28"/>
        <w:szCs w:val="24"/>
      </w:rPr>
    </w:pPr>
    <w:r>
      <w:rPr>
        <w:rFonts w:hint="default" w:eastAsia="宋体"/>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default" w:ascii="宋体" w:eastAsia="宋体"/>
                              <w:sz w:val="28"/>
                              <w:szCs w:val="24"/>
                              <w:lang w:val="en-US" w:eastAsia="zh-CN"/>
                            </w:rPr>
                          </w:pPr>
                          <w:r>
                            <w:rPr>
                              <w:rFonts w:hint="default" w:ascii="宋体" w:eastAsia="宋体"/>
                              <w:sz w:val="28"/>
                              <w:szCs w:val="24"/>
                              <w:lang w:eastAsia="zh-CN"/>
                            </w:rPr>
                            <w:t>—</w:t>
                          </w:r>
                          <w:r>
                            <w:rPr>
                              <w:rFonts w:hint="default" w:ascii="宋体" w:eastAsia="宋体"/>
                              <w:sz w:val="28"/>
                              <w:szCs w:val="24"/>
                              <w:lang w:val="en-US" w:eastAsia="zh-CN"/>
                            </w:rPr>
                            <w:t xml:space="preserve"> </w:t>
                          </w:r>
                          <w:r>
                            <w:rPr>
                              <w:rFonts w:hint="eastAsia"/>
                              <w:sz w:val="28"/>
                              <w:szCs w:val="24"/>
                            </w:rPr>
                            <w:fldChar w:fldCharType="begin"/>
                          </w:r>
                          <w:r>
                            <w:rPr>
                              <w:rFonts w:hint="eastAsia"/>
                              <w:sz w:val="28"/>
                              <w:szCs w:val="24"/>
                            </w:rPr>
                            <w:instrText xml:space="preserve"> PAGE  \* MERGEFORMAT </w:instrText>
                          </w:r>
                          <w:r>
                            <w:rPr>
                              <w:rFonts w:hint="eastAsia"/>
                              <w:sz w:val="28"/>
                              <w:szCs w:val="24"/>
                            </w:rPr>
                            <w:fldChar w:fldCharType="separate"/>
                          </w:r>
                          <w:r>
                            <w:rPr>
                              <w:rFonts w:hint="eastAsia"/>
                              <w:sz w:val="28"/>
                              <w:szCs w:val="24"/>
                            </w:rPr>
                            <w:t>4</w:t>
                          </w:r>
                          <w:r>
                            <w:rPr>
                              <w:rFonts w:hint="eastAsia"/>
                              <w:sz w:val="28"/>
                              <w:szCs w:val="24"/>
                            </w:rPr>
                            <w:fldChar w:fldCharType="end"/>
                          </w:r>
                          <w:r>
                            <w:rPr>
                              <w:rFonts w:hint="default" w:ascii="宋体" w:eastAsia="宋体"/>
                              <w:sz w:val="28"/>
                              <w:szCs w:val="24"/>
                              <w:lang w:val="en-US" w:eastAsia="zh-CN"/>
                            </w:rPr>
                            <w:t xml:space="preserve"> —</w:t>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v67+xyAEAAHoDAAAOAAAAAAAA&#10;AAEAIAAAADQBAABkcnMvZTJvRG9jLnhtbFBLBQYAAAAABgAGAFkBAABuBQAAAAA=&#10;">
              <v:fill on="f" focussize="0,0"/>
              <v:stroke on="f"/>
              <v:imagedata o:title=""/>
              <o:lock v:ext="edit" aspectratio="f"/>
              <v:textbox inset="0mm,0mm,0mm,0mm" style="mso-fit-shape-to-text:t;">
                <w:txbxContent>
                  <w:p>
                    <w:pPr>
                      <w:pStyle w:val="7"/>
                      <w:rPr>
                        <w:rFonts w:hint="default" w:ascii="宋体" w:eastAsia="宋体"/>
                        <w:sz w:val="28"/>
                        <w:szCs w:val="24"/>
                        <w:lang w:val="en-US" w:eastAsia="zh-CN"/>
                      </w:rPr>
                    </w:pPr>
                    <w:r>
                      <w:rPr>
                        <w:rFonts w:hint="default" w:ascii="宋体" w:eastAsia="宋体"/>
                        <w:sz w:val="28"/>
                        <w:szCs w:val="24"/>
                        <w:lang w:eastAsia="zh-CN"/>
                      </w:rPr>
                      <w:t>—</w:t>
                    </w:r>
                    <w:r>
                      <w:rPr>
                        <w:rFonts w:hint="default" w:ascii="宋体" w:eastAsia="宋体"/>
                        <w:sz w:val="28"/>
                        <w:szCs w:val="24"/>
                        <w:lang w:val="en-US" w:eastAsia="zh-CN"/>
                      </w:rPr>
                      <w:t xml:space="preserve"> </w:t>
                    </w:r>
                    <w:r>
                      <w:rPr>
                        <w:rFonts w:hint="eastAsia"/>
                        <w:sz w:val="28"/>
                        <w:szCs w:val="24"/>
                      </w:rPr>
                      <w:fldChar w:fldCharType="begin"/>
                    </w:r>
                    <w:r>
                      <w:rPr>
                        <w:rFonts w:hint="eastAsia"/>
                        <w:sz w:val="28"/>
                        <w:szCs w:val="24"/>
                      </w:rPr>
                      <w:instrText xml:space="preserve"> PAGE  \* MERGEFORMAT </w:instrText>
                    </w:r>
                    <w:r>
                      <w:rPr>
                        <w:rFonts w:hint="eastAsia"/>
                        <w:sz w:val="28"/>
                        <w:szCs w:val="24"/>
                      </w:rPr>
                      <w:fldChar w:fldCharType="separate"/>
                    </w:r>
                    <w:r>
                      <w:rPr>
                        <w:rFonts w:hint="eastAsia"/>
                        <w:sz w:val="28"/>
                        <w:szCs w:val="24"/>
                      </w:rPr>
                      <w:t>4</w:t>
                    </w:r>
                    <w:r>
                      <w:rPr>
                        <w:rFonts w:hint="eastAsia"/>
                        <w:sz w:val="28"/>
                        <w:szCs w:val="24"/>
                      </w:rPr>
                      <w:fldChar w:fldCharType="end"/>
                    </w:r>
                    <w:r>
                      <w:rPr>
                        <w:rFonts w:hint="default" w:ascii="宋体" w:eastAsia="宋体"/>
                        <w:sz w:val="28"/>
                        <w:szCs w:val="2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3E456"/>
    <w:multiLevelType w:val="multilevel"/>
    <w:tmpl w:val="E833E456"/>
    <w:lvl w:ilvl="0" w:tentative="0">
      <w:start w:val="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0FBFDE5A"/>
    <w:multiLevelType w:val="multilevel"/>
    <w:tmpl w:val="0FBFDE5A"/>
    <w:lvl w:ilvl="0" w:tentative="0">
      <w:start w:val="2"/>
      <w:numFmt w:val="chineseCountingThousand"/>
      <w:suff w:val="nothing"/>
      <w:lvlText w:val="（%1）"/>
      <w:lvlJc w:val="left"/>
      <w:pPr>
        <w:tabs>
          <w:tab w:val="left" w:pos="420"/>
        </w:tabs>
        <w:ind w:left="0" w:firstLine="0"/>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1901B1DA"/>
    <w:multiLevelType w:val="singleLevel"/>
    <w:tmpl w:val="1901B1DA"/>
    <w:lvl w:ilvl="0" w:tentative="0">
      <w:start w:val="1"/>
      <w:numFmt w:val="chineseCounting"/>
      <w:suff w:val="nothing"/>
      <w:lvlText w:val="%1、"/>
      <w:lvlJc w:val="left"/>
      <w:pPr>
        <w:ind w:left="-10"/>
      </w:pPr>
      <w:rPr>
        <w:rFonts w:hint="eastAsia"/>
      </w:rPr>
    </w:lvl>
  </w:abstractNum>
  <w:abstractNum w:abstractNumId="3">
    <w:nsid w:val="32B89FEE"/>
    <w:multiLevelType w:val="singleLevel"/>
    <w:tmpl w:val="32B89FEE"/>
    <w:lvl w:ilvl="0" w:tentative="0">
      <w:start w:val="2"/>
      <w:numFmt w:val="chineseCounting"/>
      <w:suff w:val="nothing"/>
      <w:lvlText w:val="（%1）"/>
      <w:lvlJc w:val="left"/>
      <w:rPr>
        <w:rFonts w:hint="eastAsia"/>
      </w:rPr>
    </w:lvl>
  </w:abstractNum>
  <w:abstractNum w:abstractNumId="4">
    <w:nsid w:val="4225692B"/>
    <w:multiLevelType w:val="singleLevel"/>
    <w:tmpl w:val="4225692B"/>
    <w:lvl w:ilvl="0" w:tentative="0">
      <w:start w:val="2"/>
      <w:numFmt w:val="chineseCounting"/>
      <w:suff w:val="nothing"/>
      <w:lvlText w:val="（%1）"/>
      <w:lvlJc w:val="left"/>
      <w:rPr>
        <w:rFonts w:hint="eastAsia"/>
      </w:rPr>
    </w:lvl>
  </w:abstractNum>
  <w:abstractNum w:abstractNumId="5">
    <w:nsid w:val="4A48F7B7"/>
    <w:multiLevelType w:val="multilevel"/>
    <w:tmpl w:val="4A48F7B7"/>
    <w:lvl w:ilvl="0" w:tentative="0">
      <w:start w:val="1"/>
      <w:numFmt w:val="chineseCountingThousand"/>
      <w:suff w:val="nothing"/>
      <w:lvlText w:val="（%1）"/>
      <w:lvlJc w:val="left"/>
      <w:pPr>
        <w:tabs>
          <w:tab w:val="left" w:pos="420"/>
        </w:tabs>
        <w:ind w:left="0" w:firstLine="0"/>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58"/>
  <w:drawingGridVerticalSpacing w:val="290"/>
  <w:displayHorizontalDrawingGridEvery w:val="1"/>
  <w:displayVerticalDrawingGridEvery w:val="1"/>
  <w:doNotUseMarginsForDrawingGridOrigin w:val="true"/>
  <w:drawingGridHorizontalOrigin w:val="1701"/>
  <w:drawingGridVerticalOrigin w:val="1984"/>
  <w:doNotShadeFormData w:val="true"/>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NzkzZWRmOWQ4ZTc2YTEwMzUxMmE0OTNkNjUwNzUifQ=="/>
  </w:docVars>
  <w:rsids>
    <w:rsidRoot w:val="00172A27"/>
    <w:rsid w:val="02BC3862"/>
    <w:rsid w:val="02D12526"/>
    <w:rsid w:val="02F44798"/>
    <w:rsid w:val="03865F37"/>
    <w:rsid w:val="04131A03"/>
    <w:rsid w:val="04615F01"/>
    <w:rsid w:val="04694D63"/>
    <w:rsid w:val="05E76E48"/>
    <w:rsid w:val="07DB478B"/>
    <w:rsid w:val="084759D8"/>
    <w:rsid w:val="0A273FC3"/>
    <w:rsid w:val="0A6F565E"/>
    <w:rsid w:val="0B006F51"/>
    <w:rsid w:val="0B3038E6"/>
    <w:rsid w:val="0B6700E1"/>
    <w:rsid w:val="0BA1792A"/>
    <w:rsid w:val="0BD45D4D"/>
    <w:rsid w:val="0C3D7481"/>
    <w:rsid w:val="0C971129"/>
    <w:rsid w:val="0CCF5D53"/>
    <w:rsid w:val="0E4F4A42"/>
    <w:rsid w:val="0ED66DA3"/>
    <w:rsid w:val="0EFB470B"/>
    <w:rsid w:val="0F233A25"/>
    <w:rsid w:val="0F426B76"/>
    <w:rsid w:val="0F486F69"/>
    <w:rsid w:val="0FF87EA4"/>
    <w:rsid w:val="113101C8"/>
    <w:rsid w:val="113F107B"/>
    <w:rsid w:val="119642CE"/>
    <w:rsid w:val="17132EE9"/>
    <w:rsid w:val="17702E89"/>
    <w:rsid w:val="179F3068"/>
    <w:rsid w:val="189C3989"/>
    <w:rsid w:val="191B4799"/>
    <w:rsid w:val="19355CC5"/>
    <w:rsid w:val="1A886795"/>
    <w:rsid w:val="1BCD48DA"/>
    <w:rsid w:val="1E7E5424"/>
    <w:rsid w:val="1F24039A"/>
    <w:rsid w:val="1F615A66"/>
    <w:rsid w:val="215F39E6"/>
    <w:rsid w:val="220F004A"/>
    <w:rsid w:val="23446677"/>
    <w:rsid w:val="23487679"/>
    <w:rsid w:val="24CA6F0B"/>
    <w:rsid w:val="24EA11A8"/>
    <w:rsid w:val="25342EB8"/>
    <w:rsid w:val="259D1E47"/>
    <w:rsid w:val="281862D1"/>
    <w:rsid w:val="282C5026"/>
    <w:rsid w:val="28610F19"/>
    <w:rsid w:val="29E31DE1"/>
    <w:rsid w:val="2B9771A0"/>
    <w:rsid w:val="2D534DF8"/>
    <w:rsid w:val="2D6D3579"/>
    <w:rsid w:val="2EE7704F"/>
    <w:rsid w:val="2FC418D8"/>
    <w:rsid w:val="2FC61B9F"/>
    <w:rsid w:val="30611990"/>
    <w:rsid w:val="32B60BF6"/>
    <w:rsid w:val="341E7941"/>
    <w:rsid w:val="345768F4"/>
    <w:rsid w:val="3482551A"/>
    <w:rsid w:val="39161421"/>
    <w:rsid w:val="391E5B88"/>
    <w:rsid w:val="3A1D0124"/>
    <w:rsid w:val="3B14399B"/>
    <w:rsid w:val="3B280B96"/>
    <w:rsid w:val="3BA67ADA"/>
    <w:rsid w:val="3D2409C1"/>
    <w:rsid w:val="3D516CC2"/>
    <w:rsid w:val="3E354AA4"/>
    <w:rsid w:val="3F801C75"/>
    <w:rsid w:val="40371D16"/>
    <w:rsid w:val="413A7064"/>
    <w:rsid w:val="41CA0DF1"/>
    <w:rsid w:val="435766B4"/>
    <w:rsid w:val="43BB4596"/>
    <w:rsid w:val="45B32F89"/>
    <w:rsid w:val="466465F1"/>
    <w:rsid w:val="476769D3"/>
    <w:rsid w:val="49B520AE"/>
    <w:rsid w:val="4A2D690B"/>
    <w:rsid w:val="4A4D0E06"/>
    <w:rsid w:val="4AB64608"/>
    <w:rsid w:val="4C8326E8"/>
    <w:rsid w:val="4DD6044B"/>
    <w:rsid w:val="4E5E4A28"/>
    <w:rsid w:val="50316DBA"/>
    <w:rsid w:val="506A5C79"/>
    <w:rsid w:val="50C51BC3"/>
    <w:rsid w:val="521E1871"/>
    <w:rsid w:val="52271947"/>
    <w:rsid w:val="5324020D"/>
    <w:rsid w:val="534512EA"/>
    <w:rsid w:val="5375619B"/>
    <w:rsid w:val="556757E9"/>
    <w:rsid w:val="55B12080"/>
    <w:rsid w:val="594554D5"/>
    <w:rsid w:val="59815DCB"/>
    <w:rsid w:val="59A44EFB"/>
    <w:rsid w:val="5A126853"/>
    <w:rsid w:val="5ABD2EC3"/>
    <w:rsid w:val="5B01367D"/>
    <w:rsid w:val="5B6D5B95"/>
    <w:rsid w:val="5B89006B"/>
    <w:rsid w:val="5C7257F7"/>
    <w:rsid w:val="5D0C7556"/>
    <w:rsid w:val="5DBE733D"/>
    <w:rsid w:val="5E8061D0"/>
    <w:rsid w:val="5F49114F"/>
    <w:rsid w:val="60B536E7"/>
    <w:rsid w:val="655D0953"/>
    <w:rsid w:val="670267B3"/>
    <w:rsid w:val="682F411A"/>
    <w:rsid w:val="68656CDF"/>
    <w:rsid w:val="6A0240D7"/>
    <w:rsid w:val="6ACA3D1B"/>
    <w:rsid w:val="6B4C1713"/>
    <w:rsid w:val="6C311483"/>
    <w:rsid w:val="6CDD3BCB"/>
    <w:rsid w:val="6E1D7C8A"/>
    <w:rsid w:val="6EB05D80"/>
    <w:rsid w:val="730A3279"/>
    <w:rsid w:val="73D9089C"/>
    <w:rsid w:val="73FA6A7E"/>
    <w:rsid w:val="748B5C1B"/>
    <w:rsid w:val="76515048"/>
    <w:rsid w:val="7AE364A4"/>
    <w:rsid w:val="7B3F7715"/>
    <w:rsid w:val="7BF75CDB"/>
    <w:rsid w:val="7C7F737F"/>
    <w:rsid w:val="7CB35F23"/>
    <w:rsid w:val="7CD602AB"/>
    <w:rsid w:val="7F8C4318"/>
    <w:rsid w:val="FCF783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99" w:semiHidden="0" w:name="toc 2"/>
    <w:lsdException w:qFormat="1"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eastAsia" w:ascii="Times New Roman" w:hAnsi="Times New Roman" w:eastAsia="Times New Roman" w:cs="Times New Roman"/>
      <w:sz w:val="32"/>
      <w:szCs w:val="24"/>
    </w:rPr>
  </w:style>
  <w:style w:type="paragraph" w:styleId="2">
    <w:name w:val="heading 1"/>
    <w:basedOn w:val="1"/>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2"/>
    <w:basedOn w:val="1"/>
    <w:next w:val="1"/>
    <w:unhideWhenUsed/>
    <w:qFormat/>
    <w:uiPriority w:val="99"/>
    <w:rPr>
      <w:rFonts w:hint="eastAsia"/>
      <w:sz w:val="24"/>
      <w:szCs w:val="24"/>
    </w:rPr>
  </w:style>
  <w:style w:type="paragraph" w:styleId="4">
    <w:name w:val="heading 3"/>
    <w:basedOn w:val="1"/>
    <w:next w:val="1"/>
    <w:unhideWhenUsed/>
    <w:qFormat/>
    <w:uiPriority w:val="9"/>
    <w:pPr>
      <w:spacing w:line="576" w:lineRule="exact"/>
      <w:ind w:firstLine="1440" w:firstLineChars="200"/>
      <w:outlineLvl w:val="2"/>
    </w:pPr>
    <w:rPr>
      <w:rFonts w:hint="eastAsia" w:ascii="楷体_GB2312" w:hAnsi="楷体_GB2312" w:eastAsia="楷体_GB2312" w:cs="楷体_GB2312"/>
      <w:sz w:val="24"/>
      <w:szCs w:val="24"/>
    </w:rPr>
  </w:style>
  <w:style w:type="character" w:default="1" w:styleId="13">
    <w:name w:val="Default Paragraph Font"/>
    <w:unhideWhenUsed/>
    <w:qFormat/>
    <w:uiPriority w:val="99"/>
    <w:rPr>
      <w:rFonts w:hint="default"/>
      <w:sz w:val="24"/>
      <w:szCs w:val="24"/>
    </w:rPr>
  </w:style>
  <w:style w:type="table" w:default="1" w:styleId="12">
    <w:name w:val="Normal Table"/>
    <w:qFormat/>
    <w:uiPriority w:val="99"/>
    <w:tblPr>
      <w:tblCellMar>
        <w:top w:w="0" w:type="dxa"/>
        <w:left w:w="108" w:type="dxa"/>
        <w:bottom w:w="0" w:type="dxa"/>
        <w:right w:w="108" w:type="dxa"/>
      </w:tblCellMar>
    </w:tblPr>
  </w:style>
  <w:style w:type="paragraph" w:styleId="5">
    <w:name w:val="Body Text"/>
    <w:basedOn w:val="1"/>
    <w:next w:val="1"/>
    <w:unhideWhenUsed/>
    <w:qFormat/>
    <w:uiPriority w:val="99"/>
    <w:pPr>
      <w:spacing w:beforeLines="30"/>
    </w:pPr>
    <w:rPr>
      <w:rFonts w:hint="eastAsia" w:ascii="仿宋_GB2312" w:eastAsia="仿宋_GB2312"/>
      <w:sz w:val="30"/>
      <w:szCs w:val="24"/>
    </w:rPr>
  </w:style>
  <w:style w:type="paragraph" w:styleId="6">
    <w:name w:val="toc 3"/>
    <w:basedOn w:val="1"/>
    <w:next w:val="1"/>
    <w:unhideWhenUsed/>
    <w:qFormat/>
    <w:uiPriority w:val="99"/>
    <w:pPr>
      <w:spacing w:line="300" w:lineRule="exact"/>
      <w:ind w:left="840" w:leftChars="400"/>
    </w:pPr>
    <w:rPr>
      <w:rFonts w:hint="default" w:ascii="Arial" w:hAnsi="Arial" w:eastAsia="仿宋"/>
      <w:sz w:val="21"/>
      <w:szCs w:val="24"/>
    </w:rPr>
  </w:style>
  <w:style w:type="paragraph" w:styleId="7">
    <w:name w:val="footer"/>
    <w:basedOn w:val="1"/>
    <w:unhideWhenUsed/>
    <w:qFormat/>
    <w:uiPriority w:val="99"/>
    <w:pPr>
      <w:tabs>
        <w:tab w:val="center" w:pos="4153"/>
        <w:tab w:val="right" w:pos="8306"/>
      </w:tabs>
      <w:snapToGrid w:val="0"/>
    </w:pPr>
    <w:rPr>
      <w:rFonts w:hint="eastAsia"/>
      <w:sz w:val="28"/>
      <w:szCs w:val="24"/>
    </w:rPr>
  </w:style>
  <w:style w:type="paragraph" w:styleId="8">
    <w:name w:val="header"/>
    <w:basedOn w:val="1"/>
    <w:unhideWhenUsed/>
    <w:qFormat/>
    <w:uiPriority w:val="99"/>
    <w:pPr>
      <w:tabs>
        <w:tab w:val="center" w:pos="4153"/>
        <w:tab w:val="right" w:pos="8306"/>
      </w:tabs>
      <w:snapToGrid w:val="0"/>
      <w:jc w:val="both"/>
    </w:pPr>
    <w:rPr>
      <w:rFonts w:hint="eastAsia"/>
      <w:sz w:val="18"/>
      <w:szCs w:val="24"/>
    </w:rPr>
  </w:style>
  <w:style w:type="paragraph" w:styleId="9">
    <w:name w:val="toc 1"/>
    <w:basedOn w:val="1"/>
    <w:next w:val="1"/>
    <w:unhideWhenUsed/>
    <w:qFormat/>
    <w:uiPriority w:val="39"/>
    <w:pPr>
      <w:tabs>
        <w:tab w:val="right" w:leader="dot" w:pos="8296"/>
      </w:tabs>
      <w:spacing w:before="93"/>
      <w:jc w:val="center"/>
    </w:pPr>
    <w:rPr>
      <w:rFonts w:hint="eastAsia" w:ascii="仿宋" w:hAnsi="仿宋" w:eastAsia="仿宋"/>
      <w:sz w:val="28"/>
      <w:szCs w:val="24"/>
    </w:rPr>
  </w:style>
  <w:style w:type="paragraph" w:styleId="10">
    <w:name w:val="table of figures"/>
    <w:basedOn w:val="1"/>
    <w:next w:val="1"/>
    <w:unhideWhenUsed/>
    <w:qFormat/>
    <w:uiPriority w:val="99"/>
    <w:pPr>
      <w:ind w:left="200" w:leftChars="200" w:hanging="200" w:hangingChars="200"/>
    </w:pPr>
    <w:rPr>
      <w:rFonts w:hint="eastAsia"/>
      <w:sz w:val="24"/>
      <w:szCs w:val="24"/>
    </w:rPr>
  </w:style>
  <w:style w:type="paragraph" w:styleId="11">
    <w:name w:val="toc 2"/>
    <w:basedOn w:val="1"/>
    <w:next w:val="1"/>
    <w:unhideWhenUsed/>
    <w:qFormat/>
    <w:uiPriority w:val="99"/>
    <w:pPr>
      <w:ind w:left="420" w:leftChars="200"/>
    </w:pPr>
    <w:rPr>
      <w:rFonts w:hint="eastAsia"/>
      <w:sz w:val="32"/>
      <w:szCs w:val="24"/>
    </w:rPr>
  </w:style>
  <w:style w:type="paragraph" w:customStyle="1" w:styleId="14">
    <w:name w:val="table of figures1"/>
    <w:basedOn w:val="1"/>
    <w:next w:val="1"/>
    <w:unhideWhenUsed/>
    <w:qFormat/>
    <w:uiPriority w:val="0"/>
    <w:pPr>
      <w:ind w:left="200" w:leftChars="200" w:hanging="200" w:hangingChars="200"/>
    </w:pPr>
    <w:rPr>
      <w:rFonts w:hint="default" w:ascii="Calibri" w:hAnsi="Calibri" w:eastAsia="仿宋_GB2312"/>
      <w:sz w:val="32"/>
      <w:szCs w:val="32"/>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186</Pages>
  <Words>77239</Words>
  <Characters>85975</Characters>
  <TotalTime>4</TotalTime>
  <ScaleCrop>false</ScaleCrop>
  <LinksUpToDate>false</LinksUpToDate>
  <CharactersWithSpaces>86146</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2024-10-15T10:03:00Z</dcterms:created>
  <dc:creator>Administrator</dc:creator>
  <cp:lastModifiedBy>user</cp:lastModifiedBy>
  <dcterms:modified xsi:type="dcterms:W3CDTF">2024-12-24T10:01:49Z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0269629EC73C4E9A878DF636EBBFE170_13</vt:lpwstr>
  </property>
</Properties>
</file>