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193"/>
      <w:bookmarkStart w:id="1" w:name="_Toc15306267"/>
      <w:bookmarkStart w:id="2" w:name="_Toc15377425"/>
      <w:bookmarkStart w:id="3" w:name="_Toc15396597"/>
      <w:bookmarkStart w:id="4" w:name="_Toc15396475"/>
      <w:bookmarkStart w:id="5" w:name="_Toc15378441"/>
      <w:bookmarkStart w:id="104" w:name="_GoBack"/>
      <w:bookmarkEnd w:id="104"/>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6"/>
          <w:szCs w:val="56"/>
        </w:rPr>
      </w:pPr>
      <w:bookmarkStart w:id="6" w:name="_Toc4475"/>
      <w:bookmarkStart w:id="7" w:name="_Toc9073"/>
      <w:r>
        <w:rPr>
          <w:rFonts w:hint="eastAsia" w:ascii="方正小标宋简体" w:hAnsi="方正小标宋简体" w:eastAsia="方正小标宋简体" w:cs="方正小标宋简体"/>
          <w:sz w:val="56"/>
          <w:szCs w:val="56"/>
        </w:rPr>
        <w:t>2022年度</w:t>
      </w:r>
      <w:bookmarkEnd w:id="0"/>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color w:val="000000"/>
          <w:sz w:val="56"/>
          <w:szCs w:val="56"/>
        </w:rPr>
      </w:pPr>
      <w:bookmarkStart w:id="8" w:name="_Toc25649"/>
      <w:bookmarkStart w:id="9" w:name="_Toc29189"/>
      <w:r>
        <w:rPr>
          <w:rFonts w:hint="eastAsia" w:ascii="方正小标宋简体" w:hAnsi="宋体" w:eastAsia="方正小标宋简体"/>
          <w:color w:val="000000"/>
          <w:sz w:val="56"/>
          <w:szCs w:val="56"/>
        </w:rPr>
        <w:t>广元市朝天区住房和城乡建设局</w:t>
      </w:r>
      <w:bookmarkEnd w:id="8"/>
      <w:bookmarkEnd w:id="9"/>
    </w:p>
    <w:p>
      <w:pPr>
        <w:jc w:val="center"/>
        <w:rPr>
          <w:rFonts w:hint="eastAsia" w:ascii="方正小标宋简体" w:hAnsi="宋体" w:eastAsia="方正小标宋简体"/>
          <w:color w:val="000000"/>
          <w:sz w:val="56"/>
          <w:szCs w:val="56"/>
        </w:rPr>
      </w:pPr>
      <w:r>
        <w:rPr>
          <w:rFonts w:hint="eastAsia" w:ascii="方正小标宋简体" w:hAnsi="宋体" w:eastAsia="方正小标宋简体"/>
          <w:color w:val="000000"/>
          <w:sz w:val="56"/>
          <w:szCs w:val="56"/>
        </w:rPr>
        <w:t>部门决算</w:t>
      </w:r>
    </w:p>
    <w:p>
      <w:pPr>
        <w:pStyle w:val="2"/>
        <w:rPr>
          <w:rFonts w:hint="eastAsia" w:ascii="方正小标宋简体" w:hAnsi="宋体" w:eastAsia="方正小标宋简体"/>
          <w:color w:val="000000"/>
          <w:sz w:val="56"/>
          <w:szCs w:val="56"/>
        </w:rPr>
      </w:pPr>
    </w:p>
    <w:p>
      <w:pPr>
        <w:pStyle w:val="2"/>
        <w:rPr>
          <w:rFonts w:hint="eastAsia" w:ascii="方正小标宋简体" w:hAnsi="宋体" w:eastAsia="方正小标宋简体"/>
          <w:color w:val="000000"/>
          <w:sz w:val="56"/>
          <w:szCs w:val="56"/>
        </w:rPr>
      </w:pPr>
    </w:p>
    <w:p>
      <w:pPr>
        <w:pStyle w:val="2"/>
        <w:rPr>
          <w:rFonts w:hint="eastAsia" w:ascii="方正小标宋简体" w:hAnsi="宋体" w:eastAsia="方正小标宋简体"/>
          <w:color w:val="000000"/>
          <w:sz w:val="56"/>
          <w:szCs w:val="56"/>
        </w:rPr>
      </w:pPr>
    </w:p>
    <w:p>
      <w:pPr>
        <w:pStyle w:val="2"/>
        <w:rPr>
          <w:rFonts w:hint="eastAsia" w:ascii="方正小标宋简体" w:hAnsi="宋体" w:eastAsia="方正小标宋简体"/>
          <w:color w:val="000000"/>
          <w:sz w:val="56"/>
          <w:szCs w:val="56"/>
        </w:rPr>
      </w:pPr>
    </w:p>
    <w:p>
      <w:pPr>
        <w:pStyle w:val="2"/>
        <w:rPr>
          <w:rFonts w:hint="eastAsia" w:ascii="方正小标宋简体" w:hAnsi="宋体" w:eastAsia="方正小标宋简体"/>
          <w:color w:val="000000"/>
          <w:sz w:val="56"/>
          <w:szCs w:val="56"/>
        </w:rPr>
      </w:pPr>
    </w:p>
    <w:p>
      <w:pPr>
        <w:pStyle w:val="2"/>
        <w:rPr>
          <w:rFonts w:hint="eastAsia" w:ascii="方正小标宋简体" w:hAnsi="宋体" w:eastAsia="方正小标宋简体"/>
          <w:color w:val="000000"/>
          <w:sz w:val="56"/>
          <w:szCs w:val="56"/>
          <w:lang w:eastAsia="zh-CN"/>
        </w:rPr>
      </w:pP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公开时间：2023年10月27日</w:t>
      </w:r>
    </w:p>
    <w:sdt>
      <w:sdtPr>
        <w:rPr>
          <w:rFonts w:ascii="宋体" w:hAnsi="宋体" w:eastAsia="宋体" w:cs="Times New Roman"/>
          <w:kern w:val="2"/>
          <w:sz w:val="21"/>
          <w:szCs w:val="24"/>
          <w:lang w:val="en-US" w:eastAsia="zh-CN" w:bidi="ar-SA"/>
        </w:rPr>
        <w:id w:val="147472535"/>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2"/>
            <w:tabs>
              <w:tab w:val="right" w:leader="dot" w:pos="8845"/>
            </w:tabs>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TOC \o "1-3" \h \u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_Toc3767 </w:instrText>
          </w:r>
          <w:r>
            <w:rPr>
              <w:rFonts w:hint="eastAsia" w:ascii="方正小标宋简体" w:hAnsi="方正小标宋简体" w:eastAsia="方正小标宋简体" w:cs="方正小标宋简体"/>
              <w:szCs w:val="44"/>
            </w:rPr>
            <w:fldChar w:fldCharType="separate"/>
          </w:r>
          <w:r>
            <w:rPr>
              <w:rFonts w:hint="eastAsia" w:ascii="方正小标宋简体" w:hAnsi="方正小标宋简体" w:eastAsia="方正小标宋简体" w:cs="方正小标宋简体"/>
              <w:szCs w:val="44"/>
            </w:rPr>
            <w:t xml:space="preserve">第一部分 </w:t>
          </w:r>
          <w:r>
            <w:rPr>
              <w:rFonts w:hint="eastAsia" w:ascii="方正小标宋简体" w:hAnsi="方正小标宋简体" w:eastAsia="方正小标宋简体" w:cs="方正小标宋简体"/>
              <w:bCs w:val="0"/>
            </w:rPr>
            <w:t>部门概况</w:t>
          </w:r>
          <w:r>
            <w:tab/>
          </w:r>
          <w:r>
            <w:fldChar w:fldCharType="begin"/>
          </w:r>
          <w:r>
            <w:instrText xml:space="preserve"> PAGEREF _Toc3767 \h </w:instrText>
          </w:r>
          <w:r>
            <w:fldChar w:fldCharType="separate"/>
          </w:r>
          <w:r>
            <w:t>- 3 -</w:t>
          </w:r>
          <w:r>
            <w:fldChar w:fldCharType="end"/>
          </w:r>
          <w:r>
            <w:rPr>
              <w:rFonts w:hint="eastAsia" w:ascii="方正小标宋简体" w:hAnsi="方正小标宋简体" w:eastAsia="方正小标宋简体" w:cs="方正小标宋简体"/>
              <w:szCs w:val="44"/>
            </w:rPr>
            <w:fldChar w:fldCharType="end"/>
          </w:r>
        </w:p>
        <w:p>
          <w:pPr>
            <w:pStyle w:val="43"/>
            <w:tabs>
              <w:tab w:val="right" w:leader="dot" w:pos="8845"/>
            </w:tabs>
            <w:ind w:left="0" w:leftChars="0" w:firstLine="0" w:firstLineChars="0"/>
            <w:rPr>
              <w:rFonts w:hint="eastAsia" w:ascii="方正小标宋简体" w:hAnsi="方正小标宋简体" w:eastAsia="方正小标宋简体" w:cs="方正小标宋简体"/>
              <w:szCs w:val="44"/>
              <w:lang w:eastAsia="zh-CN"/>
            </w:rPr>
          </w:pPr>
          <w:r>
            <w:rPr>
              <w:rFonts w:hint="eastAsia" w:ascii="方正小标宋简体" w:hAnsi="方正小标宋简体" w:eastAsia="方正小标宋简体" w:cs="方正小标宋简体"/>
              <w:szCs w:val="44"/>
              <w:lang w:eastAsia="zh-CN"/>
            </w:rPr>
            <w:t>一、部门职责</w:t>
          </w:r>
          <w:r>
            <w:tab/>
          </w:r>
          <w:r>
            <w:fldChar w:fldCharType="begin"/>
          </w:r>
          <w:r>
            <w:instrText xml:space="preserve"> PAGEREF _Toc21444 \h </w:instrText>
          </w:r>
          <w:r>
            <w:fldChar w:fldCharType="separate"/>
          </w:r>
          <w:r>
            <w:t>- 3 -</w:t>
          </w:r>
          <w:r>
            <w:fldChar w:fldCharType="end"/>
          </w:r>
        </w:p>
        <w:p>
          <w:pPr>
            <w:pStyle w:val="43"/>
            <w:tabs>
              <w:tab w:val="right" w:leader="dot" w:pos="8845"/>
            </w:tabs>
            <w:ind w:left="0" w:leftChars="0" w:firstLine="0" w:firstLineChars="0"/>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_Toc21444 </w:instrText>
          </w:r>
          <w:r>
            <w:rPr>
              <w:rFonts w:hint="eastAsia" w:ascii="方正小标宋简体" w:hAnsi="方正小标宋简体" w:eastAsia="方正小标宋简体" w:cs="方正小标宋简体"/>
              <w:szCs w:val="44"/>
            </w:rPr>
            <w:fldChar w:fldCharType="separate"/>
          </w:r>
          <w:r>
            <w:rPr>
              <w:rFonts w:hint="eastAsia" w:ascii="方正小标宋简体" w:hAnsi="方正小标宋简体" w:eastAsia="方正小标宋简体" w:cs="方正小标宋简体"/>
              <w:szCs w:val="44"/>
              <w:lang w:eastAsia="zh-CN"/>
            </w:rPr>
            <w:t>二、机构设置</w:t>
          </w:r>
          <w:r>
            <w:tab/>
          </w:r>
          <w:r>
            <w:fldChar w:fldCharType="begin"/>
          </w:r>
          <w:r>
            <w:instrText xml:space="preserve"> PAGEREF _Toc21444 \h </w:instrText>
          </w:r>
          <w:r>
            <w:fldChar w:fldCharType="separate"/>
          </w:r>
          <w:r>
            <w:t xml:space="preserve">- </w:t>
          </w:r>
          <w:r>
            <w:rPr>
              <w:rFonts w:hint="eastAsia"/>
              <w:lang w:val="en-US" w:eastAsia="zh-CN"/>
            </w:rPr>
            <w:t>11</w:t>
          </w:r>
          <w:r>
            <w:t xml:space="preserve"> -</w:t>
          </w:r>
          <w:r>
            <w:fldChar w:fldCharType="end"/>
          </w:r>
          <w:r>
            <w:rPr>
              <w:rFonts w:hint="eastAsia" w:ascii="方正小标宋简体" w:hAnsi="方正小标宋简体" w:eastAsia="方正小标宋简体" w:cs="方正小标宋简体"/>
              <w:szCs w:val="44"/>
            </w:rPr>
            <w:fldChar w:fldCharType="end"/>
          </w:r>
        </w:p>
        <w:p>
          <w:pPr>
            <w:pStyle w:val="43"/>
            <w:tabs>
              <w:tab w:val="right" w:leader="dot" w:pos="8845"/>
            </w:tabs>
            <w:ind w:left="0" w:leftChars="0" w:firstLine="0" w:firstLineChars="0"/>
            <w:rPr>
              <w:rFonts w:hint="default" w:ascii="方正小标宋简体" w:hAnsi="方正小标宋简体" w:eastAsia="方正小标宋简体" w:cs="方正小标宋简体"/>
              <w:szCs w:val="44"/>
              <w:lang w:val="en-US" w:eastAsia="zh-CN"/>
            </w:rPr>
          </w:pPr>
          <w:r>
            <w:rPr>
              <w:rFonts w:hint="eastAsia" w:ascii="方正小标宋简体" w:hAnsi="方正小标宋简体" w:eastAsia="方正小标宋简体" w:cs="方正小标宋简体"/>
              <w:szCs w:val="44"/>
              <w:lang w:eastAsia="zh-CN"/>
            </w:rPr>
            <w:t>第二部分2022年度部门决算情况说明</w:t>
          </w:r>
          <w:r>
            <w:rPr>
              <w:rFonts w:hint="eastAsia" w:ascii="方正小标宋简体" w:hAnsi="方正小标宋简体" w:eastAsia="方正小标宋简体" w:cs="方正小标宋简体"/>
              <w:szCs w:val="44"/>
              <w:lang w:val="en-US" w:eastAsia="zh-CN"/>
            </w:rPr>
            <w:t xml:space="preserve"> </w:t>
          </w:r>
          <w:r>
            <w:tab/>
          </w:r>
          <w:r>
            <w:fldChar w:fldCharType="begin"/>
          </w:r>
          <w:r>
            <w:instrText xml:space="preserve"> PAGEREF _Toc22002 \h </w:instrText>
          </w:r>
          <w:r>
            <w:fldChar w:fldCharType="separate"/>
          </w:r>
          <w:r>
            <w:t>- 12 -</w:t>
          </w:r>
          <w: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_Toc22002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szCs w:val="32"/>
            </w:rPr>
            <w:t>一、收</w:t>
          </w:r>
          <w:r>
            <w:rPr>
              <w:rFonts w:hint="eastAsia" w:ascii="黑体" w:hAnsi="黑体" w:eastAsia="黑体"/>
            </w:rPr>
            <w:t>入支出决算总体情况说明</w:t>
          </w:r>
          <w:r>
            <w:tab/>
          </w:r>
          <w:r>
            <w:fldChar w:fldCharType="begin"/>
          </w:r>
          <w:r>
            <w:instrText xml:space="preserve"> PAGEREF _Toc22002 \h </w:instrText>
          </w:r>
          <w:r>
            <w:fldChar w:fldCharType="separate"/>
          </w:r>
          <w:r>
            <w:t>- 12 -</w:t>
          </w:r>
          <w:r>
            <w:fldChar w:fldCharType="end"/>
          </w:r>
          <w:r>
            <w:rPr>
              <w:rFonts w:hint="eastAsia" w:ascii="方正小标宋简体" w:hAnsi="方正小标宋简体" w:eastAsia="方正小标宋简体" w:cs="方正小标宋简体"/>
              <w:szCs w:val="44"/>
            </w:rP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_Toc15830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szCs w:val="32"/>
            </w:rPr>
            <w:t>二、收</w:t>
          </w:r>
          <w:r>
            <w:rPr>
              <w:rFonts w:hint="eastAsia" w:ascii="黑体" w:hAnsi="黑体" w:eastAsia="黑体"/>
            </w:rPr>
            <w:t>入决算情况说明</w:t>
          </w:r>
          <w:r>
            <w:tab/>
          </w:r>
          <w:r>
            <w:fldChar w:fldCharType="begin"/>
          </w:r>
          <w:r>
            <w:instrText xml:space="preserve"> PAGEREF _Toc15830 \h </w:instrText>
          </w:r>
          <w:r>
            <w:fldChar w:fldCharType="separate"/>
          </w:r>
          <w:r>
            <w:t>- 12 -</w:t>
          </w:r>
          <w:r>
            <w:fldChar w:fldCharType="end"/>
          </w:r>
          <w:r>
            <w:rPr>
              <w:rFonts w:hint="eastAsia" w:ascii="方正小标宋简体" w:hAnsi="方正小标宋简体" w:eastAsia="方正小标宋简体" w:cs="方正小标宋简体"/>
              <w:szCs w:val="44"/>
            </w:rP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_Toc8232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szCs w:val="32"/>
            </w:rPr>
            <w:t>三、支</w:t>
          </w:r>
          <w:r>
            <w:rPr>
              <w:rFonts w:hint="eastAsia" w:ascii="黑体" w:hAnsi="黑体" w:eastAsia="黑体"/>
            </w:rPr>
            <w:t>出决算情况说明</w:t>
          </w:r>
          <w:r>
            <w:tab/>
          </w:r>
          <w:r>
            <w:fldChar w:fldCharType="begin"/>
          </w:r>
          <w:r>
            <w:instrText xml:space="preserve"> PAGEREF _Toc8232 \h </w:instrText>
          </w:r>
          <w:r>
            <w:fldChar w:fldCharType="separate"/>
          </w:r>
          <w:r>
            <w:t>- 13 -</w:t>
          </w:r>
          <w:r>
            <w:fldChar w:fldCharType="end"/>
          </w:r>
          <w:r>
            <w:rPr>
              <w:rFonts w:hint="eastAsia" w:ascii="方正小标宋简体" w:hAnsi="方正小标宋简体" w:eastAsia="方正小标宋简体" w:cs="方正小标宋简体"/>
              <w:szCs w:val="44"/>
            </w:rP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_Toc2205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_Toc2205 \h </w:instrText>
          </w:r>
          <w:r>
            <w:fldChar w:fldCharType="separate"/>
          </w:r>
          <w:r>
            <w:t>- 14 -</w:t>
          </w:r>
          <w:r>
            <w:fldChar w:fldCharType="end"/>
          </w:r>
          <w:r>
            <w:rPr>
              <w:rFonts w:hint="eastAsia" w:ascii="方正小标宋简体" w:hAnsi="方正小标宋简体" w:eastAsia="方正小标宋简体" w:cs="方正小标宋简体"/>
              <w:szCs w:val="44"/>
            </w:rP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_Toc30775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_Toc30775 \h </w:instrText>
          </w:r>
          <w:r>
            <w:fldChar w:fldCharType="separate"/>
          </w:r>
          <w:r>
            <w:t>- 14 -</w:t>
          </w:r>
          <w:r>
            <w:fldChar w:fldCharType="end"/>
          </w:r>
          <w:r>
            <w:rPr>
              <w:rFonts w:hint="eastAsia" w:ascii="方正小标宋简体" w:hAnsi="方正小标宋简体" w:eastAsia="方正小标宋简体" w:cs="方正小标宋简体"/>
              <w:szCs w:val="44"/>
            </w:rPr>
            <w:fldChar w:fldCharType="end"/>
          </w:r>
        </w:p>
        <w:p>
          <w:pPr>
            <w:pStyle w:val="43"/>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_Toc18298 </w:instrText>
          </w:r>
          <w:r>
            <w:rPr>
              <w:rFonts w:hint="eastAsia" w:ascii="方正小标宋简体" w:hAnsi="方正小标宋简体" w:eastAsia="方正小标宋简体" w:cs="方正小标宋简体"/>
              <w:szCs w:val="44"/>
            </w:rPr>
            <w:fldChar w:fldCharType="separate"/>
          </w:r>
          <w:r>
            <w:rPr>
              <w:rFonts w:hint="eastAsia" w:ascii="楷体_GB2312" w:hAnsi="楷体_GB2312" w:eastAsia="楷体_GB2312" w:cs="楷体_GB2312"/>
              <w:szCs w:val="32"/>
            </w:rPr>
            <w:t>（一）一般公共预算财政拨款支出决算总体情况</w:t>
          </w:r>
          <w:r>
            <w:tab/>
          </w:r>
          <w:r>
            <w:fldChar w:fldCharType="begin"/>
          </w:r>
          <w:r>
            <w:instrText xml:space="preserve"> PAGEREF _Toc18298 \h </w:instrText>
          </w:r>
          <w:r>
            <w:fldChar w:fldCharType="separate"/>
          </w:r>
          <w:r>
            <w:t>- 14 -</w:t>
          </w:r>
          <w:r>
            <w:fldChar w:fldCharType="end"/>
          </w:r>
          <w:r>
            <w:rPr>
              <w:rFonts w:hint="eastAsia" w:ascii="方正小标宋简体" w:hAnsi="方正小标宋简体" w:eastAsia="方正小标宋简体" w:cs="方正小标宋简体"/>
              <w:szCs w:val="44"/>
            </w:rPr>
            <w:fldChar w:fldCharType="end"/>
          </w:r>
        </w:p>
        <w:p>
          <w:pPr>
            <w:pStyle w:val="43"/>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_Toc19630 </w:instrText>
          </w:r>
          <w:r>
            <w:rPr>
              <w:rFonts w:hint="eastAsia" w:ascii="方正小标宋简体" w:hAnsi="方正小标宋简体" w:eastAsia="方正小标宋简体" w:cs="方正小标宋简体"/>
              <w:szCs w:val="44"/>
            </w:rPr>
            <w:fldChar w:fldCharType="separate"/>
          </w:r>
          <w:r>
            <w:rPr>
              <w:rFonts w:hint="eastAsia" w:ascii="楷体_GB2312" w:hAnsi="楷体_GB2312" w:eastAsia="楷体_GB2312" w:cs="楷体_GB2312"/>
              <w:szCs w:val="32"/>
            </w:rPr>
            <w:t>（二）一般公共预算财政拨款支出决算结构情况</w:t>
          </w:r>
          <w:r>
            <w:tab/>
          </w:r>
          <w:r>
            <w:fldChar w:fldCharType="begin"/>
          </w:r>
          <w:r>
            <w:instrText xml:space="preserve"> PAGEREF _Toc19630 \h </w:instrText>
          </w:r>
          <w:r>
            <w:fldChar w:fldCharType="separate"/>
          </w:r>
          <w:r>
            <w:t>- 15 -</w:t>
          </w:r>
          <w:r>
            <w:fldChar w:fldCharType="end"/>
          </w:r>
          <w:r>
            <w:rPr>
              <w:rFonts w:hint="eastAsia" w:ascii="方正小标宋简体" w:hAnsi="方正小标宋简体" w:eastAsia="方正小标宋简体" w:cs="方正小标宋简体"/>
              <w:szCs w:val="44"/>
            </w:rPr>
            <w:fldChar w:fldCharType="end"/>
          </w:r>
        </w:p>
        <w:p>
          <w:pPr>
            <w:pStyle w:val="43"/>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_Toc15503 </w:instrText>
          </w:r>
          <w:r>
            <w:rPr>
              <w:rFonts w:hint="eastAsia" w:ascii="方正小标宋简体" w:hAnsi="方正小标宋简体" w:eastAsia="方正小标宋简体" w:cs="方正小标宋简体"/>
              <w:szCs w:val="44"/>
            </w:rPr>
            <w:fldChar w:fldCharType="separate"/>
          </w:r>
          <w:r>
            <w:rPr>
              <w:rFonts w:hint="eastAsia" w:ascii="楷体_GB2312" w:hAnsi="楷体_GB2312" w:eastAsia="楷体_GB2312" w:cs="楷体_GB2312"/>
              <w:szCs w:val="32"/>
            </w:rPr>
            <w:t>（三）一般公共预算财政拨款支出决算具体情况</w:t>
          </w:r>
          <w:r>
            <w:tab/>
          </w:r>
          <w:r>
            <w:fldChar w:fldCharType="begin"/>
          </w:r>
          <w:r>
            <w:instrText xml:space="preserve"> PAGEREF _Toc15503 \h </w:instrText>
          </w:r>
          <w:r>
            <w:fldChar w:fldCharType="separate"/>
          </w:r>
          <w:r>
            <w:t>- 16 -</w:t>
          </w:r>
          <w:r>
            <w:fldChar w:fldCharType="end"/>
          </w:r>
          <w:r>
            <w:rPr>
              <w:rFonts w:hint="eastAsia" w:ascii="方正小标宋简体" w:hAnsi="方正小标宋简体" w:eastAsia="方正小标宋简体" w:cs="方正小标宋简体"/>
              <w:szCs w:val="44"/>
            </w:rP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_Toc24251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rPr>
            <w:t>八、政府性基金预算支出决算情况说明</w:t>
          </w:r>
          <w:r>
            <w:tab/>
          </w:r>
          <w:r>
            <w:fldChar w:fldCharType="begin"/>
          </w:r>
          <w:r>
            <w:instrText xml:space="preserve"> PAGEREF _Toc24251 \h </w:instrText>
          </w:r>
          <w:r>
            <w:fldChar w:fldCharType="separate"/>
          </w:r>
          <w:r>
            <w:t>- 20 -</w:t>
          </w:r>
          <w:r>
            <w:fldChar w:fldCharType="end"/>
          </w:r>
          <w:r>
            <w:rPr>
              <w:rFonts w:hint="eastAsia" w:ascii="方正小标宋简体" w:hAnsi="方正小标宋简体" w:eastAsia="方正小标宋简体" w:cs="方正小标宋简体"/>
              <w:szCs w:val="44"/>
            </w:rP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_Toc17460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rPr>
            <w:t>九、国有资本经营预算支出决算情况说明</w:t>
          </w:r>
          <w:r>
            <w:tab/>
          </w:r>
          <w:r>
            <w:fldChar w:fldCharType="begin"/>
          </w:r>
          <w:r>
            <w:instrText xml:space="preserve"> PAGEREF _Toc17460 \h </w:instrText>
          </w:r>
          <w:r>
            <w:fldChar w:fldCharType="separate"/>
          </w:r>
          <w:r>
            <w:t>- 20 -</w:t>
          </w:r>
          <w:r>
            <w:fldChar w:fldCharType="end"/>
          </w:r>
          <w:r>
            <w:rPr>
              <w:rFonts w:hint="eastAsia" w:ascii="方正小标宋简体" w:hAnsi="方正小标宋简体" w:eastAsia="方正小标宋简体" w:cs="方正小标宋简体"/>
              <w:szCs w:val="44"/>
            </w:rPr>
            <w:fldChar w:fldCharType="end"/>
          </w:r>
        </w:p>
        <w:p>
          <w:pPr>
            <w:pStyle w:val="44"/>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_Toc22624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rPr>
            <w:t>十、其他重要事项的情况说明</w:t>
          </w:r>
          <w:r>
            <w:tab/>
          </w:r>
          <w:r>
            <w:fldChar w:fldCharType="begin"/>
          </w:r>
          <w:r>
            <w:instrText xml:space="preserve"> PAGEREF _Toc22624 \h </w:instrText>
          </w:r>
          <w:r>
            <w:fldChar w:fldCharType="separate"/>
          </w:r>
          <w:r>
            <w:t>- 20 -</w:t>
          </w:r>
          <w:r>
            <w:fldChar w:fldCharType="end"/>
          </w:r>
          <w:r>
            <w:rPr>
              <w:rFonts w:hint="eastAsia" w:ascii="方正小标宋简体" w:hAnsi="方正小标宋简体" w:eastAsia="方正小标宋简体" w:cs="方正小标宋简体"/>
              <w:szCs w:val="44"/>
            </w:rPr>
            <w:fldChar w:fldCharType="end"/>
          </w:r>
        </w:p>
        <w:p>
          <w:pPr>
            <w:pStyle w:val="42"/>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_Toc7108 </w:instrText>
          </w:r>
          <w:r>
            <w:rPr>
              <w:rFonts w:hint="eastAsia" w:ascii="方正小标宋简体" w:hAnsi="方正小标宋简体" w:eastAsia="方正小标宋简体" w:cs="方正小标宋简体"/>
              <w:szCs w:val="44"/>
            </w:rPr>
            <w:fldChar w:fldCharType="separate"/>
          </w:r>
          <w:r>
            <w:rPr>
              <w:rFonts w:hint="eastAsia" w:ascii="方正小标宋简体" w:hAnsi="方正小标宋简体" w:eastAsia="方正小标宋简体" w:cs="方正小标宋简体"/>
              <w:szCs w:val="44"/>
            </w:rPr>
            <w:t>第三部分名</w:t>
          </w:r>
          <w:r>
            <w:rPr>
              <w:rFonts w:hint="eastAsia" w:ascii="方正小标宋简体" w:hAnsi="方正小标宋简体" w:eastAsia="方正小标宋简体" w:cs="方正小标宋简体"/>
            </w:rPr>
            <w:t>词解释</w:t>
          </w:r>
          <w:r>
            <w:tab/>
          </w:r>
          <w:r>
            <w:fldChar w:fldCharType="begin"/>
          </w:r>
          <w:r>
            <w:instrText xml:space="preserve"> PAGEREF _Toc7108 \h </w:instrText>
          </w:r>
          <w:r>
            <w:fldChar w:fldCharType="separate"/>
          </w:r>
          <w:r>
            <w:t>- 22 -</w:t>
          </w:r>
          <w:r>
            <w:fldChar w:fldCharType="end"/>
          </w:r>
          <w:r>
            <w:rPr>
              <w:rFonts w:hint="eastAsia" w:ascii="方正小标宋简体" w:hAnsi="方正小标宋简体" w:eastAsia="方正小标宋简体" w:cs="方正小标宋简体"/>
              <w:szCs w:val="44"/>
            </w:rPr>
            <w:fldChar w:fldCharType="end"/>
          </w:r>
        </w:p>
        <w:p>
          <w:pPr>
            <w:pStyle w:val="42"/>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_Toc10447 </w:instrText>
          </w:r>
          <w:r>
            <w:rPr>
              <w:rFonts w:hint="eastAsia" w:ascii="方正小标宋简体" w:hAnsi="方正小标宋简体" w:eastAsia="方正小标宋简体" w:cs="方正小标宋简体"/>
              <w:szCs w:val="44"/>
            </w:rPr>
            <w:fldChar w:fldCharType="separate"/>
          </w:r>
          <w:r>
            <w:rPr>
              <w:rFonts w:hint="eastAsia" w:ascii="方正小标宋简体" w:hAnsi="方正小标宋简体" w:eastAsia="方正小标宋简体" w:cs="方正小标宋简体"/>
              <w:szCs w:val="44"/>
            </w:rPr>
            <w:t>第四部分 附件</w:t>
          </w:r>
          <w:r>
            <w:tab/>
          </w:r>
          <w:r>
            <w:fldChar w:fldCharType="begin"/>
          </w:r>
          <w:r>
            <w:instrText xml:space="preserve"> PAGEREF _Toc10447 \h </w:instrText>
          </w:r>
          <w:r>
            <w:fldChar w:fldCharType="separate"/>
          </w:r>
          <w:r>
            <w:t>- 25 -</w:t>
          </w:r>
          <w:r>
            <w:fldChar w:fldCharType="end"/>
          </w:r>
          <w:r>
            <w:rPr>
              <w:rFonts w:hint="eastAsia" w:ascii="方正小标宋简体" w:hAnsi="方正小标宋简体" w:eastAsia="方正小标宋简体" w:cs="方正小标宋简体"/>
              <w:szCs w:val="44"/>
            </w:rPr>
            <w:fldChar w:fldCharType="end"/>
          </w:r>
        </w:p>
        <w:p>
          <w:pPr>
            <w:pStyle w:val="42"/>
            <w:tabs>
              <w:tab w:val="right" w:leader="dot" w:pos="8845"/>
            </w:tabs>
          </w:pPr>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_Toc26655 </w:instrText>
          </w:r>
          <w:r>
            <w:rPr>
              <w:rFonts w:hint="eastAsia" w:ascii="方正小标宋简体" w:hAnsi="方正小标宋简体" w:eastAsia="方正小标宋简体" w:cs="方正小标宋简体"/>
              <w:szCs w:val="44"/>
            </w:rPr>
            <w:fldChar w:fldCharType="separate"/>
          </w:r>
          <w:r>
            <w:rPr>
              <w:rFonts w:hint="eastAsia" w:ascii="方正小标宋简体" w:hAnsi="方正小标宋简体" w:eastAsia="方正小标宋简体" w:cs="方正小标宋简体"/>
              <w:szCs w:val="44"/>
            </w:rPr>
            <w:t>第五部分 附表</w:t>
          </w:r>
          <w:r>
            <w:tab/>
          </w:r>
          <w:r>
            <w:fldChar w:fldCharType="begin"/>
          </w:r>
          <w:r>
            <w:instrText xml:space="preserve"> PAGEREF _Toc26655 \h </w:instrText>
          </w:r>
          <w:r>
            <w:fldChar w:fldCharType="separate"/>
          </w:r>
          <w:r>
            <w:t>- 121 -</w:t>
          </w:r>
          <w:r>
            <w:fldChar w:fldCharType="end"/>
          </w:r>
          <w:r>
            <w:rPr>
              <w:rFonts w:hint="eastAsia" w:ascii="方正小标宋简体" w:hAnsi="方正小标宋简体" w:eastAsia="方正小标宋简体" w:cs="方正小标宋简体"/>
              <w:szCs w:val="44"/>
            </w:rPr>
            <w:fldChar w:fldCharType="end"/>
          </w:r>
        </w:p>
        <w:p>
          <w:pPr>
            <w:spacing w:line="600"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Cs w:val="44"/>
            </w:rPr>
            <w:fldChar w:fldCharType="end"/>
          </w:r>
        </w:p>
      </w:sdtContent>
    </w:sdt>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9"/>
        <w:rPr>
          <w:rFonts w:hint="eastAsia" w:ascii="方正小标宋简体" w:hAnsi="方正小标宋简体" w:eastAsia="方正小标宋简体" w:cs="方正小标宋简体"/>
          <w:sz w:val="44"/>
          <w:szCs w:val="44"/>
        </w:rPr>
      </w:pPr>
    </w:p>
    <w:p>
      <w:pPr>
        <w:spacing w:line="600" w:lineRule="exact"/>
        <w:jc w:val="center"/>
        <w:outlineLvl w:val="0"/>
        <w:rPr>
          <w:rStyle w:val="23"/>
          <w:rFonts w:ascii="方正小标宋简体" w:hAnsi="方正小标宋简体" w:eastAsia="方正小标宋简体" w:cs="方正小标宋简体"/>
          <w:b w:val="0"/>
          <w:bCs w:val="0"/>
        </w:rPr>
      </w:pPr>
      <w:bookmarkStart w:id="10" w:name="_Toc3767"/>
      <w:r>
        <w:rPr>
          <w:rFonts w:hint="eastAsia" w:ascii="方正小标宋简体" w:hAnsi="方正小标宋简体" w:eastAsia="方正小标宋简体" w:cs="方正小标宋简体"/>
          <w:sz w:val="44"/>
          <w:szCs w:val="44"/>
        </w:rPr>
        <w:t xml:space="preserve">第一部分 </w:t>
      </w:r>
      <w:r>
        <w:rPr>
          <w:rStyle w:val="23"/>
          <w:rFonts w:hint="eastAsia" w:ascii="方正小标宋简体" w:hAnsi="方正小标宋简体" w:eastAsia="方正小标宋简体" w:cs="方正小标宋简体"/>
          <w:b w:val="0"/>
          <w:bCs w:val="0"/>
        </w:rPr>
        <w:t>部门概况</w:t>
      </w:r>
      <w:bookmarkEnd w:id="10"/>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pStyle w:val="7"/>
        <w:adjustRightInd w:val="0"/>
        <w:snapToGrid w:val="0"/>
        <w:spacing w:beforeLines="0" w:line="600" w:lineRule="exact"/>
        <w:ind w:firstLine="642" w:firstLineChars="200"/>
        <w:outlineLvl w:val="2"/>
      </w:pPr>
      <w:bookmarkStart w:id="11" w:name="_Toc21444"/>
      <w:r>
        <w:rPr>
          <w:rFonts w:hint="eastAsia" w:ascii="楷体_GB2312" w:hAnsi="楷体_GB2312" w:eastAsia="楷体_GB2312" w:cs="楷体_GB2312"/>
          <w:b/>
          <w:bCs/>
          <w:sz w:val="32"/>
          <w:szCs w:val="32"/>
        </w:rPr>
        <w:t>（一）主要职能：</w:t>
      </w:r>
      <w:r>
        <w:rPr>
          <w:rFonts w:hint="eastAsia" w:hAnsi="仿宋_GB2312" w:cs="仿宋_GB2312"/>
          <w:sz w:val="32"/>
          <w:szCs w:val="32"/>
        </w:rPr>
        <w:t>一是贯彻执行国家住房和城乡建设的法律、法规和方针、政策。二是负责制定住房和城乡建设行业人才培养和教育发展规划并组织实施，指导住房和城乡建设行业科技人才队伍建设、专业技术职务评审和执业资格管理工作。三是负责拟订有关行政审批规程细则。负责本部门政务服务窗口管理工作。四是负责城市道路、桥梁、燃气、城市防洪设施、城市排水设施、城市照明设施的建设和运行维护管理工作。五是指导和管理全区镇（乡）和村的建设工作。指导农村住房建设、危房改造工作。指导全区重点镇建设和传统村落保护的监督管理。六是研究拟订全区住房制度改革、保障性住房、棚户区改造相关政策。组织编制全区保障性安居工程建设规划、保障性住房发展规划、棚户区改造计划。负责区本级保障性住房管理和棚户区改造统筹协调工作。七是负责全区建筑行业管理。负责散装水泥的推广使用和监督检查。指导建筑市场执法监察工作。指导和组织协调建筑企业参与区外工程承包和劳务合作。八是负责研究拟订全区房屋建筑、园林绿化和市政工程施工质量、安全生产、扬尘防治、建设工程监理、工程质量检测和鉴定行业的政策法规和规章制度并指导实施和监督执行。九是负责全区城乡园林绿化工作。指导和监督城市生态保护和修复、生物多样性保护工作；组织指导公园城市建设和园林城市系列创建工作。十是负责全区城镇排水、污水处理的行政管理和对相关企业的行业管理，对相关基础设施建设、行业的服务标准、排水和污水处理价格测算等工作。十一是负责房建、市政、建筑行业、招投标、质量安全等方面法律、法规、规章规定的行政处罚工作。</w:t>
      </w:r>
      <w:bookmarkEnd w:id="11"/>
    </w:p>
    <w:p>
      <w:pPr>
        <w:spacing w:line="600" w:lineRule="exact"/>
        <w:ind w:firstLine="642" w:firstLineChars="200"/>
        <w:rPr>
          <w:rFonts w:ascii="楷体_GB2312" w:hAnsi="楷体_GB2312" w:eastAsia="楷体_GB2312" w:cs="楷体_GB2312"/>
          <w:b/>
          <w:bCs/>
          <w:sz w:val="32"/>
          <w:szCs w:val="32"/>
        </w:rPr>
      </w:pPr>
      <w:bookmarkStart w:id="12" w:name="_Toc15377200"/>
      <w:bookmarkStart w:id="13" w:name="_Toc15396601"/>
      <w:r>
        <w:rPr>
          <w:rFonts w:hint="eastAsia" w:ascii="楷体_GB2312" w:hAnsi="楷体_GB2312" w:eastAsia="楷体_GB2312" w:cs="楷体_GB2312"/>
          <w:b/>
          <w:bCs/>
          <w:sz w:val="32"/>
          <w:szCs w:val="32"/>
        </w:rPr>
        <w:t>（二）2022年工作开展情况</w:t>
      </w:r>
    </w:p>
    <w:p>
      <w:pPr>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1.重点指标完成情况。</w:t>
      </w:r>
      <w:r>
        <w:rPr>
          <w:rFonts w:hint="eastAsia" w:ascii="仿宋_GB2312" w:hAnsi="黑体" w:eastAsia="仿宋_GB2312"/>
          <w:bCs/>
          <w:sz w:val="32"/>
          <w:szCs w:val="32"/>
        </w:rPr>
        <w:t>①完成建筑业产值24.4亿元，增长8.9%；②完成固定资产投资4.6亿元，占全年目标任务的100%；③新开</w:t>
      </w:r>
      <w:r>
        <w:rPr>
          <w:rFonts w:hint="eastAsia" w:ascii="仿宋_GB2312" w:hAnsi="黑体" w:eastAsia="仿宋_GB2312"/>
          <w:bCs/>
          <w:color w:val="000000"/>
          <w:sz w:val="32"/>
          <w:szCs w:val="32"/>
        </w:rPr>
        <w:t>发商品住房9.04万平方米，占全年目标任务的129.14%；④房地</w:t>
      </w:r>
      <w:r>
        <w:rPr>
          <w:rFonts w:hint="eastAsia" w:ascii="仿宋_GB2312" w:hAnsi="黑体" w:eastAsia="仿宋_GB2312"/>
          <w:bCs/>
          <w:sz w:val="32"/>
          <w:szCs w:val="32"/>
        </w:rPr>
        <w:t>产从业人员增长10.39%，房地产从业人员劳动报酬增长10.08%；⑤新培育入库资质以上建筑企业3家、房地产企业1家；⑥向上争取资金1.01亿元，占全年目标任务的155.56%；⑦完成非税收入152.92万元，占全年目标任务的152.92%。</w:t>
      </w:r>
    </w:p>
    <w:p>
      <w:pPr>
        <w:pStyle w:val="39"/>
        <w:spacing w:line="600" w:lineRule="exact"/>
        <w:ind w:firstLine="642" w:firstLineChars="200"/>
        <w:rPr>
          <w:rFonts w:ascii="仿宋_GB2312" w:eastAsia="仿宋_GB2312"/>
          <w:sz w:val="32"/>
          <w:szCs w:val="32"/>
        </w:rPr>
      </w:pPr>
      <w:r>
        <w:rPr>
          <w:rFonts w:hint="eastAsia" w:ascii="楷体_GB2312" w:hAnsi="仿宋" w:eastAsia="楷体_GB2312"/>
          <w:b/>
          <w:bCs/>
          <w:sz w:val="32"/>
          <w:szCs w:val="32"/>
        </w:rPr>
        <w:t>2.实干为先抓项目，城乡面貌换新颜。</w:t>
      </w:r>
      <w:r>
        <w:rPr>
          <w:rFonts w:hint="eastAsia" w:ascii="仿宋_GB2312" w:hAnsi="黑体" w:eastAsia="仿宋_GB2312"/>
          <w:bCs/>
          <w:sz w:val="32"/>
          <w:szCs w:val="32"/>
        </w:rPr>
        <w:t>以建设宜居宜业宜游最美县城为目标，深入实施“旧城改造城市更新、城市园林美化提升、市政设施完善改进”三大行动</w:t>
      </w:r>
      <w:r>
        <w:rPr>
          <w:rFonts w:hint="eastAsia" w:ascii="仿宋_GB2312" w:hAnsi="仿宋_GB2312" w:eastAsia="仿宋_GB2312" w:cs="仿宋_GB2312"/>
          <w:sz w:val="32"/>
          <w:szCs w:val="32"/>
        </w:rPr>
        <w:t>，促进市政公用设施提档升级</w:t>
      </w:r>
      <w:r>
        <w:rPr>
          <w:rFonts w:hint="eastAsia" w:ascii="仿宋_GB2312" w:hAnsi="黑体" w:eastAsia="仿宋_GB2312"/>
          <w:bCs/>
          <w:sz w:val="32"/>
          <w:szCs w:val="32"/>
        </w:rPr>
        <w:t>。</w:t>
      </w:r>
      <w:r>
        <w:rPr>
          <w:rFonts w:hint="eastAsia" w:ascii="楷体_GB2312" w:hAnsi="楷体_GB2312" w:eastAsia="楷体_GB2312" w:cs="楷体_GB2312"/>
          <w:b/>
          <w:bCs/>
          <w:sz w:val="32"/>
          <w:szCs w:val="32"/>
        </w:rPr>
        <w:t>一是</w:t>
      </w:r>
      <w:r>
        <w:rPr>
          <w:rFonts w:hint="eastAsia" w:ascii="仿宋_GB2312" w:hAnsi="黑体" w:eastAsia="仿宋_GB2312"/>
          <w:bCs/>
          <w:sz w:val="32"/>
          <w:szCs w:val="32"/>
        </w:rPr>
        <w:t>突出项目攻坚。旧城棚户区改造、</w:t>
      </w:r>
      <w:r>
        <w:rPr>
          <w:rFonts w:hint="eastAsia" w:ascii="仿宋_GB2312" w:hAnsi="仿宋_GB2312" w:eastAsia="仿宋_GB2312" w:cs="仿宋_GB2312"/>
          <w:sz w:val="32"/>
          <w:szCs w:val="32"/>
        </w:rPr>
        <w:t>小中坝老旧小区改造、朝天财富广场、沙河片天然气输配工程、既有住宅电梯加装工程等项目相继竣工；羊木水香（三期）、荣乐养生谷、曾家山·原乡、五坊街、碧谷云天、云海居、汉王居、羊木片及大滩片天然气输配工程、城镇污水设施建设、旅游配套基础设施建设PPP项目、三官桥道路改造、陵江海绵公园建设等在建项目加快实施；城市燃气管道老化更新改造、金堆新区污水处理设施建设等项目前期工作有序推进。</w:t>
      </w:r>
      <w:r>
        <w:rPr>
          <w:rFonts w:hint="eastAsia" w:ascii="楷体_GB2312" w:hAnsi="楷体_GB2312" w:eastAsia="楷体_GB2312" w:cs="楷体_GB2312"/>
          <w:b/>
          <w:bCs/>
          <w:sz w:val="32"/>
          <w:szCs w:val="32"/>
        </w:rPr>
        <w:t>二是</w:t>
      </w:r>
      <w:r>
        <w:rPr>
          <w:rFonts w:hint="eastAsia" w:ascii="仿宋_GB2312" w:hAnsi="华文中宋" w:eastAsia="仿宋_GB2312" w:cs="仿宋_GB2312"/>
          <w:sz w:val="32"/>
          <w:szCs w:val="32"/>
        </w:rPr>
        <w:t>完善城市功能。以创建“全国文明城市”为抓手，大力实施“五化”工程，</w:t>
      </w:r>
      <w:r>
        <w:rPr>
          <w:rFonts w:hint="eastAsia" w:ascii="仿宋_GB2312" w:hAnsi="仿宋_GB2312" w:eastAsia="仿宋_GB2312" w:cs="仿宋_GB2312"/>
          <w:sz w:val="32"/>
          <w:szCs w:val="32"/>
        </w:rPr>
        <w:t>因地制宜补齐县城短板弱项，</w:t>
      </w:r>
      <w:r>
        <w:rPr>
          <w:rFonts w:hint="eastAsia" w:ascii="仿宋_GB2312" w:hAnsi="华文中宋" w:eastAsia="仿宋_GB2312" w:cs="仿宋_GB2312"/>
          <w:sz w:val="32"/>
          <w:szCs w:val="32"/>
        </w:rPr>
        <w:t>不断完善城市道路、公园、广场、住宅小区等配套设施建设，先后维修市政道路1万余平方米，更换人行道砖2000余平方米，更换维修广场砖500余平方米，更换城区街道行道树320余株，大树截杆修枝180余株，栽植节点景观盆景20余处，</w:t>
      </w:r>
      <w:r>
        <w:rPr>
          <w:rFonts w:hint="eastAsia" w:ascii="仿宋_GB2312" w:hAnsi="仿宋_GB2312" w:eastAsia="仿宋_GB2312" w:cs="仿宋_GB2312"/>
          <w:sz w:val="32"/>
          <w:szCs w:val="32"/>
        </w:rPr>
        <w:t>市政设施基本完备，公共服务全面提升，人居环境有效改善，</w:t>
      </w:r>
      <w:r>
        <w:rPr>
          <w:rFonts w:hint="eastAsia" w:ascii="仿宋_GB2312" w:hAnsi="华文中宋" w:eastAsia="仿宋_GB2312" w:cs="仿宋_GB2312"/>
          <w:sz w:val="32"/>
          <w:szCs w:val="32"/>
        </w:rPr>
        <w:t>城市</w:t>
      </w:r>
      <w:r>
        <w:rPr>
          <w:rFonts w:hint="eastAsia" w:ascii="仿宋_GB2312" w:hAnsi="仿宋_GB2312" w:eastAsia="仿宋_GB2312" w:cs="仿宋_GB2312"/>
          <w:sz w:val="32"/>
          <w:szCs w:val="32"/>
        </w:rPr>
        <w:t>综合承载能力明显增强</w:t>
      </w:r>
      <w:r>
        <w:rPr>
          <w:rFonts w:hint="eastAsia" w:ascii="仿宋_GB2312" w:hAnsi="华文中宋" w:eastAsia="仿宋_GB2312" w:cs="仿宋_GB2312"/>
          <w:sz w:val="32"/>
          <w:szCs w:val="32"/>
        </w:rPr>
        <w:t>。</w:t>
      </w:r>
      <w:r>
        <w:rPr>
          <w:rFonts w:hint="eastAsia" w:ascii="楷体_GB2312" w:hAnsi="楷体_GB2312" w:eastAsia="楷体_GB2312" w:cs="楷体_GB2312"/>
          <w:b/>
          <w:bCs/>
          <w:sz w:val="32"/>
          <w:szCs w:val="32"/>
        </w:rPr>
        <w:t>三是</w:t>
      </w:r>
      <w:r>
        <w:rPr>
          <w:rFonts w:hint="eastAsia" w:ascii="仿宋_GB2312" w:hAnsi="华文中宋" w:eastAsia="仿宋_GB2312" w:cs="仿宋_GB2312"/>
          <w:sz w:val="32"/>
          <w:szCs w:val="32"/>
        </w:rPr>
        <w:t>统筹城乡发展。充分发挥比较优势，走差异化发展路子，结合旅游配套基础设施建设，持续加大乡镇市政基础设施建设力度，实施停车场6个</w:t>
      </w:r>
      <w:r>
        <w:rPr>
          <w:rFonts w:hint="eastAsia" w:ascii="仿宋_GB2312" w:hAnsi="黑体" w:eastAsia="仿宋_GB2312"/>
          <w:bCs/>
          <w:sz w:val="32"/>
          <w:szCs w:val="32"/>
        </w:rPr>
        <w:t>、公厕6处、污水处理设施项目13个，着力推进羊木镇、中子镇、曾家镇中心镇建设，</w:t>
      </w:r>
      <w:r>
        <w:rPr>
          <w:rFonts w:hint="eastAsia" w:ascii="仿宋_GB2312" w:hAnsi="仿宋_GB2312" w:eastAsia="仿宋_GB2312" w:cs="仿宋_GB2312"/>
          <w:sz w:val="32"/>
          <w:szCs w:val="32"/>
        </w:rPr>
        <w:t>加快建成区域经济副中心；积极推进</w:t>
      </w:r>
      <w:r>
        <w:rPr>
          <w:rFonts w:hint="eastAsia" w:ascii="仿宋_GB2312" w:hAnsi="黑体" w:eastAsia="仿宋_GB2312"/>
          <w:bCs/>
          <w:sz w:val="32"/>
          <w:szCs w:val="32"/>
        </w:rPr>
        <w:t>李家镇、两河口镇特色集镇发展，城乡一体化建设步伐加快推进。</w:t>
      </w:r>
    </w:p>
    <w:p>
      <w:pPr>
        <w:pStyle w:val="39"/>
        <w:spacing w:line="600" w:lineRule="exact"/>
        <w:ind w:firstLine="642" w:firstLineChars="200"/>
        <w:jc w:val="left"/>
        <w:rPr>
          <w:rFonts w:ascii="仿宋_GB2312" w:hAnsi="仿宋_GB2312" w:eastAsia="仿宋_GB2312" w:cs="仿宋_GB2312"/>
          <w:sz w:val="32"/>
          <w:szCs w:val="32"/>
        </w:rPr>
      </w:pPr>
      <w:r>
        <w:rPr>
          <w:rFonts w:hint="eastAsia" w:ascii="楷体_GB2312" w:hAnsi="仿宋" w:eastAsia="楷体_GB2312"/>
          <w:b/>
          <w:bCs/>
          <w:sz w:val="32"/>
          <w:szCs w:val="32"/>
        </w:rPr>
        <w:t>3.</w:t>
      </w:r>
      <w:r>
        <w:fldChar w:fldCharType="begin"/>
      </w:r>
      <w:r>
        <w:instrText xml:space="preserve"> HYPERLINK "https://www.baidu.com/link?url=sHzOFyNBeQD85voLOjq6-bgW1M4HFDfw5yE_rirNrute02mdapAofsj3NQny85ah7CmsiOaja7Pfi9hyi6fwiqZZj-Mvedd2DaydJq6YDGm&amp;wd=&amp;eqid=d4646cbf00083a1700000006639188cc" \t "https://www.baidu.com/_blank" </w:instrText>
      </w:r>
      <w:r>
        <w:fldChar w:fldCharType="separate"/>
      </w:r>
      <w:r>
        <w:rPr>
          <w:rFonts w:hint="eastAsia" w:ascii="楷体_GB2312" w:hAnsi="仿宋" w:eastAsia="楷体_GB2312"/>
          <w:b/>
          <w:bCs/>
          <w:sz w:val="32"/>
          <w:szCs w:val="32"/>
        </w:rPr>
        <w:t>倾力为民办实事，情系群众解民忧</w:t>
      </w:r>
      <w:r>
        <w:rPr>
          <w:rFonts w:hint="eastAsia" w:ascii="楷体_GB2312" w:hAnsi="仿宋" w:eastAsia="楷体_GB2312"/>
          <w:b/>
          <w:bCs/>
          <w:sz w:val="32"/>
          <w:szCs w:val="32"/>
        </w:rPr>
        <w:fldChar w:fldCharType="end"/>
      </w:r>
      <w:r>
        <w:rPr>
          <w:rFonts w:hint="eastAsia" w:ascii="楷体_GB2312" w:hAnsi="仿宋" w:eastAsia="楷体_GB2312"/>
          <w:b/>
          <w:bCs/>
          <w:sz w:val="32"/>
          <w:szCs w:val="32"/>
        </w:rPr>
        <w:t>。</w:t>
      </w:r>
      <w:r>
        <w:rPr>
          <w:rFonts w:hint="eastAsia" w:ascii="楷体_GB2312" w:eastAsia="楷体_GB2312"/>
          <w:b/>
          <w:bCs/>
          <w:sz w:val="32"/>
          <w:szCs w:val="32"/>
        </w:rPr>
        <w:t>一是</w:t>
      </w:r>
      <w:r>
        <w:rPr>
          <w:rFonts w:hint="eastAsia" w:ascii="仿宋_GB2312" w:hAnsi="仿宋_GB2312" w:eastAsia="仿宋_GB2312" w:cs="仿宋_GB2312"/>
          <w:sz w:val="32"/>
          <w:szCs w:val="32"/>
        </w:rPr>
        <w:t>加快老旧小区改造。</w:t>
      </w:r>
      <w:r>
        <w:rPr>
          <w:rFonts w:hint="eastAsia" w:ascii="仿宋_GB2312" w:hAnsi="仿宋" w:eastAsia="仿宋_GB2312" w:cs="宋体"/>
          <w:kern w:val="0"/>
          <w:sz w:val="32"/>
          <w:szCs w:val="32"/>
        </w:rPr>
        <w:t>坚持“一区一策”原则，差异性定制个体改造方案，以确保老旧小区居住安全、完善居住功能等为重点，</w:t>
      </w:r>
      <w:r>
        <w:rPr>
          <w:rFonts w:ascii="仿宋_GB2312" w:hAnsi="仿宋_GB2312" w:eastAsia="仿宋_GB2312" w:cs="仿宋_GB2312"/>
          <w:sz w:val="32"/>
          <w:szCs w:val="32"/>
        </w:rPr>
        <w:t>采取有效措施</w:t>
      </w:r>
      <w:r>
        <w:rPr>
          <w:rFonts w:hint="eastAsia" w:ascii="仿宋_GB2312" w:hAnsi="仿宋_GB2312" w:eastAsia="仿宋_GB2312" w:cs="仿宋_GB2312"/>
          <w:sz w:val="32"/>
          <w:szCs w:val="32"/>
        </w:rPr>
        <w:t>，加快项目进度</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rPr>
        <w:t>着力改善居民生活环境，提升街区品质。全区改造小中坝老旧小区14个，加强</w:t>
      </w:r>
      <w:r>
        <w:rPr>
          <w:rStyle w:val="40"/>
          <w:rFonts w:hint="eastAsia" w:ascii="仿宋_GB2312" w:hAnsi="仿宋_GB2312" w:eastAsia="仿宋_GB2312" w:cs="仿宋_GB2312"/>
          <w:sz w:val="32"/>
          <w:szCs w:val="32"/>
        </w:rPr>
        <w:t>整治道路、路灯、绿化、强弱电管线、供排水等设施，</w:t>
      </w:r>
      <w:r>
        <w:rPr>
          <w:rFonts w:hint="eastAsia" w:ascii="仿宋_GB2312" w:hAnsi="仿宋_GB2312" w:eastAsia="仿宋_GB2312" w:cs="仿宋_GB2312"/>
          <w:sz w:val="32"/>
          <w:szCs w:val="32"/>
        </w:rPr>
        <w:t>现已改造完成11个小区，余下3个正在加快推进，预计2023年1月中旬全面完工。</w:t>
      </w:r>
      <w:r>
        <w:rPr>
          <w:rFonts w:hint="eastAsia" w:ascii="楷体_GB2312" w:eastAsia="楷体_GB2312"/>
          <w:b/>
          <w:bCs/>
          <w:sz w:val="32"/>
          <w:szCs w:val="32"/>
        </w:rPr>
        <w:t>二是</w:t>
      </w:r>
      <w:r>
        <w:rPr>
          <w:rFonts w:hint="eastAsia" w:ascii="仿宋_GB2312" w:hAnsi="仿宋_GB2312" w:eastAsia="仿宋_GB2312" w:cs="仿宋_GB2312"/>
          <w:sz w:val="32"/>
          <w:szCs w:val="32"/>
        </w:rPr>
        <w:t>抓好既有住宅电梯增设。根据楼栋实际情况，充分征求业主意见，制定相应的施工方案，在确保安全的前提下，减少非必要工程的投入，切实减轻群众经济压力，平稳推进既有住宅增设电梯工作。</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，2部电梯已完工并投入使用。</w:t>
      </w:r>
      <w:r>
        <w:rPr>
          <w:rFonts w:hint="eastAsia" w:ascii="楷体_GB2312" w:eastAsia="楷体_GB2312"/>
          <w:b/>
          <w:bCs/>
          <w:sz w:val="32"/>
          <w:szCs w:val="32"/>
        </w:rPr>
        <w:t>三是</w:t>
      </w:r>
      <w:r>
        <w:rPr>
          <w:rFonts w:hint="eastAsia" w:ascii="仿宋_GB2312" w:hAnsi="仿宋_GB2312" w:eastAsia="仿宋_GB2312" w:cs="仿宋_GB2312"/>
          <w:sz w:val="32"/>
          <w:szCs w:val="32"/>
        </w:rPr>
        <w:t>加快推进城镇燃气管网改造。</w:t>
      </w:r>
      <w:r>
        <w:rPr>
          <w:rFonts w:hint="eastAsia" w:ascii="仿宋_GB2312" w:hAnsi="仿宋_GB2312" w:eastAsia="仿宋_GB2312" w:cs="仿宋_GB2312"/>
          <w:bCs/>
          <w:sz w:val="32"/>
          <w:szCs w:val="32"/>
        </w:rPr>
        <w:t>全面梳理各类老旧管网家底，结合市政基础设施风险普查，建立问题隐患台账，并制定改造计划，及时将景家坝片区、小中坝片区、明月路片区燃气管道改造及城区排水防涝设施改造项目申报为中央预算内资金项目。目前，项目正在开展前期工作，预计12月底前全面启动实施。同时，加快推进天然气输配工程，解决了沙河片居民用气问题，进一步提高乡村居民的幸福指数。</w:t>
      </w:r>
      <w:r>
        <w:rPr>
          <w:rFonts w:hint="eastAsia" w:ascii="楷体_GB2312" w:eastAsia="楷体_GB2312"/>
          <w:b/>
          <w:bCs/>
          <w:sz w:val="32"/>
          <w:szCs w:val="32"/>
        </w:rPr>
        <w:t>四是</w:t>
      </w:r>
      <w:r>
        <w:rPr>
          <w:rFonts w:hint="eastAsia" w:ascii="仿宋_GB2312" w:hAnsi="仿宋_GB2312" w:eastAsia="仿宋_GB2312" w:cs="仿宋_GB2312"/>
          <w:sz w:val="32"/>
          <w:szCs w:val="32"/>
        </w:rPr>
        <w:t>持续抓好农村危房改造。巩固拓展脱贫攻坚住房安全保障成果，结合自建房安全隐患排查、地质灾害隐患排查，扎实开展农村危房改造“回头看”，并同步启动243户农村危房改造工作。</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，243户已全面开工，开工率达100%；竣工198户，竣工率达81.48%。</w:t>
      </w:r>
      <w:r>
        <w:rPr>
          <w:rFonts w:hint="eastAsia" w:ascii="楷体_GB2312" w:hAnsi="仿宋" w:eastAsia="楷体_GB2312"/>
          <w:b/>
          <w:bCs/>
          <w:sz w:val="32"/>
          <w:szCs w:val="32"/>
        </w:rPr>
        <w:t>五是</w:t>
      </w:r>
      <w:r>
        <w:rPr>
          <w:rFonts w:hint="eastAsia" w:ascii="仿宋_GB2312" w:hAnsi="仿宋_GB2312" w:eastAsia="仿宋_GB2312" w:cs="仿宋_GB2312"/>
          <w:sz w:val="32"/>
          <w:szCs w:val="32"/>
        </w:rPr>
        <w:t>加强城镇污水治理。持续巩固“老三推”污水处理项目建设成果，加快推进“新三推”项目进度，全面提高城镇生活污水收集、处理能力。全年实施污水处理站（厂）7座、管网项目6个。目前，已完工项目5个、在建项目8个。同时，结合海绵城市建设，加强城市内涝治理，全面开展隐患排查，制定整改方案，解决长期困扰沙河场镇二专线下穿涵洞点位内涝问题，切实解决了当地群众安全出行等民生问题，进一步提升防汛救灾能力水平，极大地改善了当地的市政配套设施。</w:t>
      </w:r>
    </w:p>
    <w:p>
      <w:pPr>
        <w:spacing w:line="600" w:lineRule="exact"/>
        <w:ind w:firstLine="642" w:firstLineChars="200"/>
        <w:rPr>
          <w:rFonts w:ascii="楷体_GB2312" w:hAnsi="楷体_GB2312" w:eastAsia="楷体_GB2312" w:cs="楷体_GB2312"/>
          <w:b/>
          <w:bCs/>
          <w:kern w:val="0"/>
          <w:sz w:val="32"/>
          <w:szCs w:val="32"/>
        </w:rPr>
      </w:pPr>
      <w:r>
        <w:rPr>
          <w:rFonts w:hint="eastAsia" w:ascii="楷体_GB2312" w:hAnsi="仿宋" w:eastAsia="楷体_GB2312"/>
          <w:b/>
          <w:bCs/>
          <w:sz w:val="32"/>
          <w:szCs w:val="32"/>
        </w:rPr>
        <w:t>4.聚焦行业抓管理，服务水平上台阶。</w:t>
      </w:r>
      <w:r>
        <w:rPr>
          <w:rFonts w:hint="eastAsia" w:ascii="楷体_GB2312" w:hAnsi="楷体_GB2312" w:eastAsia="楷体_GB2312" w:cs="楷体_GB2312"/>
          <w:b/>
          <w:bCs/>
          <w:sz w:val="32"/>
          <w:szCs w:val="32"/>
        </w:rPr>
        <w:t>一是</w:t>
      </w:r>
      <w:r>
        <w:rPr>
          <w:rFonts w:hint="eastAsia" w:ascii="仿宋_GB2312" w:eastAsia="仿宋_GB2312"/>
          <w:sz w:val="32"/>
          <w:szCs w:val="32"/>
        </w:rPr>
        <w:t>加强建筑市场管理。</w:t>
      </w:r>
      <w:r>
        <w:rPr>
          <w:rStyle w:val="40"/>
          <w:rFonts w:hint="eastAsia" w:ascii="仿宋_GB2312" w:hAnsi="仿宋_GB2312" w:eastAsia="仿宋_GB2312" w:cs="仿宋_GB2312"/>
          <w:sz w:val="32"/>
          <w:szCs w:val="32"/>
        </w:rPr>
        <w:t>加大对建筑业企业转型指导力度，鼓励区内豪运、天强等优秀企业调整生产经营结构，支持企业拓展业务领域。</w:t>
      </w:r>
      <w:r>
        <w:rPr>
          <w:rFonts w:hint="eastAsia" w:ascii="仿宋_GB2312" w:eastAsia="仿宋_GB2312"/>
          <w:sz w:val="32"/>
          <w:szCs w:val="32"/>
        </w:rPr>
        <w:t>持续开展建筑市场违法违规行为专项治理，严肃查处建设领域招投标领域乱象，持续规范招投标领域市场。</w:t>
      </w:r>
      <w:r>
        <w:rPr>
          <w:rFonts w:hint="eastAsia" w:ascii="仿宋_GB2312" w:eastAsia="仿宋_GB2312"/>
          <w:color w:val="000000"/>
          <w:sz w:val="32"/>
          <w:szCs w:val="32"/>
        </w:rPr>
        <w:t>今年以来，共处理招投标投诉事件2起，</w:t>
      </w:r>
      <w:r>
        <w:rPr>
          <w:rFonts w:hint="eastAsia" w:ascii="仿宋_GB2312" w:eastAsia="仿宋_GB2312"/>
          <w:sz w:val="32"/>
          <w:szCs w:val="32"/>
        </w:rPr>
        <w:t>查处建筑市场乱象行为9起、约谈3起，处罚单位（个人）20余家，处罚款30.79万元。</w:t>
      </w:r>
      <w:r>
        <w:rPr>
          <w:rFonts w:hint="eastAsia" w:ascii="楷体_GB2312" w:hAnsi="楷体_GB2312" w:eastAsia="楷体_GB2312" w:cs="楷体_GB2312"/>
          <w:b/>
          <w:bCs/>
          <w:sz w:val="32"/>
          <w:szCs w:val="32"/>
        </w:rPr>
        <w:t>二是</w:t>
      </w:r>
      <w:r>
        <w:rPr>
          <w:rFonts w:hint="eastAsia" w:ascii="仿宋_GB2312" w:eastAsia="仿宋_GB2312"/>
          <w:color w:val="000000"/>
          <w:sz w:val="32"/>
          <w:szCs w:val="32"/>
        </w:rPr>
        <w:t>深化工程建设项目审批制度改革。围绕打造川内最优营商环境目标，落实区域评估等“十项措施”，确保将“全流程审批50个工作日”的改革目标落到实处。结合“一网通办”政务服务能力提升攻坚行动，扎实做好项目网上运行，提升效能指标。全年全区办理项目数179个，办理事项数453件，实行并联审批办件数446件，实行联合审图的项目数14个，联合验收项目数8个；“一张蓝图”策划生成项目数9个，落实区域评估成果项目数16个，实行告知承诺办件数71件，市政公用服务的项目数63个。</w:t>
      </w:r>
      <w:r>
        <w:rPr>
          <w:rFonts w:hint="eastAsia" w:ascii="楷体_GB2312" w:hAnsi="楷体_GB2312" w:eastAsia="楷体_GB2312" w:cs="楷体_GB2312"/>
          <w:b/>
          <w:bCs/>
          <w:sz w:val="32"/>
          <w:szCs w:val="32"/>
        </w:rPr>
        <w:t>三是</w:t>
      </w:r>
      <w:r>
        <w:rPr>
          <w:rFonts w:hint="eastAsia" w:ascii="仿宋_GB2312" w:eastAsia="仿宋_GB2312"/>
          <w:sz w:val="32"/>
          <w:szCs w:val="32"/>
        </w:rPr>
        <w:t>加强物业小区管理。严</w:t>
      </w:r>
      <w:r>
        <w:rPr>
          <w:rFonts w:hint="eastAsia" w:ascii="仿宋_GB2312" w:hAnsi="仿宋_GB2312" w:eastAsia="仿宋_GB2312" w:cs="仿宋_GB2312"/>
          <w:sz w:val="32"/>
          <w:szCs w:val="32"/>
        </w:rPr>
        <w:t>格督促物业服务企业落实主体责任，常态化开展疫情防控工作。结合创建全国文明城市，组织开展小区环境“疑难杂症”专项整治行动，针对物业服务小区普遍存在楼道墙面“牛皮癣”、小区及周边空中“蜘蛛网”等现象，加大整治力度，清杂去乱，确保物业服务小区卫生整洁。</w:t>
      </w:r>
      <w:r>
        <w:rPr>
          <w:rFonts w:hint="eastAsia" w:ascii="楷体_GB2312" w:hAnsi="楷体_GB2312" w:eastAsia="楷体_GB2312" w:cs="楷体_GB2312"/>
          <w:b/>
          <w:bCs/>
          <w:kern w:val="0"/>
          <w:sz w:val="32"/>
          <w:szCs w:val="32"/>
        </w:rPr>
        <w:t>四是</w:t>
      </w:r>
      <w:r>
        <w:rPr>
          <w:rFonts w:hint="eastAsia" w:ascii="仿宋_GB2312" w:hAnsi="仿宋_GB2312" w:eastAsia="仿宋_GB2312" w:cs="仿宋_GB2312"/>
          <w:sz w:val="32"/>
          <w:szCs w:val="32"/>
        </w:rPr>
        <w:t>加强园林绿化建设管理。</w:t>
      </w:r>
      <w:r>
        <w:rPr>
          <w:rStyle w:val="40"/>
          <w:rFonts w:hint="eastAsia" w:ascii="仿宋_GB2312" w:hAnsi="仿宋_GB2312" w:eastAsia="仿宋_GB2312" w:cs="仿宋_GB2312"/>
          <w:sz w:val="32"/>
          <w:szCs w:val="32"/>
        </w:rPr>
        <w:t>大力实施城市园林绿化景观提升行动，不断丰富城市绿化层次和色彩，完成城区</w:t>
      </w:r>
      <w:r>
        <w:rPr>
          <w:rFonts w:hint="eastAsia" w:ascii="仿宋_GB2312" w:hAnsi="新宋体" w:eastAsia="仿宋_GB2312"/>
          <w:sz w:val="32"/>
          <w:szCs w:val="32"/>
        </w:rPr>
        <w:t>公园绿地、</w:t>
      </w:r>
      <w:r>
        <w:rPr>
          <w:rStyle w:val="40"/>
          <w:rFonts w:hint="eastAsia" w:ascii="仿宋_GB2312" w:hAnsi="仿宋_GB2312" w:eastAsia="仿宋_GB2312" w:cs="仿宋_GB2312"/>
          <w:sz w:val="32"/>
          <w:szCs w:val="32"/>
        </w:rPr>
        <w:t>街道节点、</w:t>
      </w:r>
      <w:r>
        <w:rPr>
          <w:rFonts w:hint="eastAsia" w:ascii="仿宋_GB2312" w:hAnsi="新宋体" w:eastAsia="仿宋_GB2312"/>
          <w:sz w:val="32"/>
          <w:szCs w:val="32"/>
        </w:rPr>
        <w:t>行政中心附属绿地等</w:t>
      </w:r>
      <w:r>
        <w:rPr>
          <w:rFonts w:hint="eastAsia" w:ascii="仿宋_GB2312" w:hAnsi="仿宋_GB2312" w:eastAsia="仿宋_GB2312" w:cs="仿宋_GB2312"/>
          <w:kern w:val="0"/>
          <w:sz w:val="32"/>
          <w:szCs w:val="32"/>
        </w:rPr>
        <w:t>“增香添彩”工程，并</w:t>
      </w:r>
      <w:r>
        <w:rPr>
          <w:rStyle w:val="40"/>
          <w:rFonts w:hint="eastAsia" w:ascii="仿宋_GB2312" w:hAnsi="仿宋_GB2312" w:eastAsia="仿宋_GB2312" w:cs="仿宋_GB2312"/>
          <w:sz w:val="32"/>
          <w:szCs w:val="32"/>
        </w:rPr>
        <w:t>结合老旧小区改造，对城区部分街道行道树进行更换、修枝整形，着力实现“花开四季、处处有景”。</w:t>
      </w:r>
      <w:r>
        <w:rPr>
          <w:rFonts w:hint="eastAsia" w:ascii="楷体_GB2312" w:hAnsi="楷体_GB2312" w:eastAsia="楷体_GB2312" w:cs="楷体_GB2312"/>
          <w:b/>
          <w:bCs/>
          <w:sz w:val="32"/>
          <w:szCs w:val="32"/>
        </w:rPr>
        <w:t>五是</w:t>
      </w:r>
      <w:r>
        <w:rPr>
          <w:rStyle w:val="40"/>
          <w:rFonts w:hint="eastAsia" w:ascii="仿宋_GB2312" w:hAnsi="仿宋_GB2312" w:eastAsia="仿宋_GB2312" w:cs="仿宋_GB2312"/>
          <w:sz w:val="32"/>
          <w:szCs w:val="32"/>
        </w:rPr>
        <w:t>加强城市路灯管理。</w:t>
      </w:r>
      <w:r>
        <w:rPr>
          <w:rFonts w:hint="eastAsia" w:ascii="仿宋_GB2312" w:hAnsi="微软雅黑" w:eastAsia="仿宋_GB2312" w:cs="仿宋_GB2312"/>
          <w:sz w:val="32"/>
          <w:szCs w:val="32"/>
          <w:shd w:val="clear" w:color="auto" w:fill="FFFFFF"/>
        </w:rPr>
        <w:t>加大夜晚巡查力度，及时维护路灯设施和排除故障，严格落实安全生产责任制，适时开展路灯安全整治。全年共开展各类巡查检修100余次，更换各类电缆/线500余米，更换各类控制器、电源、开关120余只，更换各类型灯管、灯头、灯罩等340余个，保证了照明设施完好率和亮灯率均达到98%以上。</w:t>
      </w:r>
      <w:r>
        <w:rPr>
          <w:rFonts w:hint="eastAsia" w:ascii="楷体_GB2312" w:hAnsi="楷体_GB2312" w:eastAsia="楷体_GB2312" w:cs="楷体_GB2312"/>
          <w:b/>
          <w:bCs/>
          <w:sz w:val="32"/>
          <w:szCs w:val="32"/>
        </w:rPr>
        <w:t>六是</w:t>
      </w:r>
      <w:r>
        <w:rPr>
          <w:rFonts w:hint="eastAsia" w:ascii="仿宋_GB2312" w:hAnsi="微软雅黑" w:eastAsia="仿宋_GB2312" w:cs="仿宋_GB2312"/>
          <w:sz w:val="32"/>
          <w:szCs w:val="32"/>
          <w:shd w:val="clear" w:color="auto" w:fill="FFFFFF"/>
        </w:rPr>
        <w:t>抓好环保问题整改。统筹抓好住建领域生态环保督察问题整改工作，全覆盖对已经登记在册的各类生态环境问题整改情况开展“回头看”排查</w:t>
      </w:r>
      <w:r>
        <w:rPr>
          <w:rFonts w:hint="eastAsia" w:ascii="仿宋_GB2312" w:eastAsia="仿宋_GB2312"/>
          <w:sz w:val="32"/>
          <w:szCs w:val="32"/>
        </w:rPr>
        <w:t>，其中第一轮央督、央督“回头看”、国家移交长江生态环境问题、第二轮央督共15个问题，目前已整改完成14个，整改率达93.33%；剩余1个问题正在整改中（全省共性问题：污水收集率偏低）。市级大排查整改问题16个，目前已整改完成14个，整改率达81.5%；剩余2个问题均按时序节点整改中（乡镇管网改造和二级场镇污水处理设施建设）。</w:t>
      </w:r>
    </w:p>
    <w:p>
      <w:pPr>
        <w:spacing w:line="600" w:lineRule="exact"/>
        <w:ind w:firstLine="642" w:firstLineChars="200"/>
        <w:rPr>
          <w:rFonts w:ascii="黑体" w:hAnsi="黑体" w:eastAsia="黑体" w:cs="黑体"/>
          <w:spacing w:val="-11"/>
          <w:sz w:val="32"/>
          <w:szCs w:val="32"/>
        </w:rPr>
      </w:pPr>
      <w:r>
        <w:rPr>
          <w:rFonts w:hint="eastAsia" w:ascii="楷体_GB2312" w:hAnsi="楷体_GB2312" w:eastAsia="楷体_GB2312" w:cs="楷体_GB2312"/>
          <w:b/>
          <w:bCs/>
          <w:kern w:val="0"/>
          <w:sz w:val="32"/>
          <w:szCs w:val="32"/>
        </w:rPr>
        <w:t>5.主动作为强监管，筑牢安全生产防护网。一是</w:t>
      </w:r>
      <w:r>
        <w:rPr>
          <w:rFonts w:hint="eastAsia" w:ascii="仿宋_GB2312" w:hAnsi="仿宋_GB2312" w:eastAsia="仿宋_GB2312" w:cs="仿宋_GB2312"/>
          <w:kern w:val="0"/>
          <w:sz w:val="32"/>
          <w:szCs w:val="32"/>
        </w:rPr>
        <w:t>加强自建房安全整治。</w:t>
      </w:r>
      <w:r>
        <w:rPr>
          <w:rStyle w:val="40"/>
          <w:rFonts w:hint="eastAsia" w:ascii="仿宋_GB2312" w:hAnsi="仿宋_GB2312" w:eastAsia="仿宋_GB2312" w:cs="仿宋_GB2312"/>
          <w:sz w:val="32"/>
          <w:szCs w:val="32"/>
          <w:lang w:bidi="hi-IN"/>
        </w:rPr>
        <w:t>深刻汲取湖南长沙“4.29”居民自建房倒塌事故教训，及时组织召开专题会议，制定出台《全区自建房安全专项整治实施方案》，强化责任落实，明确整治任务，</w:t>
      </w:r>
      <w:r>
        <w:rPr>
          <w:rFonts w:hint="eastAsia" w:ascii="仿宋_GB2312" w:hAnsi="仿宋_GB2312" w:eastAsia="仿宋_GB2312" w:cs="仿宋_GB2312"/>
          <w:sz w:val="32"/>
          <w:szCs w:val="32"/>
        </w:rPr>
        <w:t>以</w:t>
      </w:r>
      <w:r>
        <w:rPr>
          <w:rStyle w:val="40"/>
          <w:rFonts w:hint="eastAsia" w:ascii="仿宋_GB2312" w:hAnsi="仿宋_GB2312" w:eastAsia="仿宋_GB2312" w:cs="仿宋_GB2312"/>
          <w:sz w:val="32"/>
          <w:szCs w:val="32"/>
          <w:lang w:bidi="hi-IN"/>
        </w:rPr>
        <w:t>经营性自建房</w:t>
      </w:r>
      <w:r>
        <w:rPr>
          <w:rFonts w:hint="eastAsia" w:ascii="仿宋_GB2312" w:hAnsi="仿宋_GB2312" w:eastAsia="仿宋_GB2312" w:cs="仿宋_GB2312"/>
          <w:sz w:val="32"/>
          <w:szCs w:val="32"/>
        </w:rPr>
        <w:t>为重点，</w:t>
      </w:r>
      <w:r>
        <w:rPr>
          <w:rStyle w:val="40"/>
          <w:rFonts w:hint="eastAsia" w:ascii="仿宋_GB2312" w:hAnsi="仿宋_GB2312" w:eastAsia="仿宋_GB2312" w:cs="仿宋_GB2312"/>
          <w:sz w:val="32"/>
          <w:szCs w:val="32"/>
          <w:lang w:bidi="hi-IN"/>
        </w:rPr>
        <w:t>全面摸底排查，</w:t>
      </w:r>
      <w:r>
        <w:rPr>
          <w:rFonts w:hint="eastAsia" w:ascii="仿宋_GB2312" w:eastAsia="仿宋_GB2312"/>
          <w:sz w:val="32"/>
          <w:szCs w:val="32"/>
        </w:rPr>
        <w:t>建立隐患台账，同步开展核实评估、安全鉴定、隐患整治和</w:t>
      </w:r>
      <w:r>
        <w:rPr>
          <w:rStyle w:val="40"/>
          <w:rFonts w:hint="eastAsia" w:ascii="仿宋_GB2312" w:hAnsi="仿宋_GB2312" w:eastAsia="仿宋_GB2312" w:cs="仿宋_GB2312"/>
          <w:sz w:val="32"/>
          <w:szCs w:val="32"/>
          <w:lang w:bidi="hi-IN"/>
        </w:rPr>
        <w:t>“回头看”工作</w:t>
      </w:r>
      <w:r>
        <w:rPr>
          <w:rFonts w:hint="eastAsia" w:ascii="仿宋_GB2312" w:eastAsia="仿宋_GB2312"/>
          <w:sz w:val="32"/>
          <w:szCs w:val="32"/>
        </w:rPr>
        <w:t>，及时消除房屋安全隐患。</w:t>
      </w:r>
      <w:r>
        <w:rPr>
          <w:rStyle w:val="40"/>
          <w:rFonts w:hint="eastAsia" w:ascii="仿宋_GB2312" w:hAnsi="仿宋_GB2312" w:eastAsia="仿宋_GB2312" w:cs="仿宋_GB2312"/>
          <w:sz w:val="32"/>
          <w:szCs w:val="32"/>
          <w:lang w:bidi="hi-IN"/>
        </w:rPr>
        <w:t>全区共排查自建房49055栋，其中经营性自建房1795栋、其他自建房47260栋，经营性自建房</w:t>
      </w:r>
      <w:r>
        <w:rPr>
          <w:rFonts w:hint="eastAsia" w:ascii="仿宋_GB2312" w:hAnsi="仿宋_GB2312" w:eastAsia="仿宋_GB2312" w:cs="仿宋_GB2312"/>
          <w:sz w:val="32"/>
          <w:szCs w:val="32"/>
        </w:rPr>
        <w:t>“回头看”排查率和管控措施率达100%。</w:t>
      </w:r>
      <w:r>
        <w:rPr>
          <w:rFonts w:hint="eastAsia" w:ascii="楷体_GB2312" w:hAnsi="楷体_GB2312" w:eastAsia="楷体_GB2312" w:cs="楷体_GB2312"/>
          <w:b/>
          <w:bCs/>
          <w:sz w:val="32"/>
          <w:szCs w:val="32"/>
        </w:rPr>
        <w:t>二是</w:t>
      </w:r>
      <w:r>
        <w:rPr>
          <w:rFonts w:hint="eastAsia" w:ascii="仿宋_GB2312" w:hAnsi="仿宋_GB2312" w:eastAsia="仿宋_GB2312" w:cs="仿宋_GB2312"/>
          <w:sz w:val="32"/>
          <w:szCs w:val="32"/>
        </w:rPr>
        <w:t>加强城镇燃气安全整治。认真落实行业监管责任，先后多次组织召开会议，制定工作方</w:t>
      </w:r>
      <w:r>
        <w:rPr>
          <w:rFonts w:hint="eastAsia" w:ascii="仿宋_GB2312" w:eastAsia="仿宋_GB2312"/>
          <w:sz w:val="32"/>
          <w:szCs w:val="32"/>
        </w:rPr>
        <w:t>案，</w:t>
      </w:r>
      <w:r>
        <w:rPr>
          <w:rFonts w:hint="eastAsia" w:ascii="仿宋_GB2312" w:hAnsi="仿宋_GB2312" w:eastAsia="仿宋_GB2312" w:cs="仿宋_GB2312"/>
          <w:sz w:val="32"/>
          <w:szCs w:val="32"/>
        </w:rPr>
        <w:t>安排部署燃气安全专项整治及百日行动，对辖区内燃气经营企业</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使用液化气的餐饮、酒店、居民住宅小区进行大排查大检查，建立安全隐患台帐，督促经营企业落实燃气用户主体责任，推进问题整改</w:t>
      </w:r>
      <w:r>
        <w:rPr>
          <w:rFonts w:hint="eastAsia" w:ascii="仿宋_GB2312" w:eastAsia="仿宋_GB2312"/>
          <w:sz w:val="32"/>
          <w:szCs w:val="32"/>
        </w:rPr>
        <w:t>。全年开展燃气专项检查41次，检查企业、单位114家次，发现整改隐患问题177处，下发整改通知书3份。积极推动非居用户可燃气体报警器安装，完成市下任务的104%。</w:t>
      </w:r>
      <w:r>
        <w:rPr>
          <w:rFonts w:hint="eastAsia" w:ascii="楷体_GB2312" w:hAnsi="楷体_GB2312" w:eastAsia="楷体_GB2312" w:cs="楷体_GB2312"/>
          <w:b/>
          <w:bCs/>
          <w:sz w:val="32"/>
          <w:szCs w:val="32"/>
        </w:rPr>
        <w:t>三是</w:t>
      </w:r>
      <w:r>
        <w:rPr>
          <w:rFonts w:hint="eastAsia" w:ascii="仿宋_GB2312" w:hAnsi="仿宋_GB2312" w:eastAsia="仿宋_GB2312" w:cs="仿宋_GB2312"/>
          <w:sz w:val="32"/>
          <w:szCs w:val="32"/>
        </w:rPr>
        <w:t>加强建筑施工领域安全整治。召开住建系统安全生产工作会议和专题会25次，安排部署安全生产专项整治三年行动、安全生产大检查和“护安2022”三大专项整治行动，以危大工程、吊装作业、有限空间作业等为重点，排查纠治高处坠落、物体打击、机械伤害等事故潜在隐患。</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，全年开展建筑施工专项检查80余次，排查安全隐患408处，发出整改通知书51份，完成整改406处，整改率99%。</w:t>
      </w:r>
      <w:r>
        <w:rPr>
          <w:rFonts w:hint="eastAsia" w:ascii="楷体_GB2312" w:hAnsi="楷体_GB2312" w:eastAsia="楷体_GB2312" w:cs="楷体_GB2312"/>
          <w:b/>
          <w:bCs/>
          <w:sz w:val="32"/>
          <w:szCs w:val="32"/>
        </w:rPr>
        <w:t>四是</w:t>
      </w:r>
      <w:r>
        <w:rPr>
          <w:rFonts w:hint="eastAsia" w:ascii="仿宋_GB2312" w:hAnsi="仿宋_GB2312" w:eastAsia="仿宋_GB2312" w:cs="仿宋_GB2312"/>
          <w:sz w:val="32"/>
          <w:szCs w:val="32"/>
        </w:rPr>
        <w:t>加强市政设施施工安全整治。健全市政设施安全巡查机制，坚持对城区道路、桥梁等市政设施每周至少排查两次，并建立安全隐患台账及巡查记录，限期整改销号。同时，对城市桥梁等进行专项安全检测，及时制定了整改方案；对城区排水管网、山洪沟进行全面排查整治，严防城市内涝，确保了城区防汛安全</w:t>
      </w:r>
      <w:r>
        <w:rPr>
          <w:rFonts w:hint="eastAsia" w:ascii="仿宋_GB2312" w:eastAsia="仿宋_GB2312"/>
          <w:sz w:val="32"/>
          <w:szCs w:val="32"/>
        </w:rPr>
        <w:t>。</w:t>
      </w:r>
    </w:p>
    <w:p>
      <w:pPr>
        <w:pStyle w:val="13"/>
        <w:bidi w:val="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6.凝心聚力</w:t>
      </w:r>
      <w:r>
        <w:rPr>
          <w:rFonts w:hint="eastAsia" w:ascii="楷体_GB2312" w:hAnsi="仿宋" w:eastAsia="楷体_GB2312"/>
          <w:b/>
          <w:bCs/>
          <w:sz w:val="32"/>
          <w:szCs w:val="32"/>
        </w:rPr>
        <w:t>抓队伍，干部作风新气象。</w:t>
      </w:r>
      <w:r>
        <w:rPr>
          <w:rFonts w:hint="eastAsia" w:ascii="楷体_GB2312" w:hAnsi="楷体_GB2312" w:eastAsia="楷体_GB2312" w:cs="楷体_GB2312"/>
          <w:b/>
          <w:bCs/>
          <w:sz w:val="32"/>
          <w:szCs w:val="32"/>
        </w:rPr>
        <w:t>一是</w:t>
      </w:r>
      <w:r>
        <w:rPr>
          <w:rFonts w:hint="eastAsia" w:ascii="仿宋_GB2312" w:hAnsi="仿宋_GB2312" w:eastAsia="仿宋_GB2312" w:cs="仿宋_GB2312"/>
          <w:sz w:val="32"/>
          <w:szCs w:val="32"/>
        </w:rPr>
        <w:t>抓实思想政治教育。认真落实意识形态工作责任，将意识形态作为重要内容纳入党组中心组理论学习计划，定期组织意识形态领域专题学习会，进一步提高政治站位，增强责任意识，切实增强做好意识形态工作的自觉性、主动性和积极性。目前，开展党组中心组理论学习12次，组织党员干部集中学习10次。</w:t>
      </w:r>
      <w:r>
        <w:rPr>
          <w:rFonts w:hint="eastAsia" w:ascii="楷体_GB2312" w:hAnsi="楷体_GB2312" w:eastAsia="楷体_GB2312" w:cs="楷体_GB2312"/>
          <w:b/>
          <w:bCs/>
          <w:sz w:val="32"/>
          <w:szCs w:val="32"/>
        </w:rPr>
        <w:t>二是</w:t>
      </w:r>
      <w:r>
        <w:rPr>
          <w:rFonts w:hint="eastAsia" w:ascii="仿宋_GB2312" w:hAnsi="仿宋_GB2312" w:eastAsia="仿宋_GB2312" w:cs="仿宋_GB2312"/>
          <w:sz w:val="32"/>
          <w:szCs w:val="32"/>
        </w:rPr>
        <w:t>狠抓基层党建工作。严格落实“三会一课”、领导干部双重组织生活制度，扎实开展“红色星期五”主题党日活动，切实增强党支部的战斗堡垒作用、党员的先锋模范作用、领导干部的表率示范作用。目前，专题研究党建工作4次，领导干部讲党课2次，开展主题党日活动11次。</w:t>
      </w:r>
      <w:r>
        <w:rPr>
          <w:rFonts w:hint="eastAsia" w:ascii="楷体_GB2312" w:hAnsi="楷体_GB2312" w:eastAsia="楷体_GB2312" w:cs="楷体_GB2312"/>
          <w:b/>
          <w:bCs/>
          <w:sz w:val="32"/>
          <w:szCs w:val="32"/>
        </w:rPr>
        <w:t>三是</w:t>
      </w:r>
      <w:r>
        <w:rPr>
          <w:rFonts w:hint="eastAsia" w:ascii="仿宋_GB2312" w:hAnsi="仿宋_GB2312" w:eastAsia="仿宋_GB2312" w:cs="仿宋_GB2312"/>
          <w:sz w:val="32"/>
          <w:szCs w:val="32"/>
        </w:rPr>
        <w:t>加强干部队伍建设。</w:t>
      </w:r>
      <w:r>
        <w:rPr>
          <w:rFonts w:hint="eastAsia" w:ascii="仿宋_GB2312" w:hAnsi="仿宋_GB2312" w:eastAsia="仿宋_GB2312" w:cs="仿宋_GB2312"/>
          <w:color w:val="000000"/>
          <w:sz w:val="32"/>
          <w:szCs w:val="32"/>
        </w:rPr>
        <w:t>扎实开展干部纪律作风整顿工作“回头看”</w:t>
      </w:r>
      <w:r>
        <w:rPr>
          <w:rFonts w:hint="eastAsia" w:ascii="仿宋_GB2312" w:hAnsi="仿宋_GB2312" w:eastAsia="仿宋_GB2312" w:cs="仿宋_GB2312"/>
          <w:sz w:val="32"/>
          <w:szCs w:val="32"/>
        </w:rPr>
        <w:t>，严格对标对表12个方面纪律作风突出问题，认真查作风纪律方面存在的具体问题和表现，</w:t>
      </w:r>
      <w:r>
        <w:rPr>
          <w:rFonts w:hint="eastAsia" w:ascii="仿宋_GB2312" w:hAnsi="仿宋_GB2312" w:eastAsia="仿宋_GB2312" w:cs="仿宋_GB2312"/>
          <w:bCs/>
          <w:color w:val="000000"/>
          <w:sz w:val="32"/>
          <w:szCs w:val="32"/>
        </w:rPr>
        <w:t>形成了干部纪律作风整顿“回头看”整改清单。经自查，局党组存在问题1个、干部个人存在问题5个。目前均已整改到位。同时，认真落实党风廉政建设责任制，</w:t>
      </w:r>
      <w:r>
        <w:rPr>
          <w:rFonts w:hint="eastAsia" w:ascii="仿宋_GB2312" w:hAnsi="仿宋_GB2312" w:eastAsia="仿宋_GB2312" w:cs="仿宋_GB2312"/>
          <w:sz w:val="32"/>
          <w:szCs w:val="32"/>
        </w:rPr>
        <w:t>开展警示教育大会5次，集中组织观看警示教育片8次，开展廉政谈话120余人次。</w:t>
      </w:r>
    </w:p>
    <w:p>
      <w:pPr>
        <w:pStyle w:val="15"/>
        <w:autoSpaceDE w:val="0"/>
        <w:spacing w:before="0" w:beforeAutospacing="0" w:after="0" w:afterAutospacing="0" w:line="600" w:lineRule="exact"/>
        <w:ind w:firstLine="640"/>
        <w:rPr>
          <w:rFonts w:ascii="仿宋_GB2312" w:hAnsi="仿宋" w:eastAsia="仿宋_GB2312"/>
          <w:sz w:val="32"/>
          <w:szCs w:val="32"/>
        </w:rPr>
      </w:pPr>
      <w:r>
        <w:rPr>
          <w:rFonts w:hint="eastAsia" w:ascii="仿宋_GB2312" w:hAnsi="仿宋_GB2312" w:eastAsia="仿宋_GB2312" w:cs="仿宋_GB2312"/>
          <w:sz w:val="32"/>
          <w:szCs w:val="32"/>
        </w:rPr>
        <w:t>2022年以来，我们虽然做了一些工作，也取得了一定成效，但离上级部门的要求还有很大的差距。</w:t>
      </w:r>
      <w:r>
        <w:rPr>
          <w:rFonts w:hint="eastAsia" w:ascii="仿宋_GB2312" w:hAnsi="仿宋" w:eastAsia="仿宋_GB2312"/>
          <w:sz w:val="32"/>
          <w:szCs w:val="32"/>
        </w:rPr>
        <w:t>比如</w:t>
      </w:r>
      <w:r>
        <w:rPr>
          <w:rFonts w:hint="eastAsia" w:ascii="仿宋_GB2312" w:hAnsi="仿宋_GB2312" w:eastAsia="仿宋_GB2312" w:cs="仿宋_GB2312"/>
          <w:sz w:val="32"/>
          <w:szCs w:val="32"/>
        </w:rPr>
        <w:t>个别城建项目推进较慢；部分</w:t>
      </w:r>
      <w:r>
        <w:rPr>
          <w:rFonts w:hint="eastAsia" w:ascii="仿宋_GB2312" w:hAnsi="仿宋" w:eastAsia="仿宋_GB2312"/>
          <w:sz w:val="32"/>
          <w:szCs w:val="32"/>
        </w:rPr>
        <w:t>项目资金缺口较大；城镇燃气、自建房、建筑施工安全监管力量薄弱、监管压力大。下一步，我局将充分正视以上存在的问题和不足，认真采取有效措施加以解决。</w:t>
      </w:r>
      <w:bookmarkEnd w:id="12"/>
      <w:bookmarkEnd w:id="13"/>
    </w:p>
    <w:p>
      <w:pPr>
        <w:pStyle w:val="15"/>
        <w:autoSpaceDE w:val="0"/>
        <w:spacing w:before="0" w:beforeAutospacing="0" w:after="0" w:afterAutospacing="0" w:line="600" w:lineRule="exact"/>
        <w:ind w:firstLine="640"/>
        <w:rPr>
          <w:rFonts w:ascii="黑体" w:hAnsi="黑体" w:eastAsia="黑体" w:cs="黑体"/>
          <w:sz w:val="32"/>
          <w:szCs w:val="32"/>
        </w:rPr>
      </w:pPr>
      <w:r>
        <w:rPr>
          <w:rFonts w:hint="eastAsia" w:ascii="黑体" w:hAnsi="黑体" w:eastAsia="黑体" w:cs="黑体"/>
          <w:sz w:val="32"/>
          <w:szCs w:val="32"/>
        </w:rPr>
        <w:t>二、机构设置</w:t>
      </w:r>
    </w:p>
    <w:p>
      <w:pPr>
        <w:pStyle w:val="15"/>
        <w:autoSpaceDE w:val="0"/>
        <w:spacing w:before="0" w:beforeAutospacing="0" w:after="0" w:afterAutospacing="0" w:line="600" w:lineRule="exact"/>
        <w:ind w:firstLine="640"/>
        <w:rPr>
          <w:rFonts w:ascii="仿宋_GB2312" w:hAnsi="仿宋" w:eastAsia="仿宋_GB2312"/>
          <w:sz w:val="32"/>
          <w:szCs w:val="32"/>
        </w:rPr>
      </w:pPr>
      <w:r>
        <w:rPr>
          <w:rFonts w:hint="eastAsia" w:ascii="仿宋_GB2312" w:hAnsi="仿宋" w:eastAsia="仿宋_GB2312"/>
          <w:sz w:val="32"/>
          <w:szCs w:val="32"/>
        </w:rPr>
        <w:t>区住建局下属二级预算单位0个，其中行政单位0个，参照公务员法管理的事业单位0个，其他事业单位3个，内设机构有局办公室、景观园林股、村镇建设股、城市建设股、排水股、建筑管理股、行政审批股。</w:t>
      </w:r>
    </w:p>
    <w:p>
      <w:pPr>
        <w:pStyle w:val="15"/>
        <w:autoSpaceDE w:val="0"/>
        <w:spacing w:before="0" w:beforeAutospacing="0" w:after="0" w:afterAutospacing="0" w:line="600" w:lineRule="exact"/>
        <w:ind w:firstLine="640"/>
        <w:jc w:val="center"/>
        <w:rPr>
          <w:rStyle w:val="23"/>
          <w:rFonts w:ascii="黑体" w:hAnsi="黑体" w:eastAsia="黑体"/>
          <w:b w:val="0"/>
        </w:rPr>
      </w:pPr>
      <w:r>
        <w:rPr>
          <w:rFonts w:hint="eastAsia" w:ascii="仿宋_GB2312" w:hAnsi="仿宋" w:eastAsia="仿宋_GB2312"/>
          <w:sz w:val="32"/>
          <w:szCs w:val="32"/>
        </w:rPr>
        <w:t>纳入区住建局2022年度部门决算编制范围的二级预算单位0个。</w:t>
      </w:r>
      <w:r>
        <w:rPr>
          <w:rFonts w:ascii="仿宋" w:hAnsi="仿宋" w:eastAsia="仿宋"/>
          <w:sz w:val="32"/>
          <w:szCs w:val="32"/>
        </w:rPr>
        <w:br w:type="page"/>
      </w:r>
      <w:bookmarkStart w:id="14" w:name="_Toc15396602"/>
      <w:bookmarkStart w:id="15" w:name="_Toc15377204"/>
      <w:r>
        <w:rPr>
          <w:rFonts w:hint="eastAsia" w:ascii="方正小标宋简体" w:hAnsi="方正小标宋简体" w:eastAsia="方正小标宋简体" w:cs="方正小标宋简体"/>
          <w:bCs/>
          <w:sz w:val="44"/>
          <w:szCs w:val="44"/>
        </w:rPr>
        <w:t>第二部分 2022年度</w:t>
      </w:r>
      <w:r>
        <w:rPr>
          <w:rStyle w:val="23"/>
          <w:rFonts w:hint="eastAsia" w:ascii="方正小标宋简体" w:hAnsi="方正小标宋简体" w:eastAsia="方正小标宋简体" w:cs="方正小标宋简体"/>
          <w:b w:val="0"/>
        </w:rPr>
        <w:t>部门决算情况说明</w:t>
      </w:r>
      <w:bookmarkEnd w:id="14"/>
      <w:bookmarkEnd w:id="15"/>
    </w:p>
    <w:p>
      <w:pPr>
        <w:pStyle w:val="33"/>
        <w:spacing w:line="600" w:lineRule="exact"/>
        <w:ind w:firstLine="0" w:firstLineChars="0"/>
        <w:outlineLvl w:val="9"/>
        <w:rPr>
          <w:rFonts w:ascii="黑体" w:hAnsi="黑体" w:eastAsia="黑体"/>
          <w:sz w:val="32"/>
          <w:szCs w:val="32"/>
        </w:rPr>
      </w:pPr>
      <w:bookmarkStart w:id="16" w:name="_Toc15396603"/>
      <w:bookmarkStart w:id="17" w:name="_Toc15377205"/>
    </w:p>
    <w:p>
      <w:pPr>
        <w:pStyle w:val="33"/>
        <w:spacing w:line="600" w:lineRule="exact"/>
        <w:ind w:firstLine="640"/>
        <w:outlineLvl w:val="1"/>
        <w:rPr>
          <w:rStyle w:val="22"/>
          <w:rFonts w:ascii="黑体" w:hAnsi="黑体" w:eastAsia="黑体"/>
          <w:b w:val="0"/>
        </w:rPr>
      </w:pPr>
      <w:bookmarkStart w:id="18" w:name="_Toc22002"/>
      <w:r>
        <w:rPr>
          <w:rFonts w:hint="eastAsia" w:ascii="黑体" w:hAnsi="黑体" w:eastAsia="黑体"/>
          <w:sz w:val="32"/>
          <w:szCs w:val="32"/>
        </w:rPr>
        <w:t>一、收</w:t>
      </w:r>
      <w:r>
        <w:rPr>
          <w:rStyle w:val="22"/>
          <w:rFonts w:hint="eastAsia" w:ascii="黑体" w:hAnsi="黑体" w:eastAsia="黑体"/>
          <w:b w:val="0"/>
        </w:rPr>
        <w:t>入支出决算总体情况说明</w:t>
      </w:r>
      <w:bookmarkEnd w:id="16"/>
      <w:bookmarkEnd w:id="17"/>
      <w:bookmarkEnd w:id="1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2022年度收、支总计19095.43万元。与2021年相比，收、支总计各增加4060.66万元，增长78.73%。主要变动原因是项目资金增加。</w:t>
      </w:r>
    </w:p>
    <w:p>
      <w:pPr>
        <w:jc w:val="center"/>
        <w:rPr>
          <w:rFonts w:ascii="仿宋_GB2312" w:eastAsia="仿宋_GB2312"/>
          <w:sz w:val="32"/>
          <w:szCs w:val="32"/>
        </w:rPr>
      </w:pPr>
      <w:r>
        <w:rPr>
          <w:rFonts w:hint="eastAsia" w:ascii="仿宋_GB2312" w:eastAsia="仿宋_GB2312"/>
          <w:sz w:val="32"/>
          <w:szCs w:val="32"/>
        </w:rPr>
        <w:drawing>
          <wp:inline distT="0" distB="0" distL="114300" distR="114300">
            <wp:extent cx="5699760" cy="3567430"/>
            <wp:effectExtent l="0" t="0" r="15240" b="13970"/>
            <wp:docPr id="13" name="图片 1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true"/>
                    </pic:cNvPicPr>
                  </pic:nvPicPr>
                  <pic:blipFill>
                    <a:blip r:embed="rId11"/>
                    <a:stretch>
                      <a:fillRect/>
                    </a:stretch>
                  </pic:blipFill>
                  <pic:spPr>
                    <a:xfrm>
                      <a:off x="0" y="0"/>
                      <a:ext cx="5699760" cy="3567430"/>
                    </a:xfrm>
                    <a:prstGeom prst="rect">
                      <a:avLst/>
                    </a:prstGeom>
                  </pic:spPr>
                </pic:pic>
              </a:graphicData>
            </a:graphic>
          </wp:inline>
        </w:drawing>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（图1：收、支决算总计变动情况图）（柱状图）</w:t>
      </w:r>
    </w:p>
    <w:p>
      <w:pPr>
        <w:pStyle w:val="33"/>
        <w:spacing w:line="600" w:lineRule="exact"/>
        <w:ind w:left="640" w:firstLine="0" w:firstLineChars="0"/>
        <w:outlineLvl w:val="1"/>
        <w:rPr>
          <w:rStyle w:val="22"/>
          <w:rFonts w:ascii="黑体" w:hAnsi="黑体" w:eastAsia="黑体"/>
          <w:b w:val="0"/>
        </w:rPr>
      </w:pPr>
      <w:bookmarkStart w:id="19" w:name="_Toc15830"/>
      <w:bookmarkStart w:id="20" w:name="_Toc15396604"/>
      <w:bookmarkStart w:id="21" w:name="_Toc15377206"/>
      <w:r>
        <w:rPr>
          <w:rFonts w:hint="eastAsia" w:ascii="黑体" w:hAnsi="黑体" w:eastAsia="黑体"/>
          <w:sz w:val="32"/>
          <w:szCs w:val="32"/>
        </w:rPr>
        <w:t>二、收</w:t>
      </w:r>
      <w:r>
        <w:rPr>
          <w:rStyle w:val="22"/>
          <w:rFonts w:hint="eastAsia" w:ascii="黑体" w:hAnsi="黑体" w:eastAsia="黑体"/>
          <w:b w:val="0"/>
        </w:rPr>
        <w:t>入决算情况说明</w:t>
      </w:r>
      <w:bookmarkEnd w:id="19"/>
      <w:bookmarkEnd w:id="20"/>
      <w:bookmarkEnd w:id="21"/>
    </w:p>
    <w:p>
      <w:pPr>
        <w:spacing w:line="600" w:lineRule="exact"/>
        <w:ind w:firstLine="640" w:firstLineChars="200"/>
        <w:outlineLvl w:val="1"/>
        <w:rPr>
          <w:rFonts w:ascii="仿宋_GB2312" w:hAnsi="仿宋_GB2312" w:eastAsia="仿宋_GB2312" w:cs="仿宋_GB2312"/>
          <w:sz w:val="32"/>
          <w:szCs w:val="32"/>
        </w:rPr>
      </w:pPr>
      <w:bookmarkStart w:id="22" w:name="_Toc21390"/>
      <w:bookmarkStart w:id="23" w:name="_Toc19954"/>
      <w:r>
        <w:rPr>
          <w:rFonts w:hint="eastAsia" w:ascii="仿宋_GB2312" w:hAnsi="仿宋_GB2312" w:eastAsia="仿宋_GB2312" w:cs="仿宋_GB2312"/>
          <w:sz w:val="32"/>
          <w:szCs w:val="32"/>
        </w:rPr>
        <w:t>2022年本年收入合计19095.43万元，其中：一般公共预算财政拨款收入8285.38万元，占43.39%；政府性基金预算财政拨款收入10810.05万元，占56.61%。</w:t>
      </w:r>
      <w:bookmarkEnd w:id="22"/>
      <w:bookmarkEnd w:id="23"/>
    </w:p>
    <w:p>
      <w:pPr>
        <w:pStyle w:val="38"/>
        <w:ind w:left="0" w:leftChars="0" w:firstLine="0" w:firstLineChars="0"/>
        <w:jc w:val="center"/>
        <w:rPr>
          <w:rFonts w:ascii="仿宋" w:hAnsi="仿宋" w:eastAsia="仿宋"/>
          <w:sz w:val="32"/>
          <w:szCs w:val="32"/>
        </w:rPr>
      </w:pPr>
      <w:r>
        <w:rPr>
          <w:rFonts w:hint="eastAsia" w:ascii="仿宋" w:hAnsi="仿宋" w:eastAsia="仿宋"/>
          <w:sz w:val="32"/>
          <w:szCs w:val="32"/>
        </w:rPr>
        <w:drawing>
          <wp:inline distT="0" distB="0" distL="114300" distR="114300">
            <wp:extent cx="5173345" cy="3014980"/>
            <wp:effectExtent l="0" t="0" r="8255" b="13970"/>
            <wp:docPr id="10" name="图片 10"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true"/>
                    </pic:cNvPicPr>
                  </pic:nvPicPr>
                  <pic:blipFill>
                    <a:blip r:embed="rId12"/>
                    <a:stretch>
                      <a:fillRect/>
                    </a:stretch>
                  </pic:blipFill>
                  <pic:spPr>
                    <a:xfrm>
                      <a:off x="0" y="0"/>
                      <a:ext cx="5173345" cy="3014980"/>
                    </a:xfrm>
                    <a:prstGeom prst="rect">
                      <a:avLst/>
                    </a:prstGeom>
                  </pic:spPr>
                </pic:pic>
              </a:graphicData>
            </a:graphic>
          </wp:inline>
        </w:drawing>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（图2：收入决算结构图）（饼状图）</w:t>
      </w:r>
    </w:p>
    <w:p>
      <w:pPr>
        <w:pStyle w:val="33"/>
        <w:spacing w:line="600" w:lineRule="exact"/>
        <w:ind w:left="640" w:firstLine="0" w:firstLineChars="0"/>
        <w:outlineLvl w:val="1"/>
        <w:rPr>
          <w:rStyle w:val="22"/>
          <w:rFonts w:ascii="黑体" w:hAnsi="黑体" w:eastAsia="黑体"/>
          <w:b w:val="0"/>
        </w:rPr>
      </w:pPr>
      <w:bookmarkStart w:id="24" w:name="_Toc15396605"/>
      <w:bookmarkStart w:id="25" w:name="_Toc15377207"/>
      <w:bookmarkStart w:id="26" w:name="_Toc8232"/>
      <w:r>
        <w:rPr>
          <w:rFonts w:hint="eastAsia" w:ascii="黑体" w:hAnsi="黑体" w:eastAsia="黑体"/>
          <w:sz w:val="32"/>
          <w:szCs w:val="32"/>
        </w:rPr>
        <w:t>三、支</w:t>
      </w:r>
      <w:r>
        <w:rPr>
          <w:rStyle w:val="22"/>
          <w:rFonts w:hint="eastAsia" w:ascii="黑体" w:hAnsi="黑体" w:eastAsia="黑体"/>
          <w:b w:val="0"/>
        </w:rPr>
        <w:t>出决算情况说明</w:t>
      </w:r>
      <w:bookmarkEnd w:id="24"/>
      <w:bookmarkEnd w:id="25"/>
      <w:bookmarkEnd w:id="26"/>
    </w:p>
    <w:p>
      <w:pPr>
        <w:spacing w:line="600" w:lineRule="exact"/>
        <w:ind w:firstLine="640" w:firstLineChars="200"/>
        <w:outlineLvl w:val="1"/>
        <w:rPr>
          <w:rFonts w:ascii="仿宋_GB2312" w:hAnsi="仿宋_GB2312" w:eastAsia="仿宋_GB2312" w:cs="仿宋_GB2312"/>
          <w:b/>
          <w:sz w:val="32"/>
          <w:szCs w:val="32"/>
        </w:rPr>
      </w:pPr>
      <w:bookmarkStart w:id="27" w:name="_Toc28486"/>
      <w:bookmarkStart w:id="28" w:name="_Toc18225"/>
      <w:r>
        <w:rPr>
          <w:rFonts w:hint="eastAsia" w:ascii="仿宋_GB2312" w:hAnsi="仿宋_GB2312" w:eastAsia="仿宋_GB2312" w:cs="仿宋_GB2312"/>
          <w:sz w:val="32"/>
          <w:szCs w:val="32"/>
        </w:rPr>
        <w:t>2022年本年支出合计19095.43万元，其中：基本支出709.21万元，占3.71%；项目支出18386.22万元，占96.29%。</w:t>
      </w:r>
      <w:bookmarkEnd w:id="27"/>
      <w:bookmarkEnd w:id="28"/>
    </w:p>
    <w:p>
      <w:pPr>
        <w:jc w:val="center"/>
        <w:rPr>
          <w:rFonts w:ascii="仿宋" w:hAnsi="仿宋" w:eastAsia="仿宋"/>
          <w:b/>
          <w:sz w:val="32"/>
          <w:szCs w:val="32"/>
        </w:rPr>
      </w:pPr>
      <w:r>
        <w:rPr>
          <w:rFonts w:hint="eastAsia" w:ascii="仿宋" w:hAnsi="仿宋" w:eastAsia="仿宋"/>
          <w:b/>
          <w:sz w:val="32"/>
          <w:szCs w:val="32"/>
        </w:rPr>
        <w:drawing>
          <wp:inline distT="0" distB="0" distL="114300" distR="114300">
            <wp:extent cx="4584065" cy="2755265"/>
            <wp:effectExtent l="0" t="0" r="6985" b="6985"/>
            <wp:docPr id="1" name="图片 1"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true"/>
                    </pic:cNvPicPr>
                  </pic:nvPicPr>
                  <pic:blipFill>
                    <a:blip r:embed="rId13"/>
                    <a:stretch>
                      <a:fillRect/>
                    </a:stretch>
                  </pic:blipFill>
                  <pic:spPr>
                    <a:xfrm>
                      <a:off x="0" y="0"/>
                      <a:ext cx="4584065" cy="2755265"/>
                    </a:xfrm>
                    <a:prstGeom prst="rect">
                      <a:avLst/>
                    </a:prstGeom>
                  </pic:spPr>
                </pic:pic>
              </a:graphicData>
            </a:graphic>
          </wp:inline>
        </w:drawing>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（图3：支出决算结构图）（饼状图）</w:t>
      </w:r>
    </w:p>
    <w:p>
      <w:pPr>
        <w:spacing w:line="600" w:lineRule="exact"/>
        <w:ind w:firstLine="640" w:firstLineChars="200"/>
        <w:outlineLvl w:val="1"/>
        <w:rPr>
          <w:rStyle w:val="22"/>
          <w:rFonts w:ascii="黑体" w:hAnsi="黑体" w:eastAsia="黑体"/>
          <w:b w:val="0"/>
        </w:rPr>
      </w:pPr>
      <w:bookmarkStart w:id="29" w:name="_Toc2205"/>
      <w:bookmarkStart w:id="30" w:name="_Toc15396606"/>
      <w:bookmarkStart w:id="31" w:name="_Toc15377208"/>
      <w:r>
        <w:rPr>
          <w:rFonts w:hint="eastAsia" w:ascii="黑体" w:hAnsi="黑体" w:eastAsia="黑体"/>
          <w:sz w:val="32"/>
          <w:szCs w:val="32"/>
        </w:rPr>
        <w:t>四、财</w:t>
      </w:r>
      <w:r>
        <w:rPr>
          <w:rStyle w:val="22"/>
          <w:rFonts w:hint="eastAsia" w:ascii="黑体" w:hAnsi="黑体" w:eastAsia="黑体"/>
          <w:b w:val="0"/>
        </w:rPr>
        <w:t>政拨款收入支出决算总体情况说明</w:t>
      </w:r>
      <w:bookmarkEnd w:id="29"/>
      <w:bookmarkEnd w:id="30"/>
      <w:bookmarkEnd w:id="31"/>
    </w:p>
    <w:p>
      <w:pPr>
        <w:spacing w:line="600" w:lineRule="exact"/>
        <w:ind w:firstLine="640"/>
        <w:rPr>
          <w:rFonts w:ascii="仿宋" w:hAnsi="仿宋" w:eastAsia="仿宋"/>
          <w:b/>
          <w:sz w:val="32"/>
          <w:szCs w:val="32"/>
        </w:rPr>
      </w:pPr>
      <w:r>
        <w:rPr>
          <w:rFonts w:hint="eastAsia" w:ascii="仿宋_GB2312" w:hAnsi="仿宋_GB2312" w:eastAsia="仿宋_GB2312" w:cs="仿宋_GB2312"/>
          <w:sz w:val="32"/>
          <w:szCs w:val="32"/>
        </w:rPr>
        <w:t>2022年财政拨款收、支总计19095.43万元。与2021年相比，财政拨款收、支总计各增加4060.66万元，增长78.73%。主要变动原因是项目资金增加。</w:t>
      </w:r>
    </w:p>
    <w:p>
      <w:pPr>
        <w:jc w:val="center"/>
        <w:rPr>
          <w:rFonts w:ascii="仿宋" w:hAnsi="仿宋" w:eastAsia="仿宋"/>
          <w:b/>
          <w:sz w:val="32"/>
          <w:szCs w:val="32"/>
        </w:rPr>
      </w:pPr>
      <w:r>
        <w:rPr>
          <w:rFonts w:hint="eastAsia" w:ascii="仿宋" w:hAnsi="仿宋" w:eastAsia="仿宋"/>
          <w:b/>
          <w:sz w:val="32"/>
          <w:szCs w:val="32"/>
        </w:rPr>
        <w:drawing>
          <wp:inline distT="0" distB="0" distL="114300" distR="114300">
            <wp:extent cx="5351145" cy="4504055"/>
            <wp:effectExtent l="0" t="0" r="1905" b="10795"/>
            <wp:docPr id="12" name="图片 12"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4"/>
                    <pic:cNvPicPr>
                      <a:picLocks noChangeAspect="true"/>
                    </pic:cNvPicPr>
                  </pic:nvPicPr>
                  <pic:blipFill>
                    <a:blip r:embed="rId14"/>
                    <a:stretch>
                      <a:fillRect/>
                    </a:stretch>
                  </pic:blipFill>
                  <pic:spPr>
                    <a:xfrm>
                      <a:off x="0" y="0"/>
                      <a:ext cx="5351145" cy="4504055"/>
                    </a:xfrm>
                    <a:prstGeom prst="rect">
                      <a:avLst/>
                    </a:prstGeom>
                  </pic:spPr>
                </pic:pic>
              </a:graphicData>
            </a:graphic>
          </wp:inline>
        </w:drawing>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（图4：财政拨款收、支决算总计变动情况）（柱状图）</w:t>
      </w:r>
    </w:p>
    <w:p>
      <w:pPr>
        <w:spacing w:line="600" w:lineRule="exact"/>
        <w:ind w:firstLine="640" w:firstLineChars="200"/>
        <w:outlineLvl w:val="1"/>
        <w:rPr>
          <w:rStyle w:val="22"/>
          <w:rFonts w:ascii="黑体" w:hAnsi="黑体" w:eastAsia="黑体"/>
          <w:b w:val="0"/>
        </w:rPr>
      </w:pPr>
      <w:bookmarkStart w:id="32" w:name="_Toc30775"/>
      <w:bookmarkStart w:id="33" w:name="_Toc15377209"/>
      <w:bookmarkStart w:id="34" w:name="_Toc15396607"/>
      <w:r>
        <w:rPr>
          <w:rFonts w:hint="eastAsia" w:ascii="黑体" w:hAnsi="黑体" w:eastAsia="黑体"/>
          <w:sz w:val="32"/>
          <w:szCs w:val="32"/>
        </w:rPr>
        <w:t>五、</w:t>
      </w:r>
      <w:r>
        <w:rPr>
          <w:rFonts w:hint="eastAsia" w:ascii="黑体" w:hAnsi="黑体" w:eastAsia="黑体"/>
          <w:b/>
          <w:sz w:val="32"/>
          <w:szCs w:val="32"/>
        </w:rPr>
        <w:t>一</w:t>
      </w:r>
      <w:r>
        <w:rPr>
          <w:rStyle w:val="22"/>
          <w:rFonts w:hint="eastAsia" w:ascii="黑体" w:hAnsi="黑体" w:eastAsia="黑体"/>
          <w:b w:val="0"/>
        </w:rPr>
        <w:t>般公共预算财政拨款支出决算情况说明</w:t>
      </w:r>
      <w:bookmarkEnd w:id="32"/>
      <w:bookmarkEnd w:id="33"/>
      <w:bookmarkEnd w:id="34"/>
    </w:p>
    <w:p>
      <w:pPr>
        <w:spacing w:line="600" w:lineRule="exact"/>
        <w:ind w:firstLine="642" w:firstLineChars="200"/>
        <w:outlineLvl w:val="2"/>
        <w:rPr>
          <w:rFonts w:ascii="楷体_GB2312" w:hAnsi="楷体_GB2312" w:eastAsia="楷体_GB2312" w:cs="楷体_GB2312"/>
          <w:b/>
          <w:sz w:val="32"/>
          <w:szCs w:val="32"/>
        </w:rPr>
      </w:pPr>
      <w:bookmarkStart w:id="35" w:name="_Toc15377210"/>
      <w:bookmarkStart w:id="36" w:name="_Toc18298"/>
      <w:r>
        <w:rPr>
          <w:rFonts w:hint="eastAsia" w:ascii="楷体_GB2312" w:hAnsi="楷体_GB2312" w:eastAsia="楷体_GB2312" w:cs="楷体_GB2312"/>
          <w:b/>
          <w:sz w:val="32"/>
          <w:szCs w:val="32"/>
        </w:rPr>
        <w:t>（一）一般公共预算财政拨款支出决算总体情况</w:t>
      </w:r>
      <w:bookmarkEnd w:id="35"/>
      <w:bookmarkEnd w:id="3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2022年一般公共预算财政拨款支出8285.38万元，占本年支出合计的43.38%。与2021年相比，一般公共预算财政拨款支出增加1930.77万元，增长76%。主要变动原因是公用经费标准增加，项目资金投入增加。</w:t>
      </w:r>
    </w:p>
    <w:p>
      <w:pPr>
        <w:pStyle w:val="38"/>
        <w:ind w:left="0" w:leftChars="0" w:firstLine="0" w:firstLineChars="0"/>
        <w:jc w:val="center"/>
      </w:pPr>
      <w:r>
        <w:rPr>
          <w:rFonts w:hint="eastAsia"/>
        </w:rPr>
        <w:drawing>
          <wp:inline distT="0" distB="0" distL="114300" distR="114300">
            <wp:extent cx="5335905" cy="4348480"/>
            <wp:effectExtent l="0" t="0" r="17145" b="13970"/>
            <wp:docPr id="11" name="图片 11"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5"/>
                    <pic:cNvPicPr>
                      <a:picLocks noChangeAspect="true"/>
                    </pic:cNvPicPr>
                  </pic:nvPicPr>
                  <pic:blipFill>
                    <a:blip r:embed="rId15"/>
                    <a:stretch>
                      <a:fillRect/>
                    </a:stretch>
                  </pic:blipFill>
                  <pic:spPr>
                    <a:xfrm>
                      <a:off x="0" y="0"/>
                      <a:ext cx="5335905" cy="4348480"/>
                    </a:xfrm>
                    <a:prstGeom prst="rect">
                      <a:avLst/>
                    </a:prstGeom>
                  </pic:spPr>
                </pic:pic>
              </a:graphicData>
            </a:graphic>
          </wp:inline>
        </w:drawing>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（图5：一般公共预算财政拨款支出决算变动情况）（柱状图）</w:t>
      </w:r>
    </w:p>
    <w:p>
      <w:pPr>
        <w:spacing w:line="600" w:lineRule="exact"/>
        <w:ind w:firstLine="642" w:firstLineChars="200"/>
        <w:outlineLvl w:val="2"/>
        <w:rPr>
          <w:rFonts w:ascii="楷体_GB2312" w:hAnsi="楷体_GB2312" w:eastAsia="楷体_GB2312" w:cs="楷体_GB2312"/>
          <w:b/>
          <w:sz w:val="32"/>
          <w:szCs w:val="32"/>
        </w:rPr>
      </w:pPr>
      <w:bookmarkStart w:id="37" w:name="_Toc19630"/>
      <w:bookmarkStart w:id="38" w:name="_Toc15377211"/>
      <w:r>
        <w:rPr>
          <w:rFonts w:hint="eastAsia" w:ascii="楷体_GB2312" w:hAnsi="楷体_GB2312" w:eastAsia="楷体_GB2312" w:cs="楷体_GB2312"/>
          <w:b/>
          <w:sz w:val="32"/>
          <w:szCs w:val="32"/>
        </w:rPr>
        <w:t>（二）一般公共预算财政拨款支出决算结构情况</w:t>
      </w:r>
      <w:bookmarkEnd w:id="37"/>
      <w:bookmarkEnd w:id="3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2022年一般公共预算财政拨款支出8285.37万元，主要用于以下方面：文化旅游体育与传媒支出100万元，占1.21%；社会保障和就业支出54.94万元，占0.66%；</w:t>
      </w:r>
      <w:bookmarkStart w:id="39" w:name="OLE_LINK2"/>
      <w:r>
        <w:rPr>
          <w:rFonts w:hint="eastAsia" w:ascii="仿宋_GB2312" w:hAnsi="仿宋_GB2312" w:eastAsia="仿宋_GB2312" w:cs="仿宋_GB2312"/>
          <w:sz w:val="32"/>
          <w:szCs w:val="32"/>
        </w:rPr>
        <w:t>卫生健康支出</w:t>
      </w:r>
      <w:bookmarkEnd w:id="39"/>
      <w:r>
        <w:rPr>
          <w:rFonts w:hint="eastAsia" w:ascii="仿宋_GB2312" w:hAnsi="仿宋_GB2312" w:eastAsia="仿宋_GB2312" w:cs="仿宋_GB2312"/>
          <w:sz w:val="32"/>
          <w:szCs w:val="32"/>
        </w:rPr>
        <w:t>27.02万元，占0.33%；住房保障支出3461.88万元，占41.78%；城乡社区支出4230.49万元，占51.06%；节能环保支出134.99万元，占1.63%；灾害防治及应急管理支出276.05万元，占3.33%。</w:t>
      </w:r>
    </w:p>
    <w:p>
      <w:pPr>
        <w:pStyle w:val="38"/>
        <w:ind w:left="1063" w:hanging="643"/>
        <w:rPr>
          <w:rFonts w:ascii="仿宋" w:hAnsi="仿宋" w:eastAsia="仿宋"/>
          <w:b/>
          <w:sz w:val="32"/>
          <w:szCs w:val="32"/>
        </w:rPr>
      </w:pPr>
      <w:r>
        <w:rPr>
          <w:rFonts w:hint="eastAsia" w:ascii="仿宋" w:hAnsi="仿宋" w:eastAsia="仿宋"/>
          <w:b/>
          <w:sz w:val="32"/>
          <w:szCs w:val="32"/>
        </w:rPr>
        <w:drawing>
          <wp:inline distT="0" distB="0" distL="114300" distR="114300">
            <wp:extent cx="4989830" cy="2999105"/>
            <wp:effectExtent l="0" t="0" r="1270" b="10795"/>
            <wp:docPr id="5" name="图片 5"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6"/>
                    <pic:cNvPicPr>
                      <a:picLocks noChangeAspect="true"/>
                    </pic:cNvPicPr>
                  </pic:nvPicPr>
                  <pic:blipFill>
                    <a:blip r:embed="rId16"/>
                    <a:stretch>
                      <a:fillRect/>
                    </a:stretch>
                  </pic:blipFill>
                  <pic:spPr>
                    <a:xfrm>
                      <a:off x="0" y="0"/>
                      <a:ext cx="4989830" cy="2999105"/>
                    </a:xfrm>
                    <a:prstGeom prst="rect">
                      <a:avLst/>
                    </a:prstGeom>
                  </pic:spPr>
                </pic:pic>
              </a:graphicData>
            </a:graphic>
          </wp:inline>
        </w:drawing>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（图6：一般公共预算财政拨款支出决算结构）（饼状图）</w:t>
      </w:r>
    </w:p>
    <w:p>
      <w:pPr>
        <w:spacing w:line="600" w:lineRule="exact"/>
        <w:ind w:firstLine="642" w:firstLineChars="200"/>
        <w:outlineLvl w:val="2"/>
        <w:rPr>
          <w:rFonts w:ascii="楷体_GB2312" w:hAnsi="楷体_GB2312" w:eastAsia="楷体_GB2312" w:cs="楷体_GB2312"/>
          <w:b/>
          <w:sz w:val="32"/>
          <w:szCs w:val="32"/>
        </w:rPr>
      </w:pPr>
      <w:bookmarkStart w:id="40" w:name="_Toc15377212"/>
      <w:bookmarkStart w:id="41" w:name="_Toc15503"/>
      <w:r>
        <w:rPr>
          <w:rFonts w:hint="eastAsia" w:ascii="楷体_GB2312" w:hAnsi="楷体_GB2312" w:eastAsia="楷体_GB2312" w:cs="楷体_GB2312"/>
          <w:b/>
          <w:sz w:val="32"/>
          <w:szCs w:val="32"/>
        </w:rPr>
        <w:t>（三）一般公共预算财政拨款支出决算具体情况</w:t>
      </w:r>
      <w:bookmarkEnd w:id="40"/>
      <w:bookmarkEnd w:id="41"/>
    </w:p>
    <w:p>
      <w:pPr>
        <w:spacing w:line="600" w:lineRule="exact"/>
        <w:ind w:firstLine="640" w:firstLineChars="200"/>
        <w:outlineLvl w:val="2"/>
        <w:rPr>
          <w:rFonts w:ascii="仿宋_GB2312" w:hAnsi="仿宋_GB2312" w:eastAsia="仿宋_GB2312" w:cs="仿宋_GB2312"/>
          <w:bCs/>
          <w:sz w:val="32"/>
          <w:szCs w:val="32"/>
        </w:rPr>
      </w:pPr>
      <w:bookmarkStart w:id="42" w:name="_Toc9504"/>
      <w:bookmarkStart w:id="43" w:name="_Toc15378460"/>
      <w:bookmarkStart w:id="44" w:name="_Toc15377213"/>
      <w:bookmarkStart w:id="45" w:name="_Toc15377444"/>
      <w:bookmarkStart w:id="46" w:name="_Toc20430"/>
      <w:r>
        <w:rPr>
          <w:rFonts w:hint="eastAsia" w:ascii="仿宋_GB2312" w:hAnsi="仿宋_GB2312" w:eastAsia="仿宋_GB2312" w:cs="仿宋_GB2312"/>
          <w:bCs/>
          <w:sz w:val="32"/>
          <w:szCs w:val="32"/>
        </w:rPr>
        <w:t>2022年一般公共预算支出决算数为8285.37，</w:t>
      </w:r>
      <w:r>
        <w:rPr>
          <w:rStyle w:val="20"/>
          <w:rFonts w:hint="eastAsia" w:ascii="仿宋_GB2312" w:hAnsi="仿宋_GB2312" w:eastAsia="仿宋_GB2312" w:cs="仿宋_GB2312"/>
          <w:b w:val="0"/>
          <w:bCs/>
          <w:sz w:val="32"/>
          <w:szCs w:val="32"/>
        </w:rPr>
        <w:t>完成预算100%。其中：</w:t>
      </w:r>
      <w:bookmarkEnd w:id="42"/>
      <w:bookmarkEnd w:id="43"/>
      <w:bookmarkEnd w:id="44"/>
      <w:bookmarkEnd w:id="45"/>
      <w:bookmarkEnd w:id="46"/>
    </w:p>
    <w:p>
      <w:pPr>
        <w:spacing w:line="600" w:lineRule="exact"/>
        <w:ind w:firstLine="640" w:firstLineChars="200"/>
        <w:rPr>
          <w:rFonts w:ascii="仿宋_GB2312" w:hAnsi="仿宋_GB2312" w:eastAsia="仿宋_GB2312" w:cs="仿宋_GB2312"/>
          <w:bCs/>
          <w:sz w:val="32"/>
          <w:szCs w:val="32"/>
        </w:rPr>
      </w:pPr>
      <w:r>
        <w:rPr>
          <w:rStyle w:val="20"/>
          <w:rFonts w:hint="eastAsia" w:ascii="仿宋_GB2312" w:hAnsi="仿宋_GB2312" w:eastAsia="仿宋_GB2312" w:cs="仿宋_GB2312"/>
          <w:b w:val="0"/>
          <w:bCs/>
          <w:sz w:val="32"/>
          <w:szCs w:val="32"/>
        </w:rPr>
        <w:t>1.</w:t>
      </w:r>
      <w:r>
        <w:rPr>
          <w:rFonts w:hint="eastAsia" w:ascii="仿宋_GB2312" w:hAnsi="仿宋_GB2312" w:eastAsia="仿宋_GB2312" w:cs="仿宋_GB2312"/>
          <w:bCs/>
          <w:sz w:val="32"/>
          <w:szCs w:val="32"/>
        </w:rPr>
        <w:t>文化旅游体育与传媒支出</w:t>
      </w:r>
      <w:r>
        <w:rPr>
          <w:rStyle w:val="20"/>
          <w:rFonts w:hint="eastAsia" w:ascii="仿宋_GB2312" w:hAnsi="仿宋_GB2312" w:eastAsia="仿宋_GB2312" w:cs="仿宋_GB2312"/>
          <w:b w:val="0"/>
          <w:bCs/>
          <w:sz w:val="32"/>
          <w:szCs w:val="32"/>
        </w:rPr>
        <w:t>（类）其他</w:t>
      </w:r>
      <w:r>
        <w:rPr>
          <w:rFonts w:hint="eastAsia" w:ascii="仿宋_GB2312" w:hAnsi="仿宋_GB2312" w:eastAsia="仿宋_GB2312" w:cs="仿宋_GB2312"/>
          <w:bCs/>
          <w:sz w:val="32"/>
          <w:szCs w:val="32"/>
        </w:rPr>
        <w:t>文化旅游体育与传媒支出</w:t>
      </w:r>
      <w:r>
        <w:rPr>
          <w:rStyle w:val="20"/>
          <w:rFonts w:hint="eastAsia" w:ascii="仿宋_GB2312" w:hAnsi="仿宋_GB2312" w:eastAsia="仿宋_GB2312" w:cs="仿宋_GB2312"/>
          <w:b w:val="0"/>
          <w:bCs/>
          <w:sz w:val="32"/>
          <w:szCs w:val="32"/>
        </w:rPr>
        <w:t>（款）其他</w:t>
      </w:r>
      <w:r>
        <w:rPr>
          <w:rFonts w:hint="eastAsia" w:ascii="仿宋_GB2312" w:hAnsi="仿宋_GB2312" w:eastAsia="仿宋_GB2312" w:cs="仿宋_GB2312"/>
          <w:bCs/>
          <w:sz w:val="32"/>
          <w:szCs w:val="32"/>
        </w:rPr>
        <w:t>文化旅游体育与传媒支出</w:t>
      </w:r>
      <w:r>
        <w:rPr>
          <w:rStyle w:val="20"/>
          <w:rFonts w:hint="eastAsia" w:ascii="仿宋_GB2312" w:hAnsi="仿宋_GB2312" w:eastAsia="仿宋_GB2312" w:cs="仿宋_GB2312"/>
          <w:b w:val="0"/>
          <w:bCs/>
          <w:sz w:val="32"/>
          <w:szCs w:val="32"/>
        </w:rPr>
        <w:t>（项）：支出决算为100万元，完成预算100%，决算数等于预算数的主要原因是按时完成天府旅游名县的相关工作。</w:t>
      </w:r>
    </w:p>
    <w:p>
      <w:pPr>
        <w:spacing w:line="600" w:lineRule="exact"/>
        <w:ind w:firstLine="640" w:firstLineChars="200"/>
        <w:rPr>
          <w:rFonts w:ascii="仿宋_GB2312" w:hAnsi="仿宋_GB2312" w:eastAsia="仿宋_GB2312" w:cs="仿宋_GB2312"/>
          <w:bCs/>
          <w:sz w:val="32"/>
          <w:szCs w:val="32"/>
        </w:rPr>
      </w:pPr>
      <w:r>
        <w:rPr>
          <w:rStyle w:val="20"/>
          <w:rFonts w:hint="eastAsia" w:ascii="仿宋_GB2312" w:hAnsi="仿宋_GB2312" w:eastAsia="仿宋_GB2312" w:cs="仿宋_GB2312"/>
          <w:b w:val="0"/>
          <w:bCs/>
          <w:sz w:val="32"/>
          <w:szCs w:val="32"/>
        </w:rPr>
        <w:t>2.</w:t>
      </w:r>
      <w:r>
        <w:rPr>
          <w:rFonts w:hint="eastAsia" w:ascii="仿宋_GB2312" w:hAnsi="仿宋_GB2312" w:eastAsia="仿宋_GB2312" w:cs="仿宋_GB2312"/>
          <w:bCs/>
          <w:sz w:val="32"/>
          <w:szCs w:val="32"/>
        </w:rPr>
        <w:t>社会保障和就业支出</w:t>
      </w:r>
      <w:r>
        <w:rPr>
          <w:rStyle w:val="20"/>
          <w:rFonts w:hint="eastAsia" w:ascii="仿宋_GB2312" w:hAnsi="仿宋_GB2312" w:eastAsia="仿宋_GB2312" w:cs="仿宋_GB2312"/>
          <w:b w:val="0"/>
          <w:bCs/>
          <w:sz w:val="32"/>
          <w:szCs w:val="32"/>
        </w:rPr>
        <w:t>（类）行政事业单位养老支出（款）机关事业单位基本养老保险缴费支出（项）：支出决算为54.94万元，完成预算100%，决算数等于预算数的主要原因是按时按量缴纳职工养老保险。</w:t>
      </w:r>
    </w:p>
    <w:p>
      <w:pPr>
        <w:spacing w:line="600" w:lineRule="exact"/>
        <w:ind w:firstLine="640" w:firstLineChars="200"/>
        <w:rPr>
          <w:rFonts w:ascii="仿宋_GB2312" w:hAnsi="仿宋_GB2312" w:eastAsia="仿宋_GB2312" w:cs="仿宋_GB2312"/>
          <w:bCs/>
          <w:sz w:val="32"/>
          <w:szCs w:val="32"/>
        </w:rPr>
      </w:pPr>
      <w:r>
        <w:rPr>
          <w:rStyle w:val="20"/>
          <w:rFonts w:hint="eastAsia" w:ascii="仿宋_GB2312" w:hAnsi="仿宋_GB2312" w:eastAsia="仿宋_GB2312" w:cs="仿宋_GB2312"/>
          <w:b w:val="0"/>
          <w:bCs/>
          <w:sz w:val="32"/>
          <w:szCs w:val="32"/>
        </w:rPr>
        <w:t>3.卫生健康支出（类）行政事业单位医疗（款）行政单位医疗、事业单位医疗（项）：支出决算为27.02万元，完成预算100%，决算数等于预算数的主要原因是按时缴纳职工的保险。</w:t>
      </w:r>
    </w:p>
    <w:p>
      <w:pPr>
        <w:spacing w:line="600" w:lineRule="exact"/>
        <w:ind w:firstLine="640" w:firstLineChars="200"/>
        <w:rPr>
          <w:rFonts w:ascii="仿宋_GB2312" w:hAnsi="仿宋_GB2312" w:eastAsia="仿宋_GB2312" w:cs="仿宋_GB2312"/>
          <w:bCs/>
          <w:sz w:val="32"/>
          <w:szCs w:val="32"/>
        </w:rPr>
      </w:pPr>
      <w:r>
        <w:rPr>
          <w:rStyle w:val="20"/>
          <w:rFonts w:hint="eastAsia" w:ascii="仿宋_GB2312" w:hAnsi="仿宋_GB2312" w:eastAsia="仿宋_GB2312" w:cs="仿宋_GB2312"/>
          <w:b w:val="0"/>
          <w:bCs/>
          <w:sz w:val="32"/>
          <w:szCs w:val="32"/>
        </w:rPr>
        <w:t>4城乡社区支出（类）城乡社区管理事务、城乡社区规划与管理、其他城乡社区公共设施支出、其他城乡社区支出（款）行政运行、一般行政管理事务、机关服务、其他城乡社区管理事务支出、城乡社区规划与管理、其他城乡社区公共设施支出、其他城乡社区支出（项）： 支出决算为4230.49万元，完成预算100%，决算数等于预算数的主要原因是各项工作正常开展。</w:t>
      </w:r>
    </w:p>
    <w:p>
      <w:pPr>
        <w:spacing w:line="600" w:lineRule="exact"/>
        <w:ind w:firstLine="640" w:firstLineChars="200"/>
        <w:rPr>
          <w:rFonts w:ascii="仿宋_GB2312" w:hAnsi="仿宋_GB2312" w:eastAsia="仿宋_GB2312" w:cs="仿宋_GB2312"/>
          <w:bCs/>
          <w:sz w:val="32"/>
          <w:szCs w:val="32"/>
        </w:rPr>
      </w:pPr>
      <w:r>
        <w:rPr>
          <w:rStyle w:val="20"/>
          <w:rFonts w:hint="eastAsia" w:ascii="仿宋_GB2312" w:hAnsi="仿宋_GB2312" w:eastAsia="仿宋_GB2312" w:cs="仿宋_GB2312"/>
          <w:b w:val="0"/>
          <w:bCs/>
          <w:sz w:val="32"/>
          <w:szCs w:val="32"/>
        </w:rPr>
        <w:t>5.社会保障和就业（类）保障性安居工程支出、住房改革支出（款）棚户区改造、农村危房改造、老旧小区改造、住房公积金（项）：支出决算为3461.88万元，完成预算100%，决算数等于预算数的主要原因是完成棚户区改造及老旧小区改造相关项目工作，按时兑付农村危房改造资金，按时缴纳职工的住房公积金。</w:t>
      </w:r>
    </w:p>
    <w:p>
      <w:pPr>
        <w:spacing w:line="600" w:lineRule="exact"/>
        <w:ind w:firstLine="640"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 w:val="0"/>
          <w:bCs/>
          <w:sz w:val="32"/>
          <w:szCs w:val="32"/>
        </w:rPr>
        <w:t>6.</w:t>
      </w:r>
      <w:r>
        <w:rPr>
          <w:rFonts w:hint="eastAsia" w:ascii="仿宋_GB2312" w:hAnsi="仿宋_GB2312" w:eastAsia="仿宋_GB2312" w:cs="仿宋_GB2312"/>
          <w:bCs/>
          <w:sz w:val="32"/>
          <w:szCs w:val="32"/>
        </w:rPr>
        <w:t>节能环保支出</w:t>
      </w:r>
      <w:r>
        <w:rPr>
          <w:rStyle w:val="20"/>
          <w:rFonts w:hint="eastAsia" w:ascii="仿宋_GB2312" w:hAnsi="仿宋_GB2312" w:eastAsia="仿宋_GB2312" w:cs="仿宋_GB2312"/>
          <w:b w:val="0"/>
          <w:bCs/>
          <w:sz w:val="32"/>
          <w:szCs w:val="32"/>
        </w:rPr>
        <w:t>（类）污染防治（款）水体（项）：支出决算为134.99万元，完成预算100%，决算数等于预算数的主要原因是按时按质完成相关工作。</w:t>
      </w:r>
    </w:p>
    <w:p>
      <w:pPr>
        <w:spacing w:line="600" w:lineRule="exact"/>
        <w:ind w:firstLine="640"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 w:val="0"/>
          <w:bCs/>
          <w:sz w:val="32"/>
          <w:szCs w:val="32"/>
        </w:rPr>
        <w:t>7.</w:t>
      </w:r>
      <w:r>
        <w:rPr>
          <w:rFonts w:hint="eastAsia" w:ascii="仿宋_GB2312" w:hAnsi="仿宋_GB2312" w:eastAsia="仿宋_GB2312" w:cs="仿宋_GB2312"/>
          <w:bCs/>
          <w:sz w:val="32"/>
          <w:szCs w:val="32"/>
        </w:rPr>
        <w:t>灾害防治及应急管理支出</w:t>
      </w:r>
      <w:r>
        <w:rPr>
          <w:rStyle w:val="20"/>
          <w:rFonts w:hint="eastAsia" w:ascii="仿宋_GB2312" w:hAnsi="仿宋_GB2312" w:eastAsia="仿宋_GB2312" w:cs="仿宋_GB2312"/>
          <w:b w:val="0"/>
          <w:bCs/>
          <w:sz w:val="32"/>
          <w:szCs w:val="32"/>
        </w:rPr>
        <w:t>（类）自然灾害救治及恢复重建（款）自然灾害救治支出（项）：支出决算为276.05万元，完成预算100%，决算数等于预算数的主要原因是按时按质完成相关工作。</w:t>
      </w:r>
      <w:bookmarkStart w:id="47" w:name="_Toc15396608"/>
      <w:bookmarkStart w:id="48" w:name="_Toc15377214"/>
    </w:p>
    <w:p>
      <w:pPr>
        <w:spacing w:line="600" w:lineRule="exact"/>
        <w:ind w:firstLine="640" w:firstLineChars="200"/>
        <w:rPr>
          <w:rStyle w:val="22"/>
          <w:rFonts w:ascii="黑体" w:hAnsi="黑体" w:eastAsia="黑体"/>
          <w:b w:val="0"/>
          <w:bCs w:val="0"/>
        </w:rPr>
      </w:pPr>
      <w:r>
        <w:rPr>
          <w:rFonts w:hint="eastAsia" w:ascii="黑体" w:eastAsia="黑体"/>
          <w:sz w:val="32"/>
          <w:szCs w:val="32"/>
        </w:rPr>
        <w:t>六、</w:t>
      </w:r>
      <w:r>
        <w:rPr>
          <w:rFonts w:hint="eastAsia" w:ascii="黑体" w:hAnsi="黑体" w:eastAsia="黑体"/>
          <w:sz w:val="32"/>
          <w:szCs w:val="32"/>
        </w:rPr>
        <w:t>一</w:t>
      </w:r>
      <w:r>
        <w:rPr>
          <w:rStyle w:val="22"/>
          <w:rFonts w:hint="eastAsia" w:ascii="黑体" w:hAnsi="黑体" w:eastAsia="黑体"/>
          <w:b w:val="0"/>
          <w:bCs w:val="0"/>
        </w:rPr>
        <w:t>般公共预算财政拨款基本支出决算情况说明</w:t>
      </w:r>
      <w:bookmarkEnd w:id="47"/>
      <w:bookmarkEnd w:id="4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基本支出709.21万元，其中：人员经费648.13万元，主要包括：基本工资、津贴补贴、奖金、伙食补助费、绩效工资、机关事业单位基本养老保险缴费、职业年金缴费、其他社会保障缴费、其他工资福利支出、生活补助、奖励金、住房公积金、其他对个人和家庭的补助支出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61.08万元，主要包括：办公费、印刷费、咨询费、手续费、水费、电费、邮电费、取暖费、物业管理费、差旅费、维修（护）费、租赁费、会议费、培训费、公务接待费、劳务费、委托业务费、工会经费、公务用车运行维护费、其他交通费、其他商品和服务支出、办公设备购置等。</w:t>
      </w:r>
      <w:bookmarkStart w:id="49" w:name="_Toc15377215"/>
      <w:bookmarkStart w:id="50" w:name="_Toc15396609"/>
    </w:p>
    <w:p>
      <w:pPr>
        <w:spacing w:line="600" w:lineRule="exact"/>
        <w:ind w:firstLine="640" w:firstLineChars="200"/>
        <w:rPr>
          <w:rStyle w:val="22"/>
          <w:rFonts w:ascii="黑体" w:hAnsi="黑体" w:eastAsia="黑体"/>
          <w:b w:val="0"/>
          <w:bCs w:val="0"/>
        </w:rPr>
      </w:pPr>
      <w:r>
        <w:rPr>
          <w:rFonts w:hint="eastAsia" w:ascii="黑体" w:eastAsia="黑体"/>
          <w:sz w:val="32"/>
          <w:szCs w:val="32"/>
        </w:rPr>
        <w:t>七、</w:t>
      </w:r>
      <w:r>
        <w:rPr>
          <w:rStyle w:val="22"/>
          <w:rFonts w:hint="eastAsia" w:ascii="黑体" w:hAnsi="黑体" w:eastAsia="黑体"/>
          <w:b w:val="0"/>
          <w:bCs w:val="0"/>
        </w:rPr>
        <w:t>财政拨款“三公”经费支出决算情况说明</w:t>
      </w:r>
      <w:bookmarkEnd w:id="49"/>
      <w:bookmarkEnd w:id="50"/>
      <w:bookmarkStart w:id="51" w:name="_Toc15377216"/>
    </w:p>
    <w:p>
      <w:pPr>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（一）“三公”经费财政拨款支出决算总体情况说明</w:t>
      </w:r>
      <w:bookmarkEnd w:id="5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2022年“三公”经费财政拨款支出决算为5.56万元，完成预算100%，较上年增加0.79万元，增长14%。</w:t>
      </w:r>
      <w:bookmarkStart w:id="52" w:name="_Toc15377217"/>
    </w:p>
    <w:p>
      <w:pPr>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（二）“三公”经费财政拨款支出决算具体情况说明</w:t>
      </w:r>
      <w:bookmarkEnd w:id="52"/>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2022年“三公”经费财政拨款支出决算中，因公出国（境）费支出决算0万元，占0%；公务用车购置及运行维护费支出决算0万元，占0%；公务接待费支出决算5.56万元，占100%。具体情况如下：</w:t>
      </w:r>
    </w:p>
    <w:p>
      <w:pPr>
        <w:rPr>
          <w:rFonts w:ascii="仿宋" w:hAnsi="仿宋" w:eastAsia="仿宋"/>
          <w:sz w:val="32"/>
          <w:szCs w:val="32"/>
        </w:rPr>
      </w:pPr>
      <w:r>
        <w:rPr>
          <w:rFonts w:hint="eastAsia" w:ascii="仿宋" w:hAnsi="仿宋" w:eastAsia="仿宋"/>
          <w:sz w:val="32"/>
          <w:szCs w:val="32"/>
        </w:rPr>
        <w:drawing>
          <wp:inline distT="0" distB="0" distL="114300" distR="114300">
            <wp:extent cx="5702300" cy="3480435"/>
            <wp:effectExtent l="0" t="0" r="12700" b="5715"/>
            <wp:docPr id="9" name="图片 9"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7"/>
                    <pic:cNvPicPr>
                      <a:picLocks noChangeAspect="true"/>
                    </pic:cNvPicPr>
                  </pic:nvPicPr>
                  <pic:blipFill>
                    <a:blip r:embed="rId17"/>
                    <a:stretch>
                      <a:fillRect/>
                    </a:stretch>
                  </pic:blipFill>
                  <pic:spPr>
                    <a:xfrm>
                      <a:off x="0" y="0"/>
                      <a:ext cx="5702300" cy="3480435"/>
                    </a:xfrm>
                    <a:prstGeom prst="rect">
                      <a:avLst/>
                    </a:prstGeom>
                  </pic:spPr>
                </pic:pic>
              </a:graphicData>
            </a:graphic>
          </wp:inline>
        </w:drawing>
      </w:r>
    </w:p>
    <w:p>
      <w:pPr>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（图7：“三公”经费财政拨款支出结构）（饼状图）</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1.因公出国（境）经费支出0万元，</w:t>
      </w:r>
      <w:r>
        <w:rPr>
          <w:rStyle w:val="20"/>
          <w:rFonts w:hint="eastAsia" w:ascii="仿宋_GB2312" w:hAnsi="仿宋_GB2312" w:eastAsia="仿宋_GB2312" w:cs="仿宋_GB2312"/>
          <w:b w:val="0"/>
          <w:bCs/>
          <w:sz w:val="32"/>
          <w:szCs w:val="32"/>
        </w:rPr>
        <w:t>完成预算0%。</w:t>
      </w:r>
      <w:r>
        <w:rPr>
          <w:rFonts w:hint="eastAsia" w:ascii="仿宋_GB2312" w:hAnsi="仿宋_GB2312" w:eastAsia="仿宋_GB2312" w:cs="仿宋_GB2312"/>
          <w:bCs/>
          <w:sz w:val="32"/>
          <w:szCs w:val="32"/>
        </w:rPr>
        <w:t>全年安排因公出国（境）团组0次，出国（境）0人。支出0万元。</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2.公务用车购置及运行维护费支出0万元，</w:t>
      </w:r>
      <w:r>
        <w:rPr>
          <w:rStyle w:val="20"/>
          <w:rFonts w:hint="eastAsia" w:ascii="仿宋_GB2312" w:hAnsi="仿宋_GB2312" w:eastAsia="仿宋_GB2312" w:cs="仿宋_GB2312"/>
          <w:b w:val="0"/>
          <w:bCs/>
          <w:sz w:val="32"/>
          <w:szCs w:val="32"/>
        </w:rPr>
        <w:t>完成预算0%。</w:t>
      </w:r>
      <w:r>
        <w:rPr>
          <w:rFonts w:hint="eastAsia" w:ascii="仿宋_GB2312" w:hAnsi="仿宋_GB2312" w:eastAsia="仿宋_GB2312" w:cs="仿宋_GB2312"/>
          <w:bCs/>
          <w:sz w:val="32"/>
          <w:szCs w:val="32"/>
        </w:rPr>
        <w:t>公务用车购置及运行维护费支出0万元</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中：公务用车购置支出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公务用车运行维护费支出0万元。</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3.公务接待费支出5.56万元，</w:t>
      </w:r>
      <w:r>
        <w:rPr>
          <w:rStyle w:val="20"/>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Cs/>
          <w:sz w:val="32"/>
          <w:szCs w:val="32"/>
        </w:rPr>
        <w:t>公务接待费支出决算比2021年增加0.79万元，增长1.4%。主要原因是公务接待增加。其中：</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内公务接待支出5.56万元，主要用于（执行公务、开展业务活动开支的交通费、住宿费、用餐费等）。国内公务接待60批次，720人次（不包括陪同人员），共计支出5.56万元，具体内容包括：业务主管部门检查、调研，其他市县住建系统交流学习等开支的接待费4.77万元。</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外事接待支出0万元。</w:t>
      </w:r>
      <w:bookmarkStart w:id="53" w:name="_Toc15396610"/>
      <w:bookmarkStart w:id="54" w:name="_Toc15377218"/>
    </w:p>
    <w:p>
      <w:pPr>
        <w:spacing w:line="600" w:lineRule="exact"/>
        <w:ind w:firstLine="640" w:firstLineChars="200"/>
        <w:rPr>
          <w:rStyle w:val="22"/>
          <w:rFonts w:ascii="黑体" w:hAnsi="黑体" w:eastAsia="黑体"/>
          <w:b w:val="0"/>
        </w:rPr>
      </w:pPr>
      <w:bookmarkStart w:id="55" w:name="_Toc24251"/>
      <w:r>
        <w:rPr>
          <w:rStyle w:val="22"/>
          <w:rFonts w:hint="eastAsia" w:ascii="黑体" w:hAnsi="黑体" w:eastAsia="黑体"/>
          <w:b w:val="0"/>
        </w:rPr>
        <w:t>八、政府性基金预算支出决算情况说明</w:t>
      </w:r>
      <w:bookmarkEnd w:id="53"/>
      <w:bookmarkEnd w:id="54"/>
    </w:p>
    <w:bookmarkEnd w:id="55"/>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2022年政府性基金预算财政拨款支出10810.05万元。</w:t>
      </w:r>
      <w:bookmarkStart w:id="56" w:name="_Toc15396611"/>
      <w:bookmarkStart w:id="57" w:name="_Toc15377219"/>
    </w:p>
    <w:p>
      <w:pPr>
        <w:spacing w:line="600" w:lineRule="exact"/>
        <w:ind w:firstLine="640"/>
        <w:rPr>
          <w:rStyle w:val="22"/>
          <w:rFonts w:ascii="黑体" w:hAnsi="黑体" w:eastAsia="黑体"/>
          <w:b w:val="0"/>
        </w:rPr>
      </w:pPr>
      <w:bookmarkStart w:id="58" w:name="_Toc17460"/>
      <w:r>
        <w:rPr>
          <w:rStyle w:val="22"/>
          <w:rFonts w:hint="eastAsia" w:ascii="黑体" w:hAnsi="黑体" w:eastAsia="黑体"/>
          <w:b w:val="0"/>
        </w:rPr>
        <w:t>九、国有资本经营预算支出决算情况说明</w:t>
      </w:r>
      <w:bookmarkEnd w:id="56"/>
      <w:bookmarkEnd w:id="57"/>
    </w:p>
    <w:bookmarkEnd w:id="58"/>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22年国有资本经营预算财政拨款支出万0元。</w:t>
      </w:r>
    </w:p>
    <w:p>
      <w:pPr>
        <w:spacing w:line="600" w:lineRule="exact"/>
        <w:ind w:firstLine="640" w:firstLineChars="200"/>
        <w:outlineLvl w:val="1"/>
        <w:rPr>
          <w:rFonts w:eastAsia="黑体"/>
        </w:rPr>
      </w:pPr>
      <w:bookmarkStart w:id="59" w:name="_Toc22624"/>
      <w:bookmarkStart w:id="60" w:name="_Toc15396612"/>
      <w:bookmarkStart w:id="61" w:name="_Toc15377221"/>
      <w:r>
        <w:rPr>
          <w:rStyle w:val="22"/>
          <w:rFonts w:hint="eastAsia" w:ascii="黑体" w:hAnsi="黑体" w:eastAsia="黑体"/>
          <w:b w:val="0"/>
        </w:rPr>
        <w:t>十、其他重要事项的情况说明</w:t>
      </w:r>
      <w:bookmarkEnd w:id="59"/>
      <w:bookmarkEnd w:id="60"/>
      <w:bookmarkEnd w:id="61"/>
    </w:p>
    <w:p>
      <w:pPr>
        <w:spacing w:line="600" w:lineRule="exact"/>
        <w:ind w:firstLine="640"/>
        <w:rPr>
          <w:rFonts w:ascii="仿宋_GB2312" w:hAnsi="仿宋_GB2312" w:eastAsia="仿宋_GB2312" w:cs="仿宋_GB2312"/>
          <w:bCs/>
          <w:sz w:val="32"/>
          <w:szCs w:val="32"/>
        </w:rPr>
      </w:pPr>
      <w:bookmarkStart w:id="62" w:name="_Toc15377222"/>
      <w:r>
        <w:rPr>
          <w:rFonts w:hint="eastAsia" w:ascii="楷体_GB2312" w:hAnsi="楷体_GB2312" w:eastAsia="楷体_GB2312" w:cs="楷体_GB2312"/>
          <w:b/>
          <w:sz w:val="32"/>
          <w:szCs w:val="32"/>
        </w:rPr>
        <w:t>（一）机关运行经费支出情况</w:t>
      </w:r>
      <w:bookmarkEnd w:id="62"/>
      <w:r>
        <w:rPr>
          <w:rFonts w:hint="eastAsia" w:ascii="楷体_GB2312" w:hAnsi="楷体_GB2312" w:eastAsia="楷体_GB2312" w:cs="楷体_GB2312"/>
          <w:b/>
          <w:sz w:val="32"/>
          <w:szCs w:val="32"/>
        </w:rPr>
        <w:t>。</w:t>
      </w:r>
      <w:r>
        <w:rPr>
          <w:rFonts w:hint="eastAsia" w:ascii="仿宋_GB2312" w:hAnsi="仿宋_GB2312" w:eastAsia="仿宋_GB2312" w:cs="仿宋_GB2312"/>
          <w:bCs/>
          <w:sz w:val="32"/>
          <w:szCs w:val="32"/>
        </w:rPr>
        <w:t>2022年，区住建局机关运行经费支出61.08万元，比2021年增加4.35万元，增长8%，主要原因是人员增加。</w:t>
      </w:r>
    </w:p>
    <w:p>
      <w:pPr>
        <w:spacing w:line="600" w:lineRule="exact"/>
        <w:ind w:firstLine="640"/>
        <w:rPr>
          <w:rFonts w:ascii="仿宋_GB2312" w:hAnsi="仿宋_GB2312" w:eastAsia="仿宋_GB2312" w:cs="仿宋_GB2312"/>
          <w:bCs/>
          <w:sz w:val="32"/>
          <w:szCs w:val="32"/>
        </w:rPr>
      </w:pPr>
      <w:bookmarkStart w:id="63" w:name="_Toc15377223"/>
      <w:r>
        <w:rPr>
          <w:rFonts w:hint="eastAsia" w:ascii="楷体_GB2312" w:hAnsi="楷体_GB2312" w:eastAsia="楷体_GB2312" w:cs="楷体_GB2312"/>
          <w:b/>
          <w:sz w:val="32"/>
          <w:szCs w:val="32"/>
        </w:rPr>
        <w:t>（二）政府采购支出情况</w:t>
      </w:r>
      <w:bookmarkEnd w:id="63"/>
      <w:r>
        <w:rPr>
          <w:rFonts w:hint="eastAsia" w:ascii="楷体_GB2312" w:hAnsi="楷体_GB2312" w:eastAsia="楷体_GB2312" w:cs="楷体_GB2312"/>
          <w:b/>
          <w:sz w:val="32"/>
          <w:szCs w:val="32"/>
        </w:rPr>
        <w:t>。</w:t>
      </w:r>
      <w:r>
        <w:rPr>
          <w:rFonts w:hint="eastAsia" w:ascii="仿宋_GB2312" w:hAnsi="仿宋_GB2312" w:eastAsia="仿宋_GB2312" w:cs="仿宋_GB2312"/>
          <w:bCs/>
          <w:sz w:val="32"/>
          <w:szCs w:val="32"/>
        </w:rPr>
        <w:t>2022年，区住建局政府采购支出总额0万元，其中：政府采购货物支出0万元、政府采购工程支出0万元、政府采购服务支出0万元。</w:t>
      </w:r>
    </w:p>
    <w:p>
      <w:pPr>
        <w:spacing w:line="600" w:lineRule="exact"/>
        <w:ind w:firstLine="640"/>
        <w:rPr>
          <w:rFonts w:ascii="仿宋_GB2312" w:hAnsi="仿宋_GB2312" w:eastAsia="仿宋_GB2312" w:cs="仿宋_GB2312"/>
          <w:bCs/>
          <w:sz w:val="32"/>
          <w:szCs w:val="32"/>
        </w:rPr>
      </w:pPr>
      <w:bookmarkStart w:id="64" w:name="_Toc15377224"/>
      <w:r>
        <w:rPr>
          <w:rFonts w:hint="eastAsia" w:ascii="楷体_GB2312" w:hAnsi="楷体_GB2312" w:eastAsia="楷体_GB2312" w:cs="楷体_GB2312"/>
          <w:b/>
          <w:sz w:val="32"/>
          <w:szCs w:val="32"/>
        </w:rPr>
        <w:t>（三）国有资产占有使用情况</w:t>
      </w:r>
      <w:bookmarkEnd w:id="64"/>
      <w:r>
        <w:rPr>
          <w:rFonts w:hint="eastAsia" w:ascii="楷体_GB2312" w:hAnsi="楷体_GB2312" w:eastAsia="楷体_GB2312" w:cs="楷体_GB2312"/>
          <w:b/>
          <w:sz w:val="32"/>
          <w:szCs w:val="32"/>
        </w:rPr>
        <w:t>。</w:t>
      </w:r>
      <w:r>
        <w:rPr>
          <w:rFonts w:hint="eastAsia" w:ascii="仿宋_GB2312" w:hAnsi="仿宋_GB2312" w:eastAsia="仿宋_GB2312" w:cs="仿宋_GB2312"/>
          <w:bCs/>
          <w:sz w:val="32"/>
          <w:szCs w:val="32"/>
        </w:rPr>
        <w:t>截至2022年12月31日，区住建局共有车辆1辆，其中：主要领导干部用车0辆、机要通信用车0辆、应急保障用车0辆、其他用车1辆，其他用车主要是用于路灯维修车辆，园林洒水。单价100万元以上专用设备0台（套）。</w:t>
      </w:r>
    </w:p>
    <w:p>
      <w:pPr>
        <w:spacing w:line="600" w:lineRule="exact"/>
        <w:ind w:firstLine="640"/>
        <w:rPr>
          <w:rFonts w:ascii="仿宋_GB2312" w:hAnsi="仿宋_GB2312" w:eastAsia="仿宋_GB2312" w:cs="仿宋_GB2312"/>
          <w:bCs/>
          <w:sz w:val="32"/>
          <w:szCs w:val="32"/>
        </w:rPr>
      </w:pPr>
      <w:r>
        <w:rPr>
          <w:rFonts w:hint="eastAsia" w:ascii="楷体_GB2312" w:hAnsi="楷体_GB2312" w:eastAsia="楷体_GB2312" w:cs="楷体_GB2312"/>
          <w:b/>
          <w:sz w:val="32"/>
          <w:szCs w:val="32"/>
        </w:rPr>
        <w:t>（四）预算绩效管理情况。</w:t>
      </w:r>
      <w:r>
        <w:rPr>
          <w:rFonts w:hint="eastAsia" w:ascii="仿宋_GB2312" w:hAnsi="仿宋_GB2312" w:eastAsia="仿宋_GB2312" w:cs="仿宋_GB2312"/>
          <w:bCs/>
          <w:sz w:val="32"/>
          <w:szCs w:val="32"/>
        </w:rPr>
        <w:t>根据预算绩效管理要求，本部门在2022年度预算编制阶段，组织对农村危房改造项目、老旧小区改造项目、燃气管道改造项目、保障性安居工程项目等29个项目开展了预算事前绩效评估，对29个项目编制了绩效目标，预算执行过程中，对29个项目开展绩效监控。</w:t>
      </w:r>
    </w:p>
    <w:p>
      <w:pPr>
        <w:spacing w:line="600" w:lineRule="exact"/>
        <w:ind w:firstLine="640"/>
        <w:rPr>
          <w:rFonts w:ascii="仿宋_GB2312" w:eastAsia="仿宋_GB2312"/>
          <w:b/>
          <w:sz w:val="32"/>
          <w:szCs w:val="32"/>
        </w:rPr>
      </w:pPr>
      <w:r>
        <w:rPr>
          <w:rFonts w:hint="eastAsia" w:ascii="仿宋_GB2312" w:hAnsi="仿宋_GB2312" w:eastAsia="仿宋_GB2312" w:cs="仿宋_GB2312"/>
          <w:bCs/>
          <w:sz w:val="32"/>
          <w:szCs w:val="32"/>
        </w:rPr>
        <w:t>组织对2022年度一般公共预算、政府性基金预算、债券资金等全面开展绩效自评，形成住建局部门整体（含部门预算项目）绩效自评报告、天府旅游名县、云雾山镇排水管网改造等专项预算项目绩效自评报告，其中，住建局部门整体（含部门预算项目）绩效自评得分为98分，天府旅游名县专项预算项目绩效自评得分为99分；朝天区云雾山镇排水管网改造修复专项预算项目绩效自评得分99分，绩效自评报告详见附件。</w:t>
      </w:r>
      <w:r>
        <w:rPr>
          <w:rFonts w:ascii="仿宋_GB2312" w:eastAsia="仿宋_GB2312"/>
          <w:b/>
          <w:sz w:val="32"/>
          <w:szCs w:val="32"/>
        </w:rPr>
        <w:br w:type="page"/>
      </w:r>
    </w:p>
    <w:p>
      <w:pPr>
        <w:spacing w:line="600" w:lineRule="exact"/>
        <w:jc w:val="center"/>
        <w:outlineLvl w:val="0"/>
        <w:rPr>
          <w:rStyle w:val="23"/>
          <w:rFonts w:ascii="方正小标宋简体" w:hAnsi="方正小标宋简体" w:eastAsia="方正小标宋简体" w:cs="方正小标宋简体"/>
          <w:b w:val="0"/>
        </w:rPr>
      </w:pPr>
      <w:bookmarkStart w:id="65" w:name="_Toc7108"/>
      <w:bookmarkStart w:id="66" w:name="_Toc15377225"/>
      <w:bookmarkStart w:id="67" w:name="_Toc15396613"/>
      <w:r>
        <w:rPr>
          <w:rFonts w:hint="eastAsia" w:ascii="方正小标宋简体" w:hAnsi="方正小标宋简体" w:eastAsia="方正小标宋简体" w:cs="方正小标宋简体"/>
          <w:sz w:val="44"/>
          <w:szCs w:val="44"/>
        </w:rPr>
        <w:t>第三部分名</w:t>
      </w:r>
      <w:r>
        <w:rPr>
          <w:rStyle w:val="23"/>
          <w:rFonts w:hint="eastAsia" w:ascii="方正小标宋简体" w:hAnsi="方正小标宋简体" w:eastAsia="方正小标宋简体" w:cs="方正小标宋简体"/>
          <w:b w:val="0"/>
        </w:rPr>
        <w:t>词解释</w:t>
      </w:r>
      <w:bookmarkEnd w:id="65"/>
      <w:bookmarkEnd w:id="66"/>
      <w:bookmarkEnd w:id="67"/>
    </w:p>
    <w:p>
      <w:pPr>
        <w:spacing w:line="600" w:lineRule="exact"/>
        <w:jc w:val="left"/>
        <w:rPr>
          <w:rFonts w:ascii="宋体"/>
          <w:b/>
          <w:sz w:val="44"/>
          <w:szCs w:val="44"/>
        </w:rPr>
      </w:pPr>
    </w:p>
    <w:p>
      <w:pPr>
        <w:pStyle w:val="32"/>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pStyle w:val="32"/>
        <w:spacing w:line="60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sz w:val="32"/>
          <w:szCs w:val="32"/>
        </w:rPr>
        <w:t>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年初结转和结余：指以前年度尚未完成、结转到本年按有关规定继续使用的资金。</w:t>
      </w:r>
    </w:p>
    <w:p>
      <w:pPr>
        <w:pStyle w:val="32"/>
        <w:spacing w:line="60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sz w:val="32"/>
          <w:szCs w:val="32"/>
        </w:rPr>
        <w:t>3</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sz w:val="32"/>
          <w:szCs w:val="32"/>
        </w:rPr>
        <w:t>社会保障和就业（类）</w:t>
      </w:r>
      <w:r>
        <w:rPr>
          <w:rFonts w:ascii="仿宋_GB2312" w:eastAsia="仿宋_GB2312"/>
          <w:sz w:val="32"/>
          <w:szCs w:val="32"/>
        </w:rPr>
        <w:t>05</w:t>
      </w:r>
      <w:r>
        <w:rPr>
          <w:rFonts w:hint="eastAsia" w:ascii="仿宋_GB2312" w:eastAsia="仿宋_GB2312"/>
          <w:sz w:val="32"/>
          <w:szCs w:val="32"/>
        </w:rPr>
        <w:t>（款）</w:t>
      </w:r>
      <w:r>
        <w:rPr>
          <w:rFonts w:ascii="仿宋_GB2312" w:eastAsia="仿宋_GB2312"/>
          <w:sz w:val="32"/>
          <w:szCs w:val="32"/>
        </w:rPr>
        <w:t>05</w:t>
      </w:r>
      <w:r>
        <w:rPr>
          <w:rFonts w:hint="eastAsia" w:ascii="仿宋_GB2312" w:eastAsia="仿宋_GB2312"/>
          <w:sz w:val="32"/>
          <w:szCs w:val="32"/>
        </w:rPr>
        <w:t>（项）：机关事业单位基本养老保险缴费支出</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sz w:val="32"/>
          <w:szCs w:val="32"/>
        </w:rPr>
        <w:t>社会保障和就业（类）</w:t>
      </w:r>
      <w:r>
        <w:rPr>
          <w:rFonts w:ascii="仿宋_GB2312" w:eastAsia="仿宋_GB2312"/>
          <w:sz w:val="32"/>
          <w:szCs w:val="32"/>
        </w:rPr>
        <w:t>05</w:t>
      </w:r>
      <w:r>
        <w:rPr>
          <w:rFonts w:hint="eastAsia" w:ascii="仿宋_GB2312" w:eastAsia="仿宋_GB2312"/>
          <w:sz w:val="32"/>
          <w:szCs w:val="32"/>
        </w:rPr>
        <w:t>（款）</w:t>
      </w:r>
      <w:r>
        <w:rPr>
          <w:rFonts w:ascii="仿宋_GB2312" w:eastAsia="仿宋_GB2312"/>
          <w:sz w:val="32"/>
          <w:szCs w:val="32"/>
        </w:rPr>
        <w:t>06</w:t>
      </w:r>
      <w:r>
        <w:rPr>
          <w:rFonts w:hint="eastAsia" w:ascii="仿宋_GB2312" w:eastAsia="仿宋_GB2312"/>
          <w:sz w:val="32"/>
          <w:szCs w:val="32"/>
        </w:rPr>
        <w:t>（项）：机关事业单位职业年金缴费支出</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卫生健康支出（类）11（款）01（项）：指行政单位医疗支出。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节能环保支出（类）99（款）01（项）：指其他节能环保支出。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城乡社区支出（类）01（款）01（项）：指行政运行支出。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城乡社区支出（类）01（款）02（项）：指一般行政管理事务支出。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城乡社区支出（类）01（款）03（项）：指机关服务支出。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城乡社区支出（类）03（款）03（项）：指小城镇基础建设。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城乡社区支出（类）03（款）99（项）：指其他城乡社区公共设施支出。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城乡社区支出（类）08（款）10（项）：指棚户区改造支出。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城乡社区支出（类）13（款）02（项）：指城市环境卫生。</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城乡社区支出（类）14（款）01（项）：指污水处理设施建设和运营。</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城乡社区支出（类）16（款）99（项）：指其他棚户区改造专项债券收入安排的支出。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城乡社区支出（类）99（款）01（项）：指城乡社区支出。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住房保障支出（类）01（款）05（项）：指农村危房改造支出。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住房保障支出（类）01（款）08（项）：指老旧小区改造支出。</w:t>
      </w:r>
    </w:p>
    <w:p>
      <w:pPr>
        <w:pStyle w:val="41"/>
        <w:spacing w:line="600" w:lineRule="exact"/>
        <w:ind w:left="0" w:leftChars="0" w:firstLine="640" w:firstLineChars="200"/>
        <w:rPr>
          <w:rFonts w:ascii="仿宋_GB2312"/>
          <w:color w:val="000000"/>
        </w:rPr>
      </w:pPr>
      <w:r>
        <w:rPr>
          <w:rFonts w:hint="eastAsia" w:ascii="仿宋_GB2312"/>
          <w:color w:val="000000"/>
        </w:rPr>
        <w:t>20</w:t>
      </w:r>
      <w:r>
        <w:rPr>
          <w:rFonts w:ascii="仿宋_GB2312"/>
          <w:color w:val="000000"/>
        </w:rPr>
        <w:t>.</w:t>
      </w:r>
      <w:r>
        <w:rPr>
          <w:rFonts w:hint="eastAsia" w:ascii="仿宋_GB2312"/>
          <w:color w:val="000000"/>
        </w:rPr>
        <w:t>住房保障支出（类）02（款）01（项）：指住房公积金支出。</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灾害防治及应急管理支出（类）07（款）01（项）：指中央自然灾害生活补助支出。</w:t>
      </w:r>
    </w:p>
    <w:p>
      <w:pPr>
        <w:spacing w:line="600" w:lineRule="exact"/>
        <w:ind w:firstLine="640" w:firstLineChars="200"/>
        <w:rPr>
          <w:rFonts w:ascii="仿宋" w:hAnsi="仿宋" w:eastAsia="仿宋"/>
          <w:b/>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其他支出（类）04（款）02（项）：指其他地方自行试点项目收益专项债券收入安排的支出。</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3</w:t>
      </w:r>
      <w:r>
        <w:rPr>
          <w:rFonts w:hint="eastAsia" w:ascii="仿宋_GB2312" w:hAnsi="宋体" w:eastAsia="仿宋_GB2312"/>
          <w:sz w:val="32"/>
          <w:szCs w:val="32"/>
          <w:lang w:val="zh-CN"/>
        </w:rPr>
        <w:t>．</w:t>
      </w:r>
      <w:r>
        <w:rPr>
          <w:rFonts w:hint="eastAsia" w:ascii="仿宋_GB2312" w:eastAsia="仿宋_GB2312"/>
          <w:sz w:val="32"/>
          <w:szCs w:val="32"/>
        </w:rPr>
        <w:t>基本支出：指为保障机构正常运转、完成日常工作任务而发生的人员支出和公用支出。</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4</w:t>
      </w:r>
      <w:r>
        <w:rPr>
          <w:rFonts w:hint="eastAsia" w:ascii="仿宋_GB2312" w:hAnsi="宋体" w:eastAsia="仿宋_GB2312"/>
          <w:sz w:val="32"/>
          <w:szCs w:val="32"/>
          <w:lang w:val="zh-CN"/>
        </w:rPr>
        <w:t>．</w:t>
      </w:r>
      <w:r>
        <w:rPr>
          <w:rFonts w:hint="eastAsia" w:ascii="仿宋_GB2312" w:eastAsia="仿宋_GB2312"/>
          <w:sz w:val="32"/>
          <w:szCs w:val="32"/>
        </w:rPr>
        <w:t>项目支出：指在基本支出之外为完成特定行政任务和事业发展目标所发生的支出。</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5</w:t>
      </w:r>
      <w:r>
        <w:rPr>
          <w:rFonts w:hint="eastAsia" w:ascii="仿宋_GB2312" w:hAnsi="宋体" w:eastAsia="仿宋_GB2312"/>
          <w:sz w:val="32"/>
          <w:szCs w:val="32"/>
          <w:lang w:val="zh-CN"/>
        </w:rPr>
        <w:t>．</w:t>
      </w:r>
      <w:r>
        <w:rPr>
          <w:rFonts w:hint="eastAsia" w:ascii="仿宋_GB2312" w:eastAsia="仿宋_GB2312"/>
          <w:sz w:val="32"/>
          <w:szCs w:val="32"/>
        </w:rPr>
        <w:t>经营支出：指事业单位在专业业务活动及其辅助活动之外开展非独立核算经营活动发生的支出。</w:t>
      </w:r>
    </w:p>
    <w:p>
      <w:pPr>
        <w:pStyle w:val="32"/>
        <w:spacing w:line="60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sz w:val="32"/>
          <w:szCs w:val="32"/>
        </w:rPr>
        <w:t>26</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60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sz w:val="32"/>
          <w:szCs w:val="32"/>
        </w:rPr>
        <w:t>27</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方正小标宋简体" w:hAnsi="方正小标宋简体" w:eastAsia="方正小标宋简体" w:cs="方正小标宋简体"/>
          <w:sz w:val="44"/>
          <w:szCs w:val="44"/>
        </w:rPr>
      </w:pPr>
      <w:bookmarkStart w:id="68" w:name="_Toc10447"/>
      <w:bookmarkStart w:id="69" w:name="_Toc15377226"/>
      <w:r>
        <w:rPr>
          <w:rFonts w:hint="eastAsia" w:ascii="方正小标宋简体" w:hAnsi="方正小标宋简体" w:eastAsia="方正小标宋简体" w:cs="方正小标宋简体"/>
          <w:sz w:val="44"/>
          <w:szCs w:val="44"/>
        </w:rPr>
        <w:t>第四部分 附件</w:t>
      </w:r>
      <w:bookmarkEnd w:id="68"/>
    </w:p>
    <w:p>
      <w:pPr>
        <w:spacing w:line="600" w:lineRule="exact"/>
        <w:jc w:val="left"/>
        <w:outlineLvl w:val="9"/>
        <w:rPr>
          <w:rFonts w:ascii="黑体" w:hAnsi="黑体" w:eastAsia="黑体" w:cs="黑体"/>
          <w:sz w:val="32"/>
          <w:szCs w:val="32"/>
        </w:rPr>
      </w:pPr>
    </w:p>
    <w:p>
      <w:pPr>
        <w:spacing w:line="600" w:lineRule="exact"/>
        <w:jc w:val="left"/>
        <w:outlineLvl w:val="0"/>
        <w:rPr>
          <w:rFonts w:ascii="方正小标宋简体" w:hAnsi="方正小标宋简体" w:eastAsia="黑体" w:cs="方正小标宋简体"/>
          <w:sz w:val="44"/>
          <w:szCs w:val="44"/>
        </w:rPr>
      </w:pPr>
      <w:bookmarkStart w:id="70" w:name="_Toc21608"/>
      <w:bookmarkStart w:id="71" w:name="_Toc14142"/>
      <w:r>
        <w:rPr>
          <w:rFonts w:hint="eastAsia" w:ascii="黑体" w:hAnsi="黑体" w:eastAsia="黑体" w:cs="黑体"/>
          <w:sz w:val="32"/>
          <w:szCs w:val="32"/>
        </w:rPr>
        <w:t>附件1</w:t>
      </w:r>
      <w:bookmarkEnd w:id="70"/>
      <w:bookmarkEnd w:id="71"/>
    </w:p>
    <w:p>
      <w:pPr>
        <w:widowControl/>
        <w:spacing w:line="600" w:lineRule="exact"/>
        <w:contextualSpacing/>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广元市朝天区住房和城乡建设局部门</w:t>
      </w:r>
    </w:p>
    <w:p>
      <w:pPr>
        <w:widowControl/>
        <w:spacing w:line="600" w:lineRule="exact"/>
        <w:contextualSpacing/>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整体支出绩效评价报告</w:t>
      </w:r>
    </w:p>
    <w:p>
      <w:pPr>
        <w:widowControl/>
        <w:spacing w:line="600" w:lineRule="exact"/>
        <w:contextualSpacing/>
        <w:rPr>
          <w:rFonts w:ascii="仿宋_GB2312" w:eastAsia="仿宋_GB2312"/>
          <w:sz w:val="32"/>
          <w:szCs w:val="32"/>
          <w:shd w:val="clear" w:color="auto" w:fill="FFFFFF"/>
        </w:rPr>
      </w:pPr>
    </w:p>
    <w:p>
      <w:pPr>
        <w:widowControl/>
        <w:spacing w:line="600" w:lineRule="exact"/>
        <w:ind w:firstLine="608" w:firstLineChars="200"/>
        <w:contextualSpacing/>
        <w:jc w:val="left"/>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一、部门（单位）概况</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（一）机构组成：广元市朝天区住房和城乡建设局属财政一级预算单位，下属二级预算单位0个，其中参照公务员法管理的事业单位0个，其他事业单位3个。</w:t>
      </w:r>
    </w:p>
    <w:p>
      <w:pPr>
        <w:spacing w:line="600" w:lineRule="exact"/>
        <w:ind w:firstLine="608" w:firstLineChars="200"/>
        <w:rPr>
          <w:rFonts w:ascii="仿宋_GB2312" w:hAnsi="仿宋_GB2312" w:eastAsia="仿宋_GB2312" w:cs="仿宋_GB2312"/>
          <w:sz w:val="32"/>
          <w:szCs w:val="32"/>
        </w:rPr>
      </w:pPr>
      <w:r>
        <w:rPr>
          <w:rFonts w:hint="eastAsia" w:ascii="楷体_GB2312" w:hAnsi="楷体_GB2312" w:eastAsia="楷体_GB2312" w:cs="楷体_GB2312"/>
          <w:bCs/>
          <w:spacing w:val="-6"/>
          <w:w w:val="99"/>
          <w:sz w:val="32"/>
          <w:szCs w:val="32"/>
        </w:rPr>
        <w:t>（二）</w:t>
      </w:r>
      <w:r>
        <w:rPr>
          <w:rFonts w:hint="eastAsia" w:ascii="仿宋_GB2312" w:hAnsi="仿宋_GB2312" w:eastAsia="仿宋_GB2312" w:cs="仿宋_GB2312"/>
          <w:sz w:val="32"/>
          <w:szCs w:val="32"/>
          <w:lang w:val="zh-CN"/>
        </w:rPr>
        <w:t>按照“三定”方案明确，我单位的</w:t>
      </w:r>
      <w:r>
        <w:rPr>
          <w:rFonts w:hint="eastAsia" w:ascii="仿宋_GB2312" w:hAnsi="仿宋_GB2312" w:eastAsia="仿宋_GB2312" w:cs="仿宋_GB2312"/>
          <w:sz w:val="32"/>
          <w:szCs w:val="32"/>
        </w:rPr>
        <w:t>主要职能职责如下：</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贯彻执行国家住房和城乡建设的法律、法规和方针、政策。研究拟订全区住房保障、工程建设、城市建设、村镇建设、建筑业、房屋装饰装修业、住宅与房地产业、勘察设计咨询业、市政公用事业和城乡园林绿化、城市景观建设的政策措施，负责本系统、本部门依法行政工作，落实行政执法责任制。</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负责制定住房和城乡建设行业人才培养和教育发展规划并组织实施，指导住房和城乡建设行业科技人才队伍建设、专业技术职务评审和执业资格管理工作。组织指导行业职工培训、技能鉴定、专业技术人员的继续教育和行业执业资格人员管理。指导监督住房和城乡建设行业协会、学会工作，开展住房和城乡建设方面的对外交流与合作。</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）负责拟订有关行政审批规程细则。负责本部门政务服务窗口管理工作。接受委托承办行政审批事项。指导、协调本部门的行政审批和相关服务工作。承担区政府公布的有关行政审批事项。</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）负责城市道路、桥梁、燃气、城市防洪设施、城市排水设施、城市照明设施的建设和运行维护管理工作。指导城市基础设施建设、公共交通设施建设、市政公用事业的发展。指导城市综合开发。</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研究编制行业项目年度建设计划并监督实施，参与行业各类规划编制工作。拟订行业发展战略、投融资政策。承担市政基础设施重点建设项目的前期工作和后期评价工作。指导行业招商引资和对外经济技术合作及各类资金争取工作。统筹行业统计及预测工作。</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指导和管理全区镇（乡）和村的建设工作。指导农村住房建设、危房改造工作。指导农村建筑工匠培训和管理。提出进城定居农民的住房政策建议。指导农村公用设施建设和小城镇建设工作。承担历史文化名镇（村）的审核报批、保护和监督管理有关工作。组织村镇建设试点工作。指导全区重点镇建设和传统村落保护的监督管理。</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研究拟订全区住房制度改革、保障性住房、棚户区改造相关政策。组织拟订全区房地产市场监督管理、房地产市场平稳健康发展长效机制和全区城镇住宅建设、房地产开发、国有土地上房屋征收补偿、房地产交易、房地产中介、物业管理、房屋安全鉴定、白蚁防治等工作的规章制度并监督实施。组织编制全区保障性安居工程建设规划、保障性住房发展规划、棚户区改造计划。指导、监督检查全区保障性安居工程建设（保障性住房建设、棚户区改造建设）。指导规范房地产市场和全区城镇土地使用权有偿转让和开发利用工作。负责区本级保障性住房管理和棚户区改造统筹协调工作。监督住房室内装饰装修工作。指导房地产管理执法监察工作。</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负责全区建筑行业管理。负责散装水泥的推广使用和监督检查。负责贯彻执行区政府非经营性投资项目“代建制”。指导建筑市场执法监察工作。指导和组织协调建筑企业参与区外工程承包和劳务合作。负责建筑业从业人员执业资格的考核、申报和管理工作。指导建筑业企业用工人员签订劳动合同，规范用工行为，依法支付劳动工资。</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负责组织实施房屋建筑、园林绿化和市政工程建设实施阶段的国家和省标准、全国统一定额和行业标准定额。负责调查、测算全区工程建设材料、设备预算价格和人工工资单价，发布工程造价信息。参与注册造价工程师执业资格管理工作。负责房屋建筑、园林绿化和市政工程建设项目招投标活动管理和行政执法监督。指导工程造价与招投标执法监察工作。</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负责勘察设计市场和行业管理。负责墙体材料革新和建筑节能管理工作。负责建设工程消防设计审查相关职责。指导城市勘察、市政工程测量工作。指导全区住房和城乡建设防震减灾、城镇减排、勘察设计执法监察工作。负责建设项目施工图设计文件审查工作；指导各勘察、设计单位、图审机构建立规范的图审机制和制度；指导项目建设单位抽取图审机构和签订服务合同；协调建设单位和图审机构工作关系；指导图审机构按合同和相关规范履行审图职责；督办图审机构限时办结图审业务。</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zh-CN"/>
        </w:rPr>
        <w:t>）负责研究拟订全区房屋建筑、园林绿化和市政工程施工质量、安全生产、扬尘防治、建设工程监理、工程质量检测和鉴定行业的政策法规和规章制度并指导实施和监督执行。负责全区住房城乡建设行业安全生产综合监督管理和考核。指导农村住房建设质量安全监管。负责房屋建筑、园林绿化、市政工程安全生产应急管理工作，组织或参与重大建筑工程质量安全事故的调查处理。指导城乡建设档案工作。指导协调本行业、本部门、本系统安全生产工作。参与全区监理工程师执业资格管理。指导工程质量和安全生产执法监察工作。负责建设工程消防现场管理，负责建设工程消防、竣工验收相关职责。</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zh-CN"/>
        </w:rPr>
        <w:t>）负责全区城乡园林绿化工作；拟定全区城市园林绿化政策法规和技术文件；指导和监督城市生态保护和修复、生物多样性保护工作；指导城市绿化执法监察工作。组织指导公园城市建设和园林城市系列创建工作；拟定全区城市景观建设政策法规和技术文件；指导和监督城市风貌管控和城市设计工作；指导城市雕塑工作；承担历史文化名城、历史乡土建筑的审核报批、保护和监督管理的有关工作。</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zh-CN"/>
        </w:rPr>
        <w:t>）负责全区城镇排水、污水处理的行政管理和对相关企业的行业管理，负责全区排水、污水处理相关规划编制、审查，对相关基础设施建设、行业的服务标准、排水和污水处理价格测算等工作，按行业相关规定进行指导或监督管理。</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zh-CN"/>
        </w:rPr>
        <w:t>）负责房建、市政、建筑行业、招投标、质量安全等方面法律、法规、规章规定的行政处罚工作。</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zh-CN"/>
        </w:rPr>
        <w:t>）负责局机关和直属企事业单位的机构编制和人事管理、劳动工资、财务、审计和国有资产管理工作。负责局机关和直属事业单位的党群和纪检监察工作。负责指导住房城乡建设系统的信访工作，督查督办重点信访案件。指导行业的思想政治工作和精神文明建设。</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（16）承办区政府交办的其它事项。</w:t>
      </w:r>
    </w:p>
    <w:p>
      <w:pPr>
        <w:spacing w:line="600" w:lineRule="exact"/>
        <w:ind w:firstLine="608" w:firstLineChars="200"/>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（三）</w:t>
      </w:r>
      <w:r>
        <w:rPr>
          <w:rFonts w:hint="eastAsia" w:ascii="仿宋_GB2312" w:hAnsi="仿宋_GB2312" w:eastAsia="仿宋_GB2312" w:cs="仿宋_GB2312"/>
          <w:sz w:val="32"/>
          <w:szCs w:val="32"/>
          <w:lang w:val="zh-CN"/>
        </w:rPr>
        <w:t>我单位总编制42名，其中，行政编制8名，</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zh-CN"/>
        </w:rPr>
        <w:t>工勤编制1人，事业编制33名。在职人员总数</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val="zh-CN"/>
        </w:rPr>
        <w:t>人，其中行政人员1</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人，</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zh-CN"/>
        </w:rPr>
        <w:t>工勤</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zh-CN"/>
        </w:rPr>
        <w:t>1人，事业人员3</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人，定补人员3人；退休人员1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人。</w:t>
      </w:r>
    </w:p>
    <w:p>
      <w:pPr>
        <w:widowControl/>
        <w:autoSpaceDE w:val="0"/>
        <w:adjustRightInd w:val="0"/>
        <w:snapToGrid w:val="0"/>
        <w:spacing w:line="600" w:lineRule="exact"/>
        <w:ind w:firstLine="608" w:firstLineChars="200"/>
        <w:contextualSpacing/>
        <w:jc w:val="left"/>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二、部门财政资金收支情况</w:t>
      </w:r>
    </w:p>
    <w:p>
      <w:pPr>
        <w:spacing w:line="600" w:lineRule="exact"/>
        <w:ind w:firstLine="608" w:firstLineChars="200"/>
        <w:rPr>
          <w:rFonts w:ascii="仿宋_GB2312" w:hAnsi="仿宋_GB2312" w:eastAsia="仿宋_GB2312" w:cs="仿宋_GB2312"/>
          <w:sz w:val="32"/>
          <w:szCs w:val="32"/>
          <w:lang w:val="zh-CN"/>
        </w:rPr>
      </w:pPr>
      <w:r>
        <w:rPr>
          <w:rFonts w:hint="eastAsia" w:ascii="楷体_GB2312" w:hAnsi="楷体_GB2312" w:eastAsia="楷体_GB2312" w:cs="楷体_GB2312"/>
          <w:bCs/>
          <w:spacing w:val="-6"/>
          <w:w w:val="99"/>
          <w:sz w:val="32"/>
          <w:szCs w:val="32"/>
        </w:rPr>
        <w:t>（一）</w:t>
      </w:r>
      <w:r>
        <w:rPr>
          <w:rFonts w:hint="eastAsia" w:ascii="仿宋_GB2312" w:hAnsi="仿宋_GB2312" w:eastAsia="仿宋_GB2312" w:cs="仿宋_GB2312"/>
          <w:sz w:val="32"/>
          <w:szCs w:val="32"/>
          <w:lang w:val="zh-CN"/>
        </w:rPr>
        <w:t>根据202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年决算，收入共计</w:t>
      </w:r>
      <w:r>
        <w:rPr>
          <w:rFonts w:hint="eastAsia" w:ascii="仿宋_GB2312" w:hAnsi="仿宋_GB2312" w:eastAsia="仿宋_GB2312" w:cs="仿宋_GB2312"/>
          <w:sz w:val="32"/>
          <w:szCs w:val="32"/>
        </w:rPr>
        <w:t>19095.45</w:t>
      </w:r>
      <w:r>
        <w:rPr>
          <w:rFonts w:hint="eastAsia" w:ascii="仿宋_GB2312" w:hAnsi="仿宋_GB2312" w:eastAsia="仿宋_GB2312" w:cs="仿宋_GB2312"/>
          <w:sz w:val="32"/>
          <w:szCs w:val="32"/>
          <w:lang w:val="zh-CN"/>
        </w:rPr>
        <w:t>万元（其中：一般公共预算财政拨款收入</w:t>
      </w:r>
      <w:r>
        <w:rPr>
          <w:rFonts w:hint="eastAsia" w:ascii="仿宋_GB2312" w:hAnsi="仿宋_GB2312" w:eastAsia="仿宋_GB2312" w:cs="仿宋_GB2312"/>
          <w:sz w:val="32"/>
          <w:szCs w:val="32"/>
        </w:rPr>
        <w:t>8285.4</w:t>
      </w:r>
      <w:r>
        <w:rPr>
          <w:rFonts w:hint="eastAsia" w:ascii="仿宋_GB2312" w:hAnsi="仿宋_GB2312" w:eastAsia="仿宋_GB2312" w:cs="仿宋_GB2312"/>
          <w:sz w:val="32"/>
          <w:szCs w:val="32"/>
          <w:lang w:val="zh-CN"/>
        </w:rPr>
        <w:t>万元，政府性基金预算财政拨款收入</w:t>
      </w:r>
      <w:r>
        <w:rPr>
          <w:rFonts w:hint="eastAsia" w:ascii="仿宋_GB2312" w:eastAsia="仿宋_GB2312"/>
          <w:sz w:val="32"/>
          <w:szCs w:val="32"/>
        </w:rPr>
        <w:t>10810.05</w:t>
      </w:r>
      <w:r>
        <w:rPr>
          <w:rFonts w:hint="eastAsia" w:ascii="仿宋_GB2312" w:hAnsi="仿宋_GB2312" w:eastAsia="仿宋_GB2312" w:cs="仿宋_GB2312"/>
          <w:sz w:val="32"/>
          <w:szCs w:val="32"/>
          <w:lang w:val="zh-CN"/>
        </w:rPr>
        <w:t>万元）。</w:t>
      </w:r>
    </w:p>
    <w:p>
      <w:pPr>
        <w:spacing w:line="600" w:lineRule="exact"/>
        <w:ind w:firstLine="608" w:firstLineChars="200"/>
        <w:rPr>
          <w:rFonts w:ascii="仿宋_GB2312" w:hAnsi="仿宋_GB2312" w:eastAsia="仿宋_GB2312" w:cs="仿宋_GB2312"/>
          <w:sz w:val="32"/>
          <w:szCs w:val="32"/>
        </w:rPr>
      </w:pPr>
      <w:r>
        <w:rPr>
          <w:rFonts w:hint="eastAsia" w:ascii="楷体_GB2312" w:hAnsi="楷体_GB2312" w:eastAsia="楷体_GB2312" w:cs="楷体_GB2312"/>
          <w:bCs/>
          <w:spacing w:val="-6"/>
          <w:w w:val="99"/>
          <w:sz w:val="32"/>
          <w:szCs w:val="32"/>
        </w:rPr>
        <w:t>（二）</w:t>
      </w:r>
      <w:r>
        <w:rPr>
          <w:rFonts w:hint="eastAsia" w:ascii="仿宋_GB2312" w:hAnsi="仿宋_GB2312" w:eastAsia="仿宋_GB2312" w:cs="仿宋_GB2312"/>
          <w:sz w:val="32"/>
          <w:szCs w:val="32"/>
        </w:rPr>
        <w:t>我单位2022年度部门预算安排支出共计19095.45万元，其中：基本支出</w:t>
      </w:r>
      <w:r>
        <w:rPr>
          <w:rFonts w:hint="eastAsia" w:ascii="仿宋" w:hAnsi="仿宋" w:eastAsia="仿宋"/>
          <w:sz w:val="32"/>
          <w:szCs w:val="32"/>
        </w:rPr>
        <w:t>709.21</w:t>
      </w:r>
      <w:r>
        <w:rPr>
          <w:rFonts w:hint="eastAsia" w:ascii="仿宋_GB2312" w:hAnsi="仿宋_GB2312" w:eastAsia="仿宋_GB2312" w:cs="仿宋_GB2312"/>
          <w:sz w:val="32"/>
          <w:szCs w:val="32"/>
        </w:rPr>
        <w:t>万元，项目支出18386.24万元。</w:t>
      </w:r>
    </w:p>
    <w:p>
      <w:pPr>
        <w:widowControl/>
        <w:autoSpaceDE w:val="0"/>
        <w:adjustRightInd w:val="0"/>
        <w:snapToGrid w:val="0"/>
        <w:spacing w:line="600" w:lineRule="exact"/>
        <w:ind w:firstLine="608" w:firstLineChars="200"/>
        <w:contextualSpacing/>
        <w:jc w:val="left"/>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三、部门整体预算绩效管理情况（根据适用指标体系进行调整）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预算项目绩效管理。全区2022年实施农村危房改造户243户（C级171户，D级72户），2023年3月已经全部完工。农村危房改造项目补助资金计划385.9万元，已到位资金385.9万元，目前已支付69.2万元（已支付2022年申请农户40户）。全区2022年实施自建房摸排49056栋，初判存在安全隐患自建房109栋，需第三方鉴定109栋，B级8栋（朝天镇4栋、大滩1栋、麻柳1栋、羊木镇2栋）、C级60栋（曾家镇6栋、朝天镇1栋、大滩镇2栋、两河口镇3栋、麻柳乡21栋、沙河镇5栋、水磨沟镇3栋、羊木镇6栋、云雾山镇1栋、临溪乡5栋、李家镇7栋）、D级37栋（曾家镇9栋、朝天镇3栋、大滩镇2栋、两河口镇3栋、麻柳乡5栋、沙河镇1栋、水磨沟镇2栋、羊木镇3栋、云雾山镇3栋、临溪乡3栋、李家镇3栋），2022年12月全部鉴定完。需支付第三方鉴定费用45万元，对鉴定为</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D</w:t>
      </w:r>
      <w:r>
        <w:rPr>
          <w:rFonts w:hint="eastAsia" w:ascii="仿宋_GB2312" w:hAnsi="仿宋_GB2312" w:eastAsia="仿宋_GB2312" w:cs="仿宋_GB2312"/>
          <w:sz w:val="32"/>
          <w:szCs w:val="32"/>
        </w:rPr>
        <w:t>级的危房，建立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一户一档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整治台账，落实整改措施，确保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底数清、台账准、责任明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。对养护管理范围内的所有绿地和各街道行道树进行修枝整形、苗木补植、病虫害防控、绿化去尘保洁、松土除草、浇水施肥、防旱防风防冻等养护工作，以保持植物的良好生态。</w:t>
      </w:r>
    </w:p>
    <w:p>
      <w:pPr>
        <w:autoSpaceDE w:val="0"/>
        <w:adjustRightInd w:val="0"/>
        <w:snapToGrid w:val="0"/>
        <w:spacing w:line="600" w:lineRule="exact"/>
        <w:ind w:firstLine="632"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w w:val="99"/>
          <w:sz w:val="32"/>
          <w:szCs w:val="32"/>
        </w:rPr>
        <w:t>在城区主干道挂灯笼，在城区行道树上安装灯带。共打造节点6处，节点打造包括广告造型，摆放花卉和安装氛围灯。对</w:t>
      </w:r>
      <w:r>
        <w:rPr>
          <w:rFonts w:hint="eastAsia" w:ascii="仿宋_GB2312" w:hAnsi="仿宋_GB2312" w:eastAsia="仿宋_GB2312" w:cs="仿宋_GB2312"/>
          <w:sz w:val="32"/>
          <w:szCs w:val="32"/>
        </w:rPr>
        <w:t>主城区现有公园绿地及行政中心院内附属绿地</w:t>
      </w:r>
      <w:r>
        <w:rPr>
          <w:rFonts w:hint="eastAsia" w:ascii="仿宋_GB2312" w:hAnsi="仿宋_GB2312" w:eastAsia="仿宋_GB2312" w:cs="仿宋_GB2312"/>
          <w:kern w:val="0"/>
          <w:sz w:val="32"/>
          <w:szCs w:val="32"/>
        </w:rPr>
        <w:t>以“增花添彩”为主要内容，对</w:t>
      </w:r>
      <w:r>
        <w:rPr>
          <w:rFonts w:hint="eastAsia" w:ascii="仿宋_GB2312" w:hAnsi="仿宋_GB2312" w:eastAsia="仿宋_GB2312" w:cs="仿宋_GB2312"/>
          <w:sz w:val="32"/>
          <w:szCs w:val="32"/>
        </w:rPr>
        <w:t>苗木进行</w:t>
      </w:r>
      <w:r>
        <w:rPr>
          <w:rFonts w:hint="eastAsia" w:ascii="仿宋_GB2312" w:hAnsi="仿宋_GB2312" w:eastAsia="仿宋_GB2312" w:cs="仿宋_GB2312"/>
          <w:kern w:val="0"/>
          <w:sz w:val="32"/>
          <w:szCs w:val="32"/>
        </w:rPr>
        <w:t>疏减并优化植物搭配，增加云南早樱、铁梗海棠、高接月季、桑德斯马鞭草、美女樱等开花及彩叶植物和多年生草本花带，以增加绿地内层次变化和景观色彩</w:t>
      </w:r>
      <w:r>
        <w:rPr>
          <w:rFonts w:hint="eastAsia" w:ascii="仿宋_GB2312" w:hAnsi="仿宋_GB2312" w:eastAsia="仿宋_GB2312" w:cs="仿宋_GB2312"/>
          <w:w w:val="99"/>
          <w:sz w:val="32"/>
          <w:szCs w:val="32"/>
        </w:rPr>
        <w:t>。</w:t>
      </w:r>
      <w:r>
        <w:rPr>
          <w:rFonts w:hint="eastAsia" w:ascii="仿宋_GB2312" w:hAnsi="仿宋_GB2312" w:eastAsia="仿宋_GB2312" w:cs="仿宋_GB2312"/>
          <w:color w:val="000000"/>
          <w:sz w:val="32"/>
          <w:szCs w:val="32"/>
        </w:rPr>
        <w:t>老旧小区改造专项债券项目经费主要用于2022年度朝天城区老旧小区所涉连接道路（包括人行铺装、车行道整治）、强弱电管线、供排水管网、小区屋顶处漏等改造。朝天区旅游配套基础设施PPP项目资本金项目经费主要用于朝天区旅游配套基础设施PPP项目资本金（注册资本金）。朝天区旅游配套基础设施PPP项目植被恢复项目经费主要用于朝天区旅游配套基础设施PPP项目森林植被恢复及项目所涉</w:t>
      </w:r>
      <w:r>
        <w:rPr>
          <w:rFonts w:hint="eastAsia" w:ascii="仿宋_GB2312" w:hAnsi="仿宋_GB2312" w:eastAsia="仿宋_GB2312" w:cs="仿宋_GB2312"/>
          <w:sz w:val="32"/>
          <w:szCs w:val="32"/>
        </w:rPr>
        <w:t>林地可行性报告等编制</w:t>
      </w:r>
      <w:r>
        <w:rPr>
          <w:rFonts w:hint="eastAsia" w:ascii="仿宋_GB2312" w:hAnsi="仿宋_GB2312" w:eastAsia="仿宋_GB2312" w:cs="仿宋_GB2312"/>
          <w:color w:val="000000"/>
          <w:sz w:val="32"/>
          <w:szCs w:val="32"/>
        </w:rPr>
        <w:t>。市政设施维修维护项目经费主要用于2022年度朝天城区市政道路桥梁、广场等零星维修维护。曾家山旅游服务中心临时占用土地复垦费项目经费主要用于曾家山景区旅游接待中心（曾家镇曾家社区7组）边坡治理工程的临时用地集体土地13787.52平方米的复垦工作。耕地占用税项目经费主要用于占用耕地25.81亩的费用支出。</w:t>
      </w:r>
      <w:r>
        <w:rPr>
          <w:rFonts w:hint="eastAsia" w:ascii="仿宋_GB2312" w:hAnsi="仿宋_GB2312" w:eastAsia="仿宋_GB2312" w:cs="仿宋_GB2312"/>
          <w:sz w:val="32"/>
          <w:lang w:val="zh-CN"/>
        </w:rPr>
        <w:t>我单位</w:t>
      </w:r>
      <w:r>
        <w:rPr>
          <w:rFonts w:hint="eastAsia" w:ascii="仿宋_GB2312" w:hAnsi="仿宋_GB2312" w:eastAsia="仿宋_GB2312" w:cs="仿宋_GB2312"/>
          <w:sz w:val="32"/>
        </w:rPr>
        <w:t>2021年度</w:t>
      </w:r>
      <w:r>
        <w:rPr>
          <w:rFonts w:hint="eastAsia" w:ascii="仿宋_GB2312" w:hAnsi="仿宋_GB2312" w:eastAsia="仿宋_GB2312" w:cs="仿宋_GB2312"/>
          <w:color w:val="000000"/>
          <w:kern w:val="0"/>
          <w:sz w:val="32"/>
          <w:szCs w:val="32"/>
          <w:shd w:val="clear" w:color="auto" w:fill="FFFFFF"/>
        </w:rPr>
        <w:t>部门预算管理合法合规，无违规记录。</w:t>
      </w:r>
    </w:p>
    <w:p>
      <w:pPr>
        <w:autoSpaceDE w:val="0"/>
        <w:adjustRightInd w:val="0"/>
        <w:snapToGrid w:val="0"/>
        <w:spacing w:line="600" w:lineRule="exact"/>
        <w:ind w:firstLine="640" w:firstLineChars="200"/>
        <w:rPr>
          <w:rFonts w:ascii="仿宋_GB2312"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w:t>
      </w:r>
      <w:r>
        <w:rPr>
          <w:rFonts w:hint="eastAsia" w:ascii="楷体_GB2312" w:hAnsi="楷体_GB2312" w:eastAsia="楷体_GB2312" w:cs="楷体_GB2312"/>
          <w:bCs/>
          <w:spacing w:val="-6"/>
          <w:w w:val="99"/>
          <w:sz w:val="32"/>
          <w:szCs w:val="32"/>
        </w:rPr>
        <w:t>专项预算管理。</w:t>
      </w:r>
      <w:r>
        <w:rPr>
          <w:rFonts w:hint="eastAsia" w:ascii="仿宋_GB2312" w:eastAsia="仿宋_GB2312"/>
          <w:color w:val="000000"/>
          <w:kern w:val="0"/>
          <w:sz w:val="32"/>
          <w:szCs w:val="32"/>
          <w:shd w:val="clear" w:color="auto" w:fill="FFFFFF"/>
        </w:rPr>
        <w:t>我单位按照专项预算项目自评工作要求对本部门专项项目已进行自评并打分并形成自评报告。</w:t>
      </w:r>
    </w:p>
    <w:p>
      <w:pPr>
        <w:autoSpaceDE w:val="0"/>
        <w:adjustRightInd w:val="0"/>
        <w:snapToGrid w:val="0"/>
        <w:spacing w:line="600" w:lineRule="exact"/>
        <w:ind w:firstLine="608" w:firstLineChars="200"/>
        <w:rPr>
          <w:rFonts w:ascii="仿宋_GB2312" w:eastAsia="仿宋_GB2312"/>
          <w:color w:val="000000"/>
          <w:kern w:val="0"/>
          <w:sz w:val="32"/>
          <w:szCs w:val="32"/>
          <w:shd w:val="clear" w:color="auto" w:fill="FFFFFF"/>
        </w:rPr>
      </w:pPr>
      <w:r>
        <w:rPr>
          <w:rFonts w:hint="eastAsia" w:ascii="楷体_GB2312" w:hAnsi="楷体_GB2312" w:eastAsia="楷体_GB2312" w:cs="楷体_GB2312"/>
          <w:bCs/>
          <w:spacing w:val="-6"/>
          <w:w w:val="99"/>
          <w:sz w:val="32"/>
          <w:szCs w:val="32"/>
        </w:rPr>
        <w:t>（三）结果应用情况。</w:t>
      </w:r>
      <w:r>
        <w:rPr>
          <w:rFonts w:hint="eastAsia" w:ascii="仿宋_GB2312" w:eastAsia="仿宋_GB2312"/>
          <w:color w:val="000000"/>
          <w:kern w:val="0"/>
          <w:sz w:val="32"/>
          <w:szCs w:val="32"/>
          <w:shd w:val="clear" w:color="auto" w:fill="FFFFFF"/>
        </w:rPr>
        <w:t>我单位已将内设机构和下属单位绩效自评纳入了考核体系，建立了对内设机构和下属单位预算与绩效挂钩机制。</w:t>
      </w:r>
    </w:p>
    <w:p>
      <w:pPr>
        <w:widowControl/>
        <w:autoSpaceDE w:val="0"/>
        <w:adjustRightInd w:val="0"/>
        <w:snapToGrid w:val="0"/>
        <w:spacing w:line="600" w:lineRule="exact"/>
        <w:ind w:firstLine="608" w:firstLineChars="200"/>
        <w:contextualSpacing/>
        <w:jc w:val="left"/>
        <w:rPr>
          <w:rFonts w:ascii="仿宋_GB2312" w:eastAsia="仿宋_GB2312"/>
          <w:color w:val="000000"/>
          <w:spacing w:val="-6"/>
          <w:w w:val="99"/>
          <w:kern w:val="0"/>
          <w:sz w:val="32"/>
          <w:szCs w:val="32"/>
          <w:shd w:val="clear" w:color="auto" w:fill="FFFFFF"/>
        </w:rPr>
      </w:pPr>
      <w:r>
        <w:rPr>
          <w:rFonts w:hint="eastAsia" w:ascii="楷体_GB2312" w:hAnsi="楷体_GB2312" w:eastAsia="楷体_GB2312" w:cs="楷体_GB2312"/>
          <w:bCs/>
          <w:spacing w:val="-6"/>
          <w:w w:val="99"/>
          <w:sz w:val="32"/>
          <w:szCs w:val="32"/>
        </w:rPr>
        <w:t>（四）自评质量。</w:t>
      </w:r>
      <w:r>
        <w:rPr>
          <w:rFonts w:hint="eastAsia" w:ascii="仿宋_GB2312" w:eastAsia="仿宋_GB2312"/>
          <w:color w:val="000000"/>
          <w:kern w:val="0"/>
          <w:sz w:val="32"/>
          <w:szCs w:val="32"/>
          <w:shd w:val="clear" w:color="auto" w:fill="FFFFFF"/>
        </w:rPr>
        <w:t>对绩效管理过程中（包括绩效目标核查、绩效监控核查和重点绩效评价）提出的问题已进行整改。我单位及时将内部应用、自评公开、问题整改和应用反馈等情况向财政部门反馈</w:t>
      </w:r>
    </w:p>
    <w:p>
      <w:pPr>
        <w:widowControl/>
        <w:autoSpaceDE w:val="0"/>
        <w:adjustRightInd w:val="0"/>
        <w:snapToGrid w:val="0"/>
        <w:spacing w:line="600" w:lineRule="exact"/>
        <w:ind w:firstLine="608" w:firstLineChars="200"/>
        <w:contextualSpacing/>
        <w:jc w:val="left"/>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四、评价结论及建议</w:t>
      </w:r>
    </w:p>
    <w:p>
      <w:pPr>
        <w:widowControl/>
        <w:autoSpaceDE w:val="0"/>
        <w:adjustRightInd w:val="0"/>
        <w:snapToGrid w:val="0"/>
        <w:spacing w:line="600" w:lineRule="exact"/>
        <w:ind w:firstLine="608" w:firstLineChars="200"/>
        <w:contextualSpacing/>
        <w:jc w:val="left"/>
        <w:rPr>
          <w:rFonts w:hAnsi="宋体" w:cs="宋体"/>
          <w:kern w:val="0"/>
          <w:sz w:val="32"/>
          <w:szCs w:val="32"/>
          <w:shd w:val="clear" w:color="auto" w:fill="FFFFFF"/>
          <w:lang w:val="zh-CN"/>
        </w:rPr>
      </w:pPr>
      <w:r>
        <w:rPr>
          <w:rFonts w:hint="eastAsia" w:ascii="楷体_GB2312" w:hAnsi="楷体_GB2312" w:eastAsia="楷体_GB2312" w:cs="楷体_GB2312"/>
          <w:bCs/>
          <w:spacing w:val="-6"/>
          <w:w w:val="99"/>
          <w:sz w:val="32"/>
          <w:szCs w:val="32"/>
        </w:rPr>
        <w:t>（一）评价结论。</w:t>
      </w:r>
      <w:r>
        <w:rPr>
          <w:rFonts w:hint="eastAsia" w:ascii="仿宋_GB2312" w:eastAsia="仿宋_GB2312"/>
          <w:color w:val="000000"/>
          <w:kern w:val="0"/>
          <w:sz w:val="32"/>
          <w:szCs w:val="32"/>
          <w:shd w:val="clear" w:color="auto" w:fill="FFFFFF"/>
        </w:rPr>
        <w:t>总体上看，</w:t>
      </w:r>
      <w:r>
        <w:rPr>
          <w:rFonts w:hint="eastAsia" w:ascii="仿宋_GB2312" w:eastAsia="仿宋_GB2312"/>
          <w:color w:val="000000"/>
          <w:kern w:val="0"/>
          <w:sz w:val="32"/>
          <w:szCs w:val="32"/>
          <w:shd w:val="clear" w:color="auto" w:fill="FFFFFF"/>
          <w:lang w:val="zh-CN"/>
        </w:rPr>
        <w:t>我单位</w:t>
      </w:r>
      <w:r>
        <w:rPr>
          <w:rFonts w:hint="eastAsia" w:ascii="仿宋_GB2312" w:eastAsia="仿宋_GB2312"/>
          <w:color w:val="000000"/>
          <w:kern w:val="0"/>
          <w:sz w:val="32"/>
          <w:szCs w:val="32"/>
          <w:shd w:val="clear" w:color="auto" w:fill="FFFFFF"/>
        </w:rPr>
        <w:t>2022年部门支出较规范、合理，符合财政预算资金的相关制度和办法。部门制度建立健全且执行情况良好，较好的履行了部门基本职能，完成了年度重点任务工作。经评定绩效自评总得分为：98分。</w:t>
      </w:r>
    </w:p>
    <w:p>
      <w:pPr>
        <w:pStyle w:val="7"/>
        <w:spacing w:before="93"/>
        <w:rPr>
          <w:rFonts w:hAnsi="宋体" w:cs="宋体"/>
          <w:sz w:val="32"/>
          <w:szCs w:val="32"/>
          <w:shd w:val="clear" w:color="auto" w:fill="FFFFFF"/>
          <w:lang w:val="zh-CN"/>
        </w:rPr>
        <w:sectPr>
          <w:footerReference r:id="rId5" w:type="first"/>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pPr>
    </w:p>
    <w:p>
      <w:pPr>
        <w:pStyle w:val="7"/>
        <w:spacing w:before="93" w:line="500" w:lineRule="exact"/>
        <w:jc w:val="center"/>
        <w:rPr>
          <w:rFonts w:ascii="方正小标宋简体" w:hAnsi="方正小标宋简体" w:eastAsia="方正小标宋简体" w:cs="方正小标宋简体"/>
          <w:sz w:val="44"/>
          <w:szCs w:val="44"/>
          <w:shd w:val="clear" w:color="auto" w:fill="FFFFFF"/>
          <w:lang w:val="zh-CN"/>
        </w:rPr>
      </w:pPr>
      <w:r>
        <w:rPr>
          <w:rFonts w:hint="eastAsia" w:ascii="方正小标宋简体" w:hAnsi="方正小标宋简体" w:eastAsia="方正小标宋简体" w:cs="方正小标宋简体"/>
          <w:sz w:val="44"/>
          <w:szCs w:val="44"/>
          <w:shd w:val="clear" w:color="auto" w:fill="FFFFFF"/>
        </w:rPr>
        <w:t>住建局</w:t>
      </w:r>
      <w:r>
        <w:rPr>
          <w:rFonts w:hint="eastAsia" w:ascii="方正小标宋简体" w:hAnsi="方正小标宋简体" w:eastAsia="方正小标宋简体" w:cs="方正小标宋简体"/>
          <w:sz w:val="44"/>
          <w:szCs w:val="44"/>
          <w:shd w:val="clear" w:color="auto" w:fill="FFFFFF"/>
          <w:lang w:val="zh-CN"/>
        </w:rPr>
        <w:t>整体支出绩效目标申报表</w:t>
      </w:r>
    </w:p>
    <w:p>
      <w:pPr>
        <w:pStyle w:val="7"/>
        <w:spacing w:before="93" w:line="500" w:lineRule="exact"/>
        <w:jc w:val="center"/>
        <w:rPr>
          <w:rFonts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预算年度：2022</w:t>
      </w:r>
    </w:p>
    <w:p>
      <w:pPr>
        <w:pStyle w:val="7"/>
        <w:spacing w:before="93" w:line="500" w:lineRule="exact"/>
        <w:jc w:val="left"/>
        <w:rPr>
          <w:rFonts w:hAnsi="宋体" w:cs="宋体"/>
          <w:sz w:val="21"/>
          <w:szCs w:val="21"/>
          <w:shd w:val="clear" w:color="auto" w:fill="FFFFFF"/>
          <w:lang w:val="zh-CN"/>
        </w:rPr>
      </w:pPr>
      <w:r>
        <w:rPr>
          <w:rFonts w:hint="eastAsia" w:hAnsi="宋体" w:cs="宋体"/>
          <w:sz w:val="21"/>
          <w:szCs w:val="21"/>
          <w:shd w:val="clear" w:color="auto" w:fill="FFFFFF"/>
          <w:lang w:val="zh-CN"/>
        </w:rPr>
        <w:t>预算（单位）名称：314-广元市朝天区住房和城乡建设局部门</w:t>
      </w:r>
    </w:p>
    <w:p>
      <w:pPr>
        <w:pStyle w:val="7"/>
        <w:spacing w:before="93"/>
        <w:rPr>
          <w:rFonts w:hAnsi="宋体" w:cs="宋体"/>
          <w:sz w:val="32"/>
          <w:szCs w:val="32"/>
          <w:shd w:val="clear" w:color="auto" w:fill="FFFFFF"/>
          <w:lang w:val="zh-CN"/>
        </w:rPr>
      </w:pPr>
    </w:p>
    <w:tbl>
      <w:tblPr>
        <w:tblStyle w:val="18"/>
        <w:tblW w:w="10785" w:type="dxa"/>
        <w:tblInd w:w="-843" w:type="dxa"/>
        <w:tblLayout w:type="fixed"/>
        <w:tblCellMar>
          <w:top w:w="0" w:type="dxa"/>
          <w:left w:w="108" w:type="dxa"/>
          <w:bottom w:w="0" w:type="dxa"/>
          <w:right w:w="108" w:type="dxa"/>
        </w:tblCellMar>
      </w:tblPr>
      <w:tblGrid>
        <w:gridCol w:w="1613"/>
        <w:gridCol w:w="1077"/>
        <w:gridCol w:w="1060"/>
        <w:gridCol w:w="1411"/>
        <w:gridCol w:w="396"/>
        <w:gridCol w:w="807"/>
        <w:gridCol w:w="746"/>
        <w:gridCol w:w="906"/>
        <w:gridCol w:w="452"/>
        <w:gridCol w:w="2317"/>
      </w:tblGrid>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51000021R000000019954-聘用人员经费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该项目为人员类项目，主要保障部门3名定补聘用人员工资及保险。2022年该项目资金按月支付，及时足额发放，预算执行率100%，年末无资金结余情况。</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51081221R000000033316-其他对个人和家庭补助</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该项目为人员类经费，主要保障公务员奖励金。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0.45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0.45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0.45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0.45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88"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41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5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51081221R000000033747-独子费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该项目为人员类经费，主要保障部门内在职人员中独生子女情况，为其发放独子费，2022年该项目自己按月支付，及时足额发放。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0.17</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0.17</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44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488"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51081221R000000033767-目标绩效奖(公务员及参公人员)</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该项目为人员类项目，主要保障公务员及机关工勤人员的目标绩效奖。2022年该项目资金按月支付，及时足额发放，预算执行率99.79%。</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50.40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99.79%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50.40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99.79%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34"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457"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488"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51081221R000000051755-其他交通费用（公务用车改革补贴）</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该项目为人员类项目，主要保障公务员及机关工勤人员的车补。2022年该项目资金按月支付，及时足额发放，预算执行率100%。</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13.47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13.47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427"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5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51081221Y000000052199-金财网维护费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保障单位日常运转，提高预算编制质量，严格执行预算</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该项目为特定目标类项目，主要保障部门金财网专线正常运转。</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36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“三公”经费</w:t>
            </w:r>
            <w:r>
              <w:rPr>
                <w:rFonts w:ascii="宋体" w:hAnsi="宋体" w:cs="宋体"/>
                <w:color w:val="000000"/>
                <w:kern w:val="0"/>
                <w:sz w:val="18"/>
                <w:szCs w:val="18"/>
              </w:rPr>
              <w:t>控制率[计算方法为：（三公经费实际支出数/预算安排数]×100%）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51081222R000005136042-工资性支出（行政）</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该项目为人员类项目支出，主要保障部门14名公务员和1名机关工勤人员2022年的工资，包括基本工资、津贴补贴，2022年该项目资金按月支付，及时足额发放。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118.67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130.65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129.13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98.84%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118.67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130.65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129.13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98.84%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51081222R000005136246-工资性支出（事业）</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该项目为人员类项目支出，主要保障部门29名事业人员2022年的工资，包括基本工资、津贴补贴，2022年该项目资金按月支付，及时足额发放。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195.28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222.38</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213.12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95.84%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195.28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222.38</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213.12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95.84%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51081222R000005136461-基本养老保险（行政）</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该项目为人员类项目，主要是保障14名公务员和1名机关工勤人员2022年度的养老保险，2022年，该预算项目资金按月支付，及时足额缴纳，预算执行率100%，年末无资金结余情况。</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18.90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20.75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20.75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18.90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20.75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20.75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51081222R000005136839-基本养老保险（事业）</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该项目为人员类项目，主要是保障29名事业人员2022年度的养老保险，2022年，该预算项目资金按月支付，及时足额缴纳，预算执行率100%，年末无资金结余情况。</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31.23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34.61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34.19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98.79%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31.23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34.61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34.19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98.79%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51081222R000005137025-基本医疗保险（行政）</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该项目为人员类项目，主要是保障14名公务员和1名机关工勤人员022年度的医疗保险，2022年，该预算项目资金按月支付，及时足额缴纳，预算执行率100%，年末无资金结余情况。</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9.93</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9.93</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51081222R000005137228-基本医疗保险（事业）</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该项目为人员类项目，主要是保障29名事业人员022年度的医疗保险，2022年，该预算项目资金按月支付，及时足额缴纳，预算执行率100%，年末无资金结余情况。</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15.62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17.30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17.09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98.79%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15.62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17.30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17.09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98.79%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51081222R000005137604-住房公积金（行政）</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该项目为人员类项目，主要是保障14名公务员及1名机关工勤人员2022年度的住房公积金，2022年，该预算项目资金按月支付，及时足额缴纳，预算执行率100%，年末无资金结余情况。</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13.52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20.10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97.44%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13.52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20.10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97.44%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51081222R000005137802-住房公积金（事业）</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该项目为人员类项目，主要是保障29名事业人员2022年度的住房公积金，2022年，该预算项目资金按月支付，及时足额缴纳，预算执行率100%，年末无资金结余情况。</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23.42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36.14</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35.54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98.35%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23.42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36.14</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35.54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98.35%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51081222R000005429042-目标绩效奖（事业人员）</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该项目为人员类项目，主要是保障29名事业人员2022年度的目标绩效奖，2022年，该预算项目资金按月支付，及时足额缴纳。</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104.40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104.40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103.78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99.41%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104.40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104.40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103.78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99.41%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51081222R000005430095-目标绩效奖（行政工人）</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该项目为人员类项目，主要是保障1名机关工勤人员2022年度的目标绩效奖，2022年，该预算项目资金按月支付，及时足额缴纳。</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368"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51081222T000005653444-天府旅游名县奖励资金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顺利通过天府旅游明县创建的验收。</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该项目为特定目标类姓名，主要保障创建天府旅游明县的宣传费，广告制作费，点位打造费。</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4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5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项目负责人：梁琼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51081222T000005657049-</w:t>
            </w:r>
            <w:r>
              <w:rPr>
                <w:rFonts w:hint="eastAsia" w:ascii="宋体" w:hAnsi="宋体" w:cs="宋体"/>
                <w:color w:val="000000"/>
                <w:kern w:val="0"/>
                <w:sz w:val="18"/>
                <w:szCs w:val="18"/>
                <w:lang w:eastAsia="zh-CN"/>
              </w:rPr>
              <w:t>“十四五”规划</w:t>
            </w:r>
            <w:r>
              <w:rPr>
                <w:rFonts w:ascii="宋体" w:hAnsi="宋体" w:cs="宋体"/>
                <w:color w:val="000000"/>
                <w:kern w:val="0"/>
                <w:sz w:val="18"/>
                <w:szCs w:val="18"/>
              </w:rPr>
              <w:t>编制</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w:t>
            </w:r>
            <w:r>
              <w:rPr>
                <w:rFonts w:hint="eastAsia" w:ascii="宋体" w:hAnsi="宋体" w:cs="宋体"/>
                <w:color w:val="000000"/>
                <w:kern w:val="0"/>
                <w:sz w:val="18"/>
                <w:szCs w:val="18"/>
                <w:lang w:eastAsia="zh-CN"/>
              </w:rPr>
              <w:t>“十四五”规划</w:t>
            </w:r>
            <w:r>
              <w:rPr>
                <w:rFonts w:ascii="宋体" w:hAnsi="宋体" w:cs="宋体"/>
                <w:color w:val="000000"/>
                <w:kern w:val="0"/>
                <w:sz w:val="18"/>
                <w:szCs w:val="18"/>
              </w:rPr>
              <w:t>的编制。</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该项目为特定目标类项目，主要保障完成</w:t>
            </w:r>
            <w:r>
              <w:rPr>
                <w:rFonts w:hint="eastAsia" w:ascii="宋体" w:hAnsi="宋体" w:cs="宋体"/>
                <w:color w:val="000000"/>
                <w:kern w:val="0"/>
                <w:sz w:val="18"/>
                <w:szCs w:val="18"/>
                <w:lang w:eastAsia="zh-CN"/>
              </w:rPr>
              <w:t>“十四五”规划</w:t>
            </w:r>
            <w:r>
              <w:rPr>
                <w:rFonts w:ascii="宋体" w:hAnsi="宋体" w:cs="宋体"/>
                <w:color w:val="000000"/>
                <w:kern w:val="0"/>
                <w:sz w:val="18"/>
                <w:szCs w:val="18"/>
              </w:rPr>
              <w:t>编制的费用。</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38.99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99.96%</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38.99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99.96%</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509"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51081222T000005657180-城镇污水处理设施资金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完成城区污水管网的改造。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该项目为特定目标类项目，主要保障改造城区污水管网建设的资金。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109.95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109.95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51081222T000005702745-羊木小城镇建设</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完成羊木场镇的市政设施建设。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该项目为特定目标类项目，主要保障羊木镇的市政基础设施的建设。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项目负责人：李吁</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51081222T000005702747-2021中子镇小城镇建设</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完成中子镇的市政基础设施建设。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该项目为特定目标类项目，主要保障中子羊木镇的市政基础设施的建设。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项目负责人：李吁</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51081222T000005702751-老旧小区改造</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完成对明月路片区的老旧小区改造。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该项目为特定目标类项目，主要保障明月路片区的老旧小区改造，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286.00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285.97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286.00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285.97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项目负责人：梁琼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51081222T000005702755-2019年中央城市管网及污水处理补助资金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完成对沙河镇的城市管网及污水处理设施建设。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该项目为特定目标类项目，主要保障沙河镇的城市管网及污水处理设施建设的资金。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74.99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99.98%</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74.99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99.98%</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51081222T000005702757-朝天区曾家镇市政公用设施建设</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对曾家镇市政公用设施进行改造建设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该项目为特定目标类项目，主要保障对曾家镇市政公用设施进行改造建设的资金。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项目负责人：李吁</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51081222T000005702759-下达2020年灾后恢复重建中央财力补助资金预算的通知</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完成2019年洪灾水毁灾后重建的建设项目，徐家湾河梯建设，大滩镇污水处理厂的建设。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该项目为特定目标类项目，主要保障徐家湾河梯建设，大滩镇污水处理厂的建设。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276.05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87.64%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276.05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87.64%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51081222T000005702761-朝天城区市政基础设施恢复重建项目</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完成2019年洪灾水毁灾后重建市政基础设施的建设项目</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该项目为特定目标类项目，主要保障2019年洪灾水毁灾后重建市政基础设施的建设项目</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项目负责人：赵鑫</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51081222T000005933974-路灯维修维护</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904"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对辖区范围内的所有路灯及景观灯进行日常的巡查。</w:t>
            </w:r>
            <w:r>
              <w:rPr>
                <w:rFonts w:ascii="宋体" w:hAnsi="宋体" w:cs="宋体"/>
                <w:color w:val="000000"/>
                <w:kern w:val="0"/>
                <w:sz w:val="18"/>
                <w:szCs w:val="18"/>
              </w:rPr>
              <w:br w:type="textWrapping"/>
            </w:r>
            <w:r>
              <w:rPr>
                <w:rFonts w:ascii="宋体" w:hAnsi="宋体" w:cs="宋体"/>
                <w:color w:val="000000"/>
                <w:kern w:val="0"/>
                <w:sz w:val="18"/>
                <w:szCs w:val="18"/>
              </w:rPr>
              <w:t>路灯控制柜的日常检查、调校与维修。</w:t>
            </w:r>
            <w:r>
              <w:rPr>
                <w:rFonts w:ascii="宋体" w:hAnsi="宋体" w:cs="宋体"/>
                <w:color w:val="000000"/>
                <w:kern w:val="0"/>
                <w:sz w:val="18"/>
                <w:szCs w:val="18"/>
              </w:rPr>
              <w:br w:type="textWrapping"/>
            </w:r>
            <w:r>
              <w:rPr>
                <w:rFonts w:ascii="宋体" w:hAnsi="宋体" w:cs="宋体"/>
                <w:color w:val="000000"/>
                <w:kern w:val="0"/>
                <w:sz w:val="18"/>
                <w:szCs w:val="18"/>
              </w:rPr>
              <w:t>路灯灯具、电器、控制柜及检查口损坏材料的维修更换。</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该项目为特定目标类项目，主要保障城区路灯及景观的维修维护支出。</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景观照明</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路灯数量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路灯和景观照明灯亮灯率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日常检测、调校及维修的材料</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城市环境和幸福指数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城市环境和幸福指数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项目负责人：向仕林</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51081222T000005933983-路灯电费（含景观灯）</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130"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保障城区路灯、公园景观灯所有光亮设施设备亮化率达100%。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该项目为特定目标类项目，主要保障城区路灯及景观的电费支出。</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路灯数量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景观照明</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路灯和景观照明灯亮运行</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每月支付电费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城市环境和幸福指数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城市环境和幸福指数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项目负责人：向仕林</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51081222T000005934000-乡镇污水处理运营及检测费用</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130"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维持全区污水处理项目的正常的运转，确保环保验收合格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该项目为特定目标类项目，主要保障全区污水处理厂的运维支出。</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184.37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184.37</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98.92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53.65%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184.37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184.37</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98.92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53.65%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乡镇污水处理站数量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污水处理厂（站）全部专业化运维，达标排放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运营及监测费用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184.37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提高水资源的利用率、缓解水资源的供需矛盾。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日均处理污水量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51081222T000005934009-小中坝污水处理运营及监测费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130"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维持小中坝污水处理项目的正常的运转，确保环保验收合格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该项目为特定目标类项目，主要保障小中坝污水处理厂的运维支出。</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污水处理站数量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污水处理厂（站）全部专业化运维，达标排放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运营及监测费用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提高水资源的利用率、缓解水资源的供需矛盾。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日均处理污水量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51081222T000005934023-市政设施维修维护</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130"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城区公共设施设备的及时维修维护，保证正常使用。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改项目为特定目标类项目，主要保障城区市政设施的维修维护支出。</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26.90%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26.90%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数量或者范围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维修验收合格率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维修维护按期完成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维修维护</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城区居民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城区居民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项目负责人：赵鑫</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51081222T000005934045-园林绿化管护费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58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对养护管理范围内的所有绿地和各街道行道树进行修枝整形、苗木补植、病虫害防控、绿化去尘保洁、松土除草、浇水施肥、防旱防风防冻等养护工作，以保持植物的良好生态。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该项目为特定目标类项目，主要保障城区养护管理范围内的所有绿地和各街道行道树进行修枝整形、苗木补植、病虫害防控、绿化去尘保洁、松土除草、浇水施肥、防旱防风防冻等养护工作的费用，以保持植物的良好生态。       </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19.79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26.38%</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19.79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26.38%</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67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城市绿化养护面积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14.41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养护质量标准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绿化养护及时率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人工工资、防病治虫药物、壮苗肥料、刷干石灰、常用小型管护器具、水、电等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提高城市环境和人气</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城市生态良好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项目负责人：冉琼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51081222T000005934060-小峨眉、金堆亭、文昌亭管理、维修维护</w:t>
            </w:r>
            <w:r>
              <w:rPr>
                <w:rFonts w:hint="eastAsia" w:ascii="宋体" w:hAnsi="宋体" w:cs="宋体"/>
                <w:color w:val="000000"/>
                <w:kern w:val="0"/>
                <w:sz w:val="18"/>
                <w:szCs w:val="18"/>
                <w:lang w:eastAsia="zh-CN"/>
              </w:rPr>
              <w:t>及</w:t>
            </w:r>
            <w:r>
              <w:rPr>
                <w:rFonts w:ascii="宋体" w:hAnsi="宋体" w:cs="宋体"/>
                <w:color w:val="000000"/>
                <w:kern w:val="0"/>
                <w:sz w:val="18"/>
                <w:szCs w:val="18"/>
              </w:rPr>
              <w:t>公园保洁</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130"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保证小峨眉、金堆亭、文昌亭公园的环境卫生、正常开放运行。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该项目为特定目标类项目，用于保障小峨眉、金堆亭、文昌亭管理、维修维护</w:t>
            </w:r>
            <w:r>
              <w:rPr>
                <w:rFonts w:hint="eastAsia" w:ascii="宋体" w:hAnsi="宋体" w:cs="宋体"/>
                <w:color w:val="000000"/>
                <w:kern w:val="0"/>
                <w:sz w:val="18"/>
                <w:szCs w:val="18"/>
                <w:lang w:eastAsia="zh-CN"/>
              </w:rPr>
              <w:t>及</w:t>
            </w:r>
            <w:r>
              <w:rPr>
                <w:rFonts w:ascii="宋体" w:hAnsi="宋体" w:cs="宋体"/>
                <w:color w:val="000000"/>
                <w:kern w:val="0"/>
                <w:sz w:val="18"/>
                <w:szCs w:val="18"/>
              </w:rPr>
              <w:t>公园保洁</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公园面积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养护质量标准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维持公园正常运转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人工费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增加就业人员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达到景区标准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项目负责人：向仕林</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51081222T000005934083-小中坝污水处理厂特许经营付费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58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根据特许经营协议完成2020-2022年小中坝污水处理厂工程回购及投资回报支付，保证污水处理厂正常运营，实现日均处理污水量不低于1102吨，污水处理达标率100%，实现经营收入176万元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该项目为特定目标类项目，主要保障小中坝特许经营付费的资金。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391.13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391.13</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391.13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391.13</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工程回购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投资回报支付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污水处理达标率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投资回报支付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391.3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实现经营收入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美化朝天城区环境，提高朝天城市形象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日均处理污水数量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1102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51081222T000005934090-春节城区光亮工程项目</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356"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为营造浓厚的节日气氛，丰富市民文化生活，提升城市品位、彰显美丽宜居城市魅力、打造温馨和谐、绚丽多彩的城市氛围。       </w:t>
            </w:r>
            <w:r>
              <w:rPr>
                <w:rFonts w:ascii="宋体" w:hAnsi="宋体" w:cs="宋体"/>
                <w:color w:val="000000"/>
                <w:kern w:val="0"/>
                <w:sz w:val="18"/>
                <w:szCs w:val="18"/>
              </w:rPr>
              <w:br w:type="textWrapping"/>
            </w:r>
            <w:r>
              <w:rPr>
                <w:rFonts w:ascii="宋体" w:hAnsi="宋体" w:cs="宋体"/>
                <w:color w:val="000000"/>
                <w:kern w:val="0"/>
                <w:sz w:val="18"/>
                <w:szCs w:val="18"/>
              </w:rPr>
              <w:br w:type="textWrapping"/>
            </w:r>
            <w:r>
              <w:rPr>
                <w:rFonts w:ascii="宋体" w:hAnsi="宋体" w:cs="宋体"/>
                <w:color w:val="000000"/>
                <w:kern w:val="0"/>
                <w:sz w:val="18"/>
                <w:szCs w:val="18"/>
              </w:rPr>
              <w:br w:type="textWrapping"/>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该项目为特定目标类项目，主要保障春节城区氛围营造的资金。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6.43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27.37%</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6.43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27.37%</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3个点位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节日氛围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采购材料及制作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美化朝天城区环境，提高春节氛围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城市环境</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98</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项目负责人：冉琼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51081222T000005959451-朝天镇小中坝片区（城中村）改造项目</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根据政府购买服务协议完成广元市朝天区朝天镇小中坝片区（城中村）改造项目回购及投资回报支付，保证项目顺利完工。</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该项目为特定目标类项目，主要保障广元市朝天区朝天镇小中坝片区（城中村）改造项目回购及投资回报支付</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107.00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107.00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107.00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107.00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107.00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107.00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投资回报支付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工程回购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工程质量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完成时间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工程回购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32836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投资回报支付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实现经营收入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33332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改善朝天城区居住环境，提高人民生活质量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污水排放，亮化工程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对改善朝天城区生态环境作用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群众满意度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51081222T000006157730-污水处理专项债券资金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城镇污水处理设施建建设。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该项目为特定目标类项目，主要保障城镇污水处理设施的建设。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51081222T000006157775-老旧小区专项债券资金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景家坝片区老旧小区改造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该项目为特定目标类项目，主要保障景家坝片区老旧小区改造。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项目负责人：梁琼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51081222T000006157833-曾家新区市政设施建设专项债券资金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曾家新区市政设施建设专项债券资金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该项目为特定目标类项目，主要保障曾家新区市政设施建设专项债券资金。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51081222T000006245103-城镇保障性安居工程省级补助资金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改造小中坝老旧小区，涉及14个小区,共1106户,主要对小区公共区域进行修缮,包括小区内屋顶防水、</w:t>
            </w:r>
            <w:r>
              <w:rPr>
                <w:rFonts w:ascii="宋体" w:hAnsi="宋体" w:cs="宋体"/>
                <w:color w:val="000000"/>
                <w:kern w:val="0"/>
                <w:sz w:val="18"/>
                <w:szCs w:val="18"/>
              </w:rPr>
              <w:br w:type="textWrapping"/>
            </w:r>
            <w:r>
              <w:rPr>
                <w:rFonts w:ascii="宋体" w:hAnsi="宋体" w:cs="宋体"/>
                <w:color w:val="000000"/>
                <w:kern w:val="0"/>
                <w:sz w:val="18"/>
                <w:szCs w:val="18"/>
              </w:rPr>
              <w:t>排水系统、地面道路改造等。</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该项目为特定目标类项目，主要保障小中坝老旧小区，涉及14个小区,共1106户,主要对小区公共区域进行修缮,包括小区内屋顶防水、排水系统、地面道路改造等。</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224.91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224.91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51081222T000006245214-城镇保障性安居工程中央补助资金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目标1：改造明月路老旧小区，涉及9个小区、共626户，主要对小区公共区域进行修缮，包括小区内屋顶防水、排水系统、地面道路改造及停车场智能设施等。</w:t>
            </w:r>
            <w:r>
              <w:rPr>
                <w:rFonts w:ascii="宋体" w:hAnsi="宋体" w:cs="宋体"/>
                <w:color w:val="000000"/>
                <w:kern w:val="0"/>
                <w:sz w:val="18"/>
                <w:szCs w:val="18"/>
              </w:rPr>
              <w:br w:type="textWrapping"/>
            </w:r>
            <w:r>
              <w:rPr>
                <w:rFonts w:ascii="宋体" w:hAnsi="宋体" w:cs="宋体"/>
                <w:color w:val="000000"/>
                <w:kern w:val="0"/>
                <w:sz w:val="18"/>
                <w:szCs w:val="18"/>
              </w:rPr>
              <w:t>目标2：在计划工期内完成全部工程建设任务。                                目标3：总投资控制在512万元之内。</w:t>
            </w:r>
            <w:r>
              <w:rPr>
                <w:rFonts w:ascii="宋体" w:hAnsi="宋体" w:cs="宋体"/>
                <w:color w:val="000000"/>
                <w:kern w:val="0"/>
                <w:sz w:val="18"/>
                <w:szCs w:val="18"/>
              </w:rPr>
              <w:br w:type="textWrapping"/>
            </w:r>
            <w:r>
              <w:rPr>
                <w:rFonts w:ascii="宋体" w:hAnsi="宋体" w:cs="宋体"/>
                <w:color w:val="000000"/>
                <w:kern w:val="0"/>
                <w:sz w:val="18"/>
                <w:szCs w:val="18"/>
              </w:rPr>
              <w:t>目标4：中央专项补助资金191元，计划全部用于朝天城区明月路老旧小区改造公共区域修缮工程的建设投资支出（包含前期费用及工程投资）...</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该项目为特定目标类项目，用于明月路老旧小区改造。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554.79</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554.79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554.79</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554.79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51081222T000006525464-农村危旧房改造资金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1.完成农村易返贫致贫户需求、农村低保户需求、农村分散供养特困人员需求、因病因灾因意外事故等刚性支出较大或收入大幅度缩减导致基本生活出现严重困难家庭需求4类对象危房改造任务50户。                                                                                 2.完成农村低保边缘户需求、其他脱贫户需求2类对象危房改造任务6户。</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该项目为特定目标类项目，保障对符合对象的几类进行补助。</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642.00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417.79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65.08%</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642.00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417.79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65.08%</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项目负责人：李吁</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51081222T000006589918-2021年度先进企业奖励资金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为进一步激励先进单位再接再厉，巩固拓展工作成果，发挥示范作用，在推进全区经济高质量发展中再建新功。更好统筹经济社会发展各项工作，更好统筹发展和安全，为推进繁荣和谐美丽幸福现代化朝天建设再建新功。</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该项目为特定目标类项目，主要保障2021年先进企业的奖励资金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项目负责人：孙建梅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51081222T000006658847-城区公园绿地及行政中心绿化项目</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完成城区公园绿地及行政中心的绿地项目。</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该项目为特定目标类项目，主要保障城区公园绿地及行政中心绿化项目。</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19.80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19.80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项目负责人：冉琼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51081222T000006946741-曾家新区市政设施建设项目2</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场坪场地614亩，土石挖填118万立方米，护坡2万立方米，新建农旅产品展示交易中心33400平方米。</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该项目为特定目标类项目，主要保障曾家新区市政设施建设项目的建设。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51081222T000006969067-污水处理专项债券资金（2）</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城镇污水处理设施的建设。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该项目为特定目标类项目，主要保障城镇污水处理设施的建设。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51081222T000006970089-乡场镇、二级场镇及金堆新区污水处理设施建设项目（1）</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二级场镇及金堆新区污水处理设施建设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该项目为特定目标类项目，主要保障二级场镇及金堆新区污水处理设施建设。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51081222T000006994534-曾家山旅游服务中心项目临时占地土地复垦费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曾家山旅游服务中心项目临时占地土地复垦</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该项目为特定目标类项目，主要保障曾家山旅游服务中心项目临时占地土地复垦</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10.05</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项目负责人：苏久地</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51081222T000007012125-耕地占用税资金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曾家山基础设施PPP项目缴纳耕地占用税资金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该项目为特定目标类项目，主要保障耕地占用税的缴纳。</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59.67</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59.67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59.67</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59.67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51081222T000007182411-老旧小区改造资金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完成景家坝、明月路老旧小区的改造。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该项目为特定目标类项目，主要保障对景家坝。明月路老旧小区的改造。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1,530.00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1,530.00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项目负责人：梁琼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51081222T000007182986-污水处理改造资金1</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完成对雪溪路污水管网的改造。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该项目为特定目标类项目，主要保障对雪溪路污水管网的改造。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51081222T000007183008-污水处理改造资金2</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完成对雪溪路污水管网的改造。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该项目为特定目标类项目，主要保障对雪溪路污水管网的改造。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51081222T000007259028-2022年中央农村危房改造补助资金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1.完成农村易返贫致贫户需求、农村低保户需求、农村分散供养特困人员需求、因病因灾因意外事故等刚性支出较大或收入大幅度缩减导致基本生活出现严重困难家庭需求4类对象危房改造任务50户。                                                                                 2.完成农村低保边缘户需求、其他脱贫户需求2类对象危房改造任务6户。</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该项目为特定目标类项目，保障对符合对象的几类进行补助。</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211.21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211.21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211.21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211.21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51081222T000007259336-朝天区雪溪路雨水、污水管网改造（2）</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完成对雪溪路污水管网的改造。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该项目为特定目标类项目，主要保障对雪溪路污水管网的改造。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51081222T000007365536-2022年城镇污水处理设施建设资金（第一批省级城乡建设资金））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完成云雾山镇污水管网改造。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该项目为特定目标类项目，主要保障云雾山镇污水管网改造建设。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51081222T000007366356-2022年既有住宅电梯增设资金（第一批城乡发展专项资金））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完成2部老旧小区的电梯增设。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该项目为特定目标类项目，主要保障羊木水乡2部电梯的补助。</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项目负责人：马玉琼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51081222T000007366433-基层治理百佳示范小区资金（2022年第一批城乡发展专项资金））</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基层治理百佳示范小区资金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该项目为特定目标类项目，主要对申报基层治理百佳示范小区的社区和物业服务公司进行奖补。</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项目负责人：马玉琼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51081222T000007388240-朝天区旅游配套基础设施建设PPP项目2022</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朝天区旅游配套基础设施建设PPP项目资本及</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该项目为特定目标类项目，主要保障朝天区旅游配套基础设施建设PPP项目资本金。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355.00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355.00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355.00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项目负责人：赵鑫</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51081222Y000005135060-定额公用经费（行政）</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该项目为人员类经费，主要保障公务员及机关工勤人员的办公经费。</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15.58</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15.58</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“三公”经费</w:t>
            </w:r>
            <w:r>
              <w:rPr>
                <w:rFonts w:ascii="宋体" w:hAnsi="宋体" w:cs="宋体"/>
                <w:color w:val="000000"/>
                <w:kern w:val="0"/>
                <w:sz w:val="18"/>
                <w:szCs w:val="18"/>
              </w:rPr>
              <w:t>控制率[计算方法为：（三公经费实际支出数/预算安排数]×100%）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项目负责人：柴天力</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51081222Y000005135504-定额公用经费（事业）</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该项目为人员类经费，主要保障事业人员的办公经费。</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“三公”经费</w:t>
            </w:r>
            <w:r>
              <w:rPr>
                <w:rFonts w:ascii="宋体" w:hAnsi="宋体" w:cs="宋体"/>
                <w:color w:val="000000"/>
                <w:kern w:val="0"/>
                <w:sz w:val="18"/>
                <w:szCs w:val="18"/>
              </w:rPr>
              <w:t>控制率[计算方法为：（三公经费实际支出数/预算安排数]×100%）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项目负责人：柴天力</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51081222Y000005899943-乡村振兴第一书记和工作队工作经费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保障单位日常运转，提高预算编制质量，严格执行预算</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该项目为特定目标类项目，主要保障第一书记和工作队的日常公用经费开支。</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“三公”经费</w:t>
            </w:r>
            <w:r>
              <w:rPr>
                <w:rFonts w:ascii="宋体" w:hAnsi="宋体" w:cs="宋体"/>
                <w:color w:val="000000"/>
                <w:kern w:val="0"/>
                <w:sz w:val="18"/>
                <w:szCs w:val="18"/>
              </w:rPr>
              <w:t>控制率[计算方法为：（三公经费实际支出数/预算安排数]×100%）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项目负责人：张刚</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51081223T000007536532-2022年老旧小区燃气管道改造项目</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完成对明月路片区、景家坝片区、小中坝片区燃气管道的改造。</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该项目为特定目标类项目，主要保障明月路片区、景家坝片区、小中坝片区燃气管道的改造。</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2,139.00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2,139.00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项目负责人：贾 蕾</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51081223T000007536676-中央财政城镇保障性安居工程---小中坝老旧小区改造</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改造小中坝片区14个老旧小区基础设施，涉及1106户，主要建设内容包括：整治小区外道路约1.5km、休闲小广场约7000㎡；改造完善小区外绿化、消防、强弱电线管、供排水管网、照明系统等。</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该项目为特定目标类项目，对小中坝片区14个老旧小区进行改造，该项目正常推进中。</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5074"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51081223T000007564951-朝天区旅游配套基础设施建设PPP项目植被恢复费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朝天区旅游配套基础设施建设PPP项目植被恢复费</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该项目为特定目标类项目，主要保障朝天区旅游配套基础设施建设PPP项目植被恢复费。</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112.50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112.50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112.50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112.50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项目负责人：赵鑫</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51081223T000007894110-自建房安全专项整治鉴定费</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对全区自建房进行专项整治的鉴定费。</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该项目为特定目标类，主要保障对全区自建房进行专项整治的鉴定费。</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38.80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35.75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92.13%</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38.80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35.75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92.13%</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项目负责人：李吁</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51081223T000007934191-曾家新区市政设施建设专项债券资金3</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场坪场地614亩，土石挖填118万立方米，护坡2万立方米，新建农旅产品展示交易中心33400平方米。</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该项目为特定目标类项目，主要保障曾家新区市政设施建设项目的建设。</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项目负责人：王业斌</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51081223T000008398357-小峨眉公园建设工程</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小峨眉公园建设土地出让金</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该项目为特定目标类项目，主要保障小峨眉公园土地出让金。</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1,762.70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1,762.60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1,762.70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1,762.60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99.99%</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项目负责人：向仕林</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51081223T000008620881-既有住宅增设电梯奖补资金（区本级）</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完成2部老旧小区的电梯增设。</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该项目为特定目标类项目，主要保障羊木水乡2部电梯的补助。</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项目负责人：马玉琼</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r>
        <w:tblPrEx>
          <w:tblCellMar>
            <w:top w:w="0" w:type="dxa"/>
            <w:left w:w="108" w:type="dxa"/>
            <w:bottom w:w="0" w:type="dxa"/>
            <w:right w:w="108" w:type="dxa"/>
          </w:tblCellMar>
        </w:tblPrEx>
        <w:trPr>
          <w:trHeight w:val="286" w:hRule="atLeast"/>
        </w:trPr>
        <w:tc>
          <w:tcPr>
            <w:tcW w:w="16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6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317"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10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51081223T000008804029-疫情防控隔离点污水管网维修整治</w:t>
            </w:r>
          </w:p>
        </w:tc>
      </w:tr>
      <w:tr>
        <w:tblPrEx>
          <w:tblCellMar>
            <w:top w:w="0" w:type="dxa"/>
            <w:left w:w="108" w:type="dxa"/>
            <w:bottom w:w="0" w:type="dxa"/>
            <w:right w:w="108" w:type="dxa"/>
          </w:tblCellMar>
        </w:tblPrEx>
        <w:trPr>
          <w:trHeight w:val="512" w:hRule="atLeast"/>
        </w:trPr>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广元市朝天区住房和城乡建设局部门</w:t>
            </w:r>
          </w:p>
        </w:tc>
        <w:tc>
          <w:tcPr>
            <w:tcW w:w="7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286"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疫情防控隔离点污水管网维修整治</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该项目为特定目标类项目，主要保障疫情防控隔离点污水管网维修整治。</w:t>
            </w:r>
          </w:p>
        </w:tc>
      </w:tr>
      <w:tr>
        <w:tblPrEx>
          <w:tblCellMar>
            <w:top w:w="0" w:type="dxa"/>
            <w:left w:w="108" w:type="dxa"/>
            <w:bottom w:w="0" w:type="dxa"/>
            <w:right w:w="108" w:type="dxa"/>
          </w:tblCellMar>
        </w:tblPrEx>
        <w:trPr>
          <w:trHeight w:val="361"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753"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项目实施达到了预期的经济效益、社会效益、绩效目标完全实现，为我局在下一年度工作推进和预算安排上提供了对比数据。</w:t>
            </w:r>
          </w:p>
        </w:tc>
      </w:tr>
      <w:tr>
        <w:tblPrEx>
          <w:tblCellMar>
            <w:top w:w="0" w:type="dxa"/>
            <w:left w:w="108" w:type="dxa"/>
            <w:bottom w:w="0" w:type="dxa"/>
            <w:right w:w="108" w:type="dxa"/>
          </w:tblCellMar>
        </w:tblPrEx>
        <w:trPr>
          <w:trHeight w:val="57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项目负责人：王超</w:t>
            </w:r>
          </w:p>
        </w:tc>
        <w:tc>
          <w:tcPr>
            <w:tcW w:w="52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财务负责人：胡海兰</w:t>
            </w:r>
          </w:p>
        </w:tc>
      </w:tr>
    </w:tbl>
    <w:p>
      <w:pPr>
        <w:pStyle w:val="7"/>
        <w:spacing w:before="93"/>
        <w:rPr>
          <w:rFonts w:hAnsi="宋体" w:cs="宋体"/>
          <w:sz w:val="32"/>
          <w:szCs w:val="32"/>
          <w:shd w:val="clear" w:color="auto" w:fill="FFFFFF"/>
          <w:lang w:val="zh-CN"/>
        </w:rPr>
        <w:sectPr>
          <w:footerReference r:id="rId7" w:type="first"/>
          <w:footerReference r:id="rId6" w:type="default"/>
          <w:pgSz w:w="11906" w:h="16838"/>
          <w:pgMar w:top="2098" w:right="1474" w:bottom="1984" w:left="1587" w:header="851" w:footer="992" w:gutter="0"/>
          <w:pgNumType w:fmt="numberInDash"/>
          <w:cols w:space="425" w:num="1"/>
          <w:titlePg/>
          <w:docGrid w:type="lines" w:linePitch="312" w:charSpace="0"/>
        </w:sectPr>
      </w:pPr>
    </w:p>
    <w:p>
      <w:pPr>
        <w:pStyle w:val="7"/>
        <w:spacing w:before="93"/>
        <w:rPr>
          <w:rFonts w:ascii="黑体" w:hAnsi="黑体" w:eastAsia="黑体" w:cs="黑体"/>
          <w:sz w:val="32"/>
          <w:szCs w:val="32"/>
        </w:rPr>
      </w:pPr>
      <w:r>
        <w:rPr>
          <w:rFonts w:hint="eastAsia" w:ascii="黑体" w:hAnsi="黑体" w:eastAsia="黑体" w:cs="黑体"/>
          <w:sz w:val="32"/>
          <w:szCs w:val="32"/>
          <w:shd w:val="clear" w:color="auto" w:fill="FFFFFF"/>
          <w:lang w:val="zh-CN"/>
        </w:rPr>
        <w:t>附件</w:t>
      </w:r>
      <w:r>
        <w:rPr>
          <w:rFonts w:hint="eastAsia" w:ascii="黑体" w:hAnsi="黑体" w:eastAsia="黑体" w:cs="黑体"/>
          <w:sz w:val="32"/>
          <w:szCs w:val="32"/>
          <w:shd w:val="clear" w:color="auto" w:fill="FFFFFF"/>
        </w:rPr>
        <w:t>2</w:t>
      </w:r>
    </w:p>
    <w:p>
      <w:pPr>
        <w:pStyle w:val="37"/>
        <w:spacing w:line="560" w:lineRule="exact"/>
        <w:jc w:val="center"/>
        <w:rPr>
          <w:rFonts w:ascii="方正小标宋简体" w:hAnsi="宋体" w:eastAsia="方正小标宋简体"/>
          <w:sz w:val="44"/>
          <w:szCs w:val="44"/>
        </w:rPr>
      </w:pPr>
      <w:bookmarkStart w:id="72" w:name="_Toc15396618"/>
      <w:r>
        <w:rPr>
          <w:rFonts w:hint="eastAsia" w:ascii="方正小标宋简体" w:hAnsi="宋体" w:eastAsia="方正小标宋简体"/>
          <w:sz w:val="44"/>
          <w:szCs w:val="44"/>
          <w:lang w:val="en-US"/>
        </w:rPr>
        <w:t>2022年</w:t>
      </w:r>
      <w:r>
        <w:rPr>
          <w:rFonts w:hint="eastAsia" w:ascii="方正小标宋简体" w:hAnsi="宋体" w:eastAsia="方正小标宋简体"/>
          <w:sz w:val="44"/>
          <w:szCs w:val="44"/>
        </w:rPr>
        <w:t>专项预算项目支出绩效自评报告</w:t>
      </w:r>
    </w:p>
    <w:p>
      <w:pPr>
        <w:spacing w:line="576"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（天府旅游名县创建项目）</w:t>
      </w:r>
    </w:p>
    <w:p>
      <w:pPr>
        <w:pStyle w:val="37"/>
        <w:spacing w:line="600" w:lineRule="exact"/>
        <w:ind w:firstLine="640"/>
        <w:jc w:val="center"/>
        <w:rPr>
          <w:rFonts w:ascii="仿宋_GB2312" w:hAnsi="仿宋_GB2312" w:eastAsia="仿宋_GB2312" w:cs="仿宋_GB2312"/>
          <w:color w:val="auto"/>
          <w:kern w:val="2"/>
          <w:sz w:val="32"/>
          <w:szCs w:val="32"/>
          <w:lang w:val="en-US"/>
        </w:rPr>
      </w:pPr>
    </w:p>
    <w:p>
      <w:pPr>
        <w:adjustRightInd w:val="0"/>
        <w:snapToGrid w:val="0"/>
        <w:spacing w:line="600"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（一）项目资金申报及批复情况。</w:t>
      </w:r>
      <w:r>
        <w:rPr>
          <w:rFonts w:hint="eastAsia" w:ascii="仿宋_GB2312" w:hAnsi="仿宋_GB2312" w:eastAsia="仿宋_GB2312" w:cs="仿宋_GB2312"/>
          <w:sz w:val="32"/>
          <w:szCs w:val="32"/>
        </w:rPr>
        <w:t>根据广元市朝天区财政局《关于下达第三批天府旅游名县奖励资金的通知》（广朝财教〔2021〕46号）文件，下达专项用于天府旅游名县创建项目资金100万元。</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（二）项目绩效目标。</w:t>
      </w:r>
      <w:r>
        <w:rPr>
          <w:rFonts w:hint="eastAsia" w:ascii="仿宋_GB2312" w:hAnsi="仿宋_GB2312" w:eastAsia="仿宋_GB2312" w:cs="仿宋_GB2312"/>
          <w:sz w:val="32"/>
          <w:szCs w:val="32"/>
        </w:rPr>
        <w:t>主要建设内容</w:t>
      </w:r>
      <w:bookmarkStart w:id="73" w:name="OLE_LINK1"/>
      <w:r>
        <w:rPr>
          <w:rFonts w:hint="eastAsia" w:ascii="仿宋_GB2312" w:hAnsi="仿宋_GB2312" w:eastAsia="仿宋_GB2312" w:cs="仿宋_GB2312"/>
          <w:sz w:val="32"/>
          <w:szCs w:val="32"/>
        </w:rPr>
        <w:t>：用于朝天城区时代广场步行街（美食街）凉亭安装、时代广场绿化打造、明月峡至潜溪路一段绿道建设（铺彩色沥青）、陵江西路绿道（喷涂红色油漆）等天府旅游名县创建100万元。</w:t>
      </w:r>
      <w:bookmarkEnd w:id="73"/>
      <w:r>
        <w:rPr>
          <w:rFonts w:hint="eastAsia" w:ascii="仿宋_GB2312" w:hAnsi="仿宋_GB2312" w:eastAsia="仿宋_GB2312" w:cs="仿宋_GB2312"/>
          <w:sz w:val="32"/>
          <w:szCs w:val="32"/>
        </w:rPr>
        <w:t>实施进度：2020年3月开工，2020年6月底完工。</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（三）项目资金申报相符性。</w:t>
      </w:r>
      <w:r>
        <w:rPr>
          <w:rFonts w:hint="eastAsia" w:ascii="仿宋_GB2312" w:hAnsi="仿宋_GB2312" w:eastAsia="仿宋_GB2312" w:cs="仿宋_GB2312"/>
          <w:sz w:val="32"/>
          <w:szCs w:val="32"/>
        </w:rPr>
        <w:t>项目建设资金申报内容与具体实施建设内容相符，项目建设资金做到了专款专用，未截留、挪用项目建设资金，申报目标合理可行。</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二、项目实施及管理情况</w:t>
      </w:r>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zh-CN"/>
        </w:rPr>
        <w:t>（一）资金计划、到位及使用情况。</w:t>
      </w:r>
      <w:r>
        <w:rPr>
          <w:rFonts w:hint="eastAsia" w:ascii="仿宋_GB2312" w:hAnsi="仿宋_GB2312" w:eastAsia="仿宋_GB2312" w:cs="仿宋_GB2312"/>
          <w:sz w:val="32"/>
          <w:szCs w:val="32"/>
        </w:rPr>
        <w:t>一是资金计划及到位情况。2021年度，安排天府旅游名县创建项目100万元，资金已全部到位，资金到位率100%，到位及时率100%。二是资金使用。2021年度，根据《关广元市朝天区财政局于下达第三批天府旅游名县奖励资金的通知》（广朝财教〔2021〕46号）文件，下达专项用于天府旅游名县创建项目资金100万元。资金用于朝天城区时代广场步行街（美食街）凉亭安装、时代广场绿化打造、明月峡至潜溪路一段绿道建设（铺彩色沥青）、陵江西路绿道（喷涂红色油漆）等天府旅游名县创建，项目所有资金的使用全部实行专账管理，专款专用，严格把关，整个项目的运行完全按照我单位内部管理制度、区委、区政府及财政的有关规定执行。单位内部不定期进行抽查，严格人员作风，不存在违规违法的问题。本项目资金使用与具体项目实施内容相符。</w:t>
      </w:r>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zh-CN"/>
        </w:rPr>
        <w:t>（二）项目财务管理情况。</w:t>
      </w:r>
      <w:r>
        <w:rPr>
          <w:rFonts w:hint="eastAsia" w:ascii="仿宋_GB2312" w:hAnsi="仿宋_GB2312" w:eastAsia="仿宋_GB2312" w:cs="仿宋_GB2312"/>
          <w:sz w:val="32"/>
          <w:szCs w:val="32"/>
        </w:rPr>
        <w:t>项目资金实行专户管理，专款专用，严格按计划和工程实施进度拨付，并按有关资金管理制定的规定严格使用，不得以任何理由挤占和挪用；保证各项开支合理、透明，提高资金使用效益。</w:t>
      </w:r>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zh-CN"/>
        </w:rPr>
        <w:t>（三）项目组织实施情况。</w:t>
      </w:r>
      <w:r>
        <w:rPr>
          <w:rFonts w:hint="eastAsia" w:ascii="仿宋_GB2312" w:hAnsi="仿宋_GB2312" w:eastAsia="仿宋_GB2312" w:cs="仿宋_GB2312"/>
          <w:sz w:val="32"/>
          <w:szCs w:val="32"/>
        </w:rPr>
        <w:t>为了加强对项目实施，进一步细化分解目标任务，由区住房和城乡建设局相关业务股室分别承担相应任务，并确定各业务股室股长、专职干部与相关部门汇报、沟通和衔接，争取更多资金，切实对项目实行跟踪式服务，从项目的联系洽谈、项目跟进、资金投入等环节实行全程专人负责，确保项目落地投产。</w:t>
      </w:r>
    </w:p>
    <w:p>
      <w:pPr>
        <w:widowControl/>
        <w:autoSpaceDE w:val="0"/>
        <w:adjustRightInd w:val="0"/>
        <w:snapToGrid w:val="0"/>
        <w:spacing w:line="600" w:lineRule="exact"/>
        <w:ind w:firstLine="608" w:firstLineChars="200"/>
        <w:contextualSpacing/>
        <w:jc w:val="left"/>
        <w:rPr>
          <w:rFonts w:ascii="黑体" w:hAnsi="黑体" w:eastAsia="黑体"/>
          <w:color w:val="000000"/>
          <w:spacing w:val="-6"/>
          <w:w w:val="99"/>
          <w:kern w:val="0"/>
          <w:sz w:val="32"/>
          <w:szCs w:val="32"/>
          <w:shd w:val="clear" w:color="auto" w:fill="FFFFFF"/>
          <w:lang w:val="zh-CN"/>
        </w:rPr>
      </w:pPr>
      <w:r>
        <w:rPr>
          <w:rFonts w:hint="eastAsia" w:ascii="黑体" w:hAnsi="黑体" w:eastAsia="黑体"/>
          <w:color w:val="000000"/>
          <w:spacing w:val="-6"/>
          <w:w w:val="99"/>
          <w:kern w:val="0"/>
          <w:sz w:val="32"/>
          <w:szCs w:val="32"/>
          <w:shd w:val="clear" w:color="auto" w:fill="FFFFFF"/>
        </w:rPr>
        <w:t>三、项目绩效情况</w:t>
      </w:r>
      <w:r>
        <w:rPr>
          <w:rFonts w:hint="eastAsia" w:ascii="黑体" w:hAnsi="黑体" w:eastAsia="黑体"/>
          <w:color w:val="000000"/>
          <w:spacing w:val="-6"/>
          <w:w w:val="99"/>
          <w:kern w:val="0"/>
          <w:sz w:val="32"/>
          <w:szCs w:val="32"/>
          <w:shd w:val="clear" w:color="auto" w:fill="FFFFFF"/>
          <w:lang w:val="zh-CN"/>
        </w:rPr>
        <w:tab/>
      </w:r>
    </w:p>
    <w:p>
      <w:pPr>
        <w:adjustRightInd w:val="0"/>
        <w:snapToGrid w:val="0"/>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zh-CN"/>
        </w:rPr>
        <w:t>（一）项目完成情况。</w:t>
      </w:r>
      <w:r>
        <w:rPr>
          <w:rFonts w:hint="eastAsia" w:ascii="仿宋_GB2312" w:hAnsi="仿宋_GB2312" w:eastAsia="仿宋_GB2312" w:cs="仿宋_GB2312"/>
          <w:sz w:val="32"/>
          <w:szCs w:val="32"/>
        </w:rPr>
        <w:t>一是数量指标完成情况：完成城区明月峡至潜溪路一段道路右侧2.5米宽、厚4厘米彩色沥青摊铺等天府旅游名县创建内容。二是质量指标完成情况：验收合格率100%。三是时效指标完成情况：2020年6月底前完成。四是满意度指标完成情况：受益人员满意度97%。五是资金结余完成情况：无结余资金。</w:t>
      </w:r>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zh-CN"/>
        </w:rPr>
        <w:t>（二）项目效益情况。</w:t>
      </w:r>
      <w:r>
        <w:rPr>
          <w:rFonts w:hint="eastAsia" w:ascii="仿宋_GB2312" w:hAnsi="仿宋_GB2312" w:eastAsia="仿宋_GB2312" w:cs="仿宋_GB2312"/>
          <w:sz w:val="32"/>
          <w:szCs w:val="32"/>
        </w:rPr>
        <w:t>可持续影响指标分析：做好天府旅游名县创建工作，可为城市留下知名度名片，提高了城市影响力，打造城市旅游品牌，对城市的发展具有重要意义。服务对象满意度指标分析：创建天府旅游名县工作使我区形象在群众心目中大幅度提升，使群众感到舒适、惬意，受益群众满意度达97%以上。</w:t>
      </w:r>
    </w:p>
    <w:p>
      <w:pPr>
        <w:numPr>
          <w:ilvl w:val="255"/>
          <w:numId w:val="0"/>
        </w:numPr>
        <w:adjustRightInd w:val="0"/>
        <w:snapToGrid w:val="0"/>
        <w:spacing w:line="600" w:lineRule="exact"/>
        <w:ind w:firstLine="608" w:firstLineChars="200"/>
        <w:rPr>
          <w:rFonts w:ascii="黑体" w:hAnsi="黑体" w:eastAsia="黑体"/>
          <w:color w:val="000000"/>
          <w:spacing w:val="-6"/>
          <w:w w:val="99"/>
          <w:kern w:val="0"/>
          <w:sz w:val="32"/>
          <w:szCs w:val="32"/>
          <w:shd w:val="clear" w:color="auto" w:fill="FFFFFF"/>
        </w:rPr>
      </w:pPr>
      <w:r>
        <w:rPr>
          <w:rFonts w:hint="eastAsia" w:ascii="黑体" w:hAnsi="黑体" w:eastAsia="黑体"/>
          <w:color w:val="000000"/>
          <w:spacing w:val="-6"/>
          <w:w w:val="99"/>
          <w:kern w:val="0"/>
          <w:sz w:val="32"/>
          <w:szCs w:val="32"/>
          <w:shd w:val="clear" w:color="auto" w:fill="FFFFFF"/>
        </w:rPr>
        <w:t>四、评价结论及建议</w:t>
      </w:r>
    </w:p>
    <w:p>
      <w:pPr>
        <w:widowControl/>
        <w:autoSpaceDE w:val="0"/>
        <w:adjustRightInd w:val="0"/>
        <w:snapToGrid w:val="0"/>
        <w:spacing w:line="60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总体上看，</w:t>
      </w:r>
      <w:r>
        <w:rPr>
          <w:rFonts w:hint="eastAsia" w:ascii="仿宋_GB2312" w:hAnsi="仿宋_GB2312" w:eastAsia="仿宋_GB2312" w:cs="仿宋_GB2312"/>
          <w:sz w:val="32"/>
          <w:szCs w:val="32"/>
          <w:lang w:val="zh-CN"/>
        </w:rPr>
        <w:t>我单位</w:t>
      </w:r>
      <w:r>
        <w:rPr>
          <w:rFonts w:hint="eastAsia" w:ascii="仿宋_GB2312" w:hAnsi="仿宋_GB2312" w:eastAsia="仿宋_GB2312" w:cs="仿宋_GB2312"/>
          <w:sz w:val="32"/>
          <w:szCs w:val="32"/>
        </w:rPr>
        <w:t>2022年部门支出较规范、合理，符合财政预算资金的相关制度和办法。部门制度建立健全且执行情况良好，较好的履行了部门基本职能，完成了年度重点任务工作。经评定绩效自评总得分为：99分。</w:t>
      </w:r>
    </w:p>
    <w:p>
      <w:pPr>
        <w:numPr>
          <w:ilvl w:val="255"/>
          <w:numId w:val="0"/>
        </w:numPr>
        <w:adjustRightInd w:val="0"/>
        <w:snapToGrid w:val="0"/>
        <w:spacing w:line="576" w:lineRule="exact"/>
        <w:rPr>
          <w:color w:val="FF0000"/>
          <w:lang w:eastAsia="zh-TW" w:bidi="zh-TW"/>
        </w:rPr>
      </w:pPr>
    </w:p>
    <w:p>
      <w:pPr>
        <w:pStyle w:val="6"/>
        <w:rPr>
          <w:color w:val="FF0000"/>
          <w:lang w:eastAsia="zh-TW" w:bidi="zh-TW"/>
        </w:rPr>
      </w:pPr>
    </w:p>
    <w:p>
      <w:pPr>
        <w:rPr>
          <w:color w:val="FF0000"/>
          <w:lang w:eastAsia="zh-TW" w:bidi="zh-TW"/>
        </w:rPr>
      </w:pPr>
    </w:p>
    <w:p>
      <w:pPr>
        <w:pStyle w:val="6"/>
        <w:rPr>
          <w:color w:val="FF0000"/>
          <w:lang w:eastAsia="zh-TW" w:bidi="zh-TW"/>
        </w:rPr>
      </w:pPr>
    </w:p>
    <w:p>
      <w:pPr>
        <w:rPr>
          <w:color w:val="FF0000"/>
          <w:lang w:eastAsia="zh-TW" w:bidi="zh-TW"/>
        </w:rPr>
      </w:pPr>
    </w:p>
    <w:p>
      <w:pPr>
        <w:pStyle w:val="6"/>
        <w:rPr>
          <w:color w:val="FF0000"/>
          <w:lang w:eastAsia="zh-TW" w:bidi="zh-TW"/>
        </w:rPr>
      </w:pPr>
    </w:p>
    <w:p>
      <w:pPr>
        <w:rPr>
          <w:color w:val="FF0000"/>
          <w:lang w:eastAsia="zh-TW" w:bidi="zh-TW"/>
        </w:rPr>
      </w:pPr>
    </w:p>
    <w:p>
      <w:pPr>
        <w:pStyle w:val="6"/>
        <w:rPr>
          <w:color w:val="FF0000"/>
          <w:lang w:eastAsia="zh-TW" w:bidi="zh-TW"/>
        </w:rPr>
      </w:pPr>
    </w:p>
    <w:p>
      <w:pPr>
        <w:rPr>
          <w:color w:val="FF0000"/>
          <w:lang w:eastAsia="zh-TW" w:bidi="zh-TW"/>
        </w:rPr>
      </w:pPr>
    </w:p>
    <w:p>
      <w:pPr>
        <w:pStyle w:val="6"/>
        <w:spacing w:line="600" w:lineRule="exact"/>
        <w:jc w:val="center"/>
        <w:rPr>
          <w:rFonts w:ascii="方正小标宋简体" w:hAnsi="方正小标宋简体" w:eastAsia="方正小标宋简体" w:cs="方正小标宋简体"/>
          <w:color w:val="FF0000"/>
          <w:sz w:val="44"/>
          <w:szCs w:val="44"/>
          <w:lang w:eastAsia="zh-TW" w:bidi="zh-TW"/>
        </w:rPr>
      </w:pPr>
      <w:r>
        <w:rPr>
          <w:rFonts w:hint="eastAsia" w:ascii="方正小标宋简体" w:hAnsi="方正小标宋简体" w:eastAsia="方正小标宋简体" w:cs="方正小标宋简体"/>
          <w:sz w:val="44"/>
          <w:szCs w:val="44"/>
        </w:rPr>
        <w:t>2022年专项预算项目支出绩效自评报告</w:t>
      </w:r>
    </w:p>
    <w:p>
      <w:pPr>
        <w:pStyle w:val="16"/>
        <w:spacing w:line="600" w:lineRule="exact"/>
        <w:rPr>
          <w:rFonts w:ascii="楷体_GB2312" w:hAnsi="楷体_GB2312" w:eastAsia="楷体_GB2312" w:cs="楷体_GB2312"/>
          <w:bCs w:val="0"/>
          <w:sz w:val="32"/>
        </w:rPr>
      </w:pPr>
      <w:bookmarkStart w:id="74" w:name="_Toc11165"/>
      <w:bookmarkStart w:id="75" w:name="_Toc31149"/>
      <w:r>
        <w:rPr>
          <w:rFonts w:hint="eastAsia" w:ascii="楷体_GB2312" w:hAnsi="楷体_GB2312" w:eastAsia="楷体_GB2312" w:cs="楷体_GB2312"/>
          <w:bCs w:val="0"/>
          <w:sz w:val="32"/>
        </w:rPr>
        <w:t>（朝天区云雾山镇排水管网改造修复）</w:t>
      </w:r>
      <w:bookmarkEnd w:id="74"/>
      <w:bookmarkEnd w:id="75"/>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根据《四川省住房和城乡建设厅关于做好2023年省级城乡建设发展专项资金绩效评价工作的通知》（川建计财函〔2023〕 213号）要求，我局就朝天区云雾山镇排水管网改造修复专项资金绩效进行了自评，现将自评情况报告如下：</w:t>
      </w:r>
    </w:p>
    <w:p>
      <w:pPr>
        <w:widowControl/>
        <w:autoSpaceDE w:val="0"/>
        <w:adjustRightInd w:val="0"/>
        <w:snapToGrid w:val="0"/>
        <w:spacing w:line="600" w:lineRule="exact"/>
        <w:ind w:firstLine="608" w:firstLineChars="200"/>
        <w:contextualSpacing/>
        <w:jc w:val="left"/>
        <w:outlineLvl w:val="1"/>
        <w:rPr>
          <w:rFonts w:ascii="黑体" w:hAnsi="黑体" w:eastAsia="黑体" w:cs="黑体"/>
          <w:color w:val="000000"/>
          <w:spacing w:val="-6"/>
          <w:w w:val="99"/>
          <w:kern w:val="0"/>
          <w:sz w:val="32"/>
          <w:szCs w:val="32"/>
          <w:shd w:val="clear" w:color="auto" w:fill="FFFFFF"/>
          <w:lang w:val="zh-CN"/>
        </w:rPr>
      </w:pPr>
      <w:bookmarkStart w:id="76" w:name="_Toc32217"/>
      <w:bookmarkStart w:id="77" w:name="_Toc19667"/>
      <w:r>
        <w:rPr>
          <w:rFonts w:hint="eastAsia" w:ascii="黑体" w:hAnsi="黑体" w:eastAsia="黑体" w:cs="黑体"/>
          <w:color w:val="000000"/>
          <w:spacing w:val="-6"/>
          <w:w w:val="99"/>
          <w:kern w:val="0"/>
          <w:sz w:val="32"/>
          <w:szCs w:val="32"/>
          <w:shd w:val="clear" w:color="auto" w:fill="FFFFFF"/>
        </w:rPr>
        <w:t>一、</w:t>
      </w:r>
      <w:r>
        <w:rPr>
          <w:rFonts w:hint="eastAsia" w:ascii="黑体" w:hAnsi="黑体" w:eastAsia="黑体" w:cs="黑体"/>
          <w:color w:val="000000"/>
          <w:spacing w:val="-6"/>
          <w:w w:val="99"/>
          <w:kern w:val="0"/>
          <w:sz w:val="32"/>
          <w:szCs w:val="32"/>
          <w:shd w:val="clear" w:color="auto" w:fill="FFFFFF"/>
          <w:lang w:val="zh-CN"/>
        </w:rPr>
        <w:t>项目概况</w:t>
      </w:r>
      <w:bookmarkEnd w:id="76"/>
      <w:bookmarkEnd w:id="77"/>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（一）建设专项资金申报及批复情况。</w:t>
      </w:r>
      <w:r>
        <w:rPr>
          <w:rFonts w:hint="eastAsia" w:ascii="仿宋_GB2312" w:hAnsi="仿宋_GB2312" w:eastAsia="仿宋_GB2312" w:cs="仿宋_GB2312"/>
          <w:sz w:val="32"/>
          <w:szCs w:val="32"/>
          <w:lang w:val="zh-CN"/>
        </w:rPr>
        <w:t>朝天区云雾山镇排水管网改造修复项目于2021年6月2日获得广元市朝天区发展和改革局的立项批复</w:t>
      </w:r>
      <w:r>
        <w:rPr>
          <w:rFonts w:hint="eastAsia" w:ascii="仿宋_GB2312" w:hAnsi="仿宋_GB2312" w:eastAsia="仿宋_GB2312" w:cs="仿宋_GB2312"/>
          <w:sz w:val="32"/>
          <w:szCs w:val="32"/>
        </w:rPr>
        <w:t>（广朝发改项目〔2021〕 101号）</w:t>
      </w:r>
      <w:r>
        <w:rPr>
          <w:rFonts w:hint="eastAsia" w:ascii="仿宋_GB2312" w:hAnsi="仿宋_GB2312" w:eastAsia="仿宋_GB2312" w:cs="仿宋_GB2312"/>
          <w:sz w:val="32"/>
          <w:szCs w:val="32"/>
          <w:lang w:val="zh-CN"/>
        </w:rPr>
        <w:t>，2022年8月4日收到省级城乡建设发展专项资金</w:t>
      </w:r>
      <w:r>
        <w:rPr>
          <w:rFonts w:hint="eastAsia" w:ascii="仿宋_GB2312" w:hAnsi="仿宋_GB2312" w:eastAsia="仿宋_GB2312" w:cs="仿宋_GB2312"/>
          <w:sz w:val="32"/>
          <w:szCs w:val="32"/>
        </w:rPr>
        <w:t>（广财投〔2022〕78号）。</w:t>
      </w:r>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（二）项目计划及绩效目标。</w:t>
      </w:r>
      <w:r>
        <w:rPr>
          <w:rFonts w:hint="eastAsia" w:ascii="仿宋_GB2312" w:hAnsi="仿宋_GB2312" w:eastAsia="仿宋_GB2312" w:cs="仿宋_GB2312"/>
          <w:sz w:val="32"/>
          <w:szCs w:val="32"/>
          <w:lang w:val="zh-CN"/>
        </w:rPr>
        <w:t>朝天区云雾山镇排水管网改造修复项目建设的主要内容为：通过新建场镇污水管网100米，砼检查井4座，新建羊广路污水管网612米，入户管960米，砼检查井36座；新建安置点雨水管网1300米，砼检查井39座，截水沟216米；新建安置点污水管网700米，入户管360米，砼检查井42座；配套相关附属工程；计划实现的绩效目标为：新/改建场镇排水管网3.27公里（污水管网1.77公里、雨水管网1.5公里），实现云雾山镇污水的循环利用，大幅度提高水资源利用率，有效解决云雾山镇污水水体异味、浑浊现象，改善周边的人居环境的需要。</w:t>
      </w:r>
    </w:p>
    <w:p>
      <w:pPr>
        <w:widowControl/>
        <w:autoSpaceDE w:val="0"/>
        <w:adjustRightInd w:val="0"/>
        <w:snapToGrid w:val="0"/>
        <w:spacing w:line="600" w:lineRule="exact"/>
        <w:ind w:firstLine="608" w:firstLineChars="200"/>
        <w:contextualSpacing/>
        <w:jc w:val="left"/>
        <w:outlineLvl w:val="1"/>
        <w:rPr>
          <w:rFonts w:ascii="黑体" w:hAnsi="黑体" w:eastAsia="黑体" w:cs="黑体"/>
          <w:color w:val="000000"/>
          <w:spacing w:val="-6"/>
          <w:w w:val="99"/>
          <w:kern w:val="0"/>
          <w:sz w:val="32"/>
          <w:szCs w:val="32"/>
          <w:shd w:val="clear" w:color="auto" w:fill="FFFFFF"/>
        </w:rPr>
      </w:pPr>
      <w:bookmarkStart w:id="78" w:name="_Toc12901"/>
      <w:bookmarkStart w:id="79" w:name="_Toc4318"/>
      <w:r>
        <w:rPr>
          <w:rFonts w:hint="eastAsia" w:ascii="黑体" w:hAnsi="黑体" w:eastAsia="黑体" w:cs="黑体"/>
          <w:color w:val="000000"/>
          <w:spacing w:val="-6"/>
          <w:w w:val="99"/>
          <w:kern w:val="0"/>
          <w:sz w:val="32"/>
          <w:szCs w:val="32"/>
          <w:shd w:val="clear" w:color="auto" w:fill="FFFFFF"/>
        </w:rPr>
        <w:t>二、项目实施及管理情况</w:t>
      </w:r>
      <w:bookmarkEnd w:id="78"/>
      <w:bookmarkEnd w:id="79"/>
    </w:p>
    <w:p>
      <w:pPr>
        <w:numPr>
          <w:ilvl w:val="255"/>
          <w:numId w:val="0"/>
        </w:numPr>
        <w:adjustRightInd w:val="0"/>
        <w:snapToGrid w:val="0"/>
        <w:spacing w:line="600" w:lineRule="exact"/>
        <w:ind w:firstLine="642" w:firstLineChars="200"/>
        <w:outlineLvl w:val="2"/>
        <w:rPr>
          <w:rFonts w:ascii="楷体_GB2312" w:hAnsi="楷体_GB2312" w:eastAsia="楷体_GB2312" w:cs="楷体_GB2312"/>
          <w:b/>
          <w:bCs/>
          <w:sz w:val="32"/>
          <w:szCs w:val="32"/>
          <w:lang w:val="zh-CN"/>
        </w:rPr>
      </w:pPr>
      <w:bookmarkStart w:id="80" w:name="_Toc11521"/>
      <w:bookmarkStart w:id="81" w:name="_Toc13156"/>
      <w:r>
        <w:rPr>
          <w:rFonts w:hint="eastAsia" w:ascii="楷体_GB2312" w:hAnsi="楷体_GB2312" w:eastAsia="楷体_GB2312" w:cs="楷体_GB2312"/>
          <w:b/>
          <w:bCs/>
          <w:sz w:val="32"/>
          <w:szCs w:val="32"/>
          <w:lang w:val="zh-CN"/>
        </w:rPr>
        <w:t>（一）资金计划、到位及使用情况。</w:t>
      </w:r>
      <w:bookmarkEnd w:id="80"/>
      <w:bookmarkEnd w:id="81"/>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资金计划及到位。截至</w:t>
      </w:r>
      <w:r>
        <w:rPr>
          <w:rFonts w:hint="eastAsia" w:ascii="仿宋_GB2312" w:hAnsi="仿宋_GB2312" w:eastAsia="仿宋_GB2312" w:cs="仿宋_GB2312"/>
          <w:sz w:val="32"/>
          <w:szCs w:val="32"/>
        </w:rPr>
        <w:t>2023年1月实际到位资金270万元（2022年8月拨付省级城乡建设发展专项资金270万元），无其他渠道资金。与资金计划比对，资金到位率100%、到位及时。</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2.建设专项</w:t>
      </w:r>
      <w:r>
        <w:rPr>
          <w:rFonts w:hint="eastAsia" w:ascii="仿宋_GB2312" w:hAnsi="仿宋_GB2312" w:eastAsia="仿宋_GB2312" w:cs="仿宋_GB2312"/>
          <w:sz w:val="32"/>
          <w:szCs w:val="32"/>
          <w:lang w:val="zh-CN"/>
        </w:rPr>
        <w:t>资金使用。截至</w:t>
      </w:r>
      <w:r>
        <w:rPr>
          <w:rFonts w:hint="eastAsia" w:ascii="仿宋_GB2312" w:hAnsi="仿宋_GB2312" w:eastAsia="仿宋_GB2312" w:cs="仿宋_GB2312"/>
          <w:sz w:val="32"/>
          <w:szCs w:val="32"/>
        </w:rPr>
        <w:t>2023年1月，该</w:t>
      </w:r>
      <w:r>
        <w:rPr>
          <w:rFonts w:hint="eastAsia" w:ascii="仿宋_GB2312" w:hAnsi="仿宋_GB2312" w:eastAsia="仿宋_GB2312" w:cs="仿宋_GB2312"/>
          <w:sz w:val="32"/>
          <w:szCs w:val="32"/>
          <w:lang w:val="zh-CN"/>
        </w:rPr>
        <w:t>项目的建设专项资金实际使用270万元，资金用于支付云雾山镇排水管网改造修复工程资金、严格按照施工合同规定的标准及支付进度进行支付，支付依据合规合法，资金支付与计划相符（根据合同规定完工竣工验收支付至合同价的85%，目前正在进行工程收尾工作，资金支付比例为81.12%）。</w:t>
      </w:r>
    </w:p>
    <w:p>
      <w:pPr>
        <w:numPr>
          <w:ilvl w:val="255"/>
          <w:numId w:val="0"/>
        </w:numPr>
        <w:adjustRightInd w:val="0"/>
        <w:snapToGrid w:val="0"/>
        <w:spacing w:line="600" w:lineRule="exact"/>
        <w:ind w:firstLine="642" w:firstLineChars="200"/>
        <w:outlineLvl w:val="2"/>
        <w:rPr>
          <w:rFonts w:ascii="楷体_GB2312" w:hAnsi="楷体_GB2312" w:eastAsia="楷体_GB2312" w:cs="楷体_GB2312"/>
          <w:b/>
          <w:bCs/>
          <w:sz w:val="32"/>
          <w:szCs w:val="32"/>
          <w:lang w:val="zh-CN"/>
        </w:rPr>
      </w:pPr>
      <w:bookmarkStart w:id="82" w:name="_Toc26217"/>
      <w:bookmarkStart w:id="83" w:name="_Toc19074"/>
      <w:r>
        <w:rPr>
          <w:rFonts w:hint="eastAsia" w:ascii="楷体_GB2312" w:hAnsi="楷体_GB2312" w:eastAsia="楷体_GB2312" w:cs="楷体_GB2312"/>
          <w:b/>
          <w:bCs/>
          <w:sz w:val="32"/>
          <w:szCs w:val="32"/>
          <w:lang w:val="zh-CN"/>
        </w:rPr>
        <w:t>（二）项目财务管理情况。</w:t>
      </w:r>
      <w:bookmarkEnd w:id="82"/>
      <w:bookmarkEnd w:id="83"/>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我局财务管理制度健全，有独立的财务核算机构和人员，严格执行财务管理制度，账务处理及时，会计核算规范。</w:t>
      </w:r>
    </w:p>
    <w:p>
      <w:pPr>
        <w:numPr>
          <w:ilvl w:val="255"/>
          <w:numId w:val="0"/>
        </w:numPr>
        <w:adjustRightInd w:val="0"/>
        <w:snapToGrid w:val="0"/>
        <w:spacing w:line="600" w:lineRule="exact"/>
        <w:ind w:firstLine="642" w:firstLineChars="200"/>
        <w:outlineLvl w:val="2"/>
        <w:rPr>
          <w:rFonts w:ascii="楷体_GB2312" w:hAnsi="楷体_GB2312" w:eastAsia="楷体_GB2312" w:cs="楷体_GB2312"/>
          <w:b/>
          <w:bCs/>
          <w:sz w:val="32"/>
          <w:szCs w:val="32"/>
          <w:lang w:val="zh-CN"/>
        </w:rPr>
      </w:pPr>
      <w:bookmarkStart w:id="84" w:name="_Toc31977"/>
      <w:bookmarkStart w:id="85" w:name="_Toc5322"/>
      <w:r>
        <w:rPr>
          <w:rFonts w:hint="eastAsia" w:ascii="楷体_GB2312" w:hAnsi="楷体_GB2312" w:eastAsia="楷体_GB2312" w:cs="楷体_GB2312"/>
          <w:b/>
          <w:bCs/>
          <w:sz w:val="32"/>
          <w:szCs w:val="32"/>
          <w:lang w:val="zh-CN"/>
        </w:rPr>
        <w:t>（三）项目组织实施情况。</w:t>
      </w:r>
      <w:bookmarkEnd w:id="84"/>
      <w:bookmarkEnd w:id="85"/>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我局由</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val="zh-CN"/>
        </w:rPr>
        <w:t>股具体负责项目工作，人事计财股负责资金管理及拨付。</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val="zh-CN"/>
        </w:rPr>
        <w:t>股负责提出资金使用计划，核实项目进度；人事计财股负责审核资金拨付计划，根据</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val="zh-CN"/>
        </w:rPr>
        <w:t>股核实的项目实施进度拨付资金。</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局该资金涉及项目均按照招投标、政府采购等相关法律法规及项目管理制度开展可研、初设、财评等工作，按照规定时间进行了公示，并严格按照招投标、政府采购程序确定实施单位。本项目实施单位为广元市朝天区云雾山镇人民政府。</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局的专项资金分配项目按照建设计划积极推进，按序时进度去进行项目建设，目前项目正在造成推进中。我局通过督促业务科室跟踪监督考核，每月形成考核结果，并按考核情况支付进度款，确保资金使用效益。</w:t>
      </w:r>
    </w:p>
    <w:p>
      <w:pPr>
        <w:widowControl/>
        <w:autoSpaceDE w:val="0"/>
        <w:adjustRightInd w:val="0"/>
        <w:snapToGrid w:val="0"/>
        <w:spacing w:line="600" w:lineRule="exact"/>
        <w:ind w:firstLine="608" w:firstLineChars="200"/>
        <w:contextualSpacing/>
        <w:jc w:val="left"/>
        <w:outlineLvl w:val="1"/>
        <w:rPr>
          <w:rFonts w:ascii="黑体" w:hAnsi="黑体" w:eastAsia="黑体" w:cs="黑体"/>
          <w:color w:val="000000"/>
          <w:spacing w:val="-6"/>
          <w:w w:val="99"/>
          <w:kern w:val="0"/>
          <w:sz w:val="32"/>
          <w:szCs w:val="32"/>
          <w:shd w:val="clear" w:color="auto" w:fill="FFFFFF"/>
          <w:lang w:val="zh-CN"/>
        </w:rPr>
      </w:pPr>
      <w:bookmarkStart w:id="86" w:name="_Toc30190"/>
      <w:bookmarkStart w:id="87" w:name="_Toc9211"/>
      <w:r>
        <w:rPr>
          <w:rFonts w:hint="eastAsia" w:ascii="黑体" w:hAnsi="黑体" w:eastAsia="黑体" w:cs="黑体"/>
          <w:color w:val="000000"/>
          <w:spacing w:val="-6"/>
          <w:w w:val="99"/>
          <w:kern w:val="0"/>
          <w:sz w:val="32"/>
          <w:szCs w:val="32"/>
          <w:shd w:val="clear" w:color="auto" w:fill="FFFFFF"/>
        </w:rPr>
        <w:t>三、项目绩效情况</w:t>
      </w:r>
      <w:bookmarkEnd w:id="86"/>
      <w:bookmarkEnd w:id="87"/>
      <w:r>
        <w:rPr>
          <w:rFonts w:hint="eastAsia" w:ascii="黑体" w:hAnsi="黑体" w:eastAsia="黑体" w:cs="黑体"/>
          <w:color w:val="000000"/>
          <w:spacing w:val="-6"/>
          <w:w w:val="99"/>
          <w:kern w:val="0"/>
          <w:sz w:val="32"/>
          <w:szCs w:val="32"/>
          <w:shd w:val="clear" w:color="auto" w:fill="FFFFFF"/>
          <w:lang w:val="zh-CN"/>
        </w:rPr>
        <w:tab/>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（一）项目符合性。项目的实际实施内容与申报内容相符。</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（二）绩效目标完成情况。</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数量指标：实际完成项目计划进度数量为2个，完成目标。</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质量指标：建成项目验收合格率，由于项目尚未完工（计划于2023年2月底完成），本项指标不适用。</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时效指标：项目实施进度，符合要求。</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成本指标：项目立项时能做到科学测算、控制成本，取得效果较好，控制在目标范围内。</w:t>
      </w: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效益指标：由于项目尚未建成，暂未产生效益，故本指标不适用。</w:t>
      </w:r>
    </w:p>
    <w:p>
      <w:pPr>
        <w:widowControl/>
        <w:autoSpaceDE w:val="0"/>
        <w:adjustRightInd w:val="0"/>
        <w:snapToGrid w:val="0"/>
        <w:spacing w:line="600" w:lineRule="exact"/>
        <w:ind w:firstLine="608" w:firstLineChars="200"/>
        <w:contextualSpacing/>
        <w:jc w:val="left"/>
        <w:outlineLvl w:val="1"/>
        <w:rPr>
          <w:rFonts w:ascii="黑体" w:hAnsi="黑体" w:eastAsia="黑体" w:cs="黑体"/>
          <w:color w:val="000000"/>
          <w:spacing w:val="-6"/>
          <w:w w:val="99"/>
          <w:kern w:val="0"/>
          <w:sz w:val="32"/>
          <w:szCs w:val="32"/>
          <w:shd w:val="clear" w:color="auto" w:fill="FFFFFF"/>
        </w:rPr>
      </w:pPr>
      <w:bookmarkStart w:id="88" w:name="_Toc5503"/>
      <w:bookmarkStart w:id="89" w:name="_Toc1859"/>
      <w:r>
        <w:rPr>
          <w:rFonts w:hint="eastAsia" w:ascii="黑体" w:hAnsi="黑体" w:eastAsia="黑体" w:cs="黑体"/>
          <w:color w:val="000000"/>
          <w:spacing w:val="-6"/>
          <w:w w:val="99"/>
          <w:kern w:val="0"/>
          <w:sz w:val="32"/>
          <w:szCs w:val="32"/>
          <w:shd w:val="clear" w:color="auto" w:fill="FFFFFF"/>
        </w:rPr>
        <w:t>四、评价结论及建议</w:t>
      </w:r>
      <w:bookmarkEnd w:id="88"/>
      <w:bookmarkEnd w:id="89"/>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zh-CN"/>
        </w:rPr>
        <w:t>（一）存在的问题。</w:t>
      </w:r>
      <w:r>
        <w:rPr>
          <w:rFonts w:hint="eastAsia" w:ascii="仿宋_GB2312" w:hAnsi="仿宋_GB2312" w:eastAsia="仿宋_GB2312" w:cs="仿宋_GB2312"/>
          <w:sz w:val="32"/>
          <w:szCs w:val="32"/>
          <w:lang w:val="zh-CN"/>
        </w:rPr>
        <w:t>项目计划开工时间2021年9月，计划完工时间为2022年2月，实际开工时间2022年9月，实际完工时间为2023年2月。工期延误是因为2021年的新冠疫情，一直无法顺利开展招投标工作，后期招投标过程中流标一次，故项目实际开工时间比计划延迟了一年</w:t>
      </w:r>
    </w:p>
    <w:p>
      <w:pPr>
        <w:numPr>
          <w:ilvl w:val="255"/>
          <w:numId w:val="0"/>
        </w:numPr>
        <w:adjustRightInd w:val="0"/>
        <w:snapToGrid w:val="0"/>
        <w:spacing w:line="600" w:lineRule="exact"/>
        <w:ind w:firstLine="642" w:firstLineChars="200"/>
        <w:rPr>
          <w:rFonts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（二）相关建议。</w:t>
      </w:r>
      <w:r>
        <w:rPr>
          <w:rFonts w:hint="eastAsia" w:ascii="仿宋_GB2312" w:hAnsi="仿宋_GB2312" w:eastAsia="仿宋_GB2312" w:cs="仿宋_GB2312"/>
          <w:sz w:val="32"/>
          <w:szCs w:val="32"/>
          <w:lang w:val="zh-CN"/>
        </w:rPr>
        <w:t>今后在项目实施方案完善相关应急预案，尽量将突发事件对项目实施的影响降低，保证项目正常实施。</w:t>
      </w:r>
    </w:p>
    <w:p>
      <w:pPr>
        <w:widowControl/>
        <w:autoSpaceDE w:val="0"/>
        <w:adjustRightInd w:val="0"/>
        <w:snapToGrid w:val="0"/>
        <w:spacing w:line="60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rPr>
        <w:t>总体上看，</w:t>
      </w:r>
      <w:r>
        <w:rPr>
          <w:rFonts w:hint="eastAsia" w:ascii="仿宋_GB2312" w:hAnsi="仿宋_GB2312" w:eastAsia="仿宋_GB2312" w:cs="仿宋_GB2312"/>
          <w:sz w:val="32"/>
          <w:lang w:val="zh-CN"/>
        </w:rPr>
        <w:t>我单位</w:t>
      </w:r>
      <w:r>
        <w:rPr>
          <w:rFonts w:hint="eastAsia" w:ascii="仿宋_GB2312" w:hAnsi="仿宋_GB2312" w:eastAsia="仿宋_GB2312" w:cs="仿宋_GB2312"/>
          <w:sz w:val="32"/>
        </w:rPr>
        <w:t>2022年部门支出较规范、合理，符合财政预算资金的相关制度和办法。部门制度建立健全且执行情况良好，较好的履行了部门基本职能，完成了年度重点任务工作。经评定绩效自评总得分为：99分。</w:t>
      </w:r>
    </w:p>
    <w:p>
      <w:pPr>
        <w:pStyle w:val="2"/>
        <w:spacing w:line="600" w:lineRule="exact"/>
        <w:rPr>
          <w:lang w:eastAsia="zh-TW"/>
        </w:rPr>
      </w:pPr>
    </w:p>
    <w:p>
      <w:pPr>
        <w:numPr>
          <w:ilvl w:val="255"/>
          <w:numId w:val="0"/>
        </w:numPr>
        <w:adjustRightInd w:val="0"/>
        <w:snapToGrid w:val="0"/>
        <w:spacing w:line="600" w:lineRule="exact"/>
        <w:ind w:firstLine="640" w:firstLineChars="200"/>
        <w:rPr>
          <w:rFonts w:ascii="仿宋_GB2312" w:hAnsi="仿宋_GB2312" w:eastAsia="仿宋_GB2312" w:cs="仿宋_GB2312"/>
          <w:sz w:val="32"/>
          <w:szCs w:val="32"/>
          <w:lang w:eastAsia="zh-TW"/>
        </w:rPr>
      </w:pPr>
    </w:p>
    <w:p>
      <w:pPr>
        <w:numPr>
          <w:ilvl w:val="255"/>
          <w:numId w:val="0"/>
        </w:numPr>
        <w:adjustRightInd w:val="0"/>
        <w:snapToGrid w:val="0"/>
        <w:spacing w:line="576" w:lineRule="exact"/>
        <w:ind w:firstLine="640" w:firstLineChars="200"/>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p>
    <w:p/>
    <w:p>
      <w:pPr>
        <w:jc w:val="center"/>
        <w:outlineLvl w:val="0"/>
        <w:rPr>
          <w:rFonts w:ascii="方正小标宋简体" w:hAnsi="方正小标宋简体" w:eastAsia="方正小标宋简体" w:cs="方正小标宋简体"/>
          <w:sz w:val="44"/>
          <w:szCs w:val="44"/>
        </w:rPr>
      </w:pPr>
      <w:bookmarkStart w:id="90" w:name="_Toc26655"/>
      <w:r>
        <w:rPr>
          <w:rFonts w:hint="eastAsia" w:ascii="方正小标宋简体" w:hAnsi="方正小标宋简体" w:eastAsia="方正小标宋简体" w:cs="方正小标宋简体"/>
          <w:sz w:val="44"/>
          <w:szCs w:val="44"/>
        </w:rPr>
        <w:t>第五部分 附表</w:t>
      </w:r>
      <w:bookmarkEnd w:id="69"/>
      <w:bookmarkEnd w:id="72"/>
      <w:bookmarkEnd w:id="90"/>
      <w:bookmarkStart w:id="91" w:name="_Toc15396619"/>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bookmarkEnd w:id="91"/>
    </w:p>
    <w:p>
      <w:pPr>
        <w:ind w:firstLine="640" w:firstLineChars="200"/>
        <w:rPr>
          <w:rFonts w:ascii="仿宋_GB2312" w:hAnsi="仿宋_GB2312" w:eastAsia="仿宋_GB2312" w:cs="仿宋_GB2312"/>
          <w:sz w:val="32"/>
          <w:szCs w:val="32"/>
        </w:rPr>
      </w:pPr>
      <w:bookmarkStart w:id="92" w:name="_Toc15396620"/>
      <w:r>
        <w:rPr>
          <w:rFonts w:hint="eastAsia" w:ascii="仿宋_GB2312" w:hAnsi="仿宋_GB2312" w:eastAsia="仿宋_GB2312" w:cs="仿宋_GB2312"/>
          <w:sz w:val="32"/>
          <w:szCs w:val="32"/>
        </w:rPr>
        <w:t>二、收入决算表</w:t>
      </w:r>
      <w:bookmarkEnd w:id="92"/>
    </w:p>
    <w:p>
      <w:pPr>
        <w:ind w:firstLine="640" w:firstLineChars="200"/>
        <w:rPr>
          <w:rFonts w:ascii="仿宋_GB2312" w:hAnsi="仿宋_GB2312" w:eastAsia="仿宋_GB2312" w:cs="仿宋_GB2312"/>
          <w:sz w:val="32"/>
          <w:szCs w:val="32"/>
        </w:rPr>
      </w:pPr>
      <w:bookmarkStart w:id="93" w:name="_Toc15396621"/>
      <w:r>
        <w:rPr>
          <w:rFonts w:hint="eastAsia" w:ascii="仿宋_GB2312" w:hAnsi="仿宋_GB2312" w:eastAsia="仿宋_GB2312" w:cs="仿宋_GB2312"/>
          <w:sz w:val="32"/>
          <w:szCs w:val="32"/>
        </w:rPr>
        <w:t>三、支出决算表</w:t>
      </w:r>
      <w:bookmarkEnd w:id="93"/>
    </w:p>
    <w:p>
      <w:pPr>
        <w:ind w:firstLine="640" w:firstLineChars="200"/>
        <w:rPr>
          <w:rFonts w:ascii="仿宋_GB2312" w:hAnsi="仿宋_GB2312" w:eastAsia="仿宋_GB2312" w:cs="仿宋_GB2312"/>
          <w:sz w:val="32"/>
          <w:szCs w:val="32"/>
        </w:rPr>
      </w:pPr>
      <w:bookmarkStart w:id="94" w:name="_Toc15396622"/>
      <w:r>
        <w:rPr>
          <w:rFonts w:hint="eastAsia" w:ascii="仿宋_GB2312" w:hAnsi="仿宋_GB2312" w:eastAsia="仿宋_GB2312" w:cs="仿宋_GB2312"/>
          <w:sz w:val="32"/>
          <w:szCs w:val="32"/>
        </w:rPr>
        <w:t>四、财政拨款收入支出决算总表</w:t>
      </w:r>
      <w:bookmarkEnd w:id="94"/>
    </w:p>
    <w:p>
      <w:pPr>
        <w:ind w:firstLine="640" w:firstLineChars="200"/>
        <w:rPr>
          <w:rFonts w:ascii="仿宋_GB2312" w:hAnsi="仿宋_GB2312" w:eastAsia="仿宋_GB2312" w:cs="仿宋_GB2312"/>
          <w:sz w:val="32"/>
          <w:szCs w:val="32"/>
        </w:rPr>
      </w:pPr>
      <w:bookmarkStart w:id="95" w:name="_Toc15396623"/>
      <w:r>
        <w:rPr>
          <w:rFonts w:hint="eastAsia" w:ascii="仿宋_GB2312" w:hAnsi="仿宋_GB2312" w:eastAsia="仿宋_GB2312" w:cs="仿宋_GB2312"/>
          <w:sz w:val="32"/>
          <w:szCs w:val="32"/>
        </w:rPr>
        <w:t>五、财政拨款支出决算明细表</w:t>
      </w:r>
      <w:bookmarkEnd w:id="95"/>
      <w:bookmarkStart w:id="96" w:name="_Toc1539662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bookmarkEnd w:id="96"/>
    </w:p>
    <w:p>
      <w:pPr>
        <w:ind w:firstLine="640" w:firstLineChars="200"/>
        <w:rPr>
          <w:rFonts w:ascii="仿宋_GB2312" w:hAnsi="仿宋_GB2312" w:eastAsia="仿宋_GB2312" w:cs="仿宋_GB2312"/>
          <w:sz w:val="32"/>
          <w:szCs w:val="32"/>
        </w:rPr>
      </w:pPr>
      <w:bookmarkStart w:id="97" w:name="_Toc15396625"/>
      <w:r>
        <w:rPr>
          <w:rFonts w:hint="eastAsia" w:ascii="仿宋_GB2312" w:hAnsi="仿宋_GB2312" w:eastAsia="仿宋_GB2312" w:cs="仿宋_GB2312"/>
          <w:sz w:val="32"/>
          <w:szCs w:val="32"/>
        </w:rPr>
        <w:t>七、一般公共预算财政拨款支出决算明细表</w:t>
      </w:r>
      <w:bookmarkEnd w:id="97"/>
    </w:p>
    <w:p>
      <w:pPr>
        <w:ind w:firstLine="640" w:firstLineChars="200"/>
        <w:rPr>
          <w:rFonts w:ascii="仿宋_GB2312" w:hAnsi="仿宋_GB2312" w:eastAsia="仿宋_GB2312" w:cs="仿宋_GB2312"/>
          <w:sz w:val="32"/>
          <w:szCs w:val="32"/>
        </w:rPr>
      </w:pPr>
      <w:bookmarkStart w:id="98" w:name="_Toc15396626"/>
      <w:r>
        <w:rPr>
          <w:rFonts w:hint="eastAsia" w:ascii="仿宋_GB2312" w:hAnsi="仿宋_GB2312" w:eastAsia="仿宋_GB2312" w:cs="仿宋_GB2312"/>
          <w:sz w:val="32"/>
          <w:szCs w:val="32"/>
        </w:rPr>
        <w:t>八、一般公共预算财政拨款基本支出决算表</w:t>
      </w:r>
      <w:bookmarkEnd w:id="98"/>
    </w:p>
    <w:p>
      <w:pPr>
        <w:ind w:firstLine="640" w:firstLineChars="200"/>
        <w:rPr>
          <w:rFonts w:ascii="仿宋_GB2312" w:hAnsi="仿宋_GB2312" w:eastAsia="仿宋_GB2312" w:cs="仿宋_GB2312"/>
          <w:sz w:val="32"/>
          <w:szCs w:val="32"/>
        </w:rPr>
      </w:pPr>
      <w:bookmarkStart w:id="99" w:name="_Toc15396627"/>
      <w:r>
        <w:rPr>
          <w:rFonts w:hint="eastAsia" w:ascii="仿宋_GB2312" w:hAnsi="仿宋_GB2312" w:eastAsia="仿宋_GB2312" w:cs="仿宋_GB2312"/>
          <w:sz w:val="32"/>
          <w:szCs w:val="32"/>
        </w:rPr>
        <w:t>九、一般公共预算财政拨款项目支出决算表</w:t>
      </w:r>
      <w:bookmarkEnd w:id="99"/>
    </w:p>
    <w:p>
      <w:pPr>
        <w:ind w:firstLine="640" w:firstLineChars="200"/>
        <w:rPr>
          <w:rFonts w:ascii="仿宋_GB2312" w:hAnsi="仿宋_GB2312" w:eastAsia="仿宋_GB2312" w:cs="仿宋_GB2312"/>
          <w:sz w:val="32"/>
          <w:szCs w:val="32"/>
        </w:rPr>
      </w:pPr>
      <w:bookmarkStart w:id="100" w:name="_Toc15396628"/>
      <w:r>
        <w:rPr>
          <w:rFonts w:hint="eastAsia" w:ascii="仿宋_GB2312" w:hAnsi="仿宋_GB2312" w:eastAsia="仿宋_GB2312" w:cs="仿宋_GB2312"/>
          <w:sz w:val="32"/>
          <w:szCs w:val="32"/>
        </w:rPr>
        <w:t>十、</w:t>
      </w:r>
      <w:bookmarkEnd w:id="100"/>
      <w:r>
        <w:rPr>
          <w:rFonts w:hint="eastAsia" w:ascii="仿宋_GB2312" w:hAnsi="仿宋_GB2312" w:eastAsia="仿宋_GB2312" w:cs="仿宋_GB2312"/>
          <w:sz w:val="32"/>
          <w:szCs w:val="32"/>
        </w:rPr>
        <w:t>政府性基金预算财政拨款收入支出决算表</w:t>
      </w:r>
    </w:p>
    <w:p>
      <w:pPr>
        <w:ind w:firstLine="640" w:firstLineChars="200"/>
        <w:rPr>
          <w:rFonts w:ascii="仿宋_GB2312" w:hAnsi="仿宋_GB2312" w:eastAsia="仿宋_GB2312" w:cs="仿宋_GB2312"/>
          <w:sz w:val="32"/>
          <w:szCs w:val="32"/>
        </w:rPr>
      </w:pPr>
      <w:bookmarkStart w:id="101" w:name="_Toc15396629"/>
      <w:r>
        <w:rPr>
          <w:rFonts w:hint="eastAsia" w:ascii="仿宋_GB2312" w:hAnsi="仿宋_GB2312" w:eastAsia="仿宋_GB2312" w:cs="仿宋_GB2312"/>
          <w:sz w:val="32"/>
          <w:szCs w:val="32"/>
        </w:rPr>
        <w:t>十一、</w:t>
      </w:r>
      <w:bookmarkEnd w:id="101"/>
      <w:r>
        <w:rPr>
          <w:rFonts w:hint="eastAsia" w:ascii="仿宋_GB2312" w:hAnsi="仿宋_GB2312" w:eastAsia="仿宋_GB2312" w:cs="仿宋_GB2312"/>
          <w:sz w:val="32"/>
          <w:szCs w:val="32"/>
        </w:rPr>
        <w:t>国有资本经营预算财政拨款收入支出决算表</w:t>
      </w:r>
    </w:p>
    <w:p>
      <w:pPr>
        <w:ind w:firstLine="640" w:firstLineChars="200"/>
        <w:rPr>
          <w:rFonts w:ascii="仿宋_GB2312" w:hAnsi="仿宋_GB2312" w:eastAsia="仿宋_GB2312" w:cs="仿宋_GB2312"/>
          <w:sz w:val="32"/>
          <w:szCs w:val="32"/>
        </w:rPr>
      </w:pPr>
      <w:bookmarkStart w:id="102" w:name="_Toc15396630"/>
      <w:r>
        <w:rPr>
          <w:rFonts w:hint="eastAsia" w:ascii="仿宋_GB2312" w:hAnsi="仿宋_GB2312" w:eastAsia="仿宋_GB2312" w:cs="仿宋_GB2312"/>
          <w:sz w:val="32"/>
          <w:szCs w:val="32"/>
        </w:rPr>
        <w:t>十二、</w:t>
      </w:r>
      <w:bookmarkEnd w:id="102"/>
      <w:r>
        <w:rPr>
          <w:rFonts w:hint="eastAsia" w:ascii="仿宋_GB2312" w:hAnsi="仿宋_GB2312" w:eastAsia="仿宋_GB2312" w:cs="仿宋_GB2312"/>
          <w:sz w:val="32"/>
          <w:szCs w:val="32"/>
        </w:rPr>
        <w:t>国有资本经营预算财政拨款支出决算表</w:t>
      </w:r>
    </w:p>
    <w:p>
      <w:pPr>
        <w:ind w:firstLine="640" w:firstLineChars="200"/>
        <w:rPr>
          <w:rFonts w:ascii="仿宋_GB2312" w:hAnsi="仿宋_GB2312" w:eastAsia="仿宋_GB2312" w:cs="仿宋_GB2312"/>
          <w:sz w:val="32"/>
          <w:szCs w:val="32"/>
        </w:rPr>
      </w:pPr>
      <w:bookmarkStart w:id="103" w:name="_Toc15396631"/>
      <w:r>
        <w:rPr>
          <w:rFonts w:hint="eastAsia" w:ascii="仿宋_GB2312" w:hAnsi="仿宋_GB2312" w:eastAsia="仿宋_GB2312" w:cs="仿宋_GB2312"/>
          <w:sz w:val="32"/>
          <w:szCs w:val="32"/>
        </w:rPr>
        <w:t>十三、</w:t>
      </w:r>
      <w:bookmarkEnd w:id="103"/>
      <w:r>
        <w:rPr>
          <w:rFonts w:hint="eastAsia" w:ascii="仿宋_GB2312" w:hAnsi="仿宋_GB2312" w:eastAsia="仿宋_GB2312" w:cs="仿宋_GB2312"/>
          <w:sz w:val="32"/>
          <w:szCs w:val="32"/>
        </w:rPr>
        <w:t>财政拨款“三公”经费支出决算表</w:t>
      </w:r>
    </w:p>
    <w:sectPr>
      <w:footerReference r:id="rId9" w:type="first"/>
      <w:footerReference r:id="rId8"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- 137 -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- 137 -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6B4"/>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0713"/>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37EA"/>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A24F4"/>
    <w:rsid w:val="015975B8"/>
    <w:rsid w:val="01F62F61"/>
    <w:rsid w:val="02143E91"/>
    <w:rsid w:val="022D52AD"/>
    <w:rsid w:val="02685C0C"/>
    <w:rsid w:val="02C42238"/>
    <w:rsid w:val="02FF7BF3"/>
    <w:rsid w:val="03173746"/>
    <w:rsid w:val="031F2043"/>
    <w:rsid w:val="0394749D"/>
    <w:rsid w:val="03A964DC"/>
    <w:rsid w:val="03D0597C"/>
    <w:rsid w:val="03EC461B"/>
    <w:rsid w:val="04D255BF"/>
    <w:rsid w:val="051C4A8C"/>
    <w:rsid w:val="05453FE3"/>
    <w:rsid w:val="054F4E62"/>
    <w:rsid w:val="059C38CD"/>
    <w:rsid w:val="06652463"/>
    <w:rsid w:val="066E0107"/>
    <w:rsid w:val="07996F6E"/>
    <w:rsid w:val="07D7113E"/>
    <w:rsid w:val="07EA70C4"/>
    <w:rsid w:val="08AC6127"/>
    <w:rsid w:val="09A66E89"/>
    <w:rsid w:val="0A06407D"/>
    <w:rsid w:val="0A2032A3"/>
    <w:rsid w:val="0A2C751F"/>
    <w:rsid w:val="0A7D421F"/>
    <w:rsid w:val="0B886019"/>
    <w:rsid w:val="0BCD6F1A"/>
    <w:rsid w:val="0C3C3C66"/>
    <w:rsid w:val="0C4274CE"/>
    <w:rsid w:val="0C4F5747"/>
    <w:rsid w:val="0C67251C"/>
    <w:rsid w:val="0C8573BB"/>
    <w:rsid w:val="0CD8573D"/>
    <w:rsid w:val="0CD94A25"/>
    <w:rsid w:val="0DBF06AB"/>
    <w:rsid w:val="0DCB34F3"/>
    <w:rsid w:val="0DCF4D92"/>
    <w:rsid w:val="0DEE4761"/>
    <w:rsid w:val="0E3C7F4D"/>
    <w:rsid w:val="0E460DCC"/>
    <w:rsid w:val="0E5C414B"/>
    <w:rsid w:val="0E933E80"/>
    <w:rsid w:val="0EC0292C"/>
    <w:rsid w:val="0EF12AE6"/>
    <w:rsid w:val="0F98263C"/>
    <w:rsid w:val="0F9F2542"/>
    <w:rsid w:val="101860EC"/>
    <w:rsid w:val="10264A11"/>
    <w:rsid w:val="106B68C8"/>
    <w:rsid w:val="1088747A"/>
    <w:rsid w:val="10C055FF"/>
    <w:rsid w:val="118107EC"/>
    <w:rsid w:val="122E07DE"/>
    <w:rsid w:val="127F48AC"/>
    <w:rsid w:val="12A12A75"/>
    <w:rsid w:val="137837D5"/>
    <w:rsid w:val="13D50BC4"/>
    <w:rsid w:val="13E744B7"/>
    <w:rsid w:val="14065285"/>
    <w:rsid w:val="14290F74"/>
    <w:rsid w:val="15F1161D"/>
    <w:rsid w:val="15FD6214"/>
    <w:rsid w:val="16322361"/>
    <w:rsid w:val="163A32E0"/>
    <w:rsid w:val="16BB723D"/>
    <w:rsid w:val="16E7773C"/>
    <w:rsid w:val="17260E67"/>
    <w:rsid w:val="174D31CB"/>
    <w:rsid w:val="1776002C"/>
    <w:rsid w:val="178321B2"/>
    <w:rsid w:val="17852965"/>
    <w:rsid w:val="17B13B94"/>
    <w:rsid w:val="186E51A7"/>
    <w:rsid w:val="18C820AD"/>
    <w:rsid w:val="18DE232D"/>
    <w:rsid w:val="18FA2EDF"/>
    <w:rsid w:val="19A03A86"/>
    <w:rsid w:val="19ED659F"/>
    <w:rsid w:val="19FD4A34"/>
    <w:rsid w:val="1A22449B"/>
    <w:rsid w:val="1A5D1977"/>
    <w:rsid w:val="1A6A055E"/>
    <w:rsid w:val="1A87404D"/>
    <w:rsid w:val="1B122762"/>
    <w:rsid w:val="1B3F2E2B"/>
    <w:rsid w:val="1BE8440E"/>
    <w:rsid w:val="1C250273"/>
    <w:rsid w:val="1C387FA6"/>
    <w:rsid w:val="1D155CEE"/>
    <w:rsid w:val="1D6B6159"/>
    <w:rsid w:val="1D790876"/>
    <w:rsid w:val="1E1B7B7F"/>
    <w:rsid w:val="1E29262D"/>
    <w:rsid w:val="1F7B0CBE"/>
    <w:rsid w:val="1FAA11BB"/>
    <w:rsid w:val="1FBA7AD4"/>
    <w:rsid w:val="1FE521F3"/>
    <w:rsid w:val="1FF35744"/>
    <w:rsid w:val="1FF95C9E"/>
    <w:rsid w:val="20362A4E"/>
    <w:rsid w:val="2059648A"/>
    <w:rsid w:val="2091237A"/>
    <w:rsid w:val="20B120D5"/>
    <w:rsid w:val="218119C1"/>
    <w:rsid w:val="21AD0AEE"/>
    <w:rsid w:val="22372AAE"/>
    <w:rsid w:val="2237485C"/>
    <w:rsid w:val="237A0EA4"/>
    <w:rsid w:val="23860B96"/>
    <w:rsid w:val="23897339"/>
    <w:rsid w:val="23AF6AED"/>
    <w:rsid w:val="240371BF"/>
    <w:rsid w:val="247022A7"/>
    <w:rsid w:val="24912949"/>
    <w:rsid w:val="253634F0"/>
    <w:rsid w:val="253F23A5"/>
    <w:rsid w:val="2570107C"/>
    <w:rsid w:val="25B3069D"/>
    <w:rsid w:val="25B445F4"/>
    <w:rsid w:val="2657344B"/>
    <w:rsid w:val="26A30712"/>
    <w:rsid w:val="26AF5308"/>
    <w:rsid w:val="27252DB6"/>
    <w:rsid w:val="274E2D73"/>
    <w:rsid w:val="275859A0"/>
    <w:rsid w:val="280451E0"/>
    <w:rsid w:val="288A4752"/>
    <w:rsid w:val="288B76AF"/>
    <w:rsid w:val="28E55011"/>
    <w:rsid w:val="28FA43F5"/>
    <w:rsid w:val="29115E06"/>
    <w:rsid w:val="296072FA"/>
    <w:rsid w:val="29DA08EE"/>
    <w:rsid w:val="29FD04D3"/>
    <w:rsid w:val="2A04596B"/>
    <w:rsid w:val="2B542053"/>
    <w:rsid w:val="2B595843"/>
    <w:rsid w:val="2B6C1A1A"/>
    <w:rsid w:val="2C275941"/>
    <w:rsid w:val="2C8A61B5"/>
    <w:rsid w:val="2CA3146B"/>
    <w:rsid w:val="2CF50633"/>
    <w:rsid w:val="2D8A43D9"/>
    <w:rsid w:val="2D8D5C78"/>
    <w:rsid w:val="2DA90D03"/>
    <w:rsid w:val="2DF04E50"/>
    <w:rsid w:val="2E6C1D31"/>
    <w:rsid w:val="2EA25753"/>
    <w:rsid w:val="2EC1207D"/>
    <w:rsid w:val="2F040D46"/>
    <w:rsid w:val="2F527179"/>
    <w:rsid w:val="30416F06"/>
    <w:rsid w:val="30ED53AB"/>
    <w:rsid w:val="319F7F4E"/>
    <w:rsid w:val="31A83080"/>
    <w:rsid w:val="31EC5663"/>
    <w:rsid w:val="322C5A5F"/>
    <w:rsid w:val="32560D2E"/>
    <w:rsid w:val="32963820"/>
    <w:rsid w:val="32A23F73"/>
    <w:rsid w:val="3304709D"/>
    <w:rsid w:val="336E3E55"/>
    <w:rsid w:val="33AD497E"/>
    <w:rsid w:val="33D571B6"/>
    <w:rsid w:val="34052A0C"/>
    <w:rsid w:val="34761214"/>
    <w:rsid w:val="34EB0911"/>
    <w:rsid w:val="353A4BF1"/>
    <w:rsid w:val="3552680A"/>
    <w:rsid w:val="35D23FD4"/>
    <w:rsid w:val="365C268B"/>
    <w:rsid w:val="36AA5135"/>
    <w:rsid w:val="36EA7C97"/>
    <w:rsid w:val="36FA437E"/>
    <w:rsid w:val="37021484"/>
    <w:rsid w:val="37144D14"/>
    <w:rsid w:val="376D39B2"/>
    <w:rsid w:val="37E16F03"/>
    <w:rsid w:val="37E27768"/>
    <w:rsid w:val="38224913"/>
    <w:rsid w:val="38593326"/>
    <w:rsid w:val="38D469F0"/>
    <w:rsid w:val="38E54BBA"/>
    <w:rsid w:val="399F745E"/>
    <w:rsid w:val="39D709A6"/>
    <w:rsid w:val="3A9B19D4"/>
    <w:rsid w:val="3AC23405"/>
    <w:rsid w:val="3ACC6031"/>
    <w:rsid w:val="3B0F23C2"/>
    <w:rsid w:val="3B143534"/>
    <w:rsid w:val="3BA26A2C"/>
    <w:rsid w:val="3BE64ED1"/>
    <w:rsid w:val="3C215F09"/>
    <w:rsid w:val="3C5E652D"/>
    <w:rsid w:val="3D5F13DF"/>
    <w:rsid w:val="3D98207C"/>
    <w:rsid w:val="3E043D34"/>
    <w:rsid w:val="3E73079A"/>
    <w:rsid w:val="3E78745D"/>
    <w:rsid w:val="3FBF43B6"/>
    <w:rsid w:val="408E6370"/>
    <w:rsid w:val="4093314D"/>
    <w:rsid w:val="40CA1DAF"/>
    <w:rsid w:val="411B561D"/>
    <w:rsid w:val="415D5C35"/>
    <w:rsid w:val="419C6DD1"/>
    <w:rsid w:val="426B6130"/>
    <w:rsid w:val="43394480"/>
    <w:rsid w:val="43396113"/>
    <w:rsid w:val="449B667C"/>
    <w:rsid w:val="44E268DA"/>
    <w:rsid w:val="44EE2B8D"/>
    <w:rsid w:val="44F3065E"/>
    <w:rsid w:val="453F38A4"/>
    <w:rsid w:val="46072075"/>
    <w:rsid w:val="46207231"/>
    <w:rsid w:val="463827CD"/>
    <w:rsid w:val="46FA2178"/>
    <w:rsid w:val="4701527C"/>
    <w:rsid w:val="4783216D"/>
    <w:rsid w:val="47D46525"/>
    <w:rsid w:val="47EA7AF7"/>
    <w:rsid w:val="4870218D"/>
    <w:rsid w:val="48A44149"/>
    <w:rsid w:val="48C22822"/>
    <w:rsid w:val="497B7CF7"/>
    <w:rsid w:val="4A627F82"/>
    <w:rsid w:val="4AC42881"/>
    <w:rsid w:val="4B0E749A"/>
    <w:rsid w:val="4B4F25DA"/>
    <w:rsid w:val="4BE068DB"/>
    <w:rsid w:val="4BFA0524"/>
    <w:rsid w:val="4C6267F5"/>
    <w:rsid w:val="4CB15FE4"/>
    <w:rsid w:val="4D577224"/>
    <w:rsid w:val="4E593C28"/>
    <w:rsid w:val="4EA35408"/>
    <w:rsid w:val="4EAB630A"/>
    <w:rsid w:val="4EBB21ED"/>
    <w:rsid w:val="4ECE2238"/>
    <w:rsid w:val="4FC3672A"/>
    <w:rsid w:val="508D7BB9"/>
    <w:rsid w:val="511856D5"/>
    <w:rsid w:val="51404C2B"/>
    <w:rsid w:val="51FC4FF6"/>
    <w:rsid w:val="52CA0C50"/>
    <w:rsid w:val="52FA34F3"/>
    <w:rsid w:val="532057CE"/>
    <w:rsid w:val="537E6D0A"/>
    <w:rsid w:val="541A79B6"/>
    <w:rsid w:val="5463310B"/>
    <w:rsid w:val="568578F8"/>
    <w:rsid w:val="57122BC6"/>
    <w:rsid w:val="57346FE0"/>
    <w:rsid w:val="577366F5"/>
    <w:rsid w:val="57AE0B41"/>
    <w:rsid w:val="57C95893"/>
    <w:rsid w:val="57D83E10"/>
    <w:rsid w:val="57FB635E"/>
    <w:rsid w:val="581806B0"/>
    <w:rsid w:val="583354EA"/>
    <w:rsid w:val="59EF3692"/>
    <w:rsid w:val="5A4B5F2C"/>
    <w:rsid w:val="5AAB1367"/>
    <w:rsid w:val="5AF92295"/>
    <w:rsid w:val="5B3E042E"/>
    <w:rsid w:val="5B863B83"/>
    <w:rsid w:val="5BB97AB4"/>
    <w:rsid w:val="5C34538D"/>
    <w:rsid w:val="5C3E2FD8"/>
    <w:rsid w:val="5C875E04"/>
    <w:rsid w:val="5CAC586B"/>
    <w:rsid w:val="5CD71FC4"/>
    <w:rsid w:val="5D0B2591"/>
    <w:rsid w:val="5D4A130C"/>
    <w:rsid w:val="5DBC388C"/>
    <w:rsid w:val="5E354519"/>
    <w:rsid w:val="5E357973"/>
    <w:rsid w:val="5E5166CA"/>
    <w:rsid w:val="5E895E64"/>
    <w:rsid w:val="5EB6652D"/>
    <w:rsid w:val="5EEC01A1"/>
    <w:rsid w:val="5F6A7277"/>
    <w:rsid w:val="5F6E0BB6"/>
    <w:rsid w:val="5F93061C"/>
    <w:rsid w:val="60327E35"/>
    <w:rsid w:val="60B30F76"/>
    <w:rsid w:val="60C50CA9"/>
    <w:rsid w:val="60E1343C"/>
    <w:rsid w:val="610572F8"/>
    <w:rsid w:val="611B3B25"/>
    <w:rsid w:val="62AB3631"/>
    <w:rsid w:val="634C22AA"/>
    <w:rsid w:val="63AD6150"/>
    <w:rsid w:val="64283A29"/>
    <w:rsid w:val="64FB113D"/>
    <w:rsid w:val="65534AD5"/>
    <w:rsid w:val="65AC068A"/>
    <w:rsid w:val="65FA08F4"/>
    <w:rsid w:val="66B21CD0"/>
    <w:rsid w:val="67534662"/>
    <w:rsid w:val="67FF2CF3"/>
    <w:rsid w:val="682B7F8C"/>
    <w:rsid w:val="68BE495C"/>
    <w:rsid w:val="68D51CA5"/>
    <w:rsid w:val="68E50599"/>
    <w:rsid w:val="690757DD"/>
    <w:rsid w:val="6B8005EE"/>
    <w:rsid w:val="6C117498"/>
    <w:rsid w:val="6C4A05C8"/>
    <w:rsid w:val="6D194857"/>
    <w:rsid w:val="6D2744C2"/>
    <w:rsid w:val="6DB97DE8"/>
    <w:rsid w:val="6DDD7632"/>
    <w:rsid w:val="6DFF3A4C"/>
    <w:rsid w:val="6E7E3605"/>
    <w:rsid w:val="6F2E3EBD"/>
    <w:rsid w:val="6F3A3EF0"/>
    <w:rsid w:val="6F6F5110"/>
    <w:rsid w:val="6F974134"/>
    <w:rsid w:val="6FB97C2B"/>
    <w:rsid w:val="6FD827A7"/>
    <w:rsid w:val="6FF5CC65"/>
    <w:rsid w:val="70207CAA"/>
    <w:rsid w:val="702E23C7"/>
    <w:rsid w:val="70B54896"/>
    <w:rsid w:val="715C0E4B"/>
    <w:rsid w:val="71FE401B"/>
    <w:rsid w:val="724265FE"/>
    <w:rsid w:val="7249798C"/>
    <w:rsid w:val="72734D90"/>
    <w:rsid w:val="728E1843"/>
    <w:rsid w:val="72D66DF2"/>
    <w:rsid w:val="73AD73D5"/>
    <w:rsid w:val="73B6EB34"/>
    <w:rsid w:val="73ED4347"/>
    <w:rsid w:val="73F1262B"/>
    <w:rsid w:val="742C1313"/>
    <w:rsid w:val="744731E5"/>
    <w:rsid w:val="7491561A"/>
    <w:rsid w:val="753C088C"/>
    <w:rsid w:val="753D2245"/>
    <w:rsid w:val="75596138"/>
    <w:rsid w:val="764A5A81"/>
    <w:rsid w:val="76E3355F"/>
    <w:rsid w:val="775546DD"/>
    <w:rsid w:val="778769C8"/>
    <w:rsid w:val="778B4487"/>
    <w:rsid w:val="77F11529"/>
    <w:rsid w:val="783C764B"/>
    <w:rsid w:val="78C63C37"/>
    <w:rsid w:val="797126DE"/>
    <w:rsid w:val="798062FA"/>
    <w:rsid w:val="79BD52E4"/>
    <w:rsid w:val="79EE5BA4"/>
    <w:rsid w:val="7A3C4F9A"/>
    <w:rsid w:val="7A4924BD"/>
    <w:rsid w:val="7A7E3F4B"/>
    <w:rsid w:val="7A894339"/>
    <w:rsid w:val="7AC57DCC"/>
    <w:rsid w:val="7B2F16E9"/>
    <w:rsid w:val="7B845591"/>
    <w:rsid w:val="7BAB7C7B"/>
    <w:rsid w:val="7BCF2AF4"/>
    <w:rsid w:val="7CC83BA3"/>
    <w:rsid w:val="7CD10CAA"/>
    <w:rsid w:val="7D6531A0"/>
    <w:rsid w:val="7D7653AD"/>
    <w:rsid w:val="7DA243F4"/>
    <w:rsid w:val="7DA737B9"/>
    <w:rsid w:val="7DD56578"/>
    <w:rsid w:val="7EEF11D3"/>
    <w:rsid w:val="7F517E80"/>
    <w:rsid w:val="7F606315"/>
    <w:rsid w:val="7F8518D8"/>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eastAsia="仿宋_GB2312"/>
      <w:kern w:val="0"/>
      <w:szCs w:val="20"/>
    </w:rPr>
  </w:style>
  <w:style w:type="paragraph" w:styleId="6">
    <w:name w:val="Salutation"/>
    <w:basedOn w:val="1"/>
    <w:next w:val="1"/>
    <w:qFormat/>
    <w:uiPriority w:val="99"/>
  </w:style>
  <w:style w:type="paragraph" w:styleId="7">
    <w:name w:val="Body Text"/>
    <w:basedOn w:val="1"/>
    <w:link w:val="31"/>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5"/>
    <w:semiHidden/>
    <w:unhideWhenUsed/>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sz w:val="24"/>
    </w:rPr>
  </w:style>
  <w:style w:type="paragraph" w:styleId="16">
    <w:name w:val="Title"/>
    <w:basedOn w:val="1"/>
    <w:next w:val="1"/>
    <w:qFormat/>
    <w:uiPriority w:val="10"/>
    <w:pPr>
      <w:jc w:val="center"/>
      <w:outlineLvl w:val="0"/>
    </w:pPr>
    <w:rPr>
      <w:rFonts w:eastAsia="方正小标宋简体" w:asciiTheme="majorHAnsi" w:hAnsiTheme="majorHAnsi" w:cstheme="majorBidi"/>
      <w:bCs/>
      <w:sz w:val="44"/>
      <w:szCs w:val="32"/>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标题 2 Char"/>
    <w:basedOn w:val="19"/>
    <w:link w:val="4"/>
    <w:qFormat/>
    <w:uiPriority w:val="9"/>
    <w:rPr>
      <w:rFonts w:asciiTheme="majorHAnsi" w:hAnsiTheme="majorHAnsi" w:eastAsiaTheme="majorEastAsia" w:cstheme="majorBidi"/>
      <w:b/>
      <w:bCs/>
      <w:kern w:val="2"/>
      <w:sz w:val="32"/>
      <w:szCs w:val="32"/>
    </w:rPr>
  </w:style>
  <w:style w:type="character" w:customStyle="1" w:styleId="23">
    <w:name w:val="标题 1 Char"/>
    <w:basedOn w:val="19"/>
    <w:link w:val="3"/>
    <w:qFormat/>
    <w:uiPriority w:val="9"/>
    <w:rPr>
      <w:rFonts w:ascii="Times New Roman" w:hAnsi="Times New Roman"/>
      <w:b/>
      <w:bCs/>
      <w:kern w:val="44"/>
      <w:sz w:val="44"/>
      <w:szCs w:val="44"/>
    </w:rPr>
  </w:style>
  <w:style w:type="character" w:customStyle="1" w:styleId="24">
    <w:name w:val="标题 3 Char"/>
    <w:basedOn w:val="19"/>
    <w:link w:val="5"/>
    <w:qFormat/>
    <w:uiPriority w:val="9"/>
    <w:rPr>
      <w:rFonts w:ascii="Times New Roman" w:hAnsi="Times New Roman"/>
      <w:b/>
      <w:bCs/>
      <w:kern w:val="2"/>
      <w:sz w:val="32"/>
      <w:szCs w:val="32"/>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6">
    <w:name w:val="Header Char"/>
    <w:basedOn w:val="19"/>
    <w:semiHidden/>
    <w:qFormat/>
    <w:uiPriority w:val="99"/>
    <w:rPr>
      <w:rFonts w:ascii="Times New Roman" w:hAnsi="Times New Roman"/>
      <w:sz w:val="18"/>
      <w:szCs w:val="18"/>
    </w:rPr>
  </w:style>
  <w:style w:type="character" w:customStyle="1" w:styleId="27">
    <w:name w:val="页眉 Char"/>
    <w:link w:val="12"/>
    <w:semiHidden/>
    <w:qFormat/>
    <w:locked/>
    <w:uiPriority w:val="99"/>
    <w:rPr>
      <w:sz w:val="18"/>
    </w:rPr>
  </w:style>
  <w:style w:type="character" w:customStyle="1" w:styleId="28">
    <w:name w:val="Footer Char"/>
    <w:basedOn w:val="19"/>
    <w:semiHidden/>
    <w:qFormat/>
    <w:uiPriority w:val="99"/>
    <w:rPr>
      <w:rFonts w:ascii="Times New Roman" w:hAnsi="Times New Roman"/>
      <w:sz w:val="18"/>
      <w:szCs w:val="18"/>
    </w:rPr>
  </w:style>
  <w:style w:type="character" w:customStyle="1" w:styleId="29">
    <w:name w:val="页脚 Char"/>
    <w:link w:val="11"/>
    <w:qFormat/>
    <w:locked/>
    <w:uiPriority w:val="99"/>
    <w:rPr>
      <w:sz w:val="18"/>
    </w:rPr>
  </w:style>
  <w:style w:type="character" w:customStyle="1" w:styleId="30">
    <w:name w:val="Body Text Char"/>
    <w:basedOn w:val="19"/>
    <w:semiHidden/>
    <w:qFormat/>
    <w:uiPriority w:val="99"/>
    <w:rPr>
      <w:rFonts w:ascii="Times New Roman" w:hAnsi="Times New Roman"/>
      <w:szCs w:val="24"/>
    </w:rPr>
  </w:style>
  <w:style w:type="character" w:customStyle="1" w:styleId="31">
    <w:name w:val="正文文本 Char"/>
    <w:link w:val="7"/>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9"/>
    <w:link w:val="10"/>
    <w:semiHidden/>
    <w:qFormat/>
    <w:uiPriority w:val="99"/>
    <w:rPr>
      <w:rFonts w:ascii="Times New Roman" w:hAnsi="Times New Roman"/>
      <w:kern w:val="2"/>
      <w:sz w:val="18"/>
      <w:szCs w:val="18"/>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aption"/>
    <w:basedOn w:val="1"/>
    <w:next w:val="1"/>
    <w:qFormat/>
    <w:uiPriority w:val="99"/>
    <w:pPr>
      <w:ind w:left="200" w:leftChars="200" w:hanging="200" w:hangingChars="200"/>
    </w:pPr>
  </w:style>
  <w:style w:type="paragraph" w:customStyle="1" w:styleId="39">
    <w:name w:val="正文1"/>
    <w:qFormat/>
    <w:uiPriority w:val="0"/>
    <w:pPr>
      <w:widowControl w:val="0"/>
      <w:jc w:val="both"/>
    </w:pPr>
    <w:rPr>
      <w:rFonts w:ascii="Calibri" w:hAnsi="Calibri" w:eastAsia="宋体" w:cs="Times New Roman"/>
      <w:kern w:val="2"/>
      <w:sz w:val="21"/>
      <w:szCs w:val="24"/>
      <w:lang w:val="en-US" w:eastAsia="zh-CN" w:bidi="ar-SA"/>
    </w:rPr>
  </w:style>
  <w:style w:type="character" w:customStyle="1" w:styleId="40">
    <w:name w:val="NormalCharacter"/>
    <w:qFormat/>
    <w:uiPriority w:val="0"/>
    <w:rPr>
      <w:kern w:val="2"/>
      <w:sz w:val="21"/>
      <w:szCs w:val="24"/>
      <w:lang w:val="en-US" w:eastAsia="zh-CN" w:bidi="ar-SA"/>
    </w:rPr>
  </w:style>
  <w:style w:type="paragraph" w:customStyle="1" w:styleId="41">
    <w:name w:val="table of figures1"/>
    <w:basedOn w:val="1"/>
    <w:next w:val="1"/>
    <w:qFormat/>
    <w:uiPriority w:val="99"/>
    <w:pPr>
      <w:ind w:left="200" w:leftChars="200" w:hanging="200" w:hangingChars="200"/>
    </w:pPr>
    <w:rPr>
      <w:rFonts w:eastAsia="仿宋_GB2312"/>
      <w:sz w:val="32"/>
      <w:szCs w:val="32"/>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119</Pages>
  <Words>55751</Words>
  <Characters>64413</Characters>
  <Lines>538</Lines>
  <Paragraphs>151</Paragraphs>
  <TotalTime>3</TotalTime>
  <ScaleCrop>false</ScaleCrop>
  <LinksUpToDate>false</LinksUpToDate>
  <CharactersWithSpaces>64860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2023-10-27T17:04:00Z</dcterms:created>
  <dc:creator>曹颖</dc:creator>
  <cp:lastModifiedBy>user</cp:lastModifiedBy>
  <cp:lastPrinted>2023-10-27T16:24:00Z</cp:lastPrinted>
  <dcterms:modified xsi:type="dcterms:W3CDTF">2025-01-09T16:47:40Z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BB02C939C29349D2993A329DAA3F8D9E_13</vt:lpwstr>
  </property>
</Properties>
</file>