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outlineLvl w:val="9"/>
        <w:rPr>
          <w:rFonts w:ascii="方正小标宋简体" w:hAnsi="宋体" w:eastAsia="方正小标宋简体"/>
          <w:sz w:val="72"/>
          <w:szCs w:val="72"/>
        </w:rPr>
      </w:pPr>
      <w:bookmarkStart w:id="52" w:name="_GoBack"/>
      <w:bookmarkEnd w:id="52"/>
      <w:bookmarkStart w:id="0" w:name="_Toc15306267"/>
    </w:p>
    <w:p>
      <w:pPr>
        <w:spacing w:line="600" w:lineRule="exact"/>
        <w:jc w:val="center"/>
        <w:outlineLvl w:val="9"/>
        <w:rPr>
          <w:rFonts w:ascii="方正小标宋简体" w:hAnsi="宋体" w:eastAsia="方正小标宋简体"/>
          <w:sz w:val="72"/>
          <w:szCs w:val="72"/>
        </w:rPr>
      </w:pPr>
    </w:p>
    <w:p>
      <w:pPr>
        <w:spacing w:line="600" w:lineRule="exact"/>
        <w:jc w:val="center"/>
        <w:outlineLvl w:val="9"/>
        <w:rPr>
          <w:rFonts w:ascii="方正小标宋简体" w:hAnsi="宋体" w:eastAsia="方正小标宋简体"/>
          <w:sz w:val="72"/>
          <w:szCs w:val="72"/>
        </w:rPr>
      </w:pPr>
    </w:p>
    <w:p>
      <w:pPr>
        <w:spacing w:line="600" w:lineRule="exact"/>
        <w:jc w:val="center"/>
        <w:outlineLvl w:val="9"/>
        <w:rPr>
          <w:rFonts w:ascii="方正舒体" w:eastAsia="方正舒体" w:hAnsiTheme="majorEastAsia"/>
          <w:sz w:val="72"/>
          <w:szCs w:val="72"/>
        </w:rPr>
      </w:pPr>
    </w:p>
    <w:p>
      <w:pPr>
        <w:adjustRightInd w:val="0"/>
        <w:snapToGrid w:val="0"/>
        <w:spacing w:line="360" w:lineRule="auto"/>
        <w:jc w:val="center"/>
        <w:outlineLvl w:val="0"/>
        <w:rPr>
          <w:rFonts w:cs="方正小标宋简体" w:asciiTheme="majorEastAsia" w:hAnsiTheme="majorEastAsia" w:eastAsiaTheme="majorEastAsia"/>
          <w:b/>
          <w:sz w:val="72"/>
          <w:szCs w:val="72"/>
        </w:rPr>
      </w:pPr>
      <w:bookmarkStart w:id="1" w:name="_Toc15396475"/>
      <w:bookmarkStart w:id="2" w:name="_Toc15377425"/>
      <w:bookmarkStart w:id="3" w:name="_Toc15378441"/>
      <w:bookmarkStart w:id="4" w:name="_Toc15396597"/>
      <w:bookmarkStart w:id="5" w:name="_Toc15377193"/>
      <w:bookmarkStart w:id="6" w:name="_Toc30519"/>
      <w:r>
        <w:rPr>
          <w:rFonts w:hint="eastAsia" w:cs="方正小标宋简体" w:asciiTheme="majorEastAsia" w:hAnsiTheme="majorEastAsia" w:eastAsiaTheme="majorEastAsia"/>
          <w:b/>
          <w:sz w:val="72"/>
          <w:szCs w:val="72"/>
        </w:rPr>
        <w:t>2022年度</w:t>
      </w:r>
      <w:bookmarkEnd w:id="1"/>
      <w:bookmarkEnd w:id="2"/>
      <w:bookmarkEnd w:id="3"/>
      <w:bookmarkEnd w:id="4"/>
      <w:bookmarkEnd w:id="5"/>
      <w:bookmarkEnd w:id="6"/>
    </w:p>
    <w:bookmarkEnd w:id="0"/>
    <w:p>
      <w:pPr>
        <w:adjustRightInd w:val="0"/>
        <w:snapToGrid w:val="0"/>
        <w:spacing w:line="360" w:lineRule="auto"/>
        <w:jc w:val="center"/>
        <w:outlineLvl w:val="0"/>
        <w:rPr>
          <w:rFonts w:cs="方正小标宋简体" w:asciiTheme="majorEastAsia" w:hAnsiTheme="majorEastAsia" w:eastAsiaTheme="majorEastAsia"/>
          <w:b/>
          <w:sz w:val="72"/>
          <w:szCs w:val="72"/>
        </w:rPr>
      </w:pPr>
      <w:bookmarkStart w:id="7" w:name="_Toc15396476"/>
      <w:bookmarkStart w:id="8" w:name="_Toc15378442"/>
      <w:bookmarkStart w:id="9" w:name="_Toc15377426"/>
      <w:bookmarkStart w:id="10" w:name="_Toc15396598"/>
      <w:bookmarkStart w:id="11" w:name="_Toc15306268"/>
      <w:bookmarkStart w:id="12" w:name="_Toc15377194"/>
      <w:bookmarkStart w:id="13" w:name="_Toc7881"/>
      <w:r>
        <w:rPr>
          <w:rFonts w:hint="eastAsia" w:cs="方正小标宋简体" w:asciiTheme="majorEastAsia" w:hAnsiTheme="majorEastAsia" w:eastAsiaTheme="majorEastAsia"/>
          <w:b/>
          <w:sz w:val="72"/>
          <w:szCs w:val="72"/>
        </w:rPr>
        <w:t>广元市朝</w:t>
      </w:r>
      <w:r>
        <w:rPr>
          <w:rFonts w:hint="eastAsia" w:cs="方正小标宋简体" w:asciiTheme="majorEastAsia" w:hAnsiTheme="majorEastAsia" w:eastAsiaTheme="majorEastAsia"/>
          <w:b/>
          <w:sz w:val="72"/>
          <w:szCs w:val="72"/>
        </w:rPr>
        <w:tab/>
      </w:r>
      <w:r>
        <w:rPr>
          <w:rFonts w:hint="eastAsia" w:cs="方正小标宋简体" w:asciiTheme="majorEastAsia" w:hAnsiTheme="majorEastAsia" w:eastAsiaTheme="majorEastAsia"/>
          <w:b/>
          <w:sz w:val="72"/>
          <w:szCs w:val="72"/>
        </w:rPr>
        <w:t>天区交通运输局部门决算</w:t>
      </w:r>
      <w:bookmarkEnd w:id="7"/>
      <w:bookmarkEnd w:id="8"/>
      <w:bookmarkEnd w:id="9"/>
      <w:bookmarkEnd w:id="10"/>
      <w:bookmarkEnd w:id="11"/>
      <w:bookmarkEnd w:id="12"/>
      <w:bookmarkEnd w:id="13"/>
    </w:p>
    <w:p>
      <w:pPr>
        <w:widowControl/>
        <w:jc w:val="both"/>
        <w:rPr>
          <w:rFonts w:ascii="黑体" w:hAnsi="黑体" w:eastAsia="黑体"/>
          <w:sz w:val="48"/>
          <w:szCs w:val="48"/>
        </w:rPr>
      </w:pPr>
    </w:p>
    <w:p>
      <w:pPr>
        <w:widowControl/>
        <w:jc w:val="center"/>
        <w:rPr>
          <w:rFonts w:ascii="黑体" w:hAnsi="黑体" w:eastAsia="黑体" w:cstheme="minorBidi"/>
          <w:sz w:val="28"/>
          <w:szCs w:val="28"/>
        </w:rPr>
      </w:pPr>
    </w:p>
    <w:p>
      <w:pPr>
        <w:pStyle w:val="12"/>
        <w:rPr>
          <w:rFonts w:hint="eastAsia"/>
          <w:sz w:val="32"/>
          <w:szCs w:val="32"/>
        </w:rPr>
      </w:pPr>
    </w:p>
    <w:p>
      <w:pPr>
        <w:pStyle w:val="12"/>
        <w:rPr>
          <w:rFonts w:hint="eastAsia"/>
          <w:sz w:val="32"/>
          <w:szCs w:val="32"/>
        </w:rPr>
      </w:pPr>
    </w:p>
    <w:p>
      <w:pPr>
        <w:pStyle w:val="12"/>
        <w:rPr>
          <w:rFonts w:hint="eastAsia"/>
          <w:sz w:val="32"/>
          <w:szCs w:val="32"/>
        </w:rPr>
      </w:pPr>
    </w:p>
    <w:p>
      <w:pPr>
        <w:pStyle w:val="12"/>
        <w:rPr>
          <w:rFonts w:hint="eastAsia"/>
          <w:sz w:val="32"/>
          <w:szCs w:val="32"/>
        </w:rPr>
      </w:pPr>
    </w:p>
    <w:p>
      <w:pPr>
        <w:pStyle w:val="12"/>
        <w:rPr>
          <w:rFonts w:hint="eastAsia"/>
          <w:sz w:val="32"/>
          <w:szCs w:val="32"/>
        </w:rPr>
      </w:pPr>
    </w:p>
    <w:p>
      <w:pPr>
        <w:pStyle w:val="12"/>
        <w:rPr>
          <w:rFonts w:hint="eastAsia"/>
          <w:sz w:val="32"/>
          <w:szCs w:val="32"/>
        </w:rPr>
      </w:pPr>
    </w:p>
    <w:p>
      <w:pPr>
        <w:pStyle w:val="12"/>
        <w:rPr>
          <w:rFonts w:hint="eastAsia"/>
          <w:sz w:val="32"/>
          <w:szCs w:val="32"/>
        </w:rPr>
      </w:pPr>
    </w:p>
    <w:p>
      <w:pPr>
        <w:pStyle w:val="12"/>
        <w:rPr>
          <w:rFonts w:hint="eastAsia"/>
          <w:sz w:val="32"/>
          <w:szCs w:val="32"/>
        </w:rPr>
      </w:pPr>
    </w:p>
    <w:p>
      <w:pPr>
        <w:pStyle w:val="12"/>
        <w:rPr>
          <w:rFonts w:hint="eastAsia"/>
          <w:sz w:val="32"/>
          <w:szCs w:val="32"/>
        </w:rPr>
      </w:pPr>
    </w:p>
    <w:p>
      <w:pPr>
        <w:pStyle w:val="12"/>
        <w:rPr>
          <w:sz w:val="32"/>
          <w:szCs w:val="32"/>
        </w:rPr>
      </w:pPr>
      <w:r>
        <w:rPr>
          <w:rFonts w:hint="eastAsia"/>
          <w:sz w:val="32"/>
          <w:szCs w:val="32"/>
        </w:rPr>
        <w:t>公开时间：2023年10月</w:t>
      </w:r>
      <w:r>
        <w:rPr>
          <w:rFonts w:hint="eastAsia"/>
          <w:sz w:val="32"/>
          <w:szCs w:val="32"/>
          <w:lang w:val="en-US" w:eastAsia="zh-CN"/>
        </w:rPr>
        <w:t>2</w:t>
      </w:r>
      <w:r>
        <w:rPr>
          <w:rFonts w:hint="eastAsia"/>
          <w:sz w:val="32"/>
          <w:szCs w:val="32"/>
        </w:rPr>
        <w:t>7日</w:t>
      </w:r>
    </w:p>
    <w:p/>
    <w:sdt>
      <w:sdtPr>
        <w:rPr>
          <w:rFonts w:ascii="宋体" w:hAnsi="宋体" w:eastAsia="宋体" w:cs="Times New Roman"/>
          <w:kern w:val="2"/>
          <w:sz w:val="21"/>
          <w:szCs w:val="24"/>
          <w:lang w:val="en-US" w:eastAsia="zh-CN" w:bidi="ar-SA"/>
        </w:rPr>
        <w:id w:val="147473224"/>
        <w15:color w:val="DBDBDB"/>
        <w:docPartObj>
          <w:docPartGallery w:val="Table of Contents"/>
          <w:docPartUnique/>
        </w:docPartObj>
      </w:sdtPr>
      <w:sdtEndPr>
        <w:rPr>
          <w:rFonts w:ascii="宋体" w:hAnsi="宋体" w:eastAsia="宋体" w:cs="Times New Roman"/>
          <w:kern w:val="2"/>
          <w:sz w:val="21"/>
          <w:szCs w:val="24"/>
          <w:lang w:val="en-US" w:eastAsia="zh-CN" w:bidi="ar-SA"/>
        </w:rPr>
      </w:sdtEndPr>
      <w:sdtContent>
        <w:p>
          <w:pPr>
            <w:spacing w:before="0" w:beforeLines="0" w:after="0" w:afterLines="0" w:line="240" w:lineRule="auto"/>
            <w:ind w:left="0" w:leftChars="0" w:right="0" w:rightChars="0" w:firstLine="0" w:firstLineChars="0"/>
            <w:jc w:val="center"/>
          </w:pPr>
          <w:bookmarkStart w:id="14" w:name="_Toc15396599"/>
          <w:bookmarkStart w:id="15" w:name="_Toc15377196"/>
          <w:r>
            <w:rPr>
              <w:rFonts w:ascii="宋体" w:hAnsi="宋体" w:eastAsia="宋体"/>
              <w:sz w:val="21"/>
            </w:rPr>
            <w:t>目录</w:t>
          </w:r>
        </w:p>
        <w:p>
          <w:pPr>
            <w:pStyle w:val="161"/>
            <w:tabs>
              <w:tab w:val="right" w:pos="3200"/>
              <w:tab w:val="right" w:leader="dot" w:pos="8640"/>
            </w:tabs>
          </w:pPr>
          <w:r>
            <w:fldChar w:fldCharType="begin"/>
          </w:r>
          <w:r>
            <w:instrText xml:space="preserve">TOC \o "1-3" \h \u </w:instrText>
          </w:r>
          <w:r>
            <w:fldChar w:fldCharType="separate"/>
          </w:r>
          <w:r>
            <w:fldChar w:fldCharType="begin"/>
          </w:r>
          <w:r>
            <w:instrText xml:space="preserve"> HYPERLINK \l _Toc27220 </w:instrText>
          </w:r>
          <w:r>
            <w:fldChar w:fldCharType="separate"/>
          </w:r>
          <w:r>
            <w:rPr>
              <w:rFonts w:hint="eastAsia" w:ascii="黑体" w:eastAsia="黑体"/>
              <w:szCs w:val="48"/>
            </w:rPr>
            <w:t xml:space="preserve">第一部分 </w:t>
          </w:r>
          <w:r>
            <w:rPr>
              <w:rFonts w:hint="eastAsia" w:ascii="黑体" w:eastAsia="黑体"/>
              <w:szCs w:val="48"/>
              <w:lang w:eastAsia="zh-CN"/>
            </w:rPr>
            <w:t>部门</w:t>
          </w:r>
          <w:r>
            <w:rPr>
              <w:rFonts w:hint="eastAsia" w:ascii="黑体" w:hAnsi="黑体" w:eastAsia="黑体"/>
              <w:szCs w:val="48"/>
            </w:rPr>
            <w:t>概况</w:t>
          </w:r>
          <w:r>
            <w:tab/>
          </w:r>
          <w:r>
            <w:tab/>
          </w:r>
          <w:r>
            <w:fldChar w:fldCharType="begin"/>
          </w:r>
          <w:r>
            <w:instrText xml:space="preserve"> PAGEREF _Toc27220 \h </w:instrText>
          </w:r>
          <w:r>
            <w:fldChar w:fldCharType="separate"/>
          </w:r>
          <w:r>
            <w:t>3</w:t>
          </w:r>
          <w:r>
            <w:fldChar w:fldCharType="end"/>
          </w:r>
          <w:r>
            <w:fldChar w:fldCharType="end"/>
          </w:r>
        </w:p>
        <w:p>
          <w:pPr>
            <w:pStyle w:val="162"/>
            <w:tabs>
              <w:tab w:val="right" w:leader="dot" w:pos="8640"/>
            </w:tabs>
          </w:pPr>
          <w:r>
            <w:fldChar w:fldCharType="begin"/>
          </w:r>
          <w:r>
            <w:instrText xml:space="preserve"> HYPERLINK \l _Toc5979 </w:instrText>
          </w:r>
          <w:r>
            <w:fldChar w:fldCharType="separate"/>
          </w:r>
          <w:r>
            <w:rPr>
              <w:rFonts w:hint="eastAsia" w:ascii="黑体" w:hAnsi="黑体" w:eastAsia="黑体"/>
              <w:bCs w:val="0"/>
            </w:rPr>
            <w:t>一、</w:t>
          </w:r>
          <w:r>
            <w:rPr>
              <w:rFonts w:hint="eastAsia" w:ascii="楷体" w:hAnsi="楷体" w:eastAsia="楷体" w:cs="楷体"/>
              <w:bCs/>
              <w:szCs w:val="32"/>
            </w:rPr>
            <w:t>职能简介</w:t>
          </w:r>
          <w:r>
            <w:tab/>
          </w:r>
          <w:r>
            <w:fldChar w:fldCharType="begin"/>
          </w:r>
          <w:r>
            <w:instrText xml:space="preserve"> PAGEREF _Toc5979 \h </w:instrText>
          </w:r>
          <w:r>
            <w:fldChar w:fldCharType="separate"/>
          </w:r>
          <w:r>
            <w:t>3</w:t>
          </w:r>
          <w:r>
            <w:fldChar w:fldCharType="end"/>
          </w:r>
          <w:r>
            <w:fldChar w:fldCharType="end"/>
          </w:r>
        </w:p>
        <w:p>
          <w:pPr>
            <w:pStyle w:val="162"/>
            <w:tabs>
              <w:tab w:val="right" w:leader="dot" w:pos="8640"/>
            </w:tabs>
          </w:pPr>
          <w:r>
            <w:fldChar w:fldCharType="begin"/>
          </w:r>
          <w:r>
            <w:instrText xml:space="preserve"> HYPERLINK \l _Toc7681 </w:instrText>
          </w:r>
          <w:r>
            <w:fldChar w:fldCharType="separate"/>
          </w:r>
          <w:r>
            <w:rPr>
              <w:rFonts w:hint="eastAsia" w:hAnsiTheme="majorEastAsia"/>
            </w:rPr>
            <w:t>二、</w:t>
          </w:r>
          <w:r>
            <w:rPr>
              <w:rFonts w:hint="eastAsia"/>
            </w:rPr>
            <w:t>机构设置</w:t>
          </w:r>
          <w:r>
            <w:tab/>
          </w:r>
          <w:r>
            <w:fldChar w:fldCharType="begin"/>
          </w:r>
          <w:r>
            <w:instrText xml:space="preserve"> PAGEREF _Toc7681 \h </w:instrText>
          </w:r>
          <w:r>
            <w:fldChar w:fldCharType="separate"/>
          </w:r>
          <w:r>
            <w:t>4</w:t>
          </w:r>
          <w:r>
            <w:fldChar w:fldCharType="end"/>
          </w:r>
          <w:r>
            <w:fldChar w:fldCharType="end"/>
          </w:r>
        </w:p>
        <w:p>
          <w:pPr>
            <w:pStyle w:val="161"/>
            <w:tabs>
              <w:tab w:val="right" w:leader="dot" w:pos="8640"/>
            </w:tabs>
          </w:pPr>
          <w:r>
            <w:fldChar w:fldCharType="begin"/>
          </w:r>
          <w:r>
            <w:instrText xml:space="preserve"> HYPERLINK \l _Toc27344 </w:instrText>
          </w:r>
          <w:r>
            <w:fldChar w:fldCharType="separate"/>
          </w:r>
          <w:r>
            <w:rPr>
              <w:rFonts w:hint="eastAsia" w:ascii="黑体" w:eastAsia="黑体"/>
            </w:rPr>
            <w:t>第二部分 2022年度</w:t>
          </w:r>
          <w:r>
            <w:rPr>
              <w:rFonts w:hint="eastAsia" w:ascii="黑体" w:eastAsia="黑体"/>
              <w:lang w:eastAsia="zh-CN"/>
            </w:rPr>
            <w:t>部门</w:t>
          </w:r>
          <w:r>
            <w:rPr>
              <w:rFonts w:hint="eastAsia" w:ascii="黑体" w:hAnsi="黑体" w:eastAsia="黑体"/>
            </w:rPr>
            <w:t>决算情况说明</w:t>
          </w:r>
          <w:r>
            <w:tab/>
          </w:r>
          <w:r>
            <w:fldChar w:fldCharType="begin"/>
          </w:r>
          <w:r>
            <w:instrText xml:space="preserve"> PAGEREF _Toc27344 \h </w:instrText>
          </w:r>
          <w:r>
            <w:fldChar w:fldCharType="separate"/>
          </w:r>
          <w:r>
            <w:t>5</w:t>
          </w:r>
          <w:r>
            <w:fldChar w:fldCharType="end"/>
          </w:r>
          <w:r>
            <w:fldChar w:fldCharType="end"/>
          </w:r>
        </w:p>
        <w:p>
          <w:pPr>
            <w:pStyle w:val="162"/>
            <w:tabs>
              <w:tab w:val="right" w:leader="dot" w:pos="8640"/>
            </w:tabs>
          </w:pPr>
          <w:r>
            <w:fldChar w:fldCharType="begin"/>
          </w:r>
          <w:r>
            <w:instrText xml:space="preserve"> HYPERLINK \l _Toc1101 </w:instrText>
          </w:r>
          <w:r>
            <w:fldChar w:fldCharType="separate"/>
          </w:r>
          <w:r>
            <w:rPr>
              <w:rFonts w:hint="default" w:ascii="黑体" w:hAnsi="Times New Roman" w:eastAsia="黑体" w:cs="Times New Roman"/>
            </w:rPr>
            <w:t xml:space="preserve">一、 </w:t>
          </w:r>
          <w:r>
            <w:rPr>
              <w:rFonts w:hint="eastAsia" w:ascii="黑体" w:eastAsia="黑体"/>
              <w:szCs w:val="32"/>
            </w:rPr>
            <w:t>收</w:t>
          </w:r>
          <w:r>
            <w:rPr>
              <w:rFonts w:hint="eastAsia" w:ascii="黑体" w:hAnsi="黑体" w:eastAsia="黑体"/>
            </w:rPr>
            <w:t>入、支出决算总体情况说明</w:t>
          </w:r>
          <w:r>
            <w:tab/>
          </w:r>
          <w:r>
            <w:fldChar w:fldCharType="begin"/>
          </w:r>
          <w:r>
            <w:instrText xml:space="preserve"> PAGEREF _Toc1101 \h </w:instrText>
          </w:r>
          <w:r>
            <w:fldChar w:fldCharType="separate"/>
          </w:r>
          <w:r>
            <w:t>5</w:t>
          </w:r>
          <w:r>
            <w:fldChar w:fldCharType="end"/>
          </w:r>
          <w:r>
            <w:fldChar w:fldCharType="end"/>
          </w:r>
        </w:p>
        <w:p>
          <w:pPr>
            <w:pStyle w:val="162"/>
            <w:tabs>
              <w:tab w:val="right" w:leader="dot" w:pos="8640"/>
            </w:tabs>
          </w:pPr>
          <w:r>
            <w:fldChar w:fldCharType="begin"/>
          </w:r>
          <w:r>
            <w:instrText xml:space="preserve"> HYPERLINK \l _Toc4495 </w:instrText>
          </w:r>
          <w:r>
            <w:fldChar w:fldCharType="separate"/>
          </w:r>
          <w:r>
            <w:rPr>
              <w:rFonts w:hint="default" w:ascii="黑体" w:hAnsi="Times New Roman" w:eastAsia="黑体" w:cs="Times New Roman"/>
            </w:rPr>
            <w:t xml:space="preserve">二、 </w:t>
          </w:r>
          <w:r>
            <w:rPr>
              <w:rFonts w:hint="eastAsia" w:ascii="黑体" w:hAnsi="黑体" w:eastAsia="黑体"/>
              <w:szCs w:val="32"/>
            </w:rPr>
            <w:t>收</w:t>
          </w:r>
          <w:r>
            <w:rPr>
              <w:rFonts w:hint="eastAsia" w:ascii="黑体" w:hAnsi="黑体" w:eastAsia="黑体"/>
            </w:rPr>
            <w:t>入决算情况说明</w:t>
          </w:r>
          <w:r>
            <w:tab/>
          </w:r>
          <w:r>
            <w:fldChar w:fldCharType="begin"/>
          </w:r>
          <w:r>
            <w:instrText xml:space="preserve"> PAGEREF _Toc4495 \h </w:instrText>
          </w:r>
          <w:r>
            <w:fldChar w:fldCharType="separate"/>
          </w:r>
          <w:r>
            <w:t>6</w:t>
          </w:r>
          <w:r>
            <w:fldChar w:fldCharType="end"/>
          </w:r>
          <w:r>
            <w:fldChar w:fldCharType="end"/>
          </w:r>
        </w:p>
        <w:p>
          <w:pPr>
            <w:pStyle w:val="162"/>
            <w:tabs>
              <w:tab w:val="right" w:leader="dot" w:pos="8640"/>
            </w:tabs>
          </w:pPr>
          <w:r>
            <w:fldChar w:fldCharType="begin"/>
          </w:r>
          <w:r>
            <w:instrText xml:space="preserve"> HYPERLINK \l _Toc4172 </w:instrText>
          </w:r>
          <w:r>
            <w:fldChar w:fldCharType="separate"/>
          </w:r>
          <w:r>
            <w:rPr>
              <w:rFonts w:hint="eastAsia" w:ascii="黑体" w:eastAsia="黑体"/>
              <w:szCs w:val="32"/>
            </w:rPr>
            <w:t>三、支</w:t>
          </w:r>
          <w:r>
            <w:rPr>
              <w:rFonts w:hint="eastAsia" w:ascii="黑体" w:hAnsi="黑体" w:eastAsia="黑体"/>
            </w:rPr>
            <w:t>出决算情况说明</w:t>
          </w:r>
          <w:r>
            <w:tab/>
          </w:r>
          <w:r>
            <w:fldChar w:fldCharType="begin"/>
          </w:r>
          <w:r>
            <w:instrText xml:space="preserve"> PAGEREF _Toc4172 \h </w:instrText>
          </w:r>
          <w:r>
            <w:fldChar w:fldCharType="separate"/>
          </w:r>
          <w:r>
            <w:t>6</w:t>
          </w:r>
          <w:r>
            <w:fldChar w:fldCharType="end"/>
          </w:r>
          <w:r>
            <w:fldChar w:fldCharType="end"/>
          </w:r>
        </w:p>
        <w:p>
          <w:pPr>
            <w:pStyle w:val="162"/>
            <w:tabs>
              <w:tab w:val="right" w:leader="dot" w:pos="8640"/>
            </w:tabs>
          </w:pPr>
          <w:r>
            <w:fldChar w:fldCharType="begin"/>
          </w:r>
          <w:r>
            <w:instrText xml:space="preserve"> HYPERLINK \l _Toc17784 </w:instrText>
          </w:r>
          <w:r>
            <w:fldChar w:fldCharType="separate"/>
          </w:r>
          <w:r>
            <w:rPr>
              <w:rFonts w:hint="eastAsia" w:ascii="黑体" w:eastAsia="黑体"/>
              <w:szCs w:val="32"/>
            </w:rPr>
            <w:t>四、财政拨款收入支出决算总体情况说明</w:t>
          </w:r>
          <w:r>
            <w:tab/>
          </w:r>
          <w:r>
            <w:fldChar w:fldCharType="begin"/>
          </w:r>
          <w:r>
            <w:instrText xml:space="preserve"> PAGEREF _Toc17784 \h </w:instrText>
          </w:r>
          <w:r>
            <w:fldChar w:fldCharType="separate"/>
          </w:r>
          <w:r>
            <w:t>7</w:t>
          </w:r>
          <w:r>
            <w:fldChar w:fldCharType="end"/>
          </w:r>
          <w:r>
            <w:fldChar w:fldCharType="end"/>
          </w:r>
        </w:p>
        <w:p>
          <w:pPr>
            <w:pStyle w:val="162"/>
            <w:tabs>
              <w:tab w:val="right" w:leader="dot" w:pos="8640"/>
            </w:tabs>
          </w:pPr>
          <w:r>
            <w:fldChar w:fldCharType="begin"/>
          </w:r>
          <w:r>
            <w:instrText xml:space="preserve"> HYPERLINK \l _Toc25341 </w:instrText>
          </w:r>
          <w:r>
            <w:fldChar w:fldCharType="separate"/>
          </w:r>
          <w:r>
            <w:rPr>
              <w:rFonts w:hint="eastAsia" w:ascii="黑体" w:hAnsi="黑体" w:eastAsia="黑体"/>
              <w:szCs w:val="32"/>
            </w:rPr>
            <w:t>五、一</w:t>
          </w:r>
          <w:r>
            <w:rPr>
              <w:rFonts w:hint="eastAsia" w:ascii="黑体" w:hAnsi="黑体" w:eastAsia="黑体"/>
            </w:rPr>
            <w:t>般公共预算财政拨款支出决算情况说明</w:t>
          </w:r>
          <w:r>
            <w:tab/>
          </w:r>
          <w:r>
            <w:fldChar w:fldCharType="begin"/>
          </w:r>
          <w:r>
            <w:instrText xml:space="preserve"> PAGEREF _Toc25341 \h </w:instrText>
          </w:r>
          <w:r>
            <w:fldChar w:fldCharType="separate"/>
          </w:r>
          <w:r>
            <w:t>8</w:t>
          </w:r>
          <w:r>
            <w:fldChar w:fldCharType="end"/>
          </w:r>
          <w:r>
            <w:fldChar w:fldCharType="end"/>
          </w:r>
        </w:p>
        <w:p>
          <w:pPr>
            <w:pStyle w:val="163"/>
            <w:tabs>
              <w:tab w:val="right" w:leader="dot" w:pos="8640"/>
            </w:tabs>
          </w:pPr>
          <w:r>
            <w:fldChar w:fldCharType="begin"/>
          </w:r>
          <w:r>
            <w:instrText xml:space="preserve"> HYPERLINK \l _Toc8131 </w:instrText>
          </w:r>
          <w:r>
            <w:fldChar w:fldCharType="separate"/>
          </w:r>
          <w:r>
            <w:rPr>
              <w:rFonts w:hint="eastAsia" w:ascii="仿宋_GB2312" w:hAnsi="仿宋" w:eastAsia="仿宋_GB2312"/>
              <w:szCs w:val="30"/>
            </w:rPr>
            <w:t>（一）一般公共预算财政拨款支出决算总体情况</w:t>
          </w:r>
          <w:r>
            <w:tab/>
          </w:r>
          <w:r>
            <w:fldChar w:fldCharType="begin"/>
          </w:r>
          <w:r>
            <w:instrText xml:space="preserve"> PAGEREF _Toc8131 \h </w:instrText>
          </w:r>
          <w:r>
            <w:fldChar w:fldCharType="separate"/>
          </w:r>
          <w:r>
            <w:t>8</w:t>
          </w:r>
          <w:r>
            <w:fldChar w:fldCharType="end"/>
          </w:r>
          <w:r>
            <w:fldChar w:fldCharType="end"/>
          </w:r>
        </w:p>
        <w:p>
          <w:pPr>
            <w:pStyle w:val="163"/>
            <w:tabs>
              <w:tab w:val="right" w:leader="dot" w:pos="8640"/>
            </w:tabs>
          </w:pPr>
          <w:r>
            <w:fldChar w:fldCharType="begin"/>
          </w:r>
          <w:r>
            <w:instrText xml:space="preserve"> HYPERLINK \l _Toc1053 </w:instrText>
          </w:r>
          <w:r>
            <w:fldChar w:fldCharType="separate"/>
          </w:r>
          <w:r>
            <w:rPr>
              <w:rFonts w:hint="eastAsia" w:ascii="黑体" w:hAnsi="仿宋" w:eastAsia="黑体"/>
              <w:szCs w:val="30"/>
            </w:rPr>
            <w:t>（二）、</w:t>
          </w:r>
          <w:r>
            <w:rPr>
              <w:rFonts w:hint="eastAsia" w:ascii="仿宋_GB2312" w:hAnsi="仿宋" w:eastAsia="仿宋_GB2312"/>
              <w:szCs w:val="30"/>
            </w:rPr>
            <w:t>一般公共预算财政拨款支出决算结构情况</w:t>
          </w:r>
          <w:r>
            <w:tab/>
          </w:r>
          <w:r>
            <w:fldChar w:fldCharType="begin"/>
          </w:r>
          <w:r>
            <w:instrText xml:space="preserve"> PAGEREF _Toc1053 \h </w:instrText>
          </w:r>
          <w:r>
            <w:fldChar w:fldCharType="separate"/>
          </w:r>
          <w:r>
            <w:t>9</w:t>
          </w:r>
          <w:r>
            <w:fldChar w:fldCharType="end"/>
          </w:r>
          <w:r>
            <w:fldChar w:fldCharType="end"/>
          </w:r>
        </w:p>
        <w:p>
          <w:pPr>
            <w:pStyle w:val="163"/>
            <w:tabs>
              <w:tab w:val="right" w:leader="dot" w:pos="8640"/>
            </w:tabs>
          </w:pPr>
          <w:r>
            <w:fldChar w:fldCharType="begin"/>
          </w:r>
          <w:r>
            <w:instrText xml:space="preserve"> HYPERLINK \l _Toc14078 </w:instrText>
          </w:r>
          <w:r>
            <w:fldChar w:fldCharType="separate"/>
          </w:r>
          <w:r>
            <w:rPr>
              <w:rFonts w:hint="eastAsia" w:ascii="仿宋" w:hAnsi="仿宋" w:eastAsia="仿宋"/>
              <w:szCs w:val="32"/>
            </w:rPr>
            <w:t>（三）一般公共预算财政拨款支出决算具体情况</w:t>
          </w:r>
          <w:r>
            <w:tab/>
          </w:r>
          <w:r>
            <w:fldChar w:fldCharType="begin"/>
          </w:r>
          <w:r>
            <w:instrText xml:space="preserve"> PAGEREF _Toc14078 \h </w:instrText>
          </w:r>
          <w:r>
            <w:fldChar w:fldCharType="separate"/>
          </w:r>
          <w:r>
            <w:t>10</w:t>
          </w:r>
          <w:r>
            <w:fldChar w:fldCharType="end"/>
          </w:r>
          <w:r>
            <w:fldChar w:fldCharType="end"/>
          </w:r>
        </w:p>
        <w:p>
          <w:pPr>
            <w:pStyle w:val="162"/>
            <w:tabs>
              <w:tab w:val="right" w:leader="dot" w:pos="8640"/>
            </w:tabs>
          </w:pPr>
          <w:r>
            <w:fldChar w:fldCharType="begin"/>
          </w:r>
          <w:r>
            <w:instrText xml:space="preserve"> HYPERLINK \l _Toc17852 </w:instrText>
          </w:r>
          <w:r>
            <w:fldChar w:fldCharType="separate"/>
          </w:r>
          <w:r>
            <w:rPr>
              <w:rFonts w:hint="eastAsia" w:ascii="黑体" w:eastAsia="黑体"/>
              <w:szCs w:val="30"/>
            </w:rPr>
            <w:t>六、</w:t>
          </w:r>
          <w:r>
            <w:rPr>
              <w:rFonts w:hint="eastAsia" w:ascii="黑体" w:hAnsi="黑体" w:eastAsia="黑体"/>
              <w:szCs w:val="30"/>
            </w:rPr>
            <w:t>一般公共预算财政拨款基本支出决算情况说明</w:t>
          </w:r>
          <w:r>
            <w:tab/>
          </w:r>
          <w:r>
            <w:fldChar w:fldCharType="begin"/>
          </w:r>
          <w:r>
            <w:instrText xml:space="preserve"> PAGEREF _Toc17852 \h </w:instrText>
          </w:r>
          <w:r>
            <w:fldChar w:fldCharType="separate"/>
          </w:r>
          <w:r>
            <w:t>12</w:t>
          </w:r>
          <w:r>
            <w:fldChar w:fldCharType="end"/>
          </w:r>
          <w:r>
            <w:fldChar w:fldCharType="end"/>
          </w:r>
        </w:p>
        <w:p>
          <w:pPr>
            <w:pStyle w:val="162"/>
            <w:tabs>
              <w:tab w:val="right" w:leader="dot" w:pos="8640"/>
            </w:tabs>
          </w:pPr>
          <w:r>
            <w:fldChar w:fldCharType="begin"/>
          </w:r>
          <w:r>
            <w:instrText xml:space="preserve"> HYPERLINK \l _Toc14260 </w:instrText>
          </w:r>
          <w:r>
            <w:fldChar w:fldCharType="separate"/>
          </w:r>
          <w:r>
            <w:rPr>
              <w:rFonts w:hint="eastAsia" w:ascii="黑体" w:eastAsia="黑体"/>
              <w:szCs w:val="30"/>
            </w:rPr>
            <w:t>七、</w:t>
          </w:r>
          <w:r>
            <w:rPr>
              <w:rFonts w:hint="eastAsia" w:ascii="黑体" w:hAnsi="黑体" w:eastAsia="黑体"/>
              <w:szCs w:val="30"/>
            </w:rPr>
            <w:t>“三公”经费财政拨款支出决算情况说明</w:t>
          </w:r>
          <w:r>
            <w:tab/>
          </w:r>
          <w:r>
            <w:fldChar w:fldCharType="begin"/>
          </w:r>
          <w:r>
            <w:instrText xml:space="preserve"> PAGEREF _Toc14260 \h </w:instrText>
          </w:r>
          <w:r>
            <w:fldChar w:fldCharType="separate"/>
          </w:r>
          <w:r>
            <w:t>13</w:t>
          </w:r>
          <w:r>
            <w:fldChar w:fldCharType="end"/>
          </w:r>
          <w:r>
            <w:fldChar w:fldCharType="end"/>
          </w:r>
        </w:p>
        <w:p>
          <w:pPr>
            <w:pStyle w:val="163"/>
            <w:tabs>
              <w:tab w:val="right" w:leader="dot" w:pos="8640"/>
            </w:tabs>
          </w:pPr>
          <w:r>
            <w:fldChar w:fldCharType="begin"/>
          </w:r>
          <w:r>
            <w:instrText xml:space="preserve"> HYPERLINK \l _Toc26609 </w:instrText>
          </w:r>
          <w:r>
            <w:fldChar w:fldCharType="separate"/>
          </w:r>
          <w:r>
            <w:rPr>
              <w:rFonts w:hint="eastAsia" w:ascii="仿宋_GB2312" w:hAnsi="仿宋" w:eastAsia="仿宋_GB2312"/>
              <w:szCs w:val="30"/>
            </w:rPr>
            <w:t>（一）“三公”经费财政拨款支出决算总体情况说明</w:t>
          </w:r>
          <w:r>
            <w:tab/>
          </w:r>
          <w:r>
            <w:fldChar w:fldCharType="begin"/>
          </w:r>
          <w:r>
            <w:instrText xml:space="preserve"> PAGEREF _Toc26609 \h </w:instrText>
          </w:r>
          <w:r>
            <w:fldChar w:fldCharType="separate"/>
          </w:r>
          <w:r>
            <w:t>13</w:t>
          </w:r>
          <w:r>
            <w:fldChar w:fldCharType="end"/>
          </w:r>
          <w:r>
            <w:fldChar w:fldCharType="end"/>
          </w:r>
        </w:p>
        <w:p>
          <w:pPr>
            <w:pStyle w:val="163"/>
            <w:tabs>
              <w:tab w:val="right" w:leader="dot" w:pos="8640"/>
            </w:tabs>
          </w:pPr>
          <w:r>
            <w:fldChar w:fldCharType="begin"/>
          </w:r>
          <w:r>
            <w:instrText xml:space="preserve"> HYPERLINK \l _Toc1016 </w:instrText>
          </w:r>
          <w:r>
            <w:fldChar w:fldCharType="separate"/>
          </w:r>
          <w:r>
            <w:rPr>
              <w:rFonts w:hint="eastAsia" w:ascii="仿宋_GB2312" w:hAnsi="仿宋" w:eastAsia="仿宋_GB2312"/>
              <w:szCs w:val="30"/>
            </w:rPr>
            <w:t>（二） “三公”经费财政拨款支出决算具体情况说明</w:t>
          </w:r>
          <w:r>
            <w:tab/>
          </w:r>
          <w:r>
            <w:fldChar w:fldCharType="begin"/>
          </w:r>
          <w:r>
            <w:instrText xml:space="preserve"> PAGEREF _Toc1016 \h </w:instrText>
          </w:r>
          <w:r>
            <w:fldChar w:fldCharType="separate"/>
          </w:r>
          <w:r>
            <w:t>13</w:t>
          </w:r>
          <w:r>
            <w:fldChar w:fldCharType="end"/>
          </w:r>
          <w:r>
            <w:fldChar w:fldCharType="end"/>
          </w:r>
        </w:p>
        <w:p>
          <w:pPr>
            <w:pStyle w:val="162"/>
            <w:tabs>
              <w:tab w:val="right" w:leader="dot" w:pos="8640"/>
            </w:tabs>
          </w:pPr>
          <w:r>
            <w:fldChar w:fldCharType="begin"/>
          </w:r>
          <w:r>
            <w:instrText xml:space="preserve"> HYPERLINK \l _Toc11290 </w:instrText>
          </w:r>
          <w:r>
            <w:fldChar w:fldCharType="separate"/>
          </w:r>
          <w:r>
            <w:rPr>
              <w:rFonts w:hint="eastAsia" w:ascii="黑体" w:eastAsia="黑体"/>
              <w:szCs w:val="30"/>
            </w:rPr>
            <w:t>八、</w:t>
          </w:r>
          <w:r>
            <w:rPr>
              <w:rFonts w:hint="eastAsia" w:ascii="黑体" w:hAnsi="黑体" w:eastAsia="黑体"/>
              <w:szCs w:val="30"/>
            </w:rPr>
            <w:t>政府性基金预算支出决算情况说明</w:t>
          </w:r>
          <w:r>
            <w:tab/>
          </w:r>
          <w:r>
            <w:fldChar w:fldCharType="begin"/>
          </w:r>
          <w:r>
            <w:instrText xml:space="preserve"> PAGEREF _Toc11290 \h </w:instrText>
          </w:r>
          <w:r>
            <w:fldChar w:fldCharType="separate"/>
          </w:r>
          <w:r>
            <w:t>14</w:t>
          </w:r>
          <w:r>
            <w:fldChar w:fldCharType="end"/>
          </w:r>
          <w:r>
            <w:fldChar w:fldCharType="end"/>
          </w:r>
        </w:p>
        <w:p>
          <w:pPr>
            <w:pStyle w:val="162"/>
            <w:tabs>
              <w:tab w:val="right" w:leader="dot" w:pos="8640"/>
            </w:tabs>
          </w:pPr>
          <w:r>
            <w:fldChar w:fldCharType="begin"/>
          </w:r>
          <w:r>
            <w:instrText xml:space="preserve"> HYPERLINK \l _Toc30657 </w:instrText>
          </w:r>
          <w:r>
            <w:fldChar w:fldCharType="separate"/>
          </w:r>
          <w:r>
            <w:rPr>
              <w:rFonts w:hint="eastAsia" w:ascii="黑体" w:hAnsi="黑体" w:eastAsia="黑体"/>
              <w:szCs w:val="30"/>
            </w:rPr>
            <w:t>九、国有资本经营预算支出决算情况说明</w:t>
          </w:r>
          <w:r>
            <w:tab/>
          </w:r>
          <w:r>
            <w:fldChar w:fldCharType="begin"/>
          </w:r>
          <w:r>
            <w:instrText xml:space="preserve"> PAGEREF _Toc30657 \h </w:instrText>
          </w:r>
          <w:r>
            <w:fldChar w:fldCharType="separate"/>
          </w:r>
          <w:r>
            <w:t>15</w:t>
          </w:r>
          <w:r>
            <w:fldChar w:fldCharType="end"/>
          </w:r>
          <w:r>
            <w:fldChar w:fldCharType="end"/>
          </w:r>
        </w:p>
        <w:p>
          <w:pPr>
            <w:pStyle w:val="162"/>
            <w:tabs>
              <w:tab w:val="right" w:leader="dot" w:pos="8640"/>
            </w:tabs>
          </w:pPr>
          <w:r>
            <w:fldChar w:fldCharType="begin"/>
          </w:r>
          <w:r>
            <w:instrText xml:space="preserve"> HYPERLINK \l _Toc24213 </w:instrText>
          </w:r>
          <w:r>
            <w:fldChar w:fldCharType="separate"/>
          </w:r>
          <w:r>
            <w:rPr>
              <w:rFonts w:hint="eastAsia" w:ascii="黑体" w:hAnsi="黑体" w:eastAsia="黑体"/>
              <w:szCs w:val="30"/>
            </w:rPr>
            <w:t>十、其他重要事项的情况说明</w:t>
          </w:r>
          <w:r>
            <w:tab/>
          </w:r>
          <w:r>
            <w:fldChar w:fldCharType="begin"/>
          </w:r>
          <w:r>
            <w:instrText xml:space="preserve"> PAGEREF _Toc24213 \h </w:instrText>
          </w:r>
          <w:r>
            <w:fldChar w:fldCharType="separate"/>
          </w:r>
          <w:r>
            <w:t>15</w:t>
          </w:r>
          <w:r>
            <w:fldChar w:fldCharType="end"/>
          </w:r>
          <w:r>
            <w:fldChar w:fldCharType="end"/>
          </w:r>
        </w:p>
        <w:p>
          <w:pPr>
            <w:pStyle w:val="163"/>
            <w:tabs>
              <w:tab w:val="right" w:leader="dot" w:pos="8640"/>
            </w:tabs>
          </w:pPr>
          <w:r>
            <w:fldChar w:fldCharType="begin"/>
          </w:r>
          <w:r>
            <w:instrText xml:space="preserve"> HYPERLINK \l _Toc19181 </w:instrText>
          </w:r>
          <w:r>
            <w:fldChar w:fldCharType="separate"/>
          </w:r>
          <w:r>
            <w:rPr>
              <w:rFonts w:hint="eastAsia" w:ascii="仿宋" w:hAnsi="仿宋" w:eastAsia="仿宋"/>
              <w:szCs w:val="30"/>
            </w:rPr>
            <w:t>（一）机关运行经费支出情况</w:t>
          </w:r>
          <w:r>
            <w:tab/>
          </w:r>
          <w:r>
            <w:fldChar w:fldCharType="begin"/>
          </w:r>
          <w:r>
            <w:instrText xml:space="preserve"> PAGEREF _Toc19181 \h </w:instrText>
          </w:r>
          <w:r>
            <w:fldChar w:fldCharType="separate"/>
          </w:r>
          <w:r>
            <w:t>15</w:t>
          </w:r>
          <w:r>
            <w:fldChar w:fldCharType="end"/>
          </w:r>
          <w:r>
            <w:fldChar w:fldCharType="end"/>
          </w:r>
        </w:p>
        <w:p>
          <w:pPr>
            <w:pStyle w:val="163"/>
            <w:tabs>
              <w:tab w:val="right" w:leader="dot" w:pos="8640"/>
            </w:tabs>
          </w:pPr>
          <w:r>
            <w:fldChar w:fldCharType="begin"/>
          </w:r>
          <w:r>
            <w:instrText xml:space="preserve"> HYPERLINK \l _Toc26845 </w:instrText>
          </w:r>
          <w:r>
            <w:fldChar w:fldCharType="separate"/>
          </w:r>
          <w:r>
            <w:rPr>
              <w:rFonts w:hint="eastAsia" w:ascii="仿宋" w:hAnsi="仿宋" w:eastAsia="仿宋"/>
              <w:szCs w:val="30"/>
            </w:rPr>
            <w:t>（二）政府采购支出情况</w:t>
          </w:r>
          <w:r>
            <w:tab/>
          </w:r>
          <w:r>
            <w:fldChar w:fldCharType="begin"/>
          </w:r>
          <w:r>
            <w:instrText xml:space="preserve"> PAGEREF _Toc26845 \h </w:instrText>
          </w:r>
          <w:r>
            <w:fldChar w:fldCharType="separate"/>
          </w:r>
          <w:r>
            <w:t>15</w:t>
          </w:r>
          <w:r>
            <w:fldChar w:fldCharType="end"/>
          </w:r>
          <w:r>
            <w:fldChar w:fldCharType="end"/>
          </w:r>
        </w:p>
        <w:p>
          <w:pPr>
            <w:pStyle w:val="163"/>
            <w:tabs>
              <w:tab w:val="right" w:leader="dot" w:pos="8640"/>
            </w:tabs>
          </w:pPr>
          <w:r>
            <w:fldChar w:fldCharType="begin"/>
          </w:r>
          <w:r>
            <w:instrText xml:space="preserve"> HYPERLINK \l _Toc21973 </w:instrText>
          </w:r>
          <w:r>
            <w:fldChar w:fldCharType="separate"/>
          </w:r>
          <w:r>
            <w:rPr>
              <w:rFonts w:hint="eastAsia" w:ascii="仿宋" w:hAnsi="仿宋" w:eastAsia="仿宋"/>
              <w:szCs w:val="30"/>
            </w:rPr>
            <w:t>（三）国有资产占有使用情况</w:t>
          </w:r>
          <w:r>
            <w:tab/>
          </w:r>
          <w:r>
            <w:fldChar w:fldCharType="begin"/>
          </w:r>
          <w:r>
            <w:instrText xml:space="preserve"> PAGEREF _Toc21973 \h </w:instrText>
          </w:r>
          <w:r>
            <w:fldChar w:fldCharType="separate"/>
          </w:r>
          <w:r>
            <w:t>15</w:t>
          </w:r>
          <w:r>
            <w:fldChar w:fldCharType="end"/>
          </w:r>
          <w:r>
            <w:fldChar w:fldCharType="end"/>
          </w:r>
        </w:p>
        <w:p>
          <w:pPr>
            <w:pStyle w:val="163"/>
            <w:tabs>
              <w:tab w:val="right" w:leader="dot" w:pos="8640"/>
            </w:tabs>
          </w:pPr>
          <w:r>
            <w:fldChar w:fldCharType="begin"/>
          </w:r>
          <w:r>
            <w:instrText xml:space="preserve"> HYPERLINK \l _Toc11142 </w:instrText>
          </w:r>
          <w:r>
            <w:fldChar w:fldCharType="separate"/>
          </w:r>
          <w:r>
            <w:rPr>
              <w:rFonts w:hint="eastAsia" w:ascii="黑体" w:eastAsia="黑体"/>
              <w:szCs w:val="32"/>
            </w:rPr>
            <w:t>（四）</w:t>
          </w:r>
          <w:r>
            <w:rPr>
              <w:rFonts w:hint="eastAsia" w:ascii="仿宋" w:hAnsi="仿宋" w:eastAsia="仿宋"/>
              <w:szCs w:val="32"/>
            </w:rPr>
            <w:t>预算绩效管理情况</w:t>
          </w:r>
          <w:r>
            <w:tab/>
          </w:r>
          <w:r>
            <w:fldChar w:fldCharType="begin"/>
          </w:r>
          <w:r>
            <w:instrText xml:space="preserve"> PAGEREF _Toc11142 \h </w:instrText>
          </w:r>
          <w:r>
            <w:fldChar w:fldCharType="separate"/>
          </w:r>
          <w:r>
            <w:t>15</w:t>
          </w:r>
          <w:r>
            <w:fldChar w:fldCharType="end"/>
          </w:r>
          <w:r>
            <w:fldChar w:fldCharType="end"/>
          </w:r>
        </w:p>
        <w:p>
          <w:pPr>
            <w:pStyle w:val="161"/>
            <w:tabs>
              <w:tab w:val="right" w:leader="dot" w:pos="8640"/>
            </w:tabs>
          </w:pPr>
          <w:r>
            <w:fldChar w:fldCharType="begin"/>
          </w:r>
          <w:r>
            <w:instrText xml:space="preserve"> HYPERLINK \l _Toc16856 </w:instrText>
          </w:r>
          <w:r>
            <w:fldChar w:fldCharType="separate"/>
          </w:r>
          <w:r>
            <w:rPr>
              <w:rFonts w:hint="eastAsia" w:ascii="黑体" w:hAnsi="黑体" w:eastAsia="黑体" w:cs="黑体"/>
              <w:szCs w:val="44"/>
            </w:rPr>
            <w:t xml:space="preserve">第三部分 </w:t>
          </w:r>
          <w:r>
            <w:rPr>
              <w:rFonts w:hint="eastAsia" w:ascii="黑体" w:hAnsi="黑体" w:eastAsia="黑体"/>
              <w:szCs w:val="44"/>
            </w:rPr>
            <w:t>名</w:t>
          </w:r>
          <w:r>
            <w:rPr>
              <w:rFonts w:hint="eastAsia" w:ascii="黑体" w:hAnsi="黑体" w:eastAsia="黑体"/>
            </w:rPr>
            <w:t>词解释</w:t>
          </w:r>
          <w:r>
            <w:tab/>
          </w:r>
          <w:r>
            <w:fldChar w:fldCharType="begin"/>
          </w:r>
          <w:r>
            <w:instrText xml:space="preserve"> PAGEREF _Toc16856 \h </w:instrText>
          </w:r>
          <w:r>
            <w:fldChar w:fldCharType="separate"/>
          </w:r>
          <w:r>
            <w:t>16</w:t>
          </w:r>
          <w:r>
            <w:fldChar w:fldCharType="end"/>
          </w:r>
          <w:r>
            <w:fldChar w:fldCharType="end"/>
          </w:r>
        </w:p>
        <w:p>
          <w:pPr>
            <w:pStyle w:val="161"/>
            <w:tabs>
              <w:tab w:val="right" w:leader="dot" w:pos="8640"/>
            </w:tabs>
          </w:pPr>
          <w:r>
            <w:fldChar w:fldCharType="begin"/>
          </w:r>
          <w:r>
            <w:instrText xml:space="preserve"> HYPERLINK \l _Toc12583 </w:instrText>
          </w:r>
          <w:r>
            <w:fldChar w:fldCharType="separate"/>
          </w:r>
          <w:r>
            <w:rPr>
              <w:rFonts w:hint="eastAsia" w:ascii="黑体" w:hAnsi="黑体" w:eastAsia="黑体"/>
              <w:szCs w:val="48"/>
            </w:rPr>
            <w:t>第四部分 附件</w:t>
          </w:r>
          <w:r>
            <w:tab/>
          </w:r>
          <w:r>
            <w:fldChar w:fldCharType="begin"/>
          </w:r>
          <w:r>
            <w:instrText xml:space="preserve"> PAGEREF _Toc12583 \h </w:instrText>
          </w:r>
          <w:r>
            <w:fldChar w:fldCharType="separate"/>
          </w:r>
          <w:r>
            <w:t>19</w:t>
          </w:r>
          <w:r>
            <w:fldChar w:fldCharType="end"/>
          </w:r>
          <w:r>
            <w:fldChar w:fldCharType="end"/>
          </w:r>
        </w:p>
        <w:p>
          <w:pPr>
            <w:pStyle w:val="161"/>
            <w:tabs>
              <w:tab w:val="right" w:leader="dot" w:pos="8640"/>
            </w:tabs>
          </w:pPr>
          <w:r>
            <w:fldChar w:fldCharType="begin"/>
          </w:r>
          <w:r>
            <w:instrText xml:space="preserve"> HYPERLINK \l _Toc8983 </w:instrText>
          </w:r>
          <w:r>
            <w:fldChar w:fldCharType="separate"/>
          </w:r>
          <w:r>
            <w:rPr>
              <w:rFonts w:hint="eastAsia" w:ascii="黑体" w:hAnsi="黑体" w:eastAsia="黑体"/>
              <w:szCs w:val="44"/>
            </w:rPr>
            <w:t>第</w:t>
          </w:r>
          <w:r>
            <w:rPr>
              <w:rFonts w:hint="eastAsia" w:ascii="黑体" w:hAnsi="黑体" w:eastAsia="黑体"/>
            </w:rPr>
            <w:t>五部分 附表</w:t>
          </w:r>
          <w:r>
            <w:tab/>
          </w:r>
          <w:r>
            <w:fldChar w:fldCharType="begin"/>
          </w:r>
          <w:r>
            <w:instrText xml:space="preserve"> PAGEREF _Toc8983 \h </w:instrText>
          </w:r>
          <w:r>
            <w:fldChar w:fldCharType="separate"/>
          </w:r>
          <w:r>
            <w:t>128</w:t>
          </w:r>
          <w:r>
            <w:fldChar w:fldCharType="end"/>
          </w:r>
          <w:r>
            <w:fldChar w:fldCharType="end"/>
          </w:r>
        </w:p>
        <w:p>
          <w:r>
            <w:fldChar w:fldCharType="end"/>
          </w:r>
        </w:p>
      </w:sdtContent>
    </w:sdt>
    <w:p>
      <w:pPr>
        <w:jc w:val="center"/>
        <w:outlineLvl w:val="0"/>
        <w:rPr>
          <w:rFonts w:hint="eastAsia" w:ascii="黑体" w:eastAsia="黑体"/>
          <w:sz w:val="48"/>
          <w:szCs w:val="48"/>
        </w:rPr>
      </w:pPr>
      <w:bookmarkStart w:id="16" w:name="_Toc27220"/>
    </w:p>
    <w:p>
      <w:pPr>
        <w:jc w:val="center"/>
        <w:outlineLvl w:val="0"/>
        <w:rPr>
          <w:rFonts w:hint="eastAsia" w:ascii="黑体" w:eastAsia="黑体"/>
          <w:sz w:val="48"/>
          <w:szCs w:val="48"/>
        </w:rPr>
      </w:pPr>
    </w:p>
    <w:p>
      <w:pPr>
        <w:jc w:val="center"/>
        <w:outlineLvl w:val="0"/>
        <w:rPr>
          <w:rFonts w:hint="eastAsia" w:ascii="黑体" w:eastAsia="黑体"/>
          <w:sz w:val="48"/>
          <w:szCs w:val="48"/>
        </w:rPr>
      </w:pPr>
    </w:p>
    <w:p>
      <w:pPr>
        <w:jc w:val="center"/>
        <w:outlineLvl w:val="0"/>
        <w:rPr>
          <w:rFonts w:hint="eastAsia" w:ascii="黑体" w:eastAsia="黑体"/>
          <w:sz w:val="48"/>
          <w:szCs w:val="48"/>
        </w:rPr>
      </w:pPr>
    </w:p>
    <w:p>
      <w:pPr>
        <w:jc w:val="center"/>
        <w:outlineLvl w:val="0"/>
        <w:rPr>
          <w:rFonts w:hint="eastAsia" w:ascii="黑体" w:eastAsia="黑体"/>
          <w:sz w:val="48"/>
          <w:szCs w:val="48"/>
        </w:rPr>
      </w:pPr>
    </w:p>
    <w:p>
      <w:pPr>
        <w:jc w:val="center"/>
        <w:outlineLvl w:val="0"/>
        <w:rPr>
          <w:rFonts w:hint="eastAsia" w:ascii="黑体" w:eastAsia="黑体"/>
          <w:sz w:val="48"/>
          <w:szCs w:val="48"/>
        </w:rPr>
      </w:pPr>
    </w:p>
    <w:p>
      <w:pPr>
        <w:jc w:val="center"/>
        <w:outlineLvl w:val="0"/>
        <w:rPr>
          <w:rFonts w:hint="eastAsia" w:ascii="黑体" w:eastAsia="黑体"/>
          <w:sz w:val="48"/>
          <w:szCs w:val="48"/>
        </w:rPr>
      </w:pPr>
    </w:p>
    <w:p>
      <w:pPr>
        <w:jc w:val="center"/>
        <w:outlineLvl w:val="0"/>
        <w:rPr>
          <w:rFonts w:hint="eastAsia" w:ascii="黑体" w:eastAsia="黑体"/>
          <w:sz w:val="48"/>
          <w:szCs w:val="48"/>
        </w:rPr>
      </w:pPr>
    </w:p>
    <w:p>
      <w:pPr>
        <w:jc w:val="center"/>
        <w:outlineLvl w:val="0"/>
        <w:rPr>
          <w:rFonts w:hint="eastAsia" w:ascii="黑体" w:eastAsia="黑体"/>
          <w:sz w:val="48"/>
          <w:szCs w:val="48"/>
        </w:rPr>
      </w:pPr>
    </w:p>
    <w:p>
      <w:pPr>
        <w:jc w:val="center"/>
        <w:outlineLvl w:val="0"/>
        <w:rPr>
          <w:rStyle w:val="29"/>
          <w:rFonts w:ascii="黑体" w:hAnsi="黑体" w:eastAsia="黑体"/>
          <w:sz w:val="48"/>
          <w:szCs w:val="48"/>
        </w:rPr>
      </w:pPr>
      <w:r>
        <w:rPr>
          <w:rFonts w:hint="eastAsia" w:ascii="黑体" w:eastAsia="黑体"/>
          <w:sz w:val="48"/>
          <w:szCs w:val="48"/>
        </w:rPr>
        <w:t xml:space="preserve">第一部分 </w:t>
      </w:r>
      <w:r>
        <w:rPr>
          <w:rFonts w:hint="eastAsia" w:ascii="黑体" w:eastAsia="黑体"/>
          <w:sz w:val="48"/>
          <w:szCs w:val="48"/>
          <w:lang w:eastAsia="zh-CN"/>
        </w:rPr>
        <w:t>部门</w:t>
      </w:r>
      <w:r>
        <w:rPr>
          <w:rStyle w:val="29"/>
          <w:rFonts w:hint="eastAsia" w:ascii="黑体" w:hAnsi="黑体" w:eastAsia="黑体"/>
          <w:sz w:val="48"/>
          <w:szCs w:val="48"/>
        </w:rPr>
        <w:t>概况</w:t>
      </w:r>
      <w:bookmarkEnd w:id="14"/>
      <w:bookmarkEnd w:id="15"/>
      <w:bookmarkEnd w:id="16"/>
    </w:p>
    <w:p>
      <w:pPr>
        <w:pStyle w:val="2"/>
        <w:spacing w:before="72"/>
      </w:pPr>
    </w:p>
    <w:p>
      <w:pPr>
        <w:ind w:firstLine="640" w:firstLineChars="200"/>
        <w:outlineLvl w:val="1"/>
        <w:rPr>
          <w:rFonts w:ascii="楷体" w:hAnsi="楷体" w:eastAsia="楷体" w:cs="楷体"/>
          <w:b/>
          <w:bCs/>
          <w:sz w:val="32"/>
          <w:szCs w:val="32"/>
        </w:rPr>
      </w:pPr>
      <w:bookmarkStart w:id="17" w:name="_Toc5979"/>
      <w:bookmarkStart w:id="18" w:name="_Toc15377197"/>
      <w:bookmarkStart w:id="19" w:name="_Toc15396600"/>
      <w:r>
        <w:rPr>
          <w:rStyle w:val="30"/>
          <w:rFonts w:hint="eastAsia" w:ascii="黑体" w:hAnsi="黑体" w:eastAsia="黑体"/>
          <w:b w:val="0"/>
          <w:bCs w:val="0"/>
        </w:rPr>
        <w:t>一、</w:t>
      </w:r>
      <w:r>
        <w:rPr>
          <w:rFonts w:hint="eastAsia" w:ascii="楷体" w:hAnsi="楷体" w:eastAsia="楷体" w:cs="楷体"/>
          <w:b/>
          <w:bCs/>
          <w:sz w:val="32"/>
          <w:szCs w:val="32"/>
        </w:rPr>
        <w:t>职能简介</w:t>
      </w:r>
      <w:bookmarkEnd w:id="17"/>
    </w:p>
    <w:p>
      <w:pPr>
        <w:ind w:firstLine="480" w:firstLineChars="150"/>
        <w:rPr>
          <w:rFonts w:ascii="仿宋_GB2312" w:eastAsia="仿宋_GB2312" w:cs="Arial" w:hAnsiTheme="minorEastAsia"/>
          <w:color w:val="000000"/>
          <w:kern w:val="0"/>
          <w:sz w:val="32"/>
          <w:szCs w:val="32"/>
        </w:rPr>
      </w:pPr>
      <w:r>
        <w:rPr>
          <w:rFonts w:hint="eastAsia" w:ascii="仿宋_GB2312" w:eastAsia="仿宋_GB2312" w:cs="Arial" w:hAnsiTheme="minorEastAsia"/>
          <w:color w:val="000000"/>
          <w:kern w:val="0"/>
          <w:sz w:val="32"/>
          <w:szCs w:val="32"/>
        </w:rPr>
        <w:t>（一）贯彻执行国家有关交通运输行业的方针、政策和法律、法规。组织拟订并监督实施公路、水路等行业规划、政策和标准，会同有关部门组织编制综合运输体系规划，参与拟订物流业发展战略和规划。</w:t>
      </w:r>
    </w:p>
    <w:p>
      <w:pPr>
        <w:spacing w:line="580" w:lineRule="exact"/>
        <w:ind w:firstLine="640" w:firstLineChars="200"/>
        <w:rPr>
          <w:rFonts w:ascii="仿宋_GB2312" w:hAnsi="Arial" w:eastAsia="仿宋_GB2312" w:cs="Arial"/>
          <w:color w:val="000000"/>
          <w:kern w:val="0"/>
          <w:sz w:val="32"/>
          <w:szCs w:val="32"/>
        </w:rPr>
      </w:pPr>
      <w:r>
        <w:rPr>
          <w:rFonts w:hint="eastAsia" w:ascii="仿宋_GB2312" w:hAnsi="Arial" w:eastAsia="仿宋_GB2312" w:cs="Arial"/>
          <w:color w:val="000000"/>
          <w:kern w:val="0"/>
          <w:sz w:val="32"/>
          <w:szCs w:val="32"/>
        </w:rPr>
        <w:t>（二）负责本系统、本部门依法行政工作，落实行政执法责任制。指导公路、水路行业有关体制改革工作。</w:t>
      </w:r>
    </w:p>
    <w:p>
      <w:pPr>
        <w:spacing w:line="580" w:lineRule="exact"/>
        <w:ind w:firstLine="640" w:firstLineChars="200"/>
        <w:rPr>
          <w:rFonts w:ascii="仿宋_GB2312" w:hAnsi="Arial" w:eastAsia="仿宋_GB2312" w:cs="Arial"/>
          <w:color w:val="000000"/>
          <w:kern w:val="0"/>
          <w:sz w:val="32"/>
          <w:szCs w:val="32"/>
        </w:rPr>
      </w:pPr>
      <w:r>
        <w:rPr>
          <w:rFonts w:hint="eastAsia" w:ascii="仿宋_GB2312" w:hAnsi="Arial" w:eastAsia="仿宋_GB2312" w:cs="Arial"/>
          <w:color w:val="000000"/>
          <w:kern w:val="0"/>
          <w:sz w:val="32"/>
          <w:szCs w:val="32"/>
        </w:rPr>
        <w:t xml:space="preserve">（三）承担道路、水路交通运输市场监管责任，组织制订道路、水路运输有关政策并监督实施。指导城乡客运管理工作，指导出租汽车行业管理工作，会同有关部门制定运输价格。 </w:t>
      </w:r>
    </w:p>
    <w:p>
      <w:pPr>
        <w:spacing w:line="580" w:lineRule="exact"/>
        <w:ind w:firstLine="640" w:firstLineChars="200"/>
        <w:rPr>
          <w:rFonts w:ascii="仿宋_GB2312" w:hAnsi="Arial" w:eastAsia="仿宋_GB2312" w:cs="Arial"/>
          <w:color w:val="000000"/>
          <w:kern w:val="0"/>
          <w:sz w:val="32"/>
          <w:szCs w:val="32"/>
        </w:rPr>
      </w:pPr>
      <w:r>
        <w:rPr>
          <w:rFonts w:hint="eastAsia" w:ascii="仿宋_GB2312" w:hAnsi="Arial" w:eastAsia="仿宋_GB2312" w:cs="Arial"/>
          <w:color w:val="000000"/>
          <w:kern w:val="0"/>
          <w:sz w:val="32"/>
          <w:szCs w:val="32"/>
        </w:rPr>
        <w:t>（四）承担水上交通安全监管责任。负责水上交通管制、运输船舶及相关水上设施检验、登记和防止污染、救助打捞、通讯导航、危险品运输的监督管理工作，负责船员管理相关工作；指导水上交通安全事故、船舶及相关水上设施污染事故的应急处置，依法组织或参与事故调查处理工作。</w:t>
      </w:r>
    </w:p>
    <w:p>
      <w:pPr>
        <w:spacing w:line="580" w:lineRule="exact"/>
        <w:ind w:firstLine="640" w:firstLineChars="200"/>
        <w:rPr>
          <w:rFonts w:ascii="仿宋_GB2312" w:hAnsi="Arial" w:eastAsia="仿宋_GB2312" w:cs="Arial"/>
          <w:color w:val="000000"/>
          <w:kern w:val="0"/>
          <w:sz w:val="32"/>
          <w:szCs w:val="32"/>
        </w:rPr>
      </w:pPr>
      <w:r>
        <w:rPr>
          <w:rFonts w:hint="eastAsia" w:ascii="仿宋_GB2312" w:hAnsi="Arial" w:eastAsia="仿宋_GB2312" w:cs="Arial"/>
          <w:color w:val="000000"/>
          <w:kern w:val="0"/>
          <w:sz w:val="32"/>
          <w:szCs w:val="32"/>
        </w:rPr>
        <w:t>（五）负责提出公路、水路固定资产投资规模和方向、区财政性资金安排意见，按照规定权限审批、核准国家、省、市、区规划内和年度计划规模内固定资产投资项目；会同相关部门拟订公路、水路有关规费政策并监督实施，提出有关财政、土地、价格等政策建议；指导交通运输行业审计工作。</w:t>
      </w:r>
    </w:p>
    <w:p>
      <w:pPr>
        <w:spacing w:line="580" w:lineRule="exact"/>
        <w:ind w:firstLine="624" w:firstLineChars="200"/>
        <w:rPr>
          <w:rFonts w:ascii="仿宋_GB2312" w:hAnsi="Arial" w:eastAsia="仿宋_GB2312" w:cs="Arial"/>
          <w:color w:val="000000"/>
          <w:spacing w:val="-4"/>
          <w:kern w:val="0"/>
          <w:sz w:val="32"/>
          <w:szCs w:val="32"/>
        </w:rPr>
      </w:pPr>
      <w:r>
        <w:rPr>
          <w:rFonts w:hint="eastAsia" w:ascii="仿宋_GB2312" w:hAnsi="Arial" w:eastAsia="仿宋_GB2312" w:cs="Arial"/>
          <w:color w:val="000000"/>
          <w:spacing w:val="-4"/>
          <w:kern w:val="0"/>
          <w:sz w:val="32"/>
          <w:szCs w:val="32"/>
        </w:rPr>
        <w:t>（六）承担公路、水路建设市场监管责任。拟订公路、水路工程建设相关政策、制度、技术标准并监督实施，组织实施公路、水路有关重点工程建设和工程质量、安全生产监督管理工作；负责对交通行业和产业项目招投标活动的监督执法；指导交通运输基础设施管理和维护，承担有关重要设施的管理和维护；按规定负责港口规划和港口岸线使用管理工作；负责公路、桥梁、隧道收取通行费及站卡设置的协调和归口管理。指导交通运输行业特许经营管理，会同有关部门组织实施交通运输行业职业资格管理工作。</w:t>
      </w:r>
    </w:p>
    <w:p>
      <w:pPr>
        <w:spacing w:line="580" w:lineRule="exact"/>
        <w:ind w:firstLine="640" w:firstLineChars="200"/>
        <w:rPr>
          <w:rFonts w:ascii="仿宋_GB2312" w:hAnsi="Arial" w:eastAsia="仿宋_GB2312" w:cs="Arial"/>
          <w:color w:val="000000"/>
          <w:kern w:val="0"/>
          <w:sz w:val="32"/>
          <w:szCs w:val="32"/>
        </w:rPr>
      </w:pPr>
      <w:r>
        <w:rPr>
          <w:rFonts w:hint="eastAsia" w:ascii="仿宋_GB2312" w:hAnsi="Arial" w:eastAsia="仿宋_GB2312" w:cs="Arial"/>
          <w:color w:val="000000"/>
          <w:kern w:val="0"/>
          <w:sz w:val="32"/>
          <w:szCs w:val="32"/>
        </w:rPr>
        <w:t>（七）指导公路、水路行业安全生产和应急管理工作。按规定组织协调国家及省市重点物资和紧急客货运输，负责重点干线路网运行监测和协调；组织协调地方交通战备工作，承担国防动员有关工作。</w:t>
      </w:r>
    </w:p>
    <w:p>
      <w:pPr>
        <w:spacing w:line="580" w:lineRule="exact"/>
        <w:ind w:firstLine="640" w:firstLineChars="200"/>
        <w:rPr>
          <w:rFonts w:ascii="仿宋_GB2312" w:hAnsi="Arial" w:eastAsia="仿宋_GB2312" w:cs="Arial"/>
          <w:color w:val="000000"/>
          <w:kern w:val="0"/>
          <w:sz w:val="32"/>
          <w:szCs w:val="32"/>
        </w:rPr>
      </w:pPr>
      <w:r>
        <w:rPr>
          <w:rFonts w:hint="eastAsia" w:ascii="仿宋_GB2312" w:hAnsi="Arial" w:eastAsia="仿宋_GB2312" w:cs="Arial"/>
          <w:color w:val="000000"/>
          <w:kern w:val="0"/>
          <w:sz w:val="32"/>
          <w:szCs w:val="32"/>
        </w:rPr>
        <w:t>（八）贯彻实施交通运输科技政策，组织重大科技开发；指导交通运输信息化建设，监测分析运行情况，开展相关统计工作，发布有关信息。指导公路、水路行业环境保护和节能减排工作。</w:t>
      </w:r>
    </w:p>
    <w:p>
      <w:pPr>
        <w:spacing w:line="580" w:lineRule="exact"/>
        <w:ind w:firstLine="640" w:firstLineChars="200"/>
        <w:rPr>
          <w:rFonts w:ascii="仿宋_GB2312" w:hAnsi="Arial" w:eastAsia="仿宋_GB2312" w:cs="Arial"/>
          <w:color w:val="000000"/>
          <w:kern w:val="0"/>
          <w:sz w:val="32"/>
          <w:szCs w:val="32"/>
        </w:rPr>
      </w:pPr>
      <w:r>
        <w:rPr>
          <w:rFonts w:hint="eastAsia" w:ascii="仿宋_GB2312" w:hAnsi="Arial" w:eastAsia="仿宋_GB2312" w:cs="Arial"/>
          <w:color w:val="000000"/>
          <w:kern w:val="0"/>
          <w:sz w:val="32"/>
          <w:szCs w:val="32"/>
        </w:rPr>
        <w:t>（九）负责公路、水路有关涉外工作，开展对外经济技术交流与合作，指导全区交通运输行业招商引资和利用外资工作。</w:t>
      </w:r>
    </w:p>
    <w:p>
      <w:pPr>
        <w:spacing w:line="580" w:lineRule="exact"/>
        <w:ind w:firstLine="640" w:firstLineChars="200"/>
        <w:rPr>
          <w:rFonts w:ascii="仿宋_GB2312" w:hAnsi="Arial" w:eastAsia="仿宋_GB2312" w:cs="Arial"/>
          <w:color w:val="000000"/>
          <w:kern w:val="0"/>
          <w:sz w:val="32"/>
          <w:szCs w:val="32"/>
        </w:rPr>
      </w:pPr>
      <w:r>
        <w:rPr>
          <w:rFonts w:hint="eastAsia" w:ascii="仿宋_GB2312" w:hAnsi="Arial" w:eastAsia="仿宋_GB2312" w:cs="Arial"/>
          <w:color w:val="000000"/>
          <w:kern w:val="0"/>
          <w:sz w:val="32"/>
          <w:szCs w:val="32"/>
        </w:rPr>
        <w:t>（十）承担区政府公布的有关行政审批事项。</w:t>
      </w:r>
    </w:p>
    <w:p>
      <w:pPr>
        <w:spacing w:line="580" w:lineRule="exact"/>
        <w:ind w:firstLine="640" w:firstLineChars="200"/>
        <w:rPr>
          <w:rFonts w:ascii="仿宋_GB2312" w:hAnsi="Arial" w:eastAsia="仿宋_GB2312" w:cs="Arial"/>
          <w:color w:val="000000"/>
          <w:kern w:val="0"/>
          <w:sz w:val="32"/>
          <w:szCs w:val="32"/>
        </w:rPr>
      </w:pPr>
      <w:r>
        <w:rPr>
          <w:rFonts w:hint="eastAsia" w:ascii="仿宋_GB2312" w:hAnsi="Arial" w:eastAsia="仿宋_GB2312" w:cs="Arial"/>
          <w:color w:val="000000"/>
          <w:kern w:val="0"/>
          <w:sz w:val="32"/>
          <w:szCs w:val="32"/>
        </w:rPr>
        <w:t>（十一）承办区政府交办的其他事项。</w:t>
      </w:r>
    </w:p>
    <w:p>
      <w:pPr>
        <w:pStyle w:val="13"/>
        <w:ind w:firstLine="642" w:firstLineChars="200"/>
        <w:jc w:val="left"/>
      </w:pPr>
      <w:bookmarkStart w:id="20" w:name="_Toc7681"/>
      <w:r>
        <w:rPr>
          <w:rFonts w:hint="eastAsia" w:hAnsiTheme="majorEastAsia"/>
        </w:rPr>
        <w:t>二、</w:t>
      </w:r>
      <w:bookmarkEnd w:id="18"/>
      <w:bookmarkEnd w:id="19"/>
      <w:r>
        <w:rPr>
          <w:rFonts w:hint="eastAsia"/>
        </w:rPr>
        <w:t>机构设置</w:t>
      </w:r>
      <w:bookmarkEnd w:id="20"/>
    </w:p>
    <w:p>
      <w:pPr>
        <w:ind w:firstLine="640" w:firstLineChars="200"/>
        <w:rPr>
          <w:rFonts w:ascii="仿宋_GB2312" w:eastAsia="仿宋_GB2312" w:hAnsiTheme="majorEastAsia"/>
          <w:sz w:val="32"/>
          <w:szCs w:val="32"/>
        </w:rPr>
      </w:pPr>
      <w:r>
        <w:rPr>
          <w:rFonts w:hint="eastAsia" w:ascii="仿宋_GB2312" w:eastAsia="仿宋_GB2312" w:hAnsiTheme="majorEastAsia"/>
          <w:sz w:val="32"/>
          <w:szCs w:val="32"/>
        </w:rPr>
        <w:t>广元市朝天区交通运输局下属二级</w:t>
      </w:r>
      <w:r>
        <w:rPr>
          <w:rFonts w:hint="eastAsia" w:ascii="仿宋_GB2312" w:eastAsia="仿宋_GB2312" w:hAnsiTheme="majorEastAsia"/>
          <w:sz w:val="32"/>
          <w:szCs w:val="32"/>
          <w:lang w:eastAsia="zh-CN"/>
        </w:rPr>
        <w:t>部门</w:t>
      </w:r>
      <w:r>
        <w:rPr>
          <w:rFonts w:hint="eastAsia" w:ascii="仿宋_GB2312" w:eastAsia="仿宋_GB2312" w:hAnsiTheme="majorEastAsia"/>
          <w:sz w:val="32"/>
          <w:szCs w:val="32"/>
        </w:rPr>
        <w:t>3个，其中行政</w:t>
      </w:r>
      <w:r>
        <w:rPr>
          <w:rFonts w:hint="eastAsia" w:ascii="仿宋_GB2312" w:eastAsia="仿宋_GB2312" w:hAnsiTheme="majorEastAsia"/>
          <w:sz w:val="32"/>
          <w:szCs w:val="32"/>
          <w:lang w:eastAsia="zh-CN"/>
        </w:rPr>
        <w:t>部门</w:t>
      </w:r>
      <w:r>
        <w:rPr>
          <w:rFonts w:hint="eastAsia" w:ascii="仿宋_GB2312" w:eastAsia="仿宋_GB2312" w:hAnsiTheme="majorEastAsia"/>
          <w:sz w:val="32"/>
          <w:szCs w:val="32"/>
        </w:rPr>
        <w:t>0个，参照公务员法管理的事业</w:t>
      </w:r>
      <w:r>
        <w:rPr>
          <w:rFonts w:hint="eastAsia" w:ascii="仿宋_GB2312" w:eastAsia="仿宋_GB2312" w:hAnsiTheme="majorEastAsia"/>
          <w:sz w:val="32"/>
          <w:szCs w:val="32"/>
          <w:lang w:eastAsia="zh-CN"/>
        </w:rPr>
        <w:t>部门</w:t>
      </w:r>
      <w:r>
        <w:rPr>
          <w:rFonts w:hint="eastAsia" w:ascii="仿宋_GB2312" w:eastAsia="仿宋_GB2312" w:hAnsiTheme="majorEastAsia"/>
          <w:sz w:val="32"/>
          <w:szCs w:val="32"/>
        </w:rPr>
        <w:t>2个，其他事业</w:t>
      </w:r>
      <w:r>
        <w:rPr>
          <w:rFonts w:hint="eastAsia" w:ascii="仿宋_GB2312" w:eastAsia="仿宋_GB2312" w:hAnsiTheme="majorEastAsia"/>
          <w:sz w:val="32"/>
          <w:szCs w:val="32"/>
          <w:lang w:eastAsia="zh-CN"/>
        </w:rPr>
        <w:t>部门</w:t>
      </w:r>
      <w:r>
        <w:rPr>
          <w:rFonts w:hint="eastAsia" w:ascii="仿宋_GB2312" w:eastAsia="仿宋_GB2312" w:hAnsiTheme="majorEastAsia"/>
          <w:sz w:val="32"/>
          <w:szCs w:val="32"/>
        </w:rPr>
        <w:t>1个。</w:t>
      </w:r>
    </w:p>
    <w:p>
      <w:pPr>
        <w:ind w:firstLine="640" w:firstLineChars="200"/>
        <w:rPr>
          <w:rFonts w:ascii="仿宋_GB2312" w:eastAsia="仿宋_GB2312" w:hAnsiTheme="majorEastAsia"/>
          <w:color w:val="000000"/>
          <w:sz w:val="32"/>
          <w:szCs w:val="32"/>
        </w:rPr>
      </w:pPr>
      <w:r>
        <w:rPr>
          <w:rFonts w:hint="eastAsia" w:ascii="仿宋_GB2312" w:eastAsia="仿宋_GB2312" w:hAnsiTheme="majorEastAsia"/>
          <w:color w:val="000000"/>
          <w:sz w:val="32"/>
          <w:szCs w:val="32"/>
        </w:rPr>
        <w:t>纳入2022年度部门决算编制范围的二级预算</w:t>
      </w:r>
      <w:r>
        <w:rPr>
          <w:rFonts w:hint="eastAsia" w:ascii="仿宋_GB2312" w:eastAsia="仿宋_GB2312" w:hAnsiTheme="majorEastAsia"/>
          <w:color w:val="000000"/>
          <w:sz w:val="32"/>
          <w:szCs w:val="32"/>
          <w:lang w:eastAsia="zh-CN"/>
        </w:rPr>
        <w:t>部门</w:t>
      </w:r>
      <w:r>
        <w:rPr>
          <w:rFonts w:hint="eastAsia" w:ascii="仿宋_GB2312" w:eastAsia="仿宋_GB2312" w:hAnsiTheme="majorEastAsia"/>
          <w:color w:val="000000"/>
          <w:sz w:val="32"/>
          <w:szCs w:val="32"/>
        </w:rPr>
        <w:t>包括：</w:t>
      </w:r>
    </w:p>
    <w:p>
      <w:pPr>
        <w:ind w:firstLine="640" w:firstLineChars="200"/>
        <w:rPr>
          <w:rFonts w:ascii="仿宋_GB2312" w:eastAsia="仿宋_GB2312" w:hAnsiTheme="majorEastAsia"/>
          <w:color w:val="000000"/>
          <w:sz w:val="32"/>
          <w:szCs w:val="32"/>
        </w:rPr>
      </w:pPr>
      <w:r>
        <w:rPr>
          <w:rFonts w:hint="eastAsia" w:ascii="仿宋_GB2312" w:eastAsia="仿宋_GB2312" w:hAnsiTheme="majorEastAsia"/>
          <w:color w:val="000000"/>
          <w:sz w:val="32"/>
          <w:szCs w:val="32"/>
        </w:rPr>
        <w:t>1、区公路养护段</w:t>
      </w:r>
    </w:p>
    <w:p>
      <w:pPr>
        <w:ind w:firstLine="640" w:firstLineChars="200"/>
        <w:rPr>
          <w:rFonts w:ascii="仿宋_GB2312" w:eastAsia="仿宋_GB2312" w:hAnsiTheme="majorEastAsia"/>
          <w:color w:val="000000"/>
          <w:sz w:val="32"/>
          <w:szCs w:val="32"/>
        </w:rPr>
      </w:pPr>
      <w:r>
        <w:rPr>
          <w:rFonts w:hint="eastAsia" w:ascii="仿宋_GB2312" w:eastAsia="仿宋_GB2312" w:hAnsiTheme="majorEastAsia"/>
          <w:color w:val="000000"/>
          <w:sz w:val="32"/>
          <w:szCs w:val="32"/>
        </w:rPr>
        <w:t>2、区交通运输综合行政执法大队</w:t>
      </w:r>
    </w:p>
    <w:p>
      <w:pPr>
        <w:ind w:firstLine="640" w:firstLineChars="200"/>
        <w:rPr>
          <w:rFonts w:ascii="仿宋_GB2312" w:eastAsia="仿宋_GB2312" w:hAnsiTheme="majorEastAsia"/>
          <w:color w:val="000000"/>
          <w:sz w:val="32"/>
          <w:szCs w:val="32"/>
        </w:rPr>
      </w:pPr>
      <w:r>
        <w:rPr>
          <w:rFonts w:hint="eastAsia" w:ascii="仿宋_GB2312" w:eastAsia="仿宋_GB2312" w:hAnsiTheme="majorEastAsia"/>
          <w:color w:val="000000"/>
          <w:sz w:val="32"/>
          <w:szCs w:val="32"/>
        </w:rPr>
        <w:t>3、区交通运输综合服务中心</w:t>
      </w:r>
    </w:p>
    <w:p>
      <w:pPr>
        <w:pStyle w:val="2"/>
        <w:spacing w:before="72"/>
      </w:pPr>
    </w:p>
    <w:p>
      <w:pPr>
        <w:pStyle w:val="3"/>
        <w:jc w:val="center"/>
        <w:rPr>
          <w:rFonts w:ascii="黑体" w:hAnsi="黑体" w:eastAsia="黑体"/>
        </w:rPr>
      </w:pPr>
      <w:bookmarkStart w:id="21" w:name="_Toc27344"/>
      <w:r>
        <w:rPr>
          <w:rFonts w:hint="eastAsia" w:ascii="黑体" w:eastAsia="黑体"/>
        </w:rPr>
        <w:t>第二部分 2022年度</w:t>
      </w:r>
      <w:r>
        <w:rPr>
          <w:rFonts w:hint="eastAsia" w:ascii="黑体" w:eastAsia="黑体"/>
          <w:lang w:eastAsia="zh-CN"/>
        </w:rPr>
        <w:t>部门</w:t>
      </w:r>
      <w:r>
        <w:rPr>
          <w:rFonts w:hint="eastAsia" w:ascii="黑体" w:hAnsi="黑体" w:eastAsia="黑体"/>
        </w:rPr>
        <w:t>决算情况说明</w:t>
      </w:r>
      <w:bookmarkEnd w:id="21"/>
    </w:p>
    <w:p>
      <w:pPr>
        <w:pStyle w:val="28"/>
        <w:numPr>
          <w:ilvl w:val="0"/>
          <w:numId w:val="1"/>
        </w:numPr>
        <w:ind w:firstLineChars="0"/>
        <w:outlineLvl w:val="1"/>
        <w:rPr>
          <w:rStyle w:val="30"/>
          <w:rFonts w:ascii="黑体" w:hAnsi="黑体" w:eastAsia="黑体"/>
        </w:rPr>
      </w:pPr>
      <w:bookmarkStart w:id="22" w:name="_Toc1101"/>
      <w:r>
        <w:rPr>
          <w:rFonts w:hint="eastAsia" w:ascii="黑体" w:eastAsia="黑体"/>
          <w:color w:val="000000"/>
          <w:sz w:val="32"/>
          <w:szCs w:val="32"/>
        </w:rPr>
        <w:t>收</w:t>
      </w:r>
      <w:r>
        <w:rPr>
          <w:rStyle w:val="30"/>
          <w:rFonts w:hint="eastAsia" w:ascii="黑体" w:hAnsi="黑体" w:eastAsia="黑体"/>
        </w:rPr>
        <w:t>入、支出决算总体情况说明</w:t>
      </w:r>
      <w:bookmarkEnd w:id="22"/>
    </w:p>
    <w:p>
      <w:pPr>
        <w:spacing w:line="600" w:lineRule="exact"/>
        <w:ind w:firstLine="600" w:firstLineChars="200"/>
        <w:rPr>
          <w:rFonts w:ascii="仿宋_GB2312" w:hAnsi="仿宋" w:eastAsia="仿宋_GB2312"/>
          <w:sz w:val="30"/>
          <w:szCs w:val="30"/>
        </w:rPr>
      </w:pPr>
      <w:r>
        <w:rPr>
          <w:rFonts w:hint="eastAsia" w:ascii="仿宋_GB2312" w:hAnsi="仿宋" w:eastAsia="仿宋_GB2312"/>
          <w:sz w:val="30"/>
          <w:szCs w:val="30"/>
        </w:rPr>
        <w:t>2022年度收、支总计为28946.00万元,其中上年结转1920.54万元，本年收入27025.46万元，本年支出28946.00万元,</w:t>
      </w:r>
      <w:r>
        <w:rPr>
          <w:rFonts w:hint="eastAsia" w:ascii="仿宋_GB2312" w:eastAsia="仿宋_GB2312"/>
          <w:sz w:val="30"/>
          <w:szCs w:val="30"/>
        </w:rPr>
        <w:t>年末没有结转</w:t>
      </w:r>
      <w:r>
        <w:rPr>
          <w:rFonts w:hint="eastAsia" w:ascii="仿宋_GB2312" w:hAnsi="仿宋" w:eastAsia="仿宋_GB2312"/>
          <w:sz w:val="30"/>
          <w:szCs w:val="30"/>
        </w:rPr>
        <w:t>。与2021年相比，收、支总计各减少28667.10万元，减少49.76%，主要变动原因：一是交通系统机构改革后工作进入常态；二是部分人员变动调整，三是交通项目安排作出调整。</w:t>
      </w:r>
    </w:p>
    <w:p>
      <w:pPr>
        <w:spacing w:line="600" w:lineRule="exact"/>
        <w:ind w:firstLine="640" w:firstLineChars="200"/>
        <w:rPr>
          <w:rFonts w:ascii="仿宋_GB2312" w:hAnsi="仿宋" w:eastAsia="仿宋_GB2312"/>
          <w:sz w:val="32"/>
          <w:szCs w:val="32"/>
        </w:rPr>
      </w:pPr>
      <w:r>
        <w:rPr>
          <w:rFonts w:hint="eastAsia" w:ascii="仿宋_GB2312" w:hAnsi="仿宋" w:eastAsia="仿宋_GB2312"/>
          <w:sz w:val="32"/>
          <w:szCs w:val="32"/>
        </w:rPr>
        <w:t>（图1：收、支决算总计变动情况图）（柱状图）</w:t>
      </w:r>
    </w:p>
    <w:p>
      <w:pPr>
        <w:pStyle w:val="2"/>
        <w:spacing w:before="72"/>
      </w:pPr>
      <w:r>
        <w:drawing>
          <wp:inline distT="0" distB="0" distL="0" distR="0">
            <wp:extent cx="5283200" cy="3181350"/>
            <wp:effectExtent l="19050" t="0" r="0" b="0"/>
            <wp:docPr id="2" name="图片 2"/>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true" noChangeArrowheads="true"/>
                    </pic:cNvPicPr>
                  </pic:nvPicPr>
                  <pic:blipFill>
                    <a:blip r:embed="rId12"/>
                    <a:srcRect/>
                    <a:stretch>
                      <a:fillRect/>
                    </a:stretch>
                  </pic:blipFill>
                  <pic:spPr>
                    <a:xfrm>
                      <a:off x="0" y="0"/>
                      <a:ext cx="5285954" cy="3182963"/>
                    </a:xfrm>
                    <a:prstGeom prst="rect">
                      <a:avLst/>
                    </a:prstGeom>
                    <a:noFill/>
                  </pic:spPr>
                </pic:pic>
              </a:graphicData>
            </a:graphic>
          </wp:inline>
        </w:drawing>
      </w:r>
    </w:p>
    <w:p>
      <w:pPr>
        <w:pStyle w:val="28"/>
        <w:numPr>
          <w:ilvl w:val="0"/>
          <w:numId w:val="1"/>
        </w:numPr>
        <w:spacing w:line="600" w:lineRule="exact"/>
        <w:ind w:firstLineChars="0"/>
        <w:outlineLvl w:val="1"/>
        <w:rPr>
          <w:rStyle w:val="30"/>
          <w:rFonts w:ascii="黑体" w:hAnsi="黑体" w:eastAsia="黑体"/>
          <w:b w:val="0"/>
        </w:rPr>
      </w:pPr>
      <w:bookmarkStart w:id="23" w:name="_Toc4495"/>
      <w:r>
        <w:rPr>
          <w:rFonts w:hint="eastAsia" w:ascii="黑体" w:hAnsi="黑体" w:eastAsia="黑体"/>
          <w:color w:val="000000"/>
          <w:sz w:val="32"/>
          <w:szCs w:val="32"/>
        </w:rPr>
        <w:t>收</w:t>
      </w:r>
      <w:r>
        <w:rPr>
          <w:rStyle w:val="30"/>
          <w:rFonts w:hint="eastAsia" w:ascii="黑体" w:hAnsi="黑体" w:eastAsia="黑体"/>
        </w:rPr>
        <w:t>入决算情况说明</w:t>
      </w:r>
      <w:bookmarkEnd w:id="23"/>
    </w:p>
    <w:p>
      <w:pPr>
        <w:ind w:firstLine="600" w:firstLineChars="200"/>
        <w:rPr>
          <w:rFonts w:ascii="仿宋_GB2312" w:eastAsia="仿宋_GB2312"/>
          <w:sz w:val="30"/>
          <w:szCs w:val="30"/>
        </w:rPr>
      </w:pPr>
      <w:r>
        <w:rPr>
          <w:rFonts w:hint="eastAsia" w:ascii="仿宋_GB2312" w:eastAsia="仿宋_GB2312"/>
          <w:sz w:val="30"/>
          <w:szCs w:val="30"/>
        </w:rPr>
        <w:t>2022年本年收入合计27025.76万元，其中：一般公共预算财政拨款收入26481.72万元，占97.99%。政府性基金预算财政拨款收入543.74万元，占2.01%。</w:t>
      </w:r>
    </w:p>
    <w:p>
      <w:pPr>
        <w:ind w:firstLine="600" w:firstLineChars="200"/>
        <w:rPr>
          <w:rFonts w:ascii="仿宋_GB2312" w:eastAsia="仿宋_GB2312"/>
          <w:sz w:val="30"/>
          <w:szCs w:val="30"/>
        </w:rPr>
      </w:pPr>
      <w:r>
        <w:rPr>
          <w:rFonts w:hint="eastAsia" w:ascii="仿宋_GB2312" w:eastAsia="仿宋_GB2312"/>
          <w:sz w:val="30"/>
          <w:szCs w:val="30"/>
        </w:rPr>
        <w:t>（图2：收入决算结构图）（饼状图）</w:t>
      </w:r>
    </w:p>
    <w:p>
      <w:pPr>
        <w:pStyle w:val="2"/>
        <w:spacing w:before="72"/>
      </w:pPr>
      <w:r>
        <w:drawing>
          <wp:inline distT="0" distB="0" distL="0" distR="0">
            <wp:extent cx="5286375" cy="3286125"/>
            <wp:effectExtent l="19050" t="0" r="9525" b="0"/>
            <wp:docPr id="1"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pPr>
        <w:ind w:firstLine="480" w:firstLineChars="150"/>
        <w:outlineLvl w:val="1"/>
        <w:rPr>
          <w:rStyle w:val="30"/>
          <w:rFonts w:ascii="黑体" w:hAnsi="黑体" w:eastAsia="黑体"/>
          <w:b w:val="0"/>
        </w:rPr>
      </w:pPr>
      <w:bookmarkStart w:id="24" w:name="_Toc4172"/>
      <w:r>
        <w:rPr>
          <w:rFonts w:hint="eastAsia" w:ascii="黑体" w:eastAsia="黑体"/>
          <w:color w:val="000000"/>
          <w:sz w:val="32"/>
          <w:szCs w:val="32"/>
        </w:rPr>
        <w:t>三、支</w:t>
      </w:r>
      <w:r>
        <w:rPr>
          <w:rStyle w:val="30"/>
          <w:rFonts w:hint="eastAsia" w:ascii="黑体" w:hAnsi="黑体" w:eastAsia="黑体"/>
        </w:rPr>
        <w:t>出决算情况说明</w:t>
      </w:r>
      <w:bookmarkEnd w:id="24"/>
    </w:p>
    <w:p>
      <w:pPr>
        <w:spacing w:line="600" w:lineRule="exact"/>
        <w:ind w:firstLine="640"/>
        <w:rPr>
          <w:rFonts w:ascii="仿宋_GB2312" w:hAnsi="仿宋" w:eastAsia="仿宋_GB2312"/>
          <w:color w:val="000000"/>
          <w:sz w:val="32"/>
          <w:szCs w:val="32"/>
        </w:rPr>
      </w:pPr>
      <w:r>
        <w:rPr>
          <w:rFonts w:hint="eastAsia" w:ascii="仿宋_GB2312" w:hAnsi="仿宋" w:eastAsia="仿宋_GB2312"/>
          <w:color w:val="000000"/>
          <w:sz w:val="32"/>
          <w:szCs w:val="32"/>
        </w:rPr>
        <w:t>2022年本年支出合计28946.00万元，其中：基本支出1728.58万元，占5.97%；项目支出27217.42万元，占94.03%。</w:t>
      </w:r>
    </w:p>
    <w:p>
      <w:pPr>
        <w:spacing w:line="600" w:lineRule="exact"/>
        <w:ind w:firstLine="602" w:firstLineChars="200"/>
        <w:rPr>
          <w:rFonts w:ascii="仿宋_GB2312" w:hAnsi="仿宋" w:eastAsia="仿宋_GB2312"/>
          <w:b/>
          <w:sz w:val="30"/>
          <w:szCs w:val="30"/>
        </w:rPr>
      </w:pPr>
      <w:r>
        <w:rPr>
          <w:rFonts w:hint="eastAsia" w:ascii="仿宋_GB2312" w:hAnsi="仿宋" w:eastAsia="仿宋_GB2312"/>
          <w:b/>
          <w:sz w:val="30"/>
          <w:szCs w:val="30"/>
        </w:rPr>
        <w:t>（图3：支出决算结构图）（饼状图）</w:t>
      </w:r>
    </w:p>
    <w:p>
      <w:pPr>
        <w:pStyle w:val="2"/>
        <w:spacing w:before="72"/>
      </w:pPr>
      <w:r>
        <w:drawing>
          <wp:inline distT="0" distB="0" distL="0" distR="0">
            <wp:extent cx="5210175" cy="3124200"/>
            <wp:effectExtent l="19050" t="0" r="9525" b="0"/>
            <wp:docPr id="4" name="图表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pPr>
        <w:pStyle w:val="2"/>
        <w:spacing w:before="72"/>
      </w:pPr>
    </w:p>
    <w:p>
      <w:pPr>
        <w:ind w:firstLine="642" w:firstLineChars="200"/>
        <w:outlineLvl w:val="1"/>
        <w:rPr>
          <w:rFonts w:ascii="黑体" w:eastAsia="黑体"/>
          <w:b/>
          <w:sz w:val="32"/>
          <w:szCs w:val="32"/>
        </w:rPr>
      </w:pPr>
      <w:bookmarkStart w:id="25" w:name="_Toc17784"/>
      <w:r>
        <w:rPr>
          <w:rFonts w:hint="eastAsia" w:ascii="黑体" w:eastAsia="黑体"/>
          <w:b/>
          <w:sz w:val="32"/>
          <w:szCs w:val="32"/>
        </w:rPr>
        <w:t>四、财政拨款收入支出决算总体情况说明</w:t>
      </w:r>
      <w:bookmarkEnd w:id="25"/>
    </w:p>
    <w:p>
      <w:pPr>
        <w:spacing w:line="600" w:lineRule="exact"/>
        <w:ind w:firstLine="600" w:firstLineChars="200"/>
        <w:rPr>
          <w:rFonts w:ascii="仿宋_GB2312" w:hAnsi="仿宋" w:eastAsia="仿宋_GB2312"/>
          <w:sz w:val="30"/>
          <w:szCs w:val="30"/>
        </w:rPr>
      </w:pPr>
      <w:r>
        <w:rPr>
          <w:rFonts w:hint="eastAsia" w:ascii="仿宋_GB2312" w:hAnsi="仿宋" w:eastAsia="仿宋_GB2312"/>
          <w:sz w:val="30"/>
          <w:szCs w:val="30"/>
        </w:rPr>
        <w:t>2022年度收、支总计为28946.00万元,其中上年结转1920.54万元，本年收入27025.46万元，本年支出28946.00万元,</w:t>
      </w:r>
      <w:r>
        <w:rPr>
          <w:rFonts w:hint="eastAsia" w:ascii="仿宋_GB2312" w:eastAsia="仿宋_GB2312"/>
          <w:sz w:val="30"/>
          <w:szCs w:val="30"/>
        </w:rPr>
        <w:t>年末没有结转</w:t>
      </w:r>
      <w:r>
        <w:rPr>
          <w:rFonts w:hint="eastAsia" w:ascii="仿宋_GB2312" w:hAnsi="仿宋" w:eastAsia="仿宋_GB2312"/>
          <w:sz w:val="30"/>
          <w:szCs w:val="30"/>
        </w:rPr>
        <w:t>。与2021年相比，收、支总计各减少28667.10万元，减少49.76%。</w:t>
      </w:r>
    </w:p>
    <w:p>
      <w:pPr>
        <w:spacing w:line="600" w:lineRule="exact"/>
        <w:ind w:firstLine="600" w:firstLineChars="200"/>
        <w:rPr>
          <w:rFonts w:ascii="仿宋_GB2312" w:hAnsi="仿宋" w:eastAsia="仿宋_GB2312"/>
          <w:sz w:val="30"/>
          <w:szCs w:val="30"/>
        </w:rPr>
      </w:pPr>
      <w:r>
        <w:rPr>
          <w:rFonts w:hint="eastAsia" w:ascii="仿宋_GB2312" w:hAnsi="仿宋" w:eastAsia="仿宋_GB2312"/>
          <w:sz w:val="30"/>
          <w:szCs w:val="30"/>
        </w:rPr>
        <w:t>（图4：财政拨款收、支决算总计变动情况）（柱状图）</w:t>
      </w:r>
    </w:p>
    <w:p>
      <w:pPr>
        <w:pStyle w:val="2"/>
        <w:spacing w:before="72"/>
      </w:pPr>
      <w:r>
        <w:drawing>
          <wp:inline distT="0" distB="0" distL="0" distR="0">
            <wp:extent cx="5274310" cy="3175635"/>
            <wp:effectExtent l="19050" t="0" r="2540" b="0"/>
            <wp:docPr id="6" name="图片 2"/>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6" name="图片 2"/>
                    <pic:cNvPicPr>
                      <a:picLocks noChangeAspect="true" noChangeArrowheads="true"/>
                    </pic:cNvPicPr>
                  </pic:nvPicPr>
                  <pic:blipFill>
                    <a:blip r:embed="rId12"/>
                    <a:srcRect/>
                    <a:stretch>
                      <a:fillRect/>
                    </a:stretch>
                  </pic:blipFill>
                  <pic:spPr>
                    <a:xfrm>
                      <a:off x="0" y="0"/>
                      <a:ext cx="5274310" cy="3175952"/>
                    </a:xfrm>
                    <a:prstGeom prst="rect">
                      <a:avLst/>
                    </a:prstGeom>
                    <a:noFill/>
                  </pic:spPr>
                </pic:pic>
              </a:graphicData>
            </a:graphic>
          </wp:inline>
        </w:drawing>
      </w:r>
    </w:p>
    <w:p>
      <w:pPr>
        <w:spacing w:line="600" w:lineRule="exact"/>
        <w:ind w:firstLine="642" w:firstLineChars="200"/>
        <w:outlineLvl w:val="1"/>
        <w:rPr>
          <w:rStyle w:val="30"/>
          <w:rFonts w:ascii="黑体" w:hAnsi="黑体" w:eastAsia="黑体"/>
        </w:rPr>
      </w:pPr>
      <w:bookmarkStart w:id="26" w:name="_Toc25341"/>
      <w:r>
        <w:rPr>
          <w:rFonts w:hint="eastAsia" w:ascii="黑体" w:hAnsi="黑体" w:eastAsia="黑体"/>
          <w:b/>
          <w:color w:val="000000"/>
          <w:sz w:val="32"/>
          <w:szCs w:val="32"/>
        </w:rPr>
        <w:t>五、</w:t>
      </w:r>
      <w:r>
        <w:rPr>
          <w:rFonts w:hint="eastAsia" w:ascii="黑体" w:hAnsi="黑体" w:eastAsia="黑体"/>
          <w:color w:val="000000"/>
          <w:sz w:val="32"/>
          <w:szCs w:val="32"/>
        </w:rPr>
        <w:t>一</w:t>
      </w:r>
      <w:r>
        <w:rPr>
          <w:rStyle w:val="30"/>
          <w:rFonts w:hint="eastAsia" w:ascii="黑体" w:hAnsi="黑体" w:eastAsia="黑体"/>
        </w:rPr>
        <w:t>般公共预算财政拨款支出决算情况说明</w:t>
      </w:r>
      <w:bookmarkEnd w:id="26"/>
    </w:p>
    <w:p>
      <w:pPr>
        <w:spacing w:line="600" w:lineRule="exact"/>
        <w:ind w:firstLine="602" w:firstLineChars="200"/>
        <w:outlineLvl w:val="2"/>
        <w:rPr>
          <w:rFonts w:ascii="仿宋_GB2312" w:hAnsi="仿宋" w:eastAsia="仿宋_GB2312"/>
          <w:b/>
          <w:sz w:val="30"/>
          <w:szCs w:val="30"/>
        </w:rPr>
      </w:pPr>
      <w:bookmarkStart w:id="27" w:name="_Toc8131"/>
      <w:r>
        <w:rPr>
          <w:rFonts w:hint="eastAsia" w:ascii="仿宋_GB2312" w:hAnsi="仿宋" w:eastAsia="仿宋_GB2312"/>
          <w:b/>
          <w:sz w:val="30"/>
          <w:szCs w:val="30"/>
        </w:rPr>
        <w:t>（一）一般公共预算财政拨款支出决算总体情况</w:t>
      </w:r>
      <w:bookmarkEnd w:id="27"/>
    </w:p>
    <w:p>
      <w:pPr>
        <w:spacing w:line="600" w:lineRule="exact"/>
        <w:ind w:firstLine="600" w:firstLineChars="200"/>
        <w:rPr>
          <w:rFonts w:ascii="仿宋_GB2312" w:hAnsi="仿宋" w:eastAsia="仿宋_GB2312"/>
          <w:sz w:val="30"/>
          <w:szCs w:val="30"/>
        </w:rPr>
      </w:pPr>
      <w:r>
        <w:rPr>
          <w:rFonts w:hint="eastAsia" w:ascii="仿宋_GB2312" w:hAnsi="仿宋" w:eastAsia="仿宋_GB2312"/>
          <w:sz w:val="30"/>
          <w:szCs w:val="30"/>
        </w:rPr>
        <w:t>2022年一般公共预算财政拨款支出28402.26万元，占本年支出合计的98.13%。与2021年一般公共预算财政拨款支出30545.88万元相比，一般公共预算财政拨款支出减少2143.62万元，减少7.02%。</w:t>
      </w:r>
    </w:p>
    <w:p>
      <w:pPr>
        <w:spacing w:line="600" w:lineRule="exact"/>
        <w:rPr>
          <w:rFonts w:ascii="仿宋_GB2312" w:hAnsi="仿宋" w:eastAsia="仿宋_GB2312"/>
          <w:sz w:val="30"/>
          <w:szCs w:val="30"/>
        </w:rPr>
      </w:pPr>
      <w:r>
        <w:rPr>
          <w:rFonts w:hint="eastAsia" w:ascii="仿宋_GB2312" w:hAnsi="仿宋" w:eastAsia="仿宋_GB2312"/>
          <w:b/>
          <w:sz w:val="28"/>
          <w:szCs w:val="28"/>
        </w:rPr>
        <w:t>（图5：一般公共预算财政拨款支出决算变动情况）（柱状图</w:t>
      </w:r>
      <w:r>
        <w:rPr>
          <w:rFonts w:hint="eastAsia" w:ascii="仿宋_GB2312" w:hAnsi="仿宋" w:eastAsia="仿宋_GB2312"/>
          <w:sz w:val="30"/>
          <w:szCs w:val="30"/>
        </w:rPr>
        <w:t>）</w:t>
      </w:r>
    </w:p>
    <w:p>
      <w:pPr>
        <w:spacing w:line="600" w:lineRule="exact"/>
        <w:ind w:firstLine="642" w:firstLineChars="200"/>
        <w:outlineLvl w:val="9"/>
        <w:rPr>
          <w:rStyle w:val="30"/>
          <w:rFonts w:ascii="黑体" w:hAnsi="黑体" w:eastAsia="黑体"/>
        </w:rPr>
      </w:pPr>
    </w:p>
    <w:p>
      <w:pPr>
        <w:pStyle w:val="2"/>
        <w:spacing w:before="72"/>
      </w:pPr>
      <w:r>
        <w:drawing>
          <wp:inline distT="0" distB="0" distL="0" distR="0">
            <wp:extent cx="5274310" cy="3931920"/>
            <wp:effectExtent l="19050" t="0" r="2540" b="0"/>
            <wp:docPr id="11" name="图片 3"/>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1" name="图片 3"/>
                    <pic:cNvPicPr>
                      <a:picLocks noChangeAspect="true" noChangeArrowheads="true"/>
                    </pic:cNvPicPr>
                  </pic:nvPicPr>
                  <pic:blipFill>
                    <a:blip r:embed="rId15"/>
                    <a:srcRect/>
                    <a:stretch>
                      <a:fillRect/>
                    </a:stretch>
                  </pic:blipFill>
                  <pic:spPr>
                    <a:xfrm>
                      <a:off x="0" y="0"/>
                      <a:ext cx="5292620" cy="3945705"/>
                    </a:xfrm>
                    <a:prstGeom prst="rect">
                      <a:avLst/>
                    </a:prstGeom>
                    <a:noFill/>
                  </pic:spPr>
                </pic:pic>
              </a:graphicData>
            </a:graphic>
          </wp:inline>
        </w:drawing>
      </w:r>
    </w:p>
    <w:p>
      <w:pPr>
        <w:spacing w:line="600" w:lineRule="exact"/>
        <w:ind w:firstLine="602" w:firstLineChars="200"/>
        <w:outlineLvl w:val="2"/>
        <w:rPr>
          <w:rFonts w:ascii="仿宋_GB2312" w:hAnsi="仿宋" w:eastAsia="仿宋_GB2312"/>
          <w:b/>
          <w:color w:val="000000"/>
          <w:sz w:val="30"/>
          <w:szCs w:val="30"/>
        </w:rPr>
      </w:pPr>
      <w:bookmarkStart w:id="28" w:name="_Toc1053"/>
      <w:r>
        <w:rPr>
          <w:rFonts w:hint="eastAsia" w:ascii="黑体" w:hAnsi="仿宋" w:eastAsia="黑体"/>
          <w:b/>
          <w:color w:val="000000"/>
          <w:sz w:val="30"/>
          <w:szCs w:val="30"/>
        </w:rPr>
        <w:t>（二）、</w:t>
      </w:r>
      <w:r>
        <w:rPr>
          <w:rFonts w:hint="eastAsia" w:ascii="仿宋_GB2312" w:hAnsi="仿宋" w:eastAsia="仿宋_GB2312"/>
          <w:b/>
          <w:color w:val="000000"/>
          <w:sz w:val="30"/>
          <w:szCs w:val="30"/>
        </w:rPr>
        <w:t>一般公共预算财政拨款支出决算结构情况</w:t>
      </w:r>
      <w:bookmarkEnd w:id="28"/>
    </w:p>
    <w:p>
      <w:pPr>
        <w:spacing w:line="600" w:lineRule="exact"/>
        <w:ind w:firstLine="640"/>
        <w:rPr>
          <w:rFonts w:ascii="仿宋_GB2312" w:hAnsi="仿宋" w:eastAsia="仿宋_GB2312"/>
          <w:sz w:val="30"/>
          <w:szCs w:val="30"/>
        </w:rPr>
      </w:pPr>
      <w:r>
        <w:rPr>
          <w:rFonts w:hint="eastAsia" w:ascii="仿宋_GB2312" w:hAnsi="仿宋" w:eastAsia="仿宋_GB2312"/>
          <w:sz w:val="30"/>
          <w:szCs w:val="30"/>
        </w:rPr>
        <w:t>2022年一般公共预算财政拨款支出28402.26万元，主要用于以下方面:</w:t>
      </w:r>
      <w:r>
        <w:rPr>
          <w:rFonts w:hint="eastAsia" w:ascii="仿宋_GB2312" w:eastAsia="仿宋_GB2312"/>
          <w:sz w:val="30"/>
          <w:szCs w:val="30"/>
        </w:rPr>
        <w:t xml:space="preserve"> １、</w:t>
      </w:r>
      <w:r>
        <w:rPr>
          <w:rFonts w:hint="eastAsia" w:ascii="仿宋_GB2312" w:hAnsi="仿宋" w:eastAsia="仿宋_GB2312"/>
          <w:sz w:val="30"/>
          <w:szCs w:val="30"/>
        </w:rPr>
        <w:t>社会保障和就业支出156.14万元，占比0.55％;</w:t>
      </w:r>
      <w:r>
        <w:rPr>
          <w:rFonts w:hint="eastAsia" w:ascii="仿宋_GB2312" w:eastAsia="仿宋_GB2312"/>
          <w:sz w:val="30"/>
          <w:szCs w:val="30"/>
        </w:rPr>
        <w:t xml:space="preserve"> 2、</w:t>
      </w:r>
      <w:r>
        <w:rPr>
          <w:rFonts w:hint="eastAsia" w:ascii="仿宋_GB2312" w:hAnsi="仿宋" w:eastAsia="仿宋_GB2312"/>
          <w:sz w:val="30"/>
          <w:szCs w:val="30"/>
        </w:rPr>
        <w:t>卫生健康支出264.14万元，占比0.93％；3、农林水支出6931.80万元，占比24.41％；4、交通运输支出20378.98万元，占比71.76％，5、住房保障支出127.45万元，占比0.45％</w:t>
      </w:r>
      <w:r>
        <w:rPr>
          <w:rFonts w:hint="eastAsia" w:ascii="仿宋_GB2312" w:hAnsi="仿宋" w:eastAsia="仿宋_GB2312"/>
          <w:bCs/>
          <w:color w:val="000000"/>
          <w:sz w:val="30"/>
          <w:szCs w:val="30"/>
        </w:rPr>
        <w:t>。</w:t>
      </w:r>
    </w:p>
    <w:p>
      <w:pPr>
        <w:spacing w:line="600" w:lineRule="exact"/>
        <w:ind w:firstLine="562" w:firstLineChars="200"/>
        <w:rPr>
          <w:rFonts w:ascii="仿宋_GB2312" w:hAnsi="仿宋" w:eastAsia="仿宋_GB2312"/>
          <w:b/>
          <w:sz w:val="28"/>
          <w:szCs w:val="28"/>
        </w:rPr>
      </w:pPr>
      <w:r>
        <w:rPr>
          <w:rFonts w:hint="eastAsia" w:ascii="仿宋_GB2312" w:hAnsi="仿宋" w:eastAsia="仿宋_GB2312"/>
          <w:b/>
          <w:sz w:val="28"/>
          <w:szCs w:val="28"/>
        </w:rPr>
        <w:t>（图6：一般公共预算财政拨款支出决算结构）</w:t>
      </w:r>
    </w:p>
    <w:p>
      <w:pPr>
        <w:pStyle w:val="2"/>
        <w:spacing w:before="72"/>
      </w:pPr>
      <w:r>
        <w:drawing>
          <wp:inline distT="0" distB="0" distL="0" distR="0">
            <wp:extent cx="5391150" cy="3210560"/>
            <wp:effectExtent l="19050" t="0" r="0" b="0"/>
            <wp:docPr id="34" name="图片 9"/>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34" name="图片 9"/>
                    <pic:cNvPicPr>
                      <a:picLocks noChangeAspect="true" noChangeArrowheads="true"/>
                    </pic:cNvPicPr>
                  </pic:nvPicPr>
                  <pic:blipFill>
                    <a:blip r:embed="rId16"/>
                    <a:srcRect/>
                    <a:stretch>
                      <a:fillRect/>
                    </a:stretch>
                  </pic:blipFill>
                  <pic:spPr>
                    <a:xfrm>
                      <a:off x="0" y="0"/>
                      <a:ext cx="5398664" cy="3215036"/>
                    </a:xfrm>
                    <a:prstGeom prst="rect">
                      <a:avLst/>
                    </a:prstGeom>
                    <a:noFill/>
                  </pic:spPr>
                </pic:pic>
              </a:graphicData>
            </a:graphic>
          </wp:inline>
        </w:drawing>
      </w:r>
    </w:p>
    <w:p>
      <w:pPr>
        <w:spacing w:line="600" w:lineRule="exact"/>
        <w:ind w:firstLine="642" w:firstLineChars="200"/>
        <w:outlineLvl w:val="2"/>
        <w:rPr>
          <w:rFonts w:ascii="仿宋" w:hAnsi="仿宋" w:eastAsia="仿宋"/>
          <w:b/>
          <w:sz w:val="32"/>
          <w:szCs w:val="32"/>
        </w:rPr>
      </w:pPr>
      <w:bookmarkStart w:id="29" w:name="_Toc14078"/>
      <w:r>
        <w:rPr>
          <w:rFonts w:hint="eastAsia" w:ascii="仿宋" w:hAnsi="仿宋" w:eastAsia="仿宋"/>
          <w:b/>
          <w:sz w:val="32"/>
          <w:szCs w:val="32"/>
        </w:rPr>
        <w:t>（三）一般公共预算财政拨款支出决算具体情况</w:t>
      </w:r>
      <w:bookmarkEnd w:id="29"/>
    </w:p>
    <w:p>
      <w:pPr>
        <w:spacing w:line="600" w:lineRule="exact"/>
        <w:ind w:firstLine="602" w:firstLineChars="200"/>
        <w:outlineLvl w:val="1"/>
        <w:rPr>
          <w:rFonts w:ascii="仿宋_GB2312" w:hAnsi="仿宋" w:eastAsia="仿宋_GB2312"/>
          <w:sz w:val="30"/>
          <w:szCs w:val="30"/>
        </w:rPr>
      </w:pPr>
      <w:bookmarkStart w:id="30" w:name="_Toc23352"/>
      <w:bookmarkStart w:id="31" w:name="_Toc11967"/>
      <w:bookmarkStart w:id="32" w:name="_Toc23370"/>
      <w:r>
        <w:rPr>
          <w:rFonts w:hint="eastAsia" w:ascii="仿宋_GB2312" w:hAnsi="仿宋" w:eastAsia="仿宋_GB2312"/>
          <w:b/>
          <w:sz w:val="30"/>
          <w:szCs w:val="30"/>
        </w:rPr>
        <w:t>2022年一般公共预算支出决算数为</w:t>
      </w:r>
      <w:r>
        <w:rPr>
          <w:rFonts w:hint="eastAsia" w:ascii="仿宋_GB2312" w:hAnsi="仿宋" w:eastAsia="仿宋_GB2312"/>
          <w:sz w:val="30"/>
          <w:szCs w:val="30"/>
        </w:rPr>
        <w:t>28402.26万元，</w:t>
      </w:r>
      <w:r>
        <w:rPr>
          <w:rStyle w:val="18"/>
          <w:rFonts w:hint="eastAsia" w:ascii="仿宋_GB2312" w:hAnsi="仿宋" w:eastAsia="仿宋_GB2312"/>
          <w:bCs/>
          <w:sz w:val="30"/>
          <w:szCs w:val="30"/>
        </w:rPr>
        <w:t>完成预算100%。其中：</w:t>
      </w:r>
      <w:bookmarkEnd w:id="30"/>
      <w:bookmarkEnd w:id="31"/>
      <w:bookmarkEnd w:id="32"/>
    </w:p>
    <w:p>
      <w:pPr>
        <w:spacing w:line="600" w:lineRule="exact"/>
        <w:ind w:firstLine="602" w:firstLineChars="200"/>
        <w:rPr>
          <w:rFonts w:ascii="仿宋_GB2312" w:hAnsi="仿宋" w:eastAsia="仿宋_GB2312"/>
          <w:b/>
          <w:sz w:val="30"/>
          <w:szCs w:val="30"/>
        </w:rPr>
      </w:pPr>
      <w:r>
        <w:rPr>
          <w:rStyle w:val="18"/>
          <w:rFonts w:hint="eastAsia" w:ascii="仿宋_GB2312" w:hAnsi="仿宋" w:eastAsia="仿宋_GB2312"/>
          <w:bCs/>
          <w:sz w:val="30"/>
          <w:szCs w:val="30"/>
        </w:rPr>
        <w:t>1.社会保障和就业（类）行政事业</w:t>
      </w:r>
      <w:r>
        <w:rPr>
          <w:rStyle w:val="18"/>
          <w:rFonts w:hint="eastAsia" w:ascii="仿宋_GB2312" w:hAnsi="仿宋" w:eastAsia="仿宋_GB2312"/>
          <w:bCs/>
          <w:sz w:val="30"/>
          <w:szCs w:val="30"/>
          <w:lang w:eastAsia="zh-CN"/>
        </w:rPr>
        <w:t>部门</w:t>
      </w:r>
      <w:r>
        <w:rPr>
          <w:rStyle w:val="18"/>
          <w:rFonts w:hint="eastAsia" w:ascii="仿宋_GB2312" w:hAnsi="仿宋" w:eastAsia="仿宋_GB2312"/>
          <w:bCs/>
          <w:sz w:val="30"/>
          <w:szCs w:val="30"/>
        </w:rPr>
        <w:t>养老（款）机关事业</w:t>
      </w:r>
      <w:r>
        <w:rPr>
          <w:rStyle w:val="18"/>
          <w:rFonts w:hint="eastAsia" w:ascii="仿宋_GB2312" w:hAnsi="仿宋" w:eastAsia="仿宋_GB2312"/>
          <w:bCs/>
          <w:sz w:val="30"/>
          <w:szCs w:val="30"/>
          <w:lang w:eastAsia="zh-CN"/>
        </w:rPr>
        <w:t>部门</w:t>
      </w:r>
      <w:r>
        <w:rPr>
          <w:rStyle w:val="18"/>
          <w:rFonts w:hint="eastAsia" w:ascii="仿宋_GB2312" w:hAnsi="仿宋" w:eastAsia="仿宋_GB2312"/>
          <w:bCs/>
          <w:sz w:val="30"/>
          <w:szCs w:val="30"/>
        </w:rPr>
        <w:t>基本养老保险缴费支出（项）（2080505）、 机关事业</w:t>
      </w:r>
      <w:r>
        <w:rPr>
          <w:rStyle w:val="18"/>
          <w:rFonts w:hint="eastAsia" w:ascii="仿宋_GB2312" w:hAnsi="仿宋" w:eastAsia="仿宋_GB2312"/>
          <w:bCs/>
          <w:sz w:val="30"/>
          <w:szCs w:val="30"/>
          <w:lang w:eastAsia="zh-CN"/>
        </w:rPr>
        <w:t>部门</w:t>
      </w:r>
      <w:r>
        <w:rPr>
          <w:rStyle w:val="18"/>
          <w:rFonts w:hint="eastAsia" w:ascii="仿宋_GB2312" w:hAnsi="仿宋" w:eastAsia="仿宋_GB2312"/>
          <w:bCs/>
          <w:sz w:val="30"/>
          <w:szCs w:val="30"/>
        </w:rPr>
        <w:t>职业年金缴费（项）（2080506）:支出决算为156.14万元，完成预算100%，决算数等于预算数其主要用于机关事业</w:t>
      </w:r>
      <w:r>
        <w:rPr>
          <w:rStyle w:val="18"/>
          <w:rFonts w:hint="eastAsia" w:ascii="仿宋_GB2312" w:hAnsi="仿宋" w:eastAsia="仿宋_GB2312"/>
          <w:bCs/>
          <w:sz w:val="30"/>
          <w:szCs w:val="30"/>
          <w:lang w:eastAsia="zh-CN"/>
        </w:rPr>
        <w:t>部门</w:t>
      </w:r>
      <w:r>
        <w:rPr>
          <w:rStyle w:val="18"/>
          <w:rFonts w:hint="eastAsia" w:ascii="仿宋_GB2312" w:hAnsi="仿宋" w:eastAsia="仿宋_GB2312"/>
          <w:bCs/>
          <w:sz w:val="30"/>
          <w:szCs w:val="30"/>
        </w:rPr>
        <w:t>基本养老保险缴费支出和机关事业</w:t>
      </w:r>
      <w:r>
        <w:rPr>
          <w:rStyle w:val="18"/>
          <w:rFonts w:hint="eastAsia" w:ascii="仿宋_GB2312" w:hAnsi="仿宋" w:eastAsia="仿宋_GB2312"/>
          <w:bCs/>
          <w:sz w:val="30"/>
          <w:szCs w:val="30"/>
          <w:lang w:eastAsia="zh-CN"/>
        </w:rPr>
        <w:t>部门</w:t>
      </w:r>
      <w:r>
        <w:rPr>
          <w:rStyle w:val="18"/>
          <w:rFonts w:hint="eastAsia" w:ascii="仿宋_GB2312" w:hAnsi="仿宋" w:eastAsia="仿宋_GB2312"/>
          <w:bCs/>
          <w:sz w:val="30"/>
          <w:szCs w:val="30"/>
        </w:rPr>
        <w:t>职业年金缴费支出。</w:t>
      </w:r>
    </w:p>
    <w:p>
      <w:pPr>
        <w:spacing w:line="600" w:lineRule="exact"/>
        <w:ind w:firstLine="602" w:firstLineChars="200"/>
        <w:rPr>
          <w:rStyle w:val="18"/>
          <w:rFonts w:ascii="仿宋_GB2312" w:hAnsi="仿宋" w:eastAsia="仿宋_GB2312"/>
          <w:bCs/>
          <w:sz w:val="30"/>
          <w:szCs w:val="30"/>
        </w:rPr>
      </w:pPr>
      <w:r>
        <w:rPr>
          <w:rStyle w:val="18"/>
          <w:rFonts w:hint="eastAsia" w:ascii="仿宋_GB2312" w:hAnsi="仿宋" w:eastAsia="仿宋_GB2312"/>
          <w:bCs/>
          <w:sz w:val="30"/>
          <w:szCs w:val="30"/>
        </w:rPr>
        <w:t>2.卫生健康（类）行政事业</w:t>
      </w:r>
      <w:r>
        <w:rPr>
          <w:rStyle w:val="18"/>
          <w:rFonts w:hint="eastAsia" w:ascii="仿宋_GB2312" w:hAnsi="仿宋" w:eastAsia="仿宋_GB2312"/>
          <w:bCs/>
          <w:sz w:val="30"/>
          <w:szCs w:val="30"/>
          <w:lang w:eastAsia="zh-CN"/>
        </w:rPr>
        <w:t>部门</w:t>
      </w:r>
      <w:r>
        <w:rPr>
          <w:rStyle w:val="18"/>
          <w:rFonts w:hint="eastAsia" w:ascii="仿宋_GB2312" w:hAnsi="仿宋" w:eastAsia="仿宋_GB2312"/>
          <w:bCs/>
          <w:sz w:val="30"/>
          <w:szCs w:val="30"/>
        </w:rPr>
        <w:t>医疗（款） 事业</w:t>
      </w:r>
      <w:r>
        <w:rPr>
          <w:rStyle w:val="18"/>
          <w:rFonts w:hint="eastAsia" w:ascii="仿宋_GB2312" w:hAnsi="仿宋" w:eastAsia="仿宋_GB2312"/>
          <w:bCs/>
          <w:sz w:val="30"/>
          <w:szCs w:val="30"/>
          <w:lang w:eastAsia="zh-CN"/>
        </w:rPr>
        <w:t>部门</w:t>
      </w:r>
      <w:r>
        <w:rPr>
          <w:rStyle w:val="18"/>
          <w:rFonts w:hint="eastAsia" w:ascii="仿宋_GB2312" w:hAnsi="仿宋" w:eastAsia="仿宋_GB2312"/>
          <w:bCs/>
          <w:sz w:val="30"/>
          <w:szCs w:val="30"/>
        </w:rPr>
        <w:t>医疗（项）（2101101；2101102）:支出决算为264.14万元，完成预算100%，决算数等于预算数其主要用于行政事业</w:t>
      </w:r>
      <w:r>
        <w:rPr>
          <w:rStyle w:val="18"/>
          <w:rFonts w:hint="eastAsia" w:ascii="仿宋_GB2312" w:hAnsi="仿宋" w:eastAsia="仿宋_GB2312"/>
          <w:bCs/>
          <w:sz w:val="30"/>
          <w:szCs w:val="30"/>
          <w:lang w:eastAsia="zh-CN"/>
        </w:rPr>
        <w:t>部门</w:t>
      </w:r>
      <w:r>
        <w:rPr>
          <w:rStyle w:val="18"/>
          <w:rFonts w:hint="eastAsia" w:ascii="仿宋_GB2312" w:hAnsi="仿宋" w:eastAsia="仿宋_GB2312"/>
          <w:bCs/>
          <w:sz w:val="30"/>
          <w:szCs w:val="30"/>
        </w:rPr>
        <w:t>医疗及新冠肺炎疫情防控经费支出。</w:t>
      </w:r>
    </w:p>
    <w:p>
      <w:pPr>
        <w:spacing w:line="600" w:lineRule="exact"/>
        <w:ind w:firstLine="602" w:firstLineChars="200"/>
        <w:rPr>
          <w:rFonts w:ascii="仿宋_GB2312" w:hAnsi="仿宋" w:eastAsia="仿宋_GB2312"/>
          <w:b/>
          <w:sz w:val="30"/>
          <w:szCs w:val="30"/>
        </w:rPr>
      </w:pPr>
      <w:r>
        <w:rPr>
          <w:rStyle w:val="18"/>
          <w:rFonts w:hint="eastAsia" w:ascii="仿宋_GB2312" w:hAnsi="仿宋" w:eastAsia="仿宋_GB2312"/>
          <w:bCs/>
          <w:sz w:val="30"/>
          <w:szCs w:val="30"/>
        </w:rPr>
        <w:t>3、农林水（类）其他农林水（款）其他农林水支出（项）（2139999）：支出决算为6931.80万元，完成预算100%，决算数等于预算数其主要用于农村公路基础设施项目建设。</w:t>
      </w:r>
    </w:p>
    <w:p>
      <w:pPr>
        <w:spacing w:line="600" w:lineRule="exact"/>
        <w:ind w:firstLine="602" w:firstLineChars="200"/>
        <w:rPr>
          <w:rStyle w:val="18"/>
          <w:rFonts w:ascii="仿宋_GB2312" w:hAnsi="仿宋" w:eastAsia="仿宋_GB2312"/>
          <w:bCs/>
          <w:sz w:val="30"/>
          <w:szCs w:val="30"/>
        </w:rPr>
      </w:pPr>
      <w:r>
        <w:rPr>
          <w:rStyle w:val="18"/>
          <w:rFonts w:hint="eastAsia" w:ascii="仿宋_GB2312" w:hAnsi="仿宋" w:eastAsia="仿宋_GB2312"/>
          <w:bCs/>
          <w:sz w:val="30"/>
          <w:szCs w:val="30"/>
        </w:rPr>
        <w:t>4.交通运输行业支出</w:t>
      </w:r>
      <w:r>
        <w:rPr>
          <w:rFonts w:hint="eastAsia" w:ascii="仿宋_GB2312" w:hAnsi="仿宋" w:eastAsia="仿宋_GB2312"/>
          <w:b/>
          <w:sz w:val="32"/>
          <w:szCs w:val="32"/>
        </w:rPr>
        <w:t>具体</w:t>
      </w:r>
      <w:r>
        <w:rPr>
          <w:rStyle w:val="18"/>
          <w:rFonts w:hint="eastAsia" w:ascii="仿宋_GB2312" w:hAnsi="仿宋" w:eastAsia="仿宋_GB2312"/>
          <w:bCs/>
          <w:sz w:val="30"/>
          <w:szCs w:val="30"/>
        </w:rPr>
        <w:t>情况如下：</w:t>
      </w:r>
    </w:p>
    <w:p>
      <w:pPr>
        <w:spacing w:line="600" w:lineRule="exact"/>
        <w:ind w:firstLine="602" w:firstLineChars="200"/>
        <w:rPr>
          <w:rStyle w:val="18"/>
          <w:rFonts w:ascii="仿宋_GB2312" w:hAnsi="仿宋" w:eastAsia="仿宋_GB2312"/>
          <w:bCs/>
          <w:sz w:val="30"/>
          <w:szCs w:val="30"/>
        </w:rPr>
      </w:pPr>
      <w:r>
        <w:rPr>
          <w:rStyle w:val="18"/>
          <w:rFonts w:hint="eastAsia" w:ascii="仿宋_GB2312" w:hAnsi="仿宋" w:eastAsia="仿宋_GB2312"/>
          <w:bCs/>
          <w:sz w:val="30"/>
          <w:szCs w:val="30"/>
        </w:rPr>
        <w:t>（1）、交通运输（类）公路水路运输（款）行政运行、机关服务（项）（2140101；2140103）:支出决算为826.27万元，完成预算100%，决算数等于预算数其主要用于保障交通系统各职能部门正常运转。</w:t>
      </w:r>
    </w:p>
    <w:p>
      <w:pPr>
        <w:spacing w:line="600" w:lineRule="exact"/>
        <w:ind w:firstLine="602" w:firstLineChars="200"/>
        <w:rPr>
          <w:rStyle w:val="18"/>
          <w:rFonts w:ascii="仿宋_GB2312" w:hAnsi="仿宋" w:eastAsia="仿宋_GB2312"/>
          <w:bCs/>
          <w:sz w:val="30"/>
          <w:szCs w:val="30"/>
        </w:rPr>
      </w:pPr>
      <w:r>
        <w:rPr>
          <w:rStyle w:val="18"/>
          <w:rFonts w:hint="eastAsia" w:ascii="仿宋_GB2312" w:hAnsi="仿宋" w:eastAsia="仿宋_GB2312"/>
          <w:bCs/>
          <w:sz w:val="30"/>
          <w:szCs w:val="30"/>
        </w:rPr>
        <w:t>（2）交通运输（类）公路水路运输（款）公路建设（项）（2140104）:支出决算为58.00万元，完成预算100%，决算数等于预算数其主要用农村公路新建及提升改造项目。</w:t>
      </w:r>
    </w:p>
    <w:p>
      <w:pPr>
        <w:spacing w:line="600" w:lineRule="exact"/>
        <w:ind w:firstLine="602" w:firstLineChars="200"/>
        <w:rPr>
          <w:rStyle w:val="18"/>
          <w:rFonts w:ascii="仿宋_GB2312" w:hAnsi="仿宋" w:eastAsia="仿宋_GB2312"/>
          <w:bCs/>
          <w:sz w:val="32"/>
          <w:szCs w:val="32"/>
        </w:rPr>
      </w:pPr>
      <w:r>
        <w:rPr>
          <w:rStyle w:val="18"/>
          <w:rFonts w:hint="eastAsia" w:ascii="仿宋_GB2312" w:hAnsi="仿宋" w:eastAsia="仿宋_GB2312"/>
          <w:bCs/>
          <w:sz w:val="30"/>
          <w:szCs w:val="30"/>
        </w:rPr>
        <w:t>（3）交通运输（类）公路水路运输（款）一般行政管理事务（项）（2140102）:支出决算为170.00万元，完成预算100%，</w:t>
      </w:r>
      <w:r>
        <w:rPr>
          <w:rStyle w:val="18"/>
          <w:rFonts w:hint="eastAsia" w:ascii="仿宋_GB2312" w:hAnsi="仿宋" w:eastAsia="仿宋_GB2312"/>
          <w:bCs/>
          <w:sz w:val="32"/>
          <w:szCs w:val="32"/>
        </w:rPr>
        <w:t>决算数等于预算数其主要用于安全工作经费5万元、公路安保设备维修经费4万元、七盘关超限检测站运行经费30万元、工程质量抽样检查3万元、交通运输执法队伍建设48万元、海事救援艇维护费20万元、七盘关超限检测站购买服务项目支出50万元、交通运输行业监管、安全防范、国家级“四好农村公路”创建等其他支出。</w:t>
      </w:r>
    </w:p>
    <w:p>
      <w:pPr>
        <w:pStyle w:val="2"/>
        <w:spacing w:before="72"/>
        <w:ind w:firstLine="451" w:firstLineChars="150"/>
      </w:pPr>
      <w:r>
        <w:rPr>
          <w:rStyle w:val="18"/>
          <w:rFonts w:hint="eastAsia" w:hAnsi="仿宋"/>
          <w:bCs/>
          <w:szCs w:val="30"/>
        </w:rPr>
        <w:t>（4）交通运输（类）公路水路运输（款）公路养护(项)（2140106）: 支出决算为1236.10万元，完成预算100%，决算数等于预算数其主要用于公路养护项目支出。</w:t>
      </w:r>
    </w:p>
    <w:p>
      <w:pPr>
        <w:pStyle w:val="2"/>
        <w:spacing w:before="72"/>
        <w:ind w:firstLine="451" w:firstLineChars="150"/>
      </w:pPr>
      <w:r>
        <w:rPr>
          <w:rStyle w:val="18"/>
          <w:rFonts w:hint="eastAsia" w:hAnsi="仿宋"/>
          <w:bCs/>
          <w:szCs w:val="30"/>
        </w:rPr>
        <w:t>（5）交通运输（类）公路水路运输（款）交通运输信息化建设（2140109）: 支出决算为16万元，完成预算100%，决算数等于预算数其主要用于交通运输信息化建设—电子抓拍系统安项目支出。</w:t>
      </w:r>
    </w:p>
    <w:p>
      <w:pPr>
        <w:spacing w:line="600" w:lineRule="exact"/>
        <w:ind w:firstLine="602" w:firstLineChars="200"/>
        <w:rPr>
          <w:rStyle w:val="18"/>
          <w:rFonts w:ascii="仿宋_GB2312" w:hAnsi="仿宋" w:eastAsia="仿宋_GB2312"/>
          <w:bCs/>
          <w:sz w:val="30"/>
          <w:szCs w:val="30"/>
        </w:rPr>
      </w:pPr>
      <w:r>
        <w:rPr>
          <w:rStyle w:val="18"/>
          <w:rFonts w:hint="eastAsia" w:ascii="仿宋_GB2312" w:hAnsi="仿宋" w:eastAsia="仿宋_GB2312"/>
          <w:bCs/>
          <w:sz w:val="30"/>
          <w:szCs w:val="30"/>
        </w:rPr>
        <w:t>（6）交通运输（类）公路水路运输（款）公路运输管理（项）（2140112）:支出决算为10315.30万元，完成预算100%，决算数等于预算数其主要用于区内客、货运车辆运营、安全监督管理、交通专项应急保障项目、农村路网改善工程、广元朝天七盘关客运枢纽站建设项目、国道108线棋盘关（川陕界）至将军桥段公路改建工程项目支出。</w:t>
      </w:r>
    </w:p>
    <w:p>
      <w:pPr>
        <w:spacing w:line="600" w:lineRule="exact"/>
        <w:ind w:firstLine="602" w:firstLineChars="200"/>
        <w:rPr>
          <w:rStyle w:val="18"/>
          <w:rFonts w:ascii="仿宋_GB2312" w:hAnsi="仿宋" w:eastAsia="仿宋_GB2312"/>
          <w:bCs/>
          <w:sz w:val="30"/>
          <w:szCs w:val="30"/>
        </w:rPr>
      </w:pPr>
      <w:r>
        <w:rPr>
          <w:rStyle w:val="18"/>
          <w:rFonts w:hint="eastAsia" w:ascii="仿宋_GB2312" w:hAnsi="仿宋" w:eastAsia="仿宋_GB2312"/>
          <w:bCs/>
          <w:sz w:val="30"/>
          <w:szCs w:val="30"/>
        </w:rPr>
        <w:t>（7）交通运输（类）公路水路运输（款）车辆购置税用于农村公路建设支出（项）（2140602）:支出决算为7875.44万元，完成预算100%，决算数等于预算数其主要用于S410线、S301连接线、曾家山生态旅游环线、七曾路项目线外工程、城区过境段线外连接线、撤并建制村连接路、资源路、产业路等农村公路建设项目支出。</w:t>
      </w:r>
    </w:p>
    <w:p>
      <w:pPr>
        <w:pStyle w:val="2"/>
        <w:spacing w:before="72"/>
        <w:ind w:firstLine="451" w:firstLineChars="150"/>
      </w:pPr>
      <w:r>
        <w:rPr>
          <w:rStyle w:val="18"/>
          <w:rFonts w:hint="eastAsia" w:hAnsi="仿宋"/>
          <w:bCs/>
          <w:szCs w:val="30"/>
        </w:rPr>
        <w:t>（8）交通运输（类）公路水路运输（款）其他公路水路运输支出（项）（2140199）: 支出决算为4.5万元，完成预算100%，决算数等于预算数其主要用于上述项目以外其他于公路水路运输方面的项目支出。</w:t>
      </w:r>
    </w:p>
    <w:p>
      <w:pPr>
        <w:pStyle w:val="2"/>
        <w:spacing w:before="72"/>
        <w:ind w:firstLine="451" w:firstLineChars="150"/>
      </w:pPr>
      <w:r>
        <w:rPr>
          <w:rStyle w:val="18"/>
          <w:rFonts w:hint="eastAsia" w:hAnsi="仿宋"/>
          <w:bCs/>
          <w:szCs w:val="30"/>
        </w:rPr>
        <w:t>（9）交通运输（类）其他交通运输支出（款）公共交通营运补助（项）（2149901）: 支出决算为421.11万元，完成预算100%，决算数等于预算数其主要用于公共交通运输企业的补助支出。</w:t>
      </w:r>
    </w:p>
    <w:p>
      <w:pPr>
        <w:spacing w:line="600" w:lineRule="exact"/>
        <w:ind w:firstLine="602" w:firstLineChars="200"/>
        <w:rPr>
          <w:rStyle w:val="18"/>
          <w:rFonts w:ascii="仿宋_GB2312" w:hAnsi="仿宋" w:eastAsia="仿宋_GB2312"/>
          <w:bCs/>
          <w:sz w:val="30"/>
          <w:szCs w:val="30"/>
        </w:rPr>
      </w:pPr>
      <w:r>
        <w:rPr>
          <w:rStyle w:val="18"/>
          <w:rFonts w:hint="eastAsia" w:ascii="仿宋_GB2312" w:hAnsi="仿宋" w:eastAsia="仿宋_GB2312"/>
          <w:bCs/>
          <w:sz w:val="30"/>
          <w:szCs w:val="30"/>
        </w:rPr>
        <w:t>5.住房保障（类）住房改革（款）住房公积金（项）（2210201）:支出决算为127.45万元，完成预算100%，决算数等于预算数其主要用于干部职工住房公积金。</w:t>
      </w:r>
    </w:p>
    <w:p>
      <w:pPr>
        <w:tabs>
          <w:tab w:val="right" w:pos="8306"/>
        </w:tabs>
        <w:spacing w:line="600" w:lineRule="exact"/>
        <w:ind w:firstLine="640"/>
        <w:outlineLvl w:val="1"/>
        <w:rPr>
          <w:rStyle w:val="30"/>
          <w:rFonts w:ascii="黑体" w:eastAsia="黑体"/>
          <w:sz w:val="30"/>
          <w:szCs w:val="30"/>
        </w:rPr>
      </w:pPr>
      <w:bookmarkStart w:id="33" w:name="_Toc17852"/>
      <w:r>
        <w:rPr>
          <w:rFonts w:hint="eastAsia" w:ascii="黑体" w:eastAsia="黑体"/>
          <w:color w:val="000000"/>
          <w:sz w:val="30"/>
          <w:szCs w:val="30"/>
        </w:rPr>
        <w:t>六</w:t>
      </w:r>
      <w:r>
        <w:rPr>
          <w:rFonts w:hint="eastAsia" w:ascii="黑体" w:eastAsia="黑体"/>
          <w:b/>
          <w:color w:val="000000"/>
          <w:sz w:val="30"/>
          <w:szCs w:val="30"/>
        </w:rPr>
        <w:t>、</w:t>
      </w:r>
      <w:r>
        <w:rPr>
          <w:rFonts w:hint="eastAsia" w:ascii="黑体" w:hAnsi="黑体" w:eastAsia="黑体"/>
          <w:b/>
          <w:color w:val="000000"/>
          <w:sz w:val="30"/>
          <w:szCs w:val="30"/>
        </w:rPr>
        <w:t>一</w:t>
      </w:r>
      <w:r>
        <w:rPr>
          <w:rStyle w:val="30"/>
          <w:rFonts w:hint="eastAsia" w:ascii="黑体" w:hAnsi="黑体" w:eastAsia="黑体"/>
          <w:sz w:val="30"/>
          <w:szCs w:val="30"/>
        </w:rPr>
        <w:t>般公共预算财政拨款基本支出决算情况说明</w:t>
      </w:r>
      <w:bookmarkEnd w:id="33"/>
      <w:r>
        <w:rPr>
          <w:rStyle w:val="30"/>
          <w:rFonts w:hint="eastAsia" w:ascii="黑体" w:hAnsi="黑体" w:eastAsia="黑体"/>
          <w:sz w:val="30"/>
          <w:szCs w:val="30"/>
        </w:rPr>
        <w:tab/>
      </w:r>
    </w:p>
    <w:p>
      <w:pPr>
        <w:spacing w:line="600" w:lineRule="exact"/>
        <w:ind w:firstLine="645"/>
        <w:rPr>
          <w:rFonts w:ascii="仿宋_GB2312" w:hAnsi="仿宋" w:eastAsia="仿宋_GB2312"/>
          <w:color w:val="000000"/>
          <w:sz w:val="30"/>
          <w:szCs w:val="30"/>
        </w:rPr>
      </w:pPr>
      <w:r>
        <w:rPr>
          <w:rFonts w:hint="eastAsia" w:ascii="仿宋_GB2312" w:hAnsi="仿宋" w:eastAsia="仿宋_GB2312"/>
          <w:color w:val="000000"/>
          <w:sz w:val="30"/>
          <w:szCs w:val="30"/>
        </w:rPr>
        <w:t>2022年一般公共预算财政拨款基本支出</w:t>
      </w:r>
      <w:r>
        <w:rPr>
          <w:rFonts w:hint="eastAsia" w:ascii="仿宋_GB2312" w:hAnsi="仿宋" w:eastAsia="仿宋_GB2312"/>
          <w:color w:val="000000"/>
          <w:sz w:val="32"/>
          <w:szCs w:val="32"/>
        </w:rPr>
        <w:t>1728.58</w:t>
      </w:r>
      <w:r>
        <w:rPr>
          <w:rFonts w:hint="eastAsia" w:ascii="仿宋_GB2312" w:hAnsi="仿宋" w:eastAsia="仿宋_GB2312"/>
          <w:color w:val="000000"/>
          <w:sz w:val="30"/>
          <w:szCs w:val="30"/>
        </w:rPr>
        <w:t>万元，其中：人员经费1540.34万元，主要包括：基本工资、津贴补贴、奖金、伙食补助费、绩效工资、机关事业</w:t>
      </w:r>
      <w:r>
        <w:rPr>
          <w:rFonts w:hint="eastAsia" w:ascii="仿宋_GB2312" w:hAnsi="仿宋" w:eastAsia="仿宋_GB2312"/>
          <w:color w:val="000000"/>
          <w:sz w:val="30"/>
          <w:szCs w:val="30"/>
          <w:lang w:eastAsia="zh-CN"/>
        </w:rPr>
        <w:t>部门</w:t>
      </w:r>
      <w:r>
        <w:rPr>
          <w:rFonts w:hint="eastAsia" w:ascii="仿宋_GB2312" w:hAnsi="仿宋" w:eastAsia="仿宋_GB2312"/>
          <w:color w:val="000000"/>
          <w:sz w:val="30"/>
          <w:szCs w:val="30"/>
        </w:rPr>
        <w:t>基本养老保险缴费、职业年金缴费、其他社会保障缴费、其他工资福利支出、离休费、退休费、抚恤金、生活补助、医疗费、奖励金、住房公积金、提租补贴、购房补贴、其他对个人和家庭的补助支出等。</w:t>
      </w:r>
      <w:r>
        <w:rPr>
          <w:rFonts w:hint="eastAsia" w:ascii="仿宋_GB2312" w:hAnsi="仿宋" w:eastAsia="仿宋_GB2312"/>
          <w:color w:val="000000"/>
          <w:sz w:val="30"/>
          <w:szCs w:val="30"/>
        </w:rPr>
        <w:br w:type="textWrapping"/>
      </w:r>
      <w:r>
        <w:rPr>
          <w:rFonts w:hint="eastAsia" w:ascii="仿宋_GB2312" w:hAnsi="仿宋" w:eastAsia="仿宋_GB2312"/>
          <w:color w:val="000000"/>
          <w:sz w:val="30"/>
          <w:szCs w:val="30"/>
        </w:rPr>
        <w:t>　　公用经费165.35万元，主要包括：办公费、印刷费、咨询费、手续费、水费、电费、邮电费、取暖费、物业管理费、差旅费、因公出国（境）费用、维修（护）费、租赁费、会议费、培训费、公务接待费、劳务费、委托业务费、工会经费、福利费、公务用车运行维护费、其他交通费、税金及附加费用、其他商品和服务支出、办公设备购置、专用设备购置、信息网络及软件购置更新、其他资本性支出等。</w:t>
      </w:r>
    </w:p>
    <w:p>
      <w:pPr>
        <w:spacing w:line="600" w:lineRule="exact"/>
        <w:ind w:firstLine="640"/>
        <w:outlineLvl w:val="1"/>
        <w:rPr>
          <w:rStyle w:val="30"/>
          <w:rFonts w:ascii="黑体" w:hAnsi="黑体" w:eastAsia="黑体"/>
          <w:b w:val="0"/>
          <w:sz w:val="30"/>
          <w:szCs w:val="30"/>
        </w:rPr>
      </w:pPr>
      <w:bookmarkStart w:id="34" w:name="_Toc14260"/>
      <w:r>
        <w:rPr>
          <w:rFonts w:hint="eastAsia" w:ascii="黑体" w:eastAsia="黑体"/>
          <w:color w:val="000000"/>
          <w:sz w:val="30"/>
          <w:szCs w:val="30"/>
        </w:rPr>
        <w:t>七、</w:t>
      </w:r>
      <w:r>
        <w:rPr>
          <w:rStyle w:val="30"/>
          <w:rFonts w:hint="eastAsia" w:ascii="黑体" w:hAnsi="黑体" w:eastAsia="黑体"/>
          <w:sz w:val="30"/>
          <w:szCs w:val="30"/>
        </w:rPr>
        <w:t>“三公”经费财政拨款支出决算情况说明</w:t>
      </w:r>
      <w:bookmarkEnd w:id="34"/>
    </w:p>
    <w:p>
      <w:pPr>
        <w:spacing w:line="600" w:lineRule="exact"/>
        <w:ind w:firstLine="640"/>
        <w:outlineLvl w:val="2"/>
        <w:rPr>
          <w:rFonts w:ascii="仿宋_GB2312" w:hAnsi="仿宋" w:eastAsia="仿宋_GB2312"/>
          <w:b/>
          <w:color w:val="000000"/>
          <w:sz w:val="30"/>
          <w:szCs w:val="30"/>
        </w:rPr>
      </w:pPr>
      <w:bookmarkStart w:id="35" w:name="_Toc26609"/>
      <w:r>
        <w:rPr>
          <w:rFonts w:hint="eastAsia" w:ascii="仿宋_GB2312" w:hAnsi="仿宋" w:eastAsia="仿宋_GB2312"/>
          <w:b/>
          <w:color w:val="000000"/>
          <w:sz w:val="30"/>
          <w:szCs w:val="30"/>
        </w:rPr>
        <w:t>（一）“三公”经费财政拨款支出决算总体情况说明</w:t>
      </w:r>
      <w:bookmarkEnd w:id="35"/>
    </w:p>
    <w:p>
      <w:pPr>
        <w:spacing w:line="600" w:lineRule="exact"/>
        <w:ind w:firstLine="640"/>
        <w:rPr>
          <w:rFonts w:ascii="仿宋_GB2312" w:hAnsi="仿宋" w:eastAsia="仿宋_GB2312"/>
          <w:color w:val="000000"/>
          <w:sz w:val="30"/>
          <w:szCs w:val="30"/>
        </w:rPr>
      </w:pPr>
      <w:r>
        <w:rPr>
          <w:rFonts w:hint="eastAsia" w:ascii="仿宋_GB2312" w:hAnsi="仿宋" w:eastAsia="仿宋_GB2312"/>
          <w:color w:val="000000"/>
          <w:sz w:val="30"/>
          <w:szCs w:val="30"/>
        </w:rPr>
        <w:t>2022年“三公”经费财政拨款支出决算为35.53万元，完成预算100%，决算数与预算数持平。</w:t>
      </w:r>
    </w:p>
    <w:p>
      <w:pPr>
        <w:spacing w:line="600" w:lineRule="exact"/>
        <w:ind w:firstLine="640"/>
        <w:outlineLvl w:val="2"/>
        <w:rPr>
          <w:rFonts w:ascii="仿宋_GB2312" w:hAnsi="仿宋" w:eastAsia="仿宋_GB2312"/>
          <w:b/>
          <w:color w:val="000000"/>
          <w:sz w:val="30"/>
          <w:szCs w:val="30"/>
        </w:rPr>
      </w:pPr>
      <w:bookmarkStart w:id="36" w:name="_Toc1016"/>
      <w:r>
        <w:rPr>
          <w:rFonts w:hint="eastAsia" w:ascii="仿宋_GB2312" w:hAnsi="仿宋" w:eastAsia="仿宋_GB2312"/>
          <w:b/>
          <w:color w:val="000000"/>
          <w:sz w:val="30"/>
          <w:szCs w:val="30"/>
        </w:rPr>
        <w:t>（二） “三公”经费财政拨款支出决算具体情况说明</w:t>
      </w:r>
      <w:bookmarkEnd w:id="36"/>
    </w:p>
    <w:p>
      <w:pPr>
        <w:spacing w:line="600" w:lineRule="exact"/>
        <w:ind w:firstLine="640"/>
        <w:rPr>
          <w:rFonts w:ascii="仿宋_GB2312" w:hAnsi="仿宋" w:eastAsia="仿宋_GB2312"/>
          <w:color w:val="000000"/>
          <w:sz w:val="30"/>
          <w:szCs w:val="30"/>
        </w:rPr>
      </w:pPr>
      <w:r>
        <w:rPr>
          <w:rFonts w:hint="eastAsia" w:ascii="仿宋_GB2312" w:hAnsi="仿宋" w:eastAsia="仿宋_GB2312"/>
          <w:color w:val="000000"/>
          <w:sz w:val="30"/>
          <w:szCs w:val="30"/>
        </w:rPr>
        <w:t>2022年“三公”经费财政拨款支出决算中，因公出国（境）经费年初预算未作安排，实际支出0万元；公务用车购置及运行维护费年初预算29.81万元，实际支出29.81万元；公务接待费支出决算5.72万元，占100%。具体情况如下：</w:t>
      </w:r>
    </w:p>
    <w:p>
      <w:pPr>
        <w:spacing w:line="600" w:lineRule="exact"/>
        <w:ind w:firstLine="640"/>
        <w:rPr>
          <w:rFonts w:ascii="仿宋_GB2312" w:hAnsi="仿宋" w:eastAsia="仿宋_GB2312"/>
          <w:b/>
          <w:sz w:val="28"/>
          <w:szCs w:val="28"/>
        </w:rPr>
      </w:pPr>
      <w:r>
        <w:rPr>
          <w:rFonts w:hint="eastAsia" w:ascii="仿宋_GB2312" w:hAnsi="仿宋" w:eastAsia="仿宋_GB2312"/>
          <w:b/>
          <w:sz w:val="28"/>
          <w:szCs w:val="28"/>
        </w:rPr>
        <w:t>（图7：“三公”经费财政拨款支出结构）（饼状图）</w:t>
      </w:r>
    </w:p>
    <w:p>
      <w:pPr>
        <w:pStyle w:val="2"/>
        <w:spacing w:before="72"/>
      </w:pPr>
      <w:r>
        <w:drawing>
          <wp:inline distT="0" distB="0" distL="0" distR="0">
            <wp:extent cx="5229225" cy="3238500"/>
            <wp:effectExtent l="19050" t="0" r="9525" b="0"/>
            <wp:docPr id="3" name="图表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pPr>
        <w:pStyle w:val="28"/>
        <w:numPr>
          <w:ilvl w:val="0"/>
          <w:numId w:val="2"/>
        </w:numPr>
        <w:spacing w:line="600" w:lineRule="exact"/>
        <w:ind w:firstLineChars="0"/>
        <w:rPr>
          <w:rFonts w:ascii="仿宋_GB2312" w:eastAsia="仿宋_GB2312"/>
          <w:color w:val="000000"/>
          <w:sz w:val="30"/>
          <w:szCs w:val="30"/>
        </w:rPr>
      </w:pPr>
      <w:r>
        <w:rPr>
          <w:rFonts w:hint="eastAsia" w:ascii="仿宋_GB2312" w:eastAsia="仿宋_GB2312"/>
          <w:b/>
          <w:color w:val="000000"/>
          <w:sz w:val="30"/>
          <w:szCs w:val="30"/>
        </w:rPr>
        <w:t>因公出国（境）经费支出</w:t>
      </w:r>
      <w:r>
        <w:rPr>
          <w:rFonts w:hint="eastAsia" w:ascii="仿宋_GB2312" w:eastAsia="仿宋_GB2312"/>
          <w:color w:val="000000"/>
          <w:sz w:val="30"/>
          <w:szCs w:val="30"/>
        </w:rPr>
        <w:t>0万元，年初未作安排。</w:t>
      </w:r>
    </w:p>
    <w:p>
      <w:pPr>
        <w:spacing w:line="600" w:lineRule="exact"/>
        <w:ind w:firstLine="640"/>
        <w:rPr>
          <w:rFonts w:ascii="仿宋_GB2312" w:eastAsia="仿宋_GB2312"/>
          <w:color w:val="000000"/>
          <w:sz w:val="30"/>
          <w:szCs w:val="30"/>
        </w:rPr>
      </w:pPr>
      <w:r>
        <w:rPr>
          <w:rFonts w:hint="eastAsia" w:ascii="仿宋_GB2312" w:eastAsia="仿宋_GB2312"/>
          <w:b/>
          <w:color w:val="000000"/>
          <w:sz w:val="30"/>
          <w:szCs w:val="30"/>
        </w:rPr>
        <w:t>2.公务用车购置及运行维护费支出</w:t>
      </w:r>
      <w:r>
        <w:rPr>
          <w:rFonts w:hint="eastAsia" w:ascii="仿宋_GB2312" w:eastAsia="仿宋_GB2312"/>
          <w:color w:val="000000"/>
          <w:sz w:val="30"/>
          <w:szCs w:val="30"/>
        </w:rPr>
        <w:t>29.81万元, 年初预算安排29.81万元，收支平衡。</w:t>
      </w:r>
    </w:p>
    <w:p>
      <w:pPr>
        <w:spacing w:line="600" w:lineRule="exact"/>
        <w:ind w:firstLine="640"/>
        <w:rPr>
          <w:rFonts w:ascii="仿宋_GB2312" w:eastAsia="仿宋_GB2312"/>
          <w:color w:val="000000"/>
          <w:sz w:val="30"/>
          <w:szCs w:val="30"/>
        </w:rPr>
      </w:pPr>
      <w:r>
        <w:rPr>
          <w:rFonts w:hint="eastAsia" w:ascii="仿宋_GB2312" w:eastAsia="仿宋_GB2312"/>
          <w:b/>
          <w:color w:val="000000"/>
          <w:sz w:val="30"/>
          <w:szCs w:val="30"/>
        </w:rPr>
        <w:t>3.公务接待费支出5.72</w:t>
      </w:r>
      <w:r>
        <w:rPr>
          <w:rFonts w:hint="eastAsia" w:ascii="仿宋_GB2312" w:eastAsia="仿宋_GB2312"/>
          <w:color w:val="000000"/>
          <w:sz w:val="30"/>
          <w:szCs w:val="30"/>
        </w:rPr>
        <w:t>万元，</w:t>
      </w:r>
      <w:r>
        <w:rPr>
          <w:rStyle w:val="18"/>
          <w:rFonts w:hint="eastAsia" w:ascii="仿宋_GB2312" w:hAnsi="仿宋" w:eastAsia="仿宋_GB2312"/>
          <w:bCs/>
          <w:color w:val="000000"/>
          <w:sz w:val="30"/>
          <w:szCs w:val="30"/>
        </w:rPr>
        <w:t>完成预算100%。</w:t>
      </w:r>
      <w:r>
        <w:rPr>
          <w:rFonts w:hint="eastAsia" w:ascii="仿宋_GB2312" w:eastAsia="仿宋_GB2312"/>
          <w:color w:val="000000"/>
          <w:sz w:val="30"/>
          <w:szCs w:val="30"/>
        </w:rPr>
        <w:t>公务接待费支出决算比2021年减少0.43万元，下降7%。国内公务接待83批次，737人次（不包括陪同人员），共计支出5.72万元，主要用于交通项目前期工作协调、项目资金争取等日常接待工作，没有外事接待活动费用发生。</w:t>
      </w:r>
    </w:p>
    <w:p>
      <w:pPr>
        <w:spacing w:line="600" w:lineRule="exact"/>
        <w:ind w:firstLine="640"/>
        <w:outlineLvl w:val="1"/>
        <w:rPr>
          <w:rStyle w:val="30"/>
          <w:rFonts w:ascii="黑体" w:hAnsi="黑体" w:eastAsia="黑体"/>
          <w:sz w:val="30"/>
          <w:szCs w:val="30"/>
        </w:rPr>
      </w:pPr>
      <w:bookmarkStart w:id="37" w:name="_Toc11290"/>
      <w:r>
        <w:rPr>
          <w:rFonts w:hint="eastAsia" w:ascii="黑体" w:eastAsia="黑体"/>
          <w:color w:val="000000"/>
          <w:sz w:val="30"/>
          <w:szCs w:val="30"/>
        </w:rPr>
        <w:t>八、</w:t>
      </w:r>
      <w:r>
        <w:rPr>
          <w:rStyle w:val="30"/>
          <w:rFonts w:hint="eastAsia" w:ascii="黑体" w:hAnsi="黑体" w:eastAsia="黑体"/>
          <w:sz w:val="30"/>
          <w:szCs w:val="30"/>
        </w:rPr>
        <w:t>政府性基金预算支出决算情况说明</w:t>
      </w:r>
      <w:bookmarkEnd w:id="37"/>
    </w:p>
    <w:p>
      <w:pPr>
        <w:spacing w:line="600" w:lineRule="exact"/>
        <w:ind w:firstLine="640"/>
        <w:rPr>
          <w:rFonts w:ascii="仿宋_GB2312" w:eastAsia="仿宋_GB2312"/>
          <w:color w:val="000000"/>
          <w:sz w:val="30"/>
          <w:szCs w:val="30"/>
        </w:rPr>
      </w:pPr>
      <w:r>
        <w:rPr>
          <w:rFonts w:ascii="仿宋_GB2312" w:eastAsia="仿宋_GB2312"/>
          <w:color w:val="000000"/>
          <w:sz w:val="30"/>
          <w:szCs w:val="30"/>
        </w:rPr>
        <w:t>20</w:t>
      </w:r>
      <w:r>
        <w:rPr>
          <w:rFonts w:hint="eastAsia" w:ascii="仿宋_GB2312" w:eastAsia="仿宋_GB2312"/>
          <w:color w:val="000000"/>
          <w:sz w:val="30"/>
          <w:szCs w:val="30"/>
        </w:rPr>
        <w:t>22年政府性基金年初预算收入543.74万元，当年支出543.74万元，年末结转结余0万元。</w:t>
      </w:r>
    </w:p>
    <w:p>
      <w:pPr>
        <w:spacing w:line="600" w:lineRule="exact"/>
        <w:ind w:firstLine="602" w:firstLineChars="200"/>
        <w:outlineLvl w:val="1"/>
        <w:rPr>
          <w:rStyle w:val="30"/>
          <w:rFonts w:ascii="黑体" w:hAnsi="黑体" w:eastAsia="黑体"/>
          <w:b w:val="0"/>
          <w:sz w:val="30"/>
          <w:szCs w:val="30"/>
        </w:rPr>
      </w:pPr>
      <w:bookmarkStart w:id="38" w:name="_Toc30657"/>
      <w:r>
        <w:rPr>
          <w:rStyle w:val="30"/>
          <w:rFonts w:hint="eastAsia" w:ascii="黑体" w:hAnsi="黑体" w:eastAsia="黑体"/>
          <w:sz w:val="30"/>
          <w:szCs w:val="30"/>
        </w:rPr>
        <w:t>九、国有资本经营预算支出决算情况说明</w:t>
      </w:r>
      <w:bookmarkEnd w:id="38"/>
    </w:p>
    <w:p>
      <w:pPr>
        <w:spacing w:line="600" w:lineRule="exact"/>
        <w:ind w:firstLine="640"/>
        <w:rPr>
          <w:rFonts w:ascii="仿宋_GB2312" w:eastAsia="仿宋_GB2312"/>
          <w:color w:val="000000"/>
          <w:sz w:val="32"/>
          <w:szCs w:val="32"/>
        </w:rPr>
      </w:pPr>
      <w:r>
        <w:rPr>
          <w:rFonts w:ascii="仿宋_GB2312" w:eastAsia="仿宋_GB2312"/>
          <w:color w:val="000000"/>
          <w:sz w:val="32"/>
          <w:szCs w:val="32"/>
        </w:rPr>
        <w:t>20</w:t>
      </w:r>
      <w:r>
        <w:rPr>
          <w:rFonts w:hint="eastAsia" w:ascii="仿宋_GB2312" w:eastAsia="仿宋_GB2312"/>
          <w:color w:val="000000"/>
          <w:sz w:val="32"/>
          <w:szCs w:val="32"/>
        </w:rPr>
        <w:t>22年国有资本经营预算拨款支出0万元。</w:t>
      </w:r>
    </w:p>
    <w:p>
      <w:pPr>
        <w:spacing w:line="600" w:lineRule="exact"/>
        <w:ind w:firstLine="600" w:firstLineChars="200"/>
        <w:outlineLvl w:val="1"/>
        <w:rPr>
          <w:rStyle w:val="30"/>
          <w:rFonts w:ascii="黑体" w:hAnsi="黑体" w:eastAsia="黑体"/>
          <w:sz w:val="30"/>
          <w:szCs w:val="30"/>
        </w:rPr>
      </w:pPr>
      <w:bookmarkStart w:id="39" w:name="_Toc24213"/>
      <w:r>
        <w:rPr>
          <w:rFonts w:hint="eastAsia" w:ascii="黑体" w:hAnsi="黑体" w:eastAsia="黑体"/>
          <w:color w:val="000000"/>
          <w:sz w:val="30"/>
          <w:szCs w:val="30"/>
        </w:rPr>
        <w:t>十</w:t>
      </w:r>
      <w:r>
        <w:rPr>
          <w:rStyle w:val="30"/>
          <w:rFonts w:hint="eastAsia" w:ascii="黑体" w:hAnsi="黑体" w:eastAsia="黑体"/>
          <w:sz w:val="30"/>
          <w:szCs w:val="30"/>
        </w:rPr>
        <w:t>、其他重要事项的情况说明</w:t>
      </w:r>
      <w:bookmarkEnd w:id="39"/>
    </w:p>
    <w:p>
      <w:pPr>
        <w:spacing w:line="600" w:lineRule="exact"/>
        <w:ind w:firstLine="602" w:firstLineChars="200"/>
        <w:outlineLvl w:val="2"/>
        <w:rPr>
          <w:rFonts w:ascii="仿宋" w:hAnsi="仿宋" w:eastAsia="仿宋"/>
          <w:color w:val="000000"/>
          <w:sz w:val="30"/>
          <w:szCs w:val="30"/>
        </w:rPr>
      </w:pPr>
      <w:bookmarkStart w:id="40" w:name="_Toc19181"/>
      <w:r>
        <w:rPr>
          <w:rFonts w:hint="eastAsia" w:ascii="仿宋" w:hAnsi="仿宋" w:eastAsia="仿宋"/>
          <w:b/>
          <w:color w:val="000000"/>
          <w:sz w:val="30"/>
          <w:szCs w:val="30"/>
        </w:rPr>
        <w:t>（一）机关运行经费支出情况</w:t>
      </w:r>
      <w:bookmarkEnd w:id="40"/>
    </w:p>
    <w:p>
      <w:pPr>
        <w:spacing w:line="600" w:lineRule="exact"/>
        <w:ind w:firstLine="600" w:firstLineChars="200"/>
        <w:rPr>
          <w:rFonts w:ascii="仿宋_GB2312" w:eastAsia="仿宋_GB2312"/>
          <w:color w:val="000000" w:themeColor="text1"/>
          <w:sz w:val="30"/>
          <w:szCs w:val="30"/>
        </w:rPr>
      </w:pPr>
      <w:r>
        <w:rPr>
          <w:rFonts w:ascii="仿宋_GB2312" w:eastAsia="仿宋_GB2312"/>
          <w:color w:val="000000"/>
          <w:sz w:val="30"/>
          <w:szCs w:val="30"/>
        </w:rPr>
        <w:t>20</w:t>
      </w:r>
      <w:r>
        <w:rPr>
          <w:rFonts w:hint="eastAsia" w:ascii="仿宋_GB2312" w:eastAsia="仿宋_GB2312"/>
          <w:color w:val="000000"/>
          <w:sz w:val="30"/>
          <w:szCs w:val="30"/>
        </w:rPr>
        <w:t>22年，交通运输部门机关运行经费支出165.35万元，比</w:t>
      </w:r>
      <w:r>
        <w:rPr>
          <w:rFonts w:ascii="仿宋_GB2312" w:eastAsia="仿宋_GB2312"/>
          <w:color w:val="000000"/>
          <w:sz w:val="30"/>
          <w:szCs w:val="30"/>
        </w:rPr>
        <w:t>20</w:t>
      </w:r>
      <w:r>
        <w:rPr>
          <w:rFonts w:hint="eastAsia" w:ascii="仿宋_GB2312" w:eastAsia="仿宋_GB2312"/>
          <w:color w:val="000000"/>
          <w:sz w:val="30"/>
          <w:szCs w:val="30"/>
        </w:rPr>
        <w:t>21年减少9.53.77万元，下降5.44</w:t>
      </w:r>
      <w:r>
        <w:rPr>
          <w:rFonts w:ascii="仿宋_GB2312" w:eastAsia="仿宋_GB2312"/>
          <w:color w:val="000000"/>
          <w:sz w:val="30"/>
          <w:szCs w:val="30"/>
        </w:rPr>
        <w:t>%</w:t>
      </w:r>
      <w:r>
        <w:rPr>
          <w:rFonts w:hint="eastAsia" w:ascii="仿宋_GB2312" w:eastAsia="仿宋_GB2312"/>
          <w:color w:val="000000"/>
          <w:sz w:val="30"/>
          <w:szCs w:val="30"/>
        </w:rPr>
        <w:t>，主要是加强了日常费用开支的管控，强化了预算的钢性约束。</w:t>
      </w:r>
    </w:p>
    <w:p>
      <w:pPr>
        <w:autoSpaceDE w:val="0"/>
        <w:autoSpaceDN w:val="0"/>
        <w:adjustRightInd w:val="0"/>
        <w:spacing w:line="600" w:lineRule="exact"/>
        <w:ind w:firstLine="602" w:firstLineChars="200"/>
        <w:jc w:val="left"/>
        <w:outlineLvl w:val="2"/>
        <w:rPr>
          <w:rFonts w:ascii="仿宋" w:hAnsi="仿宋" w:eastAsia="仿宋"/>
          <w:b/>
          <w:color w:val="000000"/>
          <w:sz w:val="30"/>
          <w:szCs w:val="30"/>
        </w:rPr>
      </w:pPr>
      <w:bookmarkStart w:id="41" w:name="_Toc26845"/>
      <w:r>
        <w:rPr>
          <w:rFonts w:hint="eastAsia" w:ascii="仿宋" w:hAnsi="仿宋" w:eastAsia="仿宋"/>
          <w:b/>
          <w:color w:val="000000"/>
          <w:sz w:val="30"/>
          <w:szCs w:val="30"/>
        </w:rPr>
        <w:t>（二）政府采购支出情况</w:t>
      </w:r>
      <w:bookmarkEnd w:id="41"/>
    </w:p>
    <w:p>
      <w:pPr>
        <w:spacing w:line="600" w:lineRule="exact"/>
        <w:ind w:firstLine="600" w:firstLineChars="200"/>
        <w:rPr>
          <w:rFonts w:ascii="仿宋_GB2312" w:eastAsia="仿宋_GB2312"/>
          <w:color w:val="000000"/>
          <w:sz w:val="30"/>
          <w:szCs w:val="30"/>
        </w:rPr>
      </w:pPr>
      <w:r>
        <w:rPr>
          <w:rFonts w:ascii="仿宋_GB2312" w:eastAsia="仿宋_GB2312"/>
          <w:color w:val="000000"/>
          <w:sz w:val="30"/>
          <w:szCs w:val="30"/>
        </w:rPr>
        <w:t>20</w:t>
      </w:r>
      <w:r>
        <w:rPr>
          <w:rFonts w:hint="eastAsia" w:ascii="仿宋_GB2312" w:eastAsia="仿宋_GB2312"/>
          <w:color w:val="000000"/>
          <w:sz w:val="30"/>
          <w:szCs w:val="30"/>
        </w:rPr>
        <w:t>22年，交通运输局政府采购支出总额10158.57万元，其中：政府采购货物支出7.86万元、政府采购工程支出9999.14万元、政府采购服务支出151.57万元。主要用于交通项目建设工作方面，重点面向国内中小微企业的政府采购。</w:t>
      </w:r>
    </w:p>
    <w:p>
      <w:pPr>
        <w:autoSpaceDE w:val="0"/>
        <w:autoSpaceDN w:val="0"/>
        <w:adjustRightInd w:val="0"/>
        <w:spacing w:line="600" w:lineRule="exact"/>
        <w:ind w:firstLine="602" w:firstLineChars="200"/>
        <w:jc w:val="left"/>
        <w:outlineLvl w:val="2"/>
        <w:rPr>
          <w:rFonts w:ascii="仿宋" w:hAnsi="仿宋" w:eastAsia="仿宋"/>
          <w:b/>
          <w:color w:val="000000"/>
          <w:sz w:val="30"/>
          <w:szCs w:val="30"/>
        </w:rPr>
      </w:pPr>
      <w:bookmarkStart w:id="42" w:name="_Toc21973"/>
      <w:r>
        <w:rPr>
          <w:rFonts w:hint="eastAsia" w:ascii="仿宋" w:hAnsi="仿宋" w:eastAsia="仿宋"/>
          <w:b/>
          <w:color w:val="000000"/>
          <w:sz w:val="30"/>
          <w:szCs w:val="30"/>
        </w:rPr>
        <w:t>（三）国有资产占有使用情况</w:t>
      </w:r>
      <w:bookmarkEnd w:id="42"/>
    </w:p>
    <w:p>
      <w:pPr>
        <w:autoSpaceDE w:val="0"/>
        <w:autoSpaceDN w:val="0"/>
        <w:adjustRightInd w:val="0"/>
        <w:spacing w:line="600" w:lineRule="exact"/>
        <w:ind w:firstLine="600" w:firstLineChars="200"/>
        <w:rPr>
          <w:rFonts w:ascii="仿宋_GB2312" w:eastAsia="仿宋_GB2312"/>
          <w:color w:val="000000"/>
          <w:sz w:val="30"/>
          <w:szCs w:val="30"/>
        </w:rPr>
      </w:pPr>
      <w:r>
        <w:rPr>
          <w:rFonts w:hint="eastAsia" w:ascii="仿宋_GB2312" w:eastAsia="仿宋_GB2312"/>
          <w:color w:val="000000"/>
          <w:sz w:val="30"/>
          <w:szCs w:val="30"/>
        </w:rPr>
        <w:t>截至</w:t>
      </w:r>
      <w:r>
        <w:rPr>
          <w:rFonts w:ascii="仿宋_GB2312" w:eastAsia="仿宋_GB2312"/>
          <w:color w:val="000000"/>
          <w:sz w:val="30"/>
          <w:szCs w:val="30"/>
        </w:rPr>
        <w:t>20</w:t>
      </w:r>
      <w:r>
        <w:rPr>
          <w:rFonts w:hint="eastAsia" w:ascii="仿宋_GB2312" w:eastAsia="仿宋_GB2312"/>
          <w:color w:val="000000"/>
          <w:sz w:val="30"/>
          <w:szCs w:val="30"/>
        </w:rPr>
        <w:t>22年</w:t>
      </w:r>
      <w:r>
        <w:rPr>
          <w:rFonts w:ascii="仿宋_GB2312" w:eastAsia="仿宋_GB2312"/>
          <w:color w:val="000000"/>
          <w:sz w:val="30"/>
          <w:szCs w:val="30"/>
        </w:rPr>
        <w:t>12</w:t>
      </w:r>
      <w:r>
        <w:rPr>
          <w:rFonts w:hint="eastAsia" w:ascii="仿宋_GB2312" w:eastAsia="仿宋_GB2312"/>
          <w:color w:val="000000"/>
          <w:sz w:val="30"/>
          <w:szCs w:val="30"/>
        </w:rPr>
        <w:t>月</w:t>
      </w:r>
      <w:r>
        <w:rPr>
          <w:rFonts w:ascii="仿宋_GB2312" w:eastAsia="仿宋_GB2312"/>
          <w:color w:val="000000"/>
          <w:sz w:val="30"/>
          <w:szCs w:val="30"/>
        </w:rPr>
        <w:t>31</w:t>
      </w:r>
      <w:r>
        <w:rPr>
          <w:rFonts w:hint="eastAsia" w:ascii="仿宋_GB2312" w:eastAsia="仿宋_GB2312"/>
          <w:color w:val="000000"/>
          <w:sz w:val="30"/>
          <w:szCs w:val="30"/>
        </w:rPr>
        <w:t>日，交通运输部门机关国有资产原值总额2063.81万元，其中办公用房原值为1336.37万元，公务车辆原值158.56万元，其他日常办公用固定资产568.88万元，累计折旧金额870.91万元，资金净值1192.90万元。公务车辆改革后交通部门总计公务车辆保有量为5辆，主要用于交通综合行政执法。</w:t>
      </w:r>
    </w:p>
    <w:p>
      <w:pPr>
        <w:autoSpaceDE w:val="0"/>
        <w:autoSpaceDN w:val="0"/>
        <w:adjustRightInd w:val="0"/>
        <w:spacing w:line="600" w:lineRule="exact"/>
        <w:ind w:firstLine="420" w:firstLineChars="200"/>
        <w:jc w:val="left"/>
        <w:outlineLvl w:val="2"/>
        <w:rPr>
          <w:rFonts w:ascii="仿宋" w:hAnsi="仿宋" w:eastAsia="仿宋"/>
          <w:b/>
          <w:sz w:val="32"/>
          <w:szCs w:val="32"/>
        </w:rPr>
      </w:pPr>
      <w:r>
        <w:rPr>
          <w:rFonts w:hint="eastAsia"/>
        </w:rPr>
        <w:t xml:space="preserve"> </w:t>
      </w:r>
      <w:bookmarkStart w:id="43" w:name="_Toc11142"/>
      <w:r>
        <w:rPr>
          <w:rFonts w:hint="eastAsia" w:ascii="黑体" w:eastAsia="黑体"/>
          <w:b/>
          <w:sz w:val="32"/>
          <w:szCs w:val="32"/>
        </w:rPr>
        <w:t>（四）</w:t>
      </w:r>
      <w:r>
        <w:rPr>
          <w:rFonts w:hint="eastAsia" w:ascii="仿宋" w:hAnsi="仿宋" w:eastAsia="仿宋"/>
          <w:b/>
          <w:sz w:val="32"/>
          <w:szCs w:val="32"/>
        </w:rPr>
        <w:t>预算绩效管理情况</w:t>
      </w:r>
      <w:bookmarkEnd w:id="43"/>
    </w:p>
    <w:p>
      <w:pPr>
        <w:ind w:firstLine="640" w:firstLineChars="200"/>
        <w:rPr>
          <w:rFonts w:ascii="仿宋_GB2312" w:eastAsia="仿宋_GB2312"/>
          <w:sz w:val="32"/>
          <w:szCs w:val="32"/>
          <w:highlight w:val="yellow"/>
        </w:rPr>
      </w:pPr>
      <w:r>
        <w:rPr>
          <w:rFonts w:hint="eastAsia" w:ascii="仿宋_GB2312" w:eastAsia="仿宋_GB2312"/>
          <w:sz w:val="32"/>
          <w:szCs w:val="32"/>
        </w:rPr>
        <w:t>根据预算绩效管理要求，本</w:t>
      </w:r>
      <w:r>
        <w:rPr>
          <w:rFonts w:hint="eastAsia" w:ascii="仿宋_GB2312" w:eastAsia="仿宋_GB2312"/>
          <w:sz w:val="32"/>
          <w:szCs w:val="32"/>
          <w:lang w:eastAsia="zh-CN"/>
        </w:rPr>
        <w:t>部门</w:t>
      </w:r>
      <w:r>
        <w:rPr>
          <w:rFonts w:hint="eastAsia" w:ascii="仿宋_GB2312" w:eastAsia="仿宋_GB2312"/>
          <w:sz w:val="32"/>
          <w:szCs w:val="32"/>
        </w:rPr>
        <w:t>在2022年度预算编制阶段，组织对</w:t>
      </w:r>
      <w:r>
        <w:rPr>
          <w:rFonts w:hint="eastAsia" w:ascii="仿宋_GB2312" w:hAnsi="宋体" w:eastAsia="仿宋_GB2312" w:cs="宋体"/>
          <w:color w:val="000000"/>
          <w:sz w:val="32"/>
          <w:szCs w:val="32"/>
        </w:rPr>
        <w:t>广元朝天七盘关客运枢纽站建设项目、朝天区八庙沟嘉陵江大桥新建工程工程征地</w:t>
      </w:r>
      <w:r>
        <w:rPr>
          <w:rFonts w:hint="eastAsia" w:ascii="仿宋_GB2312" w:eastAsia="仿宋_GB2312"/>
          <w:sz w:val="32"/>
          <w:szCs w:val="32"/>
        </w:rPr>
        <w:t>、</w:t>
      </w:r>
      <w:r>
        <w:rPr>
          <w:rFonts w:hint="eastAsia" w:ascii="仿宋_GB2312" w:hAnsi="宋体" w:eastAsia="仿宋_GB2312" w:cs="宋体"/>
          <w:color w:val="000000"/>
          <w:sz w:val="32"/>
          <w:szCs w:val="32"/>
        </w:rPr>
        <w:t>中央车辆购置税收补助地方公路建设资金、交通运输组疫情防控重点查验点工作费用、省道301线朝天区李家镇至中子镇段公路改建项目及平安渡运、乡镇运输服务站以奖代补</w:t>
      </w:r>
      <w:r>
        <w:rPr>
          <w:rFonts w:hint="eastAsia" w:ascii="仿宋_GB2312" w:eastAsia="仿宋_GB2312"/>
          <w:sz w:val="32"/>
          <w:szCs w:val="32"/>
        </w:rPr>
        <w:t>等62个项目开展了预算事前绩效评估，对62个项目编制了绩效目标，预算执行过程中，选取57个项目开展绩效监控，组织对57个项目开展绩效自评，绩效自评表详见第四部分附件。</w:t>
      </w:r>
    </w:p>
    <w:p>
      <w:pPr>
        <w:widowControl/>
        <w:jc w:val="left"/>
        <w:rPr>
          <w:rFonts w:ascii="仿宋_GB2312" w:eastAsia="仿宋_GB2312"/>
          <w:b/>
          <w:color w:val="000000"/>
          <w:sz w:val="32"/>
          <w:szCs w:val="32"/>
        </w:rPr>
      </w:pPr>
    </w:p>
    <w:p>
      <w:pPr>
        <w:numPr>
          <w:ilvl w:val="0"/>
          <w:numId w:val="3"/>
        </w:numPr>
        <w:spacing w:line="600" w:lineRule="exact"/>
        <w:ind w:firstLine="662" w:firstLineChars="150"/>
        <w:jc w:val="center"/>
        <w:outlineLvl w:val="0"/>
        <w:rPr>
          <w:rStyle w:val="29"/>
          <w:rFonts w:ascii="黑体" w:hAnsi="黑体" w:eastAsia="黑体"/>
          <w:b w:val="0"/>
        </w:rPr>
      </w:pPr>
      <w:bookmarkStart w:id="44" w:name="_Toc16856"/>
      <w:r>
        <w:rPr>
          <w:rFonts w:hint="eastAsia" w:ascii="黑体" w:hAnsi="黑体" w:eastAsia="黑体"/>
          <w:b/>
          <w:color w:val="000000"/>
          <w:sz w:val="44"/>
          <w:szCs w:val="44"/>
        </w:rPr>
        <w:t>名</w:t>
      </w:r>
      <w:r>
        <w:rPr>
          <w:rStyle w:val="29"/>
          <w:rFonts w:hint="eastAsia" w:ascii="黑体" w:hAnsi="黑体" w:eastAsia="黑体"/>
        </w:rPr>
        <w:t>词解释</w:t>
      </w:r>
      <w:bookmarkEnd w:id="44"/>
    </w:p>
    <w:p>
      <w:pPr>
        <w:spacing w:line="600" w:lineRule="exact"/>
        <w:jc w:val="left"/>
        <w:rPr>
          <w:rFonts w:ascii="宋体"/>
          <w:b/>
          <w:color w:val="000000"/>
          <w:sz w:val="44"/>
          <w:szCs w:val="44"/>
        </w:rPr>
      </w:pPr>
    </w:p>
    <w:p>
      <w:pPr>
        <w:pStyle w:val="27"/>
        <w:spacing w:line="560" w:lineRule="exact"/>
        <w:ind w:firstLine="600" w:firstLineChars="200"/>
        <w:rPr>
          <w:rFonts w:ascii="仿宋_GB2312" w:eastAsia="仿宋_GB2312"/>
          <w:sz w:val="30"/>
          <w:szCs w:val="30"/>
        </w:rPr>
      </w:pPr>
      <w:r>
        <w:rPr>
          <w:rFonts w:ascii="仿宋_GB2312" w:eastAsia="仿宋_GB2312"/>
          <w:sz w:val="30"/>
          <w:szCs w:val="30"/>
        </w:rPr>
        <w:t>1.</w:t>
      </w:r>
      <w:r>
        <w:rPr>
          <w:rFonts w:hint="eastAsia" w:ascii="仿宋_GB2312" w:eastAsia="仿宋_GB2312"/>
          <w:sz w:val="30"/>
          <w:szCs w:val="30"/>
        </w:rPr>
        <w:t>财政拨款收入：指</w:t>
      </w:r>
      <w:r>
        <w:rPr>
          <w:rFonts w:hint="eastAsia" w:ascii="仿宋_GB2312" w:eastAsia="仿宋_GB2312"/>
          <w:sz w:val="30"/>
          <w:szCs w:val="30"/>
          <w:lang w:eastAsia="zh-CN"/>
        </w:rPr>
        <w:t>部门</w:t>
      </w:r>
      <w:r>
        <w:rPr>
          <w:rFonts w:hint="eastAsia" w:ascii="仿宋_GB2312" w:eastAsia="仿宋_GB2312"/>
          <w:sz w:val="30"/>
          <w:szCs w:val="30"/>
        </w:rPr>
        <w:t>从同级财政部门取得的财政预算资金。</w:t>
      </w:r>
    </w:p>
    <w:p>
      <w:pPr>
        <w:pStyle w:val="27"/>
        <w:spacing w:line="560" w:lineRule="exact"/>
        <w:ind w:firstLine="600" w:firstLineChars="200"/>
        <w:rPr>
          <w:rFonts w:ascii="仿宋_GB2312" w:eastAsia="仿宋_GB2312"/>
          <w:sz w:val="30"/>
          <w:szCs w:val="30"/>
        </w:rPr>
      </w:pPr>
      <w:r>
        <w:rPr>
          <w:rFonts w:ascii="仿宋_GB2312" w:eastAsia="仿宋_GB2312"/>
          <w:sz w:val="30"/>
          <w:szCs w:val="30"/>
        </w:rPr>
        <w:t>2.</w:t>
      </w:r>
      <w:r>
        <w:rPr>
          <w:rFonts w:hint="eastAsia" w:ascii="仿宋_GB2312" w:eastAsia="仿宋_GB2312"/>
          <w:sz w:val="30"/>
          <w:szCs w:val="30"/>
        </w:rPr>
        <w:t>事业收入：指事业</w:t>
      </w:r>
      <w:r>
        <w:rPr>
          <w:rFonts w:hint="eastAsia" w:ascii="仿宋_GB2312" w:eastAsia="仿宋_GB2312"/>
          <w:sz w:val="30"/>
          <w:szCs w:val="30"/>
          <w:lang w:eastAsia="zh-CN"/>
        </w:rPr>
        <w:t>部门</w:t>
      </w:r>
      <w:r>
        <w:rPr>
          <w:rFonts w:hint="eastAsia" w:ascii="仿宋_GB2312" w:eastAsia="仿宋_GB2312"/>
          <w:sz w:val="30"/>
          <w:szCs w:val="30"/>
        </w:rPr>
        <w:t>开展专业业务活动及辅助活动取得的收入。</w:t>
      </w:r>
    </w:p>
    <w:p>
      <w:pPr>
        <w:pStyle w:val="27"/>
        <w:spacing w:line="560" w:lineRule="exact"/>
        <w:ind w:firstLine="600" w:firstLineChars="200"/>
        <w:rPr>
          <w:rFonts w:ascii="仿宋_GB2312" w:eastAsia="仿宋_GB2312"/>
          <w:sz w:val="30"/>
          <w:szCs w:val="30"/>
        </w:rPr>
      </w:pPr>
      <w:r>
        <w:rPr>
          <w:rFonts w:ascii="仿宋_GB2312" w:eastAsia="仿宋_GB2312"/>
          <w:sz w:val="30"/>
          <w:szCs w:val="30"/>
        </w:rPr>
        <w:t>3.</w:t>
      </w:r>
      <w:r>
        <w:rPr>
          <w:rFonts w:hint="eastAsia" w:ascii="仿宋_GB2312" w:eastAsia="仿宋_GB2312"/>
          <w:sz w:val="30"/>
          <w:szCs w:val="30"/>
        </w:rPr>
        <w:t>经营收入：指事业</w:t>
      </w:r>
      <w:r>
        <w:rPr>
          <w:rFonts w:hint="eastAsia" w:ascii="仿宋_GB2312" w:eastAsia="仿宋_GB2312"/>
          <w:sz w:val="30"/>
          <w:szCs w:val="30"/>
          <w:lang w:eastAsia="zh-CN"/>
        </w:rPr>
        <w:t>部门</w:t>
      </w:r>
      <w:r>
        <w:rPr>
          <w:rFonts w:hint="eastAsia" w:ascii="仿宋_GB2312" w:eastAsia="仿宋_GB2312"/>
          <w:sz w:val="30"/>
          <w:szCs w:val="30"/>
        </w:rPr>
        <w:t>在专业业务活动及其辅助活动之外开展非独立核算经营活动取得的收入。</w:t>
      </w:r>
    </w:p>
    <w:p>
      <w:pPr>
        <w:pStyle w:val="27"/>
        <w:spacing w:line="560" w:lineRule="exact"/>
        <w:ind w:firstLine="600" w:firstLineChars="200"/>
        <w:rPr>
          <w:rFonts w:ascii="仿宋_GB2312" w:eastAsia="仿宋_GB2312"/>
          <w:sz w:val="30"/>
          <w:szCs w:val="30"/>
        </w:rPr>
      </w:pPr>
      <w:r>
        <w:rPr>
          <w:rFonts w:ascii="仿宋_GB2312" w:eastAsia="仿宋_GB2312"/>
          <w:sz w:val="30"/>
          <w:szCs w:val="30"/>
        </w:rPr>
        <w:t>4.</w:t>
      </w:r>
      <w:r>
        <w:rPr>
          <w:rFonts w:hint="eastAsia" w:ascii="仿宋_GB2312" w:eastAsia="仿宋_GB2312"/>
          <w:sz w:val="30"/>
          <w:szCs w:val="30"/>
        </w:rPr>
        <w:t>其他收入：指</w:t>
      </w:r>
      <w:r>
        <w:rPr>
          <w:rFonts w:hint="eastAsia" w:ascii="仿宋_GB2312" w:eastAsia="仿宋_GB2312"/>
          <w:sz w:val="30"/>
          <w:szCs w:val="30"/>
          <w:lang w:eastAsia="zh-CN"/>
        </w:rPr>
        <w:t>部门</w:t>
      </w:r>
      <w:r>
        <w:rPr>
          <w:rFonts w:hint="eastAsia" w:ascii="仿宋_GB2312" w:eastAsia="仿宋_GB2312"/>
          <w:sz w:val="30"/>
          <w:szCs w:val="30"/>
        </w:rPr>
        <w:t>取得的除上述收入以外的各项收入。</w:t>
      </w:r>
    </w:p>
    <w:p>
      <w:pPr>
        <w:pStyle w:val="27"/>
        <w:spacing w:line="560" w:lineRule="exact"/>
        <w:ind w:firstLine="600" w:firstLineChars="200"/>
        <w:rPr>
          <w:rFonts w:ascii="仿宋_GB2312" w:eastAsia="仿宋_GB2312"/>
          <w:sz w:val="30"/>
          <w:szCs w:val="30"/>
        </w:rPr>
      </w:pPr>
      <w:r>
        <w:rPr>
          <w:rFonts w:ascii="仿宋_GB2312" w:eastAsia="仿宋_GB2312"/>
          <w:sz w:val="30"/>
          <w:szCs w:val="30"/>
        </w:rPr>
        <w:t>5.</w:t>
      </w:r>
      <w:r>
        <w:rPr>
          <w:rFonts w:hint="eastAsia" w:ascii="仿宋_GB2312" w:eastAsia="仿宋_GB2312"/>
          <w:sz w:val="30"/>
          <w:szCs w:val="30"/>
        </w:rPr>
        <w:t>用事业基金弥补收支差额：指事业</w:t>
      </w:r>
      <w:r>
        <w:rPr>
          <w:rFonts w:hint="eastAsia" w:ascii="仿宋_GB2312" w:eastAsia="仿宋_GB2312"/>
          <w:sz w:val="30"/>
          <w:szCs w:val="30"/>
          <w:lang w:eastAsia="zh-CN"/>
        </w:rPr>
        <w:t>部门</w:t>
      </w:r>
      <w:r>
        <w:rPr>
          <w:rFonts w:hint="eastAsia" w:ascii="仿宋_GB2312" w:eastAsia="仿宋_GB2312"/>
          <w:sz w:val="30"/>
          <w:szCs w:val="30"/>
        </w:rPr>
        <w:t>在当年的财政拨款收入、事业收入、经营收入、其他收入不足以安排当年支出的情况下，使用以前年度积累的事业基金（事业</w:t>
      </w:r>
      <w:r>
        <w:rPr>
          <w:rFonts w:hint="eastAsia" w:ascii="仿宋_GB2312" w:eastAsia="仿宋_GB2312"/>
          <w:sz w:val="30"/>
          <w:szCs w:val="30"/>
          <w:lang w:eastAsia="zh-CN"/>
        </w:rPr>
        <w:t>部门</w:t>
      </w:r>
      <w:r>
        <w:rPr>
          <w:rFonts w:hint="eastAsia" w:ascii="仿宋_GB2312" w:eastAsia="仿宋_GB2312"/>
          <w:sz w:val="30"/>
          <w:szCs w:val="30"/>
        </w:rPr>
        <w:t>当年收支相抵后按国家规定提取、用于弥补以后年度收支差额的基金）弥补本年度收支缺口的资金。</w:t>
      </w:r>
      <w:r>
        <w:rPr>
          <w:rFonts w:ascii="仿宋_GB2312" w:eastAsia="仿宋_GB2312"/>
          <w:sz w:val="30"/>
          <w:szCs w:val="30"/>
        </w:rPr>
        <w:t xml:space="preserve"> </w:t>
      </w:r>
    </w:p>
    <w:p>
      <w:pPr>
        <w:pStyle w:val="27"/>
        <w:spacing w:line="560" w:lineRule="exact"/>
        <w:ind w:firstLine="600" w:firstLineChars="200"/>
        <w:rPr>
          <w:rFonts w:ascii="仿宋_GB2312" w:eastAsia="仿宋_GB2312"/>
          <w:sz w:val="30"/>
          <w:szCs w:val="30"/>
        </w:rPr>
      </w:pPr>
      <w:r>
        <w:rPr>
          <w:rFonts w:ascii="仿宋_GB2312" w:eastAsia="仿宋_GB2312"/>
          <w:sz w:val="30"/>
          <w:szCs w:val="30"/>
        </w:rPr>
        <w:t>6.</w:t>
      </w:r>
      <w:r>
        <w:rPr>
          <w:rFonts w:hint="eastAsia" w:ascii="仿宋_GB2312" w:eastAsia="仿宋_GB2312"/>
          <w:sz w:val="30"/>
          <w:szCs w:val="30"/>
        </w:rPr>
        <w:t>年初结转和结余：指以前年度尚未完成、结转到本年按有关规定继续使用的资金。</w:t>
      </w:r>
      <w:r>
        <w:rPr>
          <w:rFonts w:ascii="仿宋_GB2312" w:eastAsia="仿宋_GB2312"/>
          <w:sz w:val="30"/>
          <w:szCs w:val="30"/>
        </w:rPr>
        <w:t xml:space="preserve"> </w:t>
      </w:r>
    </w:p>
    <w:p>
      <w:pPr>
        <w:pStyle w:val="27"/>
        <w:spacing w:line="560" w:lineRule="exact"/>
        <w:ind w:firstLine="600" w:firstLineChars="200"/>
        <w:rPr>
          <w:rFonts w:ascii="仿宋_GB2312" w:eastAsia="仿宋_GB2312"/>
          <w:sz w:val="30"/>
          <w:szCs w:val="30"/>
        </w:rPr>
      </w:pPr>
      <w:r>
        <w:rPr>
          <w:rFonts w:ascii="仿宋_GB2312" w:eastAsia="仿宋_GB2312"/>
          <w:sz w:val="30"/>
          <w:szCs w:val="30"/>
        </w:rPr>
        <w:t>7.</w:t>
      </w:r>
      <w:r>
        <w:rPr>
          <w:rFonts w:hint="eastAsia" w:ascii="仿宋_GB2312" w:eastAsia="仿宋_GB2312"/>
          <w:sz w:val="30"/>
          <w:szCs w:val="30"/>
        </w:rPr>
        <w:t>结余分配：指事业</w:t>
      </w:r>
      <w:r>
        <w:rPr>
          <w:rFonts w:hint="eastAsia" w:ascii="仿宋_GB2312" w:eastAsia="仿宋_GB2312"/>
          <w:sz w:val="30"/>
          <w:szCs w:val="30"/>
          <w:lang w:eastAsia="zh-CN"/>
        </w:rPr>
        <w:t>部门</w:t>
      </w:r>
      <w:r>
        <w:rPr>
          <w:rFonts w:hint="eastAsia" w:ascii="仿宋_GB2312" w:eastAsia="仿宋_GB2312"/>
          <w:sz w:val="30"/>
          <w:szCs w:val="30"/>
        </w:rPr>
        <w:t>按照事业</w:t>
      </w:r>
      <w:r>
        <w:rPr>
          <w:rFonts w:hint="eastAsia" w:ascii="仿宋_GB2312" w:eastAsia="仿宋_GB2312"/>
          <w:sz w:val="30"/>
          <w:szCs w:val="30"/>
          <w:lang w:eastAsia="zh-CN"/>
        </w:rPr>
        <w:t>部门</w:t>
      </w:r>
      <w:r>
        <w:rPr>
          <w:rFonts w:hint="eastAsia" w:ascii="仿宋_GB2312" w:eastAsia="仿宋_GB2312"/>
          <w:sz w:val="30"/>
          <w:szCs w:val="30"/>
        </w:rPr>
        <w:t>会计制度的规定从非财政补助结余中分配的事业基金和职工福利基金等。</w:t>
      </w:r>
    </w:p>
    <w:p>
      <w:pPr>
        <w:pStyle w:val="27"/>
        <w:spacing w:line="560" w:lineRule="exact"/>
        <w:ind w:firstLine="640" w:firstLineChars="200"/>
        <w:rPr>
          <w:rFonts w:ascii="仿宋_GB2312" w:eastAsia="仿宋_GB2312"/>
          <w:sz w:val="32"/>
          <w:szCs w:val="32"/>
        </w:rPr>
      </w:pPr>
      <w:r>
        <w:rPr>
          <w:rFonts w:ascii="仿宋_GB2312" w:eastAsia="仿宋_GB2312"/>
          <w:sz w:val="32"/>
          <w:szCs w:val="32"/>
        </w:rPr>
        <w:t>8</w:t>
      </w:r>
      <w:r>
        <w:rPr>
          <w:rFonts w:hint="eastAsia" w:ascii="仿宋_GB2312" w:eastAsia="仿宋_GB2312"/>
          <w:sz w:val="32"/>
          <w:szCs w:val="32"/>
        </w:rPr>
        <w:t>、年末结转和结余：指</w:t>
      </w:r>
      <w:r>
        <w:rPr>
          <w:rFonts w:hint="eastAsia" w:ascii="仿宋_GB2312" w:eastAsia="仿宋_GB2312"/>
          <w:sz w:val="32"/>
          <w:szCs w:val="32"/>
          <w:lang w:eastAsia="zh-CN"/>
        </w:rPr>
        <w:t>部门</w:t>
      </w:r>
      <w:r>
        <w:rPr>
          <w:rFonts w:hint="eastAsia" w:ascii="仿宋_GB2312" w:eastAsia="仿宋_GB2312"/>
          <w:sz w:val="32"/>
          <w:szCs w:val="32"/>
        </w:rPr>
        <w:t>按有关规定结转到下年或以后年度继续使用的资金。</w:t>
      </w:r>
    </w:p>
    <w:p>
      <w:pPr>
        <w:ind w:firstLine="640" w:firstLineChars="200"/>
        <w:rPr>
          <w:rFonts w:ascii="仿宋_GB2312" w:eastAsia="仿宋_GB2312"/>
          <w:color w:val="000000"/>
          <w:sz w:val="32"/>
          <w:szCs w:val="32"/>
        </w:rPr>
      </w:pPr>
      <w:r>
        <w:rPr>
          <w:rFonts w:hint="eastAsia" w:ascii="仿宋_GB2312" w:eastAsia="仿宋_GB2312"/>
          <w:color w:val="000000"/>
          <w:sz w:val="32"/>
          <w:szCs w:val="32"/>
        </w:rPr>
        <w:t>9</w:t>
      </w:r>
      <w:r>
        <w:rPr>
          <w:rFonts w:ascii="仿宋_GB2312" w:eastAsia="仿宋_GB2312"/>
          <w:color w:val="000000"/>
          <w:sz w:val="32"/>
          <w:szCs w:val="32"/>
        </w:rPr>
        <w:t>.</w:t>
      </w:r>
      <w:r>
        <w:rPr>
          <w:rFonts w:hint="eastAsia" w:ascii="仿宋_GB2312" w:eastAsia="仿宋_GB2312"/>
          <w:color w:val="000000"/>
          <w:sz w:val="32"/>
          <w:szCs w:val="32"/>
        </w:rPr>
        <w:t>交通运输行政支出（2140101）：指局机关及二级部门参公</w:t>
      </w:r>
      <w:r>
        <w:rPr>
          <w:rFonts w:hint="eastAsia" w:ascii="仿宋_GB2312" w:eastAsia="仿宋_GB2312"/>
          <w:color w:val="000000"/>
          <w:sz w:val="32"/>
          <w:szCs w:val="32"/>
          <w:lang w:eastAsia="zh-CN"/>
        </w:rPr>
        <w:t>部门</w:t>
      </w:r>
      <w:r>
        <w:rPr>
          <w:rFonts w:hint="eastAsia" w:ascii="仿宋_GB2312" w:eastAsia="仿宋_GB2312"/>
          <w:color w:val="000000"/>
          <w:sz w:val="32"/>
          <w:szCs w:val="32"/>
        </w:rPr>
        <w:t>的基本支出。</w:t>
      </w:r>
    </w:p>
    <w:p>
      <w:pPr>
        <w:ind w:firstLine="640" w:firstLineChars="200"/>
        <w:rPr>
          <w:rFonts w:ascii="仿宋_GB2312" w:eastAsia="仿宋_GB2312"/>
          <w:color w:val="000000"/>
          <w:sz w:val="32"/>
          <w:szCs w:val="32"/>
        </w:rPr>
      </w:pPr>
      <w:r>
        <w:rPr>
          <w:rFonts w:hint="eastAsia" w:ascii="仿宋_GB2312" w:eastAsia="仿宋_GB2312"/>
          <w:color w:val="000000"/>
          <w:sz w:val="32"/>
          <w:szCs w:val="32"/>
        </w:rPr>
        <w:t>10</w:t>
      </w:r>
      <w:r>
        <w:rPr>
          <w:rFonts w:ascii="仿宋_GB2312" w:eastAsia="仿宋_GB2312"/>
          <w:color w:val="000000"/>
          <w:sz w:val="32"/>
          <w:szCs w:val="32"/>
        </w:rPr>
        <w:t>.</w:t>
      </w:r>
      <w:r>
        <w:rPr>
          <w:rFonts w:hint="eastAsia" w:ascii="仿宋_GB2312" w:eastAsia="仿宋_GB2312"/>
          <w:color w:val="000000"/>
          <w:sz w:val="32"/>
          <w:szCs w:val="32"/>
        </w:rPr>
        <w:t xml:space="preserve"> 交通运输一般管理事务（2140102）：指局机关及二级部门参公</w:t>
      </w:r>
      <w:r>
        <w:rPr>
          <w:rFonts w:hint="eastAsia" w:ascii="仿宋_GB2312" w:eastAsia="仿宋_GB2312"/>
          <w:color w:val="000000"/>
          <w:sz w:val="32"/>
          <w:szCs w:val="32"/>
          <w:lang w:eastAsia="zh-CN"/>
        </w:rPr>
        <w:t>部门</w:t>
      </w:r>
      <w:r>
        <w:rPr>
          <w:rFonts w:hint="eastAsia" w:ascii="仿宋_GB2312" w:eastAsia="仿宋_GB2312"/>
          <w:color w:val="000000"/>
          <w:sz w:val="32"/>
          <w:szCs w:val="32"/>
        </w:rPr>
        <w:t>的未单独设置项级科目的其他支出。</w:t>
      </w:r>
    </w:p>
    <w:p>
      <w:pPr>
        <w:ind w:firstLine="640" w:firstLineChars="200"/>
        <w:rPr>
          <w:rFonts w:ascii="仿宋_GB2312" w:eastAsia="仿宋_GB2312"/>
          <w:color w:val="000000"/>
          <w:sz w:val="32"/>
          <w:szCs w:val="32"/>
        </w:rPr>
      </w:pPr>
      <w:r>
        <w:rPr>
          <w:rFonts w:hint="eastAsia" w:ascii="仿宋_GB2312" w:eastAsia="仿宋_GB2312"/>
          <w:color w:val="000000"/>
          <w:sz w:val="32"/>
          <w:szCs w:val="32"/>
        </w:rPr>
        <w:t>11</w:t>
      </w:r>
      <w:r>
        <w:rPr>
          <w:rFonts w:ascii="仿宋_GB2312" w:eastAsia="仿宋_GB2312"/>
          <w:color w:val="000000"/>
          <w:sz w:val="32"/>
          <w:szCs w:val="32"/>
        </w:rPr>
        <w:t>.</w:t>
      </w:r>
      <w:r>
        <w:rPr>
          <w:rFonts w:hint="eastAsia" w:ascii="仿宋_GB2312" w:eastAsia="仿宋_GB2312"/>
          <w:color w:val="000000"/>
          <w:sz w:val="32"/>
          <w:szCs w:val="32"/>
        </w:rPr>
        <w:t xml:space="preserve"> 公路建设（2140104）：指反映新建设公路支出，公路改建支出，大型桥梁建设支出及公路客运站场建设支出。</w:t>
      </w:r>
    </w:p>
    <w:p>
      <w:pPr>
        <w:ind w:firstLine="640" w:firstLineChars="200"/>
        <w:rPr>
          <w:rFonts w:ascii="仿宋_GB2312" w:eastAsia="仿宋_GB2312"/>
          <w:color w:val="000000"/>
          <w:sz w:val="32"/>
          <w:szCs w:val="32"/>
        </w:rPr>
      </w:pPr>
      <w:r>
        <w:rPr>
          <w:rFonts w:hint="eastAsia" w:ascii="仿宋_GB2312" w:eastAsia="仿宋_GB2312"/>
          <w:color w:val="000000"/>
          <w:sz w:val="32"/>
          <w:szCs w:val="32"/>
        </w:rPr>
        <w:t>12</w:t>
      </w:r>
      <w:r>
        <w:rPr>
          <w:rFonts w:ascii="仿宋_GB2312" w:eastAsia="仿宋_GB2312"/>
          <w:color w:val="000000"/>
          <w:sz w:val="32"/>
          <w:szCs w:val="32"/>
        </w:rPr>
        <w:t>.</w:t>
      </w:r>
      <w:r>
        <w:rPr>
          <w:rFonts w:hint="eastAsia" w:ascii="仿宋_GB2312" w:eastAsia="仿宋_GB2312"/>
          <w:color w:val="000000"/>
          <w:sz w:val="32"/>
          <w:szCs w:val="32"/>
        </w:rPr>
        <w:t xml:space="preserve"> 公路养护（2140106）：指反映公路养护支出。</w:t>
      </w:r>
    </w:p>
    <w:p>
      <w:pPr>
        <w:ind w:firstLine="640" w:firstLineChars="200"/>
        <w:rPr>
          <w:rFonts w:ascii="仿宋_GB2312" w:eastAsia="仿宋_GB2312"/>
          <w:color w:val="000000"/>
          <w:sz w:val="32"/>
          <w:szCs w:val="32"/>
        </w:rPr>
      </w:pPr>
      <w:r>
        <w:rPr>
          <w:rFonts w:hint="eastAsia" w:ascii="仿宋_GB2312" w:eastAsia="仿宋_GB2312"/>
          <w:color w:val="000000"/>
          <w:sz w:val="32"/>
          <w:szCs w:val="32"/>
        </w:rPr>
        <w:t>13</w:t>
      </w:r>
      <w:r>
        <w:rPr>
          <w:rFonts w:ascii="仿宋_GB2312" w:eastAsia="仿宋_GB2312"/>
          <w:color w:val="000000"/>
          <w:sz w:val="32"/>
          <w:szCs w:val="32"/>
        </w:rPr>
        <w:t>.</w:t>
      </w:r>
      <w:r>
        <w:rPr>
          <w:rFonts w:hint="eastAsia" w:ascii="仿宋_GB2312" w:eastAsia="仿宋_GB2312"/>
          <w:color w:val="000000"/>
          <w:sz w:val="32"/>
          <w:szCs w:val="32"/>
        </w:rPr>
        <w:t xml:space="preserve"> 公路运输与安全（2140110）：指反映公路运输与安全支出。</w:t>
      </w:r>
    </w:p>
    <w:p>
      <w:pPr>
        <w:ind w:firstLine="640" w:firstLineChars="200"/>
        <w:rPr>
          <w:rFonts w:ascii="仿宋_GB2312" w:eastAsia="仿宋_GB2312"/>
          <w:color w:val="000000"/>
          <w:sz w:val="32"/>
          <w:szCs w:val="32"/>
        </w:rPr>
      </w:pPr>
      <w:r>
        <w:rPr>
          <w:rFonts w:hint="eastAsia" w:ascii="仿宋_GB2312" w:eastAsia="仿宋_GB2312"/>
          <w:color w:val="000000"/>
          <w:sz w:val="32"/>
          <w:szCs w:val="32"/>
        </w:rPr>
        <w:t>14.公路运输管理（2140112）：指反映公路运输管理支出与公路路政管理支出。</w:t>
      </w:r>
    </w:p>
    <w:p>
      <w:pPr>
        <w:ind w:firstLine="640" w:firstLineChars="200"/>
        <w:rPr>
          <w:rFonts w:ascii="仿宋_GB2312" w:eastAsia="仿宋_GB2312"/>
          <w:color w:val="000000"/>
          <w:sz w:val="32"/>
          <w:szCs w:val="32"/>
        </w:rPr>
      </w:pPr>
      <w:r>
        <w:rPr>
          <w:rStyle w:val="18"/>
          <w:rFonts w:hint="eastAsia" w:ascii="仿宋_GB2312" w:hAnsi="仿宋" w:eastAsia="仿宋_GB2312"/>
          <w:b w:val="0"/>
          <w:bCs/>
          <w:color w:val="000000"/>
          <w:sz w:val="32"/>
          <w:szCs w:val="32"/>
        </w:rPr>
        <w:t>15.海事管理（2140131）：</w:t>
      </w:r>
      <w:r>
        <w:rPr>
          <w:rFonts w:hint="eastAsia" w:ascii="仿宋_GB2312" w:eastAsia="仿宋_GB2312"/>
          <w:color w:val="000000"/>
          <w:sz w:val="32"/>
          <w:szCs w:val="32"/>
        </w:rPr>
        <w:t>指反映海管理方面的支出。</w:t>
      </w:r>
    </w:p>
    <w:p>
      <w:pPr>
        <w:ind w:firstLine="640" w:firstLineChars="200"/>
        <w:rPr>
          <w:rFonts w:ascii="仿宋_GB2312" w:eastAsia="仿宋_GB2312"/>
          <w:color w:val="000000"/>
          <w:sz w:val="32"/>
          <w:szCs w:val="32"/>
        </w:rPr>
      </w:pPr>
      <w:r>
        <w:rPr>
          <w:rFonts w:hint="eastAsia" w:ascii="仿宋_GB2312" w:eastAsia="仿宋_GB2312"/>
          <w:color w:val="000000"/>
          <w:sz w:val="32"/>
          <w:szCs w:val="32"/>
        </w:rPr>
        <w:t>16. 其他公路水路运输支出（2140199）：指反映除上述项目以外其他用于公路水路运输方面的支出。</w:t>
      </w:r>
    </w:p>
    <w:p>
      <w:pPr>
        <w:ind w:firstLine="640" w:firstLineChars="200"/>
        <w:rPr>
          <w:rFonts w:ascii="仿宋_GB2312" w:eastAsia="仿宋_GB2312"/>
          <w:color w:val="000000"/>
          <w:sz w:val="32"/>
          <w:szCs w:val="32"/>
        </w:rPr>
      </w:pPr>
      <w:r>
        <w:rPr>
          <w:rFonts w:hint="eastAsia" w:ascii="仿宋_GB2312" w:hAnsi="仿宋" w:eastAsia="仿宋_GB2312"/>
          <w:bCs/>
          <w:color w:val="000000"/>
          <w:sz w:val="32"/>
          <w:szCs w:val="32"/>
        </w:rPr>
        <w:t>17.对城市公交的补贴（2140401）：</w:t>
      </w:r>
      <w:r>
        <w:rPr>
          <w:rFonts w:hint="eastAsia" w:ascii="仿宋_GB2312" w:eastAsia="仿宋_GB2312"/>
          <w:color w:val="000000"/>
          <w:sz w:val="32"/>
          <w:szCs w:val="32"/>
        </w:rPr>
        <w:t>指反映成品油价格改革财政对城市公交的补贴。</w:t>
      </w:r>
    </w:p>
    <w:p>
      <w:pPr>
        <w:ind w:firstLine="640" w:firstLineChars="200"/>
        <w:rPr>
          <w:rFonts w:ascii="仿宋_GB2312" w:eastAsia="仿宋_GB2312"/>
          <w:color w:val="000000"/>
          <w:sz w:val="32"/>
          <w:szCs w:val="32"/>
        </w:rPr>
      </w:pPr>
      <w:r>
        <w:rPr>
          <w:rFonts w:hint="eastAsia" w:ascii="仿宋_GB2312" w:hAnsi="仿宋" w:eastAsia="仿宋_GB2312"/>
          <w:bCs/>
          <w:color w:val="000000"/>
          <w:sz w:val="32"/>
          <w:szCs w:val="32"/>
        </w:rPr>
        <w:t>18.车辆购置税用于公路等基础设施建设支出</w:t>
      </w:r>
      <w:r>
        <w:rPr>
          <w:rStyle w:val="18"/>
          <w:rFonts w:hint="eastAsia" w:ascii="仿宋_GB2312" w:hAnsi="仿宋" w:eastAsia="仿宋_GB2312"/>
          <w:b w:val="0"/>
          <w:bCs/>
          <w:color w:val="000000"/>
          <w:sz w:val="32"/>
          <w:szCs w:val="32"/>
        </w:rPr>
        <w:t>（2140601）：</w:t>
      </w:r>
      <w:r>
        <w:rPr>
          <w:rFonts w:hint="eastAsia" w:ascii="仿宋_GB2312" w:eastAsia="仿宋_GB2312"/>
          <w:color w:val="000000"/>
          <w:sz w:val="32"/>
          <w:szCs w:val="32"/>
        </w:rPr>
        <w:t>指反映车辆购置收入安排用于公路等基础设施建设的支出。</w:t>
      </w:r>
    </w:p>
    <w:p>
      <w:pPr>
        <w:ind w:firstLine="640" w:firstLineChars="200"/>
        <w:rPr>
          <w:rStyle w:val="18"/>
          <w:rFonts w:ascii="仿宋_GB2312" w:hAnsi="仿宋" w:eastAsia="仿宋_GB2312"/>
          <w:bCs/>
          <w:color w:val="000000"/>
          <w:sz w:val="32"/>
          <w:szCs w:val="32"/>
        </w:rPr>
      </w:pPr>
      <w:r>
        <w:rPr>
          <w:rFonts w:hint="eastAsia" w:ascii="仿宋_GB2312" w:hAnsi="仿宋" w:eastAsia="仿宋_GB2312"/>
          <w:color w:val="000000" w:themeColor="text1"/>
          <w:sz w:val="32"/>
          <w:szCs w:val="32"/>
        </w:rPr>
        <w:t>19.农林水社会发展支出</w:t>
      </w:r>
      <w:r>
        <w:rPr>
          <w:rStyle w:val="18"/>
          <w:rFonts w:hint="eastAsia" w:ascii="仿宋_GB2312" w:hAnsi="仿宋" w:eastAsia="仿宋_GB2312"/>
          <w:b w:val="0"/>
          <w:bCs/>
          <w:color w:val="000000"/>
          <w:sz w:val="32"/>
          <w:szCs w:val="32"/>
        </w:rPr>
        <w:t>（2130506）：</w:t>
      </w:r>
      <w:r>
        <w:rPr>
          <w:rFonts w:hint="eastAsia" w:ascii="仿宋_GB2312" w:eastAsia="仿宋_GB2312"/>
          <w:color w:val="000000"/>
          <w:sz w:val="32"/>
          <w:szCs w:val="32"/>
        </w:rPr>
        <w:t>指反映用于农村贫困地区基础设施项目建设支出。</w:t>
      </w:r>
    </w:p>
    <w:p>
      <w:pPr>
        <w:ind w:firstLine="640" w:firstLineChars="200"/>
        <w:rPr>
          <w:rStyle w:val="18"/>
          <w:rFonts w:ascii="仿宋_GB2312" w:hAnsi="仿宋" w:eastAsia="仿宋_GB2312"/>
          <w:bCs/>
          <w:color w:val="000000"/>
          <w:sz w:val="32"/>
          <w:szCs w:val="32"/>
        </w:rPr>
      </w:pPr>
      <w:r>
        <w:rPr>
          <w:rFonts w:hint="eastAsia" w:ascii="仿宋_GB2312" w:hAnsi="仿宋" w:eastAsia="仿宋_GB2312"/>
          <w:color w:val="000000" w:themeColor="text1"/>
          <w:sz w:val="32"/>
          <w:szCs w:val="32"/>
        </w:rPr>
        <w:t>20.医疗卫生支出</w:t>
      </w:r>
      <w:r>
        <w:rPr>
          <w:rStyle w:val="18"/>
          <w:rFonts w:hint="eastAsia" w:ascii="仿宋_GB2312" w:hAnsi="仿宋" w:eastAsia="仿宋_GB2312"/>
          <w:b w:val="0"/>
          <w:bCs/>
          <w:color w:val="000000"/>
          <w:sz w:val="32"/>
          <w:szCs w:val="32"/>
        </w:rPr>
        <w:t>（2101101；2101102）</w:t>
      </w:r>
      <w:r>
        <w:rPr>
          <w:rStyle w:val="18"/>
          <w:rFonts w:hint="eastAsia" w:ascii="仿宋_GB2312" w:hAnsi="仿宋" w:eastAsia="仿宋_GB2312"/>
          <w:bCs/>
          <w:color w:val="000000"/>
          <w:sz w:val="32"/>
          <w:szCs w:val="32"/>
        </w:rPr>
        <w:t>:</w:t>
      </w:r>
      <w:r>
        <w:rPr>
          <w:rFonts w:hint="eastAsia" w:ascii="仿宋_GB2312" w:eastAsia="仿宋_GB2312"/>
          <w:color w:val="000000"/>
          <w:sz w:val="32"/>
          <w:szCs w:val="32"/>
        </w:rPr>
        <w:t xml:space="preserve"> 指反映行政、事业</w:t>
      </w:r>
      <w:r>
        <w:rPr>
          <w:rFonts w:hint="eastAsia" w:ascii="仿宋_GB2312" w:eastAsia="仿宋_GB2312"/>
          <w:color w:val="000000"/>
          <w:sz w:val="32"/>
          <w:szCs w:val="32"/>
          <w:lang w:eastAsia="zh-CN"/>
        </w:rPr>
        <w:t>部门</w:t>
      </w:r>
      <w:r>
        <w:rPr>
          <w:rFonts w:hint="eastAsia" w:ascii="仿宋_GB2312" w:eastAsia="仿宋_GB2312"/>
          <w:color w:val="000000"/>
          <w:sz w:val="32"/>
          <w:szCs w:val="32"/>
        </w:rPr>
        <w:t>安排</w:t>
      </w:r>
      <w:r>
        <w:rPr>
          <w:rFonts w:hint="eastAsia" w:ascii="仿宋_GB2312" w:eastAsia="仿宋_GB2312"/>
          <w:color w:val="000000"/>
          <w:sz w:val="32"/>
          <w:szCs w:val="32"/>
          <w:lang w:eastAsia="zh-CN"/>
        </w:rPr>
        <w:t>部门</w:t>
      </w:r>
      <w:r>
        <w:rPr>
          <w:rFonts w:hint="eastAsia" w:ascii="仿宋_GB2312" w:eastAsia="仿宋_GB2312"/>
          <w:color w:val="000000"/>
          <w:sz w:val="32"/>
          <w:szCs w:val="32"/>
        </w:rPr>
        <w:t>基本医疗保险缴费经费。</w:t>
      </w:r>
    </w:p>
    <w:p>
      <w:pPr>
        <w:ind w:firstLine="640" w:firstLineChars="200"/>
        <w:rPr>
          <w:rFonts w:ascii="仿宋_GB2312" w:eastAsia="仿宋_GB2312"/>
          <w:color w:val="000000"/>
          <w:sz w:val="32"/>
          <w:szCs w:val="32"/>
        </w:rPr>
      </w:pPr>
      <w:r>
        <w:rPr>
          <w:rFonts w:hint="eastAsia" w:ascii="仿宋_GB2312" w:hAnsi="仿宋" w:eastAsia="仿宋_GB2312"/>
          <w:color w:val="000000" w:themeColor="text1"/>
          <w:sz w:val="32"/>
          <w:szCs w:val="32"/>
        </w:rPr>
        <w:t>21.社会保障和就业</w:t>
      </w:r>
      <w:r>
        <w:rPr>
          <w:rStyle w:val="18"/>
          <w:rFonts w:hint="eastAsia" w:ascii="仿宋_GB2312" w:hAnsi="仿宋" w:eastAsia="仿宋_GB2312"/>
          <w:b w:val="0"/>
          <w:bCs/>
          <w:color w:val="000000"/>
          <w:sz w:val="32"/>
          <w:szCs w:val="32"/>
        </w:rPr>
        <w:t>类支出（2080505；2080506）：</w:t>
      </w:r>
      <w:r>
        <w:rPr>
          <w:rFonts w:hint="eastAsia" w:ascii="仿宋_GB2312" w:eastAsia="仿宋_GB2312"/>
          <w:color w:val="000000"/>
          <w:sz w:val="32"/>
          <w:szCs w:val="32"/>
        </w:rPr>
        <w:t>指反映行政、事业</w:t>
      </w:r>
      <w:r>
        <w:rPr>
          <w:rFonts w:hint="eastAsia" w:ascii="仿宋_GB2312" w:eastAsia="仿宋_GB2312"/>
          <w:color w:val="000000"/>
          <w:sz w:val="32"/>
          <w:szCs w:val="32"/>
          <w:lang w:eastAsia="zh-CN"/>
        </w:rPr>
        <w:t>部门</w:t>
      </w:r>
      <w:r>
        <w:rPr>
          <w:rFonts w:hint="eastAsia" w:ascii="仿宋_GB2312" w:eastAsia="仿宋_GB2312"/>
          <w:color w:val="000000"/>
          <w:sz w:val="32"/>
          <w:szCs w:val="32"/>
        </w:rPr>
        <w:t>基本养老保险缴费肢出。</w:t>
      </w:r>
    </w:p>
    <w:p>
      <w:pPr>
        <w:ind w:firstLine="640" w:firstLineChars="200"/>
        <w:rPr>
          <w:rFonts w:ascii="仿宋_GB2312" w:eastAsia="仿宋_GB2312"/>
          <w:color w:val="000000"/>
          <w:sz w:val="32"/>
          <w:szCs w:val="32"/>
        </w:rPr>
      </w:pPr>
      <w:r>
        <w:rPr>
          <w:rFonts w:hint="eastAsia" w:ascii="仿宋_GB2312" w:hAnsi="宋体" w:eastAsia="仿宋_GB2312" w:cs="Arial"/>
          <w:color w:val="000000"/>
          <w:kern w:val="0"/>
          <w:sz w:val="32"/>
          <w:szCs w:val="32"/>
        </w:rPr>
        <w:t>22.灾害防治及应急管理支出</w:t>
      </w:r>
      <w:r>
        <w:rPr>
          <w:rStyle w:val="18"/>
          <w:rFonts w:hint="eastAsia" w:ascii="仿宋_GB2312" w:hAnsi="仿宋" w:eastAsia="仿宋_GB2312"/>
          <w:b w:val="0"/>
          <w:bCs/>
          <w:color w:val="000000"/>
          <w:sz w:val="32"/>
          <w:szCs w:val="32"/>
        </w:rPr>
        <w:t>（2240701）：</w:t>
      </w:r>
      <w:r>
        <w:rPr>
          <w:rFonts w:hint="eastAsia" w:ascii="仿宋_GB2312" w:eastAsia="仿宋_GB2312"/>
          <w:color w:val="000000"/>
          <w:sz w:val="32"/>
          <w:szCs w:val="32"/>
        </w:rPr>
        <w:t>指反映政府预算安排用于自然灾害恢复重建的补助资金支出。</w:t>
      </w:r>
    </w:p>
    <w:p>
      <w:pPr>
        <w:ind w:firstLine="640" w:firstLineChars="200"/>
        <w:rPr>
          <w:rFonts w:ascii="仿宋_GB2312" w:eastAsia="仿宋_GB2312"/>
          <w:color w:val="000000"/>
          <w:sz w:val="32"/>
          <w:szCs w:val="32"/>
        </w:rPr>
      </w:pPr>
      <w:r>
        <w:rPr>
          <w:rFonts w:hint="eastAsia" w:ascii="仿宋_GB2312" w:eastAsia="仿宋_GB2312"/>
          <w:color w:val="000000"/>
          <w:sz w:val="32"/>
          <w:szCs w:val="32"/>
        </w:rPr>
        <w:t>23</w:t>
      </w:r>
      <w:r>
        <w:rPr>
          <w:rFonts w:ascii="仿宋_GB2312" w:eastAsia="仿宋_GB2312"/>
          <w:color w:val="000000"/>
          <w:sz w:val="32"/>
          <w:szCs w:val="32"/>
        </w:rPr>
        <w:t>.</w:t>
      </w:r>
      <w:r>
        <w:rPr>
          <w:rFonts w:hint="eastAsia" w:ascii="仿宋_GB2312" w:eastAsia="仿宋_GB2312"/>
          <w:color w:val="000000"/>
          <w:sz w:val="32"/>
          <w:szCs w:val="32"/>
        </w:rPr>
        <w:t>住房公积金（2210201）：指反映行政事业</w:t>
      </w:r>
      <w:r>
        <w:rPr>
          <w:rFonts w:hint="eastAsia" w:ascii="仿宋_GB2312" w:eastAsia="仿宋_GB2312"/>
          <w:color w:val="000000"/>
          <w:sz w:val="32"/>
          <w:szCs w:val="32"/>
          <w:lang w:eastAsia="zh-CN"/>
        </w:rPr>
        <w:t>部门</w:t>
      </w:r>
      <w:r>
        <w:rPr>
          <w:rFonts w:hint="eastAsia" w:ascii="仿宋_GB2312" w:eastAsia="仿宋_GB2312"/>
          <w:color w:val="000000"/>
          <w:sz w:val="32"/>
          <w:szCs w:val="32"/>
        </w:rPr>
        <w:t>按人力资源和社会保障部、财政部规定的基本工资和津贴补贴以及比例为职工缴纳的住房公积金。</w:t>
      </w:r>
    </w:p>
    <w:p>
      <w:pPr>
        <w:ind w:firstLine="640" w:firstLineChars="200"/>
        <w:rPr>
          <w:rFonts w:ascii="仿宋_GB2312" w:eastAsia="仿宋_GB2312"/>
          <w:color w:val="000000"/>
          <w:sz w:val="32"/>
          <w:szCs w:val="32"/>
        </w:rPr>
      </w:pPr>
      <w:r>
        <w:rPr>
          <w:rFonts w:hint="eastAsia" w:ascii="仿宋_GB2312" w:eastAsia="仿宋_GB2312"/>
          <w:color w:val="000000"/>
          <w:sz w:val="32"/>
          <w:szCs w:val="32"/>
        </w:rPr>
        <w:t>24</w:t>
      </w:r>
      <w:r>
        <w:rPr>
          <w:rFonts w:ascii="仿宋_GB2312" w:eastAsia="仿宋_GB2312"/>
          <w:color w:val="000000"/>
          <w:sz w:val="32"/>
          <w:szCs w:val="32"/>
        </w:rPr>
        <w:t>.</w:t>
      </w:r>
      <w:r>
        <w:rPr>
          <w:rFonts w:hint="eastAsia" w:ascii="仿宋_GB2312" w:eastAsia="仿宋_GB2312"/>
          <w:color w:val="000000"/>
          <w:sz w:val="32"/>
          <w:szCs w:val="32"/>
        </w:rPr>
        <w:t>基本支出：指为保障机构正常运转、完成日常工作任务而发生的人员支出和公用支出。</w:t>
      </w:r>
    </w:p>
    <w:p>
      <w:pPr>
        <w:ind w:firstLine="640" w:firstLineChars="200"/>
        <w:rPr>
          <w:rFonts w:ascii="仿宋_GB2312" w:eastAsia="仿宋_GB2312"/>
          <w:color w:val="000000"/>
          <w:sz w:val="32"/>
          <w:szCs w:val="32"/>
        </w:rPr>
      </w:pPr>
      <w:r>
        <w:rPr>
          <w:rFonts w:hint="eastAsia" w:ascii="仿宋_GB2312" w:eastAsia="仿宋_GB2312"/>
          <w:color w:val="000000"/>
          <w:sz w:val="32"/>
          <w:szCs w:val="32"/>
        </w:rPr>
        <w:t>25</w:t>
      </w:r>
      <w:r>
        <w:rPr>
          <w:rFonts w:ascii="仿宋_GB2312" w:eastAsia="仿宋_GB2312"/>
          <w:color w:val="000000"/>
          <w:sz w:val="32"/>
          <w:szCs w:val="32"/>
        </w:rPr>
        <w:t>.</w:t>
      </w:r>
      <w:r>
        <w:rPr>
          <w:rFonts w:hint="eastAsia" w:ascii="仿宋_GB2312" w:eastAsia="仿宋_GB2312"/>
          <w:color w:val="000000"/>
          <w:sz w:val="32"/>
          <w:szCs w:val="32"/>
        </w:rPr>
        <w:t>项目支出：指在基本支出之外为完成特定行政任务和事业发展目标所发生的支出。</w:t>
      </w:r>
      <w:r>
        <w:rPr>
          <w:rFonts w:ascii="仿宋_GB2312" w:eastAsia="仿宋_GB2312"/>
          <w:color w:val="000000"/>
          <w:sz w:val="32"/>
          <w:szCs w:val="32"/>
        </w:rPr>
        <w:t xml:space="preserve"> </w:t>
      </w:r>
    </w:p>
    <w:p>
      <w:pPr>
        <w:ind w:firstLine="640" w:firstLineChars="200"/>
        <w:rPr>
          <w:rFonts w:ascii="仿宋_GB2312" w:eastAsia="仿宋_GB2312"/>
          <w:color w:val="000000"/>
          <w:sz w:val="32"/>
          <w:szCs w:val="32"/>
        </w:rPr>
      </w:pPr>
      <w:r>
        <w:rPr>
          <w:rFonts w:hint="eastAsia" w:ascii="仿宋_GB2312" w:eastAsia="仿宋_GB2312"/>
          <w:color w:val="000000"/>
          <w:sz w:val="32"/>
          <w:szCs w:val="32"/>
        </w:rPr>
        <w:t>26</w:t>
      </w:r>
      <w:r>
        <w:rPr>
          <w:rFonts w:ascii="仿宋_GB2312" w:eastAsia="仿宋_GB2312"/>
          <w:color w:val="000000"/>
          <w:sz w:val="32"/>
          <w:szCs w:val="32"/>
        </w:rPr>
        <w:t>.</w:t>
      </w:r>
      <w:r>
        <w:rPr>
          <w:rFonts w:hint="eastAsia" w:ascii="仿宋_GB2312" w:eastAsia="仿宋_GB2312"/>
          <w:color w:val="000000"/>
          <w:sz w:val="32"/>
          <w:szCs w:val="32"/>
        </w:rPr>
        <w:t>经营支出：指事业</w:t>
      </w:r>
      <w:r>
        <w:rPr>
          <w:rFonts w:hint="eastAsia" w:ascii="仿宋_GB2312" w:eastAsia="仿宋_GB2312"/>
          <w:color w:val="000000"/>
          <w:sz w:val="32"/>
          <w:szCs w:val="32"/>
          <w:lang w:eastAsia="zh-CN"/>
        </w:rPr>
        <w:t>部门</w:t>
      </w:r>
      <w:r>
        <w:rPr>
          <w:rFonts w:hint="eastAsia" w:ascii="仿宋_GB2312" w:eastAsia="仿宋_GB2312"/>
          <w:color w:val="000000"/>
          <w:sz w:val="32"/>
          <w:szCs w:val="32"/>
        </w:rPr>
        <w:t>在专业业务活动及其辅助活动之外开展非独立核算经营活动发生的支出。</w:t>
      </w:r>
    </w:p>
    <w:p>
      <w:pPr>
        <w:pStyle w:val="27"/>
        <w:spacing w:line="560" w:lineRule="exact"/>
        <w:ind w:firstLine="640" w:firstLineChars="200"/>
        <w:rPr>
          <w:rFonts w:ascii="仿宋_GB2312" w:eastAsia="仿宋_GB2312"/>
          <w:sz w:val="30"/>
          <w:szCs w:val="30"/>
        </w:rPr>
      </w:pPr>
      <w:r>
        <w:rPr>
          <w:rFonts w:hint="eastAsia" w:ascii="仿宋_GB2312" w:eastAsia="仿宋_GB2312"/>
          <w:sz w:val="32"/>
          <w:szCs w:val="32"/>
        </w:rPr>
        <w:t>27</w:t>
      </w:r>
      <w:r>
        <w:rPr>
          <w:rFonts w:ascii="仿宋_GB2312" w:eastAsia="仿宋_GB2312"/>
          <w:sz w:val="32"/>
          <w:szCs w:val="32"/>
        </w:rPr>
        <w:t>.</w:t>
      </w:r>
      <w:r>
        <w:rPr>
          <w:rFonts w:hint="eastAsia" w:ascii="仿宋_GB2312" w:eastAsia="仿宋_GB2312"/>
          <w:sz w:val="32"/>
          <w:szCs w:val="32"/>
        </w:rPr>
        <w:t>“三公”经费：指部门用财政拨</w:t>
      </w:r>
      <w:r>
        <w:rPr>
          <w:rFonts w:hint="eastAsia" w:ascii="仿宋_GB2312" w:eastAsia="仿宋_GB2312"/>
          <w:sz w:val="30"/>
          <w:szCs w:val="30"/>
        </w:rPr>
        <w:t>款安排的因公出国（境）费、公务用车购置及运行费和公务接待费。其中，因公出国（境）费反映</w:t>
      </w:r>
      <w:r>
        <w:rPr>
          <w:rFonts w:hint="eastAsia" w:ascii="仿宋_GB2312" w:eastAsia="仿宋_GB2312"/>
          <w:sz w:val="30"/>
          <w:szCs w:val="30"/>
          <w:lang w:eastAsia="zh-CN"/>
        </w:rPr>
        <w:t>部门</w:t>
      </w:r>
      <w:r>
        <w:rPr>
          <w:rFonts w:hint="eastAsia" w:ascii="仿宋_GB2312" w:eastAsia="仿宋_GB2312"/>
          <w:sz w:val="30"/>
          <w:szCs w:val="30"/>
        </w:rPr>
        <w:t>公务出国（境）的国际旅费、国外城市间交通费、住宿费、伙食费、培训费、公杂费等支出；公务用车购置及运行费反映</w:t>
      </w:r>
      <w:r>
        <w:rPr>
          <w:rFonts w:hint="eastAsia" w:ascii="仿宋_GB2312" w:eastAsia="仿宋_GB2312"/>
          <w:sz w:val="30"/>
          <w:szCs w:val="30"/>
          <w:lang w:eastAsia="zh-CN"/>
        </w:rPr>
        <w:t>部门</w:t>
      </w:r>
      <w:r>
        <w:rPr>
          <w:rFonts w:hint="eastAsia" w:ascii="仿宋_GB2312" w:eastAsia="仿宋_GB2312"/>
          <w:sz w:val="30"/>
          <w:szCs w:val="30"/>
        </w:rPr>
        <w:t>公务用车车辆购置支出（含车辆购置税）及租用费、燃料费、维修费、过路过桥费、保险费等支出；公务接待费反映</w:t>
      </w:r>
      <w:r>
        <w:rPr>
          <w:rFonts w:hint="eastAsia" w:ascii="仿宋_GB2312" w:eastAsia="仿宋_GB2312"/>
          <w:sz w:val="30"/>
          <w:szCs w:val="30"/>
          <w:lang w:eastAsia="zh-CN"/>
        </w:rPr>
        <w:t>部门</w:t>
      </w:r>
      <w:r>
        <w:rPr>
          <w:rFonts w:hint="eastAsia" w:ascii="仿宋_GB2312" w:eastAsia="仿宋_GB2312"/>
          <w:sz w:val="30"/>
          <w:szCs w:val="30"/>
        </w:rPr>
        <w:t>按规定开支的各类公务接待（含外宾接待）支出。</w:t>
      </w:r>
    </w:p>
    <w:p>
      <w:pPr>
        <w:pStyle w:val="27"/>
        <w:spacing w:line="560" w:lineRule="exact"/>
        <w:ind w:firstLine="600" w:firstLineChars="200"/>
        <w:rPr>
          <w:rFonts w:ascii="仿宋_GB2312" w:eastAsia="仿宋_GB2312"/>
          <w:sz w:val="30"/>
          <w:szCs w:val="30"/>
        </w:rPr>
      </w:pPr>
      <w:r>
        <w:rPr>
          <w:rFonts w:hint="eastAsia" w:ascii="仿宋_GB2312" w:eastAsia="仿宋_GB2312"/>
          <w:sz w:val="30"/>
          <w:szCs w:val="30"/>
        </w:rPr>
        <w:t>28</w:t>
      </w:r>
      <w:r>
        <w:rPr>
          <w:rFonts w:ascii="仿宋_GB2312" w:eastAsia="仿宋_GB2312"/>
          <w:sz w:val="30"/>
          <w:szCs w:val="30"/>
        </w:rPr>
        <w:t>.</w:t>
      </w:r>
      <w:r>
        <w:rPr>
          <w:rFonts w:hint="eastAsia" w:ascii="仿宋_GB2312" w:eastAsia="仿宋_GB2312"/>
          <w:sz w:val="30"/>
          <w:szCs w:val="30"/>
        </w:rPr>
        <w:t>机关运行经费：为保障行政</w:t>
      </w:r>
      <w:r>
        <w:rPr>
          <w:rFonts w:hint="eastAsia" w:ascii="仿宋_GB2312" w:eastAsia="仿宋_GB2312"/>
          <w:sz w:val="30"/>
          <w:szCs w:val="30"/>
          <w:lang w:eastAsia="zh-CN"/>
        </w:rPr>
        <w:t>部门</w:t>
      </w:r>
      <w:r>
        <w:rPr>
          <w:rFonts w:hint="eastAsia" w:ascii="仿宋_GB2312" w:eastAsia="仿宋_GB2312"/>
          <w:sz w:val="30"/>
          <w:szCs w:val="30"/>
        </w:rPr>
        <w:t>（含参照公务员法管理的事业</w:t>
      </w:r>
      <w:r>
        <w:rPr>
          <w:rFonts w:hint="eastAsia" w:ascii="仿宋_GB2312" w:eastAsia="仿宋_GB2312"/>
          <w:sz w:val="30"/>
          <w:szCs w:val="30"/>
          <w:lang w:eastAsia="zh-CN"/>
        </w:rPr>
        <w:t>部门</w:t>
      </w:r>
      <w:r>
        <w:rPr>
          <w:rFonts w:hint="eastAsia" w:ascii="仿宋_GB2312" w:eastAsia="仿宋_GB2312"/>
          <w:sz w:val="30"/>
          <w:szCs w:val="30"/>
        </w:rPr>
        <w:t>）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spacing w:line="600" w:lineRule="exact"/>
        <w:jc w:val="center"/>
        <w:outlineLvl w:val="9"/>
        <w:rPr>
          <w:rFonts w:ascii="黑体" w:hAnsi="黑体" w:eastAsia="黑体"/>
          <w:color w:val="000000"/>
          <w:sz w:val="44"/>
          <w:szCs w:val="44"/>
        </w:rPr>
      </w:pPr>
      <w:bookmarkStart w:id="45" w:name="_Toc15396614"/>
      <w:bookmarkStart w:id="46" w:name="_Toc15377226"/>
    </w:p>
    <w:p>
      <w:pPr>
        <w:pStyle w:val="2"/>
        <w:spacing w:before="72"/>
      </w:pPr>
    </w:p>
    <w:p>
      <w:pPr>
        <w:pStyle w:val="2"/>
        <w:spacing w:before="72"/>
      </w:pPr>
    </w:p>
    <w:p>
      <w:pPr>
        <w:pStyle w:val="2"/>
        <w:spacing w:before="72"/>
      </w:pPr>
    </w:p>
    <w:p>
      <w:pPr>
        <w:pStyle w:val="2"/>
        <w:spacing w:before="72"/>
      </w:pPr>
    </w:p>
    <w:p>
      <w:pPr>
        <w:pStyle w:val="2"/>
        <w:spacing w:before="72"/>
      </w:pPr>
    </w:p>
    <w:p>
      <w:pPr>
        <w:pStyle w:val="2"/>
        <w:spacing w:before="72"/>
      </w:pPr>
    </w:p>
    <w:p>
      <w:pPr>
        <w:spacing w:line="600" w:lineRule="exact"/>
        <w:jc w:val="center"/>
        <w:outlineLvl w:val="0"/>
        <w:rPr>
          <w:rStyle w:val="29"/>
          <w:rFonts w:ascii="黑体" w:hAnsi="黑体" w:eastAsia="黑体"/>
          <w:sz w:val="48"/>
          <w:szCs w:val="48"/>
        </w:rPr>
      </w:pPr>
      <w:bookmarkStart w:id="47" w:name="_Toc12583"/>
      <w:r>
        <w:rPr>
          <w:rFonts w:hint="eastAsia" w:ascii="黑体" w:hAnsi="黑体" w:eastAsia="黑体"/>
          <w:color w:val="000000"/>
          <w:sz w:val="48"/>
          <w:szCs w:val="48"/>
        </w:rPr>
        <w:t>第</w:t>
      </w:r>
      <w:r>
        <w:rPr>
          <w:rStyle w:val="29"/>
          <w:rFonts w:hint="eastAsia" w:ascii="黑体" w:hAnsi="黑体" w:eastAsia="黑体"/>
          <w:sz w:val="48"/>
          <w:szCs w:val="48"/>
        </w:rPr>
        <w:t>四部分 附件</w:t>
      </w:r>
      <w:bookmarkEnd w:id="47"/>
    </w:p>
    <w:p>
      <w:pPr>
        <w:widowControl/>
        <w:adjustRightInd w:val="0"/>
        <w:snapToGrid w:val="0"/>
        <w:spacing w:line="576" w:lineRule="exact"/>
        <w:contextualSpacing/>
        <w:jc w:val="left"/>
        <w:rPr>
          <w:rFonts w:ascii="方正小标宋简体" w:hAnsi="方正小标宋简体" w:eastAsia="方正小标宋简体" w:cs="方正小标宋简体"/>
          <w:b/>
          <w:bCs/>
          <w:sz w:val="30"/>
          <w:szCs w:val="30"/>
          <w:shd w:val="clear" w:color="auto" w:fill="FFFFFF"/>
        </w:rPr>
      </w:pPr>
      <w:r>
        <w:rPr>
          <w:rFonts w:hint="eastAsia" w:ascii="方正小标宋简体" w:hAnsi="方正小标宋简体" w:eastAsia="方正小标宋简体" w:cs="方正小标宋简体"/>
          <w:b/>
          <w:bCs/>
          <w:sz w:val="30"/>
          <w:szCs w:val="30"/>
          <w:shd w:val="clear" w:color="auto" w:fill="FFFFFF"/>
        </w:rPr>
        <w:t>附件1</w:t>
      </w:r>
    </w:p>
    <w:p>
      <w:pPr>
        <w:widowControl/>
        <w:adjustRightInd w:val="0"/>
        <w:snapToGrid w:val="0"/>
        <w:spacing w:line="576" w:lineRule="exact"/>
        <w:contextualSpacing/>
        <w:jc w:val="center"/>
        <w:rPr>
          <w:rFonts w:ascii="方正小标宋简体" w:hAnsi="方正小标宋简体" w:eastAsia="方正小标宋简体" w:cs="方正小标宋简体"/>
          <w:bCs/>
          <w:sz w:val="44"/>
          <w:szCs w:val="44"/>
          <w:shd w:val="clear" w:color="auto" w:fill="FFFFFF"/>
        </w:rPr>
      </w:pPr>
      <w:r>
        <w:rPr>
          <w:rFonts w:hint="eastAsia" w:ascii="方正小标宋简体" w:hAnsi="方正小标宋简体" w:eastAsia="方正小标宋简体" w:cs="方正小标宋简体"/>
          <w:bCs/>
          <w:sz w:val="44"/>
          <w:szCs w:val="44"/>
          <w:shd w:val="clear" w:color="auto" w:fill="FFFFFF"/>
        </w:rPr>
        <w:t>2022年部门整体支出绩效自评报告</w:t>
      </w:r>
    </w:p>
    <w:p>
      <w:pPr>
        <w:widowControl/>
        <w:autoSpaceDE w:val="0"/>
        <w:adjustRightInd w:val="0"/>
        <w:snapToGrid w:val="0"/>
        <w:spacing w:line="576" w:lineRule="exact"/>
        <w:ind w:firstLine="640" w:firstLineChars="200"/>
        <w:contextualSpacing/>
        <w:rPr>
          <w:rFonts w:ascii="黑体" w:hAnsi="黑体" w:eastAsia="黑体"/>
          <w:color w:val="000000"/>
          <w:kern w:val="0"/>
          <w:sz w:val="32"/>
          <w:szCs w:val="32"/>
          <w:shd w:val="clear" w:color="auto" w:fill="FFFFFF"/>
        </w:rPr>
      </w:pPr>
      <w:r>
        <w:rPr>
          <w:rFonts w:hint="eastAsia" w:ascii="黑体" w:hAnsi="黑体" w:eastAsia="黑体"/>
          <w:color w:val="000000"/>
          <w:kern w:val="0"/>
          <w:sz w:val="32"/>
          <w:szCs w:val="32"/>
          <w:shd w:val="clear" w:color="auto" w:fill="FFFFFF"/>
        </w:rPr>
        <w:t>一、部门（</w:t>
      </w:r>
      <w:r>
        <w:rPr>
          <w:rFonts w:hint="eastAsia" w:ascii="黑体" w:hAnsi="黑体" w:eastAsia="黑体"/>
          <w:color w:val="000000"/>
          <w:kern w:val="0"/>
          <w:sz w:val="32"/>
          <w:szCs w:val="32"/>
          <w:shd w:val="clear" w:color="auto" w:fill="FFFFFF"/>
          <w:lang w:eastAsia="zh-CN"/>
        </w:rPr>
        <w:t>部门</w:t>
      </w:r>
      <w:r>
        <w:rPr>
          <w:rFonts w:hint="eastAsia" w:ascii="黑体" w:hAnsi="黑体" w:eastAsia="黑体"/>
          <w:color w:val="000000"/>
          <w:kern w:val="0"/>
          <w:sz w:val="32"/>
          <w:szCs w:val="32"/>
          <w:shd w:val="clear" w:color="auto" w:fill="FFFFFF"/>
        </w:rPr>
        <w:t>）概况</w:t>
      </w:r>
    </w:p>
    <w:p>
      <w:pPr>
        <w:widowControl/>
        <w:autoSpaceDE w:val="0"/>
        <w:adjustRightInd w:val="0"/>
        <w:snapToGrid w:val="0"/>
        <w:spacing w:line="576" w:lineRule="exact"/>
        <w:ind w:firstLine="640" w:firstLineChars="200"/>
        <w:contextualSpacing/>
        <w:rPr>
          <w:rFonts w:ascii="楷体_GB2312" w:eastAsia="楷体_GB2312"/>
          <w:color w:val="000000"/>
          <w:kern w:val="0"/>
          <w:sz w:val="32"/>
          <w:szCs w:val="32"/>
          <w:shd w:val="clear" w:color="auto" w:fill="FFFFFF"/>
        </w:rPr>
      </w:pPr>
      <w:r>
        <w:rPr>
          <w:rFonts w:hint="eastAsia" w:ascii="楷体_GB2312" w:eastAsia="楷体_GB2312"/>
          <w:color w:val="000000"/>
          <w:kern w:val="0"/>
          <w:sz w:val="32"/>
          <w:szCs w:val="32"/>
          <w:shd w:val="clear" w:color="auto" w:fill="FFFFFF"/>
        </w:rPr>
        <w:t>（一）机构组成。</w:t>
      </w:r>
    </w:p>
    <w:p>
      <w:pPr>
        <w:adjustRightInd w:val="0"/>
        <w:snapToGrid w:val="0"/>
        <w:spacing w:line="576" w:lineRule="exact"/>
        <w:ind w:firstLine="640" w:firstLineChars="200"/>
        <w:rPr>
          <w:rFonts w:ascii="仿宋_GB2312" w:hAnsi="仿宋_GB2312" w:eastAsia="仿宋_GB2312" w:cs="仿宋_GB2312"/>
          <w:color w:val="000000"/>
          <w:kern w:val="0"/>
          <w:sz w:val="32"/>
          <w:szCs w:val="32"/>
          <w:shd w:val="clear" w:color="auto" w:fill="FFFFFF"/>
        </w:rPr>
      </w:pPr>
      <w:r>
        <w:rPr>
          <w:rFonts w:hint="eastAsia" w:ascii="仿宋_GB2312" w:hAnsi="仿宋_GB2312" w:eastAsia="仿宋_GB2312" w:cs="仿宋_GB2312"/>
          <w:sz w:val="32"/>
          <w:szCs w:val="32"/>
        </w:rPr>
        <w:t>广元市朝天区交通运输局属财政一级预算</w:t>
      </w:r>
      <w:r>
        <w:rPr>
          <w:rFonts w:hint="eastAsia" w:ascii="仿宋_GB2312" w:hAnsi="仿宋_GB2312" w:eastAsia="仿宋_GB2312" w:cs="仿宋_GB2312"/>
          <w:sz w:val="32"/>
          <w:szCs w:val="32"/>
          <w:lang w:eastAsia="zh-CN"/>
        </w:rPr>
        <w:t>部门</w:t>
      </w:r>
      <w:r>
        <w:rPr>
          <w:rFonts w:hint="eastAsia" w:ascii="仿宋_GB2312" w:hAnsi="仿宋_GB2312" w:eastAsia="仿宋_GB2312" w:cs="仿宋_GB2312"/>
          <w:sz w:val="32"/>
          <w:szCs w:val="32"/>
        </w:rPr>
        <w:t>，下属二级预算</w:t>
      </w:r>
      <w:r>
        <w:rPr>
          <w:rFonts w:hint="eastAsia" w:ascii="仿宋_GB2312" w:hAnsi="仿宋_GB2312" w:eastAsia="仿宋_GB2312" w:cs="仿宋_GB2312"/>
          <w:sz w:val="32"/>
          <w:szCs w:val="32"/>
          <w:lang w:eastAsia="zh-CN"/>
        </w:rPr>
        <w:t>部门</w:t>
      </w:r>
      <w:r>
        <w:rPr>
          <w:rFonts w:hint="eastAsia" w:ascii="仿宋_GB2312" w:hAnsi="仿宋_GB2312" w:eastAsia="仿宋_GB2312" w:cs="仿宋_GB2312"/>
          <w:sz w:val="32"/>
          <w:szCs w:val="32"/>
        </w:rPr>
        <w:t>三个，其中一个事业</w:t>
      </w:r>
      <w:r>
        <w:rPr>
          <w:rFonts w:hint="eastAsia" w:ascii="仿宋_GB2312" w:hAnsi="仿宋_GB2312" w:eastAsia="仿宋_GB2312" w:cs="仿宋_GB2312"/>
          <w:sz w:val="32"/>
          <w:szCs w:val="32"/>
          <w:lang w:eastAsia="zh-CN"/>
        </w:rPr>
        <w:t>部门</w:t>
      </w:r>
      <w:r>
        <w:rPr>
          <w:rFonts w:hint="eastAsia" w:ascii="仿宋_GB2312" w:hAnsi="仿宋_GB2312" w:eastAsia="仿宋_GB2312" w:cs="仿宋_GB2312"/>
          <w:sz w:val="32"/>
          <w:szCs w:val="32"/>
        </w:rPr>
        <w:t>：广元市朝天区公路养护段，两个参照公务员法管理的事业</w:t>
      </w:r>
      <w:r>
        <w:rPr>
          <w:rFonts w:hint="eastAsia" w:ascii="仿宋_GB2312" w:hAnsi="仿宋_GB2312" w:eastAsia="仿宋_GB2312" w:cs="仿宋_GB2312"/>
          <w:sz w:val="32"/>
          <w:szCs w:val="32"/>
          <w:lang w:eastAsia="zh-CN"/>
        </w:rPr>
        <w:t>部门</w:t>
      </w:r>
      <w:r>
        <w:rPr>
          <w:rFonts w:hint="eastAsia" w:ascii="仿宋_GB2312" w:hAnsi="仿宋_GB2312" w:eastAsia="仿宋_GB2312" w:cs="仿宋_GB2312"/>
          <w:sz w:val="32"/>
          <w:szCs w:val="32"/>
        </w:rPr>
        <w:t>：广元市朝天区交通运输综合服务中心和广元市朝天区交通运输综合行政执法大队。</w:t>
      </w:r>
    </w:p>
    <w:p>
      <w:pPr>
        <w:widowControl/>
        <w:numPr>
          <w:ilvl w:val="0"/>
          <w:numId w:val="4"/>
        </w:numPr>
        <w:autoSpaceDE w:val="0"/>
        <w:adjustRightInd w:val="0"/>
        <w:snapToGrid w:val="0"/>
        <w:spacing w:line="576" w:lineRule="exact"/>
        <w:ind w:firstLine="640" w:firstLineChars="200"/>
        <w:contextualSpacing/>
        <w:rPr>
          <w:rFonts w:ascii="楷体_GB2312" w:eastAsia="楷体_GB2312"/>
          <w:color w:val="000000"/>
          <w:kern w:val="0"/>
          <w:sz w:val="32"/>
          <w:szCs w:val="32"/>
          <w:shd w:val="clear" w:color="auto" w:fill="FFFFFF"/>
        </w:rPr>
      </w:pPr>
      <w:r>
        <w:rPr>
          <w:rFonts w:hint="eastAsia" w:ascii="楷体_GB2312" w:eastAsia="楷体_GB2312"/>
          <w:color w:val="000000"/>
          <w:kern w:val="0"/>
          <w:sz w:val="32"/>
          <w:szCs w:val="32"/>
          <w:shd w:val="clear" w:color="auto" w:fill="FFFFFF"/>
        </w:rPr>
        <w:t>机构职能。</w:t>
      </w:r>
    </w:p>
    <w:p>
      <w:pPr>
        <w:adjustRightInd w:val="0"/>
        <w:snapToGrid w:val="0"/>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1.贯彻执行国家有关交通运输行业的方针、政策和法律、法规。组织拟订并监督实施公路、水路等行业规划、政策和标准，会同有关部门组织编制综合运输体系规划，参与拟订物流业发展战略和规划。</w:t>
      </w:r>
    </w:p>
    <w:p>
      <w:pPr>
        <w:adjustRightInd w:val="0"/>
        <w:snapToGrid w:val="0"/>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2.负责本系统、本部门依法行政工作，落实行政执法责任制。指导公路、水路行业有关体制改革工作。</w:t>
      </w:r>
    </w:p>
    <w:p>
      <w:pPr>
        <w:adjustRightInd w:val="0"/>
        <w:snapToGrid w:val="0"/>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3.承担道路、水路交通运输市场监管责任，组织制订道路、水路运输有关政策并监督实施。指导城乡客运管理工作，指导出租汽车行业管理工作，会同有关部门制定运输价格。 </w:t>
      </w:r>
    </w:p>
    <w:p>
      <w:pPr>
        <w:adjustRightInd w:val="0"/>
        <w:snapToGrid w:val="0"/>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4.承担水上交通安全监管责任。负责水上交通管制、运输船舶及相关水上设施检验、登记和防止污染、救助打捞、通讯导航、危险品运输的监督管理工作，负责船员管理相关工作；指导水上交通安全事故、船舶及相关水上设施污染事故的应急处置，依法组织或参与事故调查处理工作。</w:t>
      </w:r>
    </w:p>
    <w:p>
      <w:pPr>
        <w:adjustRightInd w:val="0"/>
        <w:snapToGrid w:val="0"/>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5.负责提出公路、水路固定资产投资规模和方向、区财政性资金安排意见，按照规定权限审批、核准国家、省、市、区规划内和年度计划规模内固定资产投资项目；会同相关部门拟订公路、水路有关规费政策并监督实施，提出有关财政、土地、价格等政策建议；指导交通运输行业审计工作。</w:t>
      </w:r>
    </w:p>
    <w:p>
      <w:pPr>
        <w:adjustRightInd w:val="0"/>
        <w:snapToGrid w:val="0"/>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6.承担公路、水路建设市场监管责任。拟订公路、水路工程建设相关政策、制度、技术标准并监督实施，组织实施公路、水路有关重点工程建设和工程质量、安全生产监督管理工作；负责对交通行业和产业项目招投标活动的监督执法；指导交通运输基础设施管理和维护，承担有关重要设施的管理和维护；按规定负责港口规划和港口岸线使用管理工作；负责公路、桥梁、隧道收取通行费及站卡设置的协调和归口管理。指导交通运输行业特许经营管理，会同有关部门组织实施交通运输行业职业资格管理工作。</w:t>
      </w:r>
    </w:p>
    <w:p>
      <w:pPr>
        <w:adjustRightInd w:val="0"/>
        <w:snapToGrid w:val="0"/>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7.指导公路、水路行业安全生产和应急管理工作。按规定组织协调国家及省市重点物资和紧急客货运输，负责重点干线路网运行监测和协调；组织协调地方交通战备工作，承担国防动员有关工作。</w:t>
      </w:r>
    </w:p>
    <w:p>
      <w:pPr>
        <w:adjustRightInd w:val="0"/>
        <w:snapToGrid w:val="0"/>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8.贯彻实施交通运输科技政策，组织重大科技开发；指导交通运输信息化建设，监测分析运行情况，开展相关统计工作，发布有关信息。指导公路、水路行业环境保护和节能减排工作。</w:t>
      </w:r>
    </w:p>
    <w:p>
      <w:pPr>
        <w:adjustRightInd w:val="0"/>
        <w:snapToGrid w:val="0"/>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9.负责公路、水路有关涉外工作，开展对外经济技术交流与合作，指导全区交通运输行业招商引资和利用外资工作。</w:t>
      </w:r>
    </w:p>
    <w:p>
      <w:pPr>
        <w:adjustRightInd w:val="0"/>
        <w:snapToGrid w:val="0"/>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10.承担区政府公布的有关行政审批事项。</w:t>
      </w:r>
    </w:p>
    <w:p>
      <w:pPr>
        <w:adjustRightInd w:val="0"/>
        <w:snapToGrid w:val="0"/>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11.承办区政府交办的其他事项。</w:t>
      </w:r>
    </w:p>
    <w:p>
      <w:pPr>
        <w:widowControl/>
        <w:numPr>
          <w:ilvl w:val="0"/>
          <w:numId w:val="4"/>
        </w:numPr>
        <w:autoSpaceDE w:val="0"/>
        <w:adjustRightInd w:val="0"/>
        <w:snapToGrid w:val="0"/>
        <w:spacing w:line="576" w:lineRule="exact"/>
        <w:ind w:firstLine="640" w:firstLineChars="200"/>
        <w:contextualSpacing/>
        <w:rPr>
          <w:rFonts w:ascii="楷体_GB2312" w:eastAsia="楷体_GB2312"/>
          <w:color w:val="000000"/>
          <w:kern w:val="0"/>
          <w:sz w:val="32"/>
          <w:szCs w:val="32"/>
          <w:shd w:val="clear" w:color="auto" w:fill="FFFFFF"/>
        </w:rPr>
      </w:pPr>
      <w:r>
        <w:rPr>
          <w:rFonts w:hint="eastAsia" w:ascii="楷体_GB2312" w:eastAsia="楷体_GB2312"/>
          <w:color w:val="000000"/>
          <w:kern w:val="0"/>
          <w:sz w:val="32"/>
          <w:szCs w:val="32"/>
          <w:shd w:val="clear" w:color="auto" w:fill="FFFFFF"/>
        </w:rPr>
        <w:t>人员概况。</w:t>
      </w:r>
    </w:p>
    <w:p>
      <w:pPr>
        <w:adjustRightInd w:val="0"/>
        <w:snapToGrid w:val="0"/>
        <w:spacing w:line="576" w:lineRule="exact"/>
        <w:ind w:firstLine="640" w:firstLineChars="200"/>
        <w:rPr>
          <w:rFonts w:ascii="楷体_GB2312" w:eastAsia="楷体_GB2312"/>
          <w:kern w:val="0"/>
          <w:sz w:val="32"/>
          <w:szCs w:val="32"/>
          <w:shd w:val="clear" w:color="auto" w:fill="FFFFFF"/>
        </w:rPr>
      </w:pPr>
      <w:r>
        <w:rPr>
          <w:rFonts w:hint="eastAsia" w:ascii="仿宋_GB2312" w:hAnsi="仿宋_GB2312" w:eastAsia="仿宋_GB2312" w:cs="仿宋_GB2312"/>
          <w:sz w:val="32"/>
          <w:szCs w:val="32"/>
        </w:rPr>
        <w:t>广元市朝天区交通运输局总编制113名，其中行政编制13 名，行政执法编制26名，事业编制67名，工勤编制7人，自收自支编制0名。在职人员总数134人，其中行政人员13人，行政执法人员26人，事业人员67人，工勤人员7人，财政定补人员21人；退休人员13人。</w:t>
      </w:r>
    </w:p>
    <w:p>
      <w:pPr>
        <w:widowControl/>
        <w:autoSpaceDE w:val="0"/>
        <w:adjustRightInd w:val="0"/>
        <w:snapToGrid w:val="0"/>
        <w:spacing w:line="576" w:lineRule="exact"/>
        <w:ind w:firstLine="640" w:firstLineChars="200"/>
        <w:contextualSpacing/>
        <w:rPr>
          <w:rFonts w:ascii="黑体" w:hAnsi="黑体" w:eastAsia="黑体"/>
          <w:color w:val="000000"/>
          <w:kern w:val="0"/>
          <w:sz w:val="32"/>
          <w:szCs w:val="32"/>
          <w:shd w:val="clear" w:color="auto" w:fill="FFFFFF"/>
        </w:rPr>
      </w:pPr>
      <w:r>
        <w:rPr>
          <w:rFonts w:hint="eastAsia" w:ascii="黑体" w:hAnsi="黑体" w:eastAsia="黑体"/>
          <w:color w:val="000000"/>
          <w:kern w:val="0"/>
          <w:sz w:val="32"/>
          <w:szCs w:val="32"/>
          <w:shd w:val="clear" w:color="auto" w:fill="FFFFFF"/>
        </w:rPr>
        <w:t>二、部门财政资金收支情况</w:t>
      </w:r>
    </w:p>
    <w:p>
      <w:pPr>
        <w:widowControl/>
        <w:autoSpaceDE w:val="0"/>
        <w:adjustRightInd w:val="0"/>
        <w:snapToGrid w:val="0"/>
        <w:spacing w:line="576" w:lineRule="exact"/>
        <w:ind w:firstLine="640" w:firstLineChars="200"/>
        <w:contextualSpacing/>
        <w:rPr>
          <w:rFonts w:ascii="楷体_GB2312" w:eastAsia="楷体_GB2312"/>
          <w:color w:val="000000"/>
          <w:kern w:val="0"/>
          <w:sz w:val="32"/>
          <w:szCs w:val="32"/>
          <w:shd w:val="clear" w:color="auto" w:fill="FFFFFF"/>
        </w:rPr>
      </w:pPr>
      <w:r>
        <w:rPr>
          <w:rFonts w:hint="eastAsia" w:ascii="楷体_GB2312" w:eastAsia="楷体_GB2312"/>
          <w:color w:val="000000"/>
          <w:kern w:val="0"/>
          <w:sz w:val="32"/>
          <w:szCs w:val="32"/>
          <w:shd w:val="clear" w:color="auto" w:fill="FFFFFF"/>
        </w:rPr>
        <w:t>（一）部门财政资金收入情况。</w:t>
      </w:r>
    </w:p>
    <w:p>
      <w:pPr>
        <w:adjustRightInd w:val="0"/>
        <w:snapToGrid w:val="0"/>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广元市朝天区交通运输局2022年部门预算收入总数1047.85万元。</w:t>
      </w:r>
    </w:p>
    <w:p>
      <w:pPr>
        <w:widowControl/>
        <w:numPr>
          <w:ilvl w:val="0"/>
          <w:numId w:val="5"/>
        </w:numPr>
        <w:autoSpaceDE w:val="0"/>
        <w:adjustRightInd w:val="0"/>
        <w:snapToGrid w:val="0"/>
        <w:spacing w:line="576" w:lineRule="exact"/>
        <w:ind w:firstLine="640" w:firstLineChars="200"/>
        <w:contextualSpacing/>
        <w:rPr>
          <w:rFonts w:ascii="楷体_GB2312" w:eastAsia="楷体_GB2312"/>
          <w:color w:val="000000"/>
          <w:kern w:val="0"/>
          <w:sz w:val="32"/>
          <w:szCs w:val="32"/>
          <w:shd w:val="clear" w:color="auto" w:fill="FFFFFF"/>
        </w:rPr>
      </w:pPr>
      <w:r>
        <w:rPr>
          <w:rFonts w:hint="eastAsia" w:ascii="楷体_GB2312" w:eastAsia="楷体_GB2312"/>
          <w:color w:val="000000"/>
          <w:kern w:val="0"/>
          <w:sz w:val="32"/>
          <w:szCs w:val="32"/>
          <w:shd w:val="clear" w:color="auto" w:fill="FFFFFF"/>
        </w:rPr>
        <w:t>部门财政资金支出情况。</w:t>
      </w:r>
    </w:p>
    <w:p>
      <w:pPr>
        <w:adjustRightInd w:val="0"/>
        <w:snapToGrid w:val="0"/>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广元市朝天区交通运输局2022年部门财政资金支出1047.85万元。其中机关事业</w:t>
      </w:r>
      <w:r>
        <w:rPr>
          <w:rFonts w:hint="eastAsia" w:ascii="仿宋_GB2312" w:hAnsi="仿宋_GB2312" w:eastAsia="仿宋_GB2312" w:cs="仿宋_GB2312"/>
          <w:sz w:val="32"/>
          <w:szCs w:val="32"/>
          <w:lang w:eastAsia="zh-CN"/>
        </w:rPr>
        <w:t>部门</w:t>
      </w:r>
      <w:r>
        <w:rPr>
          <w:rFonts w:hint="eastAsia" w:ascii="仿宋_GB2312" w:hAnsi="仿宋_GB2312" w:eastAsia="仿宋_GB2312" w:cs="仿宋_GB2312"/>
          <w:sz w:val="32"/>
          <w:szCs w:val="32"/>
        </w:rPr>
        <w:t>基本养老保险缴费支出65.09万元，财政对事业保险基金的补助1.174万元，财政对工伤保险基金的补助2.1643万元，行政</w:t>
      </w:r>
      <w:r>
        <w:rPr>
          <w:rFonts w:hint="eastAsia" w:ascii="仿宋_GB2312" w:hAnsi="仿宋_GB2312" w:eastAsia="仿宋_GB2312" w:cs="仿宋_GB2312"/>
          <w:sz w:val="32"/>
          <w:szCs w:val="32"/>
          <w:lang w:eastAsia="zh-CN"/>
        </w:rPr>
        <w:t>部门</w:t>
      </w:r>
      <w:r>
        <w:rPr>
          <w:rFonts w:hint="eastAsia" w:ascii="仿宋_GB2312" w:hAnsi="仿宋_GB2312" w:eastAsia="仿宋_GB2312" w:cs="仿宋_GB2312"/>
          <w:sz w:val="32"/>
          <w:szCs w:val="32"/>
        </w:rPr>
        <w:t>医疗保险35.3332万元，行政运行476.1842万元，一般行政管理实务117.5168万元，公路运输管理85万元，海事管理29.5万元，住房公积金51.9428万元。</w:t>
      </w:r>
    </w:p>
    <w:p>
      <w:pPr>
        <w:widowControl/>
        <w:autoSpaceDE w:val="0"/>
        <w:adjustRightInd w:val="0"/>
        <w:snapToGrid w:val="0"/>
        <w:spacing w:line="576" w:lineRule="exact"/>
        <w:ind w:firstLine="640" w:firstLineChars="200"/>
        <w:contextualSpacing/>
        <w:rPr>
          <w:rFonts w:ascii="黑体" w:hAnsi="黑体" w:eastAsia="黑体"/>
          <w:color w:val="000000"/>
          <w:kern w:val="0"/>
          <w:sz w:val="32"/>
          <w:szCs w:val="32"/>
          <w:shd w:val="clear" w:color="auto" w:fill="FFFFFF"/>
        </w:rPr>
      </w:pPr>
      <w:r>
        <w:rPr>
          <w:rFonts w:hint="eastAsia" w:ascii="黑体" w:hAnsi="黑体" w:eastAsia="黑体"/>
          <w:color w:val="000000"/>
          <w:kern w:val="0"/>
          <w:sz w:val="32"/>
          <w:szCs w:val="32"/>
          <w:shd w:val="clear" w:color="auto" w:fill="FFFFFF"/>
        </w:rPr>
        <w:t>三、部门整体预算绩效管理情况</w:t>
      </w:r>
    </w:p>
    <w:p>
      <w:pPr>
        <w:widowControl/>
        <w:autoSpaceDE w:val="0"/>
        <w:adjustRightInd w:val="0"/>
        <w:snapToGrid w:val="0"/>
        <w:spacing w:line="576" w:lineRule="exact"/>
        <w:ind w:firstLine="640" w:firstLineChars="200"/>
        <w:contextualSpacing/>
        <w:rPr>
          <w:rFonts w:ascii="楷体_GB2312" w:eastAsia="楷体_GB2312"/>
          <w:kern w:val="0"/>
          <w:sz w:val="32"/>
          <w:szCs w:val="32"/>
          <w:shd w:val="clear" w:color="auto" w:fill="FFFFFF"/>
        </w:rPr>
      </w:pPr>
      <w:r>
        <w:rPr>
          <w:rFonts w:hint="eastAsia" w:ascii="楷体_GB2312" w:eastAsia="楷体_GB2312"/>
          <w:kern w:val="0"/>
          <w:sz w:val="32"/>
          <w:szCs w:val="32"/>
          <w:shd w:val="clear" w:color="auto" w:fill="FFFFFF"/>
        </w:rPr>
        <w:t>（一）部门预算项目绩效管理。</w:t>
      </w:r>
    </w:p>
    <w:p>
      <w:pPr>
        <w:widowControl/>
        <w:autoSpaceDE w:val="0"/>
        <w:adjustRightInd w:val="0"/>
        <w:snapToGrid w:val="0"/>
        <w:spacing w:line="576" w:lineRule="exact"/>
        <w:ind w:firstLine="640" w:firstLineChars="200"/>
        <w:contextualSpacing/>
        <w:rPr>
          <w:rFonts w:ascii="仿宋_GB2312" w:eastAsia="仿宋_GB2312"/>
          <w:kern w:val="0"/>
          <w:sz w:val="32"/>
          <w:szCs w:val="32"/>
        </w:rPr>
      </w:pPr>
      <w:r>
        <w:rPr>
          <w:rFonts w:hint="eastAsia" w:ascii="仿宋_GB2312" w:hAnsi="仿宋" w:eastAsia="仿宋_GB2312"/>
          <w:sz w:val="32"/>
          <w:szCs w:val="32"/>
        </w:rPr>
        <w:t>2022年是全面实施“十四五”规划的开局之年，也是加快建设交通强国，实施乡村振兴战略的重要之年，责任重大，使命光荣，任重道远，我局将深入贯彻落实十九届五中全会精神，围绕区委、区政府部署，严格落实好疫情防控措施，抓好交通项目建设，提升交通行业监管，保障群众出行安全，努力实现全年目标任务，为建设更高水平的生态文明繁荣和谐新朝天做出更大贡献。</w:t>
      </w:r>
      <w:r>
        <w:rPr>
          <w:rFonts w:hint="eastAsia" w:ascii="仿宋_GB2312" w:eastAsia="仿宋_GB2312"/>
          <w:kern w:val="0"/>
          <w:sz w:val="32"/>
          <w:szCs w:val="32"/>
        </w:rPr>
        <w:t>2022年预算总金额870.23万元，其中基本支出701.51万元，主要用于人员工资、社保缴费、公积金、</w:t>
      </w:r>
      <w:r>
        <w:rPr>
          <w:rFonts w:hint="eastAsia" w:ascii="仿宋_GB2312" w:eastAsia="仿宋_GB2312"/>
          <w:kern w:val="0"/>
          <w:sz w:val="32"/>
          <w:szCs w:val="32"/>
          <w:lang w:eastAsia="zh-CN"/>
        </w:rPr>
        <w:t>部门</w:t>
      </w:r>
      <w:r>
        <w:rPr>
          <w:rFonts w:hint="eastAsia" w:ascii="仿宋_GB2312" w:eastAsia="仿宋_GB2312"/>
          <w:kern w:val="0"/>
          <w:sz w:val="32"/>
          <w:szCs w:val="32"/>
        </w:rPr>
        <w:t>运转的公用经费；项目支出168.72万元，主要安排2021年</w:t>
      </w:r>
      <w:r>
        <w:rPr>
          <w:rFonts w:hint="eastAsia" w:ascii="仿宋_GB2312" w:hAnsi="宋体" w:eastAsia="仿宋_GB2312"/>
          <w:spacing w:val="-6"/>
          <w:sz w:val="32"/>
          <w:szCs w:val="32"/>
        </w:rPr>
        <w:t>海事救援艇维护工作经费</w:t>
      </w:r>
      <w:r>
        <w:rPr>
          <w:rFonts w:hint="eastAsia" w:ascii="仿宋_GB2312" w:eastAsia="仿宋_GB2312"/>
          <w:kern w:val="0"/>
          <w:sz w:val="32"/>
          <w:szCs w:val="32"/>
        </w:rPr>
        <w:t>、海事救援艇工作费用、公益性渡口船员保险费用等专项支出 。</w:t>
      </w:r>
    </w:p>
    <w:p>
      <w:pPr>
        <w:ind w:firstLine="480" w:firstLineChars="150"/>
        <w:rPr>
          <w:rFonts w:ascii="仿宋_GB2312" w:eastAsia="仿宋_GB2312"/>
          <w:sz w:val="32"/>
          <w:szCs w:val="32"/>
        </w:rPr>
      </w:pPr>
      <w:r>
        <w:rPr>
          <w:rFonts w:hint="eastAsia" w:ascii="仿宋_GB2312" w:eastAsia="仿宋_GB2312"/>
          <w:kern w:val="0"/>
          <w:sz w:val="32"/>
          <w:szCs w:val="32"/>
          <w:shd w:val="clear" w:color="auto" w:fill="FFFFFF"/>
        </w:rPr>
        <w:t>（二）结果应用情况</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绩效自评结果将在作为交通运输局2022年开展业务工作和资金安排的重要依据，同时也纳入本</w:t>
      </w:r>
      <w:r>
        <w:rPr>
          <w:rFonts w:hint="eastAsia" w:ascii="仿宋_GB2312" w:hAnsi="仿宋_GB2312" w:eastAsia="仿宋_GB2312" w:cs="仿宋_GB2312"/>
          <w:sz w:val="32"/>
          <w:szCs w:val="32"/>
          <w:lang w:eastAsia="zh-CN"/>
        </w:rPr>
        <w:t>部门</w:t>
      </w:r>
      <w:r>
        <w:rPr>
          <w:rFonts w:hint="eastAsia" w:ascii="仿宋_GB2312" w:hAnsi="仿宋_GB2312" w:eastAsia="仿宋_GB2312" w:cs="仿宋_GB2312"/>
          <w:sz w:val="32"/>
          <w:szCs w:val="32"/>
        </w:rPr>
        <w:t>部门、股室年度考核内容。</w:t>
      </w:r>
    </w:p>
    <w:p>
      <w:pPr>
        <w:widowControl/>
        <w:numPr>
          <w:ilvl w:val="0"/>
          <w:numId w:val="5"/>
        </w:numPr>
        <w:autoSpaceDE w:val="0"/>
        <w:adjustRightInd w:val="0"/>
        <w:snapToGrid w:val="0"/>
        <w:spacing w:line="576" w:lineRule="exact"/>
        <w:ind w:firstLine="640" w:firstLineChars="200"/>
        <w:contextualSpacing/>
        <w:rPr>
          <w:rFonts w:ascii="楷体_GB2312" w:eastAsia="楷体_GB2312"/>
          <w:color w:val="000000"/>
          <w:kern w:val="0"/>
          <w:sz w:val="32"/>
          <w:szCs w:val="32"/>
          <w:shd w:val="clear" w:color="auto" w:fill="FFFFFF"/>
        </w:rPr>
      </w:pPr>
      <w:r>
        <w:rPr>
          <w:rFonts w:hint="eastAsia" w:ascii="楷体_GB2312" w:eastAsia="楷体_GB2312"/>
          <w:color w:val="000000"/>
          <w:kern w:val="0"/>
          <w:sz w:val="32"/>
          <w:szCs w:val="32"/>
          <w:shd w:val="clear" w:color="auto" w:fill="FFFFFF"/>
        </w:rPr>
        <w:t>自评质量。</w:t>
      </w:r>
    </w:p>
    <w:p>
      <w:pPr>
        <w:adjustRightInd w:val="0"/>
        <w:snapToGrid w:val="0"/>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包括评价部门整体支出自评准确情况。</w:t>
      </w:r>
    </w:p>
    <w:p>
      <w:pPr>
        <w:widowControl/>
        <w:autoSpaceDE w:val="0"/>
        <w:adjustRightInd w:val="0"/>
        <w:snapToGrid w:val="0"/>
        <w:spacing w:line="576" w:lineRule="exact"/>
        <w:ind w:firstLine="640" w:firstLineChars="200"/>
        <w:contextualSpacing/>
        <w:rPr>
          <w:rFonts w:ascii="黑体" w:hAnsi="黑体" w:eastAsia="黑体"/>
          <w:color w:val="000000"/>
          <w:kern w:val="0"/>
          <w:sz w:val="32"/>
          <w:szCs w:val="32"/>
          <w:shd w:val="clear" w:color="auto" w:fill="FFFFFF"/>
        </w:rPr>
      </w:pPr>
      <w:r>
        <w:rPr>
          <w:rFonts w:hint="eastAsia" w:ascii="黑体" w:hAnsi="黑体" w:eastAsia="黑体"/>
          <w:color w:val="000000"/>
          <w:kern w:val="0"/>
          <w:sz w:val="32"/>
          <w:szCs w:val="32"/>
          <w:shd w:val="clear" w:color="auto" w:fill="FFFFFF"/>
        </w:rPr>
        <w:t>四、自评结论及建议</w:t>
      </w:r>
    </w:p>
    <w:p>
      <w:pPr>
        <w:widowControl/>
        <w:autoSpaceDE w:val="0"/>
        <w:adjustRightInd w:val="0"/>
        <w:snapToGrid w:val="0"/>
        <w:spacing w:line="576" w:lineRule="exact"/>
        <w:ind w:firstLine="640" w:firstLineChars="200"/>
        <w:contextualSpacing/>
        <w:rPr>
          <w:rFonts w:ascii="楷体_GB2312" w:eastAsia="楷体_GB2312"/>
          <w:color w:val="000000"/>
          <w:kern w:val="0"/>
          <w:sz w:val="32"/>
          <w:szCs w:val="32"/>
          <w:shd w:val="clear" w:color="auto" w:fill="FFFFFF"/>
        </w:rPr>
      </w:pPr>
      <w:r>
        <w:rPr>
          <w:rFonts w:hint="eastAsia" w:ascii="楷体_GB2312" w:eastAsia="楷体_GB2312"/>
          <w:color w:val="000000"/>
          <w:kern w:val="0"/>
          <w:sz w:val="32"/>
          <w:szCs w:val="32"/>
          <w:shd w:val="clear" w:color="auto" w:fill="FFFFFF"/>
        </w:rPr>
        <w:t>（一）自评结论。</w:t>
      </w:r>
    </w:p>
    <w:p>
      <w:pPr>
        <w:adjustRightInd w:val="0"/>
        <w:snapToGrid w:val="0"/>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总体来说，我局2022年部门整体支出情况良好，从预算到执行和收入、支出，资产管理及信息公开，都严格按照相关制度要求进行，全年收支平衡。有效保证了机构运转，圆满完成了上级下达的目标任务，取得了较大的经济效益和社会效益，得到了政府部门和社会公众的认可。</w:t>
      </w:r>
    </w:p>
    <w:p>
      <w:pPr>
        <w:widowControl/>
        <w:autoSpaceDE w:val="0"/>
        <w:adjustRightInd w:val="0"/>
        <w:snapToGrid w:val="0"/>
        <w:spacing w:line="576" w:lineRule="exact"/>
        <w:ind w:left="420" w:leftChars="200"/>
        <w:contextualSpacing/>
        <w:rPr>
          <w:rFonts w:ascii="楷体_GB2312" w:eastAsia="楷体_GB2312"/>
          <w:color w:val="000000"/>
          <w:kern w:val="0"/>
          <w:sz w:val="32"/>
          <w:szCs w:val="32"/>
          <w:shd w:val="clear" w:color="auto" w:fill="FFFFFF"/>
        </w:rPr>
      </w:pPr>
      <w:r>
        <w:rPr>
          <w:rFonts w:hint="eastAsia" w:ascii="楷体_GB2312" w:eastAsia="楷体_GB2312"/>
          <w:color w:val="000000"/>
          <w:kern w:val="0"/>
          <w:sz w:val="32"/>
          <w:szCs w:val="32"/>
          <w:shd w:val="clear" w:color="auto" w:fill="FFFFFF"/>
        </w:rPr>
        <w:t>（二）存在问题。</w:t>
      </w:r>
    </w:p>
    <w:p>
      <w:pPr>
        <w:widowControl/>
        <w:shd w:val="clear" w:color="auto" w:fill="FFFFFF"/>
        <w:spacing w:line="560" w:lineRule="exact"/>
        <w:ind w:firstLine="640" w:firstLineChars="200"/>
        <w:jc w:val="left"/>
        <w:rPr>
          <w:rFonts w:ascii="仿宋_GB2312" w:eastAsia="仿宋_GB2312"/>
          <w:color w:val="000000"/>
          <w:kern w:val="0"/>
          <w:sz w:val="32"/>
          <w:szCs w:val="32"/>
        </w:rPr>
      </w:pPr>
      <w:r>
        <w:rPr>
          <w:rFonts w:hint="eastAsia" w:ascii="仿宋_GB2312" w:eastAsia="仿宋_GB2312"/>
          <w:color w:val="000000"/>
          <w:kern w:val="0"/>
          <w:sz w:val="32"/>
          <w:szCs w:val="32"/>
        </w:rPr>
        <w:t>1.绩效目标设立不够明确、细化和量化。目标设定后没有科学的设定考核评价标准，特别是对于不能量化的目标。</w:t>
      </w:r>
    </w:p>
    <w:p>
      <w:pPr>
        <w:adjustRightInd w:val="0"/>
        <w:snapToGrid w:val="0"/>
        <w:spacing w:line="576" w:lineRule="exact"/>
        <w:ind w:firstLine="640" w:firstLineChars="200"/>
        <w:rPr>
          <w:rFonts w:ascii="仿宋_GB2312" w:hAnsi="仿宋_GB2312" w:eastAsia="仿宋_GB2312" w:cs="仿宋_GB2312"/>
          <w:sz w:val="32"/>
          <w:szCs w:val="32"/>
        </w:rPr>
      </w:pPr>
      <w:r>
        <w:rPr>
          <w:rFonts w:hint="eastAsia" w:ascii="仿宋_GB2312" w:eastAsia="仿宋_GB2312"/>
          <w:color w:val="000000"/>
          <w:kern w:val="0"/>
          <w:sz w:val="32"/>
          <w:szCs w:val="32"/>
        </w:rPr>
        <w:t>2.预算执行工作有待提高。主要是部分项目推进缓慢，原因是项目实施条件不具备，项目经费计划在年末支付，未拨付项目费用，导致项目进度迟缓。</w:t>
      </w:r>
    </w:p>
    <w:p>
      <w:pPr>
        <w:widowControl/>
        <w:numPr>
          <w:ilvl w:val="0"/>
          <w:numId w:val="5"/>
        </w:numPr>
        <w:autoSpaceDE w:val="0"/>
        <w:adjustRightInd w:val="0"/>
        <w:snapToGrid w:val="0"/>
        <w:spacing w:line="576" w:lineRule="exact"/>
        <w:ind w:firstLine="640" w:firstLineChars="200"/>
        <w:contextualSpacing/>
        <w:rPr>
          <w:rFonts w:ascii="楷体_GB2312" w:eastAsia="楷体_GB2312"/>
          <w:color w:val="000000"/>
          <w:kern w:val="0"/>
          <w:sz w:val="32"/>
          <w:szCs w:val="32"/>
          <w:shd w:val="clear" w:color="auto" w:fill="FFFFFF"/>
        </w:rPr>
      </w:pPr>
      <w:r>
        <w:rPr>
          <w:rFonts w:hint="eastAsia" w:ascii="楷体_GB2312" w:eastAsia="楷体_GB2312"/>
          <w:color w:val="000000"/>
          <w:kern w:val="0"/>
          <w:sz w:val="32"/>
          <w:szCs w:val="32"/>
          <w:shd w:val="clear" w:color="auto" w:fill="FFFFFF"/>
        </w:rPr>
        <w:t>改进建议。</w:t>
      </w:r>
    </w:p>
    <w:p>
      <w:pPr>
        <w:pStyle w:val="15"/>
        <w:spacing w:line="560" w:lineRule="exact"/>
        <w:ind w:left="0" w:leftChars="0" w:firstLine="640"/>
        <w:jc w:val="left"/>
        <w:rPr>
          <w:rFonts w:ascii="仿宋_GB2312" w:hAnsi="仿宋_GB2312" w:eastAsia="仿宋_GB2312" w:cs="仿宋_GB2312"/>
          <w:color w:val="222222"/>
          <w:sz w:val="32"/>
          <w:szCs w:val="32"/>
          <w:shd w:val="clear" w:color="auto" w:fill="FFFFFF"/>
        </w:rPr>
      </w:pPr>
      <w:r>
        <w:rPr>
          <w:rFonts w:hint="eastAsia" w:ascii="仿宋_GB2312" w:hAnsi="仿宋_GB2312" w:eastAsia="仿宋_GB2312" w:cs="仿宋_GB2312"/>
          <w:color w:val="222222"/>
          <w:sz w:val="32"/>
          <w:szCs w:val="32"/>
          <w:shd w:val="clear" w:color="auto" w:fill="FFFFFF"/>
        </w:rPr>
        <w:t>1.科学合理制定绩效目标，充分发挥绩效工作效用。加强业务培训，提高评价水平，部门整体绩效评价工作是一项长期性的工作，专业性较强，工作量大，进一步加强业务领导及经办人员相关的政策，业务工作培训学习。</w:t>
      </w:r>
    </w:p>
    <w:p>
      <w:pPr>
        <w:pStyle w:val="15"/>
        <w:spacing w:line="560" w:lineRule="exact"/>
        <w:ind w:left="0" w:leftChars="0" w:firstLine="640"/>
        <w:jc w:val="left"/>
        <w:rPr>
          <w:rFonts w:ascii="仿宋_GB2312" w:eastAsia="仿宋_GB2312"/>
          <w:sz w:val="32"/>
          <w:szCs w:val="32"/>
        </w:rPr>
      </w:pPr>
      <w:r>
        <w:rPr>
          <w:rFonts w:hint="eastAsia" w:ascii="仿宋_GB2312" w:hAnsi="宋体" w:eastAsia="仿宋_GB2312" w:cs="仿宋_GB2312"/>
          <w:color w:val="000000"/>
          <w:sz w:val="32"/>
          <w:szCs w:val="32"/>
          <w:shd w:val="clear" w:color="auto" w:fill="FFFFFF"/>
        </w:rPr>
        <w:t>2.</w:t>
      </w:r>
      <w:r>
        <w:rPr>
          <w:rFonts w:ascii="仿宋_GB2312" w:hAnsi="宋体" w:eastAsia="仿宋_GB2312" w:cs="仿宋_GB2312"/>
          <w:color w:val="000000"/>
          <w:sz w:val="32"/>
          <w:szCs w:val="32"/>
          <w:shd w:val="clear" w:color="auto" w:fill="FFFFFF"/>
        </w:rPr>
        <w:t>加强预算管理，确保项目的科学性。强化预算执行，为</w:t>
      </w:r>
      <w:r>
        <w:rPr>
          <w:rFonts w:hint="eastAsia" w:ascii="仿宋_GB2312" w:hAnsi="宋体" w:eastAsia="仿宋_GB2312" w:cs="仿宋_GB2312"/>
          <w:color w:val="000000"/>
          <w:sz w:val="32"/>
          <w:szCs w:val="32"/>
          <w:shd w:val="clear" w:color="auto" w:fill="FFFFFF"/>
        </w:rPr>
        <w:t>项目完成</w:t>
      </w:r>
      <w:r>
        <w:rPr>
          <w:rFonts w:ascii="仿宋_GB2312" w:hAnsi="宋体" w:eastAsia="仿宋_GB2312" w:cs="仿宋_GB2312"/>
          <w:color w:val="000000"/>
          <w:sz w:val="32"/>
          <w:szCs w:val="32"/>
          <w:shd w:val="clear" w:color="auto" w:fill="FFFFFF"/>
        </w:rPr>
        <w:t>绩效目标提供基础保障，提高项目支出资金使用</w:t>
      </w:r>
      <w:r>
        <w:rPr>
          <w:rFonts w:hint="eastAsia" w:ascii="仿宋_GB2312" w:hAnsi="宋体" w:eastAsia="仿宋_GB2312" w:cs="仿宋_GB2312"/>
          <w:color w:val="000000"/>
          <w:sz w:val="32"/>
          <w:szCs w:val="32"/>
          <w:shd w:val="clear" w:color="auto" w:fill="FFFFFF"/>
        </w:rPr>
        <w:t>和项目</w:t>
      </w:r>
      <w:r>
        <w:rPr>
          <w:rFonts w:ascii="仿宋_GB2312" w:hAnsi="宋体" w:eastAsia="仿宋_GB2312" w:cs="仿宋_GB2312"/>
          <w:color w:val="000000"/>
          <w:sz w:val="32"/>
          <w:szCs w:val="32"/>
          <w:shd w:val="clear" w:color="auto" w:fill="FFFFFF"/>
        </w:rPr>
        <w:t>精细化管理水平</w:t>
      </w:r>
      <w:r>
        <w:rPr>
          <w:rFonts w:hint="eastAsia" w:ascii="仿宋_GB2312" w:hAnsi="宋体" w:eastAsia="仿宋_GB2312" w:cs="仿宋_GB2312"/>
          <w:color w:val="000000"/>
          <w:sz w:val="32"/>
          <w:szCs w:val="32"/>
          <w:shd w:val="clear" w:color="auto" w:fill="FFFFFF"/>
        </w:rPr>
        <w:t>，</w:t>
      </w:r>
      <w:r>
        <w:rPr>
          <w:rFonts w:ascii="仿宋_GB2312" w:hAnsi="宋体" w:eastAsia="仿宋_GB2312" w:cs="仿宋_GB2312"/>
          <w:color w:val="000000"/>
          <w:sz w:val="32"/>
          <w:szCs w:val="32"/>
          <w:shd w:val="clear" w:color="auto" w:fill="FFFFFF"/>
        </w:rPr>
        <w:t>确保项目实施达到预期效果，发挥最大</w:t>
      </w:r>
      <w:r>
        <w:rPr>
          <w:rFonts w:hint="eastAsia" w:ascii="仿宋_GB2312" w:hAnsi="宋体" w:eastAsia="仿宋_GB2312" w:cs="仿宋_GB2312"/>
          <w:color w:val="000000"/>
          <w:sz w:val="32"/>
          <w:szCs w:val="32"/>
          <w:shd w:val="clear" w:color="auto" w:fill="FFFFFF"/>
        </w:rPr>
        <w:t>社会</w:t>
      </w:r>
      <w:r>
        <w:rPr>
          <w:rFonts w:ascii="仿宋_GB2312" w:hAnsi="宋体" w:eastAsia="仿宋_GB2312" w:cs="仿宋_GB2312"/>
          <w:color w:val="000000"/>
          <w:sz w:val="32"/>
          <w:szCs w:val="32"/>
          <w:shd w:val="clear" w:color="auto" w:fill="FFFFFF"/>
        </w:rPr>
        <w:t>效益。</w:t>
      </w:r>
    </w:p>
    <w:p>
      <w:pPr>
        <w:autoSpaceDE w:val="0"/>
        <w:adjustRightInd w:val="0"/>
        <w:snapToGrid w:val="0"/>
        <w:spacing w:line="576" w:lineRule="exact"/>
        <w:ind w:firstLine="4480" w:firstLineChars="1400"/>
        <w:rPr>
          <w:rFonts w:ascii="Arial" w:hAnsi="Arial" w:eastAsia="仿宋_GB2312" w:cs="Arial"/>
          <w:sz w:val="32"/>
          <w:szCs w:val="32"/>
        </w:rPr>
      </w:pPr>
      <w:r>
        <w:rPr>
          <w:rFonts w:hint="eastAsia" w:ascii="Arial" w:hAnsi="Arial" w:eastAsia="仿宋_GB2312" w:cs="Arial"/>
          <w:sz w:val="32"/>
          <w:szCs w:val="32"/>
        </w:rPr>
        <w:t>广元市朝天区交通运输局</w:t>
      </w:r>
    </w:p>
    <w:p>
      <w:pPr>
        <w:autoSpaceDE w:val="0"/>
        <w:adjustRightInd w:val="0"/>
        <w:snapToGrid w:val="0"/>
        <w:spacing w:line="576" w:lineRule="exact"/>
        <w:ind w:firstLine="5120" w:firstLineChars="1600"/>
      </w:pPr>
      <w:r>
        <w:rPr>
          <w:rFonts w:hint="eastAsia" w:ascii="仿宋_GB2312" w:eastAsia="仿宋_GB2312"/>
          <w:sz w:val="32"/>
          <w:szCs w:val="32"/>
        </w:rPr>
        <w:t>2022年5月23日</w:t>
      </w:r>
    </w:p>
    <w:p>
      <w:pPr>
        <w:autoSpaceDE w:val="0"/>
        <w:spacing w:line="540" w:lineRule="exact"/>
        <w:jc w:val="left"/>
        <w:rPr>
          <w:rFonts w:ascii="黑体" w:hAnsi="方正小标宋简体" w:eastAsia="黑体" w:cs="方正小标宋简体"/>
          <w:color w:val="000000"/>
          <w:kern w:val="0"/>
          <w:sz w:val="30"/>
          <w:szCs w:val="30"/>
        </w:rPr>
      </w:pPr>
      <w:r>
        <w:rPr>
          <w:rFonts w:hint="eastAsia" w:ascii="黑体" w:hAnsi="方正小标宋简体" w:eastAsia="黑体" w:cs="方正小标宋简体"/>
          <w:color w:val="000000"/>
          <w:kern w:val="0"/>
          <w:sz w:val="30"/>
          <w:szCs w:val="30"/>
        </w:rPr>
        <w:t>附件2</w:t>
      </w:r>
    </w:p>
    <w:p>
      <w:pPr>
        <w:autoSpaceDE w:val="0"/>
        <w:spacing w:line="540" w:lineRule="exact"/>
        <w:jc w:val="center"/>
        <w:rPr>
          <w:rFonts w:ascii="黑体" w:hAnsi="方正小标宋简体" w:eastAsia="黑体" w:cs="方正小标宋简体"/>
          <w:color w:val="000000"/>
          <w:kern w:val="0"/>
          <w:sz w:val="44"/>
          <w:szCs w:val="44"/>
        </w:rPr>
      </w:pPr>
      <w:r>
        <w:rPr>
          <w:rFonts w:hint="eastAsia" w:ascii="黑体" w:hAnsi="方正小标宋简体" w:eastAsia="黑体" w:cs="方正小标宋简体"/>
          <w:color w:val="000000"/>
          <w:kern w:val="0"/>
          <w:sz w:val="44"/>
          <w:szCs w:val="44"/>
        </w:rPr>
        <w:t>2022年第一批省级交通专项资金</w:t>
      </w:r>
    </w:p>
    <w:p>
      <w:pPr>
        <w:autoSpaceDE w:val="0"/>
        <w:spacing w:line="540" w:lineRule="exact"/>
        <w:jc w:val="center"/>
        <w:rPr>
          <w:rFonts w:ascii="黑体" w:hAnsi="方正小标宋简体" w:eastAsia="黑体" w:cs="方正小标宋简体"/>
          <w:color w:val="000000"/>
          <w:kern w:val="0"/>
          <w:sz w:val="44"/>
          <w:szCs w:val="44"/>
        </w:rPr>
      </w:pPr>
      <w:r>
        <w:rPr>
          <w:rFonts w:hint="eastAsia" w:ascii="黑体" w:hAnsi="方正小标宋简体" w:eastAsia="黑体" w:cs="方正小标宋简体"/>
          <w:color w:val="000000"/>
          <w:kern w:val="0"/>
          <w:sz w:val="44"/>
          <w:szCs w:val="44"/>
        </w:rPr>
        <w:t>（专门预算）项目支出绩效自评报告</w:t>
      </w:r>
    </w:p>
    <w:p>
      <w:pPr>
        <w:autoSpaceDE w:val="0"/>
        <w:adjustRightInd w:val="0"/>
        <w:snapToGrid w:val="0"/>
        <w:spacing w:line="540" w:lineRule="exact"/>
        <w:ind w:firstLine="720"/>
        <w:rPr>
          <w:rFonts w:ascii="黑体" w:hAnsi="宋体" w:eastAsia="黑体"/>
          <w:w w:val="99"/>
          <w:sz w:val="32"/>
          <w:szCs w:val="32"/>
        </w:rPr>
      </w:pPr>
      <w:r>
        <w:rPr>
          <w:rFonts w:hint="eastAsia" w:ascii="黑体" w:hAnsi="黑体" w:eastAsia="黑体"/>
          <w:w w:val="99"/>
          <w:sz w:val="32"/>
          <w:szCs w:val="32"/>
        </w:rPr>
        <w:t>一、项目概况</w:t>
      </w:r>
    </w:p>
    <w:p>
      <w:pPr>
        <w:autoSpaceDE w:val="0"/>
        <w:spacing w:line="540" w:lineRule="exact"/>
        <w:ind w:firstLine="618" w:firstLineChars="200"/>
        <w:rPr>
          <w:rFonts w:ascii="楷体_GB2312" w:eastAsia="楷体_GB2312"/>
          <w:b/>
          <w:spacing w:val="-6"/>
          <w:sz w:val="32"/>
          <w:szCs w:val="32"/>
        </w:rPr>
      </w:pPr>
      <w:r>
        <w:rPr>
          <w:rFonts w:hint="eastAsia" w:ascii="楷体_GB2312" w:eastAsia="楷体_GB2312"/>
          <w:b/>
          <w:spacing w:val="-6"/>
          <w:sz w:val="32"/>
          <w:szCs w:val="32"/>
        </w:rPr>
        <w:t>（一）项目资金申报及批复情况</w:t>
      </w:r>
    </w:p>
    <w:p>
      <w:pPr>
        <w:autoSpaceDE w:val="0"/>
        <w:spacing w:line="540" w:lineRule="exact"/>
        <w:ind w:firstLine="616" w:firstLineChars="200"/>
        <w:rPr>
          <w:rFonts w:ascii="仿宋_GB2312" w:eastAsia="仿宋_GB2312"/>
          <w:spacing w:val="-6"/>
          <w:sz w:val="32"/>
          <w:szCs w:val="32"/>
        </w:rPr>
      </w:pPr>
      <w:r>
        <w:rPr>
          <w:rFonts w:hint="eastAsia" w:ascii="仿宋_GB2312" w:eastAsia="仿宋_GB2312"/>
          <w:spacing w:val="-6"/>
          <w:sz w:val="32"/>
          <w:szCs w:val="32"/>
        </w:rPr>
        <w:t>项目立项依据：“十三五”公路养护管理发展纲要</w:t>
      </w:r>
    </w:p>
    <w:p>
      <w:pPr>
        <w:autoSpaceDE w:val="0"/>
        <w:spacing w:line="540" w:lineRule="exact"/>
        <w:ind w:firstLine="616" w:firstLineChars="200"/>
        <w:rPr>
          <w:rFonts w:ascii="仿宋_GB2312" w:eastAsia="仿宋_GB2312"/>
          <w:spacing w:val="-6"/>
          <w:sz w:val="32"/>
          <w:szCs w:val="32"/>
        </w:rPr>
      </w:pPr>
      <w:r>
        <w:rPr>
          <w:rFonts w:hint="eastAsia" w:ascii="仿宋_GB2312" w:eastAsia="仿宋_GB2312"/>
          <w:spacing w:val="-6"/>
          <w:sz w:val="32"/>
          <w:szCs w:val="32"/>
        </w:rPr>
        <w:t>资金申报依据：《四川省深化农村公路管理养护体制改革实施方案的通知》〔川办发〔2020〕70号〕。</w:t>
      </w:r>
    </w:p>
    <w:p>
      <w:pPr>
        <w:autoSpaceDE w:val="0"/>
        <w:spacing w:line="540" w:lineRule="exact"/>
        <w:ind w:firstLine="616" w:firstLineChars="200"/>
        <w:rPr>
          <w:rFonts w:ascii="仿宋_GB2312" w:hAnsi="宋体" w:eastAsia="仿宋_GB2312"/>
          <w:w w:val="99"/>
          <w:sz w:val="32"/>
          <w:szCs w:val="32"/>
        </w:rPr>
      </w:pPr>
      <w:r>
        <w:rPr>
          <w:rFonts w:hint="eastAsia" w:ascii="仿宋_GB2312" w:eastAsia="仿宋_GB2312"/>
          <w:spacing w:val="-6"/>
          <w:sz w:val="32"/>
          <w:szCs w:val="32"/>
        </w:rPr>
        <w:t>广元市朝天区公路养护段于2021年末向朝天区财政局申请预算资金为</w:t>
      </w:r>
      <w:r>
        <w:rPr>
          <w:rFonts w:ascii="仿宋_GB2312" w:eastAsia="仿宋_GB2312"/>
          <w:spacing w:val="-6"/>
          <w:sz w:val="32"/>
          <w:szCs w:val="32"/>
        </w:rPr>
        <w:t>497</w:t>
      </w:r>
      <w:r>
        <w:rPr>
          <w:rFonts w:hint="eastAsia" w:ascii="仿宋_GB2312" w:eastAsia="仿宋_GB2312"/>
          <w:spacing w:val="-6"/>
          <w:sz w:val="32"/>
          <w:szCs w:val="32"/>
        </w:rPr>
        <w:t>万元的“2022年第一批省级交通专项资金”项目支出，于2022年初获得项目资金200.00万元。</w:t>
      </w:r>
    </w:p>
    <w:p>
      <w:pPr>
        <w:autoSpaceDE w:val="0"/>
        <w:adjustRightInd w:val="0"/>
        <w:snapToGrid w:val="0"/>
        <w:spacing w:line="540" w:lineRule="exact"/>
        <w:ind w:firstLine="720"/>
        <w:rPr>
          <w:rFonts w:ascii="楷体_GB2312" w:hAnsi="宋体" w:eastAsia="楷体_GB2312"/>
          <w:b/>
          <w:w w:val="99"/>
          <w:sz w:val="32"/>
          <w:szCs w:val="32"/>
        </w:rPr>
      </w:pPr>
      <w:r>
        <w:rPr>
          <w:rFonts w:hint="eastAsia" w:ascii="楷体_GB2312" w:hAnsi="宋体" w:eastAsia="楷体_GB2312"/>
          <w:b/>
          <w:w w:val="99"/>
          <w:sz w:val="32"/>
          <w:szCs w:val="32"/>
        </w:rPr>
        <w:t xml:space="preserve">（二）项目绩效目标。 </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1．项目主要内容</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完成县道养护距离541.602公里、乡道养护距离752.933公里、村道养护距离1464.089公里和隧道养护距离2474.6延米，保持公路及其设施的完好状态,保障行车安全舒适、畅通。及时修复损坏部分，保证公路及设施的完好率≧95%。</w:t>
      </w:r>
    </w:p>
    <w:p>
      <w:pPr>
        <w:autoSpaceDE w:val="0"/>
        <w:adjustRightInd w:val="0"/>
        <w:snapToGrid w:val="0"/>
        <w:spacing w:line="540" w:lineRule="exact"/>
        <w:rPr>
          <w:rFonts w:ascii="仿宋_GB2312" w:hAnsi="宋体" w:eastAsia="仿宋_GB2312"/>
          <w:w w:val="99"/>
          <w:sz w:val="32"/>
          <w:szCs w:val="32"/>
        </w:rPr>
      </w:pPr>
      <w:r>
        <w:rPr>
          <w:rFonts w:hint="eastAsia" w:ascii="仿宋_GB2312" w:hAnsi="宋体" w:eastAsia="仿宋_GB2312"/>
          <w:w w:val="99"/>
          <w:sz w:val="32"/>
          <w:szCs w:val="32"/>
        </w:rPr>
        <w:t>防治结合,治理公路存在的病害和隐患,改善朝天区农村公路通行条件和路域环境，提升抗灾能力，为农村公路治理体系全面完善及治理能力全面提高提供基本保证。</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2．项目应实现的具体绩效目标</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数量指标：县道养护距离</w:t>
      </w:r>
      <w:r>
        <w:rPr>
          <w:rFonts w:ascii="仿宋_GB2312" w:hAnsi="宋体" w:eastAsia="仿宋_GB2312"/>
          <w:w w:val="99"/>
          <w:sz w:val="32"/>
          <w:szCs w:val="32"/>
        </w:rPr>
        <w:t>541.602</w:t>
      </w:r>
      <w:r>
        <w:rPr>
          <w:rFonts w:hint="eastAsia" w:ascii="仿宋_GB2312" w:hAnsi="宋体" w:eastAsia="仿宋_GB2312"/>
          <w:w w:val="99"/>
          <w:sz w:val="32"/>
          <w:szCs w:val="32"/>
        </w:rPr>
        <w:t>公里、乡道养护距离752.933公里、村道养护距离1464.089公里和隧道养护距离2474.6延米；</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质量指标：公路及设施的完好率≧95%；</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时效指标：2022年完成，指标值1年；</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成本指标：完成成本</w:t>
      </w:r>
      <w:r>
        <w:rPr>
          <w:rFonts w:hint="eastAsia" w:ascii="宋体" w:hAnsi="宋体"/>
          <w:w w:val="99"/>
          <w:sz w:val="32"/>
          <w:szCs w:val="32"/>
        </w:rPr>
        <w:t>≤</w:t>
      </w:r>
      <w:r>
        <w:rPr>
          <w:rFonts w:hint="eastAsia" w:ascii="仿宋_GB2312" w:hAnsi="宋体" w:eastAsia="仿宋_GB2312"/>
          <w:w w:val="99"/>
          <w:sz w:val="32"/>
          <w:szCs w:val="32"/>
        </w:rPr>
        <w:t>497万元；</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社会效益指标：公路通行条件和路域环境基本改善；</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可持续影响指标：农村公路治理体系全面完善，治理能力全面提高的作用长期；</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满意度指标：朝天区群众对公路安全畅通的满意度</w:t>
      </w:r>
      <w:r>
        <w:rPr>
          <w:rFonts w:hint="eastAsia" w:ascii="宋体" w:hAnsi="宋体"/>
          <w:w w:val="99"/>
          <w:sz w:val="32"/>
          <w:szCs w:val="32"/>
        </w:rPr>
        <w:t>≥</w:t>
      </w:r>
      <w:r>
        <w:rPr>
          <w:rFonts w:hint="eastAsia" w:ascii="仿宋_GB2312" w:hAnsi="宋体" w:eastAsia="仿宋_GB2312"/>
          <w:w w:val="99"/>
          <w:sz w:val="32"/>
          <w:szCs w:val="32"/>
        </w:rPr>
        <w:t>95%。</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3．申报内容的符合性</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“2022年第一批省级交通专项资金”项目系新增、经常性项目，项目申报与具体实施内容项目相符、申报目标合理可行。</w:t>
      </w:r>
    </w:p>
    <w:p>
      <w:pPr>
        <w:autoSpaceDE w:val="0"/>
        <w:adjustRightInd w:val="0"/>
        <w:snapToGrid w:val="0"/>
        <w:spacing w:line="540" w:lineRule="exact"/>
        <w:ind w:firstLine="720"/>
        <w:rPr>
          <w:rFonts w:ascii="楷体_GB2312" w:hAnsi="宋体" w:eastAsia="楷体_GB2312"/>
          <w:b/>
          <w:w w:val="99"/>
          <w:sz w:val="32"/>
          <w:szCs w:val="32"/>
        </w:rPr>
      </w:pPr>
      <w:r>
        <w:rPr>
          <w:rFonts w:hint="eastAsia" w:ascii="楷体_GB2312" w:hAnsi="宋体" w:eastAsia="楷体_GB2312"/>
          <w:b/>
          <w:w w:val="99"/>
          <w:sz w:val="32"/>
          <w:szCs w:val="32"/>
        </w:rPr>
        <w:t>（三）项目自评步骤及方法。</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步骤一：成立自评组织机构</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成立由业务部门和财务部门组成的专门的自评组织机构，负责组织实施自评工作。</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步骤二：明确自评目的和标准</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明确自评的目的和标准。自评的目的是为了发现问题、改进工作，提高绩效水平。自评的标准是项目的绩效目标。依据《广元市朝天区财政局关于开展2023年部门、政策和项目支出绩效自评工作的通知》（广朝财发〔2023〕19号）</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步骤三：收集数据和信息</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自评小组收集与自评相关的数据和信息，包括工作计划、绩效目标、绩效指标的完成情况、工作成果、服务对象的满意度等。</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步骤四：分析数据和信息</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自评小组对收集到的数据和信息进行统计分析、比较分析等，找出问题和改进的方向。</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步骤五：制定改进措施</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根据分析结果，自评小组确定是否需要制定改进措施，包括改进工作流程、提高工作效率、加强职工培训等。本项目不涉及改进。</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步骤六：实施改进措施</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自评小组按照制定的改进措施，逐步实施改进工作。本项目不涉及。</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步骤七：评估改进效果</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自评小组对改进效果进行评估，看是否达到了预期的效果。本项目不涉及。</w:t>
      </w:r>
    </w:p>
    <w:p>
      <w:pPr>
        <w:autoSpaceDE w:val="0"/>
        <w:adjustRightInd w:val="0"/>
        <w:snapToGrid w:val="0"/>
        <w:spacing w:line="540" w:lineRule="exact"/>
        <w:ind w:firstLine="720"/>
        <w:rPr>
          <w:rFonts w:ascii="黑体" w:hAnsi="宋体" w:eastAsia="黑体"/>
          <w:w w:val="99"/>
          <w:sz w:val="32"/>
          <w:szCs w:val="32"/>
        </w:rPr>
      </w:pPr>
      <w:r>
        <w:rPr>
          <w:rFonts w:hint="eastAsia" w:ascii="黑体" w:hAnsi="黑体" w:eastAsia="黑体"/>
          <w:w w:val="99"/>
          <w:sz w:val="32"/>
          <w:szCs w:val="32"/>
        </w:rPr>
        <w:t>二、项目资金申报及使用情况</w:t>
      </w:r>
    </w:p>
    <w:p>
      <w:pPr>
        <w:autoSpaceDE w:val="0"/>
        <w:adjustRightInd w:val="0"/>
        <w:snapToGrid w:val="0"/>
        <w:spacing w:line="540" w:lineRule="exact"/>
        <w:ind w:firstLine="720"/>
        <w:rPr>
          <w:rFonts w:ascii="仿宋_GB2312" w:hAnsi="宋体" w:eastAsia="仿宋_GB2312"/>
          <w:w w:val="99"/>
          <w:sz w:val="32"/>
          <w:szCs w:val="32"/>
        </w:rPr>
      </w:pPr>
      <w:r>
        <w:rPr>
          <w:rFonts w:hint="eastAsia" w:ascii="楷体_GB2312" w:eastAsia="楷体_GB2312"/>
          <w:b/>
          <w:spacing w:val="-6"/>
          <w:sz w:val="32"/>
          <w:szCs w:val="32"/>
        </w:rPr>
        <w:t>（一）资金计划、到位及使用情况</w:t>
      </w:r>
    </w:p>
    <w:p>
      <w:pPr>
        <w:autoSpaceDE w:val="0"/>
        <w:spacing w:line="540" w:lineRule="exact"/>
        <w:ind w:firstLine="616" w:firstLineChars="200"/>
        <w:rPr>
          <w:rFonts w:ascii="仿宋_GB2312" w:eastAsia="仿宋_GB2312"/>
          <w:spacing w:val="-6"/>
          <w:sz w:val="32"/>
          <w:szCs w:val="32"/>
        </w:rPr>
      </w:pPr>
      <w:r>
        <w:rPr>
          <w:rFonts w:hint="eastAsia" w:ascii="仿宋_GB2312" w:eastAsia="仿宋_GB2312"/>
          <w:spacing w:val="-6"/>
          <w:sz w:val="32"/>
          <w:szCs w:val="32"/>
        </w:rPr>
        <w:t>1.资金计划及到位</w:t>
      </w:r>
    </w:p>
    <w:p>
      <w:pPr>
        <w:autoSpaceDE w:val="0"/>
        <w:spacing w:line="540" w:lineRule="exact"/>
        <w:ind w:firstLine="616" w:firstLineChars="200"/>
        <w:rPr>
          <w:rFonts w:ascii="仿宋_GB2312" w:eastAsia="仿宋_GB2312"/>
          <w:spacing w:val="-6"/>
          <w:sz w:val="32"/>
          <w:szCs w:val="32"/>
        </w:rPr>
      </w:pPr>
      <w:r>
        <w:rPr>
          <w:rFonts w:hint="eastAsia" w:ascii="仿宋_GB2312" w:eastAsia="仿宋_GB2312"/>
          <w:spacing w:val="-6"/>
          <w:sz w:val="32"/>
          <w:szCs w:val="32"/>
        </w:rPr>
        <w:t>2022年度“2022年第一批省级交通专项资金”项目，计划总资金</w:t>
      </w:r>
      <w:r>
        <w:rPr>
          <w:rFonts w:ascii="仿宋_GB2312" w:eastAsia="仿宋_GB2312"/>
          <w:spacing w:val="-6"/>
          <w:sz w:val="32"/>
          <w:szCs w:val="32"/>
        </w:rPr>
        <w:t>4,</w:t>
      </w:r>
      <w:r>
        <w:rPr>
          <w:rFonts w:hint="eastAsia" w:ascii="仿宋_GB2312" w:eastAsia="仿宋_GB2312"/>
          <w:spacing w:val="-6"/>
          <w:sz w:val="32"/>
          <w:szCs w:val="32"/>
        </w:rPr>
        <w:t>970</w:t>
      </w:r>
      <w:r>
        <w:rPr>
          <w:rFonts w:ascii="仿宋_GB2312" w:eastAsia="仿宋_GB2312"/>
          <w:spacing w:val="-6"/>
          <w:sz w:val="32"/>
          <w:szCs w:val="32"/>
        </w:rPr>
        <w:t>,</w:t>
      </w:r>
      <w:r>
        <w:rPr>
          <w:rFonts w:hint="eastAsia" w:ascii="仿宋_GB2312" w:eastAsia="仿宋_GB2312"/>
          <w:spacing w:val="-6"/>
          <w:sz w:val="32"/>
          <w:szCs w:val="32"/>
        </w:rPr>
        <w:t>0</w:t>
      </w:r>
      <w:r>
        <w:rPr>
          <w:rFonts w:ascii="仿宋_GB2312" w:eastAsia="仿宋_GB2312"/>
          <w:spacing w:val="-6"/>
          <w:sz w:val="32"/>
          <w:szCs w:val="32"/>
        </w:rPr>
        <w:t>00.00</w:t>
      </w:r>
      <w:r>
        <w:rPr>
          <w:rFonts w:hint="eastAsia" w:ascii="仿宋_GB2312" w:eastAsia="仿宋_GB2312"/>
          <w:spacing w:val="-6"/>
          <w:sz w:val="32"/>
          <w:szCs w:val="32"/>
        </w:rPr>
        <w:t>元，截止评价时点，实际到位资金2</w:t>
      </w:r>
      <w:r>
        <w:rPr>
          <w:rFonts w:ascii="仿宋_GB2312" w:eastAsia="仿宋_GB2312"/>
          <w:spacing w:val="-6"/>
          <w:sz w:val="32"/>
          <w:szCs w:val="32"/>
        </w:rPr>
        <w:t>,</w:t>
      </w:r>
      <w:r>
        <w:rPr>
          <w:rFonts w:hint="eastAsia" w:ascii="仿宋_GB2312" w:eastAsia="仿宋_GB2312"/>
          <w:spacing w:val="-6"/>
          <w:sz w:val="32"/>
          <w:szCs w:val="32"/>
        </w:rPr>
        <w:t>000</w:t>
      </w:r>
      <w:r>
        <w:rPr>
          <w:rFonts w:ascii="仿宋_GB2312" w:eastAsia="仿宋_GB2312"/>
          <w:spacing w:val="-6"/>
          <w:sz w:val="32"/>
          <w:szCs w:val="32"/>
        </w:rPr>
        <w:t>,</w:t>
      </w:r>
      <w:r>
        <w:rPr>
          <w:rFonts w:hint="eastAsia" w:ascii="仿宋_GB2312" w:eastAsia="仿宋_GB2312"/>
          <w:spacing w:val="-6"/>
          <w:sz w:val="32"/>
          <w:szCs w:val="32"/>
        </w:rPr>
        <w:t>0</w:t>
      </w:r>
      <w:r>
        <w:rPr>
          <w:rFonts w:ascii="仿宋_GB2312" w:eastAsia="仿宋_GB2312"/>
          <w:spacing w:val="-6"/>
          <w:sz w:val="32"/>
          <w:szCs w:val="32"/>
        </w:rPr>
        <w:t>00.00</w:t>
      </w:r>
      <w:r>
        <w:rPr>
          <w:rFonts w:hint="eastAsia" w:ascii="仿宋_GB2312" w:eastAsia="仿宋_GB2312"/>
          <w:spacing w:val="-6"/>
          <w:sz w:val="32"/>
          <w:szCs w:val="32"/>
        </w:rPr>
        <w:t>元，资金到位率40.24%。</w:t>
      </w:r>
    </w:p>
    <w:p>
      <w:pPr>
        <w:autoSpaceDE w:val="0"/>
        <w:spacing w:line="540" w:lineRule="exact"/>
        <w:ind w:firstLine="616" w:firstLineChars="200"/>
        <w:rPr>
          <w:rFonts w:ascii="仿宋_GB2312" w:eastAsia="仿宋_GB2312"/>
          <w:spacing w:val="-6"/>
          <w:sz w:val="32"/>
          <w:szCs w:val="32"/>
        </w:rPr>
      </w:pPr>
      <w:r>
        <w:rPr>
          <w:rFonts w:hint="eastAsia" w:ascii="仿宋_GB2312" w:eastAsia="仿宋_GB2312"/>
          <w:spacing w:val="-6"/>
          <w:sz w:val="32"/>
          <w:szCs w:val="32"/>
        </w:rPr>
        <w:t>2.资金使用</w:t>
      </w:r>
    </w:p>
    <w:p>
      <w:pPr>
        <w:autoSpaceDE w:val="0"/>
        <w:spacing w:line="540" w:lineRule="exact"/>
        <w:ind w:firstLine="616" w:firstLineChars="200"/>
        <w:rPr>
          <w:rFonts w:ascii="仿宋_GB2312" w:eastAsia="仿宋_GB2312"/>
          <w:spacing w:val="-6"/>
          <w:sz w:val="32"/>
          <w:szCs w:val="32"/>
        </w:rPr>
      </w:pPr>
      <w:r>
        <w:rPr>
          <w:rFonts w:hint="eastAsia" w:ascii="仿宋_GB2312" w:eastAsia="仿宋_GB2312"/>
          <w:spacing w:val="-6"/>
          <w:sz w:val="32"/>
          <w:szCs w:val="32"/>
        </w:rPr>
        <w:t>“2022年第一批省级交通专项资金”项目资金主要用于我</w:t>
      </w:r>
      <w:r>
        <w:rPr>
          <w:rFonts w:hint="eastAsia" w:ascii="仿宋_GB2312" w:eastAsia="仿宋_GB2312"/>
          <w:spacing w:val="-6"/>
          <w:sz w:val="32"/>
          <w:szCs w:val="32"/>
          <w:lang w:eastAsia="zh-CN"/>
        </w:rPr>
        <w:t>部门</w:t>
      </w:r>
      <w:r>
        <w:rPr>
          <w:rFonts w:hint="eastAsia" w:ascii="仿宋_GB2312" w:eastAsia="仿宋_GB2312"/>
          <w:spacing w:val="-6"/>
          <w:sz w:val="32"/>
          <w:szCs w:val="32"/>
        </w:rPr>
        <w:t>辖区内农村</w:t>
      </w:r>
      <w:r>
        <w:rPr>
          <w:rFonts w:hint="eastAsia" w:ascii="楷体_GB2312" w:hAnsi="宋体" w:eastAsia="楷体_GB2312"/>
          <w:w w:val="99"/>
          <w:sz w:val="32"/>
          <w:szCs w:val="32"/>
        </w:rPr>
        <w:t>县道、乡道、村道机隧道养护</w:t>
      </w:r>
      <w:r>
        <w:rPr>
          <w:rFonts w:hint="eastAsia" w:ascii="仿宋_GB2312" w:eastAsia="仿宋_GB2312"/>
          <w:spacing w:val="-6"/>
          <w:sz w:val="32"/>
          <w:szCs w:val="32"/>
        </w:rPr>
        <w:t>的隐患排查、整治、消除工作，2022年度实际支出2</w:t>
      </w:r>
      <w:r>
        <w:rPr>
          <w:rFonts w:ascii="仿宋_GB2312" w:eastAsia="仿宋_GB2312"/>
          <w:spacing w:val="-6"/>
          <w:sz w:val="32"/>
          <w:szCs w:val="32"/>
        </w:rPr>
        <w:t>,</w:t>
      </w:r>
      <w:r>
        <w:rPr>
          <w:rFonts w:hint="eastAsia" w:ascii="仿宋_GB2312" w:eastAsia="仿宋_GB2312"/>
          <w:spacing w:val="-6"/>
          <w:sz w:val="32"/>
          <w:szCs w:val="32"/>
        </w:rPr>
        <w:t>000</w:t>
      </w:r>
      <w:r>
        <w:rPr>
          <w:rFonts w:ascii="仿宋_GB2312" w:eastAsia="仿宋_GB2312"/>
          <w:spacing w:val="-6"/>
          <w:sz w:val="32"/>
          <w:szCs w:val="32"/>
        </w:rPr>
        <w:t>,</w:t>
      </w:r>
      <w:r>
        <w:rPr>
          <w:rFonts w:hint="eastAsia" w:ascii="仿宋_GB2312" w:eastAsia="仿宋_GB2312"/>
          <w:spacing w:val="-6"/>
          <w:sz w:val="32"/>
          <w:szCs w:val="32"/>
        </w:rPr>
        <w:t>0</w:t>
      </w:r>
      <w:r>
        <w:rPr>
          <w:rFonts w:ascii="仿宋_GB2312" w:eastAsia="仿宋_GB2312"/>
          <w:spacing w:val="-6"/>
          <w:sz w:val="32"/>
          <w:szCs w:val="32"/>
        </w:rPr>
        <w:t>00.00</w:t>
      </w:r>
      <w:r>
        <w:rPr>
          <w:rFonts w:hint="eastAsia" w:ascii="仿宋_GB2312" w:eastAsia="仿宋_GB2312"/>
          <w:spacing w:val="-6"/>
          <w:sz w:val="32"/>
          <w:szCs w:val="32"/>
        </w:rPr>
        <w:t>元，支付依据合规合法，资金支付与预算基本相符。</w:t>
      </w:r>
    </w:p>
    <w:p>
      <w:pPr>
        <w:autoSpaceDE w:val="0"/>
        <w:spacing w:line="540" w:lineRule="exact"/>
        <w:ind w:firstLine="618" w:firstLineChars="200"/>
        <w:rPr>
          <w:rFonts w:ascii="楷体_GB2312" w:eastAsia="楷体_GB2312"/>
          <w:bCs/>
          <w:spacing w:val="-6"/>
          <w:sz w:val="32"/>
          <w:szCs w:val="32"/>
        </w:rPr>
      </w:pPr>
      <w:r>
        <w:rPr>
          <w:rFonts w:hint="eastAsia" w:ascii="楷体_GB2312" w:eastAsia="楷体_GB2312"/>
          <w:b/>
          <w:spacing w:val="-6"/>
          <w:sz w:val="32"/>
          <w:szCs w:val="32"/>
        </w:rPr>
        <w:t>（二）项目财务管理情况</w:t>
      </w:r>
    </w:p>
    <w:p>
      <w:pPr>
        <w:autoSpaceDE w:val="0"/>
        <w:spacing w:line="540" w:lineRule="exact"/>
        <w:ind w:firstLine="616" w:firstLineChars="200"/>
        <w:rPr>
          <w:rFonts w:ascii="仿宋_GB2312" w:eastAsia="仿宋_GB2312"/>
          <w:spacing w:val="-6"/>
          <w:sz w:val="32"/>
          <w:szCs w:val="32"/>
        </w:rPr>
      </w:pPr>
      <w:r>
        <w:rPr>
          <w:rFonts w:hint="eastAsia" w:ascii="仿宋_GB2312" w:eastAsia="仿宋_GB2312"/>
          <w:spacing w:val="-6"/>
          <w:sz w:val="32"/>
          <w:szCs w:val="32"/>
        </w:rPr>
        <w:t>为加强和规范“2022年第一批省级交通专项资金”项目资金管理，充分发挥项目资金使用绩效，我</w:t>
      </w:r>
      <w:r>
        <w:rPr>
          <w:rFonts w:hint="eastAsia" w:ascii="仿宋_GB2312" w:eastAsia="仿宋_GB2312"/>
          <w:spacing w:val="-6"/>
          <w:sz w:val="32"/>
          <w:szCs w:val="32"/>
          <w:lang w:eastAsia="zh-CN"/>
        </w:rPr>
        <w:t>部门</w:t>
      </w:r>
      <w:r>
        <w:rPr>
          <w:rFonts w:hint="eastAsia" w:ascii="仿宋_GB2312" w:eastAsia="仿宋_GB2312"/>
          <w:spacing w:val="-6"/>
          <w:sz w:val="32"/>
          <w:szCs w:val="32"/>
        </w:rPr>
        <w:t>按照项目资金目标，由业务股室牵头组织实施，制定工作计划，确定项目的组织实施及管理；根据专项资金专款专用的原则，申请审批经费，加强了资金的计划管理，保证了资金使用用途、审批程序、经费开支范围及标准符合规范，做到了报账手续合规，同时加强项目绩效监控，保证资金使用的效率，实现了绩效目标。</w:t>
      </w:r>
    </w:p>
    <w:p>
      <w:pPr>
        <w:autoSpaceDE w:val="0"/>
        <w:spacing w:line="540" w:lineRule="exact"/>
        <w:ind w:firstLine="618" w:firstLineChars="200"/>
        <w:rPr>
          <w:rFonts w:ascii="楷体_GB2312" w:eastAsia="楷体_GB2312"/>
          <w:b/>
          <w:spacing w:val="-6"/>
          <w:sz w:val="32"/>
          <w:szCs w:val="32"/>
        </w:rPr>
      </w:pPr>
      <w:r>
        <w:rPr>
          <w:rFonts w:hint="eastAsia" w:ascii="楷体_GB2312" w:eastAsia="楷体_GB2312"/>
          <w:b/>
          <w:spacing w:val="-6"/>
          <w:sz w:val="32"/>
          <w:szCs w:val="32"/>
        </w:rPr>
        <w:t>（三）项目组织实施情况</w:t>
      </w:r>
    </w:p>
    <w:p>
      <w:pPr>
        <w:autoSpaceDE w:val="0"/>
        <w:adjustRightInd w:val="0"/>
        <w:snapToGrid w:val="0"/>
        <w:spacing w:line="540" w:lineRule="exact"/>
        <w:ind w:firstLine="720"/>
        <w:rPr>
          <w:rFonts w:ascii="楷体_GB2312" w:hAnsi="宋体" w:eastAsia="楷体_GB2312"/>
          <w:b/>
          <w:w w:val="99"/>
          <w:sz w:val="32"/>
          <w:szCs w:val="32"/>
        </w:rPr>
      </w:pPr>
      <w:r>
        <w:rPr>
          <w:rFonts w:hint="eastAsia" w:ascii="楷体_GB2312" w:hAnsi="宋体" w:eastAsia="楷体_GB2312"/>
          <w:b/>
          <w:w w:val="99"/>
          <w:sz w:val="32"/>
          <w:szCs w:val="32"/>
        </w:rPr>
        <w:t>1.项目组织架构及实施流程</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为全面做好公路地质灾害及安全隐患的排查整治工作，我</w:t>
      </w:r>
      <w:r>
        <w:rPr>
          <w:rFonts w:hint="eastAsia" w:ascii="仿宋_GB2312" w:hAnsi="宋体" w:eastAsia="仿宋_GB2312"/>
          <w:w w:val="99"/>
          <w:sz w:val="32"/>
          <w:szCs w:val="32"/>
          <w:lang w:eastAsia="zh-CN"/>
        </w:rPr>
        <w:t>部门</w:t>
      </w:r>
      <w:r>
        <w:rPr>
          <w:rFonts w:hint="eastAsia" w:ascii="仿宋_GB2312" w:hAnsi="宋体" w:eastAsia="仿宋_GB2312"/>
          <w:w w:val="99"/>
          <w:sz w:val="32"/>
          <w:szCs w:val="32"/>
        </w:rPr>
        <w:t>成立了公路养护维护小组负责项目的具体实施，设置了养护站和专业桥梁养护队伍，加强公路地质灾害和安全隐患排查治理工作，规范公路日常养护。</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一是常态化开展路面巡查，及时发现全区公路安全隐患，并建立巡查和整改台账，对维修整治后的隐患及时销号，对一时难以恢复的路基缺口、危岩、高边坡等设置安全警示标志标牌，提醒过往行人车、车辆注意安全，并及时制定隐患治理方案；二是邀请专业机构对桥梁隧道安全情况进行检查。</w:t>
      </w:r>
    </w:p>
    <w:p>
      <w:pPr>
        <w:autoSpaceDE w:val="0"/>
        <w:adjustRightInd w:val="0"/>
        <w:snapToGrid w:val="0"/>
        <w:spacing w:line="540" w:lineRule="exact"/>
        <w:ind w:firstLine="720"/>
        <w:rPr>
          <w:rFonts w:ascii="楷体_GB2312" w:hAnsi="宋体" w:eastAsia="楷体_GB2312"/>
          <w:b/>
          <w:w w:val="99"/>
          <w:sz w:val="32"/>
          <w:szCs w:val="32"/>
        </w:rPr>
      </w:pPr>
      <w:r>
        <w:rPr>
          <w:rFonts w:hint="eastAsia" w:ascii="楷体_GB2312" w:hAnsi="宋体" w:eastAsia="楷体_GB2312"/>
          <w:b/>
          <w:w w:val="99"/>
          <w:sz w:val="32"/>
          <w:szCs w:val="32"/>
        </w:rPr>
        <w:t>2.项目管理情况</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加强对养护站工作考核。对养护站月度指令性计划完成情况进行认真考核，严格执行考核标准，结合平时道路巡查、应急抢险等工作综合评定各站月度工作情况，并纳入月度及年终目标绩效管理，高效促进工作开展；二是加强对乡镇工作考核。每季度对乡镇管养农村公路情况进行检查考核，根据考核情况下发养护情况通报，并按标准拨付2022年第一批省级交通专项资金资金。成立专业桥梁养护队伍，负责国道、县道公路桥梁的日常养护及乡村道路桥梁日常养护的督促、指导和桥梁的定期检查工作。</w:t>
      </w:r>
    </w:p>
    <w:p>
      <w:pPr>
        <w:autoSpaceDE w:val="0"/>
        <w:adjustRightInd w:val="0"/>
        <w:snapToGrid w:val="0"/>
        <w:spacing w:line="540" w:lineRule="exact"/>
        <w:ind w:firstLine="720"/>
        <w:rPr>
          <w:rFonts w:ascii="楷体_GB2312" w:hAnsi="宋体" w:eastAsia="楷体_GB2312"/>
          <w:b/>
          <w:w w:val="99"/>
          <w:sz w:val="32"/>
          <w:szCs w:val="32"/>
        </w:rPr>
      </w:pPr>
      <w:r>
        <w:rPr>
          <w:rFonts w:hint="eastAsia" w:ascii="楷体_GB2312" w:hAnsi="宋体" w:eastAsia="楷体_GB2312"/>
          <w:b/>
          <w:w w:val="99"/>
          <w:sz w:val="32"/>
          <w:szCs w:val="32"/>
        </w:rPr>
        <w:t>3.项目监管情况</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为保障项目的顺利实施，加强项目管理我</w:t>
      </w:r>
      <w:r>
        <w:rPr>
          <w:rFonts w:hint="eastAsia" w:ascii="仿宋_GB2312" w:hAnsi="宋体" w:eastAsia="仿宋_GB2312"/>
          <w:w w:val="99"/>
          <w:sz w:val="32"/>
          <w:szCs w:val="32"/>
          <w:lang w:eastAsia="zh-CN"/>
        </w:rPr>
        <w:t>部门</w:t>
      </w:r>
      <w:r>
        <w:rPr>
          <w:rFonts w:hint="eastAsia" w:ascii="仿宋_GB2312" w:hAnsi="宋体" w:eastAsia="仿宋_GB2312"/>
          <w:w w:val="99"/>
          <w:sz w:val="32"/>
          <w:szCs w:val="32"/>
        </w:rPr>
        <w:t>制定有制度汇编，涵盖包括“三重一大”集体决策制度、资产管理制度、建设项目管理制度、收支业务管理制度、预算业务管理制度、政府采购业务管理制度、合同管理制度、财务管理制度等。</w:t>
      </w:r>
    </w:p>
    <w:p>
      <w:pPr>
        <w:autoSpaceDE w:val="0"/>
        <w:adjustRightInd w:val="0"/>
        <w:snapToGrid w:val="0"/>
        <w:spacing w:line="540" w:lineRule="exact"/>
        <w:ind w:firstLine="720"/>
        <w:rPr>
          <w:rFonts w:ascii="仿宋_GB2312" w:hAnsi="宋体" w:eastAsia="仿宋_GB2312"/>
          <w:w w:val="99"/>
          <w:sz w:val="32"/>
          <w:szCs w:val="32"/>
        </w:rPr>
      </w:pPr>
      <w:r>
        <w:rPr>
          <w:rFonts w:hint="eastAsia" w:ascii="黑体" w:hAnsi="黑体" w:eastAsia="黑体"/>
          <w:w w:val="99"/>
          <w:sz w:val="32"/>
          <w:szCs w:val="32"/>
        </w:rPr>
        <w:t>三、项目绩效情况</w:t>
      </w:r>
      <w:r>
        <w:rPr>
          <w:rFonts w:hint="eastAsia" w:ascii="仿宋_GB2312" w:hAnsi="宋体" w:eastAsia="仿宋_GB2312"/>
          <w:w w:val="99"/>
          <w:sz w:val="32"/>
          <w:szCs w:val="32"/>
        </w:rPr>
        <w:tab/>
      </w:r>
    </w:p>
    <w:p>
      <w:pPr>
        <w:autoSpaceDE w:val="0"/>
        <w:adjustRightInd w:val="0"/>
        <w:snapToGrid w:val="0"/>
        <w:spacing w:line="540" w:lineRule="exact"/>
        <w:ind w:firstLine="720"/>
        <w:rPr>
          <w:rFonts w:ascii="楷体_GB2312" w:hAnsi="宋体" w:eastAsia="楷体_GB2312"/>
          <w:b/>
          <w:w w:val="99"/>
          <w:sz w:val="32"/>
          <w:szCs w:val="32"/>
        </w:rPr>
      </w:pPr>
      <w:r>
        <w:rPr>
          <w:rFonts w:hint="eastAsia" w:ascii="楷体_GB2312" w:hAnsi="宋体" w:eastAsia="楷体_GB2312"/>
          <w:b/>
          <w:w w:val="99"/>
          <w:sz w:val="32"/>
          <w:szCs w:val="32"/>
        </w:rPr>
        <w:t>（一）项目完成情况</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（1）数量指标，2022年，我</w:t>
      </w:r>
      <w:r>
        <w:rPr>
          <w:rFonts w:hint="eastAsia" w:ascii="仿宋_GB2312" w:hAnsi="宋体" w:eastAsia="仿宋_GB2312"/>
          <w:w w:val="99"/>
          <w:sz w:val="32"/>
          <w:szCs w:val="32"/>
          <w:lang w:eastAsia="zh-CN"/>
        </w:rPr>
        <w:t>部门</w:t>
      </w:r>
      <w:r>
        <w:rPr>
          <w:rFonts w:hint="eastAsia" w:ascii="仿宋_GB2312" w:hAnsi="宋体" w:eastAsia="仿宋_GB2312"/>
          <w:w w:val="99"/>
          <w:sz w:val="32"/>
          <w:szCs w:val="32"/>
        </w:rPr>
        <w:t>共计完成县道养护距离541.602公里、乡道养护距离752.933公里、村道养护距离1464.089公里和隧道养护距离2474.6延米，实现数量指标。</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（2）质量指标，通过“2022年第一批省级交通专项资金”项目实施，及时修复损坏部分，保证公路及设施的完好率96%≧95%，实现质量指标。</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（3）时效指标，截止评价时点，我</w:t>
      </w:r>
      <w:r>
        <w:rPr>
          <w:rFonts w:hint="eastAsia" w:ascii="仿宋_GB2312" w:hAnsi="宋体" w:eastAsia="仿宋_GB2312"/>
          <w:w w:val="99"/>
          <w:sz w:val="32"/>
          <w:szCs w:val="32"/>
          <w:lang w:eastAsia="zh-CN"/>
        </w:rPr>
        <w:t>部门</w:t>
      </w:r>
      <w:r>
        <w:rPr>
          <w:rFonts w:hint="eastAsia" w:ascii="仿宋_GB2312" w:hAnsi="宋体" w:eastAsia="仿宋_GB2312"/>
          <w:w w:val="99"/>
          <w:sz w:val="32"/>
          <w:szCs w:val="32"/>
        </w:rPr>
        <w:t>共计完成县道养护距离541.602公里、乡道养护距离752.933公里、村道养护距离1464.089公里和隧道养护距离2474.6延米的隐患排查、整治和消除工作，在规定时限内完成2022年度阶段目标，实现时效指标要求。</w:t>
      </w:r>
    </w:p>
    <w:p>
      <w:pPr>
        <w:autoSpaceDE w:val="0"/>
        <w:adjustRightInd w:val="0"/>
        <w:snapToGrid w:val="0"/>
        <w:spacing w:line="540" w:lineRule="exact"/>
        <w:ind w:firstLine="720"/>
        <w:rPr>
          <w:rFonts w:ascii="楷体_GB2312" w:hAnsi="宋体" w:eastAsia="楷体_GB2312"/>
          <w:b/>
          <w:w w:val="99"/>
          <w:sz w:val="32"/>
          <w:szCs w:val="32"/>
        </w:rPr>
      </w:pPr>
      <w:r>
        <w:rPr>
          <w:rFonts w:hint="eastAsia" w:ascii="仿宋_GB2312" w:hAnsi="宋体" w:eastAsia="仿宋_GB2312"/>
          <w:w w:val="99"/>
          <w:sz w:val="32"/>
          <w:szCs w:val="32"/>
        </w:rPr>
        <w:t>（4）成本指标，“2022年第一批省级交通专项资金”项目全年实际支出指标</w:t>
      </w:r>
      <w:r>
        <w:rPr>
          <w:rFonts w:hint="eastAsia" w:ascii="宋体" w:hAnsi="宋体"/>
          <w:w w:val="99"/>
          <w:sz w:val="32"/>
          <w:szCs w:val="32"/>
        </w:rPr>
        <w:t>≤</w:t>
      </w:r>
      <w:r>
        <w:rPr>
          <w:rFonts w:ascii="仿宋_GB2312" w:eastAsia="仿宋_GB2312"/>
          <w:spacing w:val="-6"/>
          <w:sz w:val="32"/>
          <w:szCs w:val="32"/>
        </w:rPr>
        <w:t>4,</w:t>
      </w:r>
      <w:r>
        <w:rPr>
          <w:rFonts w:hint="eastAsia" w:ascii="仿宋_GB2312" w:eastAsia="仿宋_GB2312"/>
          <w:spacing w:val="-6"/>
          <w:sz w:val="32"/>
          <w:szCs w:val="32"/>
        </w:rPr>
        <w:t>970</w:t>
      </w:r>
      <w:r>
        <w:rPr>
          <w:rFonts w:ascii="仿宋_GB2312" w:eastAsia="仿宋_GB2312"/>
          <w:spacing w:val="-6"/>
          <w:sz w:val="32"/>
          <w:szCs w:val="32"/>
        </w:rPr>
        <w:t>,</w:t>
      </w:r>
      <w:r>
        <w:rPr>
          <w:rFonts w:hint="eastAsia" w:ascii="仿宋_GB2312" w:eastAsia="仿宋_GB2312"/>
          <w:spacing w:val="-6"/>
          <w:sz w:val="32"/>
          <w:szCs w:val="32"/>
        </w:rPr>
        <w:t>0</w:t>
      </w:r>
      <w:r>
        <w:rPr>
          <w:rFonts w:ascii="仿宋_GB2312" w:eastAsia="仿宋_GB2312"/>
          <w:spacing w:val="-6"/>
          <w:sz w:val="32"/>
          <w:szCs w:val="32"/>
        </w:rPr>
        <w:t>00.00</w:t>
      </w:r>
      <w:r>
        <w:rPr>
          <w:rFonts w:hint="eastAsia" w:ascii="仿宋_GB2312" w:hAnsi="宋体" w:eastAsia="仿宋_GB2312"/>
          <w:w w:val="99"/>
          <w:sz w:val="32"/>
          <w:szCs w:val="32"/>
        </w:rPr>
        <w:t>元，成本控制在预算范围内，实现成本指标要求。</w:t>
      </w:r>
    </w:p>
    <w:p>
      <w:pPr>
        <w:autoSpaceDE w:val="0"/>
        <w:adjustRightInd w:val="0"/>
        <w:snapToGrid w:val="0"/>
        <w:spacing w:line="540" w:lineRule="exact"/>
        <w:ind w:firstLine="720"/>
        <w:rPr>
          <w:rFonts w:ascii="楷体_GB2312" w:hAnsi="宋体" w:eastAsia="楷体_GB2312"/>
          <w:b/>
          <w:w w:val="99"/>
          <w:sz w:val="32"/>
          <w:szCs w:val="32"/>
        </w:rPr>
      </w:pPr>
      <w:r>
        <w:rPr>
          <w:rFonts w:hint="eastAsia" w:ascii="楷体_GB2312" w:hAnsi="宋体" w:eastAsia="楷体_GB2312"/>
          <w:b/>
          <w:w w:val="99"/>
          <w:sz w:val="32"/>
          <w:szCs w:val="32"/>
        </w:rPr>
        <w:t>（二）项目效益情况</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（1）经济效益，我</w:t>
      </w:r>
      <w:r>
        <w:rPr>
          <w:rFonts w:hint="eastAsia" w:ascii="仿宋_GB2312" w:hAnsi="宋体" w:eastAsia="仿宋_GB2312"/>
          <w:w w:val="99"/>
          <w:sz w:val="32"/>
          <w:szCs w:val="32"/>
          <w:lang w:eastAsia="zh-CN"/>
        </w:rPr>
        <w:t>部门</w:t>
      </w:r>
      <w:r>
        <w:rPr>
          <w:rFonts w:hint="eastAsia" w:ascii="仿宋_GB2312" w:hAnsi="宋体" w:eastAsia="仿宋_GB2312"/>
          <w:w w:val="99"/>
          <w:sz w:val="32"/>
          <w:szCs w:val="32"/>
        </w:rPr>
        <w:t>实施的项目不涉及。</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（2）社会效益，通过“2022年第一批省级交通专项资金”项目实施，公路通行条件和路域环境基本改善。</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（3）生态效益，我</w:t>
      </w:r>
      <w:r>
        <w:rPr>
          <w:rFonts w:hint="eastAsia" w:ascii="仿宋_GB2312" w:hAnsi="宋体" w:eastAsia="仿宋_GB2312"/>
          <w:w w:val="99"/>
          <w:sz w:val="32"/>
          <w:szCs w:val="32"/>
          <w:lang w:eastAsia="zh-CN"/>
        </w:rPr>
        <w:t>部门</w:t>
      </w:r>
      <w:r>
        <w:rPr>
          <w:rFonts w:hint="eastAsia" w:ascii="仿宋_GB2312" w:hAnsi="宋体" w:eastAsia="仿宋_GB2312"/>
          <w:w w:val="99"/>
          <w:sz w:val="32"/>
          <w:szCs w:val="32"/>
        </w:rPr>
        <w:t>实施的项目不涉及。</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（4）可持续效益，通过“2022年第一批省级交通专项资金”项目实施，我</w:t>
      </w:r>
      <w:r>
        <w:rPr>
          <w:rFonts w:hint="eastAsia" w:ascii="仿宋_GB2312" w:hAnsi="宋体" w:eastAsia="仿宋_GB2312"/>
          <w:w w:val="99"/>
          <w:sz w:val="32"/>
          <w:szCs w:val="32"/>
          <w:lang w:eastAsia="zh-CN"/>
        </w:rPr>
        <w:t>部门</w:t>
      </w:r>
      <w:r>
        <w:rPr>
          <w:rFonts w:hint="eastAsia" w:ascii="仿宋_GB2312" w:hAnsi="宋体" w:eastAsia="仿宋_GB2312"/>
          <w:w w:val="99"/>
          <w:sz w:val="32"/>
          <w:szCs w:val="32"/>
        </w:rPr>
        <w:t>农村公路治理体系全面完善，治理能力全面提高。</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（5）满意度，通过“2022年第一批省级交通专项资金”项目实施，我</w:t>
      </w:r>
      <w:r>
        <w:rPr>
          <w:rFonts w:hint="eastAsia" w:ascii="仿宋_GB2312" w:hAnsi="宋体" w:eastAsia="仿宋_GB2312"/>
          <w:w w:val="99"/>
          <w:sz w:val="32"/>
          <w:szCs w:val="32"/>
          <w:lang w:eastAsia="zh-CN"/>
        </w:rPr>
        <w:t>部门</w:t>
      </w:r>
      <w:r>
        <w:rPr>
          <w:rFonts w:hint="eastAsia" w:ascii="仿宋_GB2312" w:hAnsi="宋体" w:eastAsia="仿宋_GB2312"/>
          <w:w w:val="99"/>
          <w:sz w:val="32"/>
          <w:szCs w:val="32"/>
        </w:rPr>
        <w:t>随即向辖区内通行车辆及人员发放公路安全通畅通行问卷调查百余份，经测评辖区内通行车辆及人员满意度为90%。</w:t>
      </w:r>
    </w:p>
    <w:p>
      <w:pPr>
        <w:autoSpaceDE w:val="0"/>
        <w:adjustRightInd w:val="0"/>
        <w:snapToGrid w:val="0"/>
        <w:spacing w:line="540" w:lineRule="exact"/>
        <w:ind w:firstLine="720"/>
        <w:rPr>
          <w:rFonts w:ascii="黑体" w:hAnsi="宋体" w:eastAsia="黑体"/>
          <w:w w:val="99"/>
          <w:sz w:val="32"/>
          <w:szCs w:val="32"/>
        </w:rPr>
      </w:pPr>
      <w:r>
        <w:rPr>
          <w:rFonts w:hint="eastAsia" w:ascii="黑体" w:hAnsi="黑体" w:eastAsia="黑体"/>
          <w:w w:val="99"/>
          <w:sz w:val="32"/>
          <w:szCs w:val="32"/>
        </w:rPr>
        <w:t>四、问题及建议</w:t>
      </w:r>
    </w:p>
    <w:p>
      <w:pPr>
        <w:autoSpaceDE w:val="0"/>
        <w:adjustRightInd w:val="0"/>
        <w:snapToGrid w:val="0"/>
        <w:spacing w:line="540" w:lineRule="exact"/>
        <w:ind w:firstLine="720"/>
        <w:rPr>
          <w:rFonts w:ascii="楷体_GB2312" w:hAnsi="宋体" w:eastAsia="楷体_GB2312"/>
          <w:b/>
          <w:w w:val="99"/>
          <w:sz w:val="32"/>
          <w:szCs w:val="32"/>
        </w:rPr>
      </w:pPr>
      <w:r>
        <w:rPr>
          <w:rFonts w:hint="eastAsia" w:ascii="楷体_GB2312" w:hAnsi="宋体" w:eastAsia="楷体_GB2312"/>
          <w:b/>
          <w:w w:val="99"/>
          <w:sz w:val="32"/>
          <w:szCs w:val="32"/>
        </w:rPr>
        <w:t>（一）评价结论</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经按“项目支出绩效评价指标体系”进行综合评价，《公路养护2022年第一批省级交通专项资金项目》绩效评价综合得分“98.91”分，绩效评分结果为“优”。</w:t>
      </w:r>
    </w:p>
    <w:p>
      <w:pPr>
        <w:autoSpaceDE w:val="0"/>
        <w:adjustRightInd w:val="0"/>
        <w:snapToGrid w:val="0"/>
        <w:spacing w:line="540" w:lineRule="exact"/>
        <w:ind w:firstLine="720"/>
        <w:rPr>
          <w:rFonts w:ascii="楷体_GB2312" w:hAnsi="宋体" w:eastAsia="楷体_GB2312"/>
          <w:b/>
          <w:w w:val="99"/>
          <w:sz w:val="32"/>
          <w:szCs w:val="32"/>
        </w:rPr>
      </w:pPr>
      <w:r>
        <w:rPr>
          <w:rFonts w:hint="eastAsia" w:ascii="楷体_GB2312" w:hAnsi="宋体" w:eastAsia="楷体_GB2312"/>
          <w:b/>
          <w:w w:val="99"/>
          <w:sz w:val="32"/>
          <w:szCs w:val="32"/>
        </w:rPr>
        <w:t>（二）存在的问题</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无</w:t>
      </w:r>
    </w:p>
    <w:p>
      <w:pPr>
        <w:autoSpaceDE w:val="0"/>
        <w:adjustRightInd w:val="0"/>
        <w:snapToGrid w:val="0"/>
        <w:spacing w:line="540" w:lineRule="exact"/>
        <w:ind w:firstLine="720"/>
        <w:rPr>
          <w:rFonts w:ascii="楷体_GB2312" w:hAnsi="宋体" w:eastAsia="楷体_GB2312"/>
          <w:b/>
          <w:w w:val="99"/>
          <w:sz w:val="32"/>
          <w:szCs w:val="32"/>
        </w:rPr>
      </w:pPr>
      <w:r>
        <w:rPr>
          <w:rFonts w:hint="eastAsia" w:ascii="楷体_GB2312" w:hAnsi="宋体" w:eastAsia="楷体_GB2312"/>
          <w:b/>
          <w:w w:val="99"/>
          <w:sz w:val="32"/>
          <w:szCs w:val="32"/>
        </w:rPr>
        <w:t>（三）相关建议</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无。</w:t>
      </w:r>
    </w:p>
    <w:p>
      <w:pPr>
        <w:autoSpaceDE w:val="0"/>
        <w:spacing w:line="540" w:lineRule="exact"/>
        <w:ind w:right="320"/>
        <w:jc w:val="right"/>
        <w:rPr>
          <w:rFonts w:ascii="Arial" w:hAnsi="Arial" w:eastAsia="仿宋_GB2312" w:cs="Arial"/>
          <w:sz w:val="32"/>
          <w:szCs w:val="32"/>
        </w:rPr>
      </w:pPr>
      <w:r>
        <w:rPr>
          <w:rFonts w:hint="eastAsia" w:ascii="Arial" w:hAnsi="Arial" w:eastAsia="仿宋_GB2312" w:cs="Arial"/>
          <w:sz w:val="32"/>
          <w:szCs w:val="32"/>
        </w:rPr>
        <w:t>广元市朝天区交通运输局</w:t>
      </w:r>
    </w:p>
    <w:p>
      <w:pPr>
        <w:pStyle w:val="2"/>
        <w:spacing w:before="72"/>
        <w:ind w:firstLine="4480" w:firstLineChars="1400"/>
        <w:rPr>
          <w:sz w:val="32"/>
          <w:szCs w:val="32"/>
        </w:rPr>
      </w:pPr>
      <w:r>
        <w:rPr>
          <w:rFonts w:hint="eastAsia"/>
          <w:sz w:val="32"/>
          <w:szCs w:val="32"/>
        </w:rPr>
        <w:t>二〇二三年五月二十五日</w:t>
      </w:r>
    </w:p>
    <w:p>
      <w:pPr>
        <w:autoSpaceDE w:val="0"/>
        <w:spacing w:line="560" w:lineRule="exact"/>
        <w:jc w:val="center"/>
        <w:rPr>
          <w:rFonts w:ascii="黑体" w:hAnsi="方正小标宋简体" w:eastAsia="黑体" w:cs="方正小标宋简体"/>
          <w:color w:val="000000"/>
          <w:kern w:val="0"/>
          <w:sz w:val="44"/>
          <w:szCs w:val="44"/>
        </w:rPr>
      </w:pPr>
      <w:r>
        <w:rPr>
          <w:rFonts w:hint="eastAsia" w:ascii="黑体" w:hAnsi="方正小标宋简体" w:eastAsia="黑体" w:cs="方正小标宋简体"/>
          <w:color w:val="000000"/>
          <w:kern w:val="0"/>
          <w:sz w:val="44"/>
          <w:szCs w:val="44"/>
        </w:rPr>
        <w:t>二专线公路养护（专门预算）</w:t>
      </w:r>
    </w:p>
    <w:p>
      <w:pPr>
        <w:autoSpaceDE w:val="0"/>
        <w:spacing w:line="560" w:lineRule="exact"/>
        <w:jc w:val="center"/>
        <w:rPr>
          <w:rFonts w:ascii="黑体" w:hAnsi="宋体" w:eastAsia="黑体"/>
          <w:color w:val="000000"/>
          <w:kern w:val="0"/>
          <w:sz w:val="44"/>
          <w:szCs w:val="44"/>
        </w:rPr>
      </w:pPr>
      <w:r>
        <w:rPr>
          <w:rFonts w:hint="eastAsia" w:ascii="黑体" w:hAnsi="方正小标宋简体" w:eastAsia="黑体" w:cs="方正小标宋简体"/>
          <w:color w:val="000000"/>
          <w:kern w:val="0"/>
          <w:sz w:val="44"/>
          <w:szCs w:val="44"/>
        </w:rPr>
        <w:t>项目支出绩效自评报告</w:t>
      </w:r>
    </w:p>
    <w:p>
      <w:pPr>
        <w:autoSpaceDE w:val="0"/>
        <w:adjustRightInd w:val="0"/>
        <w:snapToGrid w:val="0"/>
        <w:spacing w:line="540" w:lineRule="exact"/>
        <w:ind w:firstLine="720"/>
        <w:rPr>
          <w:rFonts w:ascii="黑体" w:hAnsi="宋体" w:eastAsia="黑体"/>
          <w:w w:val="99"/>
          <w:sz w:val="32"/>
          <w:szCs w:val="32"/>
        </w:rPr>
      </w:pPr>
      <w:r>
        <w:rPr>
          <w:rFonts w:hint="eastAsia" w:ascii="黑体" w:hAnsi="黑体" w:eastAsia="黑体"/>
          <w:w w:val="99"/>
          <w:sz w:val="32"/>
          <w:szCs w:val="32"/>
        </w:rPr>
        <w:t>一、项目概况</w:t>
      </w:r>
    </w:p>
    <w:p>
      <w:pPr>
        <w:autoSpaceDE w:val="0"/>
        <w:spacing w:line="540" w:lineRule="exact"/>
        <w:ind w:firstLine="618" w:firstLineChars="200"/>
        <w:rPr>
          <w:rFonts w:ascii="楷体_GB2312" w:eastAsia="楷体_GB2312"/>
          <w:b/>
          <w:spacing w:val="-6"/>
          <w:sz w:val="32"/>
          <w:szCs w:val="32"/>
        </w:rPr>
      </w:pPr>
      <w:r>
        <w:rPr>
          <w:rFonts w:hint="eastAsia" w:ascii="楷体_GB2312" w:eastAsia="楷体_GB2312"/>
          <w:b/>
          <w:spacing w:val="-6"/>
          <w:sz w:val="32"/>
          <w:szCs w:val="32"/>
        </w:rPr>
        <w:t>（一）项目资金申报及批复情况</w:t>
      </w:r>
    </w:p>
    <w:p>
      <w:pPr>
        <w:autoSpaceDE w:val="0"/>
        <w:spacing w:line="540" w:lineRule="exact"/>
        <w:ind w:firstLine="616" w:firstLineChars="200"/>
        <w:rPr>
          <w:rFonts w:ascii="仿宋_GB2312" w:eastAsia="仿宋_GB2312"/>
          <w:spacing w:val="-6"/>
          <w:sz w:val="32"/>
          <w:szCs w:val="32"/>
        </w:rPr>
      </w:pPr>
      <w:r>
        <w:rPr>
          <w:rFonts w:hint="eastAsia" w:ascii="仿宋_GB2312" w:eastAsia="仿宋_GB2312"/>
          <w:spacing w:val="-6"/>
          <w:sz w:val="32"/>
          <w:szCs w:val="32"/>
        </w:rPr>
        <w:t>项目立项依据：“十三五”公路养护管理发展纲要</w:t>
      </w:r>
    </w:p>
    <w:p>
      <w:pPr>
        <w:autoSpaceDE w:val="0"/>
        <w:spacing w:line="540" w:lineRule="exact"/>
        <w:ind w:firstLine="616" w:firstLineChars="200"/>
        <w:rPr>
          <w:rFonts w:ascii="仿宋_GB2312" w:eastAsia="仿宋_GB2312"/>
          <w:spacing w:val="-6"/>
          <w:sz w:val="32"/>
          <w:szCs w:val="32"/>
        </w:rPr>
      </w:pPr>
      <w:r>
        <w:rPr>
          <w:rFonts w:hint="eastAsia" w:ascii="仿宋_GB2312" w:eastAsia="仿宋_GB2312"/>
          <w:spacing w:val="-6"/>
          <w:sz w:val="32"/>
          <w:szCs w:val="32"/>
        </w:rPr>
        <w:t>资金申报依据：《四川省深化农村公路管理养护体制改革实施方案的通知》〔川办发〔2020〕70号〕。</w:t>
      </w:r>
    </w:p>
    <w:p>
      <w:pPr>
        <w:autoSpaceDE w:val="0"/>
        <w:spacing w:line="540" w:lineRule="exact"/>
        <w:ind w:firstLine="616" w:firstLineChars="200"/>
        <w:rPr>
          <w:rFonts w:ascii="仿宋_GB2312" w:hAnsi="宋体" w:eastAsia="仿宋_GB2312"/>
          <w:w w:val="99"/>
          <w:sz w:val="32"/>
          <w:szCs w:val="32"/>
        </w:rPr>
      </w:pPr>
      <w:r>
        <w:rPr>
          <w:rFonts w:hint="eastAsia" w:ascii="仿宋_GB2312" w:eastAsia="仿宋_GB2312"/>
          <w:spacing w:val="-6"/>
          <w:sz w:val="32"/>
          <w:szCs w:val="32"/>
        </w:rPr>
        <w:t>广元市朝天区公路养护段于2021年末向朝天区财政局申请预算资金为200万元的“二专线公路养护”项目支出，于2022年初，获区财政局立项批准，批复预算金额200万元。</w:t>
      </w:r>
    </w:p>
    <w:p>
      <w:pPr>
        <w:autoSpaceDE w:val="0"/>
        <w:adjustRightInd w:val="0"/>
        <w:snapToGrid w:val="0"/>
        <w:spacing w:line="540" w:lineRule="exact"/>
        <w:ind w:firstLine="720"/>
        <w:rPr>
          <w:rFonts w:ascii="楷体_GB2312" w:hAnsi="宋体" w:eastAsia="楷体_GB2312"/>
          <w:b/>
          <w:w w:val="99"/>
          <w:sz w:val="32"/>
          <w:szCs w:val="32"/>
        </w:rPr>
      </w:pPr>
      <w:r>
        <w:rPr>
          <w:rFonts w:hint="eastAsia" w:ascii="楷体_GB2312" w:hAnsi="宋体" w:eastAsia="楷体_GB2312"/>
          <w:b/>
          <w:w w:val="99"/>
          <w:sz w:val="32"/>
          <w:szCs w:val="32"/>
        </w:rPr>
        <w:t>（二）项目绩效目标。</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1．项目主要内容</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完成国道养护距离43.085公里、省道养护距离129.991公里和隧道养护距离2278延米，保持公路及其设施的完好状态,保障行车安全舒适、畅通。及时修复损坏部分，保证公路及设施的完好率≧95%。防治结合,治理公路存在的病害和隐患,逐步提高公路的抗灾能力，延长公路使用年限。</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2．项目应实现的具体绩效目标</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数量指标：国道养护距离43.085公里、省道养护距离129.991公里和隧道养护距离2278延米；</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质量指标：公路及设施的完好率≧95%；</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时效指标：2022年完成，指标值1年；</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成本指标：完成成本</w:t>
      </w:r>
      <w:r>
        <w:rPr>
          <w:rFonts w:hint="eastAsia" w:ascii="宋体" w:hAnsi="宋体"/>
          <w:w w:val="99"/>
          <w:sz w:val="32"/>
          <w:szCs w:val="32"/>
        </w:rPr>
        <w:t>≤</w:t>
      </w:r>
      <w:r>
        <w:rPr>
          <w:rFonts w:hint="eastAsia" w:ascii="仿宋_GB2312" w:hAnsi="宋体" w:eastAsia="仿宋_GB2312"/>
          <w:w w:val="99"/>
          <w:sz w:val="32"/>
          <w:szCs w:val="32"/>
        </w:rPr>
        <w:t>200万元；</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社会效益指标：路面修复完好率100%、保障行车安全舒适、畅通；</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可持续影响指标：保障公路正常运行的作用长期；</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满意度指标：朝天区群众对公路安全畅通的满意度</w:t>
      </w:r>
      <w:r>
        <w:rPr>
          <w:rFonts w:hint="eastAsia" w:ascii="宋体" w:hAnsi="宋体"/>
          <w:w w:val="99"/>
          <w:sz w:val="32"/>
          <w:szCs w:val="32"/>
        </w:rPr>
        <w:t>≥</w:t>
      </w:r>
      <w:r>
        <w:rPr>
          <w:rFonts w:hint="eastAsia" w:ascii="仿宋_GB2312" w:hAnsi="宋体" w:eastAsia="仿宋_GB2312"/>
          <w:w w:val="99"/>
          <w:sz w:val="32"/>
          <w:szCs w:val="32"/>
        </w:rPr>
        <w:t>95%。</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3．申报内容的符合性</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“二专线公路养护”项目系延续性、经常性项目，项目申报与具体实施内容项目相符、申报目标合理可行。</w:t>
      </w:r>
    </w:p>
    <w:p>
      <w:pPr>
        <w:autoSpaceDE w:val="0"/>
        <w:adjustRightInd w:val="0"/>
        <w:snapToGrid w:val="0"/>
        <w:spacing w:line="540" w:lineRule="exact"/>
        <w:ind w:firstLine="720"/>
        <w:rPr>
          <w:rFonts w:ascii="楷体_GB2312" w:hAnsi="宋体" w:eastAsia="楷体_GB2312"/>
          <w:b/>
          <w:w w:val="99"/>
          <w:sz w:val="32"/>
          <w:szCs w:val="32"/>
        </w:rPr>
      </w:pPr>
      <w:r>
        <w:rPr>
          <w:rFonts w:hint="eastAsia" w:ascii="楷体_GB2312" w:hAnsi="宋体" w:eastAsia="楷体_GB2312"/>
          <w:b/>
          <w:w w:val="99"/>
          <w:sz w:val="32"/>
          <w:szCs w:val="32"/>
        </w:rPr>
        <w:t>（三）项目自评步骤及方法。</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步骤一：成立自评组织机构</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成立由业务部门和财务部门组成的专门的自评组织机构，负责组织实施自评工作。</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步骤二：明确自评目的和标准</w:t>
      </w:r>
    </w:p>
    <w:p>
      <w:pPr>
        <w:autoSpaceDE w:val="0"/>
        <w:adjustRightInd w:val="0"/>
        <w:snapToGrid w:val="0"/>
        <w:spacing w:line="600" w:lineRule="exact"/>
        <w:ind w:firstLine="720"/>
        <w:rPr>
          <w:rFonts w:ascii="仿宋_GB2312" w:hAnsi="宋体" w:eastAsia="仿宋_GB2312"/>
          <w:w w:val="99"/>
          <w:sz w:val="32"/>
          <w:szCs w:val="32"/>
        </w:rPr>
      </w:pPr>
      <w:r>
        <w:rPr>
          <w:rFonts w:hint="eastAsia" w:ascii="仿宋_GB2312" w:hAnsi="宋体" w:eastAsia="仿宋_GB2312"/>
          <w:w w:val="99"/>
          <w:sz w:val="32"/>
          <w:szCs w:val="32"/>
        </w:rPr>
        <w:t>明确自评的目的和标准。自评的目的是为了发现问题、改进工作，提高绩效水平。自评的标准是项目的绩效目标。依据《广元市朝天区财政局关于开展2023年部门、政策和项目支出绩效自评工作的通知》（广朝财发〔2023〕19号）</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步骤三：收集数据和信息</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自评小组收集与自评相关的数据和信息，包括工作计划、绩效目标、绩效指标的完成情况、工作成果、服务对象的满意度等。</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步骤四：分析数据和信息</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自评小组对收集到的数据和信息进行统计分析、比较分析等，找出问题和改进的方向。</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步骤五：制定改进措施</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根据分析结果，自评小组确定是否需要制定改进措施，包括改进工作流程、提高工作效率、加强职工培训等。本项目不涉及改进。</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步骤六：实施改进措施</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自评小组按照制定的改进措施，逐步实施改进工作。本项目不涉及。</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步骤七：评估改进效果</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自评小组对改进效果进行评估，看是否达到了预期的效果。本项目不涉及。</w:t>
      </w:r>
    </w:p>
    <w:p>
      <w:pPr>
        <w:autoSpaceDE w:val="0"/>
        <w:adjustRightInd w:val="0"/>
        <w:snapToGrid w:val="0"/>
        <w:spacing w:line="540" w:lineRule="exact"/>
        <w:ind w:firstLine="720"/>
        <w:rPr>
          <w:rFonts w:ascii="黑体" w:hAnsi="宋体" w:eastAsia="黑体"/>
          <w:w w:val="99"/>
          <w:sz w:val="32"/>
          <w:szCs w:val="32"/>
        </w:rPr>
      </w:pPr>
      <w:r>
        <w:rPr>
          <w:rFonts w:hint="eastAsia" w:ascii="黑体" w:hAnsi="黑体" w:eastAsia="黑体"/>
          <w:w w:val="99"/>
          <w:sz w:val="32"/>
          <w:szCs w:val="32"/>
        </w:rPr>
        <w:t>二、项目资金申报及使用情况</w:t>
      </w:r>
    </w:p>
    <w:p>
      <w:pPr>
        <w:autoSpaceDE w:val="0"/>
        <w:adjustRightInd w:val="0"/>
        <w:snapToGrid w:val="0"/>
        <w:spacing w:line="540" w:lineRule="exact"/>
        <w:ind w:firstLine="720"/>
        <w:rPr>
          <w:rFonts w:ascii="仿宋_GB2312" w:hAnsi="宋体" w:eastAsia="仿宋_GB2312"/>
          <w:w w:val="99"/>
          <w:sz w:val="32"/>
          <w:szCs w:val="32"/>
        </w:rPr>
      </w:pPr>
      <w:r>
        <w:rPr>
          <w:rFonts w:hint="eastAsia" w:ascii="楷体_GB2312" w:eastAsia="楷体_GB2312"/>
          <w:b/>
          <w:spacing w:val="-6"/>
          <w:sz w:val="32"/>
          <w:szCs w:val="32"/>
        </w:rPr>
        <w:t>（一）资金计划、到位及使用情况</w:t>
      </w:r>
    </w:p>
    <w:p>
      <w:pPr>
        <w:autoSpaceDE w:val="0"/>
        <w:spacing w:line="540" w:lineRule="exact"/>
        <w:ind w:firstLine="616" w:firstLineChars="200"/>
        <w:rPr>
          <w:rFonts w:ascii="仿宋_GB2312" w:eastAsia="仿宋_GB2312"/>
          <w:spacing w:val="-6"/>
          <w:sz w:val="32"/>
          <w:szCs w:val="32"/>
        </w:rPr>
      </w:pPr>
      <w:r>
        <w:rPr>
          <w:rFonts w:hint="eastAsia" w:ascii="仿宋_GB2312" w:eastAsia="仿宋_GB2312"/>
          <w:spacing w:val="-6"/>
          <w:sz w:val="32"/>
          <w:szCs w:val="32"/>
        </w:rPr>
        <w:t>1.资金计划及到位</w:t>
      </w:r>
    </w:p>
    <w:p>
      <w:pPr>
        <w:autoSpaceDE w:val="0"/>
        <w:spacing w:line="540" w:lineRule="exact"/>
        <w:ind w:firstLine="616" w:firstLineChars="200"/>
        <w:rPr>
          <w:rFonts w:ascii="仿宋_GB2312" w:eastAsia="仿宋_GB2312"/>
          <w:spacing w:val="-6"/>
          <w:sz w:val="32"/>
          <w:szCs w:val="32"/>
        </w:rPr>
      </w:pPr>
      <w:r>
        <w:rPr>
          <w:rFonts w:hint="eastAsia" w:ascii="仿宋_GB2312" w:eastAsia="仿宋_GB2312"/>
          <w:spacing w:val="-6"/>
          <w:sz w:val="32"/>
          <w:szCs w:val="32"/>
        </w:rPr>
        <w:t>2022年度“二专线公路养护”项目，计划总资金2,000,000.00元，截止评价时点，实际到位资金600,000.00元，资金到位率30%。</w:t>
      </w:r>
    </w:p>
    <w:p>
      <w:pPr>
        <w:autoSpaceDE w:val="0"/>
        <w:spacing w:line="540" w:lineRule="exact"/>
        <w:ind w:firstLine="616" w:firstLineChars="200"/>
        <w:rPr>
          <w:rFonts w:ascii="仿宋_GB2312" w:eastAsia="仿宋_GB2312"/>
          <w:spacing w:val="-6"/>
          <w:sz w:val="32"/>
          <w:szCs w:val="32"/>
        </w:rPr>
      </w:pPr>
      <w:r>
        <w:rPr>
          <w:rFonts w:hint="eastAsia" w:ascii="仿宋_GB2312" w:eastAsia="仿宋_GB2312"/>
          <w:spacing w:val="-6"/>
          <w:sz w:val="32"/>
          <w:szCs w:val="32"/>
        </w:rPr>
        <w:t>2.资金使用</w:t>
      </w:r>
    </w:p>
    <w:p>
      <w:pPr>
        <w:autoSpaceDE w:val="0"/>
        <w:spacing w:line="540" w:lineRule="exact"/>
        <w:ind w:firstLine="616" w:firstLineChars="200"/>
        <w:rPr>
          <w:rFonts w:ascii="仿宋_GB2312" w:eastAsia="仿宋_GB2312"/>
          <w:spacing w:val="-6"/>
          <w:sz w:val="32"/>
          <w:szCs w:val="32"/>
        </w:rPr>
      </w:pPr>
      <w:r>
        <w:rPr>
          <w:rFonts w:hint="eastAsia" w:ascii="仿宋_GB2312" w:eastAsia="仿宋_GB2312"/>
          <w:spacing w:val="-6"/>
          <w:sz w:val="32"/>
          <w:szCs w:val="32"/>
        </w:rPr>
        <w:t>“二专线公路养护”项目资金主要用于我</w:t>
      </w:r>
      <w:r>
        <w:rPr>
          <w:rFonts w:hint="eastAsia" w:ascii="仿宋_GB2312" w:eastAsia="仿宋_GB2312"/>
          <w:spacing w:val="-6"/>
          <w:sz w:val="32"/>
          <w:szCs w:val="32"/>
          <w:lang w:eastAsia="zh-CN"/>
        </w:rPr>
        <w:t>部门</w:t>
      </w:r>
      <w:r>
        <w:rPr>
          <w:rFonts w:hint="eastAsia" w:ascii="仿宋_GB2312" w:eastAsia="仿宋_GB2312"/>
          <w:spacing w:val="-6"/>
          <w:sz w:val="32"/>
          <w:szCs w:val="32"/>
        </w:rPr>
        <w:t>辖区内二专线</w:t>
      </w:r>
      <w:r>
        <w:rPr>
          <w:rFonts w:hint="eastAsia" w:ascii="楷体_GB2312" w:hAnsi="宋体" w:eastAsia="楷体_GB2312"/>
          <w:w w:val="99"/>
          <w:sz w:val="32"/>
          <w:szCs w:val="32"/>
        </w:rPr>
        <w:t>国道、省道、隧道养护</w:t>
      </w:r>
      <w:r>
        <w:rPr>
          <w:rFonts w:hint="eastAsia" w:ascii="仿宋_GB2312" w:eastAsia="仿宋_GB2312"/>
          <w:spacing w:val="-6"/>
          <w:sz w:val="32"/>
          <w:szCs w:val="32"/>
        </w:rPr>
        <w:t>的隐患排查、整治、消除工作，2022年度实际支出600,000.00元，支付依据合规合法，资金支付与预算相符，但资金到位率低。</w:t>
      </w:r>
    </w:p>
    <w:p>
      <w:pPr>
        <w:autoSpaceDE w:val="0"/>
        <w:spacing w:line="540" w:lineRule="exact"/>
        <w:ind w:firstLine="618" w:firstLineChars="200"/>
        <w:rPr>
          <w:rFonts w:ascii="楷体_GB2312" w:eastAsia="楷体_GB2312"/>
          <w:bCs/>
          <w:spacing w:val="-6"/>
          <w:sz w:val="32"/>
          <w:szCs w:val="32"/>
        </w:rPr>
      </w:pPr>
      <w:r>
        <w:rPr>
          <w:rFonts w:hint="eastAsia" w:ascii="楷体_GB2312" w:eastAsia="楷体_GB2312"/>
          <w:b/>
          <w:spacing w:val="-6"/>
          <w:sz w:val="32"/>
          <w:szCs w:val="32"/>
        </w:rPr>
        <w:t>（二）项目财务管理情况</w:t>
      </w:r>
    </w:p>
    <w:p>
      <w:pPr>
        <w:autoSpaceDE w:val="0"/>
        <w:spacing w:line="540" w:lineRule="exact"/>
        <w:ind w:firstLine="616" w:firstLineChars="200"/>
        <w:rPr>
          <w:rFonts w:ascii="仿宋_GB2312" w:eastAsia="仿宋_GB2312"/>
          <w:spacing w:val="-6"/>
          <w:sz w:val="32"/>
          <w:szCs w:val="32"/>
        </w:rPr>
      </w:pPr>
      <w:r>
        <w:rPr>
          <w:rFonts w:hint="eastAsia" w:ascii="仿宋_GB2312" w:eastAsia="仿宋_GB2312"/>
          <w:spacing w:val="-6"/>
          <w:sz w:val="32"/>
          <w:szCs w:val="32"/>
        </w:rPr>
        <w:t>为加强和规范“二专线公路养护”项目资金管理，充分发挥项目资金使用绩效，我</w:t>
      </w:r>
      <w:r>
        <w:rPr>
          <w:rFonts w:hint="eastAsia" w:ascii="仿宋_GB2312" w:eastAsia="仿宋_GB2312"/>
          <w:spacing w:val="-6"/>
          <w:sz w:val="32"/>
          <w:szCs w:val="32"/>
          <w:lang w:eastAsia="zh-CN"/>
        </w:rPr>
        <w:t>部门</w:t>
      </w:r>
      <w:r>
        <w:rPr>
          <w:rFonts w:hint="eastAsia" w:ascii="仿宋_GB2312" w:eastAsia="仿宋_GB2312"/>
          <w:spacing w:val="-6"/>
          <w:sz w:val="32"/>
          <w:szCs w:val="32"/>
        </w:rPr>
        <w:t>按照项目资金目标，由业务股室牵头组织实施，制定工作计划，确定项目的组织实施及管理；根据专项资金专款专用的原则，申请审批经费，加强了资金的计划管理，保证了资金使用用途、审批程序、经费开支范围及标准符合规范，做到了报账手续合规，同时加强项目绩效监控，保证资金使用的效率，实现了绩效目标。</w:t>
      </w:r>
    </w:p>
    <w:p>
      <w:pPr>
        <w:autoSpaceDE w:val="0"/>
        <w:spacing w:line="540" w:lineRule="exact"/>
        <w:ind w:firstLine="618" w:firstLineChars="200"/>
        <w:rPr>
          <w:rFonts w:ascii="楷体_GB2312" w:eastAsia="楷体_GB2312"/>
          <w:b/>
          <w:spacing w:val="-6"/>
          <w:sz w:val="32"/>
          <w:szCs w:val="32"/>
        </w:rPr>
      </w:pPr>
      <w:r>
        <w:rPr>
          <w:rFonts w:hint="eastAsia" w:ascii="楷体_GB2312" w:eastAsia="楷体_GB2312"/>
          <w:b/>
          <w:spacing w:val="-6"/>
          <w:sz w:val="32"/>
          <w:szCs w:val="32"/>
        </w:rPr>
        <w:t>（三）项目组织实施情况</w:t>
      </w:r>
    </w:p>
    <w:p>
      <w:pPr>
        <w:autoSpaceDE w:val="0"/>
        <w:adjustRightInd w:val="0"/>
        <w:snapToGrid w:val="0"/>
        <w:spacing w:line="560" w:lineRule="exact"/>
        <w:ind w:firstLine="720"/>
        <w:rPr>
          <w:rFonts w:ascii="楷体_GB2312" w:hAnsi="宋体" w:eastAsia="楷体_GB2312"/>
          <w:b/>
          <w:w w:val="99"/>
          <w:sz w:val="32"/>
          <w:szCs w:val="32"/>
        </w:rPr>
      </w:pPr>
      <w:r>
        <w:rPr>
          <w:rFonts w:hint="eastAsia" w:ascii="楷体_GB2312" w:hAnsi="宋体" w:eastAsia="楷体_GB2312"/>
          <w:b/>
          <w:w w:val="99"/>
          <w:sz w:val="32"/>
          <w:szCs w:val="32"/>
        </w:rPr>
        <w:t>1.项目组织架构及实施流程</w:t>
      </w:r>
    </w:p>
    <w:p>
      <w:pPr>
        <w:autoSpaceDE w:val="0"/>
        <w:adjustRightInd w:val="0"/>
        <w:snapToGrid w:val="0"/>
        <w:spacing w:line="560" w:lineRule="exact"/>
        <w:ind w:firstLine="720"/>
        <w:rPr>
          <w:rFonts w:ascii="仿宋_GB2312" w:hAnsi="宋体" w:eastAsia="仿宋_GB2312"/>
          <w:w w:val="99"/>
          <w:sz w:val="32"/>
          <w:szCs w:val="32"/>
        </w:rPr>
      </w:pPr>
      <w:r>
        <w:rPr>
          <w:rFonts w:hint="eastAsia" w:ascii="仿宋_GB2312" w:hAnsi="宋体" w:eastAsia="仿宋_GB2312"/>
          <w:w w:val="99"/>
          <w:sz w:val="32"/>
          <w:szCs w:val="32"/>
        </w:rPr>
        <w:t>为全面做好公路地质灾害及安全隐患的排查整治工作，我</w:t>
      </w:r>
      <w:r>
        <w:rPr>
          <w:rFonts w:hint="eastAsia" w:ascii="仿宋_GB2312" w:hAnsi="宋体" w:eastAsia="仿宋_GB2312"/>
          <w:w w:val="99"/>
          <w:sz w:val="32"/>
          <w:szCs w:val="32"/>
          <w:lang w:eastAsia="zh-CN"/>
        </w:rPr>
        <w:t>部门</w:t>
      </w:r>
      <w:r>
        <w:rPr>
          <w:rFonts w:hint="eastAsia" w:ascii="仿宋_GB2312" w:hAnsi="宋体" w:eastAsia="仿宋_GB2312"/>
          <w:w w:val="99"/>
          <w:sz w:val="32"/>
          <w:szCs w:val="32"/>
        </w:rPr>
        <w:t>成立了公路养护维护小组负责项目的具体实施，设置了养护站和专业桥梁养护队伍，加强公路地质灾害和安全隐患排查治理工作，规范公路日常养护。</w:t>
      </w:r>
    </w:p>
    <w:p>
      <w:pPr>
        <w:autoSpaceDE w:val="0"/>
        <w:adjustRightInd w:val="0"/>
        <w:snapToGrid w:val="0"/>
        <w:spacing w:line="560" w:lineRule="exact"/>
        <w:ind w:firstLine="720"/>
        <w:rPr>
          <w:rFonts w:ascii="仿宋_GB2312" w:hAnsi="宋体" w:eastAsia="仿宋_GB2312"/>
          <w:w w:val="99"/>
          <w:sz w:val="32"/>
          <w:szCs w:val="32"/>
        </w:rPr>
      </w:pPr>
      <w:r>
        <w:rPr>
          <w:rFonts w:hint="eastAsia" w:ascii="仿宋_GB2312" w:hAnsi="宋体" w:eastAsia="仿宋_GB2312"/>
          <w:w w:val="99"/>
          <w:sz w:val="32"/>
          <w:szCs w:val="32"/>
        </w:rPr>
        <w:t>一是常态化开展路面巡查，及时发现全区公路安全隐患，并建立巡查和整改台账，对维修整治后的隐患及时销号，对一时难以恢复的路基缺口、危岩、高边坡等设置安全警示标志标牌，提醒过往行人车、车辆注意安全，并及时制定隐患治理方案；二是邀请专业机构对桥梁隧道安全情况进行检查。</w:t>
      </w:r>
    </w:p>
    <w:p>
      <w:pPr>
        <w:autoSpaceDE w:val="0"/>
        <w:adjustRightInd w:val="0"/>
        <w:snapToGrid w:val="0"/>
        <w:spacing w:line="560" w:lineRule="exact"/>
        <w:ind w:firstLine="720"/>
        <w:rPr>
          <w:rFonts w:ascii="楷体_GB2312" w:hAnsi="宋体" w:eastAsia="楷体_GB2312"/>
          <w:b/>
          <w:w w:val="99"/>
          <w:sz w:val="32"/>
          <w:szCs w:val="32"/>
        </w:rPr>
      </w:pPr>
      <w:r>
        <w:rPr>
          <w:rFonts w:hint="eastAsia" w:ascii="楷体_GB2312" w:hAnsi="宋体" w:eastAsia="楷体_GB2312"/>
          <w:b/>
          <w:w w:val="99"/>
          <w:sz w:val="32"/>
          <w:szCs w:val="32"/>
        </w:rPr>
        <w:t>2.项目管理情况</w:t>
      </w:r>
    </w:p>
    <w:p>
      <w:pPr>
        <w:autoSpaceDE w:val="0"/>
        <w:adjustRightInd w:val="0"/>
        <w:snapToGrid w:val="0"/>
        <w:spacing w:line="560" w:lineRule="exact"/>
        <w:ind w:firstLine="720"/>
        <w:rPr>
          <w:rFonts w:ascii="仿宋_GB2312" w:hAnsi="宋体" w:eastAsia="仿宋_GB2312"/>
          <w:w w:val="99"/>
          <w:sz w:val="32"/>
          <w:szCs w:val="32"/>
        </w:rPr>
      </w:pPr>
      <w:r>
        <w:rPr>
          <w:rFonts w:hint="eastAsia" w:ascii="仿宋_GB2312" w:hAnsi="宋体" w:eastAsia="仿宋_GB2312"/>
          <w:w w:val="99"/>
          <w:sz w:val="32"/>
          <w:szCs w:val="32"/>
        </w:rPr>
        <w:t>加强对养护站工作考核。对养护站月度指令性计划完成情况进行认真考核，严格执行考核标准，结合平时道路巡查、应急抢险等工作综合评定各站月度工作情况，并纳入月度及年终目标绩效管理，高效促进工作开展；二是加强对乡镇工作考核。每季度对乡镇管养农村公路情况进行检查考核，根据考核情况下发养护情况通报，并按标准拨付农村公路养护资金。成立专业桥梁养护队伍，负责国道、县道公路桥梁的日常养护及乡村道路桥梁日常养护的督促、指导和桥梁的定期检查工作。</w:t>
      </w:r>
    </w:p>
    <w:p>
      <w:pPr>
        <w:autoSpaceDE w:val="0"/>
        <w:adjustRightInd w:val="0"/>
        <w:snapToGrid w:val="0"/>
        <w:spacing w:line="560" w:lineRule="exact"/>
        <w:ind w:firstLine="720"/>
        <w:rPr>
          <w:rFonts w:ascii="楷体_GB2312" w:hAnsi="宋体" w:eastAsia="楷体_GB2312"/>
          <w:b/>
          <w:w w:val="99"/>
          <w:sz w:val="32"/>
          <w:szCs w:val="32"/>
        </w:rPr>
      </w:pPr>
      <w:r>
        <w:rPr>
          <w:rFonts w:hint="eastAsia" w:ascii="楷体_GB2312" w:hAnsi="宋体" w:eastAsia="楷体_GB2312"/>
          <w:b/>
          <w:w w:val="99"/>
          <w:sz w:val="32"/>
          <w:szCs w:val="32"/>
        </w:rPr>
        <w:t>3.项目监管情况</w:t>
      </w:r>
    </w:p>
    <w:p>
      <w:pPr>
        <w:autoSpaceDE w:val="0"/>
        <w:adjustRightInd w:val="0"/>
        <w:snapToGrid w:val="0"/>
        <w:spacing w:line="560" w:lineRule="exact"/>
        <w:ind w:firstLine="720"/>
        <w:rPr>
          <w:rFonts w:ascii="仿宋_GB2312" w:hAnsi="宋体" w:eastAsia="仿宋_GB2312"/>
          <w:w w:val="99"/>
          <w:sz w:val="32"/>
          <w:szCs w:val="32"/>
        </w:rPr>
      </w:pPr>
      <w:r>
        <w:rPr>
          <w:rFonts w:hint="eastAsia" w:ascii="仿宋_GB2312" w:hAnsi="宋体" w:eastAsia="仿宋_GB2312"/>
          <w:w w:val="99"/>
          <w:sz w:val="32"/>
          <w:szCs w:val="32"/>
        </w:rPr>
        <w:t>为保障项目的顺利实施，加强项目管理我</w:t>
      </w:r>
      <w:r>
        <w:rPr>
          <w:rFonts w:hint="eastAsia" w:ascii="仿宋_GB2312" w:hAnsi="宋体" w:eastAsia="仿宋_GB2312"/>
          <w:w w:val="99"/>
          <w:sz w:val="32"/>
          <w:szCs w:val="32"/>
          <w:lang w:eastAsia="zh-CN"/>
        </w:rPr>
        <w:t>部门</w:t>
      </w:r>
      <w:r>
        <w:rPr>
          <w:rFonts w:hint="eastAsia" w:ascii="仿宋_GB2312" w:hAnsi="宋体" w:eastAsia="仿宋_GB2312"/>
          <w:w w:val="99"/>
          <w:sz w:val="32"/>
          <w:szCs w:val="32"/>
        </w:rPr>
        <w:t>制定有制度汇编，涵盖包括“三重一大”集体决策制度、资产管理制度、建设项目管理制度、收支业务管理制度、预算业务管理制度、政府采购业务管理制度、合同管理制度、财务管理制度等。</w:t>
      </w:r>
    </w:p>
    <w:p>
      <w:pPr>
        <w:autoSpaceDE w:val="0"/>
        <w:adjustRightInd w:val="0"/>
        <w:snapToGrid w:val="0"/>
        <w:spacing w:line="560" w:lineRule="exact"/>
        <w:ind w:firstLine="720"/>
        <w:rPr>
          <w:rFonts w:ascii="仿宋_GB2312" w:hAnsi="宋体" w:eastAsia="仿宋_GB2312"/>
          <w:w w:val="99"/>
          <w:sz w:val="32"/>
          <w:szCs w:val="32"/>
        </w:rPr>
      </w:pPr>
      <w:r>
        <w:rPr>
          <w:rFonts w:hint="eastAsia" w:ascii="黑体" w:hAnsi="黑体" w:eastAsia="黑体"/>
          <w:w w:val="99"/>
          <w:sz w:val="32"/>
          <w:szCs w:val="32"/>
        </w:rPr>
        <w:t>三、项目绩效情况</w:t>
      </w:r>
      <w:r>
        <w:rPr>
          <w:rFonts w:hint="eastAsia" w:ascii="仿宋_GB2312" w:hAnsi="宋体" w:eastAsia="仿宋_GB2312"/>
          <w:w w:val="99"/>
          <w:sz w:val="32"/>
          <w:szCs w:val="32"/>
        </w:rPr>
        <w:tab/>
      </w:r>
    </w:p>
    <w:p>
      <w:pPr>
        <w:autoSpaceDE w:val="0"/>
        <w:adjustRightInd w:val="0"/>
        <w:snapToGrid w:val="0"/>
        <w:spacing w:line="560" w:lineRule="exact"/>
        <w:ind w:firstLine="720"/>
        <w:rPr>
          <w:rFonts w:ascii="楷体_GB2312" w:hAnsi="宋体" w:eastAsia="楷体_GB2312"/>
          <w:b/>
          <w:w w:val="99"/>
          <w:sz w:val="32"/>
          <w:szCs w:val="32"/>
        </w:rPr>
      </w:pPr>
      <w:r>
        <w:rPr>
          <w:rFonts w:hint="eastAsia" w:ascii="楷体_GB2312" w:hAnsi="宋体" w:eastAsia="楷体_GB2312"/>
          <w:b/>
          <w:w w:val="99"/>
          <w:sz w:val="32"/>
          <w:szCs w:val="32"/>
        </w:rPr>
        <w:t>（一）项目完成情况</w:t>
      </w:r>
    </w:p>
    <w:p>
      <w:pPr>
        <w:autoSpaceDE w:val="0"/>
        <w:adjustRightInd w:val="0"/>
        <w:snapToGrid w:val="0"/>
        <w:spacing w:line="560" w:lineRule="exact"/>
        <w:ind w:firstLine="720"/>
        <w:rPr>
          <w:rFonts w:ascii="仿宋_GB2312" w:hAnsi="宋体" w:eastAsia="仿宋_GB2312"/>
          <w:w w:val="99"/>
          <w:sz w:val="32"/>
          <w:szCs w:val="32"/>
        </w:rPr>
      </w:pPr>
      <w:r>
        <w:rPr>
          <w:rFonts w:hint="eastAsia" w:ascii="仿宋_GB2312" w:hAnsi="宋体" w:eastAsia="仿宋_GB2312"/>
          <w:w w:val="99"/>
          <w:sz w:val="32"/>
          <w:szCs w:val="32"/>
        </w:rPr>
        <w:t>（1）数量指标，2022年，我</w:t>
      </w:r>
      <w:r>
        <w:rPr>
          <w:rFonts w:hint="eastAsia" w:ascii="仿宋_GB2312" w:hAnsi="宋体" w:eastAsia="仿宋_GB2312"/>
          <w:w w:val="99"/>
          <w:sz w:val="32"/>
          <w:szCs w:val="32"/>
          <w:lang w:eastAsia="zh-CN"/>
        </w:rPr>
        <w:t>部门</w:t>
      </w:r>
      <w:r>
        <w:rPr>
          <w:rFonts w:hint="eastAsia" w:ascii="仿宋_GB2312" w:hAnsi="宋体" w:eastAsia="仿宋_GB2312"/>
          <w:w w:val="99"/>
          <w:sz w:val="32"/>
          <w:szCs w:val="32"/>
        </w:rPr>
        <w:t>共计完成国道养护距离43.085公里、省道养护距离129.991公里、隧道养护距离2278延米，实现数量指标。</w:t>
      </w:r>
    </w:p>
    <w:p>
      <w:pPr>
        <w:autoSpaceDE w:val="0"/>
        <w:adjustRightInd w:val="0"/>
        <w:snapToGrid w:val="0"/>
        <w:spacing w:line="560" w:lineRule="exact"/>
        <w:ind w:firstLine="720"/>
        <w:rPr>
          <w:rFonts w:ascii="仿宋_GB2312" w:hAnsi="宋体" w:eastAsia="仿宋_GB2312"/>
          <w:w w:val="99"/>
          <w:sz w:val="32"/>
          <w:szCs w:val="32"/>
        </w:rPr>
      </w:pPr>
      <w:r>
        <w:rPr>
          <w:rFonts w:hint="eastAsia" w:ascii="仿宋_GB2312" w:hAnsi="宋体" w:eastAsia="仿宋_GB2312"/>
          <w:w w:val="99"/>
          <w:sz w:val="32"/>
          <w:szCs w:val="32"/>
        </w:rPr>
        <w:t>（2）质量指标，通过“二专线公路养护”项目实施，全面覆盖我</w:t>
      </w:r>
      <w:r>
        <w:rPr>
          <w:rFonts w:hint="eastAsia" w:ascii="仿宋_GB2312" w:hAnsi="宋体" w:eastAsia="仿宋_GB2312"/>
          <w:w w:val="99"/>
          <w:sz w:val="32"/>
          <w:szCs w:val="32"/>
          <w:lang w:eastAsia="zh-CN"/>
        </w:rPr>
        <w:t>部门</w:t>
      </w:r>
      <w:r>
        <w:rPr>
          <w:rFonts w:hint="eastAsia" w:ascii="仿宋_GB2312" w:hAnsi="宋体" w:eastAsia="仿宋_GB2312"/>
          <w:w w:val="99"/>
          <w:sz w:val="32"/>
          <w:szCs w:val="32"/>
        </w:rPr>
        <w:t>辖区内108国道线及二专线，保持公路及其设施的完好率95.5%</w:t>
      </w:r>
      <w:r>
        <w:rPr>
          <w:rFonts w:hint="eastAsia" w:ascii="宋体" w:hAnsi="宋体"/>
          <w:w w:val="99"/>
          <w:sz w:val="32"/>
          <w:szCs w:val="32"/>
        </w:rPr>
        <w:t>≥</w:t>
      </w:r>
      <w:r>
        <w:rPr>
          <w:rFonts w:hint="eastAsia" w:ascii="仿宋_GB2312" w:hAnsi="宋体" w:eastAsia="仿宋_GB2312"/>
          <w:w w:val="99"/>
          <w:sz w:val="32"/>
          <w:szCs w:val="32"/>
        </w:rPr>
        <w:t>95%，实现质量指标。</w:t>
      </w:r>
    </w:p>
    <w:p>
      <w:pPr>
        <w:autoSpaceDE w:val="0"/>
        <w:adjustRightInd w:val="0"/>
        <w:snapToGrid w:val="0"/>
        <w:spacing w:line="560" w:lineRule="exact"/>
        <w:ind w:firstLine="720"/>
        <w:rPr>
          <w:rFonts w:ascii="仿宋_GB2312" w:hAnsi="宋体" w:eastAsia="仿宋_GB2312"/>
          <w:w w:val="99"/>
          <w:sz w:val="32"/>
          <w:szCs w:val="32"/>
        </w:rPr>
      </w:pPr>
      <w:r>
        <w:rPr>
          <w:rFonts w:hint="eastAsia" w:ascii="仿宋_GB2312" w:hAnsi="宋体" w:eastAsia="仿宋_GB2312"/>
          <w:w w:val="99"/>
          <w:sz w:val="32"/>
          <w:szCs w:val="32"/>
        </w:rPr>
        <w:t>（3）时效指标，截止评价时点，我</w:t>
      </w:r>
      <w:r>
        <w:rPr>
          <w:rFonts w:hint="eastAsia" w:ascii="仿宋_GB2312" w:hAnsi="宋体" w:eastAsia="仿宋_GB2312"/>
          <w:w w:val="99"/>
          <w:sz w:val="32"/>
          <w:szCs w:val="32"/>
          <w:lang w:eastAsia="zh-CN"/>
        </w:rPr>
        <w:t>部门</w:t>
      </w:r>
      <w:r>
        <w:rPr>
          <w:rFonts w:hint="eastAsia" w:ascii="仿宋_GB2312" w:hAnsi="宋体" w:eastAsia="仿宋_GB2312"/>
          <w:w w:val="99"/>
          <w:sz w:val="32"/>
          <w:szCs w:val="32"/>
        </w:rPr>
        <w:t>共计完成国道养护距离43.085公里、省道养护距离129.991公里、隧道养护距离2278延米的隐患排查、整治和消除工作，在规定时限内完成2022年度阶段目标，实现时效指标要求。</w:t>
      </w:r>
    </w:p>
    <w:p>
      <w:pPr>
        <w:autoSpaceDE w:val="0"/>
        <w:adjustRightInd w:val="0"/>
        <w:snapToGrid w:val="0"/>
        <w:spacing w:line="560" w:lineRule="exact"/>
        <w:ind w:firstLine="720"/>
        <w:rPr>
          <w:rFonts w:ascii="楷体_GB2312" w:hAnsi="宋体" w:eastAsia="楷体_GB2312"/>
          <w:b/>
          <w:w w:val="99"/>
          <w:sz w:val="32"/>
          <w:szCs w:val="32"/>
        </w:rPr>
      </w:pPr>
      <w:r>
        <w:rPr>
          <w:rFonts w:hint="eastAsia" w:ascii="仿宋_GB2312" w:hAnsi="宋体" w:eastAsia="仿宋_GB2312"/>
          <w:w w:val="99"/>
          <w:sz w:val="32"/>
          <w:szCs w:val="32"/>
        </w:rPr>
        <w:t>（4）成本指标，“二专线公路养护”项目全年实际支出指标</w:t>
      </w:r>
      <w:r>
        <w:rPr>
          <w:rFonts w:hint="eastAsia" w:ascii="宋体" w:hAnsi="宋体"/>
          <w:w w:val="99"/>
          <w:sz w:val="32"/>
          <w:szCs w:val="32"/>
        </w:rPr>
        <w:t>≤</w:t>
      </w:r>
      <w:r>
        <w:rPr>
          <w:rFonts w:hint="eastAsia" w:ascii="仿宋_GB2312" w:hAnsi="宋体" w:eastAsia="仿宋_GB2312"/>
          <w:w w:val="99"/>
          <w:sz w:val="32"/>
          <w:szCs w:val="32"/>
        </w:rPr>
        <w:t>2,000,000.00元，成本控制在预算范围内，实现成本指标要求。</w:t>
      </w:r>
    </w:p>
    <w:p>
      <w:pPr>
        <w:autoSpaceDE w:val="0"/>
        <w:adjustRightInd w:val="0"/>
        <w:snapToGrid w:val="0"/>
        <w:spacing w:line="560" w:lineRule="exact"/>
        <w:ind w:firstLine="720"/>
        <w:rPr>
          <w:rFonts w:ascii="楷体_GB2312" w:hAnsi="宋体" w:eastAsia="楷体_GB2312"/>
          <w:b/>
          <w:w w:val="99"/>
          <w:sz w:val="32"/>
          <w:szCs w:val="32"/>
        </w:rPr>
      </w:pPr>
      <w:r>
        <w:rPr>
          <w:rFonts w:hint="eastAsia" w:ascii="楷体_GB2312" w:hAnsi="宋体" w:eastAsia="楷体_GB2312"/>
          <w:b/>
          <w:w w:val="99"/>
          <w:sz w:val="32"/>
          <w:szCs w:val="32"/>
        </w:rPr>
        <w:t>（二）项目效益情况</w:t>
      </w:r>
    </w:p>
    <w:p>
      <w:pPr>
        <w:autoSpaceDE w:val="0"/>
        <w:adjustRightInd w:val="0"/>
        <w:snapToGrid w:val="0"/>
        <w:spacing w:line="560" w:lineRule="exact"/>
        <w:ind w:firstLine="720"/>
        <w:rPr>
          <w:rFonts w:ascii="仿宋_GB2312" w:hAnsi="宋体" w:eastAsia="仿宋_GB2312"/>
          <w:w w:val="99"/>
          <w:sz w:val="32"/>
          <w:szCs w:val="32"/>
        </w:rPr>
      </w:pPr>
      <w:r>
        <w:rPr>
          <w:rFonts w:hint="eastAsia" w:ascii="仿宋_GB2312" w:hAnsi="宋体" w:eastAsia="仿宋_GB2312"/>
          <w:w w:val="99"/>
          <w:sz w:val="32"/>
          <w:szCs w:val="32"/>
        </w:rPr>
        <w:t>（1）经济效益，我</w:t>
      </w:r>
      <w:r>
        <w:rPr>
          <w:rFonts w:hint="eastAsia" w:ascii="仿宋_GB2312" w:hAnsi="宋体" w:eastAsia="仿宋_GB2312"/>
          <w:w w:val="99"/>
          <w:sz w:val="32"/>
          <w:szCs w:val="32"/>
          <w:lang w:eastAsia="zh-CN"/>
        </w:rPr>
        <w:t>部门</w:t>
      </w:r>
      <w:r>
        <w:rPr>
          <w:rFonts w:hint="eastAsia" w:ascii="仿宋_GB2312" w:hAnsi="宋体" w:eastAsia="仿宋_GB2312"/>
          <w:w w:val="99"/>
          <w:sz w:val="32"/>
          <w:szCs w:val="32"/>
        </w:rPr>
        <w:t>实施的项目不涉及。</w:t>
      </w:r>
    </w:p>
    <w:p>
      <w:pPr>
        <w:autoSpaceDE w:val="0"/>
        <w:adjustRightInd w:val="0"/>
        <w:snapToGrid w:val="0"/>
        <w:spacing w:line="560" w:lineRule="exact"/>
        <w:ind w:firstLine="720"/>
        <w:rPr>
          <w:rFonts w:ascii="仿宋_GB2312" w:hAnsi="宋体" w:eastAsia="仿宋_GB2312"/>
          <w:w w:val="99"/>
          <w:sz w:val="32"/>
          <w:szCs w:val="32"/>
        </w:rPr>
      </w:pPr>
      <w:r>
        <w:rPr>
          <w:rFonts w:hint="eastAsia" w:ascii="仿宋_GB2312" w:hAnsi="宋体" w:eastAsia="仿宋_GB2312"/>
          <w:w w:val="99"/>
          <w:sz w:val="32"/>
          <w:szCs w:val="32"/>
        </w:rPr>
        <w:t>（2）社会效益，通过“二专线公路养护”项目实施，路面修复完好率100%，保障行车安全舒适、畅通。</w:t>
      </w:r>
    </w:p>
    <w:p>
      <w:pPr>
        <w:autoSpaceDE w:val="0"/>
        <w:adjustRightInd w:val="0"/>
        <w:snapToGrid w:val="0"/>
        <w:spacing w:line="560" w:lineRule="exact"/>
        <w:ind w:firstLine="720"/>
        <w:rPr>
          <w:rFonts w:ascii="仿宋_GB2312" w:hAnsi="宋体" w:eastAsia="仿宋_GB2312"/>
          <w:w w:val="99"/>
          <w:sz w:val="32"/>
          <w:szCs w:val="32"/>
        </w:rPr>
      </w:pPr>
      <w:r>
        <w:rPr>
          <w:rFonts w:hint="eastAsia" w:ascii="仿宋_GB2312" w:hAnsi="宋体" w:eastAsia="仿宋_GB2312"/>
          <w:w w:val="99"/>
          <w:sz w:val="32"/>
          <w:szCs w:val="32"/>
        </w:rPr>
        <w:t>（3）生态效益，我</w:t>
      </w:r>
      <w:r>
        <w:rPr>
          <w:rFonts w:hint="eastAsia" w:ascii="仿宋_GB2312" w:hAnsi="宋体" w:eastAsia="仿宋_GB2312"/>
          <w:w w:val="99"/>
          <w:sz w:val="32"/>
          <w:szCs w:val="32"/>
          <w:lang w:eastAsia="zh-CN"/>
        </w:rPr>
        <w:t>部门</w:t>
      </w:r>
      <w:r>
        <w:rPr>
          <w:rFonts w:hint="eastAsia" w:ascii="仿宋_GB2312" w:hAnsi="宋体" w:eastAsia="仿宋_GB2312"/>
          <w:w w:val="99"/>
          <w:sz w:val="32"/>
          <w:szCs w:val="32"/>
        </w:rPr>
        <w:t>实施的项目不涉及。</w:t>
      </w:r>
    </w:p>
    <w:p>
      <w:pPr>
        <w:autoSpaceDE w:val="0"/>
        <w:adjustRightInd w:val="0"/>
        <w:snapToGrid w:val="0"/>
        <w:spacing w:line="560" w:lineRule="exact"/>
        <w:ind w:firstLine="720"/>
        <w:rPr>
          <w:rFonts w:ascii="仿宋_GB2312" w:hAnsi="宋体" w:eastAsia="仿宋_GB2312"/>
          <w:w w:val="99"/>
          <w:sz w:val="32"/>
          <w:szCs w:val="32"/>
        </w:rPr>
      </w:pPr>
      <w:r>
        <w:rPr>
          <w:rFonts w:hint="eastAsia" w:ascii="仿宋_GB2312" w:hAnsi="宋体" w:eastAsia="仿宋_GB2312"/>
          <w:w w:val="99"/>
          <w:sz w:val="32"/>
          <w:szCs w:val="32"/>
        </w:rPr>
        <w:t>（4）可持续效益，通过“二专线公路养护”项目实施，我</w:t>
      </w:r>
      <w:r>
        <w:rPr>
          <w:rFonts w:hint="eastAsia" w:ascii="仿宋_GB2312" w:hAnsi="宋体" w:eastAsia="仿宋_GB2312"/>
          <w:w w:val="99"/>
          <w:sz w:val="32"/>
          <w:szCs w:val="32"/>
          <w:lang w:eastAsia="zh-CN"/>
        </w:rPr>
        <w:t>部门</w:t>
      </w:r>
      <w:r>
        <w:rPr>
          <w:rFonts w:hint="eastAsia" w:ascii="仿宋_GB2312" w:hAnsi="宋体" w:eastAsia="仿宋_GB2312"/>
          <w:w w:val="99"/>
          <w:sz w:val="32"/>
          <w:szCs w:val="32"/>
        </w:rPr>
        <w:t>分级分类建立安全隐患台账，按轻重缓急逐项整治、销号，保障了二专线100%正常运行。</w:t>
      </w:r>
    </w:p>
    <w:p>
      <w:pPr>
        <w:autoSpaceDE w:val="0"/>
        <w:adjustRightInd w:val="0"/>
        <w:snapToGrid w:val="0"/>
        <w:spacing w:line="560" w:lineRule="exact"/>
        <w:ind w:firstLine="720"/>
        <w:rPr>
          <w:rFonts w:ascii="仿宋_GB2312" w:hAnsi="宋体" w:eastAsia="仿宋_GB2312"/>
          <w:w w:val="99"/>
          <w:sz w:val="32"/>
          <w:szCs w:val="32"/>
        </w:rPr>
      </w:pPr>
      <w:r>
        <w:rPr>
          <w:rFonts w:hint="eastAsia" w:ascii="仿宋_GB2312" w:hAnsi="宋体" w:eastAsia="仿宋_GB2312"/>
          <w:w w:val="99"/>
          <w:sz w:val="32"/>
          <w:szCs w:val="32"/>
        </w:rPr>
        <w:t>（5）满意度，通过“二专线公路养护”项目实施，我</w:t>
      </w:r>
      <w:r>
        <w:rPr>
          <w:rFonts w:hint="eastAsia" w:ascii="仿宋_GB2312" w:hAnsi="宋体" w:eastAsia="仿宋_GB2312"/>
          <w:w w:val="99"/>
          <w:sz w:val="32"/>
          <w:szCs w:val="32"/>
          <w:lang w:eastAsia="zh-CN"/>
        </w:rPr>
        <w:t>部门</w:t>
      </w:r>
      <w:r>
        <w:rPr>
          <w:rFonts w:hint="eastAsia" w:ascii="仿宋_GB2312" w:hAnsi="宋体" w:eastAsia="仿宋_GB2312"/>
          <w:w w:val="99"/>
          <w:sz w:val="32"/>
          <w:szCs w:val="32"/>
        </w:rPr>
        <w:t>随即向辖区内通行车辆及人员发放公路安全通畅通行问卷调查百余份，经测评辖区内通行车辆及人员满意度为92%。</w:t>
      </w:r>
    </w:p>
    <w:p>
      <w:pPr>
        <w:autoSpaceDE w:val="0"/>
        <w:adjustRightInd w:val="0"/>
        <w:snapToGrid w:val="0"/>
        <w:spacing w:line="560" w:lineRule="exact"/>
        <w:ind w:firstLine="720"/>
        <w:rPr>
          <w:rFonts w:ascii="黑体" w:hAnsi="宋体" w:eastAsia="黑体"/>
          <w:w w:val="99"/>
          <w:sz w:val="32"/>
          <w:szCs w:val="32"/>
        </w:rPr>
      </w:pPr>
      <w:r>
        <w:rPr>
          <w:rFonts w:hint="eastAsia" w:ascii="黑体" w:hAnsi="黑体" w:eastAsia="黑体"/>
          <w:w w:val="99"/>
          <w:sz w:val="32"/>
          <w:szCs w:val="32"/>
        </w:rPr>
        <w:t>四、问题及建议</w:t>
      </w:r>
    </w:p>
    <w:p>
      <w:pPr>
        <w:autoSpaceDE w:val="0"/>
        <w:adjustRightInd w:val="0"/>
        <w:snapToGrid w:val="0"/>
        <w:spacing w:line="560" w:lineRule="exact"/>
        <w:ind w:firstLine="720"/>
        <w:rPr>
          <w:rFonts w:ascii="楷体_GB2312" w:hAnsi="宋体" w:eastAsia="楷体_GB2312"/>
          <w:b/>
          <w:w w:val="99"/>
          <w:sz w:val="32"/>
          <w:szCs w:val="32"/>
        </w:rPr>
      </w:pPr>
      <w:r>
        <w:rPr>
          <w:rFonts w:hint="eastAsia" w:ascii="楷体_GB2312" w:hAnsi="宋体" w:eastAsia="楷体_GB2312"/>
          <w:b/>
          <w:w w:val="99"/>
          <w:sz w:val="32"/>
          <w:szCs w:val="32"/>
        </w:rPr>
        <w:t>（一）评价结论</w:t>
      </w:r>
    </w:p>
    <w:p>
      <w:pPr>
        <w:autoSpaceDE w:val="0"/>
        <w:adjustRightInd w:val="0"/>
        <w:snapToGrid w:val="0"/>
        <w:spacing w:line="560" w:lineRule="exact"/>
        <w:ind w:firstLine="720"/>
        <w:rPr>
          <w:rFonts w:ascii="仿宋_GB2312" w:hAnsi="宋体" w:eastAsia="仿宋_GB2312"/>
          <w:w w:val="99"/>
          <w:sz w:val="32"/>
          <w:szCs w:val="32"/>
        </w:rPr>
      </w:pPr>
      <w:r>
        <w:rPr>
          <w:rFonts w:hint="eastAsia" w:ascii="仿宋_GB2312" w:hAnsi="宋体" w:eastAsia="仿宋_GB2312"/>
          <w:w w:val="99"/>
          <w:sz w:val="32"/>
          <w:szCs w:val="32"/>
        </w:rPr>
        <w:t>经按“项目支出绩效评价指标体系”进行综合评价，《公路养护二专线公路养护项目》绩效评价综合得分“99.68”分，绩效评分结果为“优”。</w:t>
      </w:r>
    </w:p>
    <w:p>
      <w:pPr>
        <w:autoSpaceDE w:val="0"/>
        <w:adjustRightInd w:val="0"/>
        <w:snapToGrid w:val="0"/>
        <w:spacing w:line="560" w:lineRule="exact"/>
        <w:ind w:firstLine="720"/>
        <w:rPr>
          <w:rFonts w:ascii="楷体_GB2312" w:hAnsi="宋体" w:eastAsia="楷体_GB2312"/>
          <w:b/>
          <w:w w:val="99"/>
          <w:sz w:val="32"/>
          <w:szCs w:val="32"/>
        </w:rPr>
      </w:pPr>
      <w:r>
        <w:rPr>
          <w:rFonts w:hint="eastAsia" w:ascii="楷体_GB2312" w:hAnsi="宋体" w:eastAsia="楷体_GB2312"/>
          <w:b/>
          <w:w w:val="99"/>
          <w:sz w:val="32"/>
          <w:szCs w:val="32"/>
        </w:rPr>
        <w:t>（二）存在的问题</w:t>
      </w:r>
    </w:p>
    <w:p>
      <w:pPr>
        <w:autoSpaceDE w:val="0"/>
        <w:adjustRightInd w:val="0"/>
        <w:snapToGrid w:val="0"/>
        <w:spacing w:line="560" w:lineRule="exact"/>
        <w:ind w:firstLine="720"/>
        <w:rPr>
          <w:rFonts w:ascii="仿宋_GB2312" w:hAnsi="宋体" w:eastAsia="仿宋_GB2312"/>
          <w:w w:val="99"/>
          <w:sz w:val="32"/>
          <w:szCs w:val="32"/>
        </w:rPr>
      </w:pPr>
      <w:r>
        <w:rPr>
          <w:rFonts w:hint="eastAsia" w:ascii="仿宋_GB2312" w:hAnsi="宋体" w:eastAsia="仿宋_GB2312"/>
          <w:w w:val="99"/>
          <w:sz w:val="32"/>
          <w:szCs w:val="32"/>
        </w:rPr>
        <w:t>无</w:t>
      </w:r>
    </w:p>
    <w:p>
      <w:pPr>
        <w:autoSpaceDE w:val="0"/>
        <w:adjustRightInd w:val="0"/>
        <w:snapToGrid w:val="0"/>
        <w:spacing w:line="560" w:lineRule="exact"/>
        <w:ind w:firstLine="720"/>
        <w:rPr>
          <w:rFonts w:ascii="楷体_GB2312" w:hAnsi="宋体" w:eastAsia="楷体_GB2312"/>
          <w:b/>
          <w:w w:val="99"/>
          <w:sz w:val="32"/>
          <w:szCs w:val="32"/>
        </w:rPr>
      </w:pPr>
      <w:r>
        <w:rPr>
          <w:rFonts w:hint="eastAsia" w:ascii="楷体_GB2312" w:hAnsi="宋体" w:eastAsia="楷体_GB2312"/>
          <w:b/>
          <w:w w:val="99"/>
          <w:sz w:val="32"/>
          <w:szCs w:val="32"/>
        </w:rPr>
        <w:t>（三）相关建议</w:t>
      </w:r>
    </w:p>
    <w:p>
      <w:pPr>
        <w:autoSpaceDE w:val="0"/>
        <w:adjustRightInd w:val="0"/>
        <w:snapToGrid w:val="0"/>
        <w:spacing w:line="560" w:lineRule="exact"/>
        <w:ind w:firstLine="720"/>
        <w:rPr>
          <w:rFonts w:ascii="仿宋_GB2312" w:hAnsi="宋体" w:eastAsia="仿宋_GB2312"/>
          <w:w w:val="99"/>
          <w:sz w:val="32"/>
          <w:szCs w:val="32"/>
        </w:rPr>
      </w:pPr>
      <w:r>
        <w:rPr>
          <w:rFonts w:hint="eastAsia" w:ascii="仿宋_GB2312" w:hAnsi="宋体" w:eastAsia="仿宋_GB2312"/>
          <w:w w:val="99"/>
          <w:sz w:val="32"/>
          <w:szCs w:val="32"/>
        </w:rPr>
        <w:t>无。</w:t>
      </w:r>
    </w:p>
    <w:p>
      <w:pPr>
        <w:autoSpaceDE w:val="0"/>
        <w:spacing w:line="600" w:lineRule="exact"/>
        <w:ind w:firstLine="4800" w:firstLineChars="1500"/>
        <w:rPr>
          <w:rFonts w:ascii="Arial" w:hAnsi="Arial" w:eastAsia="仿宋_GB2312" w:cs="Arial"/>
          <w:sz w:val="32"/>
          <w:szCs w:val="32"/>
        </w:rPr>
      </w:pPr>
    </w:p>
    <w:p>
      <w:pPr>
        <w:autoSpaceDE w:val="0"/>
        <w:spacing w:line="600" w:lineRule="exact"/>
        <w:ind w:right="320"/>
        <w:jc w:val="right"/>
        <w:rPr>
          <w:rFonts w:ascii="Arial" w:hAnsi="Arial" w:eastAsia="仿宋_GB2312" w:cs="Arial"/>
          <w:sz w:val="32"/>
          <w:szCs w:val="32"/>
        </w:rPr>
      </w:pPr>
      <w:r>
        <w:rPr>
          <w:rFonts w:hint="eastAsia" w:ascii="Arial" w:hAnsi="Arial" w:eastAsia="仿宋_GB2312" w:cs="Arial"/>
          <w:sz w:val="32"/>
          <w:szCs w:val="32"/>
        </w:rPr>
        <w:t>广元市朝天区交通运输局</w:t>
      </w:r>
    </w:p>
    <w:p>
      <w:pPr>
        <w:ind w:firstLine="4480" w:firstLineChars="1400"/>
        <w:rPr>
          <w:rFonts w:ascii="仿宋_GB2312" w:eastAsia="仿宋_GB2312"/>
          <w:sz w:val="32"/>
          <w:szCs w:val="32"/>
        </w:rPr>
      </w:pPr>
      <w:r>
        <w:rPr>
          <w:rFonts w:hint="eastAsia" w:ascii="仿宋_GB2312" w:eastAsia="仿宋_GB2312"/>
          <w:sz w:val="32"/>
          <w:szCs w:val="32"/>
        </w:rPr>
        <w:t>二〇二三年五月二十五日</w:t>
      </w:r>
    </w:p>
    <w:p>
      <w:pPr>
        <w:pStyle w:val="2"/>
        <w:spacing w:before="72"/>
      </w:pPr>
    </w:p>
    <w:p>
      <w:pPr>
        <w:autoSpaceDE w:val="0"/>
        <w:spacing w:line="540" w:lineRule="exact"/>
        <w:jc w:val="center"/>
        <w:rPr>
          <w:rFonts w:ascii="黑体" w:hAnsi="方正小标宋简体" w:eastAsia="黑体" w:cs="方正小标宋简体"/>
          <w:color w:val="000000"/>
          <w:kern w:val="0"/>
          <w:sz w:val="44"/>
          <w:szCs w:val="44"/>
        </w:rPr>
      </w:pPr>
      <w:r>
        <w:rPr>
          <w:rFonts w:hint="eastAsia" w:ascii="黑体" w:hAnsi="方正小标宋简体" w:eastAsia="黑体" w:cs="方正小标宋简体"/>
          <w:color w:val="000000"/>
          <w:kern w:val="0"/>
          <w:sz w:val="44"/>
          <w:szCs w:val="44"/>
        </w:rPr>
        <w:t>2022年农村公路灾损保险投保费</w:t>
      </w:r>
    </w:p>
    <w:p>
      <w:pPr>
        <w:autoSpaceDE w:val="0"/>
        <w:spacing w:line="540" w:lineRule="exact"/>
        <w:jc w:val="center"/>
        <w:rPr>
          <w:rFonts w:ascii="黑体" w:hAnsi="宋体" w:eastAsia="黑体"/>
          <w:color w:val="000000"/>
          <w:kern w:val="0"/>
          <w:sz w:val="44"/>
          <w:szCs w:val="44"/>
        </w:rPr>
      </w:pPr>
      <w:r>
        <w:rPr>
          <w:rFonts w:hint="eastAsia" w:ascii="黑体" w:hAnsi="方正小标宋简体" w:eastAsia="黑体" w:cs="方正小标宋简体"/>
          <w:color w:val="000000"/>
          <w:kern w:val="0"/>
          <w:sz w:val="44"/>
          <w:szCs w:val="44"/>
        </w:rPr>
        <w:t>（部门预算）项目支出绩效自评报告</w:t>
      </w:r>
    </w:p>
    <w:p>
      <w:pPr>
        <w:autoSpaceDE w:val="0"/>
        <w:adjustRightInd w:val="0"/>
        <w:snapToGrid w:val="0"/>
        <w:spacing w:line="540" w:lineRule="exact"/>
        <w:ind w:firstLine="720"/>
        <w:rPr>
          <w:rFonts w:ascii="黑体" w:hAnsi="宋体" w:eastAsia="黑体"/>
          <w:w w:val="99"/>
          <w:sz w:val="32"/>
          <w:szCs w:val="32"/>
        </w:rPr>
      </w:pPr>
      <w:r>
        <w:rPr>
          <w:rFonts w:hint="eastAsia" w:ascii="黑体" w:hAnsi="黑体" w:eastAsia="黑体"/>
          <w:w w:val="99"/>
          <w:sz w:val="32"/>
          <w:szCs w:val="32"/>
        </w:rPr>
        <w:t>一、项目概况</w:t>
      </w:r>
    </w:p>
    <w:p>
      <w:pPr>
        <w:autoSpaceDE w:val="0"/>
        <w:spacing w:line="540" w:lineRule="exact"/>
        <w:ind w:firstLine="618" w:firstLineChars="200"/>
        <w:rPr>
          <w:rFonts w:ascii="楷体_GB2312" w:eastAsia="楷体_GB2312"/>
          <w:b/>
          <w:spacing w:val="-6"/>
          <w:sz w:val="32"/>
          <w:szCs w:val="32"/>
        </w:rPr>
      </w:pPr>
      <w:r>
        <w:rPr>
          <w:rFonts w:hint="eastAsia" w:ascii="楷体_GB2312" w:eastAsia="楷体_GB2312"/>
          <w:b/>
          <w:spacing w:val="-6"/>
          <w:sz w:val="32"/>
          <w:szCs w:val="32"/>
        </w:rPr>
        <w:t>（一）项目资金申报及批复情况</w:t>
      </w:r>
    </w:p>
    <w:p>
      <w:pPr>
        <w:autoSpaceDE w:val="0"/>
        <w:spacing w:line="540" w:lineRule="exact"/>
        <w:ind w:firstLine="616" w:firstLineChars="200"/>
        <w:rPr>
          <w:rFonts w:ascii="仿宋_GB2312" w:hAnsi="宋体" w:eastAsia="仿宋_GB2312"/>
          <w:w w:val="99"/>
          <w:sz w:val="32"/>
          <w:szCs w:val="32"/>
        </w:rPr>
      </w:pPr>
      <w:r>
        <w:rPr>
          <w:rFonts w:hint="eastAsia" w:ascii="仿宋_GB2312" w:eastAsia="仿宋_GB2312"/>
          <w:spacing w:val="-6"/>
          <w:sz w:val="32"/>
          <w:szCs w:val="32"/>
        </w:rPr>
        <w:t>为贯彻执行中国银保监会和交通运输部联合下发的《关于银行业保险业支持公路交通高质量发展的意见》（银保监发〔2022〕8号）精神，投保朝天区农村公路路线及沿线养护设施的自然灾害损毁损失，包含路基、路面、边坡防护设施、排水设施、桥梁、隧道、涵洞、安全防护设施和沿线公路管理等设施的受灾损毁抢通（含溜方清理）和修复费用，提升农村公路灾损恢复能力，完善农村防灾管理体系。广元市朝天区公路养护段于2021年末向朝天区财政局申请预算资金为28.38万元的“2022年农村公路灾损保险投保费”项目支出，于2022年初，获区财政局立项批准，批复预算金额28.38万元。</w:t>
      </w:r>
    </w:p>
    <w:p>
      <w:pPr>
        <w:autoSpaceDE w:val="0"/>
        <w:adjustRightInd w:val="0"/>
        <w:snapToGrid w:val="0"/>
        <w:spacing w:line="540" w:lineRule="exact"/>
        <w:ind w:firstLine="720"/>
        <w:rPr>
          <w:rFonts w:ascii="楷体_GB2312" w:hAnsi="宋体" w:eastAsia="楷体_GB2312"/>
          <w:b/>
          <w:w w:val="99"/>
          <w:sz w:val="32"/>
          <w:szCs w:val="32"/>
        </w:rPr>
      </w:pPr>
      <w:r>
        <w:rPr>
          <w:rFonts w:hint="eastAsia" w:ascii="楷体_GB2312" w:hAnsi="宋体" w:eastAsia="楷体_GB2312"/>
          <w:b/>
          <w:w w:val="99"/>
          <w:sz w:val="32"/>
          <w:szCs w:val="32"/>
        </w:rPr>
        <w:t>（二）项目绩效目标。</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1．项目主要内容</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完成辖区内农村乡道、村道公路63.3公里、县道公路68.143公里</w:t>
      </w:r>
      <w:r>
        <w:rPr>
          <w:rFonts w:hint="eastAsia" w:ascii="仿宋_GB2312" w:eastAsia="仿宋_GB2312"/>
          <w:spacing w:val="-6"/>
          <w:sz w:val="32"/>
          <w:szCs w:val="32"/>
        </w:rPr>
        <w:t>自然灾害损毁损失投保</w:t>
      </w:r>
      <w:r>
        <w:rPr>
          <w:rFonts w:hint="eastAsia" w:ascii="仿宋_GB2312" w:hAnsi="宋体" w:eastAsia="仿宋_GB2312"/>
          <w:w w:val="99"/>
          <w:sz w:val="32"/>
          <w:szCs w:val="32"/>
        </w:rPr>
        <w:t>；</w:t>
      </w:r>
      <w:r>
        <w:rPr>
          <w:rFonts w:hint="eastAsia" w:ascii="仿宋_GB2312" w:eastAsia="仿宋_GB2312"/>
          <w:spacing w:val="-6"/>
          <w:sz w:val="32"/>
          <w:szCs w:val="32"/>
        </w:rPr>
        <w:t>提升农村公路灾损恢复能力，完善农村防灾管理体系</w:t>
      </w:r>
      <w:r>
        <w:rPr>
          <w:rFonts w:hint="eastAsia" w:ascii="仿宋_GB2312" w:hAnsi="宋体" w:eastAsia="仿宋_GB2312"/>
          <w:w w:val="99"/>
          <w:sz w:val="32"/>
          <w:szCs w:val="32"/>
        </w:rPr>
        <w:t>。</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2．项目应实现的具体绩效目标</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数量指标：农村乡道、村道公路63.3公里、县道公路68.143公里</w:t>
      </w:r>
      <w:r>
        <w:rPr>
          <w:rFonts w:hint="eastAsia" w:ascii="仿宋_GB2312" w:eastAsia="仿宋_GB2312"/>
          <w:spacing w:val="-6"/>
          <w:sz w:val="32"/>
          <w:szCs w:val="32"/>
        </w:rPr>
        <w:t>自然灾害损毁损失投保</w:t>
      </w:r>
      <w:r>
        <w:rPr>
          <w:rFonts w:hint="eastAsia" w:ascii="仿宋_GB2312" w:hAnsi="宋体" w:eastAsia="仿宋_GB2312"/>
          <w:w w:val="99"/>
          <w:sz w:val="32"/>
          <w:szCs w:val="32"/>
        </w:rPr>
        <w:t>；</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质量指标：灾损保障率</w:t>
      </w:r>
      <w:r>
        <w:rPr>
          <w:rFonts w:hint="eastAsia" w:ascii="宋体" w:hAnsi="宋体"/>
          <w:w w:val="99"/>
          <w:sz w:val="32"/>
          <w:szCs w:val="32"/>
        </w:rPr>
        <w:t>≥</w:t>
      </w:r>
      <w:r>
        <w:rPr>
          <w:rFonts w:hint="eastAsia" w:ascii="仿宋_GB2312" w:hAnsi="宋体" w:eastAsia="仿宋_GB2312"/>
          <w:w w:val="99"/>
          <w:sz w:val="32"/>
          <w:szCs w:val="32"/>
        </w:rPr>
        <w:t>95%；</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时效指标：2022年完成，指标值1年；</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成本指标：2022年农村公路灾损保险投保费完成成本</w:t>
      </w:r>
      <w:r>
        <w:rPr>
          <w:rFonts w:hint="eastAsia" w:ascii="宋体" w:hAnsi="宋体"/>
          <w:w w:val="99"/>
          <w:sz w:val="32"/>
          <w:szCs w:val="32"/>
        </w:rPr>
        <w:t>≤</w:t>
      </w:r>
      <w:r>
        <w:rPr>
          <w:rFonts w:hint="eastAsia" w:ascii="仿宋_GB2312" w:hAnsi="宋体" w:eastAsia="仿宋_GB2312"/>
          <w:w w:val="99"/>
          <w:sz w:val="32"/>
          <w:szCs w:val="32"/>
        </w:rPr>
        <w:t>28.38万元；</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社会效益指标：抗灾能力提升；</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满意度指标：朝天区群众对农村公路安全畅通的满意度</w:t>
      </w:r>
      <w:r>
        <w:rPr>
          <w:rFonts w:hint="eastAsia" w:ascii="宋体" w:hAnsi="宋体"/>
          <w:w w:val="99"/>
          <w:sz w:val="32"/>
          <w:szCs w:val="32"/>
        </w:rPr>
        <w:t>≥</w:t>
      </w:r>
      <w:r>
        <w:rPr>
          <w:rFonts w:hint="eastAsia" w:ascii="仿宋_GB2312" w:hAnsi="宋体" w:eastAsia="仿宋_GB2312"/>
          <w:w w:val="99"/>
          <w:sz w:val="32"/>
          <w:szCs w:val="32"/>
        </w:rPr>
        <w:t>95%。</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3．申报内容的符合性</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“2022年农村公路灾损保险投保费”项目系新增、经常性项目，项目申报与具体实施内容项目相符、申报目标合理可行。</w:t>
      </w:r>
    </w:p>
    <w:p>
      <w:pPr>
        <w:autoSpaceDE w:val="0"/>
        <w:adjustRightInd w:val="0"/>
        <w:snapToGrid w:val="0"/>
        <w:spacing w:line="540" w:lineRule="exact"/>
        <w:ind w:firstLine="720"/>
        <w:rPr>
          <w:rFonts w:ascii="楷体_GB2312" w:hAnsi="宋体" w:eastAsia="楷体_GB2312"/>
          <w:b/>
          <w:w w:val="99"/>
          <w:sz w:val="32"/>
          <w:szCs w:val="32"/>
        </w:rPr>
      </w:pPr>
      <w:r>
        <w:rPr>
          <w:rFonts w:hint="eastAsia" w:ascii="楷体_GB2312" w:hAnsi="宋体" w:eastAsia="楷体_GB2312"/>
          <w:b/>
          <w:w w:val="99"/>
          <w:sz w:val="32"/>
          <w:szCs w:val="32"/>
        </w:rPr>
        <w:t>（三）项目自评步骤及方法。</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步骤一：成立自评组织机构</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成立由业务部门和财务部门组成的专门的自评组织机构，负责组织实施自评工作。</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步骤二：明确自评目的和标准</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明确自评的目的和标准。自评的目的是为了发现问题、改进工作，提高绩效水平。自评的标准是项目的绩效目标。依据《广元市朝天区财政局关于开展2023年部门、政策和项目支出绩效自评工作的通知》（广朝财发〔2023〕19号）</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步骤三：收集数据和信息</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自评小组收集与自评相关的数据和信息，包括工作计划、绩效目标、绩效指标的完成情况、工作成果、服务对象的满意度等。</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步骤四：分析数据和信息</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自评小组对收集到的数据和信息进行统计分析、比较分析等，找出问题和改进的方向。</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步骤五：制定改进措施</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根据分析结果，自评小组确定是否需要制定改进措施，包括改进工作流程、提高工作效率、加强职工培训等。本项目不涉及改进。</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步骤六：实施改进措施</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自评小组按照制定的改进措施，逐步实施改进工作。本项目不涉及。</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步骤七：评估改进效果</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自评小组对改进效果进行评估，看是否达到了预期的效果。本项目不涉及。</w:t>
      </w:r>
    </w:p>
    <w:p>
      <w:pPr>
        <w:autoSpaceDE w:val="0"/>
        <w:adjustRightInd w:val="0"/>
        <w:snapToGrid w:val="0"/>
        <w:spacing w:line="540" w:lineRule="exact"/>
        <w:ind w:firstLine="720"/>
        <w:rPr>
          <w:rFonts w:ascii="黑体" w:hAnsi="宋体" w:eastAsia="黑体"/>
          <w:w w:val="99"/>
          <w:sz w:val="32"/>
          <w:szCs w:val="32"/>
        </w:rPr>
      </w:pPr>
      <w:r>
        <w:rPr>
          <w:rFonts w:hint="eastAsia" w:ascii="黑体" w:hAnsi="黑体" w:eastAsia="黑体"/>
          <w:w w:val="99"/>
          <w:sz w:val="32"/>
          <w:szCs w:val="32"/>
        </w:rPr>
        <w:t>二、项目资金申报及使用情况</w:t>
      </w:r>
    </w:p>
    <w:p>
      <w:pPr>
        <w:autoSpaceDE w:val="0"/>
        <w:adjustRightInd w:val="0"/>
        <w:snapToGrid w:val="0"/>
        <w:spacing w:line="540" w:lineRule="exact"/>
        <w:ind w:firstLine="720"/>
        <w:rPr>
          <w:rFonts w:ascii="仿宋_GB2312" w:hAnsi="宋体" w:eastAsia="仿宋_GB2312"/>
          <w:w w:val="99"/>
          <w:sz w:val="32"/>
          <w:szCs w:val="32"/>
        </w:rPr>
      </w:pPr>
      <w:r>
        <w:rPr>
          <w:rFonts w:hint="eastAsia" w:ascii="楷体_GB2312" w:eastAsia="楷体_GB2312"/>
          <w:b/>
          <w:spacing w:val="-6"/>
          <w:sz w:val="32"/>
          <w:szCs w:val="32"/>
        </w:rPr>
        <w:t>（一）资金计划、到位及使用情况</w:t>
      </w:r>
    </w:p>
    <w:p>
      <w:pPr>
        <w:autoSpaceDE w:val="0"/>
        <w:spacing w:line="540" w:lineRule="exact"/>
        <w:ind w:firstLine="616" w:firstLineChars="200"/>
        <w:rPr>
          <w:rFonts w:ascii="仿宋_GB2312" w:eastAsia="仿宋_GB2312"/>
          <w:spacing w:val="-6"/>
          <w:sz w:val="32"/>
          <w:szCs w:val="32"/>
        </w:rPr>
      </w:pPr>
      <w:r>
        <w:rPr>
          <w:rFonts w:hint="eastAsia" w:ascii="仿宋_GB2312" w:eastAsia="仿宋_GB2312"/>
          <w:spacing w:val="-6"/>
          <w:sz w:val="32"/>
          <w:szCs w:val="32"/>
        </w:rPr>
        <w:t>1.资金计划及到位</w:t>
      </w:r>
    </w:p>
    <w:p>
      <w:pPr>
        <w:autoSpaceDE w:val="0"/>
        <w:spacing w:line="540" w:lineRule="exact"/>
        <w:ind w:firstLine="616" w:firstLineChars="200"/>
        <w:rPr>
          <w:rFonts w:ascii="仿宋_GB2312" w:eastAsia="仿宋_GB2312"/>
          <w:spacing w:val="-6"/>
          <w:sz w:val="32"/>
          <w:szCs w:val="32"/>
        </w:rPr>
      </w:pPr>
      <w:r>
        <w:rPr>
          <w:rFonts w:hint="eastAsia" w:ascii="仿宋_GB2312" w:eastAsia="仿宋_GB2312"/>
          <w:spacing w:val="-6"/>
          <w:sz w:val="32"/>
          <w:szCs w:val="32"/>
        </w:rPr>
        <w:t>2022年度“2022年农村公路灾损保险投保费”项目，计划总资金283,800.00元，截止评价时点，实际到位资金283,800.00元，资金到位率100%。</w:t>
      </w:r>
    </w:p>
    <w:p>
      <w:pPr>
        <w:autoSpaceDE w:val="0"/>
        <w:spacing w:line="540" w:lineRule="exact"/>
        <w:ind w:firstLine="616" w:firstLineChars="200"/>
        <w:rPr>
          <w:rFonts w:ascii="仿宋_GB2312" w:eastAsia="仿宋_GB2312"/>
          <w:spacing w:val="-6"/>
          <w:sz w:val="32"/>
          <w:szCs w:val="32"/>
        </w:rPr>
      </w:pPr>
      <w:r>
        <w:rPr>
          <w:rFonts w:hint="eastAsia" w:ascii="仿宋_GB2312" w:eastAsia="仿宋_GB2312"/>
          <w:spacing w:val="-6"/>
          <w:sz w:val="32"/>
          <w:szCs w:val="32"/>
        </w:rPr>
        <w:t>2.资金使用</w:t>
      </w:r>
    </w:p>
    <w:p>
      <w:pPr>
        <w:autoSpaceDE w:val="0"/>
        <w:spacing w:line="540" w:lineRule="exact"/>
        <w:ind w:firstLine="616" w:firstLineChars="200"/>
        <w:rPr>
          <w:rFonts w:ascii="仿宋_GB2312" w:eastAsia="仿宋_GB2312"/>
          <w:spacing w:val="-6"/>
          <w:sz w:val="32"/>
          <w:szCs w:val="32"/>
        </w:rPr>
      </w:pPr>
      <w:r>
        <w:rPr>
          <w:rFonts w:hint="eastAsia" w:ascii="仿宋_GB2312" w:eastAsia="仿宋_GB2312"/>
          <w:spacing w:val="-6"/>
          <w:sz w:val="32"/>
          <w:szCs w:val="32"/>
        </w:rPr>
        <w:t>“2022年农村公路灾损保险投保费”项目资金主要用于我</w:t>
      </w:r>
      <w:r>
        <w:rPr>
          <w:rFonts w:hint="eastAsia" w:ascii="仿宋_GB2312" w:eastAsia="仿宋_GB2312"/>
          <w:spacing w:val="-6"/>
          <w:sz w:val="32"/>
          <w:szCs w:val="32"/>
          <w:lang w:eastAsia="zh-CN"/>
        </w:rPr>
        <w:t>部门</w:t>
      </w:r>
      <w:r>
        <w:rPr>
          <w:rFonts w:hint="eastAsia" w:ascii="仿宋_GB2312" w:eastAsia="仿宋_GB2312"/>
          <w:spacing w:val="-6"/>
          <w:sz w:val="32"/>
          <w:szCs w:val="32"/>
        </w:rPr>
        <w:t>辖区内</w:t>
      </w:r>
      <w:r>
        <w:rPr>
          <w:rFonts w:hint="eastAsia" w:ascii="仿宋_GB2312" w:hAnsi="宋体" w:eastAsia="仿宋_GB2312"/>
          <w:w w:val="99"/>
          <w:sz w:val="32"/>
          <w:szCs w:val="32"/>
        </w:rPr>
        <w:t>农村乡道、村道公路63.3公里、县道公路68.143公里</w:t>
      </w:r>
      <w:r>
        <w:rPr>
          <w:rFonts w:hint="eastAsia" w:ascii="仿宋_GB2312" w:eastAsia="仿宋_GB2312"/>
          <w:spacing w:val="-6"/>
          <w:sz w:val="32"/>
          <w:szCs w:val="32"/>
        </w:rPr>
        <w:t>自然灾害损毁损失投保，2022年度实际支出283,800.00元，支付依据合规合法，资金支付与预算相符。</w:t>
      </w:r>
    </w:p>
    <w:p>
      <w:pPr>
        <w:autoSpaceDE w:val="0"/>
        <w:spacing w:line="540" w:lineRule="exact"/>
        <w:ind w:firstLine="618" w:firstLineChars="200"/>
        <w:rPr>
          <w:rFonts w:ascii="楷体_GB2312" w:eastAsia="楷体_GB2312"/>
          <w:bCs/>
          <w:spacing w:val="-6"/>
          <w:sz w:val="32"/>
          <w:szCs w:val="32"/>
        </w:rPr>
      </w:pPr>
      <w:r>
        <w:rPr>
          <w:rFonts w:hint="eastAsia" w:ascii="楷体_GB2312" w:eastAsia="楷体_GB2312"/>
          <w:b/>
          <w:spacing w:val="-6"/>
          <w:sz w:val="32"/>
          <w:szCs w:val="32"/>
        </w:rPr>
        <w:t>（二）项目财务管理情况</w:t>
      </w:r>
    </w:p>
    <w:p>
      <w:pPr>
        <w:autoSpaceDE w:val="0"/>
        <w:spacing w:line="540" w:lineRule="exact"/>
        <w:ind w:firstLine="616" w:firstLineChars="200"/>
        <w:rPr>
          <w:rFonts w:ascii="仿宋_GB2312" w:eastAsia="仿宋_GB2312"/>
          <w:spacing w:val="-6"/>
          <w:sz w:val="32"/>
          <w:szCs w:val="32"/>
        </w:rPr>
      </w:pPr>
      <w:r>
        <w:rPr>
          <w:rFonts w:hint="eastAsia" w:ascii="仿宋_GB2312" w:eastAsia="仿宋_GB2312"/>
          <w:spacing w:val="-6"/>
          <w:sz w:val="32"/>
          <w:szCs w:val="32"/>
        </w:rPr>
        <w:t>为加强和规范“2022年农村公路灾损保险投保费”项目资金管理，充分发挥项目资金使用绩效，我</w:t>
      </w:r>
      <w:r>
        <w:rPr>
          <w:rFonts w:hint="eastAsia" w:ascii="仿宋_GB2312" w:eastAsia="仿宋_GB2312"/>
          <w:spacing w:val="-6"/>
          <w:sz w:val="32"/>
          <w:szCs w:val="32"/>
          <w:lang w:eastAsia="zh-CN"/>
        </w:rPr>
        <w:t>部门</w:t>
      </w:r>
      <w:r>
        <w:rPr>
          <w:rFonts w:hint="eastAsia" w:ascii="仿宋_GB2312" w:eastAsia="仿宋_GB2312"/>
          <w:spacing w:val="-6"/>
          <w:sz w:val="32"/>
          <w:szCs w:val="32"/>
        </w:rPr>
        <w:t>按照项目资金目标，由业务股室牵头组织实施，制定工作计划，确定项目的组织实施及管理；根据专项资金专款专用的原则，申请审批经费，加强了资金的计划管理，保证了资金使用用途、审批程序、经费开支范围及标准符合规范，做到了报账手续合规，同时加强项目绩效监控，保证资金使用的效率，实现了绩效目标。</w:t>
      </w:r>
    </w:p>
    <w:p>
      <w:pPr>
        <w:autoSpaceDE w:val="0"/>
        <w:spacing w:line="540" w:lineRule="exact"/>
        <w:ind w:firstLine="618" w:firstLineChars="200"/>
        <w:rPr>
          <w:rFonts w:ascii="楷体_GB2312" w:eastAsia="楷体_GB2312"/>
          <w:b/>
          <w:spacing w:val="-6"/>
          <w:sz w:val="32"/>
          <w:szCs w:val="32"/>
        </w:rPr>
      </w:pPr>
      <w:r>
        <w:rPr>
          <w:rFonts w:hint="eastAsia" w:ascii="楷体_GB2312" w:eastAsia="楷体_GB2312"/>
          <w:b/>
          <w:spacing w:val="-6"/>
          <w:sz w:val="32"/>
          <w:szCs w:val="32"/>
        </w:rPr>
        <w:t>（三）项目组织实施情况</w:t>
      </w:r>
    </w:p>
    <w:p>
      <w:pPr>
        <w:autoSpaceDE w:val="0"/>
        <w:adjustRightInd w:val="0"/>
        <w:snapToGrid w:val="0"/>
        <w:spacing w:line="540" w:lineRule="exact"/>
        <w:ind w:firstLine="720"/>
        <w:rPr>
          <w:rFonts w:ascii="楷体_GB2312" w:hAnsi="宋体" w:eastAsia="楷体_GB2312"/>
          <w:b/>
          <w:w w:val="99"/>
          <w:sz w:val="32"/>
          <w:szCs w:val="32"/>
        </w:rPr>
      </w:pPr>
      <w:r>
        <w:rPr>
          <w:rFonts w:hint="eastAsia" w:ascii="楷体_GB2312" w:hAnsi="宋体" w:eastAsia="楷体_GB2312"/>
          <w:b/>
          <w:w w:val="99"/>
          <w:sz w:val="32"/>
          <w:szCs w:val="32"/>
        </w:rPr>
        <w:t>1.项目组织架构及实施流程</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为全面做好公路地质灾害及安全隐患的排查整治工作，我</w:t>
      </w:r>
      <w:r>
        <w:rPr>
          <w:rFonts w:hint="eastAsia" w:ascii="仿宋_GB2312" w:hAnsi="宋体" w:eastAsia="仿宋_GB2312"/>
          <w:w w:val="99"/>
          <w:sz w:val="32"/>
          <w:szCs w:val="32"/>
          <w:lang w:eastAsia="zh-CN"/>
        </w:rPr>
        <w:t>部门</w:t>
      </w:r>
      <w:r>
        <w:rPr>
          <w:rFonts w:hint="eastAsia" w:ascii="仿宋_GB2312" w:hAnsi="宋体" w:eastAsia="仿宋_GB2312"/>
          <w:w w:val="99"/>
          <w:sz w:val="32"/>
          <w:szCs w:val="32"/>
        </w:rPr>
        <w:t>设置了养护站和专业桥梁养护队伍，加强公路地质灾害和安全隐患排查治理工作，规范公路日常养护。发现投保农村公路发生自然灾害时及时向保险部门申请理赔，降低灾害损失，提升抗灾能力。</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一是常态化开展路面巡查，及时发现全区公路安全隐患，并建立巡查和整改台账，对维修整治后的隐患及时销号，对一时难以恢复的路基缺口、危岩、高边坡等设置安全警示标志标牌，提醒过往行人车、车辆注意安全，并及时制定隐患治理方案；二是邀请专业机构对桥梁隧道安全情况进行检查。</w:t>
      </w:r>
    </w:p>
    <w:p>
      <w:pPr>
        <w:autoSpaceDE w:val="0"/>
        <w:adjustRightInd w:val="0"/>
        <w:snapToGrid w:val="0"/>
        <w:spacing w:line="540" w:lineRule="exact"/>
        <w:ind w:firstLine="720"/>
        <w:rPr>
          <w:rFonts w:ascii="楷体_GB2312" w:hAnsi="宋体" w:eastAsia="楷体_GB2312"/>
          <w:b/>
          <w:w w:val="99"/>
          <w:sz w:val="32"/>
          <w:szCs w:val="32"/>
        </w:rPr>
      </w:pPr>
      <w:r>
        <w:rPr>
          <w:rFonts w:hint="eastAsia" w:ascii="楷体_GB2312" w:hAnsi="宋体" w:eastAsia="楷体_GB2312"/>
          <w:b/>
          <w:w w:val="99"/>
          <w:sz w:val="32"/>
          <w:szCs w:val="32"/>
        </w:rPr>
        <w:t>2.项目管理情况</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加强对养护站工作考核。对养护站月度指令性计划完成情况进行认真考核，严格执行考核标准，结合平时道路巡查、应急抢险等工作综合评定各站月度工作情况，并纳入月度及年终目标绩效管理，高效促进工作开展；二是加强对乡镇工作考核。每季度对乡镇管养农村公路情况进行检查考核，根据考核情况下发养护情况通报，并按标准拨付农村公路养护资金。成立专业桥梁养护队伍，负责国道、县道公路桥梁的日常养护及乡村道路桥梁日常养护的督促、指导和桥梁的定期检查工作。</w:t>
      </w:r>
    </w:p>
    <w:p>
      <w:pPr>
        <w:autoSpaceDE w:val="0"/>
        <w:adjustRightInd w:val="0"/>
        <w:snapToGrid w:val="0"/>
        <w:spacing w:line="540" w:lineRule="exact"/>
        <w:ind w:firstLine="720"/>
        <w:rPr>
          <w:rFonts w:ascii="楷体_GB2312" w:hAnsi="宋体" w:eastAsia="楷体_GB2312"/>
          <w:b/>
          <w:w w:val="99"/>
          <w:sz w:val="32"/>
          <w:szCs w:val="32"/>
        </w:rPr>
      </w:pPr>
      <w:r>
        <w:rPr>
          <w:rFonts w:hint="eastAsia" w:ascii="楷体_GB2312" w:hAnsi="宋体" w:eastAsia="楷体_GB2312"/>
          <w:b/>
          <w:w w:val="99"/>
          <w:sz w:val="32"/>
          <w:szCs w:val="32"/>
        </w:rPr>
        <w:t>3.项目监管情况</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为保障项目的顺利实施，加强项目管理我</w:t>
      </w:r>
      <w:r>
        <w:rPr>
          <w:rFonts w:hint="eastAsia" w:ascii="仿宋_GB2312" w:hAnsi="宋体" w:eastAsia="仿宋_GB2312"/>
          <w:w w:val="99"/>
          <w:sz w:val="32"/>
          <w:szCs w:val="32"/>
          <w:lang w:eastAsia="zh-CN"/>
        </w:rPr>
        <w:t>部门</w:t>
      </w:r>
      <w:r>
        <w:rPr>
          <w:rFonts w:hint="eastAsia" w:ascii="仿宋_GB2312" w:hAnsi="宋体" w:eastAsia="仿宋_GB2312"/>
          <w:w w:val="99"/>
          <w:sz w:val="32"/>
          <w:szCs w:val="32"/>
        </w:rPr>
        <w:t>制定有制度汇编，涵盖包括“三重一大”集体决策制度、资产管理制度、建设项目管理制度、收支业务管理制度、预算业务管理制度、政府采购业务管理制度、合同管理制度、财务管理制度等。</w:t>
      </w:r>
    </w:p>
    <w:p>
      <w:pPr>
        <w:autoSpaceDE w:val="0"/>
        <w:adjustRightInd w:val="0"/>
        <w:snapToGrid w:val="0"/>
        <w:spacing w:line="540" w:lineRule="exact"/>
        <w:ind w:firstLine="720"/>
        <w:rPr>
          <w:rFonts w:ascii="仿宋_GB2312" w:hAnsi="宋体" w:eastAsia="仿宋_GB2312"/>
          <w:w w:val="99"/>
          <w:sz w:val="32"/>
          <w:szCs w:val="32"/>
        </w:rPr>
      </w:pPr>
      <w:r>
        <w:rPr>
          <w:rFonts w:hint="eastAsia" w:ascii="黑体" w:hAnsi="黑体" w:eastAsia="黑体"/>
          <w:w w:val="99"/>
          <w:sz w:val="32"/>
          <w:szCs w:val="32"/>
        </w:rPr>
        <w:t>三、项目绩效情况</w:t>
      </w:r>
      <w:r>
        <w:rPr>
          <w:rFonts w:hint="eastAsia" w:ascii="仿宋_GB2312" w:hAnsi="宋体" w:eastAsia="仿宋_GB2312"/>
          <w:w w:val="99"/>
          <w:sz w:val="32"/>
          <w:szCs w:val="32"/>
        </w:rPr>
        <w:tab/>
      </w:r>
    </w:p>
    <w:p>
      <w:pPr>
        <w:autoSpaceDE w:val="0"/>
        <w:adjustRightInd w:val="0"/>
        <w:snapToGrid w:val="0"/>
        <w:spacing w:line="540" w:lineRule="exact"/>
        <w:ind w:firstLine="720"/>
        <w:rPr>
          <w:rFonts w:ascii="楷体_GB2312" w:hAnsi="宋体" w:eastAsia="楷体_GB2312"/>
          <w:b/>
          <w:w w:val="99"/>
          <w:sz w:val="32"/>
          <w:szCs w:val="32"/>
        </w:rPr>
      </w:pPr>
      <w:r>
        <w:rPr>
          <w:rFonts w:hint="eastAsia" w:ascii="楷体_GB2312" w:hAnsi="宋体" w:eastAsia="楷体_GB2312"/>
          <w:b/>
          <w:w w:val="99"/>
          <w:sz w:val="32"/>
          <w:szCs w:val="32"/>
        </w:rPr>
        <w:t>（一）项目完成情况</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（1）数量指标，2022年，我</w:t>
      </w:r>
      <w:r>
        <w:rPr>
          <w:rFonts w:hint="eastAsia" w:ascii="仿宋_GB2312" w:hAnsi="宋体" w:eastAsia="仿宋_GB2312"/>
          <w:w w:val="99"/>
          <w:sz w:val="32"/>
          <w:szCs w:val="32"/>
          <w:lang w:eastAsia="zh-CN"/>
        </w:rPr>
        <w:t>部门</w:t>
      </w:r>
      <w:r>
        <w:rPr>
          <w:rFonts w:hint="eastAsia" w:ascii="仿宋_GB2312" w:hAnsi="宋体" w:eastAsia="仿宋_GB2312"/>
          <w:w w:val="99"/>
          <w:sz w:val="32"/>
          <w:szCs w:val="32"/>
        </w:rPr>
        <w:t>共计完成</w:t>
      </w:r>
      <w:r>
        <w:rPr>
          <w:rFonts w:hint="eastAsia" w:ascii="仿宋_GB2312" w:eastAsia="仿宋_GB2312"/>
          <w:spacing w:val="-6"/>
          <w:sz w:val="32"/>
          <w:szCs w:val="32"/>
        </w:rPr>
        <w:t>辖区内</w:t>
      </w:r>
      <w:r>
        <w:rPr>
          <w:rFonts w:hint="eastAsia" w:ascii="仿宋_GB2312" w:hAnsi="宋体" w:eastAsia="仿宋_GB2312"/>
          <w:w w:val="99"/>
          <w:sz w:val="32"/>
          <w:szCs w:val="32"/>
        </w:rPr>
        <w:t>农村乡道、村道公路63.3公里、县道公路68.143公里</w:t>
      </w:r>
      <w:r>
        <w:rPr>
          <w:rFonts w:hint="eastAsia" w:ascii="仿宋_GB2312" w:eastAsia="仿宋_GB2312"/>
          <w:spacing w:val="-6"/>
          <w:sz w:val="32"/>
          <w:szCs w:val="32"/>
        </w:rPr>
        <w:t>自然灾害损毁损失投保</w:t>
      </w:r>
      <w:r>
        <w:rPr>
          <w:rFonts w:hint="eastAsia" w:ascii="仿宋_GB2312" w:hAnsi="宋体" w:eastAsia="仿宋_GB2312"/>
          <w:w w:val="99"/>
          <w:sz w:val="32"/>
          <w:szCs w:val="32"/>
        </w:rPr>
        <w:t>，实现数量指标。</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（2）质量指标，通过“2022年农村公路灾损保险投保费”项目实施，全面覆盖我</w:t>
      </w:r>
      <w:r>
        <w:rPr>
          <w:rFonts w:hint="eastAsia" w:ascii="仿宋_GB2312" w:hAnsi="宋体" w:eastAsia="仿宋_GB2312"/>
          <w:w w:val="99"/>
          <w:sz w:val="32"/>
          <w:szCs w:val="32"/>
          <w:lang w:eastAsia="zh-CN"/>
        </w:rPr>
        <w:t>部门</w:t>
      </w:r>
      <w:r>
        <w:rPr>
          <w:rFonts w:hint="eastAsia" w:ascii="仿宋_GB2312" w:eastAsia="仿宋_GB2312"/>
          <w:spacing w:val="-6"/>
          <w:sz w:val="32"/>
          <w:szCs w:val="32"/>
        </w:rPr>
        <w:t>辖区内</w:t>
      </w:r>
      <w:r>
        <w:rPr>
          <w:rFonts w:hint="eastAsia" w:ascii="仿宋_GB2312" w:hAnsi="宋体" w:eastAsia="仿宋_GB2312"/>
          <w:w w:val="99"/>
          <w:sz w:val="32"/>
          <w:szCs w:val="32"/>
        </w:rPr>
        <w:t>农村乡道、村道公路63.3公里、县道公路68.143公里，灾损保障率95.2%</w:t>
      </w:r>
      <w:r>
        <w:rPr>
          <w:rFonts w:hint="eastAsia" w:ascii="宋体" w:hAnsi="宋体"/>
          <w:w w:val="99"/>
          <w:sz w:val="32"/>
          <w:szCs w:val="32"/>
        </w:rPr>
        <w:t>≥</w:t>
      </w:r>
      <w:r>
        <w:rPr>
          <w:rFonts w:hint="eastAsia" w:ascii="仿宋_GB2312" w:hAnsi="宋体" w:eastAsia="仿宋_GB2312"/>
          <w:w w:val="99"/>
          <w:sz w:val="32"/>
          <w:szCs w:val="32"/>
        </w:rPr>
        <w:t>95%，实现质量指标。</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（3）时效指标，截止评价时点，我</w:t>
      </w:r>
      <w:r>
        <w:rPr>
          <w:rFonts w:hint="eastAsia" w:ascii="仿宋_GB2312" w:hAnsi="宋体" w:eastAsia="仿宋_GB2312"/>
          <w:w w:val="99"/>
          <w:sz w:val="32"/>
          <w:szCs w:val="32"/>
          <w:lang w:eastAsia="zh-CN"/>
        </w:rPr>
        <w:t>部门</w:t>
      </w:r>
      <w:r>
        <w:rPr>
          <w:rFonts w:hint="eastAsia" w:ascii="仿宋_GB2312" w:hAnsi="宋体" w:eastAsia="仿宋_GB2312"/>
          <w:w w:val="99"/>
          <w:sz w:val="32"/>
          <w:szCs w:val="32"/>
        </w:rPr>
        <w:t>共计完成</w:t>
      </w:r>
      <w:r>
        <w:rPr>
          <w:rFonts w:hint="eastAsia" w:ascii="仿宋_GB2312" w:eastAsia="仿宋_GB2312"/>
          <w:spacing w:val="-6"/>
          <w:sz w:val="32"/>
          <w:szCs w:val="32"/>
        </w:rPr>
        <w:t>辖区内</w:t>
      </w:r>
      <w:r>
        <w:rPr>
          <w:rFonts w:hint="eastAsia" w:ascii="仿宋_GB2312" w:hAnsi="宋体" w:eastAsia="仿宋_GB2312"/>
          <w:w w:val="99"/>
          <w:sz w:val="32"/>
          <w:szCs w:val="32"/>
        </w:rPr>
        <w:t>农村乡道、村道公路63.3公里、县道公路68.143公里</w:t>
      </w:r>
      <w:r>
        <w:rPr>
          <w:rFonts w:hint="eastAsia" w:ascii="仿宋_GB2312" w:eastAsia="仿宋_GB2312"/>
          <w:spacing w:val="-6"/>
          <w:sz w:val="32"/>
          <w:szCs w:val="32"/>
        </w:rPr>
        <w:t>自然灾害损毁损失投保</w:t>
      </w:r>
      <w:r>
        <w:rPr>
          <w:rFonts w:hint="eastAsia" w:ascii="仿宋_GB2312" w:hAnsi="宋体" w:eastAsia="仿宋_GB2312"/>
          <w:w w:val="99"/>
          <w:sz w:val="32"/>
          <w:szCs w:val="32"/>
        </w:rPr>
        <w:t>工作，在规定时限内完成2022年度阶段目标，实现时效指标要求。</w:t>
      </w:r>
    </w:p>
    <w:p>
      <w:pPr>
        <w:autoSpaceDE w:val="0"/>
        <w:adjustRightInd w:val="0"/>
        <w:snapToGrid w:val="0"/>
        <w:spacing w:line="540" w:lineRule="exact"/>
        <w:ind w:firstLine="720"/>
        <w:rPr>
          <w:rFonts w:ascii="楷体_GB2312" w:hAnsi="宋体" w:eastAsia="楷体_GB2312"/>
          <w:b/>
          <w:w w:val="99"/>
          <w:sz w:val="32"/>
          <w:szCs w:val="32"/>
        </w:rPr>
      </w:pPr>
      <w:r>
        <w:rPr>
          <w:rFonts w:hint="eastAsia" w:ascii="仿宋_GB2312" w:hAnsi="宋体" w:eastAsia="仿宋_GB2312"/>
          <w:w w:val="99"/>
          <w:sz w:val="32"/>
          <w:szCs w:val="32"/>
        </w:rPr>
        <w:t>（4）成本指标，“2022年农村公路灾损保险投保费”项目全年实际支出指标</w:t>
      </w:r>
      <w:r>
        <w:rPr>
          <w:rFonts w:hint="eastAsia" w:ascii="仿宋_GB2312" w:eastAsia="仿宋_GB2312"/>
          <w:spacing w:val="-6"/>
          <w:sz w:val="32"/>
          <w:szCs w:val="32"/>
        </w:rPr>
        <w:t>283,800.00</w:t>
      </w:r>
      <w:r>
        <w:rPr>
          <w:rFonts w:hint="eastAsia" w:ascii="仿宋_GB2312" w:hAnsi="宋体" w:eastAsia="仿宋_GB2312"/>
          <w:w w:val="99"/>
          <w:sz w:val="32"/>
          <w:szCs w:val="32"/>
        </w:rPr>
        <w:t>元，成本控制在预算范围内，实现成本指标要求。</w:t>
      </w:r>
    </w:p>
    <w:p>
      <w:pPr>
        <w:autoSpaceDE w:val="0"/>
        <w:adjustRightInd w:val="0"/>
        <w:snapToGrid w:val="0"/>
        <w:spacing w:line="540" w:lineRule="exact"/>
        <w:ind w:firstLine="720"/>
        <w:rPr>
          <w:rFonts w:ascii="楷体_GB2312" w:hAnsi="宋体" w:eastAsia="楷体_GB2312"/>
          <w:b/>
          <w:w w:val="99"/>
          <w:sz w:val="32"/>
          <w:szCs w:val="32"/>
        </w:rPr>
      </w:pPr>
      <w:r>
        <w:rPr>
          <w:rFonts w:hint="eastAsia" w:ascii="楷体_GB2312" w:hAnsi="宋体" w:eastAsia="楷体_GB2312"/>
          <w:b/>
          <w:w w:val="99"/>
          <w:sz w:val="32"/>
          <w:szCs w:val="32"/>
        </w:rPr>
        <w:t>（二）项目效益情况</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（1）经济效益，我</w:t>
      </w:r>
      <w:r>
        <w:rPr>
          <w:rFonts w:hint="eastAsia" w:ascii="仿宋_GB2312" w:hAnsi="宋体" w:eastAsia="仿宋_GB2312"/>
          <w:w w:val="99"/>
          <w:sz w:val="32"/>
          <w:szCs w:val="32"/>
          <w:lang w:eastAsia="zh-CN"/>
        </w:rPr>
        <w:t>部门</w:t>
      </w:r>
      <w:r>
        <w:rPr>
          <w:rFonts w:hint="eastAsia" w:ascii="仿宋_GB2312" w:hAnsi="宋体" w:eastAsia="仿宋_GB2312"/>
          <w:w w:val="99"/>
          <w:sz w:val="32"/>
          <w:szCs w:val="32"/>
        </w:rPr>
        <w:t>实施的项目不涉及。</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（2）社会效益，通过“2022年农村公路灾损保险投保费”项目实施，抗灾能力提升。</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（3）生态效益，我</w:t>
      </w:r>
      <w:r>
        <w:rPr>
          <w:rFonts w:hint="eastAsia" w:ascii="仿宋_GB2312" w:hAnsi="宋体" w:eastAsia="仿宋_GB2312"/>
          <w:w w:val="99"/>
          <w:sz w:val="32"/>
          <w:szCs w:val="32"/>
          <w:lang w:eastAsia="zh-CN"/>
        </w:rPr>
        <w:t>部门</w:t>
      </w:r>
      <w:r>
        <w:rPr>
          <w:rFonts w:hint="eastAsia" w:ascii="仿宋_GB2312" w:hAnsi="宋体" w:eastAsia="仿宋_GB2312"/>
          <w:w w:val="99"/>
          <w:sz w:val="32"/>
          <w:szCs w:val="32"/>
        </w:rPr>
        <w:t>实施的项目不涉及。</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（4）可持续效益，我</w:t>
      </w:r>
      <w:r>
        <w:rPr>
          <w:rFonts w:hint="eastAsia" w:ascii="仿宋_GB2312" w:hAnsi="宋体" w:eastAsia="仿宋_GB2312"/>
          <w:w w:val="99"/>
          <w:sz w:val="32"/>
          <w:szCs w:val="32"/>
          <w:lang w:eastAsia="zh-CN"/>
        </w:rPr>
        <w:t>部门</w:t>
      </w:r>
      <w:r>
        <w:rPr>
          <w:rFonts w:hint="eastAsia" w:ascii="仿宋_GB2312" w:hAnsi="宋体" w:eastAsia="仿宋_GB2312"/>
          <w:w w:val="99"/>
          <w:sz w:val="32"/>
          <w:szCs w:val="32"/>
        </w:rPr>
        <w:t>实施的项目不涉及。</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（5）满意度，通过“2022年农村公路灾损保险投保费”项目实施，我</w:t>
      </w:r>
      <w:r>
        <w:rPr>
          <w:rFonts w:hint="eastAsia" w:ascii="仿宋_GB2312" w:hAnsi="宋体" w:eastAsia="仿宋_GB2312"/>
          <w:w w:val="99"/>
          <w:sz w:val="32"/>
          <w:szCs w:val="32"/>
          <w:lang w:eastAsia="zh-CN"/>
        </w:rPr>
        <w:t>部门</w:t>
      </w:r>
      <w:r>
        <w:rPr>
          <w:rFonts w:hint="eastAsia" w:ascii="仿宋_GB2312" w:hAnsi="宋体" w:eastAsia="仿宋_GB2312"/>
          <w:w w:val="99"/>
          <w:sz w:val="32"/>
          <w:szCs w:val="32"/>
        </w:rPr>
        <w:t>随即向辖区内通行车辆及人员发放公路安全通畅通行问卷调查百余份，经测评辖区内通行车辆及人员满意度为92%</w:t>
      </w:r>
      <w:r>
        <w:rPr>
          <w:rFonts w:hint="eastAsia" w:ascii="宋体" w:hAnsi="宋体"/>
          <w:w w:val="99"/>
          <w:sz w:val="32"/>
          <w:szCs w:val="32"/>
        </w:rPr>
        <w:t>≤</w:t>
      </w:r>
      <w:r>
        <w:rPr>
          <w:rFonts w:hint="eastAsia" w:ascii="仿宋_GB2312" w:hAnsi="宋体" w:eastAsia="仿宋_GB2312"/>
          <w:w w:val="99"/>
          <w:sz w:val="32"/>
          <w:szCs w:val="32"/>
        </w:rPr>
        <w:t>95%。</w:t>
      </w:r>
    </w:p>
    <w:p>
      <w:pPr>
        <w:autoSpaceDE w:val="0"/>
        <w:adjustRightInd w:val="0"/>
        <w:snapToGrid w:val="0"/>
        <w:spacing w:line="540" w:lineRule="exact"/>
        <w:ind w:firstLine="720"/>
        <w:rPr>
          <w:rFonts w:ascii="黑体" w:hAnsi="宋体" w:eastAsia="黑体"/>
          <w:w w:val="99"/>
          <w:sz w:val="32"/>
          <w:szCs w:val="32"/>
        </w:rPr>
      </w:pPr>
      <w:r>
        <w:rPr>
          <w:rFonts w:hint="eastAsia" w:ascii="黑体" w:hAnsi="黑体" w:eastAsia="黑体"/>
          <w:w w:val="99"/>
          <w:sz w:val="32"/>
          <w:szCs w:val="32"/>
        </w:rPr>
        <w:t>四、问题及建议</w:t>
      </w:r>
    </w:p>
    <w:p>
      <w:pPr>
        <w:autoSpaceDE w:val="0"/>
        <w:adjustRightInd w:val="0"/>
        <w:snapToGrid w:val="0"/>
        <w:spacing w:line="540" w:lineRule="exact"/>
        <w:ind w:firstLine="720"/>
        <w:rPr>
          <w:rFonts w:ascii="楷体_GB2312" w:hAnsi="宋体" w:eastAsia="楷体_GB2312"/>
          <w:b/>
          <w:w w:val="99"/>
          <w:sz w:val="32"/>
          <w:szCs w:val="32"/>
        </w:rPr>
      </w:pPr>
      <w:r>
        <w:rPr>
          <w:rFonts w:hint="eastAsia" w:ascii="楷体_GB2312" w:hAnsi="宋体" w:eastAsia="楷体_GB2312"/>
          <w:b/>
          <w:w w:val="99"/>
          <w:sz w:val="32"/>
          <w:szCs w:val="32"/>
        </w:rPr>
        <w:t>（一）评价结论</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经按“项目支出绩效评价指标体系”进行综合评价，《2022年农村公路灾损保险投保费项目》绩效评价综合得分“97.87”分，绩效评分结果为“优”。</w:t>
      </w:r>
    </w:p>
    <w:p>
      <w:pPr>
        <w:autoSpaceDE w:val="0"/>
        <w:adjustRightInd w:val="0"/>
        <w:snapToGrid w:val="0"/>
        <w:spacing w:line="540" w:lineRule="exact"/>
        <w:ind w:firstLine="720"/>
        <w:rPr>
          <w:rFonts w:ascii="楷体_GB2312" w:hAnsi="宋体" w:eastAsia="楷体_GB2312"/>
          <w:b/>
          <w:w w:val="99"/>
          <w:sz w:val="32"/>
          <w:szCs w:val="32"/>
        </w:rPr>
      </w:pPr>
      <w:r>
        <w:rPr>
          <w:rFonts w:hint="eastAsia" w:ascii="楷体_GB2312" w:hAnsi="宋体" w:eastAsia="楷体_GB2312"/>
          <w:b/>
          <w:w w:val="99"/>
          <w:sz w:val="32"/>
          <w:szCs w:val="32"/>
        </w:rPr>
        <w:t>（二）存在的问题</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无</w:t>
      </w:r>
    </w:p>
    <w:p>
      <w:pPr>
        <w:autoSpaceDE w:val="0"/>
        <w:adjustRightInd w:val="0"/>
        <w:snapToGrid w:val="0"/>
        <w:spacing w:line="540" w:lineRule="exact"/>
        <w:ind w:firstLine="720"/>
        <w:rPr>
          <w:rFonts w:ascii="楷体_GB2312" w:hAnsi="宋体" w:eastAsia="楷体_GB2312"/>
          <w:b/>
          <w:w w:val="99"/>
          <w:sz w:val="32"/>
          <w:szCs w:val="32"/>
        </w:rPr>
      </w:pPr>
      <w:r>
        <w:rPr>
          <w:rFonts w:hint="eastAsia" w:ascii="楷体_GB2312" w:hAnsi="宋体" w:eastAsia="楷体_GB2312"/>
          <w:b/>
          <w:w w:val="99"/>
          <w:sz w:val="32"/>
          <w:szCs w:val="32"/>
        </w:rPr>
        <w:t>（三）相关建议</w:t>
      </w:r>
    </w:p>
    <w:p>
      <w:pPr>
        <w:autoSpaceDE w:val="0"/>
        <w:adjustRightInd w:val="0"/>
        <w:snapToGrid w:val="0"/>
        <w:spacing w:line="540" w:lineRule="exact"/>
        <w:ind w:firstLine="720"/>
        <w:rPr>
          <w:rFonts w:ascii="仿宋_GB2312" w:hAnsi="宋体" w:eastAsia="仿宋_GB2312"/>
          <w:w w:val="99"/>
          <w:sz w:val="32"/>
          <w:szCs w:val="32"/>
        </w:rPr>
      </w:pPr>
      <w:r>
        <w:rPr>
          <w:rFonts w:hint="eastAsia" w:ascii="仿宋_GB2312" w:hAnsi="宋体" w:eastAsia="仿宋_GB2312"/>
          <w:w w:val="99"/>
          <w:sz w:val="32"/>
          <w:szCs w:val="32"/>
        </w:rPr>
        <w:t>无。</w:t>
      </w:r>
    </w:p>
    <w:p>
      <w:pPr>
        <w:autoSpaceDE w:val="0"/>
        <w:spacing w:line="540" w:lineRule="exact"/>
        <w:ind w:right="320"/>
        <w:jc w:val="right"/>
        <w:rPr>
          <w:rFonts w:ascii="Arial" w:hAnsi="Arial" w:eastAsia="仿宋_GB2312" w:cs="Arial"/>
          <w:sz w:val="32"/>
          <w:szCs w:val="32"/>
        </w:rPr>
      </w:pPr>
    </w:p>
    <w:p>
      <w:pPr>
        <w:autoSpaceDE w:val="0"/>
        <w:spacing w:line="540" w:lineRule="exact"/>
        <w:ind w:right="320"/>
        <w:jc w:val="right"/>
        <w:rPr>
          <w:rFonts w:ascii="Arial" w:hAnsi="Arial" w:eastAsia="仿宋_GB2312" w:cs="Arial"/>
          <w:sz w:val="32"/>
          <w:szCs w:val="32"/>
        </w:rPr>
      </w:pPr>
      <w:r>
        <w:rPr>
          <w:rFonts w:hint="eastAsia" w:ascii="Arial" w:hAnsi="Arial" w:eastAsia="仿宋_GB2312" w:cs="Arial"/>
          <w:sz w:val="32"/>
          <w:szCs w:val="32"/>
        </w:rPr>
        <w:t>广元市朝天区交通运输局</w:t>
      </w:r>
    </w:p>
    <w:p>
      <w:pPr>
        <w:spacing w:line="540" w:lineRule="exact"/>
        <w:ind w:firstLine="4480" w:firstLineChars="1400"/>
        <w:rPr>
          <w:rFonts w:ascii="仿宋_GB2312" w:eastAsia="仿宋_GB2312"/>
          <w:sz w:val="32"/>
          <w:szCs w:val="32"/>
        </w:rPr>
      </w:pPr>
      <w:r>
        <w:rPr>
          <w:rFonts w:hint="eastAsia" w:ascii="仿宋_GB2312" w:eastAsia="仿宋_GB2312"/>
          <w:sz w:val="32"/>
          <w:szCs w:val="32"/>
        </w:rPr>
        <w:t>二〇〇二年五月二十五日</w:t>
      </w:r>
    </w:p>
    <w:p>
      <w:pPr>
        <w:pStyle w:val="2"/>
        <w:spacing w:before="72"/>
      </w:pPr>
    </w:p>
    <w:p>
      <w:pPr>
        <w:pStyle w:val="2"/>
        <w:spacing w:before="72"/>
      </w:pPr>
    </w:p>
    <w:p>
      <w:pPr>
        <w:pStyle w:val="2"/>
        <w:spacing w:before="72"/>
      </w:pPr>
    </w:p>
    <w:p>
      <w:pPr>
        <w:autoSpaceDE w:val="0"/>
        <w:adjustRightInd w:val="0"/>
        <w:snapToGrid w:val="0"/>
        <w:spacing w:line="576" w:lineRule="exact"/>
        <w:ind w:firstLine="859" w:firstLineChars="200"/>
        <w:jc w:val="center"/>
        <w:rPr>
          <w:rFonts w:ascii="方正大标宋简体" w:hAnsi="??" w:eastAsia="方正大标宋简体"/>
          <w:b/>
          <w:color w:val="000000"/>
          <w:spacing w:val="-6"/>
          <w:kern w:val="0"/>
          <w:sz w:val="44"/>
          <w:szCs w:val="44"/>
        </w:rPr>
      </w:pPr>
      <w:r>
        <w:rPr>
          <w:rFonts w:hint="eastAsia" w:ascii="方正大标宋简体" w:hAnsi="??" w:eastAsia="方正大标宋简体"/>
          <w:b/>
          <w:color w:val="000000"/>
          <w:spacing w:val="-6"/>
          <w:kern w:val="0"/>
          <w:sz w:val="44"/>
          <w:szCs w:val="44"/>
        </w:rPr>
        <w:t>2022年部门预算项目支出绩效自评报告</w:t>
      </w:r>
    </w:p>
    <w:p>
      <w:pPr>
        <w:autoSpaceDE w:val="0"/>
        <w:adjustRightInd w:val="0"/>
        <w:snapToGrid w:val="0"/>
        <w:spacing w:line="576" w:lineRule="exact"/>
        <w:ind w:firstLine="616" w:firstLineChars="200"/>
        <w:jc w:val="center"/>
        <w:rPr>
          <w:rFonts w:ascii="宋体"/>
          <w:spacing w:val="-6"/>
          <w:szCs w:val="21"/>
        </w:rPr>
      </w:pPr>
      <w:r>
        <w:rPr>
          <w:rFonts w:hint="eastAsia" w:ascii="仿宋_GB2312" w:hAnsi="宋体" w:eastAsia="仿宋_GB2312"/>
          <w:spacing w:val="-6"/>
          <w:sz w:val="32"/>
          <w:szCs w:val="32"/>
        </w:rPr>
        <w:t>（交通战备及安全工作经费）</w:t>
      </w:r>
    </w:p>
    <w:p>
      <w:pPr>
        <w:autoSpaceDE w:val="0"/>
        <w:adjustRightInd w:val="0"/>
        <w:snapToGrid w:val="0"/>
        <w:spacing w:line="576" w:lineRule="exact"/>
        <w:ind w:firstLine="616" w:firstLineChars="200"/>
        <w:rPr>
          <w:rFonts w:ascii="黑体" w:hAnsi="黑体" w:eastAsia="黑体"/>
          <w:spacing w:val="-6"/>
          <w:sz w:val="32"/>
          <w:szCs w:val="32"/>
        </w:rPr>
      </w:pPr>
      <w:r>
        <w:rPr>
          <w:rFonts w:hint="eastAsia" w:ascii="黑体" w:hAnsi="黑体" w:eastAsia="黑体"/>
          <w:spacing w:val="-6"/>
          <w:sz w:val="32"/>
          <w:szCs w:val="32"/>
        </w:rPr>
        <w:t>一、项目概况</w:t>
      </w:r>
    </w:p>
    <w:p>
      <w:pPr>
        <w:autoSpaceDE w:val="0"/>
        <w:adjustRightInd w:val="0"/>
        <w:snapToGrid w:val="0"/>
        <w:spacing w:line="576" w:lineRule="exact"/>
        <w:ind w:firstLine="618" w:firstLineChars="200"/>
        <w:rPr>
          <w:rFonts w:ascii="楷体_GB2312" w:eastAsia="楷体_GB2312"/>
          <w:b/>
          <w:spacing w:val="-6"/>
          <w:sz w:val="32"/>
          <w:szCs w:val="32"/>
        </w:rPr>
      </w:pPr>
      <w:r>
        <w:rPr>
          <w:rFonts w:hint="eastAsia" w:ascii="楷体_GB2312" w:eastAsia="楷体_GB2312"/>
          <w:b/>
          <w:spacing w:val="-6"/>
          <w:sz w:val="32"/>
          <w:szCs w:val="32"/>
        </w:rPr>
        <w:t>（一）项目资金申报及批复情况。</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hAnsi="宋体" w:eastAsia="仿宋_GB2312"/>
          <w:spacing w:val="-6"/>
          <w:sz w:val="32"/>
          <w:szCs w:val="32"/>
        </w:rPr>
        <w:t>交通战备及安全工作经费</w:t>
      </w:r>
      <w:r>
        <w:rPr>
          <w:rFonts w:hint="eastAsia" w:ascii="仿宋_GB2312" w:eastAsia="仿宋_GB2312"/>
          <w:spacing w:val="-6"/>
          <w:sz w:val="32"/>
          <w:szCs w:val="32"/>
        </w:rPr>
        <w:t>纳入2022年年初预算，该项目为延续项目，资金申报使用过程不涉及预算调整，符合资金管理办法等规定。</w:t>
      </w:r>
    </w:p>
    <w:p>
      <w:pPr>
        <w:numPr>
          <w:ilvl w:val="0"/>
          <w:numId w:val="6"/>
        </w:numPr>
        <w:autoSpaceDE w:val="0"/>
        <w:adjustRightInd w:val="0"/>
        <w:snapToGrid w:val="0"/>
        <w:spacing w:line="576" w:lineRule="exact"/>
        <w:ind w:firstLine="618" w:firstLineChars="200"/>
        <w:rPr>
          <w:rFonts w:ascii="楷体_GB2312" w:eastAsia="楷体_GB2312"/>
          <w:b/>
          <w:spacing w:val="-6"/>
          <w:sz w:val="32"/>
          <w:szCs w:val="32"/>
        </w:rPr>
      </w:pPr>
      <w:r>
        <w:rPr>
          <w:rFonts w:hint="eastAsia" w:ascii="楷体_GB2312" w:eastAsia="楷体_GB2312"/>
          <w:b/>
          <w:spacing w:val="-6"/>
          <w:sz w:val="32"/>
          <w:szCs w:val="32"/>
        </w:rPr>
        <w:t>项目绩效目标。</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hAnsi="宋体" w:eastAsia="仿宋_GB2312"/>
          <w:spacing w:val="-6"/>
          <w:sz w:val="32"/>
          <w:szCs w:val="32"/>
        </w:rPr>
        <w:t>交通战备及安全工作经费</w:t>
      </w:r>
      <w:r>
        <w:rPr>
          <w:rFonts w:hint="eastAsia" w:ascii="仿宋_GB2312" w:eastAsia="仿宋_GB2312"/>
          <w:spacing w:val="-6"/>
          <w:sz w:val="32"/>
          <w:szCs w:val="32"/>
        </w:rPr>
        <w:t>主要用于：一是开展安全会议、培训及应急演练费用；二是购买防汛抗旱等安全物质；三是开展安全检查及日常办公支出。</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hAnsi="宋体" w:eastAsia="仿宋_GB2312"/>
          <w:spacing w:val="-6"/>
          <w:sz w:val="32"/>
          <w:szCs w:val="32"/>
        </w:rPr>
        <w:t>安全生产、交通战备工作经费</w:t>
      </w:r>
      <w:r>
        <w:rPr>
          <w:rFonts w:hint="eastAsia" w:ascii="仿宋_GB2312" w:eastAsia="仿宋_GB2312"/>
          <w:spacing w:val="-6"/>
          <w:sz w:val="32"/>
          <w:szCs w:val="32"/>
        </w:rPr>
        <w:t>项目申报内容与具体实施内容相符、申报目标合理可行。</w:t>
      </w:r>
    </w:p>
    <w:p>
      <w:pPr>
        <w:autoSpaceDE w:val="0"/>
        <w:adjustRightInd w:val="0"/>
        <w:snapToGrid w:val="0"/>
        <w:spacing w:line="540" w:lineRule="exact"/>
        <w:ind w:firstLine="720"/>
        <w:rPr>
          <w:rFonts w:ascii="楷体_GB2312" w:hAnsi="宋体" w:eastAsia="楷体_GB2312"/>
          <w:b/>
          <w:w w:val="99"/>
          <w:sz w:val="32"/>
          <w:szCs w:val="32"/>
        </w:rPr>
      </w:pPr>
      <w:r>
        <w:rPr>
          <w:rFonts w:hint="eastAsia" w:ascii="楷体_GB2312" w:hAnsi="宋体" w:eastAsia="楷体_GB2312"/>
          <w:b/>
          <w:w w:val="99"/>
          <w:sz w:val="32"/>
          <w:szCs w:val="32"/>
        </w:rPr>
        <w:t>（三）项目自评步骤及方法。</w:t>
      </w:r>
    </w:p>
    <w:p>
      <w:pPr>
        <w:autoSpaceDE w:val="0"/>
        <w:adjustRightInd w:val="0"/>
        <w:snapToGrid w:val="0"/>
        <w:spacing w:line="540" w:lineRule="exact"/>
        <w:ind w:firstLine="720"/>
      </w:pPr>
      <w:r>
        <w:rPr>
          <w:rFonts w:hint="eastAsia" w:ascii="仿宋_GB2312" w:hAnsi="宋体" w:eastAsia="仿宋_GB2312"/>
          <w:w w:val="99"/>
          <w:sz w:val="32"/>
          <w:szCs w:val="32"/>
        </w:rPr>
        <w:t>成立由主要领导为组长，具体负责项目的业务股室负责人及财务负责人为副组长的项目绩效工作领导小组，通过运用目标比较法、成本效益法、历史比较法等方法，每季度对项目的运行情况进行分析研讨，保障项目实施的科学性。</w:t>
      </w:r>
    </w:p>
    <w:p>
      <w:pPr>
        <w:autoSpaceDE w:val="0"/>
        <w:adjustRightInd w:val="0"/>
        <w:snapToGrid w:val="0"/>
        <w:spacing w:line="576" w:lineRule="exact"/>
        <w:ind w:firstLine="616" w:firstLineChars="200"/>
        <w:rPr>
          <w:rFonts w:ascii="黑体" w:hAnsi="黑体" w:eastAsia="黑体"/>
          <w:spacing w:val="-6"/>
          <w:sz w:val="32"/>
          <w:szCs w:val="32"/>
        </w:rPr>
      </w:pPr>
      <w:r>
        <w:rPr>
          <w:rFonts w:hint="eastAsia" w:ascii="黑体" w:hAnsi="黑体" w:eastAsia="黑体"/>
          <w:spacing w:val="-6"/>
          <w:sz w:val="32"/>
          <w:szCs w:val="32"/>
        </w:rPr>
        <w:t>二、项目实施及管理情况</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（一）资金计划、到位及使用情况</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1.资金计划及到位。该项目各类资金计划及截止评价时实际到位10万元，均为本级政府财政资金。资金到位率100%。</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2.资金使用</w:t>
      </w:r>
      <w:r>
        <w:rPr>
          <w:rFonts w:hint="eastAsia" w:ascii="仿宋_GB2312" w:eastAsia="仿宋_GB2312"/>
          <w:b/>
          <w:bCs/>
          <w:spacing w:val="-6"/>
          <w:sz w:val="32"/>
          <w:szCs w:val="32"/>
        </w:rPr>
        <w:t>。</w:t>
      </w:r>
      <w:r>
        <w:rPr>
          <w:rFonts w:hint="eastAsia" w:ascii="仿宋_GB2312" w:eastAsia="仿宋_GB2312"/>
          <w:spacing w:val="-6"/>
          <w:sz w:val="32"/>
          <w:szCs w:val="32"/>
        </w:rPr>
        <w:t>截止评价时点项目资金的实际支出为10万元，资金开支范围、标准均按照预算计划执行，支付依据合规合法。</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（二）项目财务管理情况</w:t>
      </w:r>
    </w:p>
    <w:p>
      <w:pPr>
        <w:autoSpaceDE w:val="0"/>
        <w:adjustRightInd w:val="0"/>
        <w:snapToGrid w:val="0"/>
        <w:spacing w:line="576" w:lineRule="exact"/>
        <w:ind w:firstLine="616" w:firstLineChars="200"/>
        <w:rPr>
          <w:rFonts w:ascii="仿宋_GB2312" w:hAnsi="仿宋_GB2312" w:eastAsia="仿宋_GB2312" w:cs="仿宋_GB2312"/>
          <w:bCs/>
          <w:spacing w:val="-6"/>
          <w:sz w:val="32"/>
          <w:szCs w:val="32"/>
        </w:rPr>
      </w:pPr>
      <w:r>
        <w:rPr>
          <w:rFonts w:hint="eastAsia" w:ascii="仿宋_GB2312" w:hAnsi="仿宋_GB2312" w:eastAsia="仿宋_GB2312" w:cs="仿宋_GB2312"/>
          <w:bCs/>
          <w:spacing w:val="-6"/>
          <w:sz w:val="32"/>
          <w:szCs w:val="32"/>
        </w:rPr>
        <w:t>我</w:t>
      </w:r>
      <w:r>
        <w:rPr>
          <w:rFonts w:hint="eastAsia" w:ascii="仿宋_GB2312" w:hAnsi="仿宋_GB2312" w:eastAsia="仿宋_GB2312" w:cs="仿宋_GB2312"/>
          <w:bCs/>
          <w:spacing w:val="-6"/>
          <w:sz w:val="32"/>
          <w:szCs w:val="32"/>
          <w:lang w:eastAsia="zh-CN"/>
        </w:rPr>
        <w:t>部门</w:t>
      </w:r>
      <w:r>
        <w:rPr>
          <w:rFonts w:hint="eastAsia" w:ascii="仿宋_GB2312" w:hAnsi="仿宋_GB2312" w:eastAsia="仿宋_GB2312" w:cs="仿宋_GB2312"/>
          <w:bCs/>
          <w:spacing w:val="-6"/>
          <w:sz w:val="32"/>
          <w:szCs w:val="32"/>
        </w:rPr>
        <w:t>按照财政部门的相关要求编制部门预算、执行部门预算，及时制定并完善了《财务管理制度（暂行）办法》《项目管理制度》等相关财务制度，确定了财务审核机构、明确了会计核算及账务处理等相关要求。该项目对照项目和资金管理办法，严格执行财务管理制度、财务处理及时、会计核算规范。</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（三）项目组织实施情况</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全年开展安全会议60次，道路及水上应急演练4次，购买防汛应急物资，组织开展安全隐患大排查等专项行动18次，出动检查人员102人次。</w:t>
      </w:r>
    </w:p>
    <w:p>
      <w:pPr>
        <w:autoSpaceDE w:val="0"/>
        <w:adjustRightInd w:val="0"/>
        <w:snapToGrid w:val="0"/>
        <w:spacing w:line="576" w:lineRule="exact"/>
        <w:ind w:firstLine="616" w:firstLineChars="200"/>
        <w:rPr>
          <w:rFonts w:ascii="黑体" w:hAnsi="黑体" w:eastAsia="黑体"/>
          <w:spacing w:val="-6"/>
          <w:sz w:val="32"/>
          <w:szCs w:val="32"/>
        </w:rPr>
      </w:pPr>
      <w:r>
        <w:rPr>
          <w:rFonts w:hint="eastAsia" w:ascii="黑体" w:hAnsi="黑体" w:eastAsia="黑体"/>
          <w:spacing w:val="-6"/>
          <w:sz w:val="32"/>
          <w:szCs w:val="32"/>
        </w:rPr>
        <w:t>三、项目绩效情况</w:t>
      </w:r>
      <w:r>
        <w:rPr>
          <w:rFonts w:hint="eastAsia" w:ascii="黑体" w:hAnsi="黑体" w:eastAsia="黑体"/>
          <w:spacing w:val="-6"/>
          <w:sz w:val="32"/>
          <w:szCs w:val="32"/>
        </w:rPr>
        <w:tab/>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（一）项目完成情况</w:t>
      </w:r>
    </w:p>
    <w:p>
      <w:pPr>
        <w:autoSpaceDE w:val="0"/>
        <w:adjustRightInd w:val="0"/>
        <w:snapToGrid w:val="0"/>
        <w:spacing w:line="576" w:lineRule="exact"/>
        <w:ind w:firstLine="640" w:firstLineChars="200"/>
        <w:rPr>
          <w:rFonts w:ascii="仿宋" w:hAnsi="仿宋" w:eastAsia="仿宋" w:cs="仿宋"/>
          <w:color w:val="000000"/>
          <w:sz w:val="32"/>
          <w:szCs w:val="32"/>
          <w:shd w:val="clear" w:color="auto" w:fill="FFFFFF"/>
        </w:rPr>
      </w:pPr>
      <w:r>
        <w:rPr>
          <w:rFonts w:ascii="仿宋" w:hAnsi="仿宋" w:eastAsia="仿宋" w:cs="仿宋"/>
          <w:color w:val="000000"/>
          <w:sz w:val="32"/>
          <w:szCs w:val="32"/>
          <w:shd w:val="clear" w:color="auto" w:fill="FFFFFF"/>
        </w:rPr>
        <w:t>在区委、区政府的正确领导下，</w:t>
      </w:r>
      <w:r>
        <w:rPr>
          <w:rFonts w:hint="eastAsia" w:ascii="仿宋" w:hAnsi="仿宋" w:eastAsia="仿宋" w:cs="仿宋"/>
          <w:color w:val="000000"/>
          <w:sz w:val="32"/>
          <w:szCs w:val="32"/>
          <w:shd w:val="clear" w:color="auto" w:fill="FFFFFF"/>
        </w:rPr>
        <w:t>及时传达省市区的领导指示批示精神及安全会议精神，全面开展道路及水上交通应急演练，开展辖区内的交通领域的安全隐患排查治理，有效维护我区交通秩序的安全稳定。</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（二）项目效益情况</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经济效益：维护交通秩序，减少安全事故发生。</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社会效益：维护社会稳定，提高服务社会发展能力</w:t>
      </w:r>
      <w:r>
        <w:rPr>
          <w:rFonts w:hint="eastAsia" w:ascii="仿宋" w:hAnsi="仿宋" w:eastAsia="仿宋" w:cs="仿宋"/>
          <w:color w:val="000000"/>
          <w:sz w:val="32"/>
          <w:szCs w:val="32"/>
          <w:shd w:val="clear" w:color="auto" w:fill="FFFFFF"/>
        </w:rPr>
        <w:t>。</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可持续效益：由于该项目的实施有效保障当地交通安全运输的工作，所以该项目实施有持续需求。</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服务对象满意度：当地百姓满意度高于95%</w:t>
      </w:r>
      <w:r>
        <w:rPr>
          <w:rFonts w:hint="eastAsia" w:ascii="仿宋_GB2312" w:eastAsia="仿宋_GB2312"/>
          <w:spacing w:val="-6"/>
          <w:sz w:val="32"/>
          <w:szCs w:val="32"/>
        </w:rPr>
        <w:tab/>
      </w:r>
      <w:r>
        <w:rPr>
          <w:rFonts w:hint="eastAsia" w:ascii="仿宋_GB2312" w:eastAsia="仿宋_GB2312"/>
          <w:spacing w:val="-6"/>
          <w:sz w:val="32"/>
          <w:szCs w:val="32"/>
        </w:rPr>
        <w:t>。</w:t>
      </w:r>
      <w:r>
        <w:rPr>
          <w:rFonts w:hint="eastAsia" w:ascii="仿宋_GB2312" w:eastAsia="仿宋_GB2312"/>
          <w:spacing w:val="-6"/>
          <w:sz w:val="32"/>
          <w:szCs w:val="32"/>
        </w:rPr>
        <w:tab/>
      </w:r>
      <w:r>
        <w:rPr>
          <w:rFonts w:hint="eastAsia" w:ascii="仿宋_GB2312" w:eastAsia="仿宋_GB2312"/>
          <w:spacing w:val="-6"/>
          <w:sz w:val="32"/>
          <w:szCs w:val="32"/>
        </w:rPr>
        <w:tab/>
      </w:r>
    </w:p>
    <w:p>
      <w:pPr>
        <w:autoSpaceDE w:val="0"/>
        <w:adjustRightInd w:val="0"/>
        <w:snapToGrid w:val="0"/>
        <w:spacing w:line="576" w:lineRule="exact"/>
        <w:ind w:firstLine="616" w:firstLineChars="200"/>
        <w:rPr>
          <w:rFonts w:ascii="黑体" w:hAnsi="黑体" w:eastAsia="黑体"/>
          <w:spacing w:val="-6"/>
          <w:sz w:val="32"/>
          <w:szCs w:val="32"/>
        </w:rPr>
      </w:pPr>
      <w:r>
        <w:rPr>
          <w:rFonts w:hint="eastAsia" w:ascii="黑体" w:hAnsi="黑体" w:eastAsia="黑体"/>
          <w:spacing w:val="-6"/>
          <w:sz w:val="32"/>
          <w:szCs w:val="32"/>
        </w:rPr>
        <w:t>四、问题及建议</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（一）存在的问题</w:t>
      </w:r>
    </w:p>
    <w:p>
      <w:pPr>
        <w:widowControl/>
        <w:shd w:val="clear" w:color="auto" w:fill="FFFFFF"/>
        <w:spacing w:line="560" w:lineRule="exact"/>
        <w:ind w:firstLine="640" w:firstLineChars="200"/>
        <w:jc w:val="left"/>
        <w:rPr>
          <w:rFonts w:ascii="仿宋_GB2312" w:eastAsia="仿宋_GB2312"/>
          <w:color w:val="000000"/>
          <w:kern w:val="0"/>
          <w:sz w:val="32"/>
          <w:szCs w:val="32"/>
        </w:rPr>
      </w:pPr>
      <w:r>
        <w:rPr>
          <w:rFonts w:hint="eastAsia" w:ascii="仿宋_GB2312" w:eastAsia="仿宋_GB2312"/>
          <w:color w:val="000000"/>
          <w:kern w:val="0"/>
          <w:sz w:val="32"/>
          <w:szCs w:val="32"/>
        </w:rPr>
        <w:t>绩效目标设立不够明确、细化和量化。目标设定后没有科学的设定考核评价标准，特别是对于不能量化的目标。</w:t>
      </w:r>
    </w:p>
    <w:p>
      <w:pPr>
        <w:widowControl/>
        <w:shd w:val="clear" w:color="auto" w:fill="FFFFFF"/>
        <w:spacing w:line="560" w:lineRule="exact"/>
        <w:ind w:firstLine="640" w:firstLineChars="200"/>
        <w:jc w:val="left"/>
        <w:rPr>
          <w:rFonts w:ascii="仿宋_GB2312" w:eastAsia="仿宋_GB2312"/>
          <w:color w:val="000000"/>
          <w:kern w:val="0"/>
          <w:sz w:val="32"/>
          <w:szCs w:val="32"/>
        </w:rPr>
      </w:pPr>
      <w:r>
        <w:rPr>
          <w:rFonts w:hint="eastAsia" w:ascii="仿宋_GB2312" w:eastAsia="仿宋_GB2312"/>
          <w:color w:val="000000"/>
          <w:kern w:val="0"/>
          <w:sz w:val="32"/>
          <w:szCs w:val="32"/>
        </w:rPr>
        <w:t>预算执行工作有待提高。主要是部分项目推进缓慢，原因是项目实施条件不具备，项目经费计划在年末支付，未拨付项目费用，导致项目进度迟缓。</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（二）相关建议</w:t>
      </w:r>
    </w:p>
    <w:p>
      <w:pPr>
        <w:pStyle w:val="15"/>
        <w:adjustRightInd w:val="0"/>
        <w:snapToGrid w:val="0"/>
        <w:spacing w:line="576" w:lineRule="exact"/>
        <w:ind w:left="0" w:leftChars="0" w:firstLine="640"/>
        <w:rPr>
          <w:rFonts w:ascii="仿宋_GB2312" w:hAnsi="仿宋_GB2312" w:eastAsia="仿宋_GB2312" w:cs="仿宋_GB2312"/>
          <w:color w:val="222222"/>
          <w:sz w:val="32"/>
          <w:szCs w:val="32"/>
          <w:shd w:val="clear" w:color="auto" w:fill="FFFFFF"/>
        </w:rPr>
      </w:pPr>
      <w:r>
        <w:rPr>
          <w:rFonts w:hint="eastAsia" w:ascii="仿宋_GB2312" w:hAnsi="仿宋_GB2312" w:eastAsia="仿宋_GB2312" w:cs="仿宋_GB2312"/>
          <w:color w:val="222222"/>
          <w:sz w:val="32"/>
          <w:szCs w:val="32"/>
          <w:shd w:val="clear" w:color="auto" w:fill="FFFFFF"/>
        </w:rPr>
        <w:t>科学合理制定绩效目标，充分发挥绩效工作效用。加强业务培训，提高评价水平，部门整体绩效评价工作是一项长期性的工作，专业性较强，工作量大，进一步加强业务领导及经办人员相关的政策，业务工作培训学习。</w:t>
      </w:r>
    </w:p>
    <w:p>
      <w:pPr>
        <w:pStyle w:val="15"/>
        <w:adjustRightInd w:val="0"/>
        <w:snapToGrid w:val="0"/>
        <w:spacing w:line="576" w:lineRule="exact"/>
        <w:ind w:left="0" w:leftChars="0" w:firstLine="640"/>
        <w:rPr>
          <w:rFonts w:ascii="仿宋_GB2312" w:hAnsi="仿宋_GB2312" w:eastAsia="仿宋_GB2312" w:cs="仿宋_GB2312"/>
          <w:color w:val="222222"/>
          <w:sz w:val="28"/>
          <w:szCs w:val="28"/>
          <w:shd w:val="clear" w:color="auto" w:fill="FFFFFF"/>
        </w:rPr>
      </w:pPr>
      <w:r>
        <w:rPr>
          <w:rFonts w:ascii="仿宋_GB2312" w:hAnsi="宋体" w:eastAsia="仿宋_GB2312" w:cs="仿宋_GB2312"/>
          <w:color w:val="000000"/>
          <w:sz w:val="32"/>
          <w:szCs w:val="32"/>
          <w:shd w:val="clear" w:color="auto" w:fill="FFFFFF"/>
        </w:rPr>
        <w:t>加强预算管理，确保项目的科学性。强化预算执行，为</w:t>
      </w:r>
      <w:r>
        <w:rPr>
          <w:rFonts w:hint="eastAsia" w:ascii="仿宋_GB2312" w:hAnsi="宋体" w:eastAsia="仿宋_GB2312" w:cs="仿宋_GB2312"/>
          <w:color w:val="000000"/>
          <w:sz w:val="32"/>
          <w:szCs w:val="32"/>
          <w:shd w:val="clear" w:color="auto" w:fill="FFFFFF"/>
        </w:rPr>
        <w:t>项目完成</w:t>
      </w:r>
      <w:r>
        <w:rPr>
          <w:rFonts w:ascii="仿宋_GB2312" w:hAnsi="宋体" w:eastAsia="仿宋_GB2312" w:cs="仿宋_GB2312"/>
          <w:color w:val="000000"/>
          <w:sz w:val="32"/>
          <w:szCs w:val="32"/>
          <w:shd w:val="clear" w:color="auto" w:fill="FFFFFF"/>
        </w:rPr>
        <w:t>绩效目标提供基础保障，提高项目支出资金使用</w:t>
      </w:r>
      <w:r>
        <w:rPr>
          <w:rFonts w:hint="eastAsia" w:ascii="仿宋_GB2312" w:hAnsi="宋体" w:eastAsia="仿宋_GB2312" w:cs="仿宋_GB2312"/>
          <w:color w:val="000000"/>
          <w:sz w:val="32"/>
          <w:szCs w:val="32"/>
          <w:shd w:val="clear" w:color="auto" w:fill="FFFFFF"/>
        </w:rPr>
        <w:t>和项目</w:t>
      </w:r>
      <w:r>
        <w:rPr>
          <w:rFonts w:ascii="仿宋_GB2312" w:hAnsi="宋体" w:eastAsia="仿宋_GB2312" w:cs="仿宋_GB2312"/>
          <w:color w:val="000000"/>
          <w:sz w:val="32"/>
          <w:szCs w:val="32"/>
          <w:shd w:val="clear" w:color="auto" w:fill="FFFFFF"/>
        </w:rPr>
        <w:t>精细化管理水平</w:t>
      </w:r>
      <w:r>
        <w:rPr>
          <w:rFonts w:hint="eastAsia" w:ascii="仿宋_GB2312" w:hAnsi="宋体" w:eastAsia="仿宋_GB2312" w:cs="仿宋_GB2312"/>
          <w:color w:val="000000"/>
          <w:sz w:val="32"/>
          <w:szCs w:val="32"/>
          <w:shd w:val="clear" w:color="auto" w:fill="FFFFFF"/>
        </w:rPr>
        <w:t>，</w:t>
      </w:r>
      <w:r>
        <w:rPr>
          <w:rFonts w:ascii="仿宋_GB2312" w:hAnsi="宋体" w:eastAsia="仿宋_GB2312" w:cs="仿宋_GB2312"/>
          <w:color w:val="000000"/>
          <w:sz w:val="32"/>
          <w:szCs w:val="32"/>
          <w:shd w:val="clear" w:color="auto" w:fill="FFFFFF"/>
        </w:rPr>
        <w:t>确保项目实施达到预期效果，发挥最大</w:t>
      </w:r>
      <w:r>
        <w:rPr>
          <w:rFonts w:hint="eastAsia" w:ascii="仿宋_GB2312" w:hAnsi="宋体" w:eastAsia="仿宋_GB2312" w:cs="仿宋_GB2312"/>
          <w:color w:val="000000"/>
          <w:sz w:val="32"/>
          <w:szCs w:val="32"/>
          <w:shd w:val="clear" w:color="auto" w:fill="FFFFFF"/>
        </w:rPr>
        <w:t>社会</w:t>
      </w:r>
      <w:r>
        <w:rPr>
          <w:rFonts w:ascii="仿宋_GB2312" w:hAnsi="宋体" w:eastAsia="仿宋_GB2312" w:cs="仿宋_GB2312"/>
          <w:color w:val="000000"/>
          <w:sz w:val="32"/>
          <w:szCs w:val="32"/>
          <w:shd w:val="clear" w:color="auto" w:fill="FFFFFF"/>
        </w:rPr>
        <w:t>效益。</w:t>
      </w:r>
    </w:p>
    <w:p>
      <w:pPr>
        <w:autoSpaceDE w:val="0"/>
        <w:adjustRightInd w:val="0"/>
        <w:snapToGrid w:val="0"/>
        <w:spacing w:line="576" w:lineRule="exact"/>
        <w:ind w:firstLine="640" w:firstLineChars="200"/>
        <w:rPr>
          <w:rFonts w:ascii="Arial" w:hAnsi="Arial" w:eastAsia="仿宋_GB2312" w:cs="Arial"/>
          <w:sz w:val="32"/>
          <w:szCs w:val="32"/>
        </w:rPr>
      </w:pPr>
    </w:p>
    <w:p>
      <w:pPr>
        <w:autoSpaceDE w:val="0"/>
        <w:adjustRightInd w:val="0"/>
        <w:snapToGrid w:val="0"/>
        <w:spacing w:line="576" w:lineRule="exact"/>
        <w:ind w:firstLine="4160" w:firstLineChars="1300"/>
        <w:rPr>
          <w:rFonts w:ascii="Arial" w:hAnsi="Arial" w:eastAsia="仿宋_GB2312" w:cs="Arial"/>
          <w:sz w:val="32"/>
          <w:szCs w:val="32"/>
        </w:rPr>
      </w:pPr>
      <w:r>
        <w:rPr>
          <w:rFonts w:hint="eastAsia" w:ascii="Arial" w:hAnsi="Arial" w:eastAsia="仿宋_GB2312" w:cs="Arial"/>
          <w:sz w:val="32"/>
          <w:szCs w:val="32"/>
        </w:rPr>
        <w:t>广元市朝天区交通运输局</w:t>
      </w:r>
    </w:p>
    <w:p>
      <w:pPr>
        <w:autoSpaceDE w:val="0"/>
        <w:adjustRightInd w:val="0"/>
        <w:snapToGrid w:val="0"/>
        <w:spacing w:line="576" w:lineRule="exact"/>
        <w:ind w:firstLine="4800" w:firstLineChars="1500"/>
        <w:rPr>
          <w:rFonts w:ascii="仿宋_GB2312" w:eastAsia="仿宋_GB2312"/>
          <w:sz w:val="32"/>
          <w:szCs w:val="32"/>
        </w:rPr>
      </w:pPr>
      <w:r>
        <w:rPr>
          <w:rFonts w:hint="eastAsia" w:ascii="仿宋_GB2312" w:eastAsia="仿宋_GB2312"/>
          <w:sz w:val="32"/>
          <w:szCs w:val="32"/>
        </w:rPr>
        <w:t>2023年5月25日</w:t>
      </w:r>
    </w:p>
    <w:p>
      <w:pPr>
        <w:pStyle w:val="2"/>
        <w:spacing w:before="72"/>
      </w:pPr>
    </w:p>
    <w:p>
      <w:pPr>
        <w:pStyle w:val="2"/>
        <w:spacing w:before="72"/>
      </w:pPr>
    </w:p>
    <w:p>
      <w:pPr>
        <w:autoSpaceDE w:val="0"/>
        <w:spacing w:line="576" w:lineRule="exact"/>
        <w:jc w:val="center"/>
        <w:rPr>
          <w:rFonts w:ascii="方正大标宋简体" w:hAnsi="??" w:eastAsia="方正大标宋简体"/>
          <w:b/>
          <w:color w:val="000000"/>
          <w:spacing w:val="-6"/>
          <w:kern w:val="0"/>
          <w:sz w:val="44"/>
          <w:szCs w:val="44"/>
        </w:rPr>
      </w:pPr>
      <w:r>
        <w:rPr>
          <w:rFonts w:hint="eastAsia" w:ascii="方正大标宋简体" w:hAnsi="??" w:eastAsia="方正大标宋简体"/>
          <w:b/>
          <w:color w:val="000000"/>
          <w:spacing w:val="-6"/>
          <w:kern w:val="0"/>
          <w:sz w:val="44"/>
          <w:szCs w:val="44"/>
        </w:rPr>
        <w:t>广元市朝天区交通运输综合服务中心</w:t>
      </w:r>
    </w:p>
    <w:p>
      <w:pPr>
        <w:autoSpaceDE w:val="0"/>
        <w:spacing w:line="576" w:lineRule="exact"/>
        <w:jc w:val="center"/>
        <w:rPr>
          <w:rFonts w:ascii="方正大标宋简体" w:hAnsi="??" w:eastAsia="方正大标宋简体"/>
          <w:b/>
          <w:color w:val="000000"/>
          <w:spacing w:val="-6"/>
          <w:kern w:val="0"/>
          <w:sz w:val="44"/>
          <w:szCs w:val="44"/>
        </w:rPr>
      </w:pPr>
      <w:r>
        <w:rPr>
          <w:rFonts w:hint="eastAsia" w:ascii="方正大标宋简体" w:hAnsi="??" w:eastAsia="方正大标宋简体"/>
          <w:b/>
          <w:color w:val="000000"/>
          <w:spacing w:val="-6"/>
          <w:kern w:val="0"/>
          <w:sz w:val="44"/>
          <w:szCs w:val="44"/>
        </w:rPr>
        <w:t>2022年部门预算项目支出绩效自评报告</w:t>
      </w:r>
    </w:p>
    <w:p>
      <w:pPr>
        <w:autoSpaceDE w:val="0"/>
        <w:adjustRightInd w:val="0"/>
        <w:snapToGrid w:val="0"/>
        <w:spacing w:line="576" w:lineRule="exact"/>
        <w:ind w:firstLine="616" w:firstLineChars="200"/>
        <w:jc w:val="center"/>
        <w:rPr>
          <w:rFonts w:ascii="宋体"/>
          <w:spacing w:val="-6"/>
          <w:szCs w:val="21"/>
        </w:rPr>
      </w:pPr>
      <w:r>
        <w:rPr>
          <w:rFonts w:hint="eastAsia" w:ascii="仿宋_GB2312" w:eastAsia="仿宋_GB2312"/>
          <w:spacing w:val="-6"/>
          <w:sz w:val="32"/>
          <w:szCs w:val="32"/>
        </w:rPr>
        <w:t>（2022年市级农村客运补助资金）</w:t>
      </w:r>
    </w:p>
    <w:p>
      <w:pPr>
        <w:autoSpaceDE w:val="0"/>
        <w:adjustRightInd w:val="0"/>
        <w:snapToGrid w:val="0"/>
        <w:spacing w:line="576" w:lineRule="exact"/>
        <w:ind w:firstLine="616" w:firstLineChars="200"/>
        <w:rPr>
          <w:rFonts w:ascii="黑体" w:hAnsi="黑体" w:eastAsia="黑体"/>
          <w:spacing w:val="-6"/>
          <w:sz w:val="32"/>
          <w:szCs w:val="32"/>
        </w:rPr>
      </w:pPr>
      <w:r>
        <w:rPr>
          <w:rFonts w:hint="eastAsia" w:ascii="黑体" w:hAnsi="黑体" w:eastAsia="黑体"/>
          <w:spacing w:val="-6"/>
          <w:sz w:val="32"/>
          <w:szCs w:val="32"/>
        </w:rPr>
        <w:t>一、项目概况</w:t>
      </w:r>
    </w:p>
    <w:p>
      <w:pPr>
        <w:autoSpaceDE w:val="0"/>
        <w:adjustRightInd w:val="0"/>
        <w:snapToGrid w:val="0"/>
        <w:spacing w:line="540" w:lineRule="exact"/>
        <w:ind w:firstLine="720"/>
        <w:rPr>
          <w:rFonts w:ascii="楷体_GB2312" w:hAnsi="宋体" w:eastAsia="楷体_GB2312"/>
          <w:b/>
          <w:w w:val="99"/>
          <w:sz w:val="32"/>
          <w:szCs w:val="32"/>
        </w:rPr>
      </w:pPr>
      <w:r>
        <w:rPr>
          <w:rFonts w:hint="eastAsia" w:ascii="楷体_GB2312" w:hAnsi="宋体" w:eastAsia="楷体_GB2312"/>
          <w:b/>
          <w:w w:val="99"/>
          <w:sz w:val="32"/>
          <w:szCs w:val="32"/>
        </w:rPr>
        <w:t>（一）项目资金申报及批复情况。</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按照广元市人民政府《关于加快农村客运发展的意见》（广府发﹝2019﹞5号）文件要求，结合朝天区实际情况，经请示区委、区政府后，将2022年市级农村客运补助资金纳入2022年财政预算。其资金在申报使用过程中没有进行预算调整调剂，并严格按照交通行业专项资金使用管理等相关规定执行，符合资金管理办法等规定。</w:t>
      </w:r>
    </w:p>
    <w:p>
      <w:pPr>
        <w:autoSpaceDE w:val="0"/>
        <w:adjustRightInd w:val="0"/>
        <w:snapToGrid w:val="0"/>
        <w:spacing w:line="540" w:lineRule="exact"/>
        <w:ind w:firstLine="720"/>
        <w:rPr>
          <w:rFonts w:ascii="楷体_GB2312" w:hAnsi="宋体" w:eastAsia="楷体_GB2312"/>
          <w:b/>
          <w:w w:val="99"/>
          <w:sz w:val="32"/>
          <w:szCs w:val="32"/>
        </w:rPr>
      </w:pPr>
      <w:r>
        <w:rPr>
          <w:rFonts w:hint="eastAsia" w:ascii="楷体_GB2312" w:hAnsi="宋体" w:eastAsia="楷体_GB2312"/>
          <w:b/>
          <w:w w:val="99"/>
          <w:sz w:val="32"/>
          <w:szCs w:val="32"/>
        </w:rPr>
        <w:t>（二）项目绩效目标。</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按期完成2022年度农村客运发展专项财政补贴项目，通过通村客运营运补助，提高客运企业服务冷线行政村的积极性，确保农村客运开得通、留得住，保障农民群众“行有所乘”以及推进农村客运低碳、绿色、高质量发展。</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项目申报内容与具体实施内容相符、申报目标合理可行。</w:t>
      </w:r>
    </w:p>
    <w:p>
      <w:pPr>
        <w:autoSpaceDE w:val="0"/>
        <w:adjustRightInd w:val="0"/>
        <w:snapToGrid w:val="0"/>
        <w:spacing w:line="540" w:lineRule="exact"/>
        <w:ind w:firstLine="720"/>
        <w:rPr>
          <w:rFonts w:ascii="楷体_GB2312" w:hAnsi="宋体" w:eastAsia="楷体_GB2312"/>
          <w:b/>
          <w:w w:val="99"/>
          <w:sz w:val="32"/>
          <w:szCs w:val="32"/>
        </w:rPr>
      </w:pPr>
      <w:r>
        <w:rPr>
          <w:rFonts w:hint="eastAsia" w:ascii="楷体_GB2312" w:hAnsi="宋体" w:eastAsia="楷体_GB2312"/>
          <w:b/>
          <w:w w:val="99"/>
          <w:sz w:val="32"/>
          <w:szCs w:val="32"/>
        </w:rPr>
        <w:t>（三）项目自评步骤及方法。</w:t>
      </w:r>
    </w:p>
    <w:p>
      <w:pPr>
        <w:autoSpaceDE w:val="0"/>
        <w:adjustRightInd w:val="0"/>
        <w:snapToGrid w:val="0"/>
        <w:spacing w:line="540" w:lineRule="exact"/>
        <w:ind w:firstLine="720"/>
      </w:pPr>
      <w:r>
        <w:rPr>
          <w:rFonts w:hint="eastAsia" w:ascii="仿宋_GB2312" w:hAnsi="宋体" w:eastAsia="仿宋_GB2312"/>
          <w:w w:val="99"/>
          <w:sz w:val="32"/>
          <w:szCs w:val="32"/>
        </w:rPr>
        <w:t>成立由主要领导为组长，具体负责项目的业务股室负责人及财务负责人为副组长的项目绩效工作领导小组，通过运用目标比较法、成本效益法、历史比较法等方法，每季度对项目的运行情况进行分析研讨，保障项目实施的科学性。</w:t>
      </w:r>
    </w:p>
    <w:p>
      <w:pPr>
        <w:autoSpaceDE w:val="0"/>
        <w:adjustRightInd w:val="0"/>
        <w:snapToGrid w:val="0"/>
        <w:spacing w:line="576" w:lineRule="exact"/>
        <w:ind w:firstLine="616" w:firstLineChars="200"/>
        <w:rPr>
          <w:rFonts w:ascii="黑体" w:hAnsi="黑体" w:eastAsia="黑体"/>
          <w:spacing w:val="-6"/>
          <w:sz w:val="32"/>
          <w:szCs w:val="32"/>
        </w:rPr>
      </w:pPr>
      <w:r>
        <w:rPr>
          <w:rFonts w:hint="eastAsia" w:ascii="黑体" w:hAnsi="黑体" w:eastAsia="黑体"/>
          <w:spacing w:val="-6"/>
          <w:sz w:val="32"/>
          <w:szCs w:val="32"/>
        </w:rPr>
        <w:t>二、项目实施及管理情况</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（一）资金计划、到位及使用情况</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1.资金计划及到位。</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该项目资金年初纳入预算，资金计划及截止评价截止评价时点实际到位情况为23万元，均为本级财政资金。该项目资金到位情况与资金计划到位情况相符，资金到位率为100%。</w:t>
      </w:r>
    </w:p>
    <w:p>
      <w:pPr>
        <w:adjustRightInd w:val="0"/>
        <w:snapToGrid w:val="0"/>
        <w:spacing w:line="576" w:lineRule="exact"/>
        <w:ind w:firstLine="616" w:firstLineChars="200"/>
        <w:rPr>
          <w:rFonts w:ascii="仿宋_GB2312" w:eastAsia="仿宋_GB2312"/>
          <w:sz w:val="32"/>
          <w:szCs w:val="32"/>
        </w:rPr>
      </w:pPr>
      <w:r>
        <w:rPr>
          <w:rFonts w:hint="eastAsia" w:ascii="仿宋_GB2312" w:eastAsia="仿宋_GB2312"/>
          <w:spacing w:val="-6"/>
          <w:sz w:val="32"/>
          <w:szCs w:val="32"/>
        </w:rPr>
        <w:t>2.资金使用。截止评价时点项目资金的实际支出情况为23万元，资金用于符合条件的“</w:t>
      </w:r>
      <w:r>
        <w:rPr>
          <w:rFonts w:hint="eastAsia" w:ascii="仿宋_GB2312" w:eastAsia="仿宋_GB2312"/>
          <w:sz w:val="32"/>
          <w:szCs w:val="32"/>
        </w:rPr>
        <w:t>对未通客车的建制村</w:t>
      </w:r>
      <w:r>
        <w:rPr>
          <w:rFonts w:hint="eastAsia" w:ascii="仿宋_GB2312" w:eastAsia="仿宋_GB2312"/>
          <w:spacing w:val="-6"/>
          <w:sz w:val="32"/>
          <w:szCs w:val="32"/>
        </w:rPr>
        <w:t>”</w:t>
      </w:r>
      <w:r>
        <w:rPr>
          <w:rFonts w:hint="eastAsia" w:ascii="仿宋_GB2312" w:eastAsia="仿宋_GB2312"/>
          <w:sz w:val="32"/>
          <w:szCs w:val="32"/>
        </w:rPr>
        <w:t>开通客车的营运补贴。项目资金支付标准和支付进度均按照项目实施要求，支付依据合规合法，资金支付与预算相符。</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（二）项目财务管理情况</w:t>
      </w:r>
    </w:p>
    <w:p>
      <w:pPr>
        <w:autoSpaceDE w:val="0"/>
        <w:adjustRightInd w:val="0"/>
        <w:snapToGrid w:val="0"/>
        <w:spacing w:line="576" w:lineRule="exact"/>
        <w:ind w:firstLine="616" w:firstLineChars="200"/>
        <w:rPr>
          <w:rFonts w:ascii="仿宋_GB2312" w:hAnsi="仿宋_GB2312" w:eastAsia="仿宋_GB2312" w:cs="仿宋_GB2312"/>
          <w:bCs/>
          <w:spacing w:val="-6"/>
          <w:sz w:val="32"/>
          <w:szCs w:val="32"/>
        </w:rPr>
      </w:pPr>
      <w:r>
        <w:rPr>
          <w:rFonts w:hint="eastAsia" w:ascii="仿宋_GB2312" w:hAnsi="仿宋_GB2312" w:eastAsia="仿宋_GB2312" w:cs="仿宋_GB2312"/>
          <w:bCs/>
          <w:spacing w:val="-6"/>
          <w:sz w:val="32"/>
          <w:szCs w:val="32"/>
        </w:rPr>
        <w:t>我</w:t>
      </w:r>
      <w:r>
        <w:rPr>
          <w:rFonts w:hint="eastAsia" w:ascii="仿宋_GB2312" w:hAnsi="仿宋_GB2312" w:eastAsia="仿宋_GB2312" w:cs="仿宋_GB2312"/>
          <w:bCs/>
          <w:spacing w:val="-6"/>
          <w:sz w:val="32"/>
          <w:szCs w:val="32"/>
          <w:lang w:eastAsia="zh-CN"/>
        </w:rPr>
        <w:t>部门</w:t>
      </w:r>
      <w:r>
        <w:rPr>
          <w:rFonts w:hint="eastAsia" w:ascii="仿宋_GB2312" w:hAnsi="仿宋_GB2312" w:eastAsia="仿宋_GB2312" w:cs="仿宋_GB2312"/>
          <w:bCs/>
          <w:spacing w:val="-6"/>
          <w:sz w:val="32"/>
          <w:szCs w:val="32"/>
        </w:rPr>
        <w:t>按照财政部门的相关要求编制部门预算、执行部门预算，及时制定并完善了《财务管理制度（暂行）办法》《项目管理制度》等相关财务制度，确定了财务审核机构、明确了会计核算及账务处理等相关要求。该项目对照项目和资金管理办法，严格执行财务管理制度、财务处理及时、会计核算规范。</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（三）项目组织实施情况</w:t>
      </w:r>
    </w:p>
    <w:p>
      <w:pPr>
        <w:adjustRightInd w:val="0"/>
        <w:snapToGrid w:val="0"/>
        <w:spacing w:line="576" w:lineRule="exact"/>
        <w:ind w:firstLine="616" w:firstLineChars="200"/>
        <w:rPr>
          <w:rFonts w:ascii="仿宋_GB2312" w:eastAsia="仿宋_GB2312"/>
          <w:sz w:val="32"/>
          <w:szCs w:val="32"/>
        </w:rPr>
      </w:pPr>
      <w:r>
        <w:rPr>
          <w:rFonts w:hint="eastAsia" w:ascii="仿宋_GB2312" w:eastAsia="仿宋_GB2312"/>
          <w:spacing w:val="-6"/>
          <w:sz w:val="32"/>
          <w:szCs w:val="32"/>
        </w:rPr>
        <w:t>因机构改革，根据改革后的职能职责划分，该项目由交通运输综合服务中心具体负责实施。全年通过GPS监控、客运车辆运行轨迹查阅等多种形式，监督项目实施并完成“</w:t>
      </w:r>
      <w:r>
        <w:rPr>
          <w:rFonts w:hint="eastAsia" w:ascii="仿宋_GB2312" w:eastAsia="仿宋_GB2312"/>
          <w:sz w:val="32"/>
          <w:szCs w:val="32"/>
        </w:rPr>
        <w:t>开得通、留得住”的</w:t>
      </w:r>
      <w:r>
        <w:rPr>
          <w:rFonts w:hint="eastAsia" w:ascii="仿宋_GB2312" w:eastAsia="仿宋_GB2312"/>
          <w:spacing w:val="-6"/>
          <w:sz w:val="32"/>
          <w:szCs w:val="32"/>
        </w:rPr>
        <w:t>年度目标任务后，2022年度农村客运发展专项财政补贴资</w:t>
      </w:r>
      <w:r>
        <w:rPr>
          <w:rFonts w:hint="eastAsia" w:ascii="仿宋_GB2312" w:eastAsia="仿宋_GB2312"/>
          <w:sz w:val="32"/>
          <w:szCs w:val="32"/>
        </w:rPr>
        <w:t>金切块下达给区内农村客运企业，主要用于：通村客运营运亏损补助。</w:t>
      </w:r>
    </w:p>
    <w:p>
      <w:pPr>
        <w:autoSpaceDE w:val="0"/>
        <w:adjustRightInd w:val="0"/>
        <w:snapToGrid w:val="0"/>
        <w:spacing w:line="576" w:lineRule="exact"/>
        <w:ind w:firstLine="616" w:firstLineChars="200"/>
        <w:rPr>
          <w:rFonts w:ascii="黑体" w:hAnsi="黑体" w:eastAsia="黑体"/>
          <w:spacing w:val="-6"/>
          <w:sz w:val="32"/>
          <w:szCs w:val="32"/>
        </w:rPr>
      </w:pPr>
      <w:r>
        <w:rPr>
          <w:rFonts w:hint="eastAsia" w:ascii="黑体" w:hAnsi="黑体" w:eastAsia="黑体"/>
          <w:spacing w:val="-6"/>
          <w:sz w:val="32"/>
          <w:szCs w:val="32"/>
        </w:rPr>
        <w:t>三、项目绩效情况</w:t>
      </w:r>
      <w:r>
        <w:rPr>
          <w:rFonts w:hint="eastAsia" w:ascii="黑体" w:hAnsi="黑体" w:eastAsia="黑体"/>
          <w:spacing w:val="-6"/>
          <w:sz w:val="32"/>
          <w:szCs w:val="32"/>
        </w:rPr>
        <w:tab/>
      </w:r>
    </w:p>
    <w:p>
      <w:pPr>
        <w:autoSpaceDE w:val="0"/>
        <w:adjustRightInd w:val="0"/>
        <w:snapToGrid w:val="0"/>
        <w:spacing w:line="576" w:lineRule="exact"/>
        <w:ind w:firstLine="616" w:firstLineChars="200"/>
        <w:rPr>
          <w:rFonts w:ascii="仿宋_GB2312" w:eastAsia="仿宋_GB2312"/>
          <w:sz w:val="32"/>
          <w:szCs w:val="32"/>
        </w:rPr>
      </w:pPr>
      <w:r>
        <w:rPr>
          <w:rFonts w:hint="eastAsia" w:ascii="楷体_GB2312" w:eastAsia="楷体_GB2312"/>
          <w:bCs/>
          <w:spacing w:val="-6"/>
          <w:sz w:val="32"/>
          <w:szCs w:val="32"/>
        </w:rPr>
        <w:t>（一）项目完成情况</w:t>
      </w:r>
    </w:p>
    <w:p>
      <w:pPr>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农村客运车辆补助项目成本为23万元，用于对2019年未通客车的建制村开通客车的农村客运车辆，按照每车每年不低于5000元的标准发放营运补贴。项目执行进度计划和资金拨付计划相匹配，成本控制目标实现率为100%。</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（二）项目效益情况</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经济效益：</w:t>
      </w:r>
      <w:r>
        <w:rPr>
          <w:rFonts w:hint="eastAsia" w:ascii="仿宋_GB2312" w:eastAsia="仿宋_GB2312"/>
          <w:sz w:val="32"/>
          <w:szCs w:val="32"/>
        </w:rPr>
        <w:t>农村客运补助资金改善了农村客运公司经营状况、降低了经营成本，推动了我区客运行业可持续发展，农村客运车辆的开通也提供了就业岗位，带动了区内经济发展。</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社会效益：补助资金能应对油价对车票价格带来的冲击，稳定票价从而稳定农村客运市场，为当地百姓提供更好地交通运输环境。</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生态效益：</w:t>
      </w:r>
      <w:r>
        <w:rPr>
          <w:rFonts w:hint="eastAsia" w:ascii="仿宋_GB2312" w:eastAsia="仿宋_GB2312"/>
          <w:sz w:val="32"/>
          <w:szCs w:val="32"/>
        </w:rPr>
        <w:t>当地百姓乘坐公共交通工具，尾气及碳排放得到有效改善。</w:t>
      </w:r>
    </w:p>
    <w:p>
      <w:pPr>
        <w:autoSpaceDE w:val="0"/>
        <w:adjustRightInd w:val="0"/>
        <w:snapToGrid w:val="0"/>
        <w:spacing w:line="576" w:lineRule="exact"/>
        <w:ind w:firstLine="616" w:firstLineChars="200"/>
        <w:rPr>
          <w:rFonts w:ascii="仿宋_GB2312" w:eastAsia="仿宋_GB2312"/>
          <w:sz w:val="32"/>
          <w:szCs w:val="32"/>
        </w:rPr>
      </w:pPr>
      <w:r>
        <w:rPr>
          <w:rFonts w:hint="eastAsia" w:ascii="仿宋_GB2312" w:eastAsia="仿宋_GB2312"/>
          <w:spacing w:val="-6"/>
          <w:sz w:val="32"/>
          <w:szCs w:val="32"/>
        </w:rPr>
        <w:t>可持续效益：</w:t>
      </w:r>
      <w:r>
        <w:rPr>
          <w:rFonts w:hint="eastAsia" w:ascii="仿宋_GB2312" w:eastAsia="仿宋_GB2312"/>
          <w:sz w:val="32"/>
          <w:szCs w:val="32"/>
        </w:rPr>
        <w:t>在补助期限内，为我区客运行业持续发展奠定了基础、民生改善、节能减排起到了积极的持续推动。</w:t>
      </w:r>
    </w:p>
    <w:p>
      <w:pPr>
        <w:autoSpaceDE w:val="0"/>
        <w:adjustRightInd w:val="0"/>
        <w:snapToGrid w:val="0"/>
        <w:spacing w:line="576" w:lineRule="exact"/>
        <w:ind w:firstLine="640" w:firstLineChars="200"/>
        <w:rPr>
          <w:rFonts w:ascii="仿宋_GB2312" w:eastAsia="仿宋_GB2312"/>
          <w:sz w:val="32"/>
          <w:szCs w:val="32"/>
        </w:rPr>
      </w:pPr>
      <w:r>
        <w:rPr>
          <w:rFonts w:hint="eastAsia" w:ascii="仿宋_GB2312" w:eastAsia="仿宋_GB2312"/>
          <w:sz w:val="32"/>
          <w:szCs w:val="32"/>
        </w:rPr>
        <w:t>满意度：服务对象满意度≥95%。</w:t>
      </w:r>
    </w:p>
    <w:p>
      <w:pPr>
        <w:autoSpaceDE w:val="0"/>
        <w:adjustRightInd w:val="0"/>
        <w:snapToGrid w:val="0"/>
        <w:spacing w:line="576" w:lineRule="exact"/>
        <w:ind w:firstLine="616" w:firstLineChars="200"/>
        <w:rPr>
          <w:rFonts w:ascii="黑体" w:hAnsi="黑体" w:eastAsia="黑体"/>
          <w:spacing w:val="-6"/>
          <w:sz w:val="32"/>
          <w:szCs w:val="32"/>
        </w:rPr>
      </w:pPr>
      <w:r>
        <w:rPr>
          <w:rFonts w:hint="eastAsia" w:ascii="黑体" w:hAnsi="黑体" w:eastAsia="黑体"/>
          <w:spacing w:val="-6"/>
          <w:sz w:val="32"/>
          <w:szCs w:val="32"/>
        </w:rPr>
        <w:t>四、问题及建议</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（一）存在的问题</w:t>
      </w:r>
    </w:p>
    <w:p>
      <w:pPr>
        <w:widowControl/>
        <w:shd w:val="clear" w:color="auto" w:fill="FFFFFF"/>
        <w:adjustRightInd w:val="0"/>
        <w:snapToGrid w:val="0"/>
        <w:spacing w:line="576" w:lineRule="exact"/>
        <w:ind w:firstLine="640" w:firstLineChars="200"/>
        <w:jc w:val="left"/>
        <w:rPr>
          <w:rFonts w:ascii="仿宋_GB2312" w:eastAsia="仿宋_GB2312"/>
          <w:color w:val="000000"/>
          <w:kern w:val="0"/>
          <w:sz w:val="32"/>
          <w:szCs w:val="32"/>
        </w:rPr>
      </w:pPr>
      <w:r>
        <w:rPr>
          <w:rFonts w:hint="eastAsia" w:ascii="仿宋_GB2312" w:eastAsia="仿宋_GB2312"/>
          <w:color w:val="000000"/>
          <w:kern w:val="0"/>
          <w:sz w:val="32"/>
          <w:szCs w:val="32"/>
        </w:rPr>
        <w:t>绩效目标设立不够明确、细化和量化。目标设定后没有科学的设定考核评价标准，特别是对于不能量化的目标。</w:t>
      </w:r>
    </w:p>
    <w:p>
      <w:pPr>
        <w:widowControl/>
        <w:shd w:val="clear" w:color="auto" w:fill="FFFFFF"/>
        <w:adjustRightInd w:val="0"/>
        <w:snapToGrid w:val="0"/>
        <w:spacing w:line="576" w:lineRule="exact"/>
        <w:ind w:firstLine="640" w:firstLineChars="200"/>
        <w:jc w:val="left"/>
        <w:rPr>
          <w:rFonts w:ascii="仿宋_GB2312" w:eastAsia="仿宋_GB2312"/>
          <w:color w:val="000000"/>
          <w:kern w:val="0"/>
          <w:sz w:val="32"/>
          <w:szCs w:val="32"/>
        </w:rPr>
      </w:pPr>
      <w:r>
        <w:rPr>
          <w:rFonts w:hint="eastAsia" w:ascii="仿宋_GB2312" w:eastAsia="仿宋_GB2312"/>
          <w:color w:val="000000"/>
          <w:kern w:val="0"/>
          <w:sz w:val="32"/>
          <w:szCs w:val="32"/>
        </w:rPr>
        <w:t>预算执行工作有待提高。主要是部分项目推进缓慢，原因是项目实施条件不具备，项目经费计划在年末支付，未拨付项目费用，导致项目进度迟缓。</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（二）相关建议</w:t>
      </w:r>
    </w:p>
    <w:p>
      <w:pPr>
        <w:pStyle w:val="15"/>
        <w:adjustRightInd w:val="0"/>
        <w:snapToGrid w:val="0"/>
        <w:spacing w:line="576" w:lineRule="exact"/>
        <w:ind w:left="0" w:leftChars="0" w:firstLine="640"/>
        <w:rPr>
          <w:rFonts w:ascii="仿宋_GB2312" w:hAnsi="仿宋_GB2312" w:eastAsia="仿宋_GB2312" w:cs="仿宋_GB2312"/>
          <w:color w:val="222222"/>
          <w:sz w:val="32"/>
          <w:szCs w:val="32"/>
          <w:shd w:val="clear" w:color="auto" w:fill="FFFFFF"/>
        </w:rPr>
      </w:pPr>
      <w:r>
        <w:rPr>
          <w:rFonts w:hint="eastAsia" w:ascii="仿宋_GB2312" w:hAnsi="仿宋_GB2312" w:eastAsia="仿宋_GB2312" w:cs="仿宋_GB2312"/>
          <w:color w:val="222222"/>
          <w:sz w:val="32"/>
          <w:szCs w:val="32"/>
          <w:shd w:val="clear" w:color="auto" w:fill="FFFFFF"/>
        </w:rPr>
        <w:t>科学合理制定绩效目标，充分发挥绩效工作效用。加强业务培训，提高评价水平，部门整体绩效评价工作是一项长期性的工作，专业性较强，工作量大，进一步加强业务领导及经办人员相关的政策，业务工作培训学习。</w:t>
      </w:r>
    </w:p>
    <w:p>
      <w:pPr>
        <w:pStyle w:val="15"/>
        <w:adjustRightInd w:val="0"/>
        <w:snapToGrid w:val="0"/>
        <w:spacing w:line="576" w:lineRule="exact"/>
        <w:ind w:left="0" w:leftChars="0" w:firstLine="640"/>
        <w:rPr>
          <w:rFonts w:ascii="仿宋_GB2312" w:hAnsi="仿宋_GB2312" w:eastAsia="仿宋_GB2312" w:cs="仿宋_GB2312"/>
          <w:color w:val="222222"/>
          <w:sz w:val="28"/>
          <w:szCs w:val="28"/>
          <w:shd w:val="clear" w:color="auto" w:fill="FFFFFF"/>
        </w:rPr>
      </w:pPr>
      <w:r>
        <w:rPr>
          <w:rFonts w:ascii="仿宋_GB2312" w:hAnsi="宋体" w:eastAsia="仿宋_GB2312" w:cs="仿宋_GB2312"/>
          <w:color w:val="000000"/>
          <w:sz w:val="32"/>
          <w:szCs w:val="32"/>
          <w:shd w:val="clear" w:color="auto" w:fill="FFFFFF"/>
        </w:rPr>
        <w:t>加强预算管理，确保项目的科学性。强化预算执行，为</w:t>
      </w:r>
      <w:r>
        <w:rPr>
          <w:rFonts w:hint="eastAsia" w:ascii="仿宋_GB2312" w:hAnsi="宋体" w:eastAsia="仿宋_GB2312" w:cs="仿宋_GB2312"/>
          <w:color w:val="000000"/>
          <w:sz w:val="32"/>
          <w:szCs w:val="32"/>
          <w:shd w:val="clear" w:color="auto" w:fill="FFFFFF"/>
        </w:rPr>
        <w:t>项目完成</w:t>
      </w:r>
      <w:r>
        <w:rPr>
          <w:rFonts w:ascii="仿宋_GB2312" w:hAnsi="宋体" w:eastAsia="仿宋_GB2312" w:cs="仿宋_GB2312"/>
          <w:color w:val="000000"/>
          <w:sz w:val="32"/>
          <w:szCs w:val="32"/>
          <w:shd w:val="clear" w:color="auto" w:fill="FFFFFF"/>
        </w:rPr>
        <w:t>绩效目标提供基础保障，提高项目支出资金使用</w:t>
      </w:r>
      <w:r>
        <w:rPr>
          <w:rFonts w:hint="eastAsia" w:ascii="仿宋_GB2312" w:hAnsi="宋体" w:eastAsia="仿宋_GB2312" w:cs="仿宋_GB2312"/>
          <w:color w:val="000000"/>
          <w:sz w:val="32"/>
          <w:szCs w:val="32"/>
          <w:shd w:val="clear" w:color="auto" w:fill="FFFFFF"/>
        </w:rPr>
        <w:t>和项目</w:t>
      </w:r>
      <w:r>
        <w:rPr>
          <w:rFonts w:ascii="仿宋_GB2312" w:hAnsi="宋体" w:eastAsia="仿宋_GB2312" w:cs="仿宋_GB2312"/>
          <w:color w:val="000000"/>
          <w:sz w:val="32"/>
          <w:szCs w:val="32"/>
          <w:shd w:val="clear" w:color="auto" w:fill="FFFFFF"/>
        </w:rPr>
        <w:t>精细化管理水平</w:t>
      </w:r>
      <w:r>
        <w:rPr>
          <w:rFonts w:hint="eastAsia" w:ascii="仿宋_GB2312" w:hAnsi="宋体" w:eastAsia="仿宋_GB2312" w:cs="仿宋_GB2312"/>
          <w:color w:val="000000"/>
          <w:sz w:val="32"/>
          <w:szCs w:val="32"/>
          <w:shd w:val="clear" w:color="auto" w:fill="FFFFFF"/>
        </w:rPr>
        <w:t>，</w:t>
      </w:r>
      <w:r>
        <w:rPr>
          <w:rFonts w:ascii="仿宋_GB2312" w:hAnsi="宋体" w:eastAsia="仿宋_GB2312" w:cs="仿宋_GB2312"/>
          <w:color w:val="000000"/>
          <w:sz w:val="32"/>
          <w:szCs w:val="32"/>
          <w:shd w:val="clear" w:color="auto" w:fill="FFFFFF"/>
        </w:rPr>
        <w:t>确保项目实施达到预期效果，发挥最大</w:t>
      </w:r>
      <w:r>
        <w:rPr>
          <w:rFonts w:hint="eastAsia" w:ascii="仿宋_GB2312" w:hAnsi="宋体" w:eastAsia="仿宋_GB2312" w:cs="仿宋_GB2312"/>
          <w:color w:val="000000"/>
          <w:sz w:val="32"/>
          <w:szCs w:val="32"/>
          <w:shd w:val="clear" w:color="auto" w:fill="FFFFFF"/>
        </w:rPr>
        <w:t>社会</w:t>
      </w:r>
      <w:r>
        <w:rPr>
          <w:rFonts w:ascii="仿宋_GB2312" w:hAnsi="宋体" w:eastAsia="仿宋_GB2312" w:cs="仿宋_GB2312"/>
          <w:color w:val="000000"/>
          <w:sz w:val="32"/>
          <w:szCs w:val="32"/>
          <w:shd w:val="clear" w:color="auto" w:fill="FFFFFF"/>
        </w:rPr>
        <w:t>效益。</w:t>
      </w:r>
    </w:p>
    <w:p>
      <w:pPr>
        <w:autoSpaceDE w:val="0"/>
        <w:adjustRightInd w:val="0"/>
        <w:snapToGrid w:val="0"/>
        <w:spacing w:line="576" w:lineRule="exact"/>
        <w:rPr>
          <w:rFonts w:ascii="Arial" w:hAnsi="Arial" w:eastAsia="仿宋_GB2312" w:cs="Arial"/>
          <w:sz w:val="32"/>
          <w:szCs w:val="32"/>
        </w:rPr>
      </w:pPr>
    </w:p>
    <w:p>
      <w:pPr>
        <w:autoSpaceDE w:val="0"/>
        <w:adjustRightInd w:val="0"/>
        <w:snapToGrid w:val="0"/>
        <w:spacing w:line="576" w:lineRule="exact"/>
        <w:ind w:firstLine="4160" w:firstLineChars="1300"/>
        <w:rPr>
          <w:rFonts w:ascii="Arial" w:hAnsi="Arial" w:eastAsia="仿宋_GB2312" w:cs="Arial"/>
          <w:sz w:val="32"/>
          <w:szCs w:val="32"/>
        </w:rPr>
      </w:pPr>
      <w:r>
        <w:rPr>
          <w:rFonts w:hint="eastAsia" w:ascii="Arial" w:hAnsi="Arial" w:eastAsia="仿宋_GB2312" w:cs="Arial"/>
          <w:sz w:val="32"/>
          <w:szCs w:val="32"/>
        </w:rPr>
        <w:t>广元市朝天区交通运输局</w:t>
      </w:r>
    </w:p>
    <w:p>
      <w:pPr>
        <w:pStyle w:val="2"/>
        <w:spacing w:before="72"/>
        <w:ind w:firstLine="4800" w:firstLineChars="1500"/>
        <w:rPr>
          <w:sz w:val="32"/>
          <w:szCs w:val="32"/>
        </w:rPr>
      </w:pPr>
      <w:r>
        <w:rPr>
          <w:rFonts w:hint="eastAsia"/>
          <w:sz w:val="32"/>
          <w:szCs w:val="32"/>
        </w:rPr>
        <w:t>2022年5月25日</w:t>
      </w:r>
    </w:p>
    <w:p>
      <w:pPr>
        <w:pStyle w:val="2"/>
        <w:spacing w:before="72"/>
        <w:ind w:firstLine="4800" w:firstLineChars="1500"/>
        <w:rPr>
          <w:sz w:val="32"/>
          <w:szCs w:val="32"/>
        </w:rPr>
      </w:pPr>
    </w:p>
    <w:p>
      <w:pPr>
        <w:pStyle w:val="2"/>
        <w:spacing w:before="72"/>
        <w:ind w:firstLine="4800" w:firstLineChars="1500"/>
        <w:rPr>
          <w:sz w:val="32"/>
          <w:szCs w:val="32"/>
        </w:rPr>
      </w:pPr>
    </w:p>
    <w:p>
      <w:pPr>
        <w:pStyle w:val="2"/>
        <w:spacing w:before="72"/>
        <w:ind w:firstLine="4800" w:firstLineChars="1500"/>
        <w:rPr>
          <w:sz w:val="32"/>
          <w:szCs w:val="32"/>
        </w:rPr>
      </w:pPr>
    </w:p>
    <w:p>
      <w:pPr>
        <w:pStyle w:val="2"/>
        <w:spacing w:before="72"/>
        <w:ind w:firstLine="4800" w:firstLineChars="1500"/>
        <w:rPr>
          <w:sz w:val="32"/>
          <w:szCs w:val="32"/>
        </w:rPr>
      </w:pPr>
    </w:p>
    <w:p>
      <w:pPr>
        <w:pStyle w:val="2"/>
        <w:spacing w:before="72"/>
        <w:ind w:firstLine="4800" w:firstLineChars="1500"/>
        <w:rPr>
          <w:sz w:val="32"/>
          <w:szCs w:val="32"/>
        </w:rPr>
      </w:pPr>
    </w:p>
    <w:p>
      <w:pPr>
        <w:pStyle w:val="2"/>
        <w:spacing w:before="72"/>
        <w:ind w:firstLine="4800" w:firstLineChars="1500"/>
        <w:rPr>
          <w:sz w:val="32"/>
          <w:szCs w:val="32"/>
        </w:rPr>
      </w:pPr>
    </w:p>
    <w:p>
      <w:pPr>
        <w:autoSpaceDE w:val="0"/>
        <w:spacing w:line="576" w:lineRule="exact"/>
        <w:jc w:val="center"/>
        <w:rPr>
          <w:rFonts w:ascii="方正大标宋简体" w:hAnsi="??" w:eastAsia="方正大标宋简体"/>
          <w:b/>
          <w:color w:val="000000"/>
          <w:spacing w:val="-6"/>
          <w:kern w:val="0"/>
          <w:sz w:val="44"/>
          <w:szCs w:val="44"/>
        </w:rPr>
      </w:pPr>
      <w:r>
        <w:rPr>
          <w:rFonts w:hint="eastAsia" w:ascii="方正大标宋简体" w:hAnsi="??" w:eastAsia="方正大标宋简体"/>
          <w:b/>
          <w:color w:val="000000"/>
          <w:spacing w:val="-6"/>
          <w:kern w:val="0"/>
          <w:sz w:val="44"/>
          <w:szCs w:val="44"/>
        </w:rPr>
        <w:t>广元市朝天区交通运输综合服务中心</w:t>
      </w:r>
    </w:p>
    <w:p>
      <w:pPr>
        <w:autoSpaceDE w:val="0"/>
        <w:spacing w:line="576" w:lineRule="exact"/>
        <w:jc w:val="center"/>
        <w:rPr>
          <w:rFonts w:ascii="方正大标宋简体" w:hAnsi="??" w:eastAsia="方正大标宋简体"/>
          <w:b/>
          <w:color w:val="000000"/>
          <w:spacing w:val="-6"/>
          <w:kern w:val="0"/>
          <w:sz w:val="44"/>
          <w:szCs w:val="44"/>
        </w:rPr>
      </w:pPr>
      <w:r>
        <w:rPr>
          <w:rFonts w:hint="eastAsia" w:ascii="方正大标宋简体" w:hAnsi="??" w:eastAsia="方正大标宋简体"/>
          <w:b/>
          <w:color w:val="000000"/>
          <w:spacing w:val="-6"/>
          <w:kern w:val="0"/>
          <w:sz w:val="44"/>
          <w:szCs w:val="44"/>
        </w:rPr>
        <w:t>2022年部门预算项目支出绩效自评报告</w:t>
      </w:r>
    </w:p>
    <w:p>
      <w:pPr>
        <w:autoSpaceDE w:val="0"/>
        <w:adjustRightInd w:val="0"/>
        <w:snapToGrid w:val="0"/>
        <w:spacing w:line="576" w:lineRule="exact"/>
        <w:ind w:firstLine="616" w:firstLineChars="200"/>
        <w:jc w:val="center"/>
        <w:rPr>
          <w:rFonts w:ascii="宋体"/>
          <w:spacing w:val="-6"/>
          <w:szCs w:val="21"/>
        </w:rPr>
      </w:pPr>
      <w:r>
        <w:rPr>
          <w:rFonts w:hint="eastAsia" w:ascii="仿宋_GB2312" w:hAnsi="宋体" w:eastAsia="仿宋_GB2312"/>
          <w:spacing w:val="-6"/>
          <w:sz w:val="32"/>
          <w:szCs w:val="32"/>
        </w:rPr>
        <w:t>（2022城市公交补助项目）</w:t>
      </w:r>
    </w:p>
    <w:p>
      <w:pPr>
        <w:autoSpaceDE w:val="0"/>
        <w:adjustRightInd w:val="0"/>
        <w:snapToGrid w:val="0"/>
        <w:spacing w:line="576" w:lineRule="exact"/>
        <w:ind w:firstLine="616" w:firstLineChars="200"/>
        <w:rPr>
          <w:rFonts w:ascii="黑体" w:hAnsi="黑体" w:eastAsia="黑体"/>
          <w:spacing w:val="-6"/>
          <w:sz w:val="32"/>
          <w:szCs w:val="32"/>
        </w:rPr>
      </w:pPr>
      <w:r>
        <w:rPr>
          <w:rFonts w:hint="eastAsia" w:ascii="黑体" w:hAnsi="黑体" w:eastAsia="黑体"/>
          <w:spacing w:val="-6"/>
          <w:sz w:val="32"/>
          <w:szCs w:val="32"/>
        </w:rPr>
        <w:t>一、项目概况</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（一）项目资金申报及批复情况。</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按照广元市朝天区人民政府常务会议纪要第四十四期会议精神要求，同意按照每年公交车4万元/年的标准进行补贴，从2018年开始执行，并将城市公交补助项目资金纳入2021年财政预算。其资金在申报使用过程中没有进行预算调整调剂，并严格按照交通行业专项资金使用管理等相关规定执行，符合资金管理办法等规定。</w:t>
      </w:r>
    </w:p>
    <w:p>
      <w:pPr>
        <w:autoSpaceDE w:val="0"/>
        <w:adjustRightInd w:val="0"/>
        <w:snapToGrid w:val="0"/>
        <w:spacing w:line="576" w:lineRule="exact"/>
        <w:ind w:firstLine="616" w:firstLineChars="200"/>
        <w:rPr>
          <w:rFonts w:ascii="楷体_GB2312" w:hAnsi="楷体_GB2312" w:eastAsia="楷体_GB2312" w:cs="楷体_GB2312"/>
          <w:spacing w:val="-6"/>
          <w:sz w:val="32"/>
          <w:szCs w:val="32"/>
        </w:rPr>
      </w:pPr>
      <w:r>
        <w:rPr>
          <w:rFonts w:hint="eastAsia" w:ascii="楷体_GB2312" w:hAnsi="楷体_GB2312" w:eastAsia="楷体_GB2312" w:cs="楷体_GB2312"/>
          <w:spacing w:val="-6"/>
          <w:sz w:val="32"/>
          <w:szCs w:val="32"/>
        </w:rPr>
        <w:t>（二）项目绩效目标。</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按期完成2021年度</w:t>
      </w:r>
      <w:r>
        <w:rPr>
          <w:rFonts w:hint="eastAsia" w:ascii="仿宋_GB2312" w:hAnsi="宋体" w:eastAsia="仿宋_GB2312"/>
          <w:spacing w:val="-6"/>
          <w:sz w:val="32"/>
          <w:szCs w:val="32"/>
        </w:rPr>
        <w:t>城市公交</w:t>
      </w:r>
      <w:r>
        <w:rPr>
          <w:rFonts w:hint="eastAsia" w:ascii="仿宋_GB2312" w:eastAsia="仿宋_GB2312"/>
          <w:spacing w:val="-6"/>
          <w:sz w:val="32"/>
          <w:szCs w:val="32"/>
        </w:rPr>
        <w:t>专项财政补贴项目，通过对客运公司的补贴提高客运企业服务热情，确保农民群众“行有所乘”以及推进城市客运低碳、绿色、高质量发展。</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楷体_GB2312" w:eastAsia="楷体_GB2312"/>
          <w:bCs/>
          <w:spacing w:val="-6"/>
          <w:sz w:val="32"/>
          <w:szCs w:val="32"/>
        </w:rPr>
        <w:t>（三）项目资金申报相符性。</w:t>
      </w:r>
      <w:r>
        <w:rPr>
          <w:rFonts w:hint="eastAsia" w:ascii="仿宋_GB2312" w:eastAsia="仿宋_GB2312"/>
          <w:spacing w:val="-6"/>
          <w:sz w:val="32"/>
          <w:szCs w:val="32"/>
        </w:rPr>
        <w:t>项目申报内容与具体实施内容相符、申报目标合理可行。</w:t>
      </w:r>
    </w:p>
    <w:p>
      <w:pPr>
        <w:autoSpaceDE w:val="0"/>
        <w:adjustRightInd w:val="0"/>
        <w:snapToGrid w:val="0"/>
        <w:spacing w:line="576" w:lineRule="exact"/>
        <w:ind w:firstLine="616" w:firstLineChars="200"/>
        <w:rPr>
          <w:rFonts w:ascii="黑体" w:hAnsi="黑体" w:eastAsia="黑体"/>
          <w:spacing w:val="-6"/>
          <w:sz w:val="32"/>
          <w:szCs w:val="32"/>
        </w:rPr>
      </w:pPr>
      <w:r>
        <w:rPr>
          <w:rFonts w:hint="eastAsia" w:ascii="黑体" w:hAnsi="黑体" w:eastAsia="黑体"/>
          <w:spacing w:val="-6"/>
          <w:sz w:val="32"/>
          <w:szCs w:val="32"/>
        </w:rPr>
        <w:t>二、项目实施及管理情况</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（一）资金计划、到位及使用情况</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1.资金计划及到位。</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该项目资金年初纳入预算，资金计划及截止评价截止评价时点实际到位情况为12万元，均为本级财政资金。该项目资金到位情况与资金计划到位情况相符，资金到位率为100%。</w:t>
      </w:r>
    </w:p>
    <w:p>
      <w:pPr>
        <w:adjustRightInd w:val="0"/>
        <w:snapToGrid w:val="0"/>
        <w:spacing w:line="576" w:lineRule="exact"/>
        <w:ind w:firstLine="616" w:firstLineChars="200"/>
        <w:rPr>
          <w:rFonts w:ascii="仿宋_GB2312" w:eastAsia="仿宋_GB2312"/>
          <w:sz w:val="32"/>
          <w:szCs w:val="32"/>
        </w:rPr>
      </w:pPr>
      <w:r>
        <w:rPr>
          <w:rFonts w:hint="eastAsia" w:ascii="仿宋_GB2312" w:eastAsia="仿宋_GB2312"/>
          <w:spacing w:val="-6"/>
          <w:sz w:val="32"/>
          <w:szCs w:val="32"/>
        </w:rPr>
        <w:t>2.资金使用。截止评价时点项目资金的实际支出情况为12万元</w:t>
      </w:r>
      <w:r>
        <w:rPr>
          <w:rFonts w:hint="eastAsia" w:ascii="仿宋_GB2312" w:eastAsia="仿宋_GB2312"/>
          <w:sz w:val="32"/>
          <w:szCs w:val="32"/>
        </w:rPr>
        <w:t>。项目资金支付标准和支付进度均按照项目实施要求，支付依据合规合法，资金支付与预算相符。</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（二）项目财务管理情况</w:t>
      </w:r>
    </w:p>
    <w:p>
      <w:pPr>
        <w:autoSpaceDE w:val="0"/>
        <w:adjustRightInd w:val="0"/>
        <w:snapToGrid w:val="0"/>
        <w:spacing w:line="576" w:lineRule="exact"/>
        <w:ind w:firstLine="616" w:firstLineChars="200"/>
        <w:rPr>
          <w:rFonts w:ascii="仿宋_GB2312" w:hAnsi="仿宋_GB2312" w:eastAsia="仿宋_GB2312" w:cs="仿宋_GB2312"/>
          <w:bCs/>
          <w:spacing w:val="-6"/>
          <w:sz w:val="32"/>
          <w:szCs w:val="32"/>
        </w:rPr>
      </w:pPr>
      <w:r>
        <w:rPr>
          <w:rFonts w:hint="eastAsia" w:ascii="仿宋_GB2312" w:hAnsi="仿宋_GB2312" w:eastAsia="仿宋_GB2312" w:cs="仿宋_GB2312"/>
          <w:bCs/>
          <w:spacing w:val="-6"/>
          <w:sz w:val="32"/>
          <w:szCs w:val="32"/>
        </w:rPr>
        <w:t>我</w:t>
      </w:r>
      <w:r>
        <w:rPr>
          <w:rFonts w:hint="eastAsia" w:ascii="仿宋_GB2312" w:hAnsi="仿宋_GB2312" w:eastAsia="仿宋_GB2312" w:cs="仿宋_GB2312"/>
          <w:bCs/>
          <w:spacing w:val="-6"/>
          <w:sz w:val="32"/>
          <w:szCs w:val="32"/>
          <w:lang w:eastAsia="zh-CN"/>
        </w:rPr>
        <w:t>部门</w:t>
      </w:r>
      <w:r>
        <w:rPr>
          <w:rFonts w:hint="eastAsia" w:ascii="仿宋_GB2312" w:hAnsi="仿宋_GB2312" w:eastAsia="仿宋_GB2312" w:cs="仿宋_GB2312"/>
          <w:bCs/>
          <w:spacing w:val="-6"/>
          <w:sz w:val="32"/>
          <w:szCs w:val="32"/>
        </w:rPr>
        <w:t>按照财政部门的相关要求编制部门预算、执行部门预算，及时制定并完善了《财务管理制度（暂行）办法》《项目管理制度》等相关财务制度，确定了财务审核机构、明确了会计核算及账务处理等相关要求。该项目对照项目和资金管理办法，严格执行财务管理制度、财务处理及时、会计核算规范。</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（三）项目组织实施情况</w:t>
      </w:r>
    </w:p>
    <w:p>
      <w:pPr>
        <w:adjustRightInd w:val="0"/>
        <w:snapToGrid w:val="0"/>
        <w:spacing w:line="576" w:lineRule="exact"/>
        <w:ind w:firstLine="616" w:firstLineChars="200"/>
        <w:rPr>
          <w:rFonts w:ascii="仿宋_GB2312" w:eastAsia="仿宋_GB2312"/>
          <w:sz w:val="32"/>
          <w:szCs w:val="32"/>
        </w:rPr>
      </w:pPr>
      <w:r>
        <w:rPr>
          <w:rFonts w:hint="eastAsia" w:ascii="仿宋_GB2312" w:eastAsia="仿宋_GB2312"/>
          <w:spacing w:val="-6"/>
          <w:sz w:val="32"/>
          <w:szCs w:val="32"/>
        </w:rPr>
        <w:t>因2021年我</w:t>
      </w:r>
      <w:r>
        <w:rPr>
          <w:rFonts w:hint="eastAsia" w:ascii="仿宋_GB2312" w:eastAsia="仿宋_GB2312"/>
          <w:spacing w:val="-6"/>
          <w:sz w:val="32"/>
          <w:szCs w:val="32"/>
          <w:lang w:eastAsia="zh-CN"/>
        </w:rPr>
        <w:t>部门</w:t>
      </w:r>
      <w:r>
        <w:rPr>
          <w:rFonts w:hint="eastAsia" w:ascii="仿宋_GB2312" w:eastAsia="仿宋_GB2312"/>
          <w:spacing w:val="-6"/>
          <w:sz w:val="32"/>
          <w:szCs w:val="32"/>
        </w:rPr>
        <w:t>内部涉及机构改革，根据改革后的职能职责划分，该项目由交通运输综合服务中心具体负责实施。全年通过GPS监控、客运车辆运行轨迹查阅等多种形式，监督项目实施并完成“行有所乘”</w:t>
      </w:r>
      <w:r>
        <w:rPr>
          <w:rFonts w:hint="eastAsia" w:ascii="仿宋_GB2312" w:eastAsia="仿宋_GB2312"/>
          <w:sz w:val="32"/>
          <w:szCs w:val="32"/>
        </w:rPr>
        <w:t>的</w:t>
      </w:r>
      <w:r>
        <w:rPr>
          <w:rFonts w:hint="eastAsia" w:ascii="仿宋_GB2312" w:eastAsia="仿宋_GB2312"/>
          <w:spacing w:val="-6"/>
          <w:sz w:val="32"/>
          <w:szCs w:val="32"/>
        </w:rPr>
        <w:t>年度目标任务后，</w:t>
      </w:r>
      <w:r>
        <w:rPr>
          <w:rFonts w:hint="eastAsia" w:ascii="仿宋_GB2312" w:eastAsia="仿宋_GB2312"/>
          <w:sz w:val="32"/>
          <w:szCs w:val="32"/>
        </w:rPr>
        <w:t>城市公交专项财政补贴资金一并下达给客运企业，主要用于：城市公交营运亏损补助。</w:t>
      </w:r>
    </w:p>
    <w:p>
      <w:pPr>
        <w:autoSpaceDE w:val="0"/>
        <w:adjustRightInd w:val="0"/>
        <w:snapToGrid w:val="0"/>
        <w:spacing w:line="576" w:lineRule="exact"/>
        <w:ind w:firstLine="616" w:firstLineChars="200"/>
        <w:rPr>
          <w:rFonts w:ascii="黑体" w:hAnsi="黑体" w:eastAsia="黑体"/>
          <w:spacing w:val="-6"/>
          <w:sz w:val="32"/>
          <w:szCs w:val="32"/>
        </w:rPr>
      </w:pPr>
      <w:r>
        <w:rPr>
          <w:rFonts w:hint="eastAsia" w:ascii="黑体" w:hAnsi="黑体" w:eastAsia="黑体"/>
          <w:spacing w:val="-6"/>
          <w:sz w:val="32"/>
          <w:szCs w:val="32"/>
        </w:rPr>
        <w:t>三、项目绩效情况</w:t>
      </w:r>
      <w:r>
        <w:rPr>
          <w:rFonts w:hint="eastAsia" w:ascii="黑体" w:hAnsi="黑体" w:eastAsia="黑体"/>
          <w:spacing w:val="-6"/>
          <w:sz w:val="32"/>
          <w:szCs w:val="32"/>
        </w:rPr>
        <w:tab/>
      </w:r>
    </w:p>
    <w:p>
      <w:pPr>
        <w:autoSpaceDE w:val="0"/>
        <w:adjustRightInd w:val="0"/>
        <w:snapToGrid w:val="0"/>
        <w:spacing w:line="576" w:lineRule="exact"/>
        <w:ind w:firstLine="616" w:firstLineChars="200"/>
        <w:rPr>
          <w:rFonts w:ascii="仿宋_GB2312" w:eastAsia="仿宋_GB2312"/>
          <w:sz w:val="32"/>
          <w:szCs w:val="32"/>
        </w:rPr>
      </w:pPr>
      <w:r>
        <w:rPr>
          <w:rFonts w:hint="eastAsia" w:ascii="楷体_GB2312" w:eastAsia="楷体_GB2312"/>
          <w:bCs/>
          <w:spacing w:val="-6"/>
          <w:sz w:val="32"/>
          <w:szCs w:val="32"/>
        </w:rPr>
        <w:t>（一）项目完成情况</w:t>
      </w:r>
    </w:p>
    <w:p>
      <w:pPr>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城市公交补助项目成本为12万元，用于我区现有的3辆城市公交车按照每年公交车4万元/年的标准进行补贴。项目执行进度计划和资金拨付计划相匹配，成本控制目标实现率为100%。</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（二）项目效益情况</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经济效益：</w:t>
      </w:r>
      <w:r>
        <w:rPr>
          <w:rFonts w:hint="eastAsia" w:ascii="仿宋_GB2312" w:eastAsia="仿宋_GB2312"/>
          <w:sz w:val="32"/>
          <w:szCs w:val="32"/>
        </w:rPr>
        <w:t>农</w:t>
      </w:r>
      <w:r>
        <w:rPr>
          <w:rFonts w:hint="eastAsia" w:ascii="仿宋_GB2312" w:eastAsia="仿宋_GB2312"/>
          <w:spacing w:val="-6"/>
          <w:sz w:val="32"/>
          <w:szCs w:val="32"/>
        </w:rPr>
        <w:t>城市公交补助</w:t>
      </w:r>
      <w:r>
        <w:rPr>
          <w:rFonts w:hint="eastAsia" w:ascii="仿宋_GB2312" w:eastAsia="仿宋_GB2312"/>
          <w:sz w:val="32"/>
          <w:szCs w:val="32"/>
        </w:rPr>
        <w:t>资金改善了客运公司经营状况、降低了经营成本，推动了我区客运行业可持续发展，也提供了就业岗位，带动了区内经济发展。</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社会效益：补助资金能应对油价对车票价格带来的冲击，稳定票价从而稳定客运市场，为当地百姓提供更好地交通运输环境。</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生态效益：</w:t>
      </w:r>
      <w:r>
        <w:rPr>
          <w:rFonts w:hint="eastAsia" w:ascii="仿宋_GB2312" w:eastAsia="仿宋_GB2312"/>
          <w:sz w:val="32"/>
          <w:szCs w:val="32"/>
        </w:rPr>
        <w:t>当地百姓乘坐公共交通工具，尾气及碳排放得到有效改善。</w:t>
      </w:r>
    </w:p>
    <w:p>
      <w:pPr>
        <w:autoSpaceDE w:val="0"/>
        <w:adjustRightInd w:val="0"/>
        <w:snapToGrid w:val="0"/>
        <w:spacing w:line="576" w:lineRule="exact"/>
        <w:ind w:firstLine="616" w:firstLineChars="200"/>
        <w:rPr>
          <w:rFonts w:ascii="仿宋_GB2312" w:eastAsia="仿宋_GB2312"/>
          <w:sz w:val="32"/>
          <w:szCs w:val="32"/>
        </w:rPr>
      </w:pPr>
      <w:r>
        <w:rPr>
          <w:rFonts w:hint="eastAsia" w:ascii="仿宋_GB2312" w:eastAsia="仿宋_GB2312"/>
          <w:spacing w:val="-6"/>
          <w:sz w:val="32"/>
          <w:szCs w:val="32"/>
        </w:rPr>
        <w:t>可持续效益：</w:t>
      </w:r>
      <w:r>
        <w:rPr>
          <w:rFonts w:hint="eastAsia" w:ascii="仿宋_GB2312" w:eastAsia="仿宋_GB2312"/>
          <w:sz w:val="32"/>
          <w:szCs w:val="32"/>
        </w:rPr>
        <w:t>在补助期限内，为我区客运行业持续发展奠定了基础、民生改善、节能减排起到了积极的持续推动。</w:t>
      </w:r>
    </w:p>
    <w:p>
      <w:pPr>
        <w:autoSpaceDE w:val="0"/>
        <w:adjustRightInd w:val="0"/>
        <w:snapToGrid w:val="0"/>
        <w:spacing w:line="576" w:lineRule="exact"/>
        <w:ind w:firstLine="640" w:firstLineChars="200"/>
        <w:rPr>
          <w:rFonts w:ascii="仿宋_GB2312" w:eastAsia="仿宋_GB2312"/>
          <w:sz w:val="32"/>
          <w:szCs w:val="32"/>
        </w:rPr>
      </w:pPr>
      <w:r>
        <w:rPr>
          <w:rFonts w:hint="eastAsia" w:ascii="仿宋_GB2312" w:eastAsia="仿宋_GB2312"/>
          <w:sz w:val="32"/>
          <w:szCs w:val="32"/>
        </w:rPr>
        <w:t>满意度：服务对象满意度≥95%。</w:t>
      </w:r>
    </w:p>
    <w:p>
      <w:pPr>
        <w:autoSpaceDE w:val="0"/>
        <w:adjustRightInd w:val="0"/>
        <w:snapToGrid w:val="0"/>
        <w:spacing w:line="576" w:lineRule="exact"/>
        <w:ind w:firstLine="616" w:firstLineChars="200"/>
        <w:rPr>
          <w:rFonts w:ascii="黑体" w:hAnsi="黑体" w:eastAsia="黑体"/>
          <w:spacing w:val="-6"/>
          <w:sz w:val="32"/>
          <w:szCs w:val="32"/>
        </w:rPr>
      </w:pPr>
      <w:r>
        <w:rPr>
          <w:rFonts w:hint="eastAsia" w:ascii="黑体" w:hAnsi="黑体" w:eastAsia="黑体"/>
          <w:spacing w:val="-6"/>
          <w:sz w:val="32"/>
          <w:szCs w:val="32"/>
        </w:rPr>
        <w:t>四、问题及建议</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一）存在的问题</w:t>
      </w:r>
    </w:p>
    <w:p>
      <w:pPr>
        <w:widowControl/>
        <w:shd w:val="clear" w:color="auto" w:fill="FFFFFF"/>
        <w:adjustRightInd w:val="0"/>
        <w:snapToGrid w:val="0"/>
        <w:spacing w:line="576" w:lineRule="exact"/>
        <w:ind w:firstLine="640" w:firstLineChars="200"/>
        <w:jc w:val="left"/>
        <w:rPr>
          <w:rFonts w:ascii="仿宋_GB2312" w:eastAsia="仿宋_GB2312"/>
          <w:color w:val="000000"/>
          <w:kern w:val="0"/>
          <w:sz w:val="32"/>
          <w:szCs w:val="32"/>
        </w:rPr>
      </w:pPr>
      <w:r>
        <w:rPr>
          <w:rFonts w:hint="eastAsia" w:ascii="仿宋_GB2312" w:eastAsia="仿宋_GB2312"/>
          <w:color w:val="000000"/>
          <w:kern w:val="0"/>
          <w:sz w:val="32"/>
          <w:szCs w:val="32"/>
        </w:rPr>
        <w:t>绩效目标设立不够明确、细化和量化。目标设定后没有科学的设定考核评价标准，特别是对于不能量化的目标。</w:t>
      </w:r>
    </w:p>
    <w:p>
      <w:pPr>
        <w:widowControl/>
        <w:shd w:val="clear" w:color="auto" w:fill="FFFFFF"/>
        <w:adjustRightInd w:val="0"/>
        <w:snapToGrid w:val="0"/>
        <w:spacing w:line="576" w:lineRule="exact"/>
        <w:ind w:firstLine="640" w:firstLineChars="200"/>
        <w:jc w:val="left"/>
        <w:rPr>
          <w:rFonts w:ascii="仿宋_GB2312" w:eastAsia="仿宋_GB2312"/>
          <w:color w:val="000000"/>
          <w:kern w:val="0"/>
          <w:sz w:val="32"/>
          <w:szCs w:val="32"/>
        </w:rPr>
      </w:pPr>
      <w:r>
        <w:rPr>
          <w:rFonts w:hint="eastAsia" w:ascii="仿宋_GB2312" w:eastAsia="仿宋_GB2312"/>
          <w:color w:val="000000"/>
          <w:kern w:val="0"/>
          <w:sz w:val="32"/>
          <w:szCs w:val="32"/>
        </w:rPr>
        <w:t>预算执行工作有待提高。主要是部分项目推进缓慢，原因是项目实施条件不具备，项目经费计划在年末支付，未拨付项目费用，导致项目进度迟缓。</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（二）相关建议</w:t>
      </w:r>
    </w:p>
    <w:p>
      <w:pPr>
        <w:pStyle w:val="15"/>
        <w:adjustRightInd w:val="0"/>
        <w:snapToGrid w:val="0"/>
        <w:spacing w:line="576" w:lineRule="exact"/>
        <w:ind w:left="0" w:leftChars="0" w:firstLine="640"/>
        <w:rPr>
          <w:rFonts w:ascii="仿宋_GB2312" w:hAnsi="仿宋_GB2312" w:eastAsia="仿宋_GB2312" w:cs="仿宋_GB2312"/>
          <w:color w:val="222222"/>
          <w:sz w:val="32"/>
          <w:szCs w:val="32"/>
          <w:shd w:val="clear" w:color="auto" w:fill="FFFFFF"/>
        </w:rPr>
      </w:pPr>
      <w:r>
        <w:rPr>
          <w:rFonts w:hint="eastAsia" w:ascii="仿宋_GB2312" w:hAnsi="仿宋_GB2312" w:eastAsia="仿宋_GB2312" w:cs="仿宋_GB2312"/>
          <w:color w:val="222222"/>
          <w:sz w:val="32"/>
          <w:szCs w:val="32"/>
          <w:shd w:val="clear" w:color="auto" w:fill="FFFFFF"/>
        </w:rPr>
        <w:t>科学合理制定绩效目标，充分发挥绩效工作效用。加强业务培训，提高评价水平，部门整体绩效评价工作是一项长期性的工作，专业性较强，工作量大，进一步加强业务领导及经办人员相关的政策，业务工作培训学习。</w:t>
      </w:r>
    </w:p>
    <w:p>
      <w:pPr>
        <w:pStyle w:val="15"/>
        <w:adjustRightInd w:val="0"/>
        <w:snapToGrid w:val="0"/>
        <w:spacing w:line="576" w:lineRule="exact"/>
        <w:ind w:left="0" w:leftChars="0" w:firstLine="640"/>
        <w:rPr>
          <w:rFonts w:ascii="仿宋_GB2312" w:hAnsi="仿宋_GB2312" w:eastAsia="仿宋_GB2312" w:cs="仿宋_GB2312"/>
          <w:color w:val="222222"/>
          <w:sz w:val="28"/>
          <w:szCs w:val="28"/>
          <w:shd w:val="clear" w:color="auto" w:fill="FFFFFF"/>
        </w:rPr>
      </w:pPr>
      <w:r>
        <w:rPr>
          <w:rFonts w:ascii="仿宋_GB2312" w:hAnsi="宋体" w:eastAsia="仿宋_GB2312" w:cs="仿宋_GB2312"/>
          <w:color w:val="000000"/>
          <w:sz w:val="32"/>
          <w:szCs w:val="32"/>
          <w:shd w:val="clear" w:color="auto" w:fill="FFFFFF"/>
        </w:rPr>
        <w:t>加强预算管理，确保项目的科学性。强化预算执行，为</w:t>
      </w:r>
      <w:r>
        <w:rPr>
          <w:rFonts w:hint="eastAsia" w:ascii="仿宋_GB2312" w:hAnsi="宋体" w:eastAsia="仿宋_GB2312" w:cs="仿宋_GB2312"/>
          <w:color w:val="000000"/>
          <w:sz w:val="32"/>
          <w:szCs w:val="32"/>
          <w:shd w:val="clear" w:color="auto" w:fill="FFFFFF"/>
        </w:rPr>
        <w:t>项目完成</w:t>
      </w:r>
      <w:r>
        <w:rPr>
          <w:rFonts w:ascii="仿宋_GB2312" w:hAnsi="宋体" w:eastAsia="仿宋_GB2312" w:cs="仿宋_GB2312"/>
          <w:color w:val="000000"/>
          <w:sz w:val="32"/>
          <w:szCs w:val="32"/>
          <w:shd w:val="clear" w:color="auto" w:fill="FFFFFF"/>
        </w:rPr>
        <w:t>绩效目标提供基础保障，提高项目支出资金使用</w:t>
      </w:r>
      <w:r>
        <w:rPr>
          <w:rFonts w:hint="eastAsia" w:ascii="仿宋_GB2312" w:hAnsi="宋体" w:eastAsia="仿宋_GB2312" w:cs="仿宋_GB2312"/>
          <w:color w:val="000000"/>
          <w:sz w:val="32"/>
          <w:szCs w:val="32"/>
          <w:shd w:val="clear" w:color="auto" w:fill="FFFFFF"/>
        </w:rPr>
        <w:t>和项目</w:t>
      </w:r>
      <w:r>
        <w:rPr>
          <w:rFonts w:ascii="仿宋_GB2312" w:hAnsi="宋体" w:eastAsia="仿宋_GB2312" w:cs="仿宋_GB2312"/>
          <w:color w:val="000000"/>
          <w:sz w:val="32"/>
          <w:szCs w:val="32"/>
          <w:shd w:val="clear" w:color="auto" w:fill="FFFFFF"/>
        </w:rPr>
        <w:t>精细化管理水平</w:t>
      </w:r>
      <w:r>
        <w:rPr>
          <w:rFonts w:hint="eastAsia" w:ascii="仿宋_GB2312" w:hAnsi="宋体" w:eastAsia="仿宋_GB2312" w:cs="仿宋_GB2312"/>
          <w:color w:val="000000"/>
          <w:sz w:val="32"/>
          <w:szCs w:val="32"/>
          <w:shd w:val="clear" w:color="auto" w:fill="FFFFFF"/>
        </w:rPr>
        <w:t>，</w:t>
      </w:r>
      <w:r>
        <w:rPr>
          <w:rFonts w:ascii="仿宋_GB2312" w:hAnsi="宋体" w:eastAsia="仿宋_GB2312" w:cs="仿宋_GB2312"/>
          <w:color w:val="000000"/>
          <w:sz w:val="32"/>
          <w:szCs w:val="32"/>
          <w:shd w:val="clear" w:color="auto" w:fill="FFFFFF"/>
        </w:rPr>
        <w:t>确保项目实施达到预期效果，发挥最大</w:t>
      </w:r>
      <w:r>
        <w:rPr>
          <w:rFonts w:hint="eastAsia" w:ascii="仿宋_GB2312" w:hAnsi="宋体" w:eastAsia="仿宋_GB2312" w:cs="仿宋_GB2312"/>
          <w:color w:val="000000"/>
          <w:sz w:val="32"/>
          <w:szCs w:val="32"/>
          <w:shd w:val="clear" w:color="auto" w:fill="FFFFFF"/>
        </w:rPr>
        <w:t>社会</w:t>
      </w:r>
      <w:r>
        <w:rPr>
          <w:rFonts w:ascii="仿宋_GB2312" w:hAnsi="宋体" w:eastAsia="仿宋_GB2312" w:cs="仿宋_GB2312"/>
          <w:color w:val="000000"/>
          <w:sz w:val="32"/>
          <w:szCs w:val="32"/>
          <w:shd w:val="clear" w:color="auto" w:fill="FFFFFF"/>
        </w:rPr>
        <w:t>效益。</w:t>
      </w:r>
    </w:p>
    <w:p>
      <w:pPr>
        <w:autoSpaceDE w:val="0"/>
        <w:adjustRightInd w:val="0"/>
        <w:snapToGrid w:val="0"/>
        <w:spacing w:line="576" w:lineRule="exact"/>
        <w:ind w:firstLine="4160" w:firstLineChars="1300"/>
        <w:rPr>
          <w:rFonts w:ascii="Arial" w:hAnsi="Arial" w:eastAsia="仿宋_GB2312" w:cs="Arial"/>
          <w:sz w:val="32"/>
          <w:szCs w:val="32"/>
        </w:rPr>
      </w:pPr>
      <w:r>
        <w:rPr>
          <w:rFonts w:hint="eastAsia" w:ascii="Arial" w:hAnsi="Arial" w:eastAsia="仿宋_GB2312" w:cs="Arial"/>
          <w:sz w:val="32"/>
          <w:szCs w:val="32"/>
        </w:rPr>
        <w:t>广元市朝天区交通运输局</w:t>
      </w:r>
    </w:p>
    <w:p>
      <w:pPr>
        <w:autoSpaceDE w:val="0"/>
        <w:adjustRightInd w:val="0"/>
        <w:snapToGrid w:val="0"/>
        <w:spacing w:line="576" w:lineRule="exact"/>
        <w:ind w:firstLine="4800" w:firstLineChars="1500"/>
        <w:rPr>
          <w:rFonts w:ascii="仿宋_GB2312" w:eastAsia="仿宋_GB2312"/>
          <w:sz w:val="32"/>
          <w:szCs w:val="32"/>
        </w:rPr>
      </w:pPr>
      <w:r>
        <w:rPr>
          <w:rFonts w:hint="eastAsia" w:ascii="仿宋_GB2312" w:eastAsia="仿宋_GB2312"/>
          <w:sz w:val="32"/>
          <w:szCs w:val="32"/>
        </w:rPr>
        <w:t>2022年5月23日</w:t>
      </w:r>
    </w:p>
    <w:p>
      <w:pPr>
        <w:pStyle w:val="2"/>
        <w:spacing w:before="72"/>
      </w:pPr>
    </w:p>
    <w:p>
      <w:pPr>
        <w:autoSpaceDE w:val="0"/>
        <w:spacing w:line="576" w:lineRule="exact"/>
        <w:jc w:val="center"/>
        <w:rPr>
          <w:rFonts w:ascii="方正大标宋简体" w:hAnsi="??" w:eastAsia="方正大标宋简体"/>
          <w:b/>
          <w:color w:val="000000"/>
          <w:spacing w:val="-6"/>
          <w:kern w:val="0"/>
          <w:sz w:val="44"/>
          <w:szCs w:val="44"/>
        </w:rPr>
      </w:pPr>
      <w:r>
        <w:rPr>
          <w:rFonts w:hint="eastAsia" w:ascii="方正大标宋简体" w:hAnsi="??" w:eastAsia="方正大标宋简体"/>
          <w:b/>
          <w:color w:val="000000"/>
          <w:spacing w:val="-6"/>
          <w:kern w:val="0"/>
          <w:sz w:val="44"/>
          <w:szCs w:val="44"/>
        </w:rPr>
        <w:t>广元市朝天区交通运输综合服务中心</w:t>
      </w:r>
    </w:p>
    <w:p>
      <w:pPr>
        <w:autoSpaceDE w:val="0"/>
        <w:spacing w:line="576" w:lineRule="exact"/>
        <w:jc w:val="center"/>
        <w:rPr>
          <w:rFonts w:ascii="方正大标宋简体" w:hAnsi="??" w:eastAsia="方正大标宋简体"/>
          <w:b/>
          <w:color w:val="000000"/>
          <w:spacing w:val="-6"/>
          <w:kern w:val="0"/>
          <w:sz w:val="44"/>
          <w:szCs w:val="44"/>
        </w:rPr>
      </w:pPr>
      <w:r>
        <w:rPr>
          <w:rFonts w:hint="eastAsia" w:ascii="方正大标宋简体" w:hAnsi="??" w:eastAsia="方正大标宋简体"/>
          <w:b/>
          <w:color w:val="000000"/>
          <w:spacing w:val="-6"/>
          <w:kern w:val="0"/>
          <w:sz w:val="44"/>
          <w:szCs w:val="44"/>
        </w:rPr>
        <w:t>2022年部门预算项目支出绩效自评报告</w:t>
      </w:r>
    </w:p>
    <w:p>
      <w:pPr>
        <w:autoSpaceDE w:val="0"/>
        <w:adjustRightInd w:val="0"/>
        <w:snapToGrid w:val="0"/>
        <w:spacing w:line="576" w:lineRule="exact"/>
        <w:ind w:firstLine="616" w:firstLineChars="200"/>
        <w:jc w:val="center"/>
        <w:rPr>
          <w:rFonts w:ascii="宋体"/>
          <w:spacing w:val="-6"/>
          <w:szCs w:val="21"/>
        </w:rPr>
      </w:pPr>
      <w:r>
        <w:rPr>
          <w:rFonts w:hint="eastAsia" w:ascii="仿宋_GB2312" w:eastAsia="仿宋_GB2312"/>
          <w:spacing w:val="-6"/>
          <w:sz w:val="32"/>
          <w:szCs w:val="32"/>
        </w:rPr>
        <w:t>（2022年度农村客运发展专项财政补贴）</w:t>
      </w:r>
    </w:p>
    <w:p>
      <w:pPr>
        <w:autoSpaceDE w:val="0"/>
        <w:adjustRightInd w:val="0"/>
        <w:snapToGrid w:val="0"/>
        <w:spacing w:line="576" w:lineRule="exact"/>
        <w:ind w:firstLine="616" w:firstLineChars="200"/>
        <w:rPr>
          <w:rFonts w:ascii="黑体" w:hAnsi="黑体" w:eastAsia="黑体"/>
          <w:spacing w:val="-6"/>
          <w:sz w:val="32"/>
          <w:szCs w:val="32"/>
        </w:rPr>
      </w:pPr>
      <w:r>
        <w:rPr>
          <w:rFonts w:hint="eastAsia" w:ascii="黑体" w:hAnsi="黑体" w:eastAsia="黑体"/>
          <w:spacing w:val="-6"/>
          <w:sz w:val="32"/>
          <w:szCs w:val="32"/>
        </w:rPr>
        <w:t>一、项目概况</w:t>
      </w:r>
    </w:p>
    <w:p>
      <w:pPr>
        <w:autoSpaceDE w:val="0"/>
        <w:adjustRightInd w:val="0"/>
        <w:snapToGrid w:val="0"/>
        <w:spacing w:line="540" w:lineRule="exact"/>
        <w:ind w:firstLine="720"/>
        <w:rPr>
          <w:rFonts w:ascii="楷体_GB2312" w:hAnsi="宋体" w:eastAsia="楷体_GB2312"/>
          <w:b/>
          <w:w w:val="99"/>
          <w:sz w:val="32"/>
          <w:szCs w:val="32"/>
        </w:rPr>
      </w:pPr>
      <w:r>
        <w:rPr>
          <w:rFonts w:hint="eastAsia" w:ascii="楷体_GB2312" w:hAnsi="宋体" w:eastAsia="楷体_GB2312"/>
          <w:b/>
          <w:w w:val="99"/>
          <w:sz w:val="32"/>
          <w:szCs w:val="32"/>
        </w:rPr>
        <w:t>（一）项目资金申报及批复情况。</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按照广元市人民政府《关于加快农村客运发展的意见》（广府发﹝2019﹞5号）文件要求，结合朝天区实际情况，经请示区委、区政府后，将农村客运发展专项财政补贴纳入2022年财政预算。其资金在申报使用过程中没有进行预算调整调剂，并严格按照交通行业专项资金使用管理等相关规定执行，符合资金管理办法等规定。</w:t>
      </w:r>
    </w:p>
    <w:p>
      <w:pPr>
        <w:autoSpaceDE w:val="0"/>
        <w:adjustRightInd w:val="0"/>
        <w:snapToGrid w:val="0"/>
        <w:spacing w:line="540" w:lineRule="exact"/>
        <w:ind w:firstLine="720"/>
        <w:rPr>
          <w:rFonts w:ascii="楷体_GB2312" w:hAnsi="宋体" w:eastAsia="楷体_GB2312"/>
          <w:b/>
          <w:w w:val="99"/>
          <w:sz w:val="32"/>
          <w:szCs w:val="32"/>
        </w:rPr>
      </w:pPr>
      <w:r>
        <w:rPr>
          <w:rFonts w:hint="eastAsia" w:ascii="楷体_GB2312" w:hAnsi="宋体" w:eastAsia="楷体_GB2312"/>
          <w:b/>
          <w:w w:val="99"/>
          <w:sz w:val="32"/>
          <w:szCs w:val="32"/>
        </w:rPr>
        <w:t>（二）项目绩效目标。</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按期完成2022年度农村客运发展专项财政补贴项目，通过通村客运营运补助、通村客运车辆保险补助，提高客运企业服务冷线行政村的积极性，确保农村客运开得通、留得住，保障农民群众“行有所乘”以及推进农村客运低碳、绿色、高质量发展。</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项目申报内容与具体实施内容相符、申报目标合理可行。</w:t>
      </w:r>
    </w:p>
    <w:p>
      <w:pPr>
        <w:autoSpaceDE w:val="0"/>
        <w:adjustRightInd w:val="0"/>
        <w:snapToGrid w:val="0"/>
        <w:spacing w:line="540" w:lineRule="exact"/>
        <w:ind w:firstLine="720"/>
        <w:rPr>
          <w:rFonts w:ascii="楷体_GB2312" w:hAnsi="宋体" w:eastAsia="楷体_GB2312"/>
          <w:b/>
          <w:w w:val="99"/>
          <w:sz w:val="32"/>
          <w:szCs w:val="32"/>
        </w:rPr>
      </w:pPr>
      <w:r>
        <w:rPr>
          <w:rFonts w:hint="eastAsia" w:ascii="楷体_GB2312" w:hAnsi="宋体" w:eastAsia="楷体_GB2312"/>
          <w:b/>
          <w:w w:val="99"/>
          <w:sz w:val="32"/>
          <w:szCs w:val="32"/>
        </w:rPr>
        <w:t>（三）项目自评步骤及方法。</w:t>
      </w:r>
    </w:p>
    <w:p>
      <w:pPr>
        <w:autoSpaceDE w:val="0"/>
        <w:adjustRightInd w:val="0"/>
        <w:snapToGrid w:val="0"/>
        <w:spacing w:line="540" w:lineRule="exact"/>
        <w:ind w:firstLine="720"/>
      </w:pPr>
      <w:r>
        <w:rPr>
          <w:rFonts w:hint="eastAsia" w:ascii="仿宋_GB2312" w:hAnsi="宋体" w:eastAsia="仿宋_GB2312"/>
          <w:w w:val="99"/>
          <w:sz w:val="32"/>
          <w:szCs w:val="32"/>
        </w:rPr>
        <w:t>成立由主要领导为组长，具体负责项目的业务股室负责人及财务负责人为副组长的项目绩效工作领导小组，通过运用目标比较法、成本效益法、历史比较法等方法，每季度对项目的运行情况进行分析研讨，保障项目实施的科学性。</w:t>
      </w:r>
    </w:p>
    <w:p>
      <w:pPr>
        <w:autoSpaceDE w:val="0"/>
        <w:adjustRightInd w:val="0"/>
        <w:snapToGrid w:val="0"/>
        <w:spacing w:line="576" w:lineRule="exact"/>
        <w:ind w:firstLine="616" w:firstLineChars="200"/>
        <w:rPr>
          <w:rFonts w:ascii="黑体" w:hAnsi="黑体" w:eastAsia="黑体"/>
          <w:spacing w:val="-6"/>
          <w:sz w:val="32"/>
          <w:szCs w:val="32"/>
        </w:rPr>
      </w:pPr>
      <w:r>
        <w:rPr>
          <w:rFonts w:hint="eastAsia" w:ascii="黑体" w:hAnsi="黑体" w:eastAsia="黑体"/>
          <w:spacing w:val="-6"/>
          <w:sz w:val="32"/>
          <w:szCs w:val="32"/>
        </w:rPr>
        <w:t>二、项目实施及管理情况</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（一）资金计划、到位及使用情况</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1.资金计划及到位。</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该项目资金年初纳入预算，资金计划及截止评价截止评价时点实际到位情况为70万元，均为本级财政资金。该项目资金到位情况与资金计划到位情况相符，资金到位率为100%。</w:t>
      </w:r>
    </w:p>
    <w:p>
      <w:pPr>
        <w:adjustRightInd w:val="0"/>
        <w:snapToGrid w:val="0"/>
        <w:spacing w:line="576" w:lineRule="exact"/>
        <w:ind w:firstLine="616" w:firstLineChars="200"/>
        <w:rPr>
          <w:rFonts w:ascii="仿宋_GB2312" w:eastAsia="仿宋_GB2312"/>
          <w:sz w:val="32"/>
          <w:szCs w:val="32"/>
        </w:rPr>
      </w:pPr>
      <w:r>
        <w:rPr>
          <w:rFonts w:hint="eastAsia" w:ascii="仿宋_GB2312" w:eastAsia="仿宋_GB2312"/>
          <w:spacing w:val="-6"/>
          <w:sz w:val="32"/>
          <w:szCs w:val="32"/>
        </w:rPr>
        <w:t>2.资金使用。截止评价时点项目资金的实际支出情况为70万元，资金用于符合条件的“</w:t>
      </w:r>
      <w:r>
        <w:rPr>
          <w:rFonts w:hint="eastAsia" w:ascii="仿宋_GB2312" w:eastAsia="仿宋_GB2312"/>
          <w:sz w:val="32"/>
          <w:szCs w:val="32"/>
        </w:rPr>
        <w:t>对未通客车的建制村</w:t>
      </w:r>
      <w:r>
        <w:rPr>
          <w:rFonts w:hint="eastAsia" w:ascii="仿宋_GB2312" w:eastAsia="仿宋_GB2312"/>
          <w:spacing w:val="-6"/>
          <w:sz w:val="32"/>
          <w:szCs w:val="32"/>
        </w:rPr>
        <w:t>”</w:t>
      </w:r>
      <w:r>
        <w:rPr>
          <w:rFonts w:hint="eastAsia" w:ascii="仿宋_GB2312" w:eastAsia="仿宋_GB2312"/>
          <w:sz w:val="32"/>
          <w:szCs w:val="32"/>
        </w:rPr>
        <w:t>开通客车的营运补贴和其保险保费补贴。项目资金支付标准和支付进度均按照项目实施要求，支付依据合规合法，资金支付与预算相符。</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（二）项目财务管理情况</w:t>
      </w:r>
    </w:p>
    <w:p>
      <w:pPr>
        <w:autoSpaceDE w:val="0"/>
        <w:adjustRightInd w:val="0"/>
        <w:snapToGrid w:val="0"/>
        <w:spacing w:line="576" w:lineRule="exact"/>
        <w:ind w:firstLine="616" w:firstLineChars="200"/>
        <w:rPr>
          <w:rFonts w:ascii="仿宋_GB2312" w:hAnsi="仿宋_GB2312" w:eastAsia="仿宋_GB2312" w:cs="仿宋_GB2312"/>
          <w:bCs/>
          <w:spacing w:val="-6"/>
          <w:sz w:val="32"/>
          <w:szCs w:val="32"/>
        </w:rPr>
      </w:pPr>
      <w:r>
        <w:rPr>
          <w:rFonts w:hint="eastAsia" w:ascii="仿宋_GB2312" w:hAnsi="仿宋_GB2312" w:eastAsia="仿宋_GB2312" w:cs="仿宋_GB2312"/>
          <w:bCs/>
          <w:spacing w:val="-6"/>
          <w:sz w:val="32"/>
          <w:szCs w:val="32"/>
        </w:rPr>
        <w:t>我</w:t>
      </w:r>
      <w:r>
        <w:rPr>
          <w:rFonts w:hint="eastAsia" w:ascii="仿宋_GB2312" w:hAnsi="仿宋_GB2312" w:eastAsia="仿宋_GB2312" w:cs="仿宋_GB2312"/>
          <w:bCs/>
          <w:spacing w:val="-6"/>
          <w:sz w:val="32"/>
          <w:szCs w:val="32"/>
          <w:lang w:eastAsia="zh-CN"/>
        </w:rPr>
        <w:t>部门</w:t>
      </w:r>
      <w:r>
        <w:rPr>
          <w:rFonts w:hint="eastAsia" w:ascii="仿宋_GB2312" w:hAnsi="仿宋_GB2312" w:eastAsia="仿宋_GB2312" w:cs="仿宋_GB2312"/>
          <w:bCs/>
          <w:spacing w:val="-6"/>
          <w:sz w:val="32"/>
          <w:szCs w:val="32"/>
        </w:rPr>
        <w:t>按照财政部门的相关要求编制部门预算、执行部门预算，及时制定并完善了《财务管理制度（暂行）办法》《项目管理制度》等相关财务制度，确定了财务审核机构、明确了会计核算及账务处理等相关要求。该项目对照项目和资金管理办法，严格执行财务管理制度、财务处理及时、会计核算规范。</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（三）项目组织实施情况</w:t>
      </w:r>
    </w:p>
    <w:p>
      <w:pPr>
        <w:adjustRightInd w:val="0"/>
        <w:snapToGrid w:val="0"/>
        <w:spacing w:line="576" w:lineRule="exact"/>
        <w:ind w:firstLine="616" w:firstLineChars="200"/>
        <w:rPr>
          <w:rFonts w:ascii="仿宋_GB2312" w:eastAsia="仿宋_GB2312"/>
          <w:sz w:val="32"/>
          <w:szCs w:val="32"/>
        </w:rPr>
      </w:pPr>
      <w:r>
        <w:rPr>
          <w:rFonts w:hint="eastAsia" w:ascii="仿宋_GB2312" w:eastAsia="仿宋_GB2312"/>
          <w:spacing w:val="-6"/>
          <w:sz w:val="32"/>
          <w:szCs w:val="32"/>
        </w:rPr>
        <w:t>因机构改革，根据改革后的职能职责划分，该项目由交通运输综合服务中心具体负责实施。全年通过GPS监控、客运车辆运行轨迹查阅等多种形式，监督项目实施并完成“</w:t>
      </w:r>
      <w:r>
        <w:rPr>
          <w:rFonts w:hint="eastAsia" w:ascii="仿宋_GB2312" w:eastAsia="仿宋_GB2312"/>
          <w:sz w:val="32"/>
          <w:szCs w:val="32"/>
        </w:rPr>
        <w:t>开得通、留得住”的</w:t>
      </w:r>
      <w:r>
        <w:rPr>
          <w:rFonts w:hint="eastAsia" w:ascii="仿宋_GB2312" w:eastAsia="仿宋_GB2312"/>
          <w:spacing w:val="-6"/>
          <w:sz w:val="32"/>
          <w:szCs w:val="32"/>
        </w:rPr>
        <w:t>年度目标任务后，2022年度农村客运发展专项财政补贴资</w:t>
      </w:r>
      <w:r>
        <w:rPr>
          <w:rFonts w:hint="eastAsia" w:ascii="仿宋_GB2312" w:eastAsia="仿宋_GB2312"/>
          <w:sz w:val="32"/>
          <w:szCs w:val="32"/>
        </w:rPr>
        <w:t>金切块下达给区内农村客运企业，主要用于：通村客运营运亏损补助、通村客运车辆保险补助。</w:t>
      </w:r>
    </w:p>
    <w:p>
      <w:pPr>
        <w:autoSpaceDE w:val="0"/>
        <w:adjustRightInd w:val="0"/>
        <w:snapToGrid w:val="0"/>
        <w:spacing w:line="576" w:lineRule="exact"/>
        <w:ind w:firstLine="616" w:firstLineChars="200"/>
        <w:rPr>
          <w:rFonts w:ascii="黑体" w:hAnsi="黑体" w:eastAsia="黑体"/>
          <w:spacing w:val="-6"/>
          <w:sz w:val="32"/>
          <w:szCs w:val="32"/>
        </w:rPr>
      </w:pPr>
      <w:r>
        <w:rPr>
          <w:rFonts w:hint="eastAsia" w:ascii="黑体" w:hAnsi="黑体" w:eastAsia="黑体"/>
          <w:spacing w:val="-6"/>
          <w:sz w:val="32"/>
          <w:szCs w:val="32"/>
        </w:rPr>
        <w:t>三、项目绩效情况</w:t>
      </w:r>
      <w:r>
        <w:rPr>
          <w:rFonts w:hint="eastAsia" w:ascii="黑体" w:hAnsi="黑体" w:eastAsia="黑体"/>
          <w:spacing w:val="-6"/>
          <w:sz w:val="32"/>
          <w:szCs w:val="32"/>
        </w:rPr>
        <w:tab/>
      </w:r>
    </w:p>
    <w:p>
      <w:pPr>
        <w:autoSpaceDE w:val="0"/>
        <w:adjustRightInd w:val="0"/>
        <w:snapToGrid w:val="0"/>
        <w:spacing w:line="576" w:lineRule="exact"/>
        <w:ind w:firstLine="616" w:firstLineChars="200"/>
        <w:rPr>
          <w:rFonts w:ascii="仿宋_GB2312" w:eastAsia="仿宋_GB2312"/>
          <w:sz w:val="32"/>
          <w:szCs w:val="32"/>
        </w:rPr>
      </w:pPr>
      <w:r>
        <w:rPr>
          <w:rFonts w:hint="eastAsia" w:ascii="楷体_GB2312" w:eastAsia="楷体_GB2312"/>
          <w:bCs/>
          <w:spacing w:val="-6"/>
          <w:sz w:val="32"/>
          <w:szCs w:val="32"/>
        </w:rPr>
        <w:t>（一）项目完成情况</w:t>
      </w:r>
    </w:p>
    <w:p>
      <w:pPr>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农村客运车辆补助项目成本为70万元，用于对2019年未通客车的建制村开通客车的农村客运车辆，按照每车每年不低于5000元的标准发放营运补贴，按照不低于其保险保费金额70%予以保险补贴。项目执行进度计划和资金拨付计划相匹配，成本控制目标实现率为100%。</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（二）项目效益情况</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经济效益：</w:t>
      </w:r>
      <w:r>
        <w:rPr>
          <w:rFonts w:hint="eastAsia" w:ascii="仿宋_GB2312" w:eastAsia="仿宋_GB2312"/>
          <w:sz w:val="32"/>
          <w:szCs w:val="32"/>
        </w:rPr>
        <w:t>农村客运补助资金改善了农村客运公司经营状况、降低了经营成本，推动了我区客运行业可持续发展，农村客运车辆的开通也提供了就业岗位，带动了区内经济发展。</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社会效益：补助资金能应对油价对车票价格带来的冲击，稳定票价从而稳定农村客运市场，为当地百姓提供更好地交通运输环境。</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生态效益：</w:t>
      </w:r>
      <w:r>
        <w:rPr>
          <w:rFonts w:hint="eastAsia" w:ascii="仿宋_GB2312" w:eastAsia="仿宋_GB2312"/>
          <w:sz w:val="32"/>
          <w:szCs w:val="32"/>
        </w:rPr>
        <w:t>当地百姓乘坐公共交通工具，尾气及碳排放得到有效改善。</w:t>
      </w:r>
    </w:p>
    <w:p>
      <w:pPr>
        <w:autoSpaceDE w:val="0"/>
        <w:adjustRightInd w:val="0"/>
        <w:snapToGrid w:val="0"/>
        <w:spacing w:line="576" w:lineRule="exact"/>
        <w:ind w:firstLine="616" w:firstLineChars="200"/>
        <w:rPr>
          <w:rFonts w:ascii="仿宋_GB2312" w:eastAsia="仿宋_GB2312"/>
          <w:sz w:val="32"/>
          <w:szCs w:val="32"/>
        </w:rPr>
      </w:pPr>
      <w:r>
        <w:rPr>
          <w:rFonts w:hint="eastAsia" w:ascii="仿宋_GB2312" w:eastAsia="仿宋_GB2312"/>
          <w:spacing w:val="-6"/>
          <w:sz w:val="32"/>
          <w:szCs w:val="32"/>
        </w:rPr>
        <w:t>可持续效益：</w:t>
      </w:r>
      <w:r>
        <w:rPr>
          <w:rFonts w:hint="eastAsia" w:ascii="仿宋_GB2312" w:eastAsia="仿宋_GB2312"/>
          <w:sz w:val="32"/>
          <w:szCs w:val="32"/>
        </w:rPr>
        <w:t>在补助期限内，为我区客运行业持续发展奠定了基础、民生改善、节能减排起到了积极的持续推动。</w:t>
      </w:r>
    </w:p>
    <w:p>
      <w:pPr>
        <w:autoSpaceDE w:val="0"/>
        <w:adjustRightInd w:val="0"/>
        <w:snapToGrid w:val="0"/>
        <w:spacing w:line="576" w:lineRule="exact"/>
        <w:ind w:firstLine="640" w:firstLineChars="200"/>
        <w:rPr>
          <w:rFonts w:ascii="仿宋_GB2312" w:eastAsia="仿宋_GB2312"/>
          <w:sz w:val="32"/>
          <w:szCs w:val="32"/>
        </w:rPr>
      </w:pPr>
      <w:r>
        <w:rPr>
          <w:rFonts w:hint="eastAsia" w:ascii="仿宋_GB2312" w:eastAsia="仿宋_GB2312"/>
          <w:sz w:val="32"/>
          <w:szCs w:val="32"/>
        </w:rPr>
        <w:t>满意度：服务对象满意度≥95%。</w:t>
      </w:r>
    </w:p>
    <w:p>
      <w:pPr>
        <w:autoSpaceDE w:val="0"/>
        <w:adjustRightInd w:val="0"/>
        <w:snapToGrid w:val="0"/>
        <w:spacing w:line="576" w:lineRule="exact"/>
        <w:ind w:firstLine="616" w:firstLineChars="200"/>
        <w:rPr>
          <w:rFonts w:ascii="黑体" w:hAnsi="黑体" w:eastAsia="黑体"/>
          <w:spacing w:val="-6"/>
          <w:sz w:val="32"/>
          <w:szCs w:val="32"/>
        </w:rPr>
      </w:pPr>
      <w:r>
        <w:rPr>
          <w:rFonts w:hint="eastAsia" w:ascii="黑体" w:hAnsi="黑体" w:eastAsia="黑体"/>
          <w:spacing w:val="-6"/>
          <w:sz w:val="32"/>
          <w:szCs w:val="32"/>
        </w:rPr>
        <w:t>四、问题及建议</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（一）存在的问题</w:t>
      </w:r>
    </w:p>
    <w:p>
      <w:pPr>
        <w:widowControl/>
        <w:shd w:val="clear" w:color="auto" w:fill="FFFFFF"/>
        <w:adjustRightInd w:val="0"/>
        <w:snapToGrid w:val="0"/>
        <w:spacing w:line="576" w:lineRule="exact"/>
        <w:ind w:firstLine="640" w:firstLineChars="200"/>
        <w:jc w:val="left"/>
        <w:rPr>
          <w:rFonts w:ascii="仿宋_GB2312" w:eastAsia="仿宋_GB2312"/>
          <w:color w:val="000000"/>
          <w:kern w:val="0"/>
          <w:sz w:val="32"/>
          <w:szCs w:val="32"/>
        </w:rPr>
      </w:pPr>
      <w:r>
        <w:rPr>
          <w:rFonts w:hint="eastAsia" w:ascii="仿宋_GB2312" w:eastAsia="仿宋_GB2312"/>
          <w:color w:val="000000"/>
          <w:kern w:val="0"/>
          <w:sz w:val="32"/>
          <w:szCs w:val="32"/>
        </w:rPr>
        <w:t>绩效目标设立不够明确、细化和量化。目标设定后没有科学的设定考核评价标准，特别是对于不能量化的目标。</w:t>
      </w:r>
    </w:p>
    <w:p>
      <w:pPr>
        <w:widowControl/>
        <w:shd w:val="clear" w:color="auto" w:fill="FFFFFF"/>
        <w:adjustRightInd w:val="0"/>
        <w:snapToGrid w:val="0"/>
        <w:spacing w:line="576" w:lineRule="exact"/>
        <w:ind w:firstLine="640" w:firstLineChars="200"/>
        <w:jc w:val="left"/>
        <w:rPr>
          <w:rFonts w:ascii="仿宋_GB2312" w:eastAsia="仿宋_GB2312"/>
          <w:color w:val="000000"/>
          <w:kern w:val="0"/>
          <w:sz w:val="32"/>
          <w:szCs w:val="32"/>
        </w:rPr>
      </w:pPr>
      <w:r>
        <w:rPr>
          <w:rFonts w:hint="eastAsia" w:ascii="仿宋_GB2312" w:eastAsia="仿宋_GB2312"/>
          <w:color w:val="000000"/>
          <w:kern w:val="0"/>
          <w:sz w:val="32"/>
          <w:szCs w:val="32"/>
        </w:rPr>
        <w:t>预算执行工作有待提高。主要是部分项目推进缓慢，原因是项目实施条件不具备，项目经费计划在年末支付，未拨付项目费用，导致项目进度迟缓。</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（二）相关建议</w:t>
      </w:r>
    </w:p>
    <w:p>
      <w:pPr>
        <w:pStyle w:val="15"/>
        <w:adjustRightInd w:val="0"/>
        <w:snapToGrid w:val="0"/>
        <w:spacing w:line="576" w:lineRule="exact"/>
        <w:ind w:left="0" w:leftChars="0" w:firstLine="640"/>
        <w:rPr>
          <w:rFonts w:ascii="仿宋_GB2312" w:hAnsi="仿宋_GB2312" w:eastAsia="仿宋_GB2312" w:cs="仿宋_GB2312"/>
          <w:color w:val="222222"/>
          <w:sz w:val="32"/>
          <w:szCs w:val="32"/>
          <w:shd w:val="clear" w:color="auto" w:fill="FFFFFF"/>
        </w:rPr>
      </w:pPr>
      <w:r>
        <w:rPr>
          <w:rFonts w:hint="eastAsia" w:ascii="仿宋_GB2312" w:hAnsi="仿宋_GB2312" w:eastAsia="仿宋_GB2312" w:cs="仿宋_GB2312"/>
          <w:color w:val="222222"/>
          <w:sz w:val="32"/>
          <w:szCs w:val="32"/>
          <w:shd w:val="clear" w:color="auto" w:fill="FFFFFF"/>
        </w:rPr>
        <w:t>科学合理制定绩效目标，充分发挥绩效工作效用。加强业务培训，提高评价水平，部门整体绩效评价工作是一项长期性的工作，专业性较强，工作量大，进一步加强业务领导及经办人员相关的政策，业务工作培训学习。</w:t>
      </w:r>
    </w:p>
    <w:p>
      <w:pPr>
        <w:pStyle w:val="15"/>
        <w:adjustRightInd w:val="0"/>
        <w:snapToGrid w:val="0"/>
        <w:spacing w:line="576" w:lineRule="exact"/>
        <w:ind w:left="0" w:leftChars="0" w:firstLine="640"/>
        <w:rPr>
          <w:rFonts w:ascii="仿宋_GB2312" w:hAnsi="仿宋_GB2312" w:eastAsia="仿宋_GB2312" w:cs="仿宋_GB2312"/>
          <w:color w:val="222222"/>
          <w:sz w:val="28"/>
          <w:szCs w:val="28"/>
          <w:shd w:val="clear" w:color="auto" w:fill="FFFFFF"/>
        </w:rPr>
      </w:pPr>
      <w:r>
        <w:rPr>
          <w:rFonts w:ascii="仿宋_GB2312" w:hAnsi="宋体" w:eastAsia="仿宋_GB2312" w:cs="仿宋_GB2312"/>
          <w:color w:val="000000"/>
          <w:sz w:val="32"/>
          <w:szCs w:val="32"/>
          <w:shd w:val="clear" w:color="auto" w:fill="FFFFFF"/>
        </w:rPr>
        <w:t>加强预算管理，确保项目的科学性。强化预算执行，为</w:t>
      </w:r>
      <w:r>
        <w:rPr>
          <w:rFonts w:hint="eastAsia" w:ascii="仿宋_GB2312" w:hAnsi="宋体" w:eastAsia="仿宋_GB2312" w:cs="仿宋_GB2312"/>
          <w:color w:val="000000"/>
          <w:sz w:val="32"/>
          <w:szCs w:val="32"/>
          <w:shd w:val="clear" w:color="auto" w:fill="FFFFFF"/>
        </w:rPr>
        <w:t>项目完成</w:t>
      </w:r>
      <w:r>
        <w:rPr>
          <w:rFonts w:ascii="仿宋_GB2312" w:hAnsi="宋体" w:eastAsia="仿宋_GB2312" w:cs="仿宋_GB2312"/>
          <w:color w:val="000000"/>
          <w:sz w:val="32"/>
          <w:szCs w:val="32"/>
          <w:shd w:val="clear" w:color="auto" w:fill="FFFFFF"/>
        </w:rPr>
        <w:t>绩效目标提供基础保障，提高项目支出资金使用</w:t>
      </w:r>
      <w:r>
        <w:rPr>
          <w:rFonts w:hint="eastAsia" w:ascii="仿宋_GB2312" w:hAnsi="宋体" w:eastAsia="仿宋_GB2312" w:cs="仿宋_GB2312"/>
          <w:color w:val="000000"/>
          <w:sz w:val="32"/>
          <w:szCs w:val="32"/>
          <w:shd w:val="clear" w:color="auto" w:fill="FFFFFF"/>
        </w:rPr>
        <w:t>和项目</w:t>
      </w:r>
      <w:r>
        <w:rPr>
          <w:rFonts w:ascii="仿宋_GB2312" w:hAnsi="宋体" w:eastAsia="仿宋_GB2312" w:cs="仿宋_GB2312"/>
          <w:color w:val="000000"/>
          <w:sz w:val="32"/>
          <w:szCs w:val="32"/>
          <w:shd w:val="clear" w:color="auto" w:fill="FFFFFF"/>
        </w:rPr>
        <w:t>精细化管理水平</w:t>
      </w:r>
      <w:r>
        <w:rPr>
          <w:rFonts w:hint="eastAsia" w:ascii="仿宋_GB2312" w:hAnsi="宋体" w:eastAsia="仿宋_GB2312" w:cs="仿宋_GB2312"/>
          <w:color w:val="000000"/>
          <w:sz w:val="32"/>
          <w:szCs w:val="32"/>
          <w:shd w:val="clear" w:color="auto" w:fill="FFFFFF"/>
        </w:rPr>
        <w:t>，</w:t>
      </w:r>
      <w:r>
        <w:rPr>
          <w:rFonts w:ascii="仿宋_GB2312" w:hAnsi="宋体" w:eastAsia="仿宋_GB2312" w:cs="仿宋_GB2312"/>
          <w:color w:val="000000"/>
          <w:sz w:val="32"/>
          <w:szCs w:val="32"/>
          <w:shd w:val="clear" w:color="auto" w:fill="FFFFFF"/>
        </w:rPr>
        <w:t>确保项目实施达到预期效果，发挥最大</w:t>
      </w:r>
      <w:r>
        <w:rPr>
          <w:rFonts w:hint="eastAsia" w:ascii="仿宋_GB2312" w:hAnsi="宋体" w:eastAsia="仿宋_GB2312" w:cs="仿宋_GB2312"/>
          <w:color w:val="000000"/>
          <w:sz w:val="32"/>
          <w:szCs w:val="32"/>
          <w:shd w:val="clear" w:color="auto" w:fill="FFFFFF"/>
        </w:rPr>
        <w:t>社会</w:t>
      </w:r>
      <w:r>
        <w:rPr>
          <w:rFonts w:ascii="仿宋_GB2312" w:hAnsi="宋体" w:eastAsia="仿宋_GB2312" w:cs="仿宋_GB2312"/>
          <w:color w:val="000000"/>
          <w:sz w:val="32"/>
          <w:szCs w:val="32"/>
          <w:shd w:val="clear" w:color="auto" w:fill="FFFFFF"/>
        </w:rPr>
        <w:t>效益。</w:t>
      </w:r>
    </w:p>
    <w:p>
      <w:pPr>
        <w:autoSpaceDE w:val="0"/>
        <w:adjustRightInd w:val="0"/>
        <w:snapToGrid w:val="0"/>
        <w:spacing w:line="576" w:lineRule="exact"/>
        <w:rPr>
          <w:rFonts w:ascii="Arial" w:hAnsi="Arial" w:eastAsia="仿宋_GB2312" w:cs="Arial"/>
          <w:sz w:val="32"/>
          <w:szCs w:val="32"/>
        </w:rPr>
      </w:pPr>
    </w:p>
    <w:p>
      <w:pPr>
        <w:autoSpaceDE w:val="0"/>
        <w:adjustRightInd w:val="0"/>
        <w:snapToGrid w:val="0"/>
        <w:spacing w:line="576" w:lineRule="exact"/>
        <w:ind w:firstLine="4160" w:firstLineChars="1300"/>
        <w:rPr>
          <w:rFonts w:ascii="Arial" w:hAnsi="Arial" w:eastAsia="仿宋_GB2312" w:cs="Arial"/>
          <w:sz w:val="32"/>
          <w:szCs w:val="32"/>
        </w:rPr>
      </w:pPr>
      <w:r>
        <w:rPr>
          <w:rFonts w:hint="eastAsia" w:ascii="Arial" w:hAnsi="Arial" w:eastAsia="仿宋_GB2312" w:cs="Arial"/>
          <w:sz w:val="32"/>
          <w:szCs w:val="32"/>
        </w:rPr>
        <w:t>广元市朝天区交通运输局</w:t>
      </w:r>
    </w:p>
    <w:p>
      <w:pPr>
        <w:autoSpaceDE w:val="0"/>
        <w:adjustRightInd w:val="0"/>
        <w:snapToGrid w:val="0"/>
        <w:spacing w:line="576" w:lineRule="exact"/>
        <w:ind w:firstLine="4800" w:firstLineChars="1500"/>
        <w:rPr>
          <w:rFonts w:ascii="仿宋_GB2312" w:eastAsia="仿宋_GB2312"/>
          <w:sz w:val="32"/>
          <w:szCs w:val="32"/>
        </w:rPr>
      </w:pPr>
      <w:r>
        <w:rPr>
          <w:rFonts w:hint="eastAsia" w:ascii="仿宋_GB2312" w:eastAsia="仿宋_GB2312"/>
          <w:sz w:val="32"/>
          <w:szCs w:val="32"/>
        </w:rPr>
        <w:t>2022年5月25日</w:t>
      </w:r>
    </w:p>
    <w:p>
      <w:pPr>
        <w:pStyle w:val="2"/>
        <w:spacing w:before="72"/>
      </w:pPr>
    </w:p>
    <w:p>
      <w:pPr>
        <w:autoSpaceDE w:val="0"/>
        <w:adjustRightInd w:val="0"/>
        <w:snapToGrid w:val="0"/>
        <w:spacing w:line="576" w:lineRule="exact"/>
        <w:ind w:firstLine="859" w:firstLineChars="200"/>
        <w:jc w:val="center"/>
        <w:rPr>
          <w:rFonts w:ascii="方正大标宋简体" w:hAnsi="??" w:eastAsia="方正大标宋简体"/>
          <w:b/>
          <w:color w:val="000000"/>
          <w:spacing w:val="-6"/>
          <w:kern w:val="0"/>
          <w:sz w:val="44"/>
          <w:szCs w:val="44"/>
        </w:rPr>
      </w:pPr>
      <w:r>
        <w:rPr>
          <w:rFonts w:hint="eastAsia" w:ascii="方正大标宋简体" w:hAnsi="??" w:eastAsia="方正大标宋简体"/>
          <w:b/>
          <w:color w:val="000000"/>
          <w:spacing w:val="-6"/>
          <w:kern w:val="0"/>
          <w:sz w:val="44"/>
          <w:szCs w:val="44"/>
        </w:rPr>
        <w:t>2022年部门预算项目支出绩效自评报告</w:t>
      </w:r>
    </w:p>
    <w:p>
      <w:pPr>
        <w:autoSpaceDE w:val="0"/>
        <w:adjustRightInd w:val="0"/>
        <w:snapToGrid w:val="0"/>
        <w:spacing w:line="576" w:lineRule="exact"/>
        <w:ind w:firstLine="616" w:firstLineChars="200"/>
        <w:jc w:val="center"/>
        <w:rPr>
          <w:rFonts w:ascii="宋体"/>
          <w:spacing w:val="-6"/>
          <w:szCs w:val="21"/>
        </w:rPr>
      </w:pPr>
      <w:r>
        <w:rPr>
          <w:rFonts w:hint="eastAsia" w:ascii="仿宋_GB2312" w:hAnsi="宋体" w:eastAsia="仿宋_GB2312"/>
          <w:spacing w:val="-6"/>
          <w:sz w:val="32"/>
          <w:szCs w:val="32"/>
        </w:rPr>
        <w:t>（公路建设及运输管理资金）</w:t>
      </w:r>
    </w:p>
    <w:p>
      <w:pPr>
        <w:autoSpaceDE w:val="0"/>
        <w:adjustRightInd w:val="0"/>
        <w:snapToGrid w:val="0"/>
        <w:spacing w:line="576" w:lineRule="exact"/>
        <w:ind w:firstLine="616" w:firstLineChars="200"/>
        <w:rPr>
          <w:rFonts w:ascii="黑体" w:hAnsi="黑体" w:eastAsia="黑体"/>
          <w:spacing w:val="-6"/>
          <w:sz w:val="32"/>
          <w:szCs w:val="32"/>
        </w:rPr>
      </w:pPr>
      <w:r>
        <w:rPr>
          <w:rFonts w:hint="eastAsia" w:ascii="黑体" w:hAnsi="黑体" w:eastAsia="黑体"/>
          <w:spacing w:val="-6"/>
          <w:sz w:val="32"/>
          <w:szCs w:val="32"/>
        </w:rPr>
        <w:t>一、项目概况</w:t>
      </w:r>
    </w:p>
    <w:p>
      <w:pPr>
        <w:autoSpaceDE w:val="0"/>
        <w:adjustRightInd w:val="0"/>
        <w:snapToGrid w:val="0"/>
        <w:spacing w:line="576" w:lineRule="exact"/>
        <w:ind w:firstLine="618" w:firstLineChars="200"/>
        <w:rPr>
          <w:rFonts w:ascii="楷体_GB2312" w:eastAsia="楷体_GB2312"/>
          <w:b/>
          <w:spacing w:val="-6"/>
          <w:sz w:val="32"/>
          <w:szCs w:val="32"/>
        </w:rPr>
      </w:pPr>
      <w:r>
        <w:rPr>
          <w:rFonts w:hint="eastAsia" w:ascii="楷体_GB2312" w:eastAsia="楷体_GB2312"/>
          <w:b/>
          <w:spacing w:val="-6"/>
          <w:sz w:val="32"/>
          <w:szCs w:val="32"/>
        </w:rPr>
        <w:t>（一）项目资金申报及批复情况。</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hAnsi="宋体" w:eastAsia="仿宋_GB2312"/>
          <w:spacing w:val="-6"/>
          <w:sz w:val="32"/>
          <w:szCs w:val="32"/>
        </w:rPr>
        <w:t>公路建设及运输管理资金</w:t>
      </w:r>
      <w:r>
        <w:rPr>
          <w:rFonts w:hint="eastAsia" w:ascii="仿宋_GB2312" w:eastAsia="仿宋_GB2312"/>
          <w:spacing w:val="-6"/>
          <w:sz w:val="32"/>
          <w:szCs w:val="32"/>
        </w:rPr>
        <w:t>纳入2022年年初预算，该项目为延续项目，资金申报使用过程不涉及预算调整，符合资金管理办法等规定。</w:t>
      </w:r>
    </w:p>
    <w:p>
      <w:pPr>
        <w:numPr>
          <w:ilvl w:val="0"/>
          <w:numId w:val="7"/>
        </w:numPr>
        <w:autoSpaceDE w:val="0"/>
        <w:adjustRightInd w:val="0"/>
        <w:snapToGrid w:val="0"/>
        <w:spacing w:line="576" w:lineRule="exact"/>
        <w:ind w:left="1360" w:hanging="720"/>
        <w:rPr>
          <w:rFonts w:ascii="楷体_GB2312" w:eastAsia="楷体_GB2312"/>
          <w:b/>
          <w:spacing w:val="-6"/>
          <w:sz w:val="32"/>
          <w:szCs w:val="32"/>
        </w:rPr>
      </w:pPr>
      <w:r>
        <w:rPr>
          <w:rFonts w:hint="eastAsia" w:ascii="楷体_GB2312" w:eastAsia="楷体_GB2312"/>
          <w:b/>
          <w:spacing w:val="-6"/>
          <w:sz w:val="32"/>
          <w:szCs w:val="32"/>
        </w:rPr>
        <w:t>项目绩效目标。</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hAnsi="宋体" w:eastAsia="仿宋_GB2312"/>
          <w:spacing w:val="-6"/>
          <w:sz w:val="32"/>
          <w:szCs w:val="32"/>
        </w:rPr>
        <w:t>公路建设及运输管理资金</w:t>
      </w:r>
      <w:r>
        <w:rPr>
          <w:rFonts w:hint="eastAsia" w:ascii="仿宋_GB2312" w:eastAsia="仿宋_GB2312"/>
          <w:spacing w:val="-6"/>
          <w:sz w:val="32"/>
          <w:szCs w:val="32"/>
        </w:rPr>
        <w:t>主要用于：一是公路建设前期准备的相关费用；二是乡镇路网改善；三是交通枢纽建设；四是农村公路建设；五是四好农村路示范市创建经费等。</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hAnsi="宋体" w:eastAsia="仿宋_GB2312"/>
          <w:spacing w:val="-6"/>
          <w:sz w:val="32"/>
          <w:szCs w:val="32"/>
        </w:rPr>
        <w:t>公路建设及运输管理资金</w:t>
      </w:r>
      <w:r>
        <w:rPr>
          <w:rFonts w:hint="eastAsia" w:ascii="仿宋_GB2312" w:eastAsia="仿宋_GB2312"/>
          <w:spacing w:val="-6"/>
          <w:sz w:val="32"/>
          <w:szCs w:val="32"/>
        </w:rPr>
        <w:t>申报内容与具体实施内容相符、申报目标合理可行。</w:t>
      </w:r>
    </w:p>
    <w:p>
      <w:pPr>
        <w:autoSpaceDE w:val="0"/>
        <w:adjustRightInd w:val="0"/>
        <w:snapToGrid w:val="0"/>
        <w:spacing w:line="540" w:lineRule="exact"/>
        <w:ind w:firstLine="720"/>
        <w:rPr>
          <w:rFonts w:ascii="楷体_GB2312" w:hAnsi="宋体" w:eastAsia="楷体_GB2312"/>
          <w:b/>
          <w:w w:val="99"/>
          <w:sz w:val="32"/>
          <w:szCs w:val="32"/>
        </w:rPr>
      </w:pPr>
      <w:r>
        <w:rPr>
          <w:rFonts w:hint="eastAsia" w:ascii="楷体_GB2312" w:hAnsi="宋体" w:eastAsia="楷体_GB2312"/>
          <w:b/>
          <w:w w:val="99"/>
          <w:sz w:val="32"/>
          <w:szCs w:val="32"/>
        </w:rPr>
        <w:t>（三）项目自评步骤及方法。</w:t>
      </w:r>
    </w:p>
    <w:p>
      <w:pPr>
        <w:autoSpaceDE w:val="0"/>
        <w:adjustRightInd w:val="0"/>
        <w:snapToGrid w:val="0"/>
        <w:spacing w:line="540" w:lineRule="exact"/>
        <w:ind w:firstLine="720"/>
      </w:pPr>
      <w:r>
        <w:rPr>
          <w:rFonts w:hint="eastAsia" w:ascii="仿宋_GB2312" w:hAnsi="宋体" w:eastAsia="仿宋_GB2312"/>
          <w:w w:val="99"/>
          <w:sz w:val="32"/>
          <w:szCs w:val="32"/>
        </w:rPr>
        <w:t>成立由主要领导为组长，具体负责项目的业务股室负责人及财务负责人为副组长的项目绩效工作领导小组，通过运用目标比较法、成本效益法、历史比较法等方法，每季度对项目的运行情况进行分析研讨，保障项目实施的科学性。</w:t>
      </w:r>
    </w:p>
    <w:p>
      <w:pPr>
        <w:autoSpaceDE w:val="0"/>
        <w:adjustRightInd w:val="0"/>
        <w:snapToGrid w:val="0"/>
        <w:spacing w:line="576" w:lineRule="exact"/>
        <w:ind w:firstLine="616" w:firstLineChars="200"/>
        <w:rPr>
          <w:rFonts w:ascii="黑体" w:hAnsi="黑体" w:eastAsia="黑体"/>
          <w:spacing w:val="-6"/>
          <w:sz w:val="32"/>
          <w:szCs w:val="32"/>
        </w:rPr>
      </w:pPr>
      <w:r>
        <w:rPr>
          <w:rFonts w:hint="eastAsia" w:ascii="黑体" w:hAnsi="黑体" w:eastAsia="黑体"/>
          <w:spacing w:val="-6"/>
          <w:sz w:val="32"/>
          <w:szCs w:val="32"/>
        </w:rPr>
        <w:t>二、项目实施及管理情况</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（一）资金计划、到位及使用情况</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1.资金计划及到位。该项目各类资金计划及截止评价时已全部到位，资金到位率100%，均为本级政府财政资金。</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2.资金使用</w:t>
      </w:r>
      <w:r>
        <w:rPr>
          <w:rFonts w:hint="eastAsia" w:ascii="仿宋_GB2312" w:eastAsia="仿宋_GB2312"/>
          <w:b/>
          <w:bCs/>
          <w:spacing w:val="-6"/>
          <w:sz w:val="32"/>
          <w:szCs w:val="32"/>
        </w:rPr>
        <w:t>。</w:t>
      </w:r>
      <w:r>
        <w:rPr>
          <w:rFonts w:hint="eastAsia" w:ascii="仿宋_GB2312" w:eastAsia="仿宋_GB2312"/>
          <w:spacing w:val="-6"/>
          <w:sz w:val="32"/>
          <w:szCs w:val="32"/>
        </w:rPr>
        <w:t>截止评价时点项目资金的实际支出为18248.743万元，资金开支范围、标准均按照预算计划执行，支付依据合规合法。</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（二）项目财务管理情况</w:t>
      </w:r>
    </w:p>
    <w:p>
      <w:pPr>
        <w:autoSpaceDE w:val="0"/>
        <w:adjustRightInd w:val="0"/>
        <w:snapToGrid w:val="0"/>
        <w:spacing w:line="576" w:lineRule="exact"/>
        <w:ind w:firstLine="616" w:firstLineChars="200"/>
        <w:rPr>
          <w:rFonts w:ascii="仿宋_GB2312" w:hAnsi="仿宋_GB2312" w:eastAsia="仿宋_GB2312" w:cs="仿宋_GB2312"/>
          <w:bCs/>
          <w:spacing w:val="-6"/>
          <w:sz w:val="32"/>
          <w:szCs w:val="32"/>
        </w:rPr>
      </w:pPr>
      <w:r>
        <w:rPr>
          <w:rFonts w:hint="eastAsia" w:ascii="仿宋_GB2312" w:hAnsi="仿宋_GB2312" w:eastAsia="仿宋_GB2312" w:cs="仿宋_GB2312"/>
          <w:bCs/>
          <w:spacing w:val="-6"/>
          <w:sz w:val="32"/>
          <w:szCs w:val="32"/>
        </w:rPr>
        <w:t>我</w:t>
      </w:r>
      <w:r>
        <w:rPr>
          <w:rFonts w:hint="eastAsia" w:ascii="仿宋_GB2312" w:hAnsi="仿宋_GB2312" w:eastAsia="仿宋_GB2312" w:cs="仿宋_GB2312"/>
          <w:bCs/>
          <w:spacing w:val="-6"/>
          <w:sz w:val="32"/>
          <w:szCs w:val="32"/>
          <w:lang w:eastAsia="zh-CN"/>
        </w:rPr>
        <w:t>部门</w:t>
      </w:r>
      <w:r>
        <w:rPr>
          <w:rFonts w:hint="eastAsia" w:ascii="仿宋_GB2312" w:hAnsi="仿宋_GB2312" w:eastAsia="仿宋_GB2312" w:cs="仿宋_GB2312"/>
          <w:bCs/>
          <w:spacing w:val="-6"/>
          <w:sz w:val="32"/>
          <w:szCs w:val="32"/>
        </w:rPr>
        <w:t>按照财政部门的相关要求编制部门预算、执行部门预算，及时制定并完善了《财务管理制度（暂行）办法》《项目管理制度》等相关财务制度，确定了财务审核机构、明确了会计核算及账务处理等相关要求。该项目对照项目和资金管理办法，严格执行财务管理制度、财务处理及时、会计核算规范。</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（三）项目组织实施情况</w:t>
      </w:r>
    </w:p>
    <w:p>
      <w:pPr>
        <w:autoSpaceDE w:val="0"/>
        <w:adjustRightInd w:val="0"/>
        <w:snapToGrid w:val="0"/>
        <w:spacing w:line="576" w:lineRule="exact"/>
        <w:ind w:firstLine="616" w:firstLineChars="200"/>
        <w:rPr>
          <w:rFonts w:ascii="仿宋_GB2312" w:hAnsi="仿宋_GB2312" w:eastAsia="仿宋_GB2312" w:cs="仿宋_GB2312"/>
          <w:bCs/>
          <w:spacing w:val="-6"/>
          <w:sz w:val="32"/>
          <w:szCs w:val="32"/>
        </w:rPr>
      </w:pPr>
      <w:r>
        <w:rPr>
          <w:rFonts w:hint="eastAsia" w:ascii="仿宋_GB2312" w:hAnsi="仿宋_GB2312" w:eastAsia="仿宋_GB2312" w:cs="仿宋_GB2312"/>
          <w:bCs/>
          <w:spacing w:val="-6"/>
          <w:sz w:val="32"/>
          <w:szCs w:val="32"/>
        </w:rPr>
        <w:t>一是七曾路前期费用支出58万；二是羊木镇、曾家镇、云雾山镇路网改善工程90万；三是2022年村道生命安全防护工程及四好农村路示范市创建工作经费3790万元；四是交通应急保障资金192.71万；五是公路改建、平安渡运、乡镇运输服务站建设、交通枢纽建设级农村公路建设资金14115.53万元。</w:t>
      </w:r>
    </w:p>
    <w:p>
      <w:pPr>
        <w:autoSpaceDE w:val="0"/>
        <w:adjustRightInd w:val="0"/>
        <w:snapToGrid w:val="0"/>
        <w:spacing w:line="576" w:lineRule="exact"/>
        <w:ind w:firstLine="616" w:firstLineChars="200"/>
        <w:rPr>
          <w:rFonts w:ascii="黑体" w:hAnsi="黑体" w:eastAsia="黑体"/>
          <w:spacing w:val="-6"/>
          <w:sz w:val="32"/>
          <w:szCs w:val="32"/>
        </w:rPr>
      </w:pPr>
      <w:r>
        <w:rPr>
          <w:rFonts w:hint="eastAsia" w:ascii="黑体" w:hAnsi="黑体" w:eastAsia="黑体"/>
          <w:spacing w:val="-6"/>
          <w:sz w:val="32"/>
          <w:szCs w:val="32"/>
        </w:rPr>
        <w:t>三、项目绩效情况</w:t>
      </w:r>
      <w:r>
        <w:rPr>
          <w:rFonts w:hint="eastAsia" w:ascii="黑体" w:hAnsi="黑体" w:eastAsia="黑体"/>
          <w:spacing w:val="-6"/>
          <w:sz w:val="32"/>
          <w:szCs w:val="32"/>
        </w:rPr>
        <w:tab/>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（一）项目完成情况</w:t>
      </w:r>
    </w:p>
    <w:p>
      <w:pPr>
        <w:autoSpaceDE w:val="0"/>
        <w:adjustRightInd w:val="0"/>
        <w:snapToGrid w:val="0"/>
        <w:spacing w:line="576" w:lineRule="exact"/>
        <w:ind w:firstLine="640" w:firstLineChars="200"/>
        <w:rPr>
          <w:rFonts w:ascii="仿宋" w:hAnsi="仿宋" w:eastAsia="仿宋" w:cs="仿宋"/>
          <w:color w:val="000000"/>
          <w:sz w:val="32"/>
          <w:szCs w:val="32"/>
          <w:shd w:val="clear" w:color="auto" w:fill="FFFFFF"/>
        </w:rPr>
      </w:pPr>
      <w:r>
        <w:rPr>
          <w:rFonts w:ascii="仿宋" w:hAnsi="仿宋" w:eastAsia="仿宋" w:cs="仿宋"/>
          <w:color w:val="000000"/>
          <w:sz w:val="32"/>
          <w:szCs w:val="32"/>
          <w:shd w:val="clear" w:color="auto" w:fill="FFFFFF"/>
        </w:rPr>
        <w:t>在区委、区政府的正确领导下，</w:t>
      </w:r>
      <w:r>
        <w:rPr>
          <w:rFonts w:hint="eastAsia" w:ascii="仿宋" w:hAnsi="仿宋" w:eastAsia="仿宋" w:cs="仿宋"/>
          <w:color w:val="000000"/>
          <w:sz w:val="32"/>
          <w:szCs w:val="32"/>
          <w:shd w:val="clear" w:color="auto" w:fill="FFFFFF"/>
        </w:rPr>
        <w:t>按要求扎实推动项目建设，全面提升辖区内的交通基础设施环境。</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（二）项目效益情况</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经济效益：改善基础设施条件，带动沿线经济发展。</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社会效益：增加群众就业，提高群众受益</w:t>
      </w:r>
      <w:r>
        <w:rPr>
          <w:rFonts w:hint="eastAsia" w:ascii="仿宋" w:hAnsi="仿宋" w:eastAsia="仿宋" w:cs="仿宋"/>
          <w:color w:val="000000"/>
          <w:sz w:val="32"/>
          <w:szCs w:val="32"/>
          <w:shd w:val="clear" w:color="auto" w:fill="FFFFFF"/>
        </w:rPr>
        <w:t>。</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可持续效益：基础设施的不断完善，不仅造福当地群众，也有利于促进经济发展。</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服务对象满意度：当地百姓满意度高于95%</w:t>
      </w:r>
      <w:r>
        <w:rPr>
          <w:rFonts w:hint="eastAsia" w:ascii="仿宋_GB2312" w:eastAsia="仿宋_GB2312"/>
          <w:spacing w:val="-6"/>
          <w:sz w:val="32"/>
          <w:szCs w:val="32"/>
        </w:rPr>
        <w:tab/>
      </w:r>
      <w:r>
        <w:rPr>
          <w:rFonts w:hint="eastAsia" w:ascii="仿宋_GB2312" w:eastAsia="仿宋_GB2312"/>
          <w:spacing w:val="-6"/>
          <w:sz w:val="32"/>
          <w:szCs w:val="32"/>
        </w:rPr>
        <w:t>。</w:t>
      </w:r>
      <w:r>
        <w:rPr>
          <w:rFonts w:hint="eastAsia" w:ascii="仿宋_GB2312" w:eastAsia="仿宋_GB2312"/>
          <w:spacing w:val="-6"/>
          <w:sz w:val="32"/>
          <w:szCs w:val="32"/>
        </w:rPr>
        <w:tab/>
      </w:r>
      <w:r>
        <w:rPr>
          <w:rFonts w:hint="eastAsia" w:ascii="仿宋_GB2312" w:eastAsia="仿宋_GB2312"/>
          <w:spacing w:val="-6"/>
          <w:sz w:val="32"/>
          <w:szCs w:val="32"/>
        </w:rPr>
        <w:tab/>
      </w:r>
    </w:p>
    <w:p>
      <w:pPr>
        <w:autoSpaceDE w:val="0"/>
        <w:adjustRightInd w:val="0"/>
        <w:snapToGrid w:val="0"/>
        <w:spacing w:line="576" w:lineRule="exact"/>
        <w:ind w:firstLine="616" w:firstLineChars="200"/>
        <w:rPr>
          <w:rFonts w:ascii="黑体" w:hAnsi="黑体" w:eastAsia="黑体"/>
          <w:spacing w:val="-6"/>
          <w:sz w:val="32"/>
          <w:szCs w:val="32"/>
        </w:rPr>
      </w:pPr>
      <w:r>
        <w:rPr>
          <w:rFonts w:hint="eastAsia" w:ascii="黑体" w:hAnsi="黑体" w:eastAsia="黑体"/>
          <w:spacing w:val="-6"/>
          <w:sz w:val="32"/>
          <w:szCs w:val="32"/>
        </w:rPr>
        <w:t>四、问题及建议</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（一）存在的问题</w:t>
      </w:r>
    </w:p>
    <w:p>
      <w:pPr>
        <w:widowControl/>
        <w:shd w:val="clear" w:color="auto" w:fill="FFFFFF"/>
        <w:spacing w:line="560" w:lineRule="exact"/>
        <w:ind w:firstLine="640" w:firstLineChars="200"/>
        <w:jc w:val="left"/>
        <w:rPr>
          <w:rFonts w:ascii="仿宋_GB2312" w:eastAsia="仿宋_GB2312"/>
          <w:color w:val="000000"/>
          <w:kern w:val="0"/>
          <w:sz w:val="32"/>
          <w:szCs w:val="32"/>
        </w:rPr>
      </w:pPr>
      <w:r>
        <w:rPr>
          <w:rFonts w:hint="eastAsia" w:ascii="仿宋_GB2312" w:eastAsia="仿宋_GB2312"/>
          <w:color w:val="000000"/>
          <w:kern w:val="0"/>
          <w:sz w:val="32"/>
          <w:szCs w:val="32"/>
        </w:rPr>
        <w:t>绩效目标设立不够明确、细化和量化。目标设定后没有科学的设定考核评价标准，特别是对于不能量化的目标。</w:t>
      </w:r>
    </w:p>
    <w:p>
      <w:pPr>
        <w:widowControl/>
        <w:shd w:val="clear" w:color="auto" w:fill="FFFFFF"/>
        <w:spacing w:line="560" w:lineRule="exact"/>
        <w:ind w:firstLine="640" w:firstLineChars="200"/>
        <w:jc w:val="left"/>
        <w:rPr>
          <w:rFonts w:ascii="仿宋_GB2312" w:eastAsia="仿宋_GB2312"/>
          <w:color w:val="000000"/>
          <w:kern w:val="0"/>
          <w:sz w:val="32"/>
          <w:szCs w:val="32"/>
        </w:rPr>
      </w:pPr>
      <w:r>
        <w:rPr>
          <w:rFonts w:hint="eastAsia" w:ascii="仿宋_GB2312" w:eastAsia="仿宋_GB2312"/>
          <w:color w:val="000000"/>
          <w:kern w:val="0"/>
          <w:sz w:val="32"/>
          <w:szCs w:val="32"/>
        </w:rPr>
        <w:t>预算执行工作有待提高。主要是部分项目推进缓慢，原因是项目实施条件不具备，项目经费计划在年末支付，未拨付项目费用，导致项目进度迟缓。</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（二）相关建议</w:t>
      </w:r>
    </w:p>
    <w:p>
      <w:pPr>
        <w:pStyle w:val="15"/>
        <w:adjustRightInd w:val="0"/>
        <w:snapToGrid w:val="0"/>
        <w:spacing w:line="576" w:lineRule="exact"/>
        <w:ind w:left="0" w:leftChars="0" w:firstLine="640"/>
        <w:rPr>
          <w:rFonts w:ascii="仿宋_GB2312" w:hAnsi="仿宋_GB2312" w:eastAsia="仿宋_GB2312" w:cs="仿宋_GB2312"/>
          <w:color w:val="222222"/>
          <w:sz w:val="32"/>
          <w:szCs w:val="32"/>
          <w:shd w:val="clear" w:color="auto" w:fill="FFFFFF"/>
        </w:rPr>
      </w:pPr>
      <w:r>
        <w:rPr>
          <w:rFonts w:hint="eastAsia" w:ascii="仿宋_GB2312" w:hAnsi="仿宋_GB2312" w:eastAsia="仿宋_GB2312" w:cs="仿宋_GB2312"/>
          <w:color w:val="222222"/>
          <w:sz w:val="32"/>
          <w:szCs w:val="32"/>
          <w:shd w:val="clear" w:color="auto" w:fill="FFFFFF"/>
        </w:rPr>
        <w:t>科学合理制定绩效目标，充分发挥绩效工作效用。加强业务培训，提高评价水平，部门整体绩效评价工作是一项长期性的工作，专业性较强，工作量大，进一步加强业务领导及经办人员相关的政策，业务工作培训学习。</w:t>
      </w:r>
    </w:p>
    <w:p>
      <w:pPr>
        <w:pStyle w:val="15"/>
        <w:adjustRightInd w:val="0"/>
        <w:snapToGrid w:val="0"/>
        <w:spacing w:line="576" w:lineRule="exact"/>
        <w:ind w:left="0" w:leftChars="0" w:firstLine="640"/>
        <w:rPr>
          <w:rFonts w:ascii="仿宋_GB2312" w:hAnsi="仿宋_GB2312" w:eastAsia="仿宋_GB2312" w:cs="仿宋_GB2312"/>
          <w:color w:val="222222"/>
          <w:sz w:val="28"/>
          <w:szCs w:val="28"/>
          <w:shd w:val="clear" w:color="auto" w:fill="FFFFFF"/>
        </w:rPr>
      </w:pPr>
      <w:r>
        <w:rPr>
          <w:rFonts w:ascii="仿宋_GB2312" w:hAnsi="宋体" w:eastAsia="仿宋_GB2312" w:cs="仿宋_GB2312"/>
          <w:color w:val="000000"/>
          <w:sz w:val="32"/>
          <w:szCs w:val="32"/>
          <w:shd w:val="clear" w:color="auto" w:fill="FFFFFF"/>
        </w:rPr>
        <w:t>加强预算管理，确保项目的科学性。强化预算执行，为</w:t>
      </w:r>
      <w:r>
        <w:rPr>
          <w:rFonts w:hint="eastAsia" w:ascii="仿宋_GB2312" w:hAnsi="宋体" w:eastAsia="仿宋_GB2312" w:cs="仿宋_GB2312"/>
          <w:color w:val="000000"/>
          <w:sz w:val="32"/>
          <w:szCs w:val="32"/>
          <w:shd w:val="clear" w:color="auto" w:fill="FFFFFF"/>
        </w:rPr>
        <w:t>项目完成</w:t>
      </w:r>
      <w:r>
        <w:rPr>
          <w:rFonts w:ascii="仿宋_GB2312" w:hAnsi="宋体" w:eastAsia="仿宋_GB2312" w:cs="仿宋_GB2312"/>
          <w:color w:val="000000"/>
          <w:sz w:val="32"/>
          <w:szCs w:val="32"/>
          <w:shd w:val="clear" w:color="auto" w:fill="FFFFFF"/>
        </w:rPr>
        <w:t>绩效目标提供基础保障，提高项目支出资金使用</w:t>
      </w:r>
      <w:r>
        <w:rPr>
          <w:rFonts w:hint="eastAsia" w:ascii="仿宋_GB2312" w:hAnsi="宋体" w:eastAsia="仿宋_GB2312" w:cs="仿宋_GB2312"/>
          <w:color w:val="000000"/>
          <w:sz w:val="32"/>
          <w:szCs w:val="32"/>
          <w:shd w:val="clear" w:color="auto" w:fill="FFFFFF"/>
        </w:rPr>
        <w:t>和项目</w:t>
      </w:r>
      <w:r>
        <w:rPr>
          <w:rFonts w:ascii="仿宋_GB2312" w:hAnsi="宋体" w:eastAsia="仿宋_GB2312" w:cs="仿宋_GB2312"/>
          <w:color w:val="000000"/>
          <w:sz w:val="32"/>
          <w:szCs w:val="32"/>
          <w:shd w:val="clear" w:color="auto" w:fill="FFFFFF"/>
        </w:rPr>
        <w:t>精细化管理水平</w:t>
      </w:r>
      <w:r>
        <w:rPr>
          <w:rFonts w:hint="eastAsia" w:ascii="仿宋_GB2312" w:hAnsi="宋体" w:eastAsia="仿宋_GB2312" w:cs="仿宋_GB2312"/>
          <w:color w:val="000000"/>
          <w:sz w:val="32"/>
          <w:szCs w:val="32"/>
          <w:shd w:val="clear" w:color="auto" w:fill="FFFFFF"/>
        </w:rPr>
        <w:t>，</w:t>
      </w:r>
      <w:r>
        <w:rPr>
          <w:rFonts w:ascii="仿宋_GB2312" w:hAnsi="宋体" w:eastAsia="仿宋_GB2312" w:cs="仿宋_GB2312"/>
          <w:color w:val="000000"/>
          <w:sz w:val="32"/>
          <w:szCs w:val="32"/>
          <w:shd w:val="clear" w:color="auto" w:fill="FFFFFF"/>
        </w:rPr>
        <w:t>确保项目实施达到预期效果，发挥最大</w:t>
      </w:r>
      <w:r>
        <w:rPr>
          <w:rFonts w:hint="eastAsia" w:ascii="仿宋_GB2312" w:hAnsi="宋体" w:eastAsia="仿宋_GB2312" w:cs="仿宋_GB2312"/>
          <w:color w:val="000000"/>
          <w:sz w:val="32"/>
          <w:szCs w:val="32"/>
          <w:shd w:val="clear" w:color="auto" w:fill="FFFFFF"/>
        </w:rPr>
        <w:t>社会</w:t>
      </w:r>
      <w:r>
        <w:rPr>
          <w:rFonts w:ascii="仿宋_GB2312" w:hAnsi="宋体" w:eastAsia="仿宋_GB2312" w:cs="仿宋_GB2312"/>
          <w:color w:val="000000"/>
          <w:sz w:val="32"/>
          <w:szCs w:val="32"/>
          <w:shd w:val="clear" w:color="auto" w:fill="FFFFFF"/>
        </w:rPr>
        <w:t>效益。</w:t>
      </w:r>
    </w:p>
    <w:p>
      <w:pPr>
        <w:autoSpaceDE w:val="0"/>
        <w:adjustRightInd w:val="0"/>
        <w:snapToGrid w:val="0"/>
        <w:spacing w:line="576" w:lineRule="exact"/>
        <w:ind w:firstLine="616" w:firstLineChars="200"/>
        <w:rPr>
          <w:rFonts w:ascii="Arial" w:hAnsi="Arial" w:eastAsia="仿宋_GB2312" w:cs="Arial"/>
          <w:sz w:val="32"/>
          <w:szCs w:val="32"/>
        </w:rPr>
      </w:pPr>
      <w:r>
        <w:rPr>
          <w:rFonts w:hint="eastAsia" w:ascii="仿宋_GB2312" w:hAnsi="宋体" w:eastAsia="仿宋_GB2312"/>
          <w:color w:val="000000"/>
          <w:spacing w:val="-6"/>
          <w:kern w:val="0"/>
          <w:sz w:val="32"/>
          <w:szCs w:val="32"/>
        </w:rPr>
        <w:t xml:space="preserve">   </w:t>
      </w:r>
    </w:p>
    <w:p>
      <w:pPr>
        <w:autoSpaceDE w:val="0"/>
        <w:adjustRightInd w:val="0"/>
        <w:snapToGrid w:val="0"/>
        <w:spacing w:line="576" w:lineRule="exact"/>
        <w:ind w:firstLine="4160" w:firstLineChars="1300"/>
        <w:rPr>
          <w:rFonts w:ascii="Arial" w:hAnsi="Arial" w:eastAsia="仿宋_GB2312" w:cs="Arial"/>
          <w:sz w:val="32"/>
          <w:szCs w:val="32"/>
        </w:rPr>
      </w:pPr>
      <w:r>
        <w:rPr>
          <w:rFonts w:hint="eastAsia" w:ascii="Arial" w:hAnsi="Arial" w:eastAsia="仿宋_GB2312" w:cs="Arial"/>
          <w:sz w:val="32"/>
          <w:szCs w:val="32"/>
        </w:rPr>
        <w:t>广元市朝天区交通运输局</w:t>
      </w:r>
    </w:p>
    <w:p>
      <w:pPr>
        <w:autoSpaceDE w:val="0"/>
        <w:adjustRightInd w:val="0"/>
        <w:snapToGrid w:val="0"/>
        <w:spacing w:line="576" w:lineRule="exact"/>
        <w:ind w:firstLine="4800" w:firstLineChars="1500"/>
        <w:rPr>
          <w:rFonts w:ascii="仿宋_GB2312" w:eastAsia="仿宋_GB2312"/>
          <w:sz w:val="32"/>
          <w:szCs w:val="32"/>
        </w:rPr>
      </w:pPr>
      <w:r>
        <w:rPr>
          <w:rFonts w:hint="eastAsia" w:ascii="仿宋_GB2312" w:eastAsia="仿宋_GB2312"/>
          <w:sz w:val="32"/>
          <w:szCs w:val="32"/>
        </w:rPr>
        <w:t>2023年5月25日</w:t>
      </w:r>
    </w:p>
    <w:p>
      <w:pPr>
        <w:pStyle w:val="2"/>
        <w:spacing w:before="72"/>
      </w:pPr>
    </w:p>
    <w:p>
      <w:pPr>
        <w:autoSpaceDE w:val="0"/>
        <w:adjustRightInd w:val="0"/>
        <w:snapToGrid w:val="0"/>
        <w:spacing w:line="576" w:lineRule="exact"/>
        <w:ind w:firstLine="859" w:firstLineChars="200"/>
        <w:jc w:val="center"/>
        <w:rPr>
          <w:rFonts w:ascii="方正大标宋简体" w:hAnsi="??" w:eastAsia="方正大标宋简体"/>
          <w:b/>
          <w:color w:val="000000"/>
          <w:spacing w:val="-6"/>
          <w:kern w:val="0"/>
          <w:sz w:val="44"/>
          <w:szCs w:val="44"/>
        </w:rPr>
      </w:pPr>
      <w:r>
        <w:rPr>
          <w:rFonts w:hint="eastAsia" w:ascii="方正大标宋简体" w:hAnsi="??" w:eastAsia="方正大标宋简体"/>
          <w:b/>
          <w:color w:val="000000"/>
          <w:spacing w:val="-6"/>
          <w:kern w:val="0"/>
          <w:sz w:val="44"/>
          <w:szCs w:val="44"/>
        </w:rPr>
        <w:t>2022年部门预算项目支出绩效自评报告</w:t>
      </w:r>
    </w:p>
    <w:p>
      <w:pPr>
        <w:autoSpaceDE w:val="0"/>
        <w:adjustRightInd w:val="0"/>
        <w:snapToGrid w:val="0"/>
        <w:spacing w:line="576" w:lineRule="exact"/>
        <w:ind w:firstLine="616" w:firstLineChars="200"/>
        <w:jc w:val="center"/>
        <w:rPr>
          <w:rFonts w:ascii="宋体"/>
          <w:spacing w:val="-6"/>
          <w:szCs w:val="21"/>
        </w:rPr>
      </w:pPr>
      <w:r>
        <w:rPr>
          <w:rFonts w:hint="eastAsia" w:ascii="仿宋_GB2312" w:hAnsi="宋体" w:eastAsia="仿宋_GB2312"/>
          <w:spacing w:val="-6"/>
          <w:sz w:val="32"/>
          <w:szCs w:val="32"/>
        </w:rPr>
        <w:t>（交通运输执法队伍建设）</w:t>
      </w:r>
    </w:p>
    <w:p>
      <w:pPr>
        <w:autoSpaceDE w:val="0"/>
        <w:adjustRightInd w:val="0"/>
        <w:snapToGrid w:val="0"/>
        <w:spacing w:line="576" w:lineRule="exact"/>
        <w:ind w:firstLine="616" w:firstLineChars="200"/>
        <w:rPr>
          <w:rFonts w:ascii="黑体" w:hAnsi="黑体" w:eastAsia="黑体"/>
          <w:spacing w:val="-6"/>
          <w:sz w:val="32"/>
          <w:szCs w:val="32"/>
        </w:rPr>
      </w:pPr>
      <w:r>
        <w:rPr>
          <w:rFonts w:hint="eastAsia" w:ascii="黑体" w:hAnsi="黑体" w:eastAsia="黑体"/>
          <w:spacing w:val="-6"/>
          <w:sz w:val="32"/>
          <w:szCs w:val="32"/>
        </w:rPr>
        <w:t>一、项目概况</w:t>
      </w:r>
    </w:p>
    <w:p>
      <w:pPr>
        <w:autoSpaceDE w:val="0"/>
        <w:adjustRightInd w:val="0"/>
        <w:snapToGrid w:val="0"/>
        <w:spacing w:line="576" w:lineRule="exact"/>
        <w:ind w:firstLine="618" w:firstLineChars="200"/>
        <w:rPr>
          <w:rFonts w:ascii="楷体_GB2312" w:eastAsia="楷体_GB2312"/>
          <w:b/>
          <w:spacing w:val="-6"/>
          <w:sz w:val="32"/>
          <w:szCs w:val="32"/>
        </w:rPr>
      </w:pPr>
      <w:r>
        <w:rPr>
          <w:rFonts w:hint="eastAsia" w:ascii="楷体_GB2312" w:eastAsia="楷体_GB2312"/>
          <w:b/>
          <w:spacing w:val="-6"/>
          <w:sz w:val="32"/>
          <w:szCs w:val="32"/>
        </w:rPr>
        <w:t>（一）项目资金申报及批复情况。</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hAnsi="宋体" w:eastAsia="仿宋_GB2312"/>
          <w:spacing w:val="-6"/>
          <w:sz w:val="32"/>
          <w:szCs w:val="32"/>
        </w:rPr>
        <w:t>交通运输执法队伍建设工作经费</w:t>
      </w:r>
      <w:r>
        <w:rPr>
          <w:rFonts w:hint="eastAsia" w:ascii="仿宋_GB2312" w:eastAsia="仿宋_GB2312"/>
          <w:spacing w:val="-6"/>
          <w:sz w:val="32"/>
          <w:szCs w:val="32"/>
        </w:rPr>
        <w:t>纳入2022年年初预算，该项目为延续项目，资金申报使用过程不涉及预算调整，符合资金管理办法等规定。</w:t>
      </w:r>
    </w:p>
    <w:p>
      <w:pPr>
        <w:numPr>
          <w:ilvl w:val="0"/>
          <w:numId w:val="8"/>
        </w:numPr>
        <w:autoSpaceDE w:val="0"/>
        <w:adjustRightInd w:val="0"/>
        <w:snapToGrid w:val="0"/>
        <w:spacing w:line="576" w:lineRule="exact"/>
        <w:ind w:left="1360" w:hanging="720"/>
        <w:rPr>
          <w:rFonts w:ascii="楷体_GB2312" w:eastAsia="楷体_GB2312"/>
          <w:b/>
          <w:spacing w:val="-6"/>
          <w:sz w:val="32"/>
          <w:szCs w:val="32"/>
        </w:rPr>
      </w:pPr>
      <w:r>
        <w:rPr>
          <w:rFonts w:hint="eastAsia" w:ascii="楷体_GB2312" w:eastAsia="楷体_GB2312"/>
          <w:b/>
          <w:spacing w:val="-6"/>
          <w:sz w:val="32"/>
          <w:szCs w:val="32"/>
        </w:rPr>
        <w:t>项目绩效目标。</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hAnsi="宋体" w:eastAsia="仿宋_GB2312"/>
          <w:spacing w:val="-6"/>
          <w:sz w:val="32"/>
          <w:szCs w:val="32"/>
        </w:rPr>
        <w:t>交通运输执法队伍建设工作经费</w:t>
      </w:r>
      <w:r>
        <w:rPr>
          <w:rFonts w:hint="eastAsia" w:ascii="仿宋_GB2312" w:eastAsia="仿宋_GB2312"/>
          <w:spacing w:val="-6"/>
          <w:sz w:val="32"/>
          <w:szCs w:val="32"/>
        </w:rPr>
        <w:t>主要用于：一是购买执法人员执法制式服装；二是执法记录仪；三是执法移动终端；四是便携式打印机；五是便携称重仪。</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hAnsi="宋体" w:eastAsia="仿宋_GB2312"/>
          <w:spacing w:val="-6"/>
          <w:sz w:val="32"/>
          <w:szCs w:val="32"/>
        </w:rPr>
        <w:t>交通运输执法队伍建设工作经费</w:t>
      </w:r>
      <w:r>
        <w:rPr>
          <w:rFonts w:hint="eastAsia" w:ascii="仿宋_GB2312" w:eastAsia="仿宋_GB2312"/>
          <w:spacing w:val="-6"/>
          <w:sz w:val="32"/>
          <w:szCs w:val="32"/>
        </w:rPr>
        <w:t>项目申报内容与具体实施内容相符、申报目标合理可行。</w:t>
      </w:r>
    </w:p>
    <w:p>
      <w:pPr>
        <w:autoSpaceDE w:val="0"/>
        <w:adjustRightInd w:val="0"/>
        <w:snapToGrid w:val="0"/>
        <w:spacing w:line="540" w:lineRule="exact"/>
        <w:ind w:firstLine="720"/>
        <w:rPr>
          <w:rFonts w:ascii="楷体_GB2312" w:hAnsi="宋体" w:eastAsia="楷体_GB2312"/>
          <w:b/>
          <w:w w:val="99"/>
          <w:sz w:val="32"/>
          <w:szCs w:val="32"/>
        </w:rPr>
      </w:pPr>
      <w:r>
        <w:rPr>
          <w:rFonts w:hint="eastAsia" w:ascii="楷体_GB2312" w:hAnsi="宋体" w:eastAsia="楷体_GB2312"/>
          <w:b/>
          <w:w w:val="99"/>
          <w:sz w:val="32"/>
          <w:szCs w:val="32"/>
        </w:rPr>
        <w:t>（三）项目自评步骤及方法。</w:t>
      </w:r>
    </w:p>
    <w:p>
      <w:pPr>
        <w:autoSpaceDE w:val="0"/>
        <w:adjustRightInd w:val="0"/>
        <w:snapToGrid w:val="0"/>
        <w:spacing w:line="540" w:lineRule="exact"/>
        <w:ind w:firstLine="720"/>
      </w:pPr>
      <w:r>
        <w:rPr>
          <w:rFonts w:hint="eastAsia" w:ascii="仿宋_GB2312" w:hAnsi="宋体" w:eastAsia="仿宋_GB2312"/>
          <w:w w:val="99"/>
          <w:sz w:val="32"/>
          <w:szCs w:val="32"/>
        </w:rPr>
        <w:t>成立由主要领导为组长，具体负责项目的业务股室负责人及财务负责人为副组长的项目绩效工作领导小组，通过运用目标比较法、成本效益法、历史比较法等方法，每季度对项目的运行情况进行分析研讨，保障项目实施的科学性。</w:t>
      </w:r>
    </w:p>
    <w:p>
      <w:pPr>
        <w:autoSpaceDE w:val="0"/>
        <w:adjustRightInd w:val="0"/>
        <w:snapToGrid w:val="0"/>
        <w:spacing w:line="576" w:lineRule="exact"/>
        <w:ind w:firstLine="616" w:firstLineChars="200"/>
        <w:rPr>
          <w:rFonts w:ascii="黑体" w:hAnsi="黑体" w:eastAsia="黑体"/>
          <w:spacing w:val="-6"/>
          <w:sz w:val="32"/>
          <w:szCs w:val="32"/>
        </w:rPr>
      </w:pPr>
      <w:r>
        <w:rPr>
          <w:rFonts w:hint="eastAsia" w:ascii="黑体" w:hAnsi="黑体" w:eastAsia="黑体"/>
          <w:spacing w:val="-6"/>
          <w:sz w:val="32"/>
          <w:szCs w:val="32"/>
        </w:rPr>
        <w:t>二、项目实施及管理情况</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（一）资金计划、到位及使用情况</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1.资金计划及到位。该项目各类资金计划及截止评价时点实际到位</w:t>
      </w:r>
      <w:r>
        <w:rPr>
          <w:rFonts w:hint="eastAsia" w:ascii="仿宋_GB2312" w:eastAsia="仿宋_GB2312"/>
          <w:color w:val="0000FF"/>
          <w:spacing w:val="-6"/>
          <w:sz w:val="32"/>
          <w:szCs w:val="32"/>
        </w:rPr>
        <w:t>18</w:t>
      </w:r>
      <w:r>
        <w:rPr>
          <w:rFonts w:hint="eastAsia" w:ascii="仿宋_GB2312" w:eastAsia="仿宋_GB2312"/>
          <w:spacing w:val="-6"/>
          <w:sz w:val="32"/>
          <w:szCs w:val="32"/>
        </w:rPr>
        <w:t>万元，均为本级政府财政资金。资金到位率100%，资金计划落实到位，但在拨付的过程中因为财政计划审核延后等问题，导致资金拨付不够及时。</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2.资金使用</w:t>
      </w:r>
      <w:r>
        <w:rPr>
          <w:rFonts w:hint="eastAsia" w:ascii="仿宋_GB2312" w:eastAsia="仿宋_GB2312"/>
          <w:b/>
          <w:bCs/>
          <w:spacing w:val="-6"/>
          <w:sz w:val="32"/>
          <w:szCs w:val="32"/>
        </w:rPr>
        <w:t>。</w:t>
      </w:r>
      <w:r>
        <w:rPr>
          <w:rFonts w:hint="eastAsia" w:ascii="仿宋_GB2312" w:eastAsia="仿宋_GB2312"/>
          <w:spacing w:val="-6"/>
          <w:sz w:val="32"/>
          <w:szCs w:val="32"/>
        </w:rPr>
        <w:t>截止评价时点项目资金的实际支出为</w:t>
      </w:r>
      <w:r>
        <w:rPr>
          <w:rFonts w:hint="eastAsia" w:ascii="仿宋_GB2312" w:eastAsia="仿宋_GB2312"/>
          <w:color w:val="0000FF"/>
          <w:spacing w:val="-6"/>
          <w:sz w:val="32"/>
          <w:szCs w:val="32"/>
        </w:rPr>
        <w:t>18</w:t>
      </w:r>
      <w:r>
        <w:rPr>
          <w:rFonts w:hint="eastAsia" w:ascii="仿宋_GB2312" w:eastAsia="仿宋_GB2312"/>
          <w:spacing w:val="-6"/>
          <w:sz w:val="32"/>
          <w:szCs w:val="32"/>
        </w:rPr>
        <w:t>万元，资金开支范围、标准均按照预算计划执行，支付依据合规合法。</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（二）项目财务管理情况</w:t>
      </w:r>
    </w:p>
    <w:p>
      <w:pPr>
        <w:autoSpaceDE w:val="0"/>
        <w:adjustRightInd w:val="0"/>
        <w:snapToGrid w:val="0"/>
        <w:spacing w:line="576" w:lineRule="exact"/>
        <w:ind w:firstLine="616" w:firstLineChars="200"/>
        <w:rPr>
          <w:rFonts w:ascii="仿宋_GB2312" w:hAnsi="仿宋_GB2312" w:eastAsia="仿宋_GB2312" w:cs="仿宋_GB2312"/>
          <w:bCs/>
          <w:spacing w:val="-6"/>
          <w:sz w:val="32"/>
          <w:szCs w:val="32"/>
        </w:rPr>
      </w:pPr>
      <w:r>
        <w:rPr>
          <w:rFonts w:hint="eastAsia" w:ascii="仿宋_GB2312" w:hAnsi="仿宋_GB2312" w:eastAsia="仿宋_GB2312" w:cs="仿宋_GB2312"/>
          <w:bCs/>
          <w:spacing w:val="-6"/>
          <w:sz w:val="32"/>
          <w:szCs w:val="32"/>
        </w:rPr>
        <w:t>我</w:t>
      </w:r>
      <w:r>
        <w:rPr>
          <w:rFonts w:hint="eastAsia" w:ascii="仿宋_GB2312" w:hAnsi="仿宋_GB2312" w:eastAsia="仿宋_GB2312" w:cs="仿宋_GB2312"/>
          <w:bCs/>
          <w:spacing w:val="-6"/>
          <w:sz w:val="32"/>
          <w:szCs w:val="32"/>
          <w:lang w:eastAsia="zh-CN"/>
        </w:rPr>
        <w:t>部门</w:t>
      </w:r>
      <w:r>
        <w:rPr>
          <w:rFonts w:hint="eastAsia" w:ascii="仿宋_GB2312" w:hAnsi="仿宋_GB2312" w:eastAsia="仿宋_GB2312" w:cs="仿宋_GB2312"/>
          <w:bCs/>
          <w:spacing w:val="-6"/>
          <w:sz w:val="32"/>
          <w:szCs w:val="32"/>
        </w:rPr>
        <w:t>按照财政部门的相关要求编制部门预算、执行部门预算，及时制定并完善了《财务管理制度（暂行）办法》《项目管理制度》等相关财务制度，确定了财务审核机构、明确了会计核算及账务处理等相关要求。该项目对照项目和资金管理办法，严格执行财务管理制度、财务处理及时、会计核算规范。</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（三）项目组织实施情况</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用于购买执法人员执法制式服装15套、执法记录仪8个、执法移动终端15个；便携称重仪2套</w:t>
      </w:r>
    </w:p>
    <w:p>
      <w:pPr>
        <w:autoSpaceDE w:val="0"/>
        <w:adjustRightInd w:val="0"/>
        <w:snapToGrid w:val="0"/>
        <w:spacing w:line="576" w:lineRule="exact"/>
        <w:ind w:firstLine="616" w:firstLineChars="200"/>
        <w:rPr>
          <w:rFonts w:ascii="黑体" w:hAnsi="黑体" w:eastAsia="黑体"/>
          <w:spacing w:val="-6"/>
          <w:sz w:val="32"/>
          <w:szCs w:val="32"/>
        </w:rPr>
      </w:pPr>
      <w:r>
        <w:rPr>
          <w:rFonts w:hint="eastAsia" w:ascii="黑体" w:hAnsi="黑体" w:eastAsia="黑体"/>
          <w:spacing w:val="-6"/>
          <w:sz w:val="32"/>
          <w:szCs w:val="32"/>
        </w:rPr>
        <w:t>三、项目绩效情况</w:t>
      </w:r>
      <w:r>
        <w:rPr>
          <w:rFonts w:hint="eastAsia" w:ascii="黑体" w:hAnsi="黑体" w:eastAsia="黑体"/>
          <w:spacing w:val="-6"/>
          <w:sz w:val="32"/>
          <w:szCs w:val="32"/>
        </w:rPr>
        <w:tab/>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（一）项目完成情况</w:t>
      </w:r>
    </w:p>
    <w:p>
      <w:pPr>
        <w:autoSpaceDE w:val="0"/>
        <w:adjustRightInd w:val="0"/>
        <w:snapToGrid w:val="0"/>
        <w:spacing w:line="576" w:lineRule="exact"/>
        <w:ind w:firstLine="640" w:firstLineChars="200"/>
        <w:rPr>
          <w:rFonts w:ascii="仿宋" w:hAnsi="仿宋" w:eastAsia="仿宋" w:cs="仿宋"/>
          <w:color w:val="000000"/>
          <w:sz w:val="32"/>
          <w:szCs w:val="32"/>
          <w:shd w:val="clear" w:color="auto" w:fill="FFFFFF"/>
        </w:rPr>
      </w:pPr>
      <w:r>
        <w:rPr>
          <w:rFonts w:hint="eastAsia" w:ascii="仿宋" w:hAnsi="仿宋" w:eastAsia="仿宋" w:cs="仿宋"/>
          <w:color w:val="000000"/>
          <w:sz w:val="32"/>
          <w:szCs w:val="32"/>
          <w:shd w:val="clear" w:color="auto" w:fill="FFFFFF"/>
        </w:rPr>
        <w:t>严格落实财政部、司法部《综合行政执法制式服装和标志管理办法》（财行〔2020〕299号）、省交通运输厅《关于做好四川省交通运输行政执法综合管理信息系统配套执法装备工作的通知》（川交法函〔2021〕170号）等相关要求，配备执法装备。</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（二）项目效益情况</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社会效益：塑造良好胡执法形象</w:t>
      </w:r>
      <w:r>
        <w:rPr>
          <w:rFonts w:hint="eastAsia" w:ascii="仿宋" w:hAnsi="仿宋" w:eastAsia="仿宋" w:cs="仿宋"/>
          <w:color w:val="000000"/>
          <w:sz w:val="32"/>
          <w:szCs w:val="32"/>
          <w:shd w:val="clear" w:color="auto" w:fill="FFFFFF"/>
        </w:rPr>
        <w:t>。</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可持续效益：安全生产持续稳定。</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服务对象满意度：当地百姓满意度高于95%</w:t>
      </w:r>
      <w:r>
        <w:rPr>
          <w:rFonts w:hint="eastAsia" w:ascii="仿宋_GB2312" w:eastAsia="仿宋_GB2312"/>
          <w:spacing w:val="-6"/>
          <w:sz w:val="32"/>
          <w:szCs w:val="32"/>
        </w:rPr>
        <w:tab/>
      </w:r>
      <w:r>
        <w:rPr>
          <w:rFonts w:hint="eastAsia" w:ascii="仿宋_GB2312" w:eastAsia="仿宋_GB2312"/>
          <w:spacing w:val="-6"/>
          <w:sz w:val="32"/>
          <w:szCs w:val="32"/>
        </w:rPr>
        <w:t>。</w:t>
      </w:r>
      <w:r>
        <w:rPr>
          <w:rFonts w:hint="eastAsia" w:ascii="仿宋_GB2312" w:eastAsia="仿宋_GB2312"/>
          <w:spacing w:val="-6"/>
          <w:sz w:val="32"/>
          <w:szCs w:val="32"/>
        </w:rPr>
        <w:tab/>
      </w:r>
      <w:r>
        <w:rPr>
          <w:rFonts w:hint="eastAsia" w:ascii="仿宋_GB2312" w:eastAsia="仿宋_GB2312"/>
          <w:spacing w:val="-6"/>
          <w:sz w:val="32"/>
          <w:szCs w:val="32"/>
        </w:rPr>
        <w:tab/>
      </w:r>
    </w:p>
    <w:p>
      <w:pPr>
        <w:autoSpaceDE w:val="0"/>
        <w:adjustRightInd w:val="0"/>
        <w:snapToGrid w:val="0"/>
        <w:spacing w:line="576" w:lineRule="exact"/>
        <w:ind w:firstLine="616" w:firstLineChars="200"/>
        <w:rPr>
          <w:rFonts w:ascii="黑体" w:hAnsi="黑体" w:eastAsia="黑体"/>
          <w:spacing w:val="-6"/>
          <w:sz w:val="32"/>
          <w:szCs w:val="32"/>
        </w:rPr>
      </w:pPr>
      <w:r>
        <w:rPr>
          <w:rFonts w:hint="eastAsia" w:ascii="黑体" w:hAnsi="黑体" w:eastAsia="黑体"/>
          <w:spacing w:val="-6"/>
          <w:sz w:val="32"/>
          <w:szCs w:val="32"/>
        </w:rPr>
        <w:t>四、问题及建议</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（一）存在的问题</w:t>
      </w:r>
    </w:p>
    <w:p>
      <w:pPr>
        <w:widowControl/>
        <w:shd w:val="clear" w:color="auto" w:fill="FFFFFF"/>
        <w:spacing w:line="560" w:lineRule="exact"/>
        <w:ind w:firstLine="640" w:firstLineChars="200"/>
        <w:jc w:val="left"/>
        <w:rPr>
          <w:rFonts w:ascii="仿宋_GB2312" w:eastAsia="仿宋_GB2312"/>
          <w:color w:val="000000"/>
          <w:kern w:val="0"/>
          <w:sz w:val="32"/>
          <w:szCs w:val="32"/>
        </w:rPr>
      </w:pPr>
      <w:r>
        <w:rPr>
          <w:rFonts w:hint="eastAsia" w:ascii="仿宋_GB2312" w:eastAsia="仿宋_GB2312"/>
          <w:color w:val="000000"/>
          <w:kern w:val="0"/>
          <w:sz w:val="32"/>
          <w:szCs w:val="32"/>
        </w:rPr>
        <w:t>绩效目标设立不够明确、细化和量化。目标设定后没有科学的设定考核评价标准，特别是对于不能量化的目标。</w:t>
      </w:r>
    </w:p>
    <w:p>
      <w:pPr>
        <w:widowControl/>
        <w:shd w:val="clear" w:color="auto" w:fill="FFFFFF"/>
        <w:spacing w:line="560" w:lineRule="exact"/>
        <w:ind w:firstLine="640" w:firstLineChars="200"/>
        <w:jc w:val="left"/>
        <w:rPr>
          <w:rFonts w:ascii="仿宋_GB2312" w:eastAsia="仿宋_GB2312"/>
          <w:color w:val="000000"/>
          <w:kern w:val="0"/>
          <w:sz w:val="32"/>
          <w:szCs w:val="32"/>
        </w:rPr>
      </w:pPr>
      <w:r>
        <w:rPr>
          <w:rFonts w:hint="eastAsia" w:ascii="仿宋_GB2312" w:eastAsia="仿宋_GB2312"/>
          <w:color w:val="000000"/>
          <w:kern w:val="0"/>
          <w:sz w:val="32"/>
          <w:szCs w:val="32"/>
        </w:rPr>
        <w:t>预算执行工作有待提高。主要是财政审核资金不及时，导致资金支付缓慢，目前仍有欠账。</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（二）相关建议</w:t>
      </w:r>
    </w:p>
    <w:p>
      <w:pPr>
        <w:pStyle w:val="15"/>
        <w:adjustRightInd w:val="0"/>
        <w:snapToGrid w:val="0"/>
        <w:spacing w:line="576" w:lineRule="exact"/>
        <w:ind w:left="0" w:leftChars="0" w:firstLine="640"/>
        <w:rPr>
          <w:rFonts w:ascii="仿宋_GB2312" w:hAnsi="仿宋_GB2312" w:eastAsia="仿宋_GB2312" w:cs="仿宋_GB2312"/>
          <w:color w:val="222222"/>
          <w:sz w:val="32"/>
          <w:szCs w:val="32"/>
          <w:shd w:val="clear" w:color="auto" w:fill="FFFFFF"/>
        </w:rPr>
      </w:pPr>
      <w:r>
        <w:rPr>
          <w:rFonts w:hint="eastAsia" w:ascii="仿宋_GB2312" w:hAnsi="仿宋_GB2312" w:eastAsia="仿宋_GB2312" w:cs="仿宋_GB2312"/>
          <w:color w:val="222222"/>
          <w:sz w:val="32"/>
          <w:szCs w:val="32"/>
          <w:shd w:val="clear" w:color="auto" w:fill="FFFFFF"/>
        </w:rPr>
        <w:t>科学合理制定绩效目标，充分发挥绩效工作效用。加强业务培训，提高评价水平，部门整体绩效评价工作是一项长期性的工作，专业性较强，工作量大，进一步加强业务领导及经办人员相关的政策，业务工作培训学习。</w:t>
      </w:r>
    </w:p>
    <w:p>
      <w:pPr>
        <w:pStyle w:val="15"/>
        <w:adjustRightInd w:val="0"/>
        <w:snapToGrid w:val="0"/>
        <w:spacing w:line="576" w:lineRule="exact"/>
        <w:ind w:left="0" w:leftChars="0" w:firstLine="640"/>
        <w:rPr>
          <w:rFonts w:ascii="仿宋_GB2312" w:hAnsi="仿宋_GB2312" w:eastAsia="仿宋_GB2312" w:cs="仿宋_GB2312"/>
          <w:color w:val="222222"/>
          <w:sz w:val="28"/>
          <w:szCs w:val="28"/>
          <w:shd w:val="clear" w:color="auto" w:fill="FFFFFF"/>
        </w:rPr>
      </w:pPr>
      <w:r>
        <w:rPr>
          <w:rFonts w:ascii="仿宋_GB2312" w:hAnsi="宋体" w:eastAsia="仿宋_GB2312" w:cs="仿宋_GB2312"/>
          <w:color w:val="000000"/>
          <w:sz w:val="32"/>
          <w:szCs w:val="32"/>
          <w:shd w:val="clear" w:color="auto" w:fill="FFFFFF"/>
        </w:rPr>
        <w:t>加强预算管理，确保项目的科学性。强化预算执行，为</w:t>
      </w:r>
      <w:r>
        <w:rPr>
          <w:rFonts w:hint="eastAsia" w:ascii="仿宋_GB2312" w:hAnsi="宋体" w:eastAsia="仿宋_GB2312" w:cs="仿宋_GB2312"/>
          <w:color w:val="000000"/>
          <w:sz w:val="32"/>
          <w:szCs w:val="32"/>
          <w:shd w:val="clear" w:color="auto" w:fill="FFFFFF"/>
        </w:rPr>
        <w:t>项目完成</w:t>
      </w:r>
      <w:r>
        <w:rPr>
          <w:rFonts w:ascii="仿宋_GB2312" w:hAnsi="宋体" w:eastAsia="仿宋_GB2312" w:cs="仿宋_GB2312"/>
          <w:color w:val="000000"/>
          <w:sz w:val="32"/>
          <w:szCs w:val="32"/>
          <w:shd w:val="clear" w:color="auto" w:fill="FFFFFF"/>
        </w:rPr>
        <w:t>绩效目标提供基础保障，提高项目支出资金使用</w:t>
      </w:r>
      <w:r>
        <w:rPr>
          <w:rFonts w:hint="eastAsia" w:ascii="仿宋_GB2312" w:hAnsi="宋体" w:eastAsia="仿宋_GB2312" w:cs="仿宋_GB2312"/>
          <w:color w:val="000000"/>
          <w:sz w:val="32"/>
          <w:szCs w:val="32"/>
          <w:shd w:val="clear" w:color="auto" w:fill="FFFFFF"/>
        </w:rPr>
        <w:t>和项目</w:t>
      </w:r>
      <w:r>
        <w:rPr>
          <w:rFonts w:ascii="仿宋_GB2312" w:hAnsi="宋体" w:eastAsia="仿宋_GB2312" w:cs="仿宋_GB2312"/>
          <w:color w:val="000000"/>
          <w:sz w:val="32"/>
          <w:szCs w:val="32"/>
          <w:shd w:val="clear" w:color="auto" w:fill="FFFFFF"/>
        </w:rPr>
        <w:t>精细化管理水平</w:t>
      </w:r>
      <w:r>
        <w:rPr>
          <w:rFonts w:hint="eastAsia" w:ascii="仿宋_GB2312" w:hAnsi="宋体" w:eastAsia="仿宋_GB2312" w:cs="仿宋_GB2312"/>
          <w:color w:val="000000"/>
          <w:sz w:val="32"/>
          <w:szCs w:val="32"/>
          <w:shd w:val="clear" w:color="auto" w:fill="FFFFFF"/>
        </w:rPr>
        <w:t>，</w:t>
      </w:r>
      <w:r>
        <w:rPr>
          <w:rFonts w:ascii="仿宋_GB2312" w:hAnsi="宋体" w:eastAsia="仿宋_GB2312" w:cs="仿宋_GB2312"/>
          <w:color w:val="000000"/>
          <w:sz w:val="32"/>
          <w:szCs w:val="32"/>
          <w:shd w:val="clear" w:color="auto" w:fill="FFFFFF"/>
        </w:rPr>
        <w:t>确保项目实施达到预期效果，发挥最大</w:t>
      </w:r>
      <w:r>
        <w:rPr>
          <w:rFonts w:hint="eastAsia" w:ascii="仿宋_GB2312" w:hAnsi="宋体" w:eastAsia="仿宋_GB2312" w:cs="仿宋_GB2312"/>
          <w:color w:val="000000"/>
          <w:sz w:val="32"/>
          <w:szCs w:val="32"/>
          <w:shd w:val="clear" w:color="auto" w:fill="FFFFFF"/>
        </w:rPr>
        <w:t>社会</w:t>
      </w:r>
      <w:r>
        <w:rPr>
          <w:rFonts w:ascii="仿宋_GB2312" w:hAnsi="宋体" w:eastAsia="仿宋_GB2312" w:cs="仿宋_GB2312"/>
          <w:color w:val="000000"/>
          <w:sz w:val="32"/>
          <w:szCs w:val="32"/>
          <w:shd w:val="clear" w:color="auto" w:fill="FFFFFF"/>
        </w:rPr>
        <w:t>效益。</w:t>
      </w:r>
    </w:p>
    <w:p>
      <w:pPr>
        <w:autoSpaceDE w:val="0"/>
        <w:adjustRightInd w:val="0"/>
        <w:snapToGrid w:val="0"/>
        <w:spacing w:line="576" w:lineRule="exact"/>
        <w:ind w:firstLine="616" w:firstLineChars="200"/>
        <w:rPr>
          <w:rFonts w:ascii="Arial" w:hAnsi="Arial" w:eastAsia="仿宋_GB2312" w:cs="Arial"/>
          <w:sz w:val="32"/>
          <w:szCs w:val="32"/>
        </w:rPr>
      </w:pPr>
      <w:r>
        <w:rPr>
          <w:rFonts w:hint="eastAsia" w:ascii="仿宋_GB2312" w:hAnsi="宋体" w:eastAsia="仿宋_GB2312"/>
          <w:color w:val="000000"/>
          <w:spacing w:val="-6"/>
          <w:kern w:val="0"/>
          <w:sz w:val="32"/>
          <w:szCs w:val="32"/>
        </w:rPr>
        <w:t xml:space="preserve">    </w:t>
      </w:r>
    </w:p>
    <w:p>
      <w:pPr>
        <w:autoSpaceDE w:val="0"/>
        <w:adjustRightInd w:val="0"/>
        <w:snapToGrid w:val="0"/>
        <w:spacing w:line="576" w:lineRule="exact"/>
        <w:ind w:firstLine="4160" w:firstLineChars="1300"/>
        <w:rPr>
          <w:rFonts w:ascii="Arial" w:hAnsi="Arial" w:eastAsia="仿宋_GB2312" w:cs="Arial"/>
          <w:sz w:val="32"/>
          <w:szCs w:val="32"/>
        </w:rPr>
      </w:pPr>
      <w:r>
        <w:rPr>
          <w:rFonts w:hint="eastAsia" w:ascii="Arial" w:hAnsi="Arial" w:eastAsia="仿宋_GB2312" w:cs="Arial"/>
          <w:sz w:val="32"/>
          <w:szCs w:val="32"/>
        </w:rPr>
        <w:t>广元市朝天区交通运输局</w:t>
      </w:r>
    </w:p>
    <w:p>
      <w:pPr>
        <w:autoSpaceDE w:val="0"/>
        <w:adjustRightInd w:val="0"/>
        <w:snapToGrid w:val="0"/>
        <w:spacing w:line="576" w:lineRule="exact"/>
        <w:ind w:firstLine="4800" w:firstLineChars="1500"/>
        <w:rPr>
          <w:rFonts w:ascii="仿宋_GB2312" w:eastAsia="仿宋_GB2312"/>
          <w:sz w:val="32"/>
          <w:szCs w:val="32"/>
        </w:rPr>
        <w:sectPr>
          <w:headerReference r:id="rId5" w:type="first"/>
          <w:footerReference r:id="rId8" w:type="first"/>
          <w:headerReference r:id="rId3" w:type="default"/>
          <w:footerReference r:id="rId6" w:type="default"/>
          <w:headerReference r:id="rId4" w:type="even"/>
          <w:footerReference r:id="rId7" w:type="even"/>
          <w:pgSz w:w="12240" w:h="15840"/>
          <w:pgMar w:top="1440" w:right="1800" w:bottom="1440" w:left="1800" w:header="720" w:footer="720" w:gutter="0"/>
          <w:cols w:space="720" w:num="1"/>
        </w:sectPr>
      </w:pPr>
      <w:r>
        <w:rPr>
          <w:rFonts w:hint="eastAsia" w:ascii="仿宋_GB2312" w:eastAsia="仿宋_GB2312"/>
          <w:sz w:val="32"/>
          <w:szCs w:val="32"/>
        </w:rPr>
        <w:t>2023年5月25日</w:t>
      </w:r>
    </w:p>
    <w:p>
      <w:pPr>
        <w:autoSpaceDE w:val="0"/>
        <w:adjustRightInd w:val="0"/>
        <w:snapToGrid w:val="0"/>
        <w:spacing w:line="576" w:lineRule="exact"/>
        <w:ind w:firstLine="859" w:firstLineChars="200"/>
        <w:jc w:val="center"/>
        <w:rPr>
          <w:rFonts w:ascii="方正大标宋简体" w:hAnsi="??" w:eastAsia="方正大标宋简体"/>
          <w:b/>
          <w:color w:val="000000"/>
          <w:spacing w:val="-6"/>
          <w:kern w:val="0"/>
          <w:sz w:val="44"/>
          <w:szCs w:val="44"/>
        </w:rPr>
      </w:pPr>
      <w:r>
        <w:rPr>
          <w:rFonts w:hint="eastAsia" w:ascii="方正大标宋简体" w:hAnsi="??" w:eastAsia="方正大标宋简体"/>
          <w:b/>
          <w:color w:val="000000"/>
          <w:spacing w:val="-6"/>
          <w:kern w:val="0"/>
          <w:sz w:val="44"/>
          <w:szCs w:val="44"/>
        </w:rPr>
        <w:t>2022年部门预算项目支出绩效自评报告</w:t>
      </w:r>
    </w:p>
    <w:p>
      <w:pPr>
        <w:autoSpaceDE w:val="0"/>
        <w:adjustRightInd w:val="0"/>
        <w:snapToGrid w:val="0"/>
        <w:spacing w:line="576" w:lineRule="exact"/>
        <w:ind w:firstLine="616" w:firstLineChars="200"/>
        <w:jc w:val="center"/>
        <w:rPr>
          <w:rFonts w:ascii="宋体"/>
          <w:spacing w:val="-6"/>
          <w:szCs w:val="21"/>
        </w:rPr>
      </w:pPr>
      <w:r>
        <w:rPr>
          <w:rFonts w:hint="eastAsia" w:ascii="仿宋_GB2312" w:hAnsi="宋体" w:eastAsia="仿宋_GB2312"/>
          <w:spacing w:val="-6"/>
          <w:sz w:val="32"/>
          <w:szCs w:val="32"/>
        </w:rPr>
        <w:t>（公路安保设备维修经费）</w:t>
      </w:r>
    </w:p>
    <w:p>
      <w:pPr>
        <w:autoSpaceDE w:val="0"/>
        <w:adjustRightInd w:val="0"/>
        <w:snapToGrid w:val="0"/>
        <w:spacing w:line="576" w:lineRule="exact"/>
        <w:ind w:firstLine="616" w:firstLineChars="200"/>
        <w:rPr>
          <w:rFonts w:ascii="黑体" w:hAnsi="黑体" w:eastAsia="黑体"/>
          <w:spacing w:val="-6"/>
          <w:sz w:val="32"/>
          <w:szCs w:val="32"/>
        </w:rPr>
      </w:pPr>
      <w:r>
        <w:rPr>
          <w:rFonts w:hint="eastAsia" w:ascii="黑体" w:hAnsi="黑体" w:eastAsia="黑体"/>
          <w:spacing w:val="-6"/>
          <w:sz w:val="32"/>
          <w:szCs w:val="32"/>
        </w:rPr>
        <w:t>一、项目概况</w:t>
      </w:r>
    </w:p>
    <w:p>
      <w:pPr>
        <w:autoSpaceDE w:val="0"/>
        <w:adjustRightInd w:val="0"/>
        <w:snapToGrid w:val="0"/>
        <w:spacing w:line="576" w:lineRule="exact"/>
        <w:ind w:firstLine="618" w:firstLineChars="200"/>
        <w:rPr>
          <w:rFonts w:ascii="楷体_GB2312" w:eastAsia="楷体_GB2312"/>
          <w:b/>
          <w:spacing w:val="-6"/>
          <w:sz w:val="32"/>
          <w:szCs w:val="32"/>
        </w:rPr>
      </w:pPr>
      <w:r>
        <w:rPr>
          <w:rFonts w:hint="eastAsia" w:ascii="楷体_GB2312" w:eastAsia="楷体_GB2312"/>
          <w:b/>
          <w:spacing w:val="-6"/>
          <w:sz w:val="32"/>
          <w:szCs w:val="32"/>
        </w:rPr>
        <w:t>（一）项目资金申报及批复情况。</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hAnsi="宋体" w:eastAsia="仿宋_GB2312"/>
          <w:spacing w:val="-6"/>
          <w:sz w:val="32"/>
          <w:szCs w:val="32"/>
        </w:rPr>
        <w:t>公路安保设备维修经费</w:t>
      </w:r>
      <w:r>
        <w:rPr>
          <w:rFonts w:hint="eastAsia" w:ascii="仿宋_GB2312" w:eastAsia="仿宋_GB2312"/>
          <w:spacing w:val="-6"/>
          <w:sz w:val="32"/>
          <w:szCs w:val="32"/>
        </w:rPr>
        <w:t>纳入2022年年初预算，该项目为延续项目，资金申报使用过程不涉及预算调整，符合资金管理办法等规定。</w:t>
      </w:r>
    </w:p>
    <w:p>
      <w:pPr>
        <w:numPr>
          <w:ilvl w:val="0"/>
          <w:numId w:val="9"/>
        </w:numPr>
        <w:autoSpaceDE w:val="0"/>
        <w:adjustRightInd w:val="0"/>
        <w:snapToGrid w:val="0"/>
        <w:spacing w:line="576" w:lineRule="exact"/>
        <w:ind w:left="1360" w:hanging="720"/>
        <w:rPr>
          <w:rFonts w:ascii="楷体_GB2312" w:eastAsia="楷体_GB2312"/>
          <w:b/>
          <w:spacing w:val="-6"/>
          <w:sz w:val="32"/>
          <w:szCs w:val="32"/>
        </w:rPr>
      </w:pPr>
      <w:r>
        <w:rPr>
          <w:rFonts w:hint="eastAsia" w:ascii="楷体_GB2312" w:eastAsia="楷体_GB2312"/>
          <w:b/>
          <w:spacing w:val="-6"/>
          <w:sz w:val="32"/>
          <w:szCs w:val="32"/>
        </w:rPr>
        <w:t>项目绩效目标。</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hAnsi="宋体" w:eastAsia="仿宋_GB2312"/>
          <w:spacing w:val="-6"/>
          <w:sz w:val="32"/>
          <w:szCs w:val="32"/>
        </w:rPr>
        <w:t>公路安保设备维修经费</w:t>
      </w:r>
      <w:r>
        <w:rPr>
          <w:rFonts w:hint="eastAsia" w:ascii="仿宋_GB2312" w:eastAsia="仿宋_GB2312"/>
          <w:spacing w:val="-6"/>
          <w:sz w:val="32"/>
          <w:szCs w:val="32"/>
        </w:rPr>
        <w:t>主要用于：公路安防设施维修的人工及材料费用。</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hAnsi="宋体" w:eastAsia="仿宋_GB2312"/>
          <w:spacing w:val="-6"/>
          <w:sz w:val="32"/>
          <w:szCs w:val="32"/>
        </w:rPr>
        <w:t>公路安保设备维修经费</w:t>
      </w:r>
      <w:r>
        <w:rPr>
          <w:rFonts w:hint="eastAsia" w:ascii="仿宋_GB2312" w:eastAsia="仿宋_GB2312"/>
          <w:spacing w:val="-6"/>
          <w:sz w:val="32"/>
          <w:szCs w:val="32"/>
        </w:rPr>
        <w:t>项目申报内容与具体实施内容相符、申报目标合理可行。</w:t>
      </w:r>
    </w:p>
    <w:p>
      <w:pPr>
        <w:autoSpaceDE w:val="0"/>
        <w:adjustRightInd w:val="0"/>
        <w:snapToGrid w:val="0"/>
        <w:spacing w:line="540" w:lineRule="exact"/>
        <w:ind w:firstLine="720"/>
        <w:rPr>
          <w:rFonts w:ascii="楷体_GB2312" w:hAnsi="宋体" w:eastAsia="楷体_GB2312"/>
          <w:b/>
          <w:w w:val="99"/>
          <w:sz w:val="32"/>
          <w:szCs w:val="32"/>
        </w:rPr>
      </w:pPr>
      <w:r>
        <w:rPr>
          <w:rFonts w:hint="eastAsia" w:ascii="楷体_GB2312" w:hAnsi="宋体" w:eastAsia="楷体_GB2312"/>
          <w:b/>
          <w:w w:val="99"/>
          <w:sz w:val="32"/>
          <w:szCs w:val="32"/>
        </w:rPr>
        <w:t>（三）项目自评步骤及方法。</w:t>
      </w:r>
    </w:p>
    <w:p>
      <w:pPr>
        <w:autoSpaceDE w:val="0"/>
        <w:adjustRightInd w:val="0"/>
        <w:snapToGrid w:val="0"/>
        <w:spacing w:line="540" w:lineRule="exact"/>
        <w:ind w:firstLine="720"/>
      </w:pPr>
      <w:r>
        <w:rPr>
          <w:rFonts w:hint="eastAsia" w:ascii="仿宋_GB2312" w:hAnsi="宋体" w:eastAsia="仿宋_GB2312"/>
          <w:w w:val="99"/>
          <w:sz w:val="32"/>
          <w:szCs w:val="32"/>
        </w:rPr>
        <w:t>成立由主要领导为组长，具体负责项目的业务股室负责人及财务负责人为副组长的项目绩效工作领导小组，通过运用目标比较法、成本效益法、历史比较法等方法，每季度对项目的运行情况进行分析研讨，保障项目实施的科学性。</w:t>
      </w:r>
    </w:p>
    <w:p>
      <w:pPr>
        <w:autoSpaceDE w:val="0"/>
        <w:adjustRightInd w:val="0"/>
        <w:snapToGrid w:val="0"/>
        <w:spacing w:line="576" w:lineRule="exact"/>
        <w:ind w:firstLine="616" w:firstLineChars="200"/>
        <w:rPr>
          <w:rFonts w:ascii="黑体" w:hAnsi="黑体" w:eastAsia="黑体"/>
          <w:spacing w:val="-6"/>
          <w:sz w:val="32"/>
          <w:szCs w:val="32"/>
        </w:rPr>
      </w:pPr>
      <w:r>
        <w:rPr>
          <w:rFonts w:hint="eastAsia" w:ascii="黑体" w:hAnsi="黑体" w:eastAsia="黑体"/>
          <w:spacing w:val="-6"/>
          <w:sz w:val="32"/>
          <w:szCs w:val="32"/>
        </w:rPr>
        <w:t>二、项目实施及管理情况</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（一）资金计划、到位及使用情况</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1.资金计划及到位。该项目各类资金计划及截止评价时点实际到位4万元，均为本级政府财政资金。资金到位率100%，资金计划落实到位，但在拨付的过程中因为财政计划审核延后等问题，导致资金拨付不够及时。</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2.资金使用</w:t>
      </w:r>
      <w:r>
        <w:rPr>
          <w:rFonts w:hint="eastAsia" w:ascii="仿宋_GB2312" w:eastAsia="仿宋_GB2312"/>
          <w:b/>
          <w:bCs/>
          <w:spacing w:val="-6"/>
          <w:sz w:val="32"/>
          <w:szCs w:val="32"/>
        </w:rPr>
        <w:t>。</w:t>
      </w:r>
      <w:r>
        <w:rPr>
          <w:rFonts w:hint="eastAsia" w:ascii="仿宋_GB2312" w:eastAsia="仿宋_GB2312"/>
          <w:spacing w:val="-6"/>
          <w:sz w:val="32"/>
          <w:szCs w:val="32"/>
        </w:rPr>
        <w:t>截止评价时点项目资金的实际支出为4万元，资金开支范围、标准均按照预算计划执行，支付依据合规合法。</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（二）项目财务管理情况</w:t>
      </w:r>
    </w:p>
    <w:p>
      <w:pPr>
        <w:autoSpaceDE w:val="0"/>
        <w:adjustRightInd w:val="0"/>
        <w:snapToGrid w:val="0"/>
        <w:spacing w:line="576" w:lineRule="exact"/>
        <w:ind w:firstLine="616" w:firstLineChars="200"/>
        <w:rPr>
          <w:rFonts w:ascii="仿宋_GB2312" w:hAnsi="仿宋_GB2312" w:eastAsia="仿宋_GB2312" w:cs="仿宋_GB2312"/>
          <w:bCs/>
          <w:spacing w:val="-6"/>
          <w:sz w:val="32"/>
          <w:szCs w:val="32"/>
        </w:rPr>
      </w:pPr>
      <w:r>
        <w:rPr>
          <w:rFonts w:hint="eastAsia" w:ascii="仿宋_GB2312" w:hAnsi="仿宋_GB2312" w:eastAsia="仿宋_GB2312" w:cs="仿宋_GB2312"/>
          <w:bCs/>
          <w:spacing w:val="-6"/>
          <w:sz w:val="32"/>
          <w:szCs w:val="32"/>
        </w:rPr>
        <w:t>我</w:t>
      </w:r>
      <w:r>
        <w:rPr>
          <w:rFonts w:hint="eastAsia" w:ascii="仿宋_GB2312" w:hAnsi="仿宋_GB2312" w:eastAsia="仿宋_GB2312" w:cs="仿宋_GB2312"/>
          <w:bCs/>
          <w:spacing w:val="-6"/>
          <w:sz w:val="32"/>
          <w:szCs w:val="32"/>
          <w:lang w:eastAsia="zh-CN"/>
        </w:rPr>
        <w:t>部门</w:t>
      </w:r>
      <w:r>
        <w:rPr>
          <w:rFonts w:hint="eastAsia" w:ascii="仿宋_GB2312" w:hAnsi="仿宋_GB2312" w:eastAsia="仿宋_GB2312" w:cs="仿宋_GB2312"/>
          <w:bCs/>
          <w:spacing w:val="-6"/>
          <w:sz w:val="32"/>
          <w:szCs w:val="32"/>
        </w:rPr>
        <w:t>按照财政部门的相关要求编制部门预算、执行部门预算，及时制定并完善了《财务管理制度（暂行）办法》《项目管理制度》等相关财务制度，确定了财务审核机构、明确了会计核算及账务处理等相关要求。该项目对照项目和资金管理办法，严格执行财务管理制度、财务处理及时、会计核算规范。</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（三）项目组织实施情况</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由区交通执法大队的执法人员在开展道路巡查过程中，发现损毁的公路安防设施，报请主要领导审批后，在15个工作日内组织维修</w:t>
      </w:r>
      <w:r>
        <w:rPr>
          <w:rFonts w:hint="eastAsia" w:ascii="仿宋_GB2312" w:eastAsia="仿宋_GB2312"/>
          <w:spacing w:val="-6"/>
          <w:sz w:val="32"/>
          <w:szCs w:val="32"/>
          <w:lang w:eastAsia="zh-CN"/>
        </w:rPr>
        <w:t>部门</w:t>
      </w:r>
      <w:r>
        <w:rPr>
          <w:rFonts w:hint="eastAsia" w:ascii="仿宋_GB2312" w:eastAsia="仿宋_GB2312"/>
          <w:spacing w:val="-6"/>
          <w:sz w:val="32"/>
          <w:szCs w:val="32"/>
        </w:rPr>
        <w:t>进行维修，按照公路安防设施的验收标准，及时对维修的公路安防设施进行验收。</w:t>
      </w:r>
    </w:p>
    <w:p>
      <w:pPr>
        <w:autoSpaceDE w:val="0"/>
        <w:adjustRightInd w:val="0"/>
        <w:snapToGrid w:val="0"/>
        <w:spacing w:line="576" w:lineRule="exact"/>
        <w:ind w:firstLine="616" w:firstLineChars="200"/>
        <w:rPr>
          <w:rFonts w:ascii="黑体" w:hAnsi="黑体" w:eastAsia="黑体"/>
          <w:spacing w:val="-6"/>
          <w:sz w:val="32"/>
          <w:szCs w:val="32"/>
        </w:rPr>
      </w:pPr>
      <w:r>
        <w:rPr>
          <w:rFonts w:hint="eastAsia" w:ascii="黑体" w:hAnsi="黑体" w:eastAsia="黑体"/>
          <w:spacing w:val="-6"/>
          <w:sz w:val="32"/>
          <w:szCs w:val="32"/>
        </w:rPr>
        <w:t>三、项目绩效情况</w:t>
      </w:r>
      <w:r>
        <w:rPr>
          <w:rFonts w:hint="eastAsia" w:ascii="黑体" w:hAnsi="黑体" w:eastAsia="黑体"/>
          <w:spacing w:val="-6"/>
          <w:sz w:val="32"/>
          <w:szCs w:val="32"/>
        </w:rPr>
        <w:tab/>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（一）项目完成情况</w:t>
      </w:r>
    </w:p>
    <w:p>
      <w:pPr>
        <w:autoSpaceDE w:val="0"/>
        <w:adjustRightInd w:val="0"/>
        <w:snapToGrid w:val="0"/>
        <w:spacing w:line="576" w:lineRule="exact"/>
        <w:ind w:firstLine="640" w:firstLineChars="200"/>
        <w:rPr>
          <w:rFonts w:ascii="仿宋" w:hAnsi="仿宋" w:eastAsia="仿宋" w:cs="仿宋"/>
          <w:color w:val="000000"/>
          <w:sz w:val="32"/>
          <w:szCs w:val="32"/>
          <w:shd w:val="clear" w:color="auto" w:fill="FFFFFF"/>
        </w:rPr>
      </w:pPr>
      <w:r>
        <w:rPr>
          <w:rFonts w:hint="eastAsia" w:ascii="仿宋" w:hAnsi="仿宋" w:eastAsia="仿宋" w:cs="仿宋"/>
          <w:color w:val="000000"/>
          <w:sz w:val="32"/>
          <w:szCs w:val="32"/>
          <w:shd w:val="clear" w:color="auto" w:fill="FFFFFF"/>
        </w:rPr>
        <w:t>全年共排查道路安全隐患54处，及时维修并验收合格安全隐患54处，有效维护了道路交通安全秩序。</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（二）项目效益情况</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经济效益：提供就业岗位，增加就业收入。</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社会效益：维护交通秩序，减少安全事故发生。</w:t>
      </w:r>
    </w:p>
    <w:p>
      <w:pPr>
        <w:autoSpaceDE w:val="0"/>
        <w:adjustRightInd w:val="0"/>
        <w:snapToGrid w:val="0"/>
        <w:spacing w:line="576" w:lineRule="exact"/>
        <w:ind w:firstLine="616" w:firstLineChars="200"/>
        <w:rPr>
          <w:rFonts w:ascii="仿宋_GB2312" w:eastAsia="仿宋_GB2312"/>
          <w:spacing w:val="-6"/>
          <w:sz w:val="32"/>
          <w:szCs w:val="32"/>
        </w:rPr>
      </w:pP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可持续效益：由于该项目的实施有效保障当地交通安全运输的工作，所以该项目实施有持续需求。</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服务对象满意度：当地百姓满意度高于95%</w:t>
      </w:r>
      <w:r>
        <w:rPr>
          <w:rFonts w:hint="eastAsia" w:ascii="仿宋_GB2312" w:eastAsia="仿宋_GB2312"/>
          <w:spacing w:val="-6"/>
          <w:sz w:val="32"/>
          <w:szCs w:val="32"/>
        </w:rPr>
        <w:tab/>
      </w:r>
      <w:r>
        <w:rPr>
          <w:rFonts w:hint="eastAsia" w:ascii="仿宋_GB2312" w:eastAsia="仿宋_GB2312"/>
          <w:spacing w:val="-6"/>
          <w:sz w:val="32"/>
          <w:szCs w:val="32"/>
        </w:rPr>
        <w:t>。</w:t>
      </w:r>
      <w:r>
        <w:rPr>
          <w:rFonts w:hint="eastAsia" w:ascii="仿宋_GB2312" w:eastAsia="仿宋_GB2312"/>
          <w:spacing w:val="-6"/>
          <w:sz w:val="32"/>
          <w:szCs w:val="32"/>
        </w:rPr>
        <w:tab/>
      </w:r>
      <w:r>
        <w:rPr>
          <w:rFonts w:hint="eastAsia" w:ascii="仿宋_GB2312" w:eastAsia="仿宋_GB2312"/>
          <w:spacing w:val="-6"/>
          <w:sz w:val="32"/>
          <w:szCs w:val="32"/>
        </w:rPr>
        <w:tab/>
      </w:r>
    </w:p>
    <w:p>
      <w:pPr>
        <w:autoSpaceDE w:val="0"/>
        <w:adjustRightInd w:val="0"/>
        <w:snapToGrid w:val="0"/>
        <w:spacing w:line="576" w:lineRule="exact"/>
        <w:ind w:firstLine="616" w:firstLineChars="200"/>
        <w:rPr>
          <w:rFonts w:ascii="黑体" w:hAnsi="黑体" w:eastAsia="黑体"/>
          <w:spacing w:val="-6"/>
          <w:sz w:val="32"/>
          <w:szCs w:val="32"/>
        </w:rPr>
      </w:pPr>
      <w:r>
        <w:rPr>
          <w:rFonts w:hint="eastAsia" w:ascii="黑体" w:hAnsi="黑体" w:eastAsia="黑体"/>
          <w:spacing w:val="-6"/>
          <w:sz w:val="32"/>
          <w:szCs w:val="32"/>
        </w:rPr>
        <w:t>四、问题及建议</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（一）存在的问题</w:t>
      </w:r>
    </w:p>
    <w:p>
      <w:pPr>
        <w:widowControl/>
        <w:shd w:val="clear" w:color="auto" w:fill="FFFFFF"/>
        <w:spacing w:line="560" w:lineRule="exact"/>
        <w:ind w:firstLine="640" w:firstLineChars="200"/>
        <w:jc w:val="left"/>
        <w:rPr>
          <w:rFonts w:ascii="仿宋_GB2312" w:eastAsia="仿宋_GB2312"/>
          <w:color w:val="000000"/>
          <w:kern w:val="0"/>
          <w:sz w:val="32"/>
          <w:szCs w:val="32"/>
        </w:rPr>
      </w:pPr>
      <w:r>
        <w:rPr>
          <w:rFonts w:hint="eastAsia" w:ascii="仿宋_GB2312" w:eastAsia="仿宋_GB2312"/>
          <w:color w:val="000000"/>
          <w:kern w:val="0"/>
          <w:sz w:val="32"/>
          <w:szCs w:val="32"/>
        </w:rPr>
        <w:t>绩效目标设立不够明确、细化和量化。目标设定后没有科学的设定考核评价标准，特别是对于不能量化的目标。</w:t>
      </w:r>
    </w:p>
    <w:p>
      <w:pPr>
        <w:widowControl/>
        <w:shd w:val="clear" w:color="auto" w:fill="FFFFFF"/>
        <w:spacing w:line="560" w:lineRule="exact"/>
        <w:ind w:firstLine="640" w:firstLineChars="200"/>
        <w:jc w:val="left"/>
        <w:rPr>
          <w:rFonts w:ascii="仿宋_GB2312" w:eastAsia="仿宋_GB2312"/>
          <w:color w:val="000000"/>
          <w:kern w:val="0"/>
          <w:sz w:val="32"/>
          <w:szCs w:val="32"/>
        </w:rPr>
      </w:pPr>
      <w:r>
        <w:rPr>
          <w:rFonts w:hint="eastAsia" w:ascii="仿宋_GB2312" w:eastAsia="仿宋_GB2312"/>
          <w:color w:val="000000"/>
          <w:kern w:val="0"/>
          <w:sz w:val="32"/>
          <w:szCs w:val="32"/>
        </w:rPr>
        <w:t>预算执行工作有待提高。主要是部分项目推进缓慢，原因是项目实施条件不具备，项目经费计划在年末支付，未拨付项目费用，导致项目进度迟缓。</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（二）相关建议</w:t>
      </w:r>
    </w:p>
    <w:p>
      <w:pPr>
        <w:pStyle w:val="15"/>
        <w:adjustRightInd w:val="0"/>
        <w:snapToGrid w:val="0"/>
        <w:spacing w:line="576" w:lineRule="exact"/>
        <w:ind w:left="0" w:leftChars="0" w:firstLine="640"/>
        <w:rPr>
          <w:rFonts w:ascii="仿宋_GB2312" w:hAnsi="仿宋_GB2312" w:eastAsia="仿宋_GB2312" w:cs="仿宋_GB2312"/>
          <w:color w:val="222222"/>
          <w:sz w:val="32"/>
          <w:szCs w:val="32"/>
          <w:shd w:val="clear" w:color="auto" w:fill="FFFFFF"/>
        </w:rPr>
      </w:pPr>
      <w:r>
        <w:rPr>
          <w:rFonts w:hint="eastAsia" w:ascii="仿宋_GB2312" w:hAnsi="仿宋_GB2312" w:eastAsia="仿宋_GB2312" w:cs="仿宋_GB2312"/>
          <w:color w:val="222222"/>
          <w:sz w:val="32"/>
          <w:szCs w:val="32"/>
          <w:shd w:val="clear" w:color="auto" w:fill="FFFFFF"/>
        </w:rPr>
        <w:t>科学合理制定绩效目标，充分发挥绩效工作效用。加强业务培训，提高评价水平，部门整体绩效评价工作是一项长期性的工作，专业性较强，工作量大，进一步加强业务领导及经办人员相关的政策，业务工作培训学习。</w:t>
      </w:r>
    </w:p>
    <w:p>
      <w:pPr>
        <w:pStyle w:val="15"/>
        <w:adjustRightInd w:val="0"/>
        <w:snapToGrid w:val="0"/>
        <w:spacing w:line="576" w:lineRule="exact"/>
        <w:ind w:left="0" w:leftChars="0" w:firstLine="640"/>
        <w:rPr>
          <w:rFonts w:ascii="仿宋_GB2312" w:hAnsi="仿宋_GB2312" w:eastAsia="仿宋_GB2312" w:cs="仿宋_GB2312"/>
          <w:color w:val="222222"/>
          <w:sz w:val="28"/>
          <w:szCs w:val="28"/>
          <w:shd w:val="clear" w:color="auto" w:fill="FFFFFF"/>
        </w:rPr>
      </w:pPr>
      <w:r>
        <w:rPr>
          <w:rFonts w:ascii="仿宋_GB2312" w:hAnsi="宋体" w:eastAsia="仿宋_GB2312" w:cs="仿宋_GB2312"/>
          <w:color w:val="000000"/>
          <w:sz w:val="32"/>
          <w:szCs w:val="32"/>
          <w:shd w:val="clear" w:color="auto" w:fill="FFFFFF"/>
        </w:rPr>
        <w:t>加强预算管理，确保项目的科学性。强化预算执行，为</w:t>
      </w:r>
      <w:r>
        <w:rPr>
          <w:rFonts w:hint="eastAsia" w:ascii="仿宋_GB2312" w:hAnsi="宋体" w:eastAsia="仿宋_GB2312" w:cs="仿宋_GB2312"/>
          <w:color w:val="000000"/>
          <w:sz w:val="32"/>
          <w:szCs w:val="32"/>
          <w:shd w:val="clear" w:color="auto" w:fill="FFFFFF"/>
        </w:rPr>
        <w:t>项目完成</w:t>
      </w:r>
      <w:r>
        <w:rPr>
          <w:rFonts w:ascii="仿宋_GB2312" w:hAnsi="宋体" w:eastAsia="仿宋_GB2312" w:cs="仿宋_GB2312"/>
          <w:color w:val="000000"/>
          <w:sz w:val="32"/>
          <w:szCs w:val="32"/>
          <w:shd w:val="clear" w:color="auto" w:fill="FFFFFF"/>
        </w:rPr>
        <w:t>绩效目标提供基础保障，提高项目支出资金使用</w:t>
      </w:r>
      <w:r>
        <w:rPr>
          <w:rFonts w:hint="eastAsia" w:ascii="仿宋_GB2312" w:hAnsi="宋体" w:eastAsia="仿宋_GB2312" w:cs="仿宋_GB2312"/>
          <w:color w:val="000000"/>
          <w:sz w:val="32"/>
          <w:szCs w:val="32"/>
          <w:shd w:val="clear" w:color="auto" w:fill="FFFFFF"/>
        </w:rPr>
        <w:t>和项目</w:t>
      </w:r>
      <w:r>
        <w:rPr>
          <w:rFonts w:ascii="仿宋_GB2312" w:hAnsi="宋体" w:eastAsia="仿宋_GB2312" w:cs="仿宋_GB2312"/>
          <w:color w:val="000000"/>
          <w:sz w:val="32"/>
          <w:szCs w:val="32"/>
          <w:shd w:val="clear" w:color="auto" w:fill="FFFFFF"/>
        </w:rPr>
        <w:t>精细化管理水平</w:t>
      </w:r>
      <w:r>
        <w:rPr>
          <w:rFonts w:hint="eastAsia" w:ascii="仿宋_GB2312" w:hAnsi="宋体" w:eastAsia="仿宋_GB2312" w:cs="仿宋_GB2312"/>
          <w:color w:val="000000"/>
          <w:sz w:val="32"/>
          <w:szCs w:val="32"/>
          <w:shd w:val="clear" w:color="auto" w:fill="FFFFFF"/>
        </w:rPr>
        <w:t>，</w:t>
      </w:r>
      <w:r>
        <w:rPr>
          <w:rFonts w:ascii="仿宋_GB2312" w:hAnsi="宋体" w:eastAsia="仿宋_GB2312" w:cs="仿宋_GB2312"/>
          <w:color w:val="000000"/>
          <w:sz w:val="32"/>
          <w:szCs w:val="32"/>
          <w:shd w:val="clear" w:color="auto" w:fill="FFFFFF"/>
        </w:rPr>
        <w:t>确保项目实施达到预期效果，发挥最大</w:t>
      </w:r>
      <w:r>
        <w:rPr>
          <w:rFonts w:hint="eastAsia" w:ascii="仿宋_GB2312" w:hAnsi="宋体" w:eastAsia="仿宋_GB2312" w:cs="仿宋_GB2312"/>
          <w:color w:val="000000"/>
          <w:sz w:val="32"/>
          <w:szCs w:val="32"/>
          <w:shd w:val="clear" w:color="auto" w:fill="FFFFFF"/>
        </w:rPr>
        <w:t>社会</w:t>
      </w:r>
      <w:r>
        <w:rPr>
          <w:rFonts w:ascii="仿宋_GB2312" w:hAnsi="宋体" w:eastAsia="仿宋_GB2312" w:cs="仿宋_GB2312"/>
          <w:color w:val="000000"/>
          <w:sz w:val="32"/>
          <w:szCs w:val="32"/>
          <w:shd w:val="clear" w:color="auto" w:fill="FFFFFF"/>
        </w:rPr>
        <w:t>效益。</w:t>
      </w:r>
    </w:p>
    <w:p>
      <w:pPr>
        <w:autoSpaceDE w:val="0"/>
        <w:adjustRightInd w:val="0"/>
        <w:snapToGrid w:val="0"/>
        <w:spacing w:line="576" w:lineRule="exact"/>
        <w:ind w:firstLine="616" w:firstLineChars="200"/>
        <w:rPr>
          <w:rFonts w:ascii="Arial" w:hAnsi="Arial" w:eastAsia="仿宋_GB2312" w:cs="Arial"/>
          <w:sz w:val="32"/>
          <w:szCs w:val="32"/>
        </w:rPr>
      </w:pPr>
      <w:r>
        <w:rPr>
          <w:rFonts w:hint="eastAsia" w:ascii="仿宋_GB2312" w:hAnsi="宋体" w:eastAsia="仿宋_GB2312"/>
          <w:color w:val="000000"/>
          <w:spacing w:val="-6"/>
          <w:kern w:val="0"/>
          <w:sz w:val="32"/>
          <w:szCs w:val="32"/>
        </w:rPr>
        <w:t xml:space="preserve">   </w:t>
      </w:r>
    </w:p>
    <w:p>
      <w:pPr>
        <w:autoSpaceDE w:val="0"/>
        <w:adjustRightInd w:val="0"/>
        <w:snapToGrid w:val="0"/>
        <w:spacing w:line="576" w:lineRule="exact"/>
        <w:ind w:firstLine="4160" w:firstLineChars="1300"/>
        <w:rPr>
          <w:rFonts w:ascii="Arial" w:hAnsi="Arial" w:eastAsia="仿宋_GB2312" w:cs="Arial"/>
          <w:sz w:val="32"/>
          <w:szCs w:val="32"/>
        </w:rPr>
      </w:pPr>
      <w:r>
        <w:rPr>
          <w:rFonts w:hint="eastAsia" w:ascii="Arial" w:hAnsi="Arial" w:eastAsia="仿宋_GB2312" w:cs="Arial"/>
          <w:sz w:val="32"/>
          <w:szCs w:val="32"/>
        </w:rPr>
        <w:t>广元市朝天区交通运输局</w:t>
      </w:r>
    </w:p>
    <w:p>
      <w:pPr>
        <w:autoSpaceDE w:val="0"/>
        <w:adjustRightInd w:val="0"/>
        <w:snapToGrid w:val="0"/>
        <w:spacing w:line="576" w:lineRule="exact"/>
        <w:ind w:firstLine="4800" w:firstLineChars="1500"/>
        <w:rPr>
          <w:rFonts w:ascii="仿宋_GB2312" w:eastAsia="仿宋_GB2312"/>
          <w:sz w:val="32"/>
          <w:szCs w:val="32"/>
        </w:rPr>
        <w:sectPr>
          <w:pgSz w:w="12240" w:h="15840"/>
          <w:pgMar w:top="1440" w:right="1800" w:bottom="1440" w:left="1800" w:header="720" w:footer="720" w:gutter="0"/>
          <w:cols w:space="720" w:num="1"/>
        </w:sectPr>
      </w:pPr>
      <w:r>
        <w:rPr>
          <w:rFonts w:hint="eastAsia" w:ascii="仿宋_GB2312" w:eastAsia="仿宋_GB2312"/>
          <w:sz w:val="32"/>
          <w:szCs w:val="32"/>
        </w:rPr>
        <w:t>2023年5月25日</w:t>
      </w:r>
    </w:p>
    <w:p>
      <w:pPr>
        <w:autoSpaceDE w:val="0"/>
        <w:adjustRightInd w:val="0"/>
        <w:snapToGrid w:val="0"/>
        <w:spacing w:line="576" w:lineRule="exact"/>
        <w:ind w:firstLine="859" w:firstLineChars="200"/>
        <w:jc w:val="center"/>
        <w:rPr>
          <w:rFonts w:ascii="方正大标宋简体" w:hAnsi="??" w:eastAsia="方正大标宋简体"/>
          <w:b/>
          <w:color w:val="000000"/>
          <w:spacing w:val="-6"/>
          <w:kern w:val="0"/>
          <w:sz w:val="44"/>
          <w:szCs w:val="44"/>
        </w:rPr>
      </w:pPr>
      <w:r>
        <w:rPr>
          <w:rFonts w:hint="eastAsia" w:ascii="方正大标宋简体" w:hAnsi="??" w:eastAsia="方正大标宋简体"/>
          <w:b/>
          <w:color w:val="000000"/>
          <w:spacing w:val="-6"/>
          <w:kern w:val="0"/>
          <w:sz w:val="44"/>
          <w:szCs w:val="44"/>
        </w:rPr>
        <w:t>2022年部门预算项目支出绩效自评报告</w:t>
      </w:r>
    </w:p>
    <w:p>
      <w:pPr>
        <w:autoSpaceDE w:val="0"/>
        <w:adjustRightInd w:val="0"/>
        <w:snapToGrid w:val="0"/>
        <w:spacing w:line="576" w:lineRule="exact"/>
        <w:ind w:firstLine="616" w:firstLineChars="200"/>
        <w:jc w:val="center"/>
        <w:rPr>
          <w:rFonts w:ascii="宋体"/>
          <w:spacing w:val="-6"/>
          <w:szCs w:val="21"/>
        </w:rPr>
      </w:pPr>
      <w:r>
        <w:rPr>
          <w:rFonts w:hint="eastAsia" w:ascii="仿宋_GB2312" w:hAnsi="宋体" w:eastAsia="仿宋_GB2312"/>
          <w:spacing w:val="-6"/>
          <w:sz w:val="32"/>
          <w:szCs w:val="32"/>
        </w:rPr>
        <w:t>（国道108线电子抓拍系统）</w:t>
      </w:r>
    </w:p>
    <w:p>
      <w:pPr>
        <w:autoSpaceDE w:val="0"/>
        <w:adjustRightInd w:val="0"/>
        <w:snapToGrid w:val="0"/>
        <w:spacing w:line="576" w:lineRule="exact"/>
        <w:ind w:firstLine="616" w:firstLineChars="200"/>
        <w:rPr>
          <w:rFonts w:ascii="黑体" w:hAnsi="黑体" w:eastAsia="黑体"/>
          <w:spacing w:val="-6"/>
          <w:sz w:val="32"/>
          <w:szCs w:val="32"/>
        </w:rPr>
      </w:pPr>
      <w:r>
        <w:rPr>
          <w:rFonts w:hint="eastAsia" w:ascii="黑体" w:hAnsi="黑体" w:eastAsia="黑体"/>
          <w:spacing w:val="-6"/>
          <w:sz w:val="32"/>
          <w:szCs w:val="32"/>
        </w:rPr>
        <w:t>一、项目概况</w:t>
      </w:r>
    </w:p>
    <w:p>
      <w:pPr>
        <w:autoSpaceDE w:val="0"/>
        <w:adjustRightInd w:val="0"/>
        <w:snapToGrid w:val="0"/>
        <w:spacing w:line="576" w:lineRule="exact"/>
        <w:ind w:firstLine="618" w:firstLineChars="200"/>
        <w:rPr>
          <w:rFonts w:ascii="楷体_GB2312" w:eastAsia="楷体_GB2312"/>
          <w:b/>
          <w:spacing w:val="-6"/>
          <w:sz w:val="32"/>
          <w:szCs w:val="32"/>
        </w:rPr>
      </w:pPr>
      <w:r>
        <w:rPr>
          <w:rFonts w:hint="eastAsia" w:ascii="楷体_GB2312" w:eastAsia="楷体_GB2312"/>
          <w:b/>
          <w:spacing w:val="-6"/>
          <w:sz w:val="32"/>
          <w:szCs w:val="32"/>
        </w:rPr>
        <w:t>（一）项目资金申报及批复情况。</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hAnsi="宋体" w:eastAsia="仿宋_GB2312"/>
          <w:spacing w:val="-6"/>
          <w:sz w:val="32"/>
          <w:szCs w:val="32"/>
        </w:rPr>
        <w:t>国道108线电子抓拍系统安装费用</w:t>
      </w:r>
      <w:r>
        <w:rPr>
          <w:rFonts w:hint="eastAsia" w:ascii="仿宋_GB2312" w:eastAsia="仿宋_GB2312"/>
          <w:spacing w:val="-6"/>
          <w:sz w:val="32"/>
          <w:szCs w:val="32"/>
        </w:rPr>
        <w:t>纳入2022年年初预算，该项目为新建项目，资金申报使用过程不涉及预算调整，符合资金管理办法等规定。</w:t>
      </w:r>
    </w:p>
    <w:p>
      <w:pPr>
        <w:numPr>
          <w:ilvl w:val="0"/>
          <w:numId w:val="10"/>
        </w:numPr>
        <w:autoSpaceDE w:val="0"/>
        <w:adjustRightInd w:val="0"/>
        <w:snapToGrid w:val="0"/>
        <w:spacing w:line="576" w:lineRule="exact"/>
        <w:ind w:left="1360" w:hanging="720"/>
        <w:rPr>
          <w:rFonts w:ascii="楷体_GB2312" w:eastAsia="楷体_GB2312"/>
          <w:b/>
          <w:spacing w:val="-6"/>
          <w:sz w:val="32"/>
          <w:szCs w:val="32"/>
        </w:rPr>
      </w:pPr>
      <w:r>
        <w:rPr>
          <w:rFonts w:hint="eastAsia" w:ascii="楷体_GB2312" w:eastAsia="楷体_GB2312"/>
          <w:b/>
          <w:spacing w:val="-6"/>
          <w:sz w:val="32"/>
          <w:szCs w:val="32"/>
        </w:rPr>
        <w:t>项目绩效目标。</w:t>
      </w:r>
    </w:p>
    <w:p>
      <w:pPr>
        <w:autoSpaceDE w:val="0"/>
        <w:adjustRightInd w:val="0"/>
        <w:snapToGrid w:val="0"/>
        <w:spacing w:line="576" w:lineRule="exact"/>
        <w:ind w:firstLine="640" w:firstLineChars="200"/>
        <w:rPr>
          <w:rFonts w:ascii="仿宋_GB2312" w:hAnsi="宋体" w:eastAsia="仿宋_GB2312"/>
          <w:sz w:val="32"/>
          <w:szCs w:val="32"/>
        </w:rPr>
      </w:pPr>
      <w:r>
        <w:rPr>
          <w:rFonts w:hint="eastAsia" w:ascii="仿宋_GB2312" w:hAnsi="宋体" w:eastAsia="仿宋_GB2312"/>
          <w:sz w:val="32"/>
          <w:szCs w:val="32"/>
        </w:rPr>
        <w:t>为认真落实《国务院办公厅转发交通运输部等部门关于加快道路货运行业转型升级促进高质量发展意见的通知》( 国办发</w:t>
      </w:r>
      <w:r>
        <w:rPr>
          <w:rFonts w:hint="eastAsia" w:ascii="仿宋" w:hAnsi="仿宋" w:eastAsia="仿宋" w:cs="仿宋"/>
          <w:spacing w:val="-11"/>
          <w:sz w:val="32"/>
          <w:szCs w:val="32"/>
        </w:rPr>
        <w:t>〔2019〕</w:t>
      </w:r>
      <w:r>
        <w:rPr>
          <w:rFonts w:hint="eastAsia" w:ascii="仿宋_GB2312" w:hAnsi="宋体" w:eastAsia="仿宋_GB2312"/>
          <w:sz w:val="32"/>
          <w:szCs w:val="32"/>
        </w:rPr>
        <w:t>16号)、《交通运输部办公厅关于加快推进全国治超联网管理信息系统部省平台建设工作的通知》( 交办公路函</w:t>
      </w:r>
      <w:r>
        <w:rPr>
          <w:rFonts w:hint="eastAsia" w:ascii="仿宋" w:hAnsi="仿宋" w:eastAsia="仿宋" w:cs="仿宋"/>
          <w:spacing w:val="-11"/>
          <w:sz w:val="32"/>
          <w:szCs w:val="32"/>
        </w:rPr>
        <w:t>〔2019〕</w:t>
      </w:r>
      <w:r>
        <w:rPr>
          <w:rFonts w:hint="eastAsia" w:ascii="仿宋_GB2312" w:hAnsi="宋体" w:eastAsia="仿宋_GB2312"/>
          <w:sz w:val="32"/>
          <w:szCs w:val="32"/>
        </w:rPr>
        <w:t>1851 号)以及《四川省道路交通安全综合治理委员会关于深化普通公路超限超载综合治理专项行动方案的通知》(川道安委</w:t>
      </w:r>
      <w:r>
        <w:rPr>
          <w:rFonts w:hint="eastAsia" w:ascii="仿宋" w:hAnsi="仿宋" w:eastAsia="仿宋" w:cs="仿宋"/>
          <w:spacing w:val="-11"/>
          <w:sz w:val="32"/>
          <w:szCs w:val="32"/>
        </w:rPr>
        <w:t>〔2020〕</w:t>
      </w:r>
      <w:r>
        <w:rPr>
          <w:rFonts w:hint="eastAsia" w:ascii="仿宋_GB2312" w:hAnsi="宋体" w:eastAsia="仿宋_GB2312"/>
          <w:sz w:val="32"/>
          <w:szCs w:val="32"/>
        </w:rPr>
        <w:t>15号)精神，加强普通公路超限检测站电子抓拍系统建设，切实提升我区超限超载治理水平，有效解决当前“双超”治理中存在的突出问题，根据四川省交通运输厅关于印发《四川省普通公路超限检测站电子抓拍系统规范建设工作方案》的通知实施七盘关超限检测站电子抓拍系统项目。</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hAnsi="宋体" w:eastAsia="仿宋_GB2312"/>
          <w:spacing w:val="-6"/>
          <w:sz w:val="32"/>
          <w:szCs w:val="32"/>
        </w:rPr>
        <w:t>国道108线电子抓拍系统经费</w:t>
      </w:r>
      <w:r>
        <w:rPr>
          <w:rFonts w:hint="eastAsia" w:ascii="仿宋_GB2312" w:eastAsia="仿宋_GB2312"/>
          <w:spacing w:val="-6"/>
          <w:sz w:val="32"/>
          <w:szCs w:val="32"/>
        </w:rPr>
        <w:t>项目申报内容与具体实施内容相符、申报目标合理可行。</w:t>
      </w:r>
    </w:p>
    <w:p>
      <w:pPr>
        <w:autoSpaceDE w:val="0"/>
        <w:adjustRightInd w:val="0"/>
        <w:snapToGrid w:val="0"/>
        <w:spacing w:line="540" w:lineRule="exact"/>
        <w:ind w:firstLine="720"/>
        <w:rPr>
          <w:rFonts w:ascii="楷体_GB2312" w:hAnsi="宋体" w:eastAsia="楷体_GB2312"/>
          <w:b/>
          <w:w w:val="99"/>
          <w:sz w:val="32"/>
          <w:szCs w:val="32"/>
        </w:rPr>
      </w:pPr>
      <w:r>
        <w:rPr>
          <w:rFonts w:hint="eastAsia" w:ascii="楷体_GB2312" w:hAnsi="宋体" w:eastAsia="楷体_GB2312"/>
          <w:b/>
          <w:w w:val="99"/>
          <w:sz w:val="32"/>
          <w:szCs w:val="32"/>
        </w:rPr>
        <w:t>（三）项目自评步骤及方法。</w:t>
      </w:r>
    </w:p>
    <w:p>
      <w:pPr>
        <w:autoSpaceDE w:val="0"/>
        <w:adjustRightInd w:val="0"/>
        <w:snapToGrid w:val="0"/>
        <w:spacing w:line="540" w:lineRule="exact"/>
        <w:ind w:firstLine="720"/>
      </w:pPr>
      <w:r>
        <w:rPr>
          <w:rFonts w:hint="eastAsia" w:ascii="仿宋_GB2312" w:hAnsi="宋体" w:eastAsia="仿宋_GB2312"/>
          <w:w w:val="99"/>
          <w:sz w:val="32"/>
          <w:szCs w:val="32"/>
        </w:rPr>
        <w:t>成立由主要领导为组长，具体负责项目的业务股室负责人及财务负责人为副组长的项目绩效工作领导小组，通过运用目标比较法、成本效益法、历史比较法等方法，每季度对项目的运行情况进行分析研讨，保障项目实施的科学性。</w:t>
      </w:r>
    </w:p>
    <w:p>
      <w:pPr>
        <w:autoSpaceDE w:val="0"/>
        <w:adjustRightInd w:val="0"/>
        <w:snapToGrid w:val="0"/>
        <w:spacing w:line="576" w:lineRule="exact"/>
        <w:ind w:firstLine="616" w:firstLineChars="200"/>
        <w:rPr>
          <w:rFonts w:ascii="黑体" w:hAnsi="黑体" w:eastAsia="黑体"/>
          <w:spacing w:val="-6"/>
          <w:sz w:val="32"/>
          <w:szCs w:val="32"/>
        </w:rPr>
      </w:pPr>
      <w:r>
        <w:rPr>
          <w:rFonts w:hint="eastAsia" w:ascii="黑体" w:hAnsi="黑体" w:eastAsia="黑体"/>
          <w:spacing w:val="-6"/>
          <w:sz w:val="32"/>
          <w:szCs w:val="32"/>
        </w:rPr>
        <w:t>二、项目实施及管理情况</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（一）资金计划、到位及使用情况</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1.资金计划及到位。该项目各类资金计划及截止评价时点实际到位16万元，均为本级政府财政资金。资金到位率100%，资金计划落实到位，但在拨付的过程中因为财政计划审核延后等问题，导致资金拨付不够及时。</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2.资金使用</w:t>
      </w:r>
      <w:r>
        <w:rPr>
          <w:rFonts w:hint="eastAsia" w:ascii="仿宋_GB2312" w:eastAsia="仿宋_GB2312"/>
          <w:b/>
          <w:bCs/>
          <w:spacing w:val="-6"/>
          <w:sz w:val="32"/>
          <w:szCs w:val="32"/>
        </w:rPr>
        <w:t>。</w:t>
      </w:r>
      <w:r>
        <w:rPr>
          <w:rFonts w:hint="eastAsia" w:ascii="仿宋_GB2312" w:eastAsia="仿宋_GB2312"/>
          <w:spacing w:val="-6"/>
          <w:sz w:val="32"/>
          <w:szCs w:val="32"/>
        </w:rPr>
        <w:t>截止评价时点项目资金的实际支出为16万元，资金开支范围、标准均按照预算计划执行，支付依据合规合法。</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（二）项目财务管理情况</w:t>
      </w:r>
    </w:p>
    <w:p>
      <w:pPr>
        <w:autoSpaceDE w:val="0"/>
        <w:adjustRightInd w:val="0"/>
        <w:snapToGrid w:val="0"/>
        <w:spacing w:line="576" w:lineRule="exact"/>
        <w:ind w:firstLine="616" w:firstLineChars="200"/>
        <w:rPr>
          <w:rFonts w:ascii="仿宋_GB2312" w:hAnsi="仿宋_GB2312" w:eastAsia="仿宋_GB2312" w:cs="仿宋_GB2312"/>
          <w:bCs/>
          <w:spacing w:val="-6"/>
          <w:sz w:val="32"/>
          <w:szCs w:val="32"/>
        </w:rPr>
      </w:pPr>
      <w:r>
        <w:rPr>
          <w:rFonts w:hint="eastAsia" w:ascii="仿宋_GB2312" w:hAnsi="仿宋_GB2312" w:eastAsia="仿宋_GB2312" w:cs="仿宋_GB2312"/>
          <w:bCs/>
          <w:spacing w:val="-6"/>
          <w:sz w:val="32"/>
          <w:szCs w:val="32"/>
        </w:rPr>
        <w:t>我</w:t>
      </w:r>
      <w:r>
        <w:rPr>
          <w:rFonts w:hint="eastAsia" w:ascii="仿宋_GB2312" w:hAnsi="仿宋_GB2312" w:eastAsia="仿宋_GB2312" w:cs="仿宋_GB2312"/>
          <w:bCs/>
          <w:spacing w:val="-6"/>
          <w:sz w:val="32"/>
          <w:szCs w:val="32"/>
          <w:lang w:eastAsia="zh-CN"/>
        </w:rPr>
        <w:t>部门</w:t>
      </w:r>
      <w:r>
        <w:rPr>
          <w:rFonts w:hint="eastAsia" w:ascii="仿宋_GB2312" w:hAnsi="仿宋_GB2312" w:eastAsia="仿宋_GB2312" w:cs="仿宋_GB2312"/>
          <w:bCs/>
          <w:spacing w:val="-6"/>
          <w:sz w:val="32"/>
          <w:szCs w:val="32"/>
        </w:rPr>
        <w:t>按照财政部门的相关要求编制部门预算、执行部门预算，及时制定并完善了《财务管理制度（暂行）办法》《项目管理制度》等相关财务制度，确定了财务审核机构、明确了会计核算及账务处理等相关要求。该项目对照项目和资金管理办法，严格执行财务管理制度、财务处理及时、会计核算规范。</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（三）项目组织实施情况</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七盘关是入川的必经关口，每天货车流量在1000台次，为治理车辆超限运输，维护道路安全秩序，</w:t>
      </w:r>
      <w:r>
        <w:rPr>
          <w:rFonts w:hint="eastAsia" w:ascii="仿宋_GB2312" w:hAnsi="宋体" w:eastAsia="仿宋_GB2312"/>
          <w:sz w:val="32"/>
          <w:szCs w:val="32"/>
        </w:rPr>
        <w:t>切实提升我区超限超载治理水平，有效解决当前“双超”治理中存在的突出问题，根据四川省交通运输厅关于印发《四川省普通公路超限检测站电子抓拍系统规范建设工作方案》的通知在七盘关超限检测站电子抓拍系统项目，目前该项目已全面竣工并验收合格投入使用。</w:t>
      </w:r>
    </w:p>
    <w:p>
      <w:pPr>
        <w:autoSpaceDE w:val="0"/>
        <w:adjustRightInd w:val="0"/>
        <w:snapToGrid w:val="0"/>
        <w:spacing w:line="576" w:lineRule="exact"/>
        <w:ind w:firstLine="616" w:firstLineChars="200"/>
        <w:rPr>
          <w:rFonts w:ascii="黑体" w:hAnsi="黑体" w:eastAsia="黑体"/>
          <w:spacing w:val="-6"/>
          <w:sz w:val="32"/>
          <w:szCs w:val="32"/>
        </w:rPr>
      </w:pPr>
      <w:r>
        <w:rPr>
          <w:rFonts w:hint="eastAsia" w:ascii="黑体" w:hAnsi="黑体" w:eastAsia="黑体"/>
          <w:spacing w:val="-6"/>
          <w:sz w:val="32"/>
          <w:szCs w:val="32"/>
        </w:rPr>
        <w:t>三、项目绩效情况</w:t>
      </w:r>
      <w:r>
        <w:rPr>
          <w:rFonts w:hint="eastAsia" w:ascii="黑体" w:hAnsi="黑体" w:eastAsia="黑体"/>
          <w:spacing w:val="-6"/>
          <w:sz w:val="32"/>
          <w:szCs w:val="32"/>
        </w:rPr>
        <w:tab/>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（一）项目完成情况</w:t>
      </w:r>
    </w:p>
    <w:p>
      <w:pPr>
        <w:autoSpaceDE w:val="0"/>
        <w:adjustRightInd w:val="0"/>
        <w:snapToGrid w:val="0"/>
        <w:spacing w:line="576" w:lineRule="exact"/>
        <w:ind w:firstLine="640" w:firstLineChars="200"/>
        <w:rPr>
          <w:rFonts w:ascii="仿宋" w:hAnsi="仿宋" w:eastAsia="仿宋" w:cs="仿宋"/>
          <w:color w:val="000000"/>
          <w:sz w:val="32"/>
          <w:szCs w:val="32"/>
          <w:shd w:val="clear" w:color="auto" w:fill="FFFFFF"/>
        </w:rPr>
      </w:pPr>
      <w:r>
        <w:rPr>
          <w:rFonts w:ascii="仿宋" w:hAnsi="仿宋" w:eastAsia="仿宋" w:cs="仿宋"/>
          <w:color w:val="000000"/>
          <w:sz w:val="32"/>
          <w:szCs w:val="32"/>
          <w:shd w:val="clear" w:color="auto" w:fill="FFFFFF"/>
        </w:rPr>
        <w:t>在区委、区政府的正确领导下，</w:t>
      </w:r>
      <w:r>
        <w:rPr>
          <w:rFonts w:hint="eastAsia" w:ascii="仿宋" w:hAnsi="仿宋" w:eastAsia="仿宋" w:cs="仿宋"/>
          <w:color w:val="000000"/>
          <w:sz w:val="32"/>
          <w:szCs w:val="32"/>
          <w:shd w:val="clear" w:color="auto" w:fill="FFFFFF"/>
        </w:rPr>
        <w:t>按照省市建设要求，加快安装国道108线电子抓拍系统，</w:t>
      </w:r>
      <w:r>
        <w:rPr>
          <w:rFonts w:hint="eastAsia" w:ascii="仿宋_GB2312" w:hAnsi="宋体" w:eastAsia="仿宋_GB2312"/>
          <w:sz w:val="32"/>
          <w:szCs w:val="32"/>
        </w:rPr>
        <w:t>有效解决当前“双超”治理中存在的突出问题，切实提升我区超限超载治理水平</w:t>
      </w:r>
      <w:r>
        <w:rPr>
          <w:rFonts w:hint="eastAsia" w:ascii="仿宋" w:hAnsi="仿宋" w:eastAsia="仿宋" w:cs="仿宋"/>
          <w:color w:val="000000"/>
          <w:sz w:val="32"/>
          <w:szCs w:val="32"/>
          <w:shd w:val="clear" w:color="auto" w:fill="FFFFFF"/>
        </w:rPr>
        <w:t>。</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（二）项目效益情况</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经济效益：该项目的实施能够有效遏制车辆的违法行为，维护道路交通安全秩序。</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社会效益：电子抓拍系统的正常运行，</w:t>
      </w:r>
      <w:r>
        <w:rPr>
          <w:rFonts w:hint="eastAsia" w:ascii="仿宋" w:hAnsi="仿宋" w:eastAsia="仿宋" w:cs="仿宋"/>
          <w:color w:val="000000"/>
          <w:sz w:val="32"/>
          <w:szCs w:val="32"/>
          <w:shd w:val="clear" w:color="auto" w:fill="FFFFFF"/>
        </w:rPr>
        <w:t>有效防止货运车辆的超限行为，维护道路交通的安全秩序。</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可持续效益：由于电子抓拍系统作为超限检测站的配套设施，有效防止车辆超限运输，所以该项目实施有持续需求。</w:t>
      </w:r>
    </w:p>
    <w:p>
      <w:pPr>
        <w:autoSpaceDE w:val="0"/>
        <w:adjustRightInd w:val="0"/>
        <w:snapToGrid w:val="0"/>
        <w:spacing w:line="576" w:lineRule="exact"/>
        <w:ind w:firstLine="616" w:firstLineChars="200"/>
        <w:rPr>
          <w:rFonts w:ascii="仿宋_GB2312" w:eastAsia="仿宋_GB2312"/>
          <w:spacing w:val="-6"/>
          <w:sz w:val="32"/>
          <w:szCs w:val="32"/>
        </w:rPr>
      </w:pPr>
      <w:r>
        <w:rPr>
          <w:rFonts w:hint="eastAsia" w:ascii="仿宋_GB2312" w:eastAsia="仿宋_GB2312"/>
          <w:spacing w:val="-6"/>
          <w:sz w:val="32"/>
          <w:szCs w:val="32"/>
        </w:rPr>
        <w:t>服务对象满意度：当地百姓满意度高于95%</w:t>
      </w:r>
      <w:r>
        <w:rPr>
          <w:rFonts w:hint="eastAsia" w:ascii="仿宋_GB2312" w:eastAsia="仿宋_GB2312"/>
          <w:spacing w:val="-6"/>
          <w:sz w:val="32"/>
          <w:szCs w:val="32"/>
        </w:rPr>
        <w:tab/>
      </w:r>
      <w:r>
        <w:rPr>
          <w:rFonts w:hint="eastAsia" w:ascii="仿宋_GB2312" w:eastAsia="仿宋_GB2312"/>
          <w:spacing w:val="-6"/>
          <w:sz w:val="32"/>
          <w:szCs w:val="32"/>
        </w:rPr>
        <w:t>。</w:t>
      </w:r>
      <w:r>
        <w:rPr>
          <w:rFonts w:hint="eastAsia" w:ascii="仿宋_GB2312" w:eastAsia="仿宋_GB2312"/>
          <w:spacing w:val="-6"/>
          <w:sz w:val="32"/>
          <w:szCs w:val="32"/>
        </w:rPr>
        <w:tab/>
      </w:r>
      <w:r>
        <w:rPr>
          <w:rFonts w:hint="eastAsia" w:ascii="仿宋_GB2312" w:eastAsia="仿宋_GB2312"/>
          <w:spacing w:val="-6"/>
          <w:sz w:val="32"/>
          <w:szCs w:val="32"/>
        </w:rPr>
        <w:tab/>
      </w:r>
    </w:p>
    <w:p>
      <w:pPr>
        <w:autoSpaceDE w:val="0"/>
        <w:adjustRightInd w:val="0"/>
        <w:snapToGrid w:val="0"/>
        <w:spacing w:line="576" w:lineRule="exact"/>
        <w:ind w:firstLine="616" w:firstLineChars="200"/>
        <w:rPr>
          <w:rFonts w:ascii="黑体" w:hAnsi="黑体" w:eastAsia="黑体"/>
          <w:spacing w:val="-6"/>
          <w:sz w:val="32"/>
          <w:szCs w:val="32"/>
        </w:rPr>
      </w:pPr>
      <w:r>
        <w:rPr>
          <w:rFonts w:hint="eastAsia" w:ascii="黑体" w:hAnsi="黑体" w:eastAsia="黑体"/>
          <w:spacing w:val="-6"/>
          <w:sz w:val="32"/>
          <w:szCs w:val="32"/>
        </w:rPr>
        <w:t>四、问题及建议</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（一）存在的问题</w:t>
      </w:r>
    </w:p>
    <w:p>
      <w:pPr>
        <w:widowControl/>
        <w:shd w:val="clear" w:color="auto" w:fill="FFFFFF"/>
        <w:spacing w:line="560" w:lineRule="exact"/>
        <w:ind w:firstLine="640" w:firstLineChars="200"/>
        <w:jc w:val="left"/>
        <w:rPr>
          <w:rFonts w:ascii="仿宋_GB2312" w:eastAsia="仿宋_GB2312"/>
          <w:color w:val="000000"/>
          <w:kern w:val="0"/>
          <w:sz w:val="32"/>
          <w:szCs w:val="32"/>
        </w:rPr>
      </w:pPr>
      <w:r>
        <w:rPr>
          <w:rFonts w:hint="eastAsia" w:ascii="仿宋_GB2312" w:eastAsia="仿宋_GB2312"/>
          <w:color w:val="000000"/>
          <w:kern w:val="0"/>
          <w:sz w:val="32"/>
          <w:szCs w:val="32"/>
        </w:rPr>
        <w:t>绩效目标设立不够明确、细化和量化。目标设定后没有科学的设定考核评价标准，特别是对于不能量化的目标。</w:t>
      </w:r>
    </w:p>
    <w:p>
      <w:pPr>
        <w:widowControl/>
        <w:shd w:val="clear" w:color="auto" w:fill="FFFFFF"/>
        <w:spacing w:line="560" w:lineRule="exact"/>
        <w:ind w:firstLine="640" w:firstLineChars="200"/>
        <w:jc w:val="left"/>
        <w:rPr>
          <w:rFonts w:ascii="仿宋_GB2312" w:eastAsia="仿宋_GB2312"/>
          <w:color w:val="000000"/>
          <w:kern w:val="0"/>
          <w:sz w:val="32"/>
          <w:szCs w:val="32"/>
        </w:rPr>
      </w:pPr>
      <w:r>
        <w:rPr>
          <w:rFonts w:hint="eastAsia" w:ascii="仿宋_GB2312" w:eastAsia="仿宋_GB2312"/>
          <w:color w:val="000000"/>
          <w:kern w:val="0"/>
          <w:sz w:val="32"/>
          <w:szCs w:val="32"/>
        </w:rPr>
        <w:t>预算执行工作有待提高。主要是部分项目推进缓慢，原因是项目实施条件不具备，项目经费计划在年末支付，未拨付项目费用，导致项目进度迟缓。</w:t>
      </w:r>
    </w:p>
    <w:p>
      <w:pPr>
        <w:autoSpaceDE w:val="0"/>
        <w:adjustRightInd w:val="0"/>
        <w:snapToGrid w:val="0"/>
        <w:spacing w:line="576" w:lineRule="exact"/>
        <w:ind w:firstLine="616" w:firstLineChars="200"/>
        <w:rPr>
          <w:rFonts w:ascii="楷体_GB2312" w:eastAsia="楷体_GB2312"/>
          <w:bCs/>
          <w:spacing w:val="-6"/>
          <w:sz w:val="32"/>
          <w:szCs w:val="32"/>
        </w:rPr>
      </w:pPr>
      <w:r>
        <w:rPr>
          <w:rFonts w:hint="eastAsia" w:ascii="楷体_GB2312" w:eastAsia="楷体_GB2312"/>
          <w:bCs/>
          <w:spacing w:val="-6"/>
          <w:sz w:val="32"/>
          <w:szCs w:val="32"/>
        </w:rPr>
        <w:t>（二）相关建议</w:t>
      </w:r>
    </w:p>
    <w:p>
      <w:pPr>
        <w:pStyle w:val="15"/>
        <w:adjustRightInd w:val="0"/>
        <w:snapToGrid w:val="0"/>
        <w:spacing w:line="576" w:lineRule="exact"/>
        <w:ind w:left="0" w:leftChars="0" w:firstLine="640"/>
        <w:rPr>
          <w:rFonts w:ascii="仿宋_GB2312" w:hAnsi="仿宋_GB2312" w:eastAsia="仿宋_GB2312" w:cs="仿宋_GB2312"/>
          <w:color w:val="222222"/>
          <w:sz w:val="32"/>
          <w:szCs w:val="32"/>
          <w:shd w:val="clear" w:color="auto" w:fill="FFFFFF"/>
        </w:rPr>
      </w:pPr>
      <w:r>
        <w:rPr>
          <w:rFonts w:hint="eastAsia" w:ascii="仿宋_GB2312" w:hAnsi="仿宋_GB2312" w:eastAsia="仿宋_GB2312" w:cs="仿宋_GB2312"/>
          <w:color w:val="222222"/>
          <w:sz w:val="32"/>
          <w:szCs w:val="32"/>
          <w:shd w:val="clear" w:color="auto" w:fill="FFFFFF"/>
        </w:rPr>
        <w:t>科学合理制定绩效目标，充分发挥绩效工作效用。加强业务培训，提高评价水平，部门整体绩效评价工作是一项长期性的工作，专业性较强，工作量大，进一步加强业务领导及经办人员相关的政策，业务工作培训学习。</w:t>
      </w:r>
    </w:p>
    <w:p>
      <w:pPr>
        <w:pStyle w:val="15"/>
        <w:adjustRightInd w:val="0"/>
        <w:snapToGrid w:val="0"/>
        <w:spacing w:line="576" w:lineRule="exact"/>
        <w:ind w:left="0" w:leftChars="0" w:firstLine="640"/>
        <w:rPr>
          <w:rFonts w:ascii="仿宋_GB2312" w:hAnsi="仿宋_GB2312" w:eastAsia="仿宋_GB2312" w:cs="仿宋_GB2312"/>
          <w:color w:val="222222"/>
          <w:sz w:val="28"/>
          <w:szCs w:val="28"/>
          <w:shd w:val="clear" w:color="auto" w:fill="FFFFFF"/>
        </w:rPr>
      </w:pPr>
      <w:r>
        <w:rPr>
          <w:rFonts w:ascii="仿宋_GB2312" w:hAnsi="宋体" w:eastAsia="仿宋_GB2312" w:cs="仿宋_GB2312"/>
          <w:color w:val="000000"/>
          <w:sz w:val="32"/>
          <w:szCs w:val="32"/>
          <w:shd w:val="clear" w:color="auto" w:fill="FFFFFF"/>
        </w:rPr>
        <w:t>加强预算管理，确保项目的科学性。强化预算执行，为</w:t>
      </w:r>
      <w:r>
        <w:rPr>
          <w:rFonts w:hint="eastAsia" w:ascii="仿宋_GB2312" w:hAnsi="宋体" w:eastAsia="仿宋_GB2312" w:cs="仿宋_GB2312"/>
          <w:color w:val="000000"/>
          <w:sz w:val="32"/>
          <w:szCs w:val="32"/>
          <w:shd w:val="clear" w:color="auto" w:fill="FFFFFF"/>
        </w:rPr>
        <w:t>项目完成</w:t>
      </w:r>
      <w:r>
        <w:rPr>
          <w:rFonts w:ascii="仿宋_GB2312" w:hAnsi="宋体" w:eastAsia="仿宋_GB2312" w:cs="仿宋_GB2312"/>
          <w:color w:val="000000"/>
          <w:sz w:val="32"/>
          <w:szCs w:val="32"/>
          <w:shd w:val="clear" w:color="auto" w:fill="FFFFFF"/>
        </w:rPr>
        <w:t>绩效目标提供基础保障，提高项目支出资金使用</w:t>
      </w:r>
      <w:r>
        <w:rPr>
          <w:rFonts w:hint="eastAsia" w:ascii="仿宋_GB2312" w:hAnsi="宋体" w:eastAsia="仿宋_GB2312" w:cs="仿宋_GB2312"/>
          <w:color w:val="000000"/>
          <w:sz w:val="32"/>
          <w:szCs w:val="32"/>
          <w:shd w:val="clear" w:color="auto" w:fill="FFFFFF"/>
        </w:rPr>
        <w:t>和项目</w:t>
      </w:r>
      <w:r>
        <w:rPr>
          <w:rFonts w:ascii="仿宋_GB2312" w:hAnsi="宋体" w:eastAsia="仿宋_GB2312" w:cs="仿宋_GB2312"/>
          <w:color w:val="000000"/>
          <w:sz w:val="32"/>
          <w:szCs w:val="32"/>
          <w:shd w:val="clear" w:color="auto" w:fill="FFFFFF"/>
        </w:rPr>
        <w:t>精细化管理水平</w:t>
      </w:r>
      <w:r>
        <w:rPr>
          <w:rFonts w:hint="eastAsia" w:ascii="仿宋_GB2312" w:hAnsi="宋体" w:eastAsia="仿宋_GB2312" w:cs="仿宋_GB2312"/>
          <w:color w:val="000000"/>
          <w:sz w:val="32"/>
          <w:szCs w:val="32"/>
          <w:shd w:val="clear" w:color="auto" w:fill="FFFFFF"/>
        </w:rPr>
        <w:t>，</w:t>
      </w:r>
      <w:r>
        <w:rPr>
          <w:rFonts w:ascii="仿宋_GB2312" w:hAnsi="宋体" w:eastAsia="仿宋_GB2312" w:cs="仿宋_GB2312"/>
          <w:color w:val="000000"/>
          <w:sz w:val="32"/>
          <w:szCs w:val="32"/>
          <w:shd w:val="clear" w:color="auto" w:fill="FFFFFF"/>
        </w:rPr>
        <w:t>确保项目实施达到预期效果，发挥最大</w:t>
      </w:r>
      <w:r>
        <w:rPr>
          <w:rFonts w:hint="eastAsia" w:ascii="仿宋_GB2312" w:hAnsi="宋体" w:eastAsia="仿宋_GB2312" w:cs="仿宋_GB2312"/>
          <w:color w:val="000000"/>
          <w:sz w:val="32"/>
          <w:szCs w:val="32"/>
          <w:shd w:val="clear" w:color="auto" w:fill="FFFFFF"/>
        </w:rPr>
        <w:t>社会</w:t>
      </w:r>
      <w:r>
        <w:rPr>
          <w:rFonts w:ascii="仿宋_GB2312" w:hAnsi="宋体" w:eastAsia="仿宋_GB2312" w:cs="仿宋_GB2312"/>
          <w:color w:val="000000"/>
          <w:sz w:val="32"/>
          <w:szCs w:val="32"/>
          <w:shd w:val="clear" w:color="auto" w:fill="FFFFFF"/>
        </w:rPr>
        <w:t>效益。</w:t>
      </w:r>
    </w:p>
    <w:p>
      <w:pPr>
        <w:autoSpaceDE w:val="0"/>
        <w:adjustRightInd w:val="0"/>
        <w:snapToGrid w:val="0"/>
        <w:spacing w:line="576" w:lineRule="exact"/>
        <w:ind w:firstLine="616" w:firstLineChars="200"/>
        <w:rPr>
          <w:rFonts w:ascii="Arial" w:hAnsi="Arial" w:eastAsia="仿宋_GB2312" w:cs="Arial"/>
          <w:sz w:val="32"/>
          <w:szCs w:val="32"/>
        </w:rPr>
      </w:pPr>
      <w:r>
        <w:rPr>
          <w:rFonts w:hint="eastAsia" w:ascii="仿宋_GB2312" w:hAnsi="宋体" w:eastAsia="仿宋_GB2312"/>
          <w:color w:val="000000"/>
          <w:spacing w:val="-6"/>
          <w:kern w:val="0"/>
          <w:sz w:val="32"/>
          <w:szCs w:val="32"/>
        </w:rPr>
        <w:t xml:space="preserve">    </w:t>
      </w:r>
    </w:p>
    <w:p>
      <w:pPr>
        <w:autoSpaceDE w:val="0"/>
        <w:adjustRightInd w:val="0"/>
        <w:snapToGrid w:val="0"/>
        <w:spacing w:line="576" w:lineRule="exact"/>
        <w:ind w:firstLine="640" w:firstLineChars="200"/>
        <w:rPr>
          <w:rFonts w:ascii="Arial" w:hAnsi="Arial" w:eastAsia="仿宋_GB2312" w:cs="Arial"/>
          <w:sz w:val="32"/>
          <w:szCs w:val="32"/>
        </w:rPr>
      </w:pPr>
    </w:p>
    <w:p>
      <w:pPr>
        <w:autoSpaceDE w:val="0"/>
        <w:adjustRightInd w:val="0"/>
        <w:snapToGrid w:val="0"/>
        <w:spacing w:line="576" w:lineRule="exact"/>
        <w:ind w:firstLine="4160" w:firstLineChars="1300"/>
        <w:rPr>
          <w:rFonts w:ascii="Arial" w:hAnsi="Arial" w:eastAsia="仿宋_GB2312" w:cs="Arial"/>
          <w:sz w:val="32"/>
          <w:szCs w:val="32"/>
        </w:rPr>
      </w:pPr>
      <w:r>
        <w:rPr>
          <w:rFonts w:hint="eastAsia" w:ascii="Arial" w:hAnsi="Arial" w:eastAsia="仿宋_GB2312" w:cs="Arial"/>
          <w:sz w:val="32"/>
          <w:szCs w:val="32"/>
        </w:rPr>
        <w:t>广元市朝天区交通运输局</w:t>
      </w:r>
    </w:p>
    <w:p>
      <w:pPr>
        <w:autoSpaceDE w:val="0"/>
        <w:adjustRightInd w:val="0"/>
        <w:snapToGrid w:val="0"/>
        <w:spacing w:line="576" w:lineRule="exact"/>
        <w:ind w:firstLine="4800" w:firstLineChars="1500"/>
        <w:rPr>
          <w:rFonts w:ascii="仿宋_GB2312" w:eastAsia="仿宋_GB2312"/>
          <w:sz w:val="32"/>
          <w:szCs w:val="32"/>
        </w:rPr>
      </w:pPr>
      <w:r>
        <w:rPr>
          <w:rFonts w:hint="eastAsia" w:ascii="仿宋_GB2312" w:eastAsia="仿宋_GB2312"/>
          <w:sz w:val="32"/>
          <w:szCs w:val="32"/>
        </w:rPr>
        <w:t>2023年5月25日</w:t>
      </w:r>
    </w:p>
    <w:p>
      <w:pPr>
        <w:pStyle w:val="2"/>
        <w:spacing w:before="72"/>
        <w:sectPr>
          <w:pgSz w:w="12240" w:h="15840"/>
          <w:pgMar w:top="1440" w:right="1800" w:bottom="1440" w:left="1800" w:header="720" w:footer="720" w:gutter="0"/>
          <w:cols w:space="720" w:num="1"/>
        </w:sectPr>
      </w:pPr>
    </w:p>
    <w:bookmarkEnd w:id="45"/>
    <w:tbl>
      <w:tblPr>
        <w:tblStyle w:val="16"/>
        <w:tblW w:w="10810" w:type="dxa"/>
        <w:tblInd w:w="-921" w:type="dxa"/>
        <w:tblLayout w:type="fixed"/>
        <w:tblCellMar>
          <w:top w:w="0" w:type="dxa"/>
          <w:left w:w="108" w:type="dxa"/>
          <w:bottom w:w="0" w:type="dxa"/>
          <w:right w:w="108" w:type="dxa"/>
        </w:tblCellMar>
      </w:tblPr>
      <w:tblGrid>
        <w:gridCol w:w="745"/>
        <w:gridCol w:w="144"/>
        <w:gridCol w:w="849"/>
        <w:gridCol w:w="127"/>
        <w:gridCol w:w="865"/>
        <w:gridCol w:w="196"/>
        <w:gridCol w:w="938"/>
        <w:gridCol w:w="123"/>
        <w:gridCol w:w="1000"/>
        <w:gridCol w:w="936"/>
        <w:gridCol w:w="776"/>
        <w:gridCol w:w="304"/>
        <w:gridCol w:w="689"/>
        <w:gridCol w:w="372"/>
        <w:gridCol w:w="620"/>
        <w:gridCol w:w="320"/>
        <w:gridCol w:w="672"/>
        <w:gridCol w:w="108"/>
        <w:gridCol w:w="1026"/>
      </w:tblGrid>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bookmarkStart w:id="48" w:name="_Toc15396618"/>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738" w:type="dxa"/>
            <w:gridSpan w:val="3"/>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9072" w:type="dxa"/>
            <w:gridSpan w:val="16"/>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51000021R000000019954-聘用人员经费</w:t>
            </w:r>
          </w:p>
        </w:tc>
      </w:tr>
      <w:tr>
        <w:tblPrEx>
          <w:tblCellMar>
            <w:top w:w="0" w:type="dxa"/>
            <w:left w:w="108" w:type="dxa"/>
            <w:bottom w:w="0" w:type="dxa"/>
            <w:right w:w="108" w:type="dxa"/>
          </w:tblCellMar>
        </w:tblPrEx>
        <w:trPr>
          <w:trHeight w:val="495" w:hRule="atLeast"/>
        </w:trPr>
        <w:tc>
          <w:tcPr>
            <w:tcW w:w="1738" w:type="dxa"/>
            <w:gridSpan w:val="3"/>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265" w:type="dxa"/>
            <w:gridSpan w:val="9"/>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实施</w:t>
            </w:r>
            <w:r>
              <w:rPr>
                <w:rFonts w:hint="eastAsia" w:ascii="Courier New" w:hAnsi="Courier New" w:cs="Courier New"/>
                <w:color w:val="000000"/>
                <w:kern w:val="0"/>
                <w:sz w:val="18"/>
                <w:szCs w:val="18"/>
                <w:lang w:eastAsia="zh-CN"/>
              </w:rPr>
              <w:t>部门</w:t>
            </w:r>
            <w:r>
              <w:rPr>
                <w:rFonts w:hint="eastAsia" w:ascii="黑体" w:hAnsi="Courier New" w:eastAsia="黑体" w:cs="Courier New"/>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广元市朝天区交通运输综合行政执法大队</w:t>
            </w:r>
          </w:p>
        </w:tc>
      </w:tr>
      <w:tr>
        <w:tblPrEx>
          <w:tblCellMar>
            <w:top w:w="0" w:type="dxa"/>
            <w:left w:w="108" w:type="dxa"/>
            <w:bottom w:w="0" w:type="dxa"/>
            <w:right w:w="108" w:type="dxa"/>
          </w:tblCellMar>
        </w:tblPrEx>
        <w:trPr>
          <w:trHeight w:val="390" w:hRule="atLeast"/>
        </w:trPr>
        <w:tc>
          <w:tcPr>
            <w:tcW w:w="745"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93"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265" w:type="dxa"/>
            <w:gridSpan w:val="9"/>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450" w:hRule="atLeast"/>
        </w:trPr>
        <w:tc>
          <w:tcPr>
            <w:tcW w:w="745" w:type="dxa"/>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93"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265" w:type="dxa"/>
            <w:gridSpan w:val="9"/>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严格执行相关政策，保障工资及时发放、足额发放，预算编制科学合理，减少结余资金</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严格执行相关政策，保障工资及时发放、足额发放，预算编制科学合理，减少结余资金</w:t>
            </w:r>
          </w:p>
        </w:tc>
      </w:tr>
      <w:tr>
        <w:tblPrEx>
          <w:tblCellMar>
            <w:top w:w="0" w:type="dxa"/>
            <w:left w:w="108" w:type="dxa"/>
            <w:bottom w:w="0" w:type="dxa"/>
            <w:right w:w="108" w:type="dxa"/>
          </w:tblCellMar>
        </w:tblPrEx>
        <w:trPr>
          <w:trHeight w:val="690" w:hRule="atLeast"/>
        </w:trPr>
        <w:tc>
          <w:tcPr>
            <w:tcW w:w="745" w:type="dxa"/>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93"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9072" w:type="dxa"/>
            <w:gridSpan w:val="16"/>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按月支付聘用人员劳务费用。</w:t>
            </w:r>
          </w:p>
        </w:tc>
      </w:tr>
      <w:tr>
        <w:tblPrEx>
          <w:tblCellMar>
            <w:top w:w="0" w:type="dxa"/>
            <w:left w:w="108" w:type="dxa"/>
            <w:bottom w:w="0" w:type="dxa"/>
            <w:right w:w="108" w:type="dxa"/>
          </w:tblCellMar>
        </w:tblPrEx>
        <w:trPr>
          <w:trHeight w:val="465" w:hRule="atLeast"/>
        </w:trPr>
        <w:tc>
          <w:tcPr>
            <w:tcW w:w="745"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93"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992"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134"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2835"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993"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92"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992"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134"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745" w:type="dxa"/>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93"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992"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7</w:t>
            </w:r>
          </w:p>
        </w:tc>
        <w:tc>
          <w:tcPr>
            <w:tcW w:w="1134"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7</w:t>
            </w:r>
          </w:p>
        </w:tc>
        <w:tc>
          <w:tcPr>
            <w:tcW w:w="2835"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7</w:t>
            </w:r>
          </w:p>
        </w:tc>
        <w:tc>
          <w:tcPr>
            <w:tcW w:w="993"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92"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992"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134"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745" w:type="dxa"/>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93"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992"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7</w:t>
            </w:r>
          </w:p>
        </w:tc>
        <w:tc>
          <w:tcPr>
            <w:tcW w:w="1134"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7</w:t>
            </w:r>
          </w:p>
        </w:tc>
        <w:tc>
          <w:tcPr>
            <w:tcW w:w="2835"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7</w:t>
            </w:r>
          </w:p>
        </w:tc>
        <w:tc>
          <w:tcPr>
            <w:tcW w:w="993"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92"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92"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134"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745" w:type="dxa"/>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93"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992"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134"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2835"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993"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92"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92"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134"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745" w:type="dxa"/>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93"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992"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134"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2835"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993"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92"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92"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134"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745" w:type="dxa"/>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93"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992"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134"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2835"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93"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92"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92"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134"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745"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93"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992"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134"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123"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776" w:type="dxa"/>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993"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92"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992"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134"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285" w:hRule="atLeast"/>
        </w:trPr>
        <w:tc>
          <w:tcPr>
            <w:tcW w:w="745" w:type="dxa"/>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93"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992"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134"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w:t>
            </w:r>
          </w:p>
        </w:tc>
        <w:tc>
          <w:tcPr>
            <w:tcW w:w="1123"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7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93"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92"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992"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134"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745" w:type="dxa"/>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93"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92"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134"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科目调整次数</w:t>
            </w:r>
          </w:p>
        </w:tc>
        <w:tc>
          <w:tcPr>
            <w:tcW w:w="1123"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7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次</w:t>
            </w:r>
          </w:p>
        </w:tc>
        <w:tc>
          <w:tcPr>
            <w:tcW w:w="993"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10次</w:t>
            </w:r>
          </w:p>
        </w:tc>
        <w:tc>
          <w:tcPr>
            <w:tcW w:w="992"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992"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134"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745" w:type="dxa"/>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93"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92"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时效指标</w:t>
            </w:r>
          </w:p>
        </w:tc>
        <w:tc>
          <w:tcPr>
            <w:tcW w:w="1134"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按时发放率</w:t>
            </w:r>
          </w:p>
        </w:tc>
        <w:tc>
          <w:tcPr>
            <w:tcW w:w="1123"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7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93"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92"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992"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134"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915" w:hRule="atLeast"/>
        </w:trPr>
        <w:tc>
          <w:tcPr>
            <w:tcW w:w="745" w:type="dxa"/>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93"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992"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经济效益指标</w:t>
            </w:r>
          </w:p>
        </w:tc>
        <w:tc>
          <w:tcPr>
            <w:tcW w:w="1134"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结余率（计算方法为：结余数/预算数）</w:t>
            </w:r>
          </w:p>
        </w:tc>
        <w:tc>
          <w:tcPr>
            <w:tcW w:w="1123"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77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93"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5%</w:t>
            </w:r>
          </w:p>
        </w:tc>
        <w:tc>
          <w:tcPr>
            <w:tcW w:w="992"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992"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134"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7692" w:type="dxa"/>
            <w:gridSpan w:val="13"/>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92"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92"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134"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严格按年初预算执行，达到预期绩效目标。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项目负责人：孙文帮</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财务负责人：杨圣芳</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51081221R000000033316-其他对个人和家庭补助</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广元市朝天区交通运输综合行政执法大队</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6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严格执行相关政策，保障工资及时、足额发放或社保及时、足额缴纳，预算编制科学合理，减少结余资金。</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严格执行相关政策，保障工资及时、足额发放或社保及时、足额缴纳，预算编制科学合理，减少结余资金。</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用于支付退休人员职业年金。</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4.1</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4.1</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4.1</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4.1</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发放（缴纳）覆盖率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足额保障率（参保率）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严格按年初预算执行，达到预期绩效目标。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项目负责人：孙文帮</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财务负责人：杨圣芳</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51081221R000000033747-独子费</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广元市朝天区交通运输综合行政执法大队</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45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严格执行相关政策，保障工资及时发放、足额发放，预算编制科学合理，减少结余资金</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严格执行相关政策，保障工资及时发放、足额发放，预算编制科学合理，减少结余资金</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按照政策要求，及时发放干部独子费用。</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0.06</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0.06</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0.06</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0.06</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0.06</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0.06</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科目调整次数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次</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按时发放率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91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经济效益指标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结余率（计算方法为：结余数/预算数）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严格按年初预算执行，达到预期绩效目标。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项目负责人：孙文帮</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财务负责人：杨圣芳</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51081221R000000033767-目标绩效奖(公务员及参公人员)</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广元市朝天区交通运输综合行政执法大队</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6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严格执行相关政策，保障工资及时、足额发放或社保及时、足额缴纳，预算编制科学合理，减少结余资金。</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严格执行相关政策，保障工资及时、足额发放或社保及时、足额缴纳，预算编制科学合理，减少结余资金。</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按照政策要求，认真开展干部年度考核，并依据考核结果兑付干部目标绩效奖。</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57.6</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61.33</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61.33</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57.6</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61.33</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61.33</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发放（缴纳）覆盖率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足额保障率（参保率）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严格按年初预算执行，达到预期绩效目标。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项目负责人：孙文帮</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财务负责人：杨圣芳</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51081221R000000051755-其他交通费用（公务用车改革补贴）</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广元市朝天区交通运输综合行政执法大队</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6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严格执行相关政策，保障工资及时、足额发放或社保及时、足额缴纳，预算编制科学合理，减少结余资金。</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严格执行相关政策，保障工资及时、足额发放或社保及时、足额缴纳，预算编制科学合理，减少结余资金。</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按照政策要求，严格干部出差审批，据实兑付公务用车改革补贴。　</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14.19</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17.06</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17.06</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14.19</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17.06</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17.06</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发放（缴纳）覆盖率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足额保障率（参保率）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严格按年初预算执行，达到预期绩效目标。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项目负责人：孙文帮</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财务负责人：杨圣芳</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51081221Y000000052199-金财网维护费</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广元市朝天区交通运输综合行政执法大队</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45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保障</w:t>
            </w: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日常运转，提高预算编制质量，严格执行预算</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保障</w:t>
            </w: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日常运转，提高预算编制质量，严格执行预算</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严格执行预算，保障财务日常业务正常运转。</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0.24</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0.24</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0.24</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0.24</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0.24</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0.24</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科目调整次数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次</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13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质量指标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预算编制准确率（计算方法为：∣（执行数-预算数）/预算数∣）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经济效益指标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运转保障率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15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“三公”经费</w:t>
            </w:r>
            <w:r>
              <w:rPr>
                <w:rFonts w:hint="eastAsia" w:ascii="宋体" w:hAnsi="宋体" w:cs="宋体"/>
                <w:color w:val="000000"/>
                <w:kern w:val="0"/>
                <w:sz w:val="18"/>
                <w:szCs w:val="18"/>
              </w:rPr>
              <w:t>控制率[计算方法为：（三公经费实际支出数/预算安排数]×100%）</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严格按年初预算执行，达到预期绩效目标。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项目负责人：孙文帮</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财务负责人：杨圣芳</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51081222R000005136042-工资性支出（行政）</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广元市朝天区交通运输综合行政执法大队</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6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严格执行相关政策，保障工资及时、足额发放或社保及时、足额缴纳，预算编制科学合理，减少结余资金。</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严格执行相关政策，保障工资及时、足额发放或社保及时、足额缴纳，预算编制科学合理，减少结余资金。</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按照相关政策，及时足额发放职工工资。</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143.66</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143.66</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143.66</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143.66</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143.66</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143.66</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发放（缴纳）覆盖率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足额保障率（参保率）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严格按年初预算执行，达到预期绩效目标。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项目负责人：孙文帮</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财务负责人：杨圣芳</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51081222R000005136461-基本养老保险（行政）</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广元市朝天区交通运输综合行政执法大队</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6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严格执行相关政策，保障工资及时、足额发放或社保及时、足额缴纳，预算编制科学合理，减少结余资金。</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严格执行相关政策，保障工资及时、足额发放或社保及时、足额缴纳，预算编制科学合理，减少结余资金。</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依据相关政策，按时缴纳职工养老保险。</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19.05</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22.9</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22.9</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19.05</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22.9</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22.9</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发放（缴纳）覆盖率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足额保障率（参保率）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严格按年初预算执行，达到预期绩效目标。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项目负责人：孙文帮</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财务负责人：杨圣芳</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51081222R000005137025-基本医疗保险（行政）</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广元市朝天区交通运输综合行政执法大队</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6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严格执行相关政策，保障工资及时、足额发放或社保及时、足额缴纳，预算编制科学合理，减少结余资金。</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严格执行相关政策，保障工资及时、足额发放或社保及时、足额缴纳，预算编制科学合理，减少结余资金。</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依据相关政策，按时缴纳职工基本医疗保险。</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9.09</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11.05</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11.05</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9.09</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11.05</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11.05</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发放（缴纳）覆盖率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足额保障率（参保率）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严格按年初预算执行，达到预期绩效目标。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项目负责人：孙文帮</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财务负责人：杨圣芳</w:t>
            </w:r>
          </w:p>
        </w:tc>
      </w:tr>
      <w:tr>
        <w:tblPrEx>
          <w:tblCellMar>
            <w:top w:w="0" w:type="dxa"/>
            <w:left w:w="108" w:type="dxa"/>
            <w:bottom w:w="0" w:type="dxa"/>
            <w:right w:w="108" w:type="dxa"/>
          </w:tblCellMar>
        </w:tblPrEx>
        <w:trPr>
          <w:trHeight w:val="312" w:hRule="atLeast"/>
        </w:trPr>
        <w:tc>
          <w:tcPr>
            <w:tcW w:w="889" w:type="dxa"/>
            <w:gridSpan w:val="2"/>
            <w:vMerge w:val="restart"/>
            <w:tcBorders>
              <w:top w:val="nil"/>
              <w:left w:val="nil"/>
              <w:bottom w:val="single" w:color="000000" w:sz="8" w:space="0"/>
              <w:right w:val="nil"/>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c>
          <w:tcPr>
            <w:tcW w:w="976" w:type="dxa"/>
            <w:gridSpan w:val="2"/>
            <w:vMerge w:val="restart"/>
            <w:tcBorders>
              <w:top w:val="nil"/>
              <w:left w:val="nil"/>
              <w:bottom w:val="single" w:color="000000" w:sz="8" w:space="0"/>
              <w:right w:val="nil"/>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vMerge w:val="restart"/>
            <w:tcBorders>
              <w:top w:val="nil"/>
              <w:left w:val="nil"/>
              <w:bottom w:val="single" w:color="000000" w:sz="8" w:space="0"/>
              <w:right w:val="nil"/>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vMerge w:val="restart"/>
            <w:tcBorders>
              <w:top w:val="nil"/>
              <w:left w:val="nil"/>
              <w:bottom w:val="single" w:color="000000" w:sz="8" w:space="0"/>
              <w:right w:val="nil"/>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c>
          <w:tcPr>
            <w:tcW w:w="1000" w:type="dxa"/>
            <w:vMerge w:val="restart"/>
            <w:tcBorders>
              <w:top w:val="nil"/>
              <w:left w:val="nil"/>
              <w:bottom w:val="single" w:color="000000" w:sz="8" w:space="0"/>
              <w:right w:val="nil"/>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c>
          <w:tcPr>
            <w:tcW w:w="936" w:type="dxa"/>
            <w:vMerge w:val="restart"/>
            <w:tcBorders>
              <w:top w:val="nil"/>
              <w:left w:val="nil"/>
              <w:bottom w:val="single" w:color="000000" w:sz="8" w:space="0"/>
              <w:right w:val="nil"/>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c>
          <w:tcPr>
            <w:tcW w:w="1080" w:type="dxa"/>
            <w:gridSpan w:val="2"/>
            <w:vMerge w:val="restart"/>
            <w:tcBorders>
              <w:top w:val="nil"/>
              <w:left w:val="nil"/>
              <w:bottom w:val="single" w:color="000000" w:sz="8" w:space="0"/>
              <w:right w:val="nil"/>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vMerge w:val="restart"/>
            <w:tcBorders>
              <w:top w:val="nil"/>
              <w:left w:val="nil"/>
              <w:bottom w:val="single" w:color="000000" w:sz="8" w:space="0"/>
              <w:right w:val="nil"/>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c>
          <w:tcPr>
            <w:tcW w:w="940" w:type="dxa"/>
            <w:gridSpan w:val="2"/>
            <w:vMerge w:val="restart"/>
            <w:tcBorders>
              <w:top w:val="nil"/>
              <w:left w:val="nil"/>
              <w:bottom w:val="single" w:color="000000" w:sz="8" w:space="0"/>
              <w:right w:val="nil"/>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c>
          <w:tcPr>
            <w:tcW w:w="780" w:type="dxa"/>
            <w:gridSpan w:val="2"/>
            <w:vMerge w:val="restart"/>
            <w:tcBorders>
              <w:top w:val="nil"/>
              <w:left w:val="nil"/>
              <w:bottom w:val="single" w:color="000000" w:sz="8" w:space="0"/>
              <w:right w:val="nil"/>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c>
          <w:tcPr>
            <w:tcW w:w="1026" w:type="dxa"/>
            <w:vMerge w:val="restart"/>
            <w:tcBorders>
              <w:top w:val="nil"/>
              <w:left w:val="nil"/>
              <w:bottom w:val="single" w:color="000000" w:sz="8" w:space="0"/>
              <w:right w:val="nil"/>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312" w:hRule="atLeast"/>
        </w:trPr>
        <w:tc>
          <w:tcPr>
            <w:tcW w:w="889" w:type="dxa"/>
            <w:gridSpan w:val="2"/>
            <w:vMerge w:val="continue"/>
            <w:tcBorders>
              <w:top w:val="nil"/>
              <w:left w:val="nil"/>
              <w:bottom w:val="single" w:color="000000" w:sz="8" w:space="0"/>
              <w:right w:val="nil"/>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nil"/>
              <w:bottom w:val="single" w:color="000000" w:sz="8" w:space="0"/>
              <w:right w:val="nil"/>
            </w:tcBorders>
            <w:vAlign w:val="center"/>
          </w:tcPr>
          <w:p>
            <w:pPr>
              <w:widowControl/>
              <w:jc w:val="left"/>
              <w:rPr>
                <w:rFonts w:ascii="宋体" w:hAnsi="宋体" w:cs="宋体"/>
                <w:color w:val="000000"/>
                <w:kern w:val="0"/>
                <w:sz w:val="18"/>
                <w:szCs w:val="18"/>
              </w:rPr>
            </w:pPr>
          </w:p>
        </w:tc>
        <w:tc>
          <w:tcPr>
            <w:tcW w:w="1061" w:type="dxa"/>
            <w:gridSpan w:val="2"/>
            <w:vMerge w:val="continue"/>
            <w:tcBorders>
              <w:top w:val="nil"/>
              <w:left w:val="nil"/>
              <w:bottom w:val="single" w:color="000000" w:sz="8" w:space="0"/>
              <w:right w:val="nil"/>
            </w:tcBorders>
            <w:vAlign w:val="center"/>
          </w:tcPr>
          <w:p>
            <w:pPr>
              <w:widowControl/>
              <w:jc w:val="left"/>
              <w:rPr>
                <w:rFonts w:ascii="宋体" w:hAnsi="宋体" w:cs="宋体"/>
                <w:color w:val="000000"/>
                <w:kern w:val="0"/>
                <w:sz w:val="18"/>
                <w:szCs w:val="18"/>
              </w:rPr>
            </w:pPr>
          </w:p>
        </w:tc>
        <w:tc>
          <w:tcPr>
            <w:tcW w:w="1061" w:type="dxa"/>
            <w:gridSpan w:val="2"/>
            <w:vMerge w:val="continue"/>
            <w:tcBorders>
              <w:top w:val="nil"/>
              <w:left w:val="nil"/>
              <w:bottom w:val="single" w:color="000000" w:sz="8" w:space="0"/>
              <w:right w:val="nil"/>
            </w:tcBorders>
            <w:vAlign w:val="center"/>
          </w:tcPr>
          <w:p>
            <w:pPr>
              <w:widowControl/>
              <w:jc w:val="left"/>
              <w:rPr>
                <w:rFonts w:ascii="宋体" w:hAnsi="宋体" w:cs="宋体"/>
                <w:color w:val="000000"/>
                <w:kern w:val="0"/>
                <w:sz w:val="18"/>
                <w:szCs w:val="18"/>
              </w:rPr>
            </w:pPr>
          </w:p>
        </w:tc>
        <w:tc>
          <w:tcPr>
            <w:tcW w:w="1000" w:type="dxa"/>
            <w:vMerge w:val="continue"/>
            <w:tcBorders>
              <w:top w:val="nil"/>
              <w:left w:val="nil"/>
              <w:bottom w:val="single" w:color="000000" w:sz="8" w:space="0"/>
              <w:right w:val="nil"/>
            </w:tcBorders>
            <w:vAlign w:val="center"/>
          </w:tcPr>
          <w:p>
            <w:pPr>
              <w:widowControl/>
              <w:jc w:val="left"/>
              <w:rPr>
                <w:rFonts w:ascii="宋体" w:hAnsi="宋体" w:cs="宋体"/>
                <w:color w:val="000000"/>
                <w:kern w:val="0"/>
                <w:sz w:val="18"/>
                <w:szCs w:val="18"/>
              </w:rPr>
            </w:pPr>
          </w:p>
        </w:tc>
        <w:tc>
          <w:tcPr>
            <w:tcW w:w="936" w:type="dxa"/>
            <w:vMerge w:val="continue"/>
            <w:tcBorders>
              <w:top w:val="nil"/>
              <w:left w:val="nil"/>
              <w:bottom w:val="single" w:color="000000" w:sz="8" w:space="0"/>
              <w:right w:val="nil"/>
            </w:tcBorders>
            <w:vAlign w:val="center"/>
          </w:tcPr>
          <w:p>
            <w:pPr>
              <w:widowControl/>
              <w:jc w:val="left"/>
              <w:rPr>
                <w:rFonts w:ascii="宋体" w:hAnsi="宋体" w:cs="宋体"/>
                <w:color w:val="000000"/>
                <w:kern w:val="0"/>
                <w:sz w:val="18"/>
                <w:szCs w:val="18"/>
              </w:rPr>
            </w:pPr>
          </w:p>
        </w:tc>
        <w:tc>
          <w:tcPr>
            <w:tcW w:w="1080" w:type="dxa"/>
            <w:gridSpan w:val="2"/>
            <w:vMerge w:val="continue"/>
            <w:tcBorders>
              <w:top w:val="nil"/>
              <w:left w:val="nil"/>
              <w:bottom w:val="single" w:color="000000" w:sz="8" w:space="0"/>
              <w:right w:val="nil"/>
            </w:tcBorders>
            <w:vAlign w:val="center"/>
          </w:tcPr>
          <w:p>
            <w:pPr>
              <w:widowControl/>
              <w:jc w:val="left"/>
              <w:rPr>
                <w:rFonts w:ascii="宋体" w:hAnsi="宋体" w:cs="宋体"/>
                <w:color w:val="000000"/>
                <w:kern w:val="0"/>
                <w:sz w:val="18"/>
                <w:szCs w:val="18"/>
              </w:rPr>
            </w:pPr>
          </w:p>
        </w:tc>
        <w:tc>
          <w:tcPr>
            <w:tcW w:w="1061" w:type="dxa"/>
            <w:gridSpan w:val="2"/>
            <w:vMerge w:val="continue"/>
            <w:tcBorders>
              <w:top w:val="nil"/>
              <w:left w:val="nil"/>
              <w:bottom w:val="single" w:color="000000" w:sz="8" w:space="0"/>
              <w:right w:val="nil"/>
            </w:tcBorders>
            <w:vAlign w:val="center"/>
          </w:tcPr>
          <w:p>
            <w:pPr>
              <w:widowControl/>
              <w:jc w:val="left"/>
              <w:rPr>
                <w:rFonts w:ascii="宋体" w:hAnsi="宋体" w:cs="宋体"/>
                <w:color w:val="000000"/>
                <w:kern w:val="0"/>
                <w:sz w:val="18"/>
                <w:szCs w:val="18"/>
              </w:rPr>
            </w:pPr>
          </w:p>
        </w:tc>
        <w:tc>
          <w:tcPr>
            <w:tcW w:w="940" w:type="dxa"/>
            <w:gridSpan w:val="2"/>
            <w:vMerge w:val="continue"/>
            <w:tcBorders>
              <w:top w:val="nil"/>
              <w:left w:val="nil"/>
              <w:bottom w:val="single" w:color="000000" w:sz="8" w:space="0"/>
              <w:right w:val="nil"/>
            </w:tcBorders>
            <w:vAlign w:val="center"/>
          </w:tcPr>
          <w:p>
            <w:pPr>
              <w:widowControl/>
              <w:jc w:val="left"/>
              <w:rPr>
                <w:rFonts w:ascii="宋体" w:hAnsi="宋体" w:cs="宋体"/>
                <w:color w:val="000000"/>
                <w:kern w:val="0"/>
                <w:sz w:val="18"/>
                <w:szCs w:val="18"/>
              </w:rPr>
            </w:pPr>
          </w:p>
        </w:tc>
        <w:tc>
          <w:tcPr>
            <w:tcW w:w="780" w:type="dxa"/>
            <w:gridSpan w:val="2"/>
            <w:vMerge w:val="continue"/>
            <w:tcBorders>
              <w:top w:val="nil"/>
              <w:left w:val="nil"/>
              <w:bottom w:val="single" w:color="000000" w:sz="8" w:space="0"/>
              <w:right w:val="nil"/>
            </w:tcBorders>
            <w:vAlign w:val="center"/>
          </w:tcPr>
          <w:p>
            <w:pPr>
              <w:widowControl/>
              <w:jc w:val="left"/>
              <w:rPr>
                <w:rFonts w:ascii="宋体" w:hAnsi="宋体" w:cs="宋体"/>
                <w:color w:val="000000"/>
                <w:kern w:val="0"/>
                <w:sz w:val="18"/>
                <w:szCs w:val="18"/>
              </w:rPr>
            </w:pPr>
          </w:p>
        </w:tc>
        <w:tc>
          <w:tcPr>
            <w:tcW w:w="1026" w:type="dxa"/>
            <w:vMerge w:val="continue"/>
            <w:tcBorders>
              <w:top w:val="nil"/>
              <w:left w:val="nil"/>
              <w:bottom w:val="single" w:color="000000" w:sz="8" w:space="0"/>
              <w:right w:val="nil"/>
            </w:tcBorders>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51081222R000005137604-住房公积金（行政）</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广元市朝天区交通运输综合行政执法大队</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6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严格执行相关政策，保障工资及时、足额发放或社保及时、足额缴纳，预算编制科学合理，减少结余资金。</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严格执行相关政策，保障工资及时、足额发放或社保及时、足额缴纳，预算编制科学合理，减少结余资金。</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bookmarkStart w:id="49" w:name="RANGE!C203"/>
            <w:r>
              <w:rPr>
                <w:rFonts w:hint="eastAsia" w:ascii="宋体" w:hAnsi="宋体" w:cs="宋体"/>
                <w:color w:val="000000"/>
                <w:kern w:val="0"/>
                <w:sz w:val="18"/>
                <w:szCs w:val="18"/>
              </w:rPr>
              <w:t>　依据相关政策，按时代扣代缴纳职工住房公积金。</w:t>
            </w:r>
            <w:bookmarkEnd w:id="49"/>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13.63</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22.63</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22.63</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13.63</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22.63</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22.63</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发放（缴纳）覆盖率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足额保障率（参保率）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严格按年初预算执行，达到预期绩效目标。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项目负责人：孙文帮</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财务负责人：杨圣芳</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51081222R000005138220-职业年金（行政）</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广元市朝天区交通运输综合行政执法大队</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6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严格执行相关政策，保障工资及时、足额发放或社保及时、足额缴纳，预算编制科学合理，减少结余资金。</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严格执行相关政策，保障工资及时、足额发放或社保及时、足额缴纳，预算编制科学合理，减少结余资金。</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依据相关政策，按时代扣代缴纳职工职业年金。</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5.58</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5.58</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5.58</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5.58</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发放（缴纳）覆盖率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足额保障率（参保率）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严格按年初预算执行，达到预期绩效目标。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项目负责人：孙文帮</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财务负责人：杨圣芳</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51081222T000005933719-安全工作经费（执法大队）</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广元市朝天区交通运输综合行政执法大队</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6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落实“《中华人民共和国国家安全法》第七十一条国家加大对国家安全各项建设的投入，保障国家安全工作所需经费和装备”等相关法律法规制度。</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落实“《中华人民共和国国家安全法》第七十一条国家加大对国家安全各项建设的投入，保障国家安全工作所需经费和装备”等相关法律法规制度。</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按时召开安全会议，开展应急演练、购买应急物资等，全力保障辖区内交通安全形势持续稳定。</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开展安全会议</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次</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6次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质量指标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会议参会率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90%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完成时间2022年12月</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好坏</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安全工作经费</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50000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50000元</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保障当地交通运输安全</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好坏</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可持续影响指标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安全生产持续稳定</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好坏</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服务对象满意度指标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服务对象满意度</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95%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严格按年初预算执行，达到预期绩效目标。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项目负责人：牟素瑾</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财务负责人：杨圣芳</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51081222T000005933748-公路安保设备维修经费（执法大队）</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广元市朝天区交通运输综合行政执法大队</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112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按照省、市关于公路安全生命防护工程要求，结合交通运输综合执法职能职责，在开展路政巡查过程中查处道路安保设施损毁，并及时修缮为持续推进公路安全生命防护工程，进一步提高公路安全隐患治理能力。</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按照省、市关于公路安全生命防护工程要求，结合交通运输综合执法职能职责，在开展路政巡查过程中查处道路安保设施损毁，并及时修缮为持续推进公路安全生命防护工程，进一步提高公路安全隐患治理能力。</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按照《公路路产赔补偿标准》，严厉打击损坏路产路权的行为，及时维修公路安保设施。</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国省县乡道安全防护设施</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公里</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500公里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质量指标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隐患排查整治率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完成时间为2022年12月</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好坏</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安防设施维修经费</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40000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40000元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经济效益指标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提供就业岗位，带动就业收入</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好坏</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良好的交通运输状况</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好坏</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可持续影响指标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安全生产环境持续稳定</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好坏</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服务对象满意度指标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服务对象满意度</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95%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严格按年初预算执行，达到预期绩效目标。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项目负责人：牟素瑾</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财务负责人：杨圣芳</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51081222T000005933845-七盘关超限检测站运行经费</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广元市朝天区交通运输综合行政执法大队</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6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根据国家Ⅰ类超限站工作人员配备相关要求和区委区政府领导安排，保障七盘关超限检测站已按照“三班两运转”实行24小时运行。</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根据国家Ⅰ类超限站工作人员配备相关要求和区委区政府领导安排，保障七盘关超限检测站已按照“三班两运转”实行24小时运行。</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用于日常办公费用，保障超限检测站正常运转。</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超限监测站</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个</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质量指标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超限检测率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完成时间2022年12月</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好坏</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超限检测站运行经费</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300000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300000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经济效益指标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提供就业岗位，带动就业收入</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好坏</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维护良好的交通运输环境</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好坏</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可持续影响指标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安全生产持续稳定</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好坏</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服务对象满意度指标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服务对象满意度</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95%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严格按年初预算执行，达到预期绩效目标。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项目负责人：赵秀琼</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财务负责人：杨圣芳</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51081222T000005933856-工程质量抽样检查</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广元市朝天区交通运输综合行政执法大队</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6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严格落《公路水运工程质量监督管理规定》（交通部2017年28号文）第四条交通运输部负责全国公路水运工程质量监督管理工作。</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严格落《公路水运工程质量监督管理规定》（交通部2017年28号文）第四条交通运输部负责全国公路水运工程质量监督管理工作。</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用于支付工程质量抽样检测费用。</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被抽检项目</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个</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质量指标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抽检项目达标整改率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完成时间2022年12月</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好坏</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工程质量抽样检查费用</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30000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30000元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91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经济效益指标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邀约第三方提供服务，提升经济收入</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好坏</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可持续影响指标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延长使用年限</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好坏</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服务对象满意度指标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服务对象满意度</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95%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严格按年初预算执行，达到预期绩效目标。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项目负责人：陈天波</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财务负责人：杨圣芳</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51081222T000005933863-交通运输执法队伍建设</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广元市朝天区交通运输综合行政执法大队</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112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落实财政部、司法部《综合行政执法制式服装和标志管理办法》（财行〔2020〕299号）、省交通运输厅《关于做好四川省交通运输行政执法综合管理信息系统配套执法装备工作的通知》（川交法函〔2021〕170号）等相关要求，配备执法装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落实财政部、司法部《综合行政执法制式服装和标志管理办法》（财行〔2020〕299号）、省交通运输厅《关于做好四川省交通运输行政执法综合管理信息系统配套执法装备工作的通知》（川交法函〔2021〕170号）等相关要求，配备执法装备。</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用于购买执法装备、执法服装，提升交通执法队伍形象。</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48</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48</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48</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48</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48</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48</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执法人员服装配备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人数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25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质量指标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执法装备符合相关法律要求</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好坏</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完成时间2022年12月</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好坏</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基本实现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执法队伍建设费用</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480000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480000元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塑造良好胡执法形象</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好坏</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可持续影响指标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安全生产持续稳定</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好坏</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服务对象满意度指标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服务对象满意</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95%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严格按年初预算执行，达到预期绩效目标。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项目负责人：孙文帮</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财务负责人：杨圣芳</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51081222T000005933875-海事救援艇维护费</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广元市朝天区交通运输综合行政执法大队</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45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为充分发挥川海巡救08号海事救援艇抢险应急功能，确保日常管理科学有序，安全运行。</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为充分发挥川海巡救08号海事救援艇抢险应急功能，确保日常管理科学有序，安全运行。</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用于川海巡08号日常管理费用</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海巡艇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艘</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质量指标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安全检查合格率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工作完成时间为2022年12月</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好坏</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海巡艇正常运行成本</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200000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200000元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经济效益指标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提供就业岗位，带动就业收入</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好坏</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良好的交通运输状况</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好坏</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可持续影响指标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安全生产持续稳定</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好坏</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服务对象满意度指标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服务对象满意度</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95%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严格按年初预算执行，达到预期绩效目标。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项目负责人：乔大金</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财务负责人：杨圣芳</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51081222T000005947720-七盘关超限检测站购买服务经费</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广元市朝天区交通运输综合行政执法大队</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6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根据国家Ⅰ类超限站工作人员配备相关要求和区委区政府领导安排，保障七盘关超限检测站已按照“三班两运转”实行24小时运行。</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根据国家Ⅰ类超限站工作人员配备相关要求和区委区政府领导安排，保障七盘关超限检测站已按照“三班两运转”实行24小时运行。</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用于支付七盘关超限检测站三班两运转辅助执法人员的劳务费用。</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协助执法人员</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质量指标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超限检测率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完成工作时间2022年12月</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好坏</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购买服务经费</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500000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500000元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经济效益指标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提供就业岗位，带动就业收入</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好坏</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良好的交通运输状况</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好坏</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可持续影响指标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安全生产持续稳定</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好坏</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服务对象满意度指标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服务对象满意度</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95%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严格按年初预算执行，达到预期绩效目标。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项目负责人：赵秀琼</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财务负责人：杨圣芳</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51081222T000007333453-普通公路超限检测电子抓拍系统</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广元市朝天区交通运输综合行政执法大队</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72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加强普通公路超限检测站电子抓拍系统建设，切实提升我区超限超载治理水平，有效解决当前“双超”治理中存在的突出问题。</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加强普通公路超限检测站电子抓拍系统建设，切实提升我区超限超载治理水平，有效解决当前“双超”治理中存在的突出问题。</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用于电子抓拍系统的设备及安装费用。</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16</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16</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电子抓拍系统</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质量指标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严格按合同技术标准实施</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完成工作时间2022年12月</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好坏</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经济成本指标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设备安装费用</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160000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160000元</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经济效益指标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对经济发展的促进作用</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Arial" w:hAnsi="Arial" w:cs="Arial"/>
                <w:color w:val="000000"/>
                <w:kern w:val="0"/>
                <w:sz w:val="18"/>
                <w:szCs w:val="18"/>
              </w:rPr>
            </w:pPr>
            <w:r>
              <w:rPr>
                <w:rFonts w:ascii="Arial" w:hAnsi="Arial" w:cs="Arial"/>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95%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维护辖区内交通秩序的安全稳定</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Arial" w:hAnsi="Arial" w:cs="Arial"/>
                <w:color w:val="000000"/>
                <w:kern w:val="0"/>
                <w:sz w:val="18"/>
                <w:szCs w:val="18"/>
              </w:rPr>
            </w:pPr>
            <w:r>
              <w:rPr>
                <w:rFonts w:ascii="Arial" w:hAnsi="Arial" w:cs="Arial"/>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95%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满意度指标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服务对象满意度　　</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Arial" w:hAnsi="Arial" w:cs="Arial"/>
                <w:color w:val="000000"/>
                <w:kern w:val="0"/>
                <w:sz w:val="18"/>
                <w:szCs w:val="18"/>
              </w:rPr>
            </w:pPr>
            <w:r>
              <w:rPr>
                <w:rFonts w:ascii="Arial" w:hAnsi="Arial" w:cs="Arial"/>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95%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严格按年初预算执行，达到预期绩效目标。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项目负责人：苏华全</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财务负责人：杨圣芳</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51081222Y000005135060-定额公用经费（行政）</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广元市朝天区交通运输综合行政执法大队</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45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提高预算编制质量，严格执行预算，保障</w:t>
            </w: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日常运转。</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提高预算编制质量，严格执行预算，保障</w:t>
            </w: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日常运转。</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用于执法大队日常办公支出，保障</w:t>
            </w: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正常运转。</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16</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18.71</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18.71</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16</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18.71</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18.71</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科目调整次数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次</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5次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13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质量指标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预算编制准确率（计算方法为：∣（执行数-预算数）/预算数∣）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15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经济效益指标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“三公”经费</w:t>
            </w:r>
            <w:r>
              <w:rPr>
                <w:rFonts w:hint="eastAsia" w:ascii="宋体" w:hAnsi="宋体" w:cs="宋体"/>
                <w:color w:val="000000"/>
                <w:kern w:val="0"/>
                <w:sz w:val="18"/>
                <w:szCs w:val="18"/>
              </w:rPr>
              <w:t>控制率[计算方法为：（三公经费实际支出数/预算安排数]×100%）</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运转保障率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严格按年初预算执行，达到预期绩效目标。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项目负责人：孙文帮</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财务负责人：杨圣芳</w:t>
            </w:r>
          </w:p>
        </w:tc>
      </w:tr>
      <w:tr>
        <w:tblPrEx>
          <w:tblCellMar>
            <w:top w:w="0" w:type="dxa"/>
            <w:left w:w="108" w:type="dxa"/>
            <w:bottom w:w="0" w:type="dxa"/>
            <w:right w:w="108" w:type="dxa"/>
          </w:tblCellMar>
        </w:tblPrEx>
        <w:trPr>
          <w:trHeight w:val="58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70"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51000021R000000019954-聘用人员经费</w:t>
            </w:r>
          </w:p>
        </w:tc>
      </w:tr>
      <w:tr>
        <w:tblPrEx>
          <w:tblCellMar>
            <w:top w:w="0" w:type="dxa"/>
            <w:left w:w="108" w:type="dxa"/>
            <w:bottom w:w="0" w:type="dxa"/>
            <w:right w:w="108" w:type="dxa"/>
          </w:tblCellMar>
        </w:tblPrEx>
        <w:trPr>
          <w:trHeight w:val="270"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实施</w:t>
            </w:r>
            <w:r>
              <w:rPr>
                <w:rFonts w:hint="eastAsia" w:ascii="黑体" w:hAnsi="宋体" w:eastAsia="黑体" w:cs="宋体"/>
                <w:color w:val="000000"/>
                <w:kern w:val="0"/>
                <w:sz w:val="18"/>
                <w:szCs w:val="18"/>
                <w:lang w:eastAsia="zh-CN"/>
              </w:rPr>
              <w:t>部门</w:t>
            </w:r>
            <w:r>
              <w:rPr>
                <w:rFonts w:hint="eastAsia" w:ascii="黑体" w:hAnsi="宋体" w:eastAsia="黑体" w:cs="宋体"/>
                <w:color w:val="000000"/>
                <w:kern w:val="0"/>
                <w:sz w:val="18"/>
                <w:szCs w:val="18"/>
              </w:rPr>
              <w:t xml:space="preserve"> （盖章）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广元市朝天区交通运输综合服务中心</w:t>
            </w:r>
          </w:p>
        </w:tc>
      </w:tr>
      <w:tr>
        <w:tblPrEx>
          <w:tblCellMar>
            <w:top w:w="0" w:type="dxa"/>
            <w:left w:w="108" w:type="dxa"/>
            <w:bottom w:w="0" w:type="dxa"/>
            <w:right w:w="108" w:type="dxa"/>
          </w:tblCellMar>
        </w:tblPrEx>
        <w:trPr>
          <w:trHeight w:val="40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黑体" w:hAnsi="宋体" w:eastAsia="黑体" w:cs="宋体"/>
                <w:color w:val="000000"/>
                <w:kern w:val="0"/>
                <w:sz w:val="18"/>
                <w:szCs w:val="18"/>
              </w:rPr>
            </w:pPr>
            <w:r>
              <w:rPr>
                <w:rFonts w:hint="eastAsia" w:ascii="黑体" w:hAnsi="宋体" w:eastAsia="黑体" w:cs="宋体"/>
                <w:color w:val="000000"/>
                <w:kern w:val="0"/>
                <w:sz w:val="18"/>
                <w:szCs w:val="18"/>
              </w:rPr>
              <w:t>年度目标完成情况</w:t>
            </w:r>
          </w:p>
        </w:tc>
      </w:tr>
      <w:tr>
        <w:tblPrEx>
          <w:tblCellMar>
            <w:top w:w="0" w:type="dxa"/>
            <w:left w:w="108" w:type="dxa"/>
            <w:bottom w:w="0" w:type="dxa"/>
            <w:right w:w="108" w:type="dxa"/>
          </w:tblCellMar>
        </w:tblPrEx>
        <w:trPr>
          <w:trHeight w:val="45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严格执行相关政策，保障工资及时发放、足额发放，预算编制科学合理，减少结余资金</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对照年度目标，说明相关任务目标的完成情况（100字以内）</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27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7</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7</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7</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1.预算执行率=预算执行数/调整后预算数，预算执行率未达到90%的需说明原因（100字以内）;2.年中发生预算调整的（追加或调减）,应单独说明理由；3.其他资金包括：社会投入资金、银行贷款.</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7</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7</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7</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科目调整次数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次</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按时发放率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91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经济效益指标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结余率（计算方法为：结余数/预算数）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严格执行相关政策，按月及时发放聘用人员工资，提高工作积极性。</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强化预算，继续提高自身工作效率。</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项目负责人：廖植</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财务负责人：岳阳生</w:t>
            </w:r>
          </w:p>
        </w:tc>
      </w:tr>
      <w:tr>
        <w:tblPrEx>
          <w:tblCellMar>
            <w:top w:w="0" w:type="dxa"/>
            <w:left w:w="108" w:type="dxa"/>
            <w:bottom w:w="0" w:type="dxa"/>
            <w:right w:w="108" w:type="dxa"/>
          </w:tblCellMar>
        </w:tblPrEx>
        <w:trPr>
          <w:trHeight w:val="285" w:hRule="atLeast"/>
        </w:trPr>
        <w:tc>
          <w:tcPr>
            <w:tcW w:w="3987" w:type="dxa"/>
            <w:gridSpan w:val="8"/>
            <w:tcBorders>
              <w:top w:val="single" w:color="000000" w:sz="8" w:space="0"/>
              <w:left w:val="nil"/>
              <w:bottom w:val="single" w:color="000000" w:sz="8" w:space="0"/>
              <w:right w:val="nil"/>
            </w:tcBorders>
            <w:shd w:val="clear" w:color="auto" w:fill="auto"/>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报表编号：510000_0013zp</w:t>
            </w:r>
          </w:p>
        </w:tc>
        <w:tc>
          <w:tcPr>
            <w:tcW w:w="1000" w:type="dxa"/>
            <w:tcBorders>
              <w:top w:val="nil"/>
              <w:left w:val="nil"/>
              <w:bottom w:val="nil"/>
              <w:right w:val="nil"/>
            </w:tcBorders>
            <w:shd w:val="clear" w:color="auto" w:fill="auto"/>
            <w:noWrap/>
            <w:vAlign w:val="center"/>
          </w:tcPr>
          <w:p>
            <w:pPr>
              <w:widowControl/>
              <w:rPr>
                <w:rFonts w:ascii="宋体" w:hAnsi="宋体" w:cs="宋体"/>
                <w:color w:val="000000"/>
                <w:kern w:val="0"/>
                <w:sz w:val="22"/>
                <w:szCs w:val="22"/>
              </w:rPr>
            </w:pPr>
          </w:p>
        </w:tc>
        <w:tc>
          <w:tcPr>
            <w:tcW w:w="3077" w:type="dxa"/>
            <w:gridSpan w:val="5"/>
            <w:tcBorders>
              <w:top w:val="single" w:color="000000" w:sz="8" w:space="0"/>
              <w:left w:val="nil"/>
              <w:bottom w:val="single" w:color="000000" w:sz="8" w:space="0"/>
              <w:right w:val="nil"/>
            </w:tcBorders>
            <w:shd w:val="clear" w:color="auto" w:fill="auto"/>
            <w:vAlign w:val="center"/>
          </w:tcPr>
          <w:p>
            <w:pPr>
              <w:widowControl/>
              <w:rPr>
                <w:rFonts w:ascii="宋体" w:hAnsi="宋体" w:cs="宋体"/>
                <w:color w:val="000000"/>
                <w:kern w:val="0"/>
                <w:sz w:val="20"/>
                <w:szCs w:val="20"/>
              </w:rPr>
            </w:pPr>
            <w:r>
              <w:rPr>
                <w:rFonts w:hint="eastAsia" w:ascii="宋体" w:hAnsi="宋体" w:cs="宋体"/>
                <w:color w:val="000000"/>
                <w:kern w:val="0"/>
                <w:sz w:val="20"/>
                <w:szCs w:val="20"/>
              </w:rPr>
              <w:t>　</w:t>
            </w:r>
          </w:p>
        </w:tc>
        <w:tc>
          <w:tcPr>
            <w:tcW w:w="940" w:type="dxa"/>
            <w:gridSpan w:val="2"/>
            <w:tcBorders>
              <w:top w:val="nil"/>
              <w:left w:val="nil"/>
              <w:bottom w:val="nil"/>
              <w:right w:val="nil"/>
            </w:tcBorders>
            <w:shd w:val="clear" w:color="auto" w:fill="auto"/>
            <w:noWrap/>
            <w:vAlign w:val="center"/>
          </w:tcPr>
          <w:p>
            <w:pPr>
              <w:widowControl/>
              <w:rPr>
                <w:rFonts w:ascii="宋体" w:hAnsi="宋体" w:cs="宋体"/>
                <w:color w:val="000000"/>
                <w:kern w:val="0"/>
                <w:sz w:val="22"/>
                <w:szCs w:val="22"/>
              </w:rPr>
            </w:pPr>
          </w:p>
        </w:tc>
        <w:tc>
          <w:tcPr>
            <w:tcW w:w="780" w:type="dxa"/>
            <w:gridSpan w:val="2"/>
            <w:tcBorders>
              <w:top w:val="nil"/>
              <w:left w:val="nil"/>
              <w:bottom w:val="nil"/>
              <w:right w:val="nil"/>
            </w:tcBorders>
            <w:shd w:val="clear" w:color="auto" w:fill="auto"/>
            <w:noWrap/>
            <w:vAlign w:val="center"/>
          </w:tcPr>
          <w:p>
            <w:pPr>
              <w:widowControl/>
              <w:rPr>
                <w:rFonts w:ascii="宋体" w:hAnsi="宋体" w:cs="宋体"/>
                <w:color w:val="000000"/>
                <w:kern w:val="0"/>
                <w:sz w:val="22"/>
                <w:szCs w:val="22"/>
              </w:rPr>
            </w:pPr>
          </w:p>
        </w:tc>
        <w:tc>
          <w:tcPr>
            <w:tcW w:w="1026" w:type="dxa"/>
            <w:tcBorders>
              <w:top w:val="nil"/>
              <w:left w:val="nil"/>
              <w:bottom w:val="nil"/>
              <w:right w:val="nil"/>
            </w:tcBorders>
            <w:shd w:val="clear" w:color="auto" w:fill="auto"/>
            <w:noWrap/>
            <w:vAlign w:val="center"/>
          </w:tcPr>
          <w:p>
            <w:pPr>
              <w:widowControl/>
              <w:rPr>
                <w:rFonts w:ascii="宋体" w:hAnsi="宋体" w:cs="宋体"/>
                <w:color w:val="000000"/>
                <w:kern w:val="0"/>
                <w:sz w:val="22"/>
                <w:szCs w:val="22"/>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51000021R000000019954-聘用人员经费</w:t>
            </w:r>
          </w:p>
        </w:tc>
      </w:tr>
      <w:tr>
        <w:tblPrEx>
          <w:tblCellMar>
            <w:top w:w="0" w:type="dxa"/>
            <w:left w:w="108" w:type="dxa"/>
            <w:bottom w:w="0" w:type="dxa"/>
            <w:right w:w="108" w:type="dxa"/>
          </w:tblCellMar>
        </w:tblPrEx>
        <w:trPr>
          <w:trHeight w:val="46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实施</w:t>
            </w:r>
            <w:r>
              <w:rPr>
                <w:rFonts w:hint="eastAsia" w:ascii="黑体" w:hAnsi="宋体" w:eastAsia="黑体" w:cs="宋体"/>
                <w:color w:val="000000"/>
                <w:kern w:val="0"/>
                <w:sz w:val="18"/>
                <w:szCs w:val="18"/>
                <w:lang w:eastAsia="zh-CN"/>
              </w:rPr>
              <w:t>部门</w:t>
            </w:r>
            <w:r>
              <w:rPr>
                <w:rFonts w:hint="eastAsia" w:ascii="黑体" w:hAnsi="宋体" w:eastAsia="黑体" w:cs="宋体"/>
                <w:color w:val="000000"/>
                <w:kern w:val="0"/>
                <w:sz w:val="18"/>
                <w:szCs w:val="18"/>
              </w:rPr>
              <w:t xml:space="preserve"> （盖章）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广元市朝天区公路养护段</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黑体" w:hAnsi="宋体" w:eastAsia="黑体" w:cs="宋体"/>
                <w:color w:val="000000"/>
                <w:kern w:val="0"/>
                <w:sz w:val="18"/>
                <w:szCs w:val="18"/>
              </w:rPr>
            </w:pPr>
            <w:r>
              <w:rPr>
                <w:rFonts w:hint="eastAsia" w:ascii="黑体" w:hAnsi="宋体" w:eastAsia="黑体" w:cs="宋体"/>
                <w:color w:val="000000"/>
                <w:kern w:val="0"/>
                <w:sz w:val="18"/>
                <w:szCs w:val="18"/>
              </w:rPr>
              <w:t>年度目标完成情况</w:t>
            </w:r>
          </w:p>
        </w:tc>
      </w:tr>
      <w:tr>
        <w:tblPrEx>
          <w:tblCellMar>
            <w:top w:w="0" w:type="dxa"/>
            <w:left w:w="108" w:type="dxa"/>
            <w:bottom w:w="0" w:type="dxa"/>
            <w:right w:w="108" w:type="dxa"/>
          </w:tblCellMar>
        </w:tblPrEx>
        <w:trPr>
          <w:trHeight w:val="6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严格执行相关政策，保障工资及时发放、足额发放，预算编制科学合理，减少结余资金</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严格执行相关政策，工资足额保障率100%，科目调整次数为零，按时发放率100%，预算结余率为0，全面完成年度绩效目标</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本年度严格执行工资政策，根据财政批复的预算，每月及时制定工资表，按时足额保障工资发放，由于预算制定准确，资金结余率为零</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27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3.5</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3.5</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3.5</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1.预算执行率=预算执行数/调整后预算数，预算执行率未达到90%的需说明原因（100字以内）;2.年中发生预算调整的（追加或调减）,应单独说明理由；3.其他资金包括：社会投入资金、银行贷款.</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3.5</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3.5</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3.5</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科目调整次数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次</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按时发放率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91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经济效益指标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结余率（计算方法为：结余数/预算数）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righ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540"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color w:val="000000"/>
                <w:kern w:val="0"/>
                <w:sz w:val="16"/>
                <w:szCs w:val="16"/>
              </w:rPr>
            </w:pPr>
            <w:r>
              <w:rPr>
                <w:rFonts w:hint="eastAsia" w:ascii="微软雅黑" w:hAnsi="微软雅黑" w:eastAsia="微软雅黑" w:cs="宋体"/>
                <w:color w:val="000000"/>
                <w:kern w:val="0"/>
                <w:sz w:val="16"/>
                <w:szCs w:val="16"/>
              </w:rPr>
              <w:t>本项目自评得分100分，严格执行相关政策，工资足额保障率100%，科目调整次数为零，按时发放率100%，预算结余率为0，全面完成年度绩效目标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color w:val="000000"/>
                <w:kern w:val="0"/>
                <w:sz w:val="16"/>
                <w:szCs w:val="16"/>
              </w:rPr>
            </w:pPr>
            <w:r>
              <w:rPr>
                <w:rFonts w:hint="eastAsia" w:ascii="微软雅黑" w:hAnsi="微软雅黑" w:eastAsia="微软雅黑" w:cs="宋体"/>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color w:val="000000"/>
                <w:kern w:val="0"/>
                <w:sz w:val="16"/>
                <w:szCs w:val="16"/>
              </w:rPr>
            </w:pPr>
            <w:r>
              <w:rPr>
                <w:rFonts w:hint="eastAsia" w:ascii="微软雅黑" w:hAnsi="微软雅黑" w:eastAsia="微软雅黑" w:cs="宋体"/>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项目负责人：魏三建</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财务负责人：赵登林</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51081221R000000033316-其他对个人和家庭补助</w:t>
            </w:r>
          </w:p>
        </w:tc>
      </w:tr>
      <w:tr>
        <w:tblPrEx>
          <w:tblCellMar>
            <w:top w:w="0" w:type="dxa"/>
            <w:left w:w="108" w:type="dxa"/>
            <w:bottom w:w="0" w:type="dxa"/>
            <w:right w:w="108" w:type="dxa"/>
          </w:tblCellMar>
        </w:tblPrEx>
        <w:trPr>
          <w:trHeight w:val="46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实施</w:t>
            </w:r>
            <w:r>
              <w:rPr>
                <w:rFonts w:hint="eastAsia" w:ascii="黑体" w:hAnsi="宋体" w:eastAsia="黑体" w:cs="宋体"/>
                <w:color w:val="000000"/>
                <w:kern w:val="0"/>
                <w:sz w:val="18"/>
                <w:szCs w:val="18"/>
                <w:lang w:eastAsia="zh-CN"/>
              </w:rPr>
              <w:t>部门</w:t>
            </w:r>
            <w:r>
              <w:rPr>
                <w:rFonts w:hint="eastAsia" w:ascii="黑体" w:hAnsi="宋体" w:eastAsia="黑体" w:cs="宋体"/>
                <w:color w:val="000000"/>
                <w:kern w:val="0"/>
                <w:sz w:val="18"/>
                <w:szCs w:val="18"/>
              </w:rPr>
              <w:t xml:space="preserve"> （盖章）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广元市朝天区公路养护段</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黑体" w:hAnsi="宋体" w:eastAsia="黑体" w:cs="宋体"/>
                <w:color w:val="000000"/>
                <w:kern w:val="0"/>
                <w:sz w:val="18"/>
                <w:szCs w:val="18"/>
              </w:rPr>
            </w:pPr>
            <w:r>
              <w:rPr>
                <w:rFonts w:hint="eastAsia" w:ascii="黑体" w:hAnsi="宋体" w:eastAsia="黑体" w:cs="宋体"/>
                <w:color w:val="000000"/>
                <w:kern w:val="0"/>
                <w:sz w:val="18"/>
                <w:szCs w:val="18"/>
              </w:rPr>
              <w:t>年度目标完成情况</w:t>
            </w:r>
          </w:p>
        </w:tc>
      </w:tr>
      <w:tr>
        <w:tblPrEx>
          <w:tblCellMar>
            <w:top w:w="0" w:type="dxa"/>
            <w:left w:w="108" w:type="dxa"/>
            <w:bottom w:w="0" w:type="dxa"/>
            <w:right w:w="108" w:type="dxa"/>
          </w:tblCellMar>
        </w:tblPrEx>
        <w:trPr>
          <w:trHeight w:val="45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严格执行相关政策，保障工资及时、足额发放或社保及时、足额缴纳，预算编制科学合理，减少结余资金。</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严格执行相关政策，工资或社保足额保障率100%，发放覆盖率100%，全面完成年度绩效目标</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本年度严格执行工资政策，根据财政批复的预算，每月及时制定工资表，按时足额保障工资或社保的发放，由发放覆盖率100%</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27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9.96</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9.96</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1.预算执行率=预算执行数/调整后预算数，预算执行率未达到90%的需说明原因（100字以内）;2.年中发生预算调整的（追加或调减）,应单独说明理由；3.其他资金包括：社会投入资金、银行贷款.</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9.96</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9.96</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发放（缴纳）覆盖率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足额保障率（参保率）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righ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color w:val="000000"/>
                <w:kern w:val="0"/>
                <w:sz w:val="16"/>
                <w:szCs w:val="16"/>
              </w:rPr>
            </w:pPr>
            <w:r>
              <w:rPr>
                <w:rFonts w:hint="eastAsia" w:ascii="微软雅黑" w:hAnsi="微软雅黑" w:eastAsia="微软雅黑" w:cs="宋体"/>
                <w:color w:val="000000"/>
                <w:kern w:val="0"/>
                <w:sz w:val="16"/>
                <w:szCs w:val="16"/>
              </w:rPr>
              <w:t>本项目自评得分100分，严格执行相关政策，工资或社保足额保障率100%，发放覆盖率100%，全面完成年度绩效目标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color w:val="000000"/>
                <w:kern w:val="0"/>
                <w:sz w:val="16"/>
                <w:szCs w:val="16"/>
              </w:rPr>
            </w:pPr>
            <w:r>
              <w:rPr>
                <w:rFonts w:hint="eastAsia" w:ascii="微软雅黑" w:hAnsi="微软雅黑" w:eastAsia="微软雅黑" w:cs="宋体"/>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color w:val="000000"/>
                <w:kern w:val="0"/>
                <w:sz w:val="16"/>
                <w:szCs w:val="16"/>
              </w:rPr>
            </w:pPr>
            <w:r>
              <w:rPr>
                <w:rFonts w:hint="eastAsia" w:ascii="微软雅黑" w:hAnsi="微软雅黑" w:eastAsia="微软雅黑" w:cs="宋体"/>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项目负责人：魏三建</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财务负责人：赵登林</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51081221R000000033747-独子费</w:t>
            </w:r>
          </w:p>
        </w:tc>
      </w:tr>
      <w:tr>
        <w:tblPrEx>
          <w:tblCellMar>
            <w:top w:w="0" w:type="dxa"/>
            <w:left w:w="108" w:type="dxa"/>
            <w:bottom w:w="0" w:type="dxa"/>
            <w:right w:w="108" w:type="dxa"/>
          </w:tblCellMar>
        </w:tblPrEx>
        <w:trPr>
          <w:trHeight w:val="46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实施</w:t>
            </w:r>
            <w:r>
              <w:rPr>
                <w:rFonts w:hint="eastAsia" w:ascii="黑体" w:hAnsi="宋体" w:eastAsia="黑体" w:cs="宋体"/>
                <w:color w:val="000000"/>
                <w:kern w:val="0"/>
                <w:sz w:val="18"/>
                <w:szCs w:val="18"/>
                <w:lang w:eastAsia="zh-CN"/>
              </w:rPr>
              <w:t>部门</w:t>
            </w:r>
            <w:r>
              <w:rPr>
                <w:rFonts w:hint="eastAsia" w:ascii="黑体" w:hAnsi="宋体" w:eastAsia="黑体" w:cs="宋体"/>
                <w:color w:val="000000"/>
                <w:kern w:val="0"/>
                <w:sz w:val="18"/>
                <w:szCs w:val="18"/>
              </w:rPr>
              <w:t xml:space="preserve"> （盖章）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广元市朝天区公路养护段</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黑体" w:hAnsi="宋体" w:eastAsia="黑体" w:cs="宋体"/>
                <w:color w:val="000000"/>
                <w:kern w:val="0"/>
                <w:sz w:val="18"/>
                <w:szCs w:val="18"/>
              </w:rPr>
            </w:pPr>
            <w:r>
              <w:rPr>
                <w:rFonts w:hint="eastAsia" w:ascii="黑体" w:hAnsi="宋体" w:eastAsia="黑体" w:cs="宋体"/>
                <w:color w:val="000000"/>
                <w:kern w:val="0"/>
                <w:sz w:val="18"/>
                <w:szCs w:val="18"/>
              </w:rPr>
              <w:t>年度目标完成情况</w:t>
            </w:r>
          </w:p>
        </w:tc>
      </w:tr>
      <w:tr>
        <w:tblPrEx>
          <w:tblCellMar>
            <w:top w:w="0" w:type="dxa"/>
            <w:left w:w="108" w:type="dxa"/>
            <w:bottom w:w="0" w:type="dxa"/>
            <w:right w:w="108" w:type="dxa"/>
          </w:tblCellMar>
        </w:tblPrEx>
        <w:trPr>
          <w:trHeight w:val="6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严格执行相关政策，保障独子费及时发放、足额发放，预算编制科学合理，减少结余资金</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严格执行相关政策，独子费足额保障率100%，科目调整次数为零，按时发放率100%，预算结余率为0，全面完成年度绩效目标</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本年度严格执行独子费政策，根据财政批复的预算，按时足额保障独子费发放，由于预算制定准确，资金结余率为零</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0.14</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0.14</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0.04</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25.00%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2.8</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预算执行率为28.57%.，主要是享受独子费的人员比编制预算时减少所致</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0.14</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0.14</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0.04</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25.00%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科目调整次数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次</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按时发放率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91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经济效益指标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结余率（计算方法为：结余数/预算数）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71.43</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right"/>
              <w:rPr>
                <w:rFonts w:ascii="宋体" w:hAnsi="宋体" w:cs="宋体"/>
                <w:color w:val="000000"/>
                <w:kern w:val="0"/>
                <w:sz w:val="18"/>
                <w:szCs w:val="18"/>
              </w:rPr>
            </w:pPr>
            <w:r>
              <w:rPr>
                <w:rFonts w:hint="eastAsia" w:ascii="宋体" w:hAnsi="宋体" w:cs="宋体"/>
                <w:color w:val="000000"/>
                <w:kern w:val="0"/>
                <w:sz w:val="18"/>
                <w:szCs w:val="18"/>
              </w:rPr>
              <w:t>70.3</w:t>
            </w:r>
          </w:p>
        </w:tc>
        <w:tc>
          <w:tcPr>
            <w:tcW w:w="1026" w:type="dxa"/>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540"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color w:val="000000"/>
                <w:kern w:val="0"/>
                <w:sz w:val="16"/>
                <w:szCs w:val="16"/>
              </w:rPr>
            </w:pPr>
            <w:r>
              <w:rPr>
                <w:rFonts w:hint="eastAsia" w:ascii="微软雅黑" w:hAnsi="微软雅黑" w:eastAsia="微软雅黑" w:cs="宋体"/>
                <w:color w:val="000000"/>
                <w:kern w:val="0"/>
                <w:sz w:val="16"/>
                <w:szCs w:val="16"/>
              </w:rPr>
              <w:t>本项目自评得分70.3分，严格执行相关政策，独子费足额保障率100%，科目调整次数为零，按时发放率100%，预算结余率为71.43%没有完成指标值，主要是由于享受独子费人员减少所致</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项目负责人：魏三建</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财务负责人：赵登林</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51081221R000000033753-遗属生活补助</w:t>
            </w:r>
          </w:p>
        </w:tc>
      </w:tr>
      <w:tr>
        <w:tblPrEx>
          <w:tblCellMar>
            <w:top w:w="0" w:type="dxa"/>
            <w:left w:w="108" w:type="dxa"/>
            <w:bottom w:w="0" w:type="dxa"/>
            <w:right w:w="108" w:type="dxa"/>
          </w:tblCellMar>
        </w:tblPrEx>
        <w:trPr>
          <w:trHeight w:val="46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实施</w:t>
            </w:r>
            <w:r>
              <w:rPr>
                <w:rFonts w:hint="eastAsia" w:ascii="黑体" w:hAnsi="宋体" w:eastAsia="黑体" w:cs="宋体"/>
                <w:color w:val="000000"/>
                <w:kern w:val="0"/>
                <w:sz w:val="18"/>
                <w:szCs w:val="18"/>
                <w:lang w:eastAsia="zh-CN"/>
              </w:rPr>
              <w:t>部门</w:t>
            </w:r>
            <w:r>
              <w:rPr>
                <w:rFonts w:hint="eastAsia" w:ascii="黑体" w:hAnsi="宋体" w:eastAsia="黑体" w:cs="宋体"/>
                <w:color w:val="000000"/>
                <w:kern w:val="0"/>
                <w:sz w:val="18"/>
                <w:szCs w:val="18"/>
              </w:rPr>
              <w:t xml:space="preserve"> （盖章）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广元市朝天区公路养护段</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黑体" w:hAnsi="宋体" w:eastAsia="黑体" w:cs="宋体"/>
                <w:color w:val="000000"/>
                <w:kern w:val="0"/>
                <w:sz w:val="18"/>
                <w:szCs w:val="18"/>
              </w:rPr>
            </w:pPr>
            <w:r>
              <w:rPr>
                <w:rFonts w:hint="eastAsia" w:ascii="黑体" w:hAnsi="宋体" w:eastAsia="黑体" w:cs="宋体"/>
                <w:color w:val="000000"/>
                <w:kern w:val="0"/>
                <w:sz w:val="18"/>
                <w:szCs w:val="18"/>
              </w:rPr>
              <w:t>年度目标完成情况</w:t>
            </w:r>
          </w:p>
        </w:tc>
      </w:tr>
      <w:tr>
        <w:tblPrEx>
          <w:tblCellMar>
            <w:top w:w="0" w:type="dxa"/>
            <w:left w:w="108" w:type="dxa"/>
            <w:bottom w:w="0" w:type="dxa"/>
            <w:right w:w="108" w:type="dxa"/>
          </w:tblCellMar>
        </w:tblPrEx>
        <w:trPr>
          <w:trHeight w:val="45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严格执行相关政策，保障遗属生活补助及时、足额发放或社保及时、足额缴纳，预算编制科学合理，减少结余资金。</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严格执行相关政策，遗属生活补助足额保障率100%，发放覆盖率100%，全面完成年度绩效目标</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本年度严格执行遗属生活补助政策，根据财政批复的预算，按时足额保障遗属生活补助发放，发放覆盖率100%</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27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7.85</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8.3</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8.3</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1.预算执行率=预算执行数/调整后预算数，预算执行率未达到90%的需说明原因（100字以内）;2.年中发生预算调整的（追加或调减）,应单独说明理由；3.其他资金包括：社会投入资金、银行贷款.</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7.85</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8.3</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8.3</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发放（缴纳）覆盖率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足额保障率（参保率）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26" w:type="dxa"/>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本项目自评得分100分，严格执行相关政策，遗属生活补助足额保障率100%，发放覆盖率100%，全面完成绩效指标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项目负责人：魏三建</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财务负责人：赵登林</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51081221R000000052055-05年以前退休人员医疗保险</w:t>
            </w:r>
          </w:p>
        </w:tc>
      </w:tr>
      <w:tr>
        <w:tblPrEx>
          <w:tblCellMar>
            <w:top w:w="0" w:type="dxa"/>
            <w:left w:w="108" w:type="dxa"/>
            <w:bottom w:w="0" w:type="dxa"/>
            <w:right w:w="108" w:type="dxa"/>
          </w:tblCellMar>
        </w:tblPrEx>
        <w:trPr>
          <w:trHeight w:val="46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实施</w:t>
            </w:r>
            <w:r>
              <w:rPr>
                <w:rFonts w:hint="eastAsia" w:ascii="黑体" w:hAnsi="宋体" w:eastAsia="黑体" w:cs="宋体"/>
                <w:color w:val="000000"/>
                <w:kern w:val="0"/>
                <w:sz w:val="18"/>
                <w:szCs w:val="18"/>
                <w:lang w:eastAsia="zh-CN"/>
              </w:rPr>
              <w:t>部门</w:t>
            </w:r>
            <w:r>
              <w:rPr>
                <w:rFonts w:hint="eastAsia" w:ascii="黑体" w:hAnsi="宋体" w:eastAsia="黑体" w:cs="宋体"/>
                <w:color w:val="000000"/>
                <w:kern w:val="0"/>
                <w:sz w:val="18"/>
                <w:szCs w:val="18"/>
              </w:rPr>
              <w:t xml:space="preserve"> （盖章）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广元市朝天区公路养护段</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黑体" w:hAnsi="宋体" w:eastAsia="黑体" w:cs="宋体"/>
                <w:color w:val="000000"/>
                <w:kern w:val="0"/>
                <w:sz w:val="18"/>
                <w:szCs w:val="18"/>
              </w:rPr>
            </w:pPr>
            <w:r>
              <w:rPr>
                <w:rFonts w:hint="eastAsia" w:ascii="黑体" w:hAnsi="宋体" w:eastAsia="黑体" w:cs="宋体"/>
                <w:color w:val="000000"/>
                <w:kern w:val="0"/>
                <w:sz w:val="18"/>
                <w:szCs w:val="18"/>
              </w:rPr>
              <w:t>年度目标完成情况</w:t>
            </w:r>
          </w:p>
        </w:tc>
      </w:tr>
      <w:tr>
        <w:tblPrEx>
          <w:tblCellMar>
            <w:top w:w="0" w:type="dxa"/>
            <w:left w:w="108" w:type="dxa"/>
            <w:bottom w:w="0" w:type="dxa"/>
            <w:right w:w="108" w:type="dxa"/>
          </w:tblCellMar>
        </w:tblPrEx>
        <w:trPr>
          <w:trHeight w:val="6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严格执行相关政策，保障退休人员医疗保险及时发放、足额发放，预算编制科学合理，减少结余资金</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严格执行相关政策，退休人员医疗保险足额保障率100%，科目调整次数为零，按时发放率100%，预算结余率为0，全面完成年度绩效目标</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本年度严格执行05年以前退休人员医疗保险政策，根据财政批复的预算，按时足额保障05年以前退休人员医疗保险放，由于预算制定准确，由于享受医疗保险人员减少，导致资金结余率为9.76%</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27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3.47</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3.47</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3.13</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90.24%</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1.预算执行率=预算执行数/调整后预算数，预算执行率未达到90%的需说明原因（100字以内）;2.年中发生预算调整的（追加或调减）,应单独说明理由；3.其他资金包括：社会投入资金、银行贷款.</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3.47</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3.47</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3.13</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90.24%</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科目调整次数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次</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按时发放率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91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经济效益指标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结余率（计算方法为：结余数/预算数）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9.76</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right"/>
              <w:rPr>
                <w:rFonts w:ascii="宋体" w:hAnsi="宋体" w:cs="宋体"/>
                <w:color w:val="000000"/>
                <w:kern w:val="0"/>
                <w:sz w:val="18"/>
                <w:szCs w:val="18"/>
              </w:rPr>
            </w:pPr>
            <w:r>
              <w:rPr>
                <w:rFonts w:hint="eastAsia" w:ascii="宋体" w:hAnsi="宋体" w:cs="宋体"/>
                <w:color w:val="000000"/>
                <w:kern w:val="0"/>
                <w:sz w:val="18"/>
                <w:szCs w:val="18"/>
              </w:rPr>
              <w:t>76.5</w:t>
            </w:r>
          </w:p>
        </w:tc>
        <w:tc>
          <w:tcPr>
            <w:tcW w:w="1026" w:type="dxa"/>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540"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本项目自评得分76.5分，严格执行相关政策，05年以前退休人员医疗保险足额保障率100%，科目调整次数为零，按时发放率100%，预算结余率为9.76%没有完成指标值，主要是由于享受05年以前退休人员医疗保险人员减少所致</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项目负责人：魏三建</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财务负责人：赵登林</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51081221Y000000052199-金财网维护费</w:t>
            </w:r>
          </w:p>
        </w:tc>
      </w:tr>
      <w:tr>
        <w:tblPrEx>
          <w:tblCellMar>
            <w:top w:w="0" w:type="dxa"/>
            <w:left w:w="108" w:type="dxa"/>
            <w:bottom w:w="0" w:type="dxa"/>
            <w:right w:w="108" w:type="dxa"/>
          </w:tblCellMar>
        </w:tblPrEx>
        <w:trPr>
          <w:trHeight w:val="46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实施</w:t>
            </w:r>
            <w:r>
              <w:rPr>
                <w:rFonts w:hint="eastAsia" w:ascii="黑体" w:hAnsi="宋体" w:eastAsia="黑体" w:cs="宋体"/>
                <w:color w:val="000000"/>
                <w:kern w:val="0"/>
                <w:sz w:val="18"/>
                <w:szCs w:val="18"/>
                <w:lang w:eastAsia="zh-CN"/>
              </w:rPr>
              <w:t>部门</w:t>
            </w:r>
            <w:r>
              <w:rPr>
                <w:rFonts w:hint="eastAsia" w:ascii="黑体" w:hAnsi="宋体" w:eastAsia="黑体" w:cs="宋体"/>
                <w:color w:val="000000"/>
                <w:kern w:val="0"/>
                <w:sz w:val="18"/>
                <w:szCs w:val="18"/>
              </w:rPr>
              <w:t xml:space="preserve"> （盖章）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广元市朝天区公路养护段</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黑体" w:hAnsi="宋体" w:eastAsia="黑体" w:cs="宋体"/>
                <w:color w:val="000000"/>
                <w:kern w:val="0"/>
                <w:sz w:val="18"/>
                <w:szCs w:val="18"/>
              </w:rPr>
            </w:pPr>
            <w:r>
              <w:rPr>
                <w:rFonts w:hint="eastAsia" w:ascii="黑体" w:hAnsi="宋体" w:eastAsia="黑体" w:cs="宋体"/>
                <w:color w:val="000000"/>
                <w:kern w:val="0"/>
                <w:sz w:val="18"/>
                <w:szCs w:val="18"/>
              </w:rPr>
              <w:t>年度目标完成情况</w:t>
            </w:r>
          </w:p>
        </w:tc>
      </w:tr>
      <w:tr>
        <w:tblPrEx>
          <w:tblCellMar>
            <w:top w:w="0" w:type="dxa"/>
            <w:left w:w="108" w:type="dxa"/>
            <w:bottom w:w="0" w:type="dxa"/>
            <w:right w:w="108" w:type="dxa"/>
          </w:tblCellMar>
        </w:tblPrEx>
        <w:trPr>
          <w:trHeight w:val="6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保障</w:t>
            </w: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日常运转，提高预算编制质量，严格执行预算</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严格执行相关政策，科目调整次数为零，三公经费控制率100%，运转保障率为100%，全面完成年度绩效目标</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严格执行相关政策，保障金财网正常运转，科目调整次数为零，三公经费控制率100%，运转保障率为100%，全面完成年度绩效目标</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27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0.24</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0.24</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0.24</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1.预算执行率=预算执行数/调整后预算数，预算执行率未达到90%的需说明原因（100字以内）;2.年中发生预算调整的（追加或调减）,应单独说明理由；3.其他资金包括：社会投入资金、银行贷款.</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0.24</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0.24</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0.24</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科目调整次数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次</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13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质量指标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预算编制准确率（计算方法为：∣（执行数-预算数）/预算数∣）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15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经济效益指标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“三公”经费</w:t>
            </w:r>
            <w:r>
              <w:rPr>
                <w:rFonts w:hint="eastAsia" w:ascii="宋体" w:hAnsi="宋体" w:cs="宋体"/>
                <w:color w:val="000000"/>
                <w:kern w:val="0"/>
                <w:sz w:val="18"/>
                <w:szCs w:val="18"/>
              </w:rPr>
              <w:t>控制率[计算方法为：（三公经费实际支出数/预算安排数]×100%）</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运转保障率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righ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本项目自评得分100分，保障金财网正常运转，科目调整次数为零，三公经费控制率100%，运转保障率为100%，全面完成年度绩效目标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项目负责人：魏三建</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财务负责人：赵登林</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51081222R000005136246-工资性支出（事业）</w:t>
            </w:r>
          </w:p>
        </w:tc>
      </w:tr>
      <w:tr>
        <w:tblPrEx>
          <w:tblCellMar>
            <w:top w:w="0" w:type="dxa"/>
            <w:left w:w="108" w:type="dxa"/>
            <w:bottom w:w="0" w:type="dxa"/>
            <w:right w:w="108" w:type="dxa"/>
          </w:tblCellMar>
        </w:tblPrEx>
        <w:trPr>
          <w:trHeight w:val="46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实施</w:t>
            </w:r>
            <w:r>
              <w:rPr>
                <w:rFonts w:hint="eastAsia" w:ascii="黑体" w:hAnsi="宋体" w:eastAsia="黑体" w:cs="宋体"/>
                <w:color w:val="000000"/>
                <w:kern w:val="0"/>
                <w:sz w:val="18"/>
                <w:szCs w:val="18"/>
                <w:lang w:eastAsia="zh-CN"/>
              </w:rPr>
              <w:t>部门</w:t>
            </w:r>
            <w:r>
              <w:rPr>
                <w:rFonts w:hint="eastAsia" w:ascii="黑体" w:hAnsi="宋体" w:eastAsia="黑体" w:cs="宋体"/>
                <w:color w:val="000000"/>
                <w:kern w:val="0"/>
                <w:sz w:val="18"/>
                <w:szCs w:val="18"/>
              </w:rPr>
              <w:t xml:space="preserve"> （盖章）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广元市朝天区公路养护段</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黑体" w:hAnsi="宋体" w:eastAsia="黑体" w:cs="宋体"/>
                <w:color w:val="000000"/>
                <w:kern w:val="0"/>
                <w:sz w:val="18"/>
                <w:szCs w:val="18"/>
              </w:rPr>
            </w:pPr>
            <w:r>
              <w:rPr>
                <w:rFonts w:hint="eastAsia" w:ascii="黑体" w:hAnsi="宋体" w:eastAsia="黑体" w:cs="宋体"/>
                <w:color w:val="000000"/>
                <w:kern w:val="0"/>
                <w:sz w:val="18"/>
                <w:szCs w:val="18"/>
              </w:rPr>
              <w:t>年度目标完成情况</w:t>
            </w:r>
          </w:p>
        </w:tc>
      </w:tr>
      <w:tr>
        <w:tblPrEx>
          <w:tblCellMar>
            <w:top w:w="0" w:type="dxa"/>
            <w:left w:w="108" w:type="dxa"/>
            <w:bottom w:w="0" w:type="dxa"/>
            <w:right w:w="108" w:type="dxa"/>
          </w:tblCellMar>
        </w:tblPrEx>
        <w:trPr>
          <w:trHeight w:val="6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严格执行相关政策，保障工资性支出及时发放、足额发放，预算编制科学合理，减少结余资金</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严格执行相关政策，工资性支出足额保障率100%，科目调整次数为零，按时发放率100%，预算结余率为0，全面完成年度绩效目标</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本年度严格执行工资性支出政策，根据财政批复的预算，按时足额保障工资性支出发放，由于预算制定准确，，导致资金结余率为0.76%，完成绩效指标值</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27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306.35</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317.27</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315.2</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99.35%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9.9</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1.预算执行率=预算执行数/调整后预算数，预算执行率未达到90%的需说明原因（100字以内）;2.年中发生预算调整的（追加或调减）,应单独说明理由；3.其他资金包括：社会投入资金、银行贷款.</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306.35</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317.27</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315.2</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99.35%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科目调整次数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次</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按时发放率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91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经济效益指标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结余率（计算方法为：结余数/预算数）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0.65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right"/>
              <w:rPr>
                <w:rFonts w:ascii="宋体" w:hAnsi="宋体" w:cs="宋体"/>
                <w:color w:val="000000"/>
                <w:kern w:val="0"/>
                <w:sz w:val="18"/>
                <w:szCs w:val="18"/>
              </w:rPr>
            </w:pPr>
            <w:r>
              <w:rPr>
                <w:rFonts w:hint="eastAsia" w:ascii="宋体" w:hAnsi="宋体" w:cs="宋体"/>
                <w:color w:val="000000"/>
                <w:kern w:val="0"/>
                <w:sz w:val="18"/>
                <w:szCs w:val="18"/>
              </w:rPr>
              <w:t>99.9</w:t>
            </w:r>
          </w:p>
        </w:tc>
        <w:tc>
          <w:tcPr>
            <w:tcW w:w="1026" w:type="dxa"/>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本项目自评得分100分，工资性支出足额保障率100%，科目调整次数为零，按时发放率100%，预算结余率为0，全面完成年度绩效目标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项目负责人：魏三建</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财务负责人：赵登林</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51081222R000005136839-基本养老保险（事业）</w:t>
            </w:r>
          </w:p>
        </w:tc>
      </w:tr>
      <w:tr>
        <w:tblPrEx>
          <w:tblCellMar>
            <w:top w:w="0" w:type="dxa"/>
            <w:left w:w="108" w:type="dxa"/>
            <w:bottom w:w="0" w:type="dxa"/>
            <w:right w:w="108" w:type="dxa"/>
          </w:tblCellMar>
        </w:tblPrEx>
        <w:trPr>
          <w:trHeight w:val="46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实施</w:t>
            </w:r>
            <w:r>
              <w:rPr>
                <w:rFonts w:hint="eastAsia" w:ascii="黑体" w:hAnsi="宋体" w:eastAsia="黑体" w:cs="宋体"/>
                <w:color w:val="000000"/>
                <w:kern w:val="0"/>
                <w:sz w:val="18"/>
                <w:szCs w:val="18"/>
                <w:lang w:eastAsia="zh-CN"/>
              </w:rPr>
              <w:t>部门</w:t>
            </w:r>
            <w:r>
              <w:rPr>
                <w:rFonts w:hint="eastAsia" w:ascii="黑体" w:hAnsi="宋体" w:eastAsia="黑体" w:cs="宋体"/>
                <w:color w:val="000000"/>
                <w:kern w:val="0"/>
                <w:sz w:val="18"/>
                <w:szCs w:val="18"/>
              </w:rPr>
              <w:t xml:space="preserve"> （盖章）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广元市朝天区公路养护段</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黑体" w:hAnsi="宋体" w:eastAsia="黑体" w:cs="宋体"/>
                <w:color w:val="000000"/>
                <w:kern w:val="0"/>
                <w:sz w:val="18"/>
                <w:szCs w:val="18"/>
              </w:rPr>
            </w:pPr>
            <w:r>
              <w:rPr>
                <w:rFonts w:hint="eastAsia" w:ascii="黑体" w:hAnsi="宋体" w:eastAsia="黑体" w:cs="宋体"/>
                <w:color w:val="000000"/>
                <w:kern w:val="0"/>
                <w:sz w:val="18"/>
                <w:szCs w:val="18"/>
              </w:rPr>
              <w:t>年度目标完成情况</w:t>
            </w:r>
          </w:p>
        </w:tc>
      </w:tr>
      <w:tr>
        <w:tblPrEx>
          <w:tblCellMar>
            <w:top w:w="0" w:type="dxa"/>
            <w:left w:w="108" w:type="dxa"/>
            <w:bottom w:w="0" w:type="dxa"/>
            <w:right w:w="108" w:type="dxa"/>
          </w:tblCellMar>
        </w:tblPrEx>
        <w:trPr>
          <w:trHeight w:val="6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严格执行相关政策，保障基本养老保险及时发放、足额发放，预算编制科学合理，减少结余资金</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严格执行相关政策，基本养老保险足额保障率100%，科目调整次数为零，按时发放率100%，预算结余率为0，全面完成年度绩效目标</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本年度严格执行基本养老保险政策，根据财政批复的预算，按时足额保障工资性支出发放，由于预算制定准确，，导致资金结余率为0%，完成绩效指标值</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27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48.51</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47</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47</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1.预算执行率=预算执行数/调整后预算数，预算执行率未达到90%的需说明原因（100字以内）;2.年中发生预算调整的（追加或调减）,应单独说明理由；3.其他资金包括：社会投入资金、银行贷款.</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48.51</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47</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47</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科目调整次数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次</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按时发放率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91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经济效益指标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结余率（计算方法为：结余数/预算数）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righ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本项目自评得分100分，基本养老保险足额保障率100%，科目调整次数为零，按时发放率100%，预算结余率为0，全面完成年度绩效目标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项目负责人：魏三建</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财务负责人：赵登林</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51081222R000005137228-基本医疗保险（事业）</w:t>
            </w:r>
          </w:p>
        </w:tc>
      </w:tr>
      <w:tr>
        <w:tblPrEx>
          <w:tblCellMar>
            <w:top w:w="0" w:type="dxa"/>
            <w:left w:w="108" w:type="dxa"/>
            <w:bottom w:w="0" w:type="dxa"/>
            <w:right w:w="108" w:type="dxa"/>
          </w:tblCellMar>
        </w:tblPrEx>
        <w:trPr>
          <w:trHeight w:val="46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实施</w:t>
            </w:r>
            <w:r>
              <w:rPr>
                <w:rFonts w:hint="eastAsia" w:ascii="黑体" w:hAnsi="宋体" w:eastAsia="黑体" w:cs="宋体"/>
                <w:color w:val="000000"/>
                <w:kern w:val="0"/>
                <w:sz w:val="18"/>
                <w:szCs w:val="18"/>
                <w:lang w:eastAsia="zh-CN"/>
              </w:rPr>
              <w:t>部门</w:t>
            </w:r>
            <w:r>
              <w:rPr>
                <w:rFonts w:hint="eastAsia" w:ascii="黑体" w:hAnsi="宋体" w:eastAsia="黑体" w:cs="宋体"/>
                <w:color w:val="000000"/>
                <w:kern w:val="0"/>
                <w:sz w:val="18"/>
                <w:szCs w:val="18"/>
              </w:rPr>
              <w:t xml:space="preserve"> （盖章）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广元市朝天区公路养护段</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黑体" w:hAnsi="宋体" w:eastAsia="黑体" w:cs="宋体"/>
                <w:color w:val="000000"/>
                <w:kern w:val="0"/>
                <w:sz w:val="18"/>
                <w:szCs w:val="18"/>
              </w:rPr>
            </w:pPr>
            <w:r>
              <w:rPr>
                <w:rFonts w:hint="eastAsia" w:ascii="黑体" w:hAnsi="宋体" w:eastAsia="黑体" w:cs="宋体"/>
                <w:color w:val="000000"/>
                <w:kern w:val="0"/>
                <w:sz w:val="18"/>
                <w:szCs w:val="18"/>
              </w:rPr>
              <w:t>年度目标完成情况</w:t>
            </w:r>
          </w:p>
        </w:tc>
      </w:tr>
      <w:tr>
        <w:tblPrEx>
          <w:tblCellMar>
            <w:top w:w="0" w:type="dxa"/>
            <w:left w:w="108" w:type="dxa"/>
            <w:bottom w:w="0" w:type="dxa"/>
            <w:right w:w="108" w:type="dxa"/>
          </w:tblCellMar>
        </w:tblPrEx>
        <w:trPr>
          <w:trHeight w:val="6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严格执行相关政策，保障基本医疗保险及时发放、足额发放，预算编制科学合理，减少结余资金</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严格执行相关政策，基本医疗保险足额保障率100%，科目调整次数为零，按时发放率100%，预算结余率为0，全面完成年度绩效目标</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本年度严格执行基本医疗保险政策，根据财政批复的预算，按时足额保障工资性支出发放，由于预算制定准确，，导致资金结余率为0%，完成绩效指标值</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27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24.25</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25.68</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25.68</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1.预算执行率=预算执行数/调整后预算数，预算执行率未达到90%的需说明原因（100字以内）;2.年中发生预算调整的（追加或调减）,应单独说明理由；3.其他资金包括：社会投入资金、银行贷款.</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24.25</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25.68</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25.68</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科目调整次数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次</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按时发放率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91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经济效益指标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结余率（计算方法为：结余数/预算数）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righ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本项目自评得分100分，基本医疗保险足额保障率100%，科目调整次数为零，按时发放率100%，预算结余率为0，全面完成年度绩效目标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项目负责人：魏三建</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财务负责人：赵登林</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51081222R000005137802-住房公积金（事业）</w:t>
            </w:r>
          </w:p>
        </w:tc>
      </w:tr>
      <w:tr>
        <w:tblPrEx>
          <w:tblCellMar>
            <w:top w:w="0" w:type="dxa"/>
            <w:left w:w="108" w:type="dxa"/>
            <w:bottom w:w="0" w:type="dxa"/>
            <w:right w:w="108" w:type="dxa"/>
          </w:tblCellMar>
        </w:tblPrEx>
        <w:trPr>
          <w:trHeight w:val="46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实施</w:t>
            </w:r>
            <w:r>
              <w:rPr>
                <w:rFonts w:hint="eastAsia" w:ascii="黑体" w:hAnsi="宋体" w:eastAsia="黑体" w:cs="宋体"/>
                <w:color w:val="000000"/>
                <w:kern w:val="0"/>
                <w:sz w:val="18"/>
                <w:szCs w:val="18"/>
                <w:lang w:eastAsia="zh-CN"/>
              </w:rPr>
              <w:t>部门</w:t>
            </w:r>
            <w:r>
              <w:rPr>
                <w:rFonts w:hint="eastAsia" w:ascii="黑体" w:hAnsi="宋体" w:eastAsia="黑体" w:cs="宋体"/>
                <w:color w:val="000000"/>
                <w:kern w:val="0"/>
                <w:sz w:val="18"/>
                <w:szCs w:val="18"/>
              </w:rPr>
              <w:t xml:space="preserve"> （盖章）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广元市朝天区公路养护段</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黑体" w:hAnsi="宋体" w:eastAsia="黑体" w:cs="宋体"/>
                <w:color w:val="000000"/>
                <w:kern w:val="0"/>
                <w:sz w:val="18"/>
                <w:szCs w:val="18"/>
              </w:rPr>
            </w:pPr>
            <w:r>
              <w:rPr>
                <w:rFonts w:hint="eastAsia" w:ascii="黑体" w:hAnsi="宋体" w:eastAsia="黑体" w:cs="宋体"/>
                <w:color w:val="000000"/>
                <w:kern w:val="0"/>
                <w:sz w:val="18"/>
                <w:szCs w:val="18"/>
              </w:rPr>
              <w:t>年度目标完成情况</w:t>
            </w:r>
          </w:p>
        </w:tc>
      </w:tr>
      <w:tr>
        <w:tblPrEx>
          <w:tblCellMar>
            <w:top w:w="0" w:type="dxa"/>
            <w:left w:w="108" w:type="dxa"/>
            <w:bottom w:w="0" w:type="dxa"/>
            <w:right w:w="108" w:type="dxa"/>
          </w:tblCellMar>
        </w:tblPrEx>
        <w:trPr>
          <w:trHeight w:val="45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严格执行相关政策，保障住房公积金及时发放、足额发放，预算编制科学合理，减少结余资金</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严格执行相关政策，住房公积金足额保障率100%，发放覆盖率100%，全面完成年度绩效目标</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本年度严格执行住房公积金政策，根据财政批复的预算，按时足额保障工资性支出发放，由于预算制定准确，导致资金结余率为3.17%，完成绩效指标值</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27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36.38</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53.23</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51.54</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96.83%</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1.预算执行率=预算执行数/调整后预算数，预算执行率未达到90%的需说明原因（100字以内）;2.年中发生预算调整的（追加或调减）,应单独说明理由；3.其他资金包括：社会投入资金、银行贷款.</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36.38</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53.23</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51.54</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96.83%</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发放（缴纳）覆盖率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足额保障率（参保率）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26" w:type="dxa"/>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本项目自评得分100分，基本医疗保险足额保障率100%，发放覆盖率100%，全面完成年度绩效目标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项目负责人：魏三建</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财务负责人：赵登林</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51081222R000005138639-职业年金（事业）</w:t>
            </w:r>
          </w:p>
        </w:tc>
      </w:tr>
      <w:tr>
        <w:tblPrEx>
          <w:tblCellMar>
            <w:top w:w="0" w:type="dxa"/>
            <w:left w:w="108" w:type="dxa"/>
            <w:bottom w:w="0" w:type="dxa"/>
            <w:right w:w="108" w:type="dxa"/>
          </w:tblCellMar>
        </w:tblPrEx>
        <w:trPr>
          <w:trHeight w:val="46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实施</w:t>
            </w:r>
            <w:r>
              <w:rPr>
                <w:rFonts w:hint="eastAsia" w:ascii="黑体" w:hAnsi="宋体" w:eastAsia="黑体" w:cs="宋体"/>
                <w:color w:val="000000"/>
                <w:kern w:val="0"/>
                <w:sz w:val="18"/>
                <w:szCs w:val="18"/>
                <w:lang w:eastAsia="zh-CN"/>
              </w:rPr>
              <w:t>部门</w:t>
            </w:r>
            <w:r>
              <w:rPr>
                <w:rFonts w:hint="eastAsia" w:ascii="黑体" w:hAnsi="宋体" w:eastAsia="黑体" w:cs="宋体"/>
                <w:color w:val="000000"/>
                <w:kern w:val="0"/>
                <w:sz w:val="18"/>
                <w:szCs w:val="18"/>
              </w:rPr>
              <w:t xml:space="preserve"> （盖章）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广元市朝天区公路养护段</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黑体" w:hAnsi="宋体" w:eastAsia="黑体" w:cs="宋体"/>
                <w:color w:val="000000"/>
                <w:kern w:val="0"/>
                <w:sz w:val="18"/>
                <w:szCs w:val="18"/>
              </w:rPr>
            </w:pPr>
            <w:r>
              <w:rPr>
                <w:rFonts w:hint="eastAsia" w:ascii="黑体" w:hAnsi="宋体" w:eastAsia="黑体" w:cs="宋体"/>
                <w:color w:val="000000"/>
                <w:kern w:val="0"/>
                <w:sz w:val="18"/>
                <w:szCs w:val="18"/>
              </w:rPr>
              <w:t>年度目标完成情况</w:t>
            </w:r>
          </w:p>
        </w:tc>
      </w:tr>
      <w:tr>
        <w:tblPrEx>
          <w:tblCellMar>
            <w:top w:w="0" w:type="dxa"/>
            <w:left w:w="108" w:type="dxa"/>
            <w:bottom w:w="0" w:type="dxa"/>
            <w:right w:w="108" w:type="dxa"/>
          </w:tblCellMar>
        </w:tblPrEx>
        <w:trPr>
          <w:trHeight w:val="45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严格执行相关政策，保障职业年金及时发放、足额发放，预算编制科学合理，减少结余资金</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严格执行相关政策，职业年金足额保障率100%，发放覆盖率100%，全面完成年度绩效目标</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本年度严格执行职业年金政策，根据财政批复的预算，按时足额保障工资性支出发放，由于预算制定准确，导致资金结余率为0%，完成绩效指标值</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27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14.64</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14.64</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1.预算执行率=预算执行数/调整后预算数，预算执行率未达到90%的需说明原因（100字以内）;2.年中发生预算调整的（追加或调减）,应单独说明理由；3.其他资金包括：社会投入资金、银行贷款.</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14.64</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14.64</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发放（缴纳）覆盖率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足额保障率（参保率）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righ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本项目自评得分100分，职业年金足额保障率100%，发放覆盖率100%，全面完成年度绩效目标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项目负责人：魏三建</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财务负责人：赵登林</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51081222R000005429042-目标绩效奖（事业人员）</w:t>
            </w:r>
          </w:p>
        </w:tc>
      </w:tr>
      <w:tr>
        <w:tblPrEx>
          <w:tblCellMar>
            <w:top w:w="0" w:type="dxa"/>
            <w:left w:w="108" w:type="dxa"/>
            <w:bottom w:w="0" w:type="dxa"/>
            <w:right w:w="108" w:type="dxa"/>
          </w:tblCellMar>
        </w:tblPrEx>
        <w:trPr>
          <w:trHeight w:val="46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实施</w:t>
            </w:r>
            <w:r>
              <w:rPr>
                <w:rFonts w:hint="eastAsia" w:ascii="黑体" w:hAnsi="宋体" w:eastAsia="黑体" w:cs="宋体"/>
                <w:color w:val="000000"/>
                <w:kern w:val="0"/>
                <w:sz w:val="18"/>
                <w:szCs w:val="18"/>
                <w:lang w:eastAsia="zh-CN"/>
              </w:rPr>
              <w:t>部门</w:t>
            </w:r>
            <w:r>
              <w:rPr>
                <w:rFonts w:hint="eastAsia" w:ascii="黑体" w:hAnsi="宋体" w:eastAsia="黑体" w:cs="宋体"/>
                <w:color w:val="000000"/>
                <w:kern w:val="0"/>
                <w:sz w:val="18"/>
                <w:szCs w:val="18"/>
              </w:rPr>
              <w:t xml:space="preserve"> （盖章）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广元市朝天区公路养护段</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黑体" w:hAnsi="宋体" w:eastAsia="黑体" w:cs="宋体"/>
                <w:color w:val="000000"/>
                <w:kern w:val="0"/>
                <w:sz w:val="18"/>
                <w:szCs w:val="18"/>
              </w:rPr>
            </w:pPr>
            <w:r>
              <w:rPr>
                <w:rFonts w:hint="eastAsia" w:ascii="黑体" w:hAnsi="宋体" w:eastAsia="黑体" w:cs="宋体"/>
                <w:color w:val="000000"/>
                <w:kern w:val="0"/>
                <w:sz w:val="18"/>
                <w:szCs w:val="18"/>
              </w:rPr>
              <w:t>年度目标完成情况</w:t>
            </w:r>
          </w:p>
        </w:tc>
      </w:tr>
      <w:tr>
        <w:tblPrEx>
          <w:tblCellMar>
            <w:top w:w="0" w:type="dxa"/>
            <w:left w:w="108" w:type="dxa"/>
            <w:bottom w:w="0" w:type="dxa"/>
            <w:right w:w="108" w:type="dxa"/>
          </w:tblCellMar>
        </w:tblPrEx>
        <w:trPr>
          <w:trHeight w:val="6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严格执行相关政策，保障目标绩效奖及时发放、足额发放，预算编制科学合理，减少结余资金</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严格执行相关政策，目标绩效奖足额保障率100%，科目调整次数为零，按时发放率100%，预算结余率为8.87%，全面完成年度绩效目标</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本年度严格执行基本医疗保险政策，根据财政批复的预算，按时足额保障工资性支出发放，由于绩效考核原因绩效奖比预算少导致资金结余率为8.87%，基本完成绩效指标值</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27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169.2</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169.2</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154.19</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91.13%</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9.1</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1.预算执行率=预算执行数/调整后预算数，预算执行率未达到90%的需说明原因（100字以内）;2.年中发生预算调整的（追加或调减）,应单独说明理由；3.其他资金包括：社会投入资金、银行贷款.</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169.2</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169.2</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154.19</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91.13%</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科目调整次数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次</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按时发放率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91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经济效益指标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结余率（计算方法为：结余数/预算数）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8.87</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right"/>
              <w:rPr>
                <w:rFonts w:ascii="宋体" w:hAnsi="宋体" w:cs="宋体"/>
                <w:color w:val="000000"/>
                <w:kern w:val="0"/>
                <w:sz w:val="18"/>
                <w:szCs w:val="18"/>
              </w:rPr>
            </w:pPr>
            <w:r>
              <w:rPr>
                <w:rFonts w:hint="eastAsia" w:ascii="宋体" w:hAnsi="宋体" w:cs="宋体"/>
                <w:color w:val="000000"/>
                <w:kern w:val="0"/>
                <w:sz w:val="18"/>
                <w:szCs w:val="18"/>
              </w:rPr>
              <w:t>76.6</w:t>
            </w:r>
          </w:p>
        </w:tc>
        <w:tc>
          <w:tcPr>
            <w:tcW w:w="1026" w:type="dxa"/>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本项目自评得分76.6分，基本医疗保险足额保障率100%，科目调整次数为零，按时发放率100%，预算结余率为8.87%，基本完成年度绩效目标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项目负责人：魏三建</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财务负责人：赵登林</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51081222T000000345917-公路养护安全工作经费</w:t>
            </w:r>
          </w:p>
        </w:tc>
      </w:tr>
      <w:tr>
        <w:tblPrEx>
          <w:tblCellMar>
            <w:top w:w="0" w:type="dxa"/>
            <w:left w:w="108" w:type="dxa"/>
            <w:bottom w:w="0" w:type="dxa"/>
            <w:right w:w="108" w:type="dxa"/>
          </w:tblCellMar>
        </w:tblPrEx>
        <w:trPr>
          <w:trHeight w:val="46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实施</w:t>
            </w:r>
            <w:r>
              <w:rPr>
                <w:rFonts w:hint="eastAsia" w:ascii="黑体" w:hAnsi="宋体" w:eastAsia="黑体" w:cs="宋体"/>
                <w:color w:val="000000"/>
                <w:kern w:val="0"/>
                <w:sz w:val="18"/>
                <w:szCs w:val="18"/>
                <w:lang w:eastAsia="zh-CN"/>
              </w:rPr>
              <w:t>部门</w:t>
            </w:r>
            <w:r>
              <w:rPr>
                <w:rFonts w:hint="eastAsia" w:ascii="黑体" w:hAnsi="宋体" w:eastAsia="黑体" w:cs="宋体"/>
                <w:color w:val="000000"/>
                <w:kern w:val="0"/>
                <w:sz w:val="18"/>
                <w:szCs w:val="18"/>
              </w:rPr>
              <w:t xml:space="preserve"> （盖章）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广元市朝天区公路养护段</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黑体" w:hAnsi="宋体" w:eastAsia="黑体" w:cs="宋体"/>
                <w:color w:val="000000"/>
                <w:kern w:val="0"/>
                <w:sz w:val="18"/>
                <w:szCs w:val="18"/>
              </w:rPr>
            </w:pPr>
            <w:r>
              <w:rPr>
                <w:rFonts w:hint="eastAsia" w:ascii="黑体" w:hAnsi="宋体" w:eastAsia="黑体" w:cs="宋体"/>
                <w:color w:val="000000"/>
                <w:kern w:val="0"/>
                <w:sz w:val="18"/>
                <w:szCs w:val="18"/>
              </w:rPr>
              <w:t>年度目标完成情况</w:t>
            </w:r>
          </w:p>
        </w:tc>
      </w:tr>
      <w:tr>
        <w:tblPrEx>
          <w:tblCellMar>
            <w:top w:w="0" w:type="dxa"/>
            <w:left w:w="108" w:type="dxa"/>
            <w:bottom w:w="0" w:type="dxa"/>
            <w:right w:w="108" w:type="dxa"/>
          </w:tblCellMar>
        </w:tblPrEx>
        <w:trPr>
          <w:trHeight w:val="90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完成辖区内国道108线220公里隐患排查、整治和消除以及二专线43.5公里隐患排查、整治和消除；确保全区公路安全畅通，使人们的生活物资及时运送，促进朝天经济发展</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完成了辖区内国道108线220公里隐患排查、整治和消除以及二专线43.5公里隐患排查、整治和消除；确保了全区公路安全畅通，使人们的生活物资及时运送，促进朝天经济发展</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按照相关养路规则，履行隐患排查、整治和消除的职责，完成辖区内国道108线220公里隐患排查、整治和消除以及二专线43.5公里隐患排查、整治和消除；确保全区公路安全畅通，使人们的生活物资及时运送，促进朝天经济发展，但由于预算没有到位导致预算执行率为零</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预算执行率为零，是因为相关预算未到位，导致预算未执行</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国道108线隐患排查、整治和消除</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公里</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二专线隐患排查、整治和消除</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43.5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公里</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43.5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质量指标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资金合规率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2022年任务完成时限</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2022</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2022</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安全工作经费完成成本</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保障公路畅通</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优良中低差</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良</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114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可持续影响指标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确保朝天区公路畅通，促进朝天经济发展的作用</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优良中低差</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良</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91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服务对象满意度指标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朝天区群众对公路安全畅通的满意度</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95.6</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right"/>
              <w:rPr>
                <w:rFonts w:ascii="宋体" w:hAnsi="宋体" w:cs="宋体"/>
                <w:color w:val="000000"/>
                <w:kern w:val="0"/>
                <w:sz w:val="18"/>
                <w:szCs w:val="18"/>
              </w:rPr>
            </w:pPr>
            <w:r>
              <w:rPr>
                <w:rFonts w:hint="eastAsia" w:ascii="宋体" w:hAnsi="宋体" w:cs="宋体"/>
                <w:color w:val="000000"/>
                <w:kern w:val="0"/>
                <w:sz w:val="18"/>
                <w:szCs w:val="18"/>
              </w:rPr>
              <w:t>90</w:t>
            </w:r>
          </w:p>
        </w:tc>
        <w:tc>
          <w:tcPr>
            <w:tcW w:w="1026" w:type="dxa"/>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本项目自评得分90分，除预算执行率由于预算未到位导致预算执行率为零，其他产出、效益和满意度指标均完成</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项目负责人：魏三建</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财务负责人：赵登林</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51081222T000000345936-二专线公路养护</w:t>
            </w:r>
          </w:p>
        </w:tc>
      </w:tr>
      <w:tr>
        <w:tblPrEx>
          <w:tblCellMar>
            <w:top w:w="0" w:type="dxa"/>
            <w:left w:w="108" w:type="dxa"/>
            <w:bottom w:w="0" w:type="dxa"/>
            <w:right w:w="108" w:type="dxa"/>
          </w:tblCellMar>
        </w:tblPrEx>
        <w:trPr>
          <w:trHeight w:val="46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实施</w:t>
            </w:r>
            <w:r>
              <w:rPr>
                <w:rFonts w:hint="eastAsia" w:ascii="黑体" w:hAnsi="宋体" w:eastAsia="黑体" w:cs="宋体"/>
                <w:color w:val="000000"/>
                <w:kern w:val="0"/>
                <w:sz w:val="18"/>
                <w:szCs w:val="18"/>
                <w:lang w:eastAsia="zh-CN"/>
              </w:rPr>
              <w:t>部门</w:t>
            </w:r>
            <w:r>
              <w:rPr>
                <w:rFonts w:hint="eastAsia" w:ascii="黑体" w:hAnsi="宋体" w:eastAsia="黑体" w:cs="宋体"/>
                <w:color w:val="000000"/>
                <w:kern w:val="0"/>
                <w:sz w:val="18"/>
                <w:szCs w:val="18"/>
              </w:rPr>
              <w:t xml:space="preserve"> （盖章）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广元市朝天区公路养护段</w:t>
            </w:r>
          </w:p>
        </w:tc>
      </w:tr>
      <w:tr>
        <w:tblPrEx>
          <w:tblCellMar>
            <w:top w:w="0" w:type="dxa"/>
            <w:left w:w="108" w:type="dxa"/>
            <w:bottom w:w="0" w:type="dxa"/>
            <w:right w:w="108" w:type="dxa"/>
          </w:tblCellMar>
        </w:tblPrEx>
        <w:trPr>
          <w:trHeight w:val="28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黑体" w:hAnsi="宋体" w:eastAsia="黑体" w:cs="宋体"/>
                <w:color w:val="000000"/>
                <w:kern w:val="0"/>
                <w:sz w:val="18"/>
                <w:szCs w:val="18"/>
              </w:rPr>
            </w:pPr>
            <w:r>
              <w:rPr>
                <w:rFonts w:hint="eastAsia" w:ascii="黑体" w:hAnsi="宋体" w:eastAsia="黑体" w:cs="宋体"/>
                <w:color w:val="000000"/>
                <w:kern w:val="0"/>
                <w:sz w:val="18"/>
                <w:szCs w:val="18"/>
              </w:rPr>
              <w:t>年度目标完成情况</w:t>
            </w:r>
          </w:p>
        </w:tc>
      </w:tr>
      <w:tr>
        <w:tblPrEx>
          <w:tblCellMar>
            <w:top w:w="0" w:type="dxa"/>
            <w:left w:w="108" w:type="dxa"/>
            <w:bottom w:w="0" w:type="dxa"/>
            <w:right w:w="108" w:type="dxa"/>
          </w:tblCellMar>
        </w:tblPrEx>
        <w:trPr>
          <w:trHeight w:val="6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nil"/>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1.完成国道养护距离43.085公里、省道养护距离129.991公里和隧道养护距离2278延米，保持公路及其设施的完好状态,保障行车安全舒适、畅通。</w:t>
            </w:r>
          </w:p>
        </w:tc>
        <w:tc>
          <w:tcPr>
            <w:tcW w:w="3807" w:type="dxa"/>
            <w:gridSpan w:val="7"/>
            <w:tcBorders>
              <w:top w:val="single" w:color="000000" w:sz="8" w:space="0"/>
              <w:left w:val="nil"/>
              <w:bottom w:val="nil"/>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1.完成了国道养护距离43.085公里、省道养护距离129.991公里和隧道养护距离2278延米，保持公路及其设施的完好状态,保障行车安全舒适、畅通。</w:t>
            </w:r>
          </w:p>
        </w:tc>
      </w:tr>
      <w:tr>
        <w:tblPrEx>
          <w:tblCellMar>
            <w:top w:w="0" w:type="dxa"/>
            <w:left w:w="108" w:type="dxa"/>
            <w:bottom w:w="0" w:type="dxa"/>
            <w:right w:w="108" w:type="dxa"/>
          </w:tblCellMar>
        </w:tblPrEx>
        <w:trPr>
          <w:trHeight w:val="45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nil"/>
              <w:left w:val="nil"/>
              <w:bottom w:val="nil"/>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2.及时修复损坏部分，保证公路及设施的完好率≧95%。</w:t>
            </w:r>
          </w:p>
        </w:tc>
        <w:tc>
          <w:tcPr>
            <w:tcW w:w="3807" w:type="dxa"/>
            <w:gridSpan w:val="7"/>
            <w:tcBorders>
              <w:top w:val="nil"/>
              <w:left w:val="nil"/>
              <w:bottom w:val="nil"/>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2.及时修复损坏部分，保证公路及设施的完好率≧95%。</w:t>
            </w:r>
          </w:p>
        </w:tc>
      </w:tr>
      <w:tr>
        <w:tblPrEx>
          <w:tblCellMar>
            <w:top w:w="0" w:type="dxa"/>
            <w:left w:w="108" w:type="dxa"/>
            <w:bottom w:w="0" w:type="dxa"/>
            <w:right w:w="108" w:type="dxa"/>
          </w:tblCellMar>
        </w:tblPrEx>
        <w:trPr>
          <w:trHeight w:val="45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3.防治结合,治理公路存在的病害和隐患,逐步提高公路的抗灾能力，延长公路使用年限。</w:t>
            </w:r>
          </w:p>
        </w:tc>
        <w:tc>
          <w:tcPr>
            <w:tcW w:w="3807" w:type="dxa"/>
            <w:gridSpan w:val="7"/>
            <w:tcBorders>
              <w:top w:val="nil"/>
              <w:left w:val="nil"/>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3.防治结合,治理公路存在的病害和隐患,逐步提高公路的抗灾能力，延长公路使用年限。</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按照相关养路规则，履行养护职责，完成国道养护距离43.085公里、省道养护距离129.991公里和隧道养护距离2278延米，保持公路及其设施的完好状态,保障行车安全舒适、畅通；及时修复损坏部分，保证公路及设施的完好率≧95%；防治结合,治理公路存在的病害和隐患,逐步提高公路的抗灾能力，延长公路使用年限。</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预算执行率只有30%是因为预算资金只到位了30%，所以实际预算执行率为100%</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省道养护距离</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129.991</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公里</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129.991</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国道养护距离</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43.085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公里</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43.085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隧道养护距离</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2278</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延米</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2278</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质量指标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保持公路及其设施的完好率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2022年任务完成时限</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2022</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2022</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完成成本</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路面修复完好率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保障行车安全舒适、畅通</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优良中低差</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良</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8</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可持续影响指标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保障公里正常运行</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服务对象满意度指标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实施区域通行人员满意度</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95.8</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right"/>
              <w:rPr>
                <w:rFonts w:ascii="宋体" w:hAnsi="宋体" w:cs="宋体"/>
                <w:color w:val="000000"/>
                <w:kern w:val="0"/>
                <w:sz w:val="18"/>
                <w:szCs w:val="18"/>
              </w:rPr>
            </w:pPr>
            <w:r>
              <w:rPr>
                <w:rFonts w:hint="eastAsia" w:ascii="宋体" w:hAnsi="宋体" w:cs="宋体"/>
                <w:color w:val="000000"/>
                <w:kern w:val="0"/>
                <w:sz w:val="18"/>
                <w:szCs w:val="18"/>
              </w:rPr>
              <w:t>98</w:t>
            </w:r>
          </w:p>
        </w:tc>
        <w:tc>
          <w:tcPr>
            <w:tcW w:w="1026" w:type="dxa"/>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本项目自评得分98分，除预算执行率由于预算只到位30%导致预算执行率为30%，实际预算执行率为100%，其他产出、效益和满意度指标均完成</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项目负责人：魏三建</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财务负责人：赵登林</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51081222T000000345948-农村公路养护</w:t>
            </w:r>
          </w:p>
        </w:tc>
      </w:tr>
      <w:tr>
        <w:tblPrEx>
          <w:tblCellMar>
            <w:top w:w="0" w:type="dxa"/>
            <w:left w:w="108" w:type="dxa"/>
            <w:bottom w:w="0" w:type="dxa"/>
            <w:right w:w="108" w:type="dxa"/>
          </w:tblCellMar>
        </w:tblPrEx>
        <w:trPr>
          <w:trHeight w:val="46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实施</w:t>
            </w:r>
            <w:r>
              <w:rPr>
                <w:rFonts w:hint="eastAsia" w:ascii="黑体" w:hAnsi="宋体" w:eastAsia="黑体" w:cs="宋体"/>
                <w:color w:val="000000"/>
                <w:kern w:val="0"/>
                <w:sz w:val="18"/>
                <w:szCs w:val="18"/>
                <w:lang w:eastAsia="zh-CN"/>
              </w:rPr>
              <w:t>部门</w:t>
            </w:r>
            <w:r>
              <w:rPr>
                <w:rFonts w:hint="eastAsia" w:ascii="黑体" w:hAnsi="宋体" w:eastAsia="黑体" w:cs="宋体"/>
                <w:color w:val="000000"/>
                <w:kern w:val="0"/>
                <w:sz w:val="18"/>
                <w:szCs w:val="18"/>
              </w:rPr>
              <w:t xml:space="preserve"> （盖章）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广元市朝天区公路养护段</w:t>
            </w:r>
          </w:p>
        </w:tc>
      </w:tr>
      <w:tr>
        <w:tblPrEx>
          <w:tblCellMar>
            <w:top w:w="0" w:type="dxa"/>
            <w:left w:w="108" w:type="dxa"/>
            <w:bottom w:w="0" w:type="dxa"/>
            <w:right w:w="108" w:type="dxa"/>
          </w:tblCellMar>
        </w:tblPrEx>
        <w:trPr>
          <w:trHeight w:val="28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黑体" w:hAnsi="宋体" w:eastAsia="黑体" w:cs="宋体"/>
                <w:color w:val="000000"/>
                <w:kern w:val="0"/>
                <w:sz w:val="18"/>
                <w:szCs w:val="18"/>
              </w:rPr>
            </w:pPr>
            <w:r>
              <w:rPr>
                <w:rFonts w:hint="eastAsia" w:ascii="黑体" w:hAnsi="宋体" w:eastAsia="黑体" w:cs="宋体"/>
                <w:color w:val="000000"/>
                <w:kern w:val="0"/>
                <w:sz w:val="18"/>
                <w:szCs w:val="18"/>
              </w:rPr>
              <w:t>年度目标完成情况</w:t>
            </w:r>
          </w:p>
        </w:tc>
      </w:tr>
      <w:tr>
        <w:tblPrEx>
          <w:tblCellMar>
            <w:top w:w="0" w:type="dxa"/>
            <w:left w:w="108" w:type="dxa"/>
            <w:bottom w:w="0" w:type="dxa"/>
            <w:right w:w="108" w:type="dxa"/>
          </w:tblCellMar>
        </w:tblPrEx>
        <w:trPr>
          <w:trHeight w:val="90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nil"/>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1.完成县道养护距离541.602公里、乡道养护距离752.933公里、村道养护距离1464.089公里和隧道养护距离2474.6延米，保持公路及其设施的完好状态,保障行车安全舒适、畅通。</w:t>
            </w:r>
          </w:p>
        </w:tc>
        <w:tc>
          <w:tcPr>
            <w:tcW w:w="3807" w:type="dxa"/>
            <w:gridSpan w:val="7"/>
            <w:tcBorders>
              <w:top w:val="single" w:color="000000" w:sz="8" w:space="0"/>
              <w:left w:val="nil"/>
              <w:bottom w:val="nil"/>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1.完成了县道养护距离541.602公里、乡道养护距离752.933公里、村道养护距离1464.089公里和隧道养护距离2474.6延米，保持公路及其设施的完好状态,保障行车安全舒适、畅通。</w:t>
            </w:r>
          </w:p>
        </w:tc>
      </w:tr>
      <w:tr>
        <w:tblPrEx>
          <w:tblCellMar>
            <w:top w:w="0" w:type="dxa"/>
            <w:left w:w="108" w:type="dxa"/>
            <w:bottom w:w="0" w:type="dxa"/>
            <w:right w:w="108" w:type="dxa"/>
          </w:tblCellMar>
        </w:tblPrEx>
        <w:trPr>
          <w:trHeight w:val="45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nil"/>
              <w:left w:val="nil"/>
              <w:bottom w:val="nil"/>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2.及时修复损坏部分，保证公路及设施的完好率≧95%。</w:t>
            </w:r>
          </w:p>
        </w:tc>
        <w:tc>
          <w:tcPr>
            <w:tcW w:w="3807" w:type="dxa"/>
            <w:gridSpan w:val="7"/>
            <w:tcBorders>
              <w:top w:val="nil"/>
              <w:left w:val="nil"/>
              <w:bottom w:val="nil"/>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2.及时修复损坏部分，保证公路及设施的完好率≧95%。</w:t>
            </w:r>
          </w:p>
        </w:tc>
      </w:tr>
      <w:tr>
        <w:tblPrEx>
          <w:tblCellMar>
            <w:top w:w="0" w:type="dxa"/>
            <w:left w:w="108" w:type="dxa"/>
            <w:bottom w:w="0" w:type="dxa"/>
            <w:right w:w="108" w:type="dxa"/>
          </w:tblCellMar>
        </w:tblPrEx>
        <w:trPr>
          <w:trHeight w:val="90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3.防治结合,治理公路存在的病害和隐患,改善朝天区农村公路通行条件和路域环境，提升抗灾能力，为农村公路治理体系全面完善及治理能力全面提高提供基本保证。</w:t>
            </w:r>
          </w:p>
        </w:tc>
        <w:tc>
          <w:tcPr>
            <w:tcW w:w="3807" w:type="dxa"/>
            <w:gridSpan w:val="7"/>
            <w:tcBorders>
              <w:top w:val="nil"/>
              <w:left w:val="nil"/>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3.防治结合,治理公路存在的病害和隐患,改善朝天区农村公路通行条件和路域环境，提升抗灾能力，为农村公路治理体系全面完善及治理能力全面提高提供基本保证。</w:t>
            </w:r>
          </w:p>
        </w:tc>
      </w:tr>
      <w:tr>
        <w:tblPrEx>
          <w:tblCellMar>
            <w:top w:w="0" w:type="dxa"/>
            <w:left w:w="108" w:type="dxa"/>
            <w:bottom w:w="0" w:type="dxa"/>
            <w:right w:w="108" w:type="dxa"/>
          </w:tblCellMar>
        </w:tblPrEx>
        <w:trPr>
          <w:trHeight w:val="90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按照相关养路规则，履行养护职责，完成县道养护距离541.602公里、乡道养护距离752.933公里、村道养护距离1464.089公里和隧道养护距离2474.6延米，保持公路及其设施的完好状态,保障行车安全舒适、畅通；及时修复损坏部分，保证公路及设施的完好率≧95%；防治结合,治理公路存在的病害和隐患,改善朝天区农村公路通行条件和路域环境，提升抗灾能力，为农村公路治理体系全面完善及治理能力全面提高提供基本保证。</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482.64</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482.64</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6.22%</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预算执行率只有6.22%是因为预算资金只到位了6.22%，所以实际预算执行率为100%</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482.64</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482.64</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6.22%</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乡道养护距离</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752.933</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公里</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752.933</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县道养护距离</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541.602</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公里</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541.602</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村道养护距离</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1464.089</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公里</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1464.089</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隧道养护距离</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2474.6</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延米</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2474.6</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质量指标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保持公路及其设施的完好率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95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2022年任务完成时限</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2022</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2022</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完成成本</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482.64</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482.64</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及时清障，使公路的抗灾能力提升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优良中低差</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良</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8</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公路通行条件和路域环境基本改善</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优良中低差</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良</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8</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114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可持续影响指标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农村公路治理体系全面完善，治理能力全面提高</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优良中低差</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良</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8</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服务对象满意度指标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实施区域通行人员满意度</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96</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right"/>
              <w:rPr>
                <w:rFonts w:ascii="宋体" w:hAnsi="宋体" w:cs="宋体"/>
                <w:color w:val="000000"/>
                <w:kern w:val="0"/>
                <w:sz w:val="18"/>
                <w:szCs w:val="18"/>
              </w:rPr>
            </w:pPr>
            <w:r>
              <w:rPr>
                <w:rFonts w:hint="eastAsia" w:ascii="宋体" w:hAnsi="宋体" w:cs="宋体"/>
                <w:color w:val="000000"/>
                <w:kern w:val="0"/>
                <w:sz w:val="18"/>
                <w:szCs w:val="18"/>
              </w:rPr>
              <w:t>94</w:t>
            </w:r>
          </w:p>
        </w:tc>
        <w:tc>
          <w:tcPr>
            <w:tcW w:w="1026" w:type="dxa"/>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本项目自评得分94分，除预算执行率由于预算只到位30%导致预算执行率为30%，实际预算执行率为100%，其他产出、效益和满意度指标均完成</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项目负责人：魏三建</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财务负责人：赵登林</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51081222T000005590073-2021年二专线养护及维修资金</w:t>
            </w:r>
          </w:p>
        </w:tc>
      </w:tr>
      <w:tr>
        <w:tblPrEx>
          <w:tblCellMar>
            <w:top w:w="0" w:type="dxa"/>
            <w:left w:w="108" w:type="dxa"/>
            <w:bottom w:w="0" w:type="dxa"/>
            <w:right w:w="108" w:type="dxa"/>
          </w:tblCellMar>
        </w:tblPrEx>
        <w:trPr>
          <w:trHeight w:val="46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实施</w:t>
            </w:r>
            <w:r>
              <w:rPr>
                <w:rFonts w:hint="eastAsia" w:ascii="黑体" w:hAnsi="宋体" w:eastAsia="黑体" w:cs="宋体"/>
                <w:color w:val="000000"/>
                <w:kern w:val="0"/>
                <w:sz w:val="18"/>
                <w:szCs w:val="18"/>
                <w:lang w:eastAsia="zh-CN"/>
              </w:rPr>
              <w:t>部门</w:t>
            </w:r>
            <w:r>
              <w:rPr>
                <w:rFonts w:hint="eastAsia" w:ascii="黑体" w:hAnsi="宋体" w:eastAsia="黑体" w:cs="宋体"/>
                <w:color w:val="000000"/>
                <w:kern w:val="0"/>
                <w:sz w:val="18"/>
                <w:szCs w:val="18"/>
              </w:rPr>
              <w:t xml:space="preserve"> （盖章）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广元市朝天区公路养护段</w:t>
            </w:r>
          </w:p>
        </w:tc>
      </w:tr>
      <w:tr>
        <w:tblPrEx>
          <w:tblCellMar>
            <w:top w:w="0" w:type="dxa"/>
            <w:left w:w="108" w:type="dxa"/>
            <w:bottom w:w="0" w:type="dxa"/>
            <w:right w:w="108" w:type="dxa"/>
          </w:tblCellMar>
        </w:tblPrEx>
        <w:trPr>
          <w:trHeight w:val="28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黑体" w:hAnsi="宋体" w:eastAsia="黑体" w:cs="宋体"/>
                <w:color w:val="000000"/>
                <w:kern w:val="0"/>
                <w:sz w:val="18"/>
                <w:szCs w:val="18"/>
              </w:rPr>
            </w:pPr>
            <w:r>
              <w:rPr>
                <w:rFonts w:hint="eastAsia" w:ascii="黑体" w:hAnsi="宋体" w:eastAsia="黑体" w:cs="宋体"/>
                <w:color w:val="000000"/>
                <w:kern w:val="0"/>
                <w:sz w:val="18"/>
                <w:szCs w:val="18"/>
              </w:rPr>
              <w:t>年度目标完成情况</w:t>
            </w:r>
          </w:p>
        </w:tc>
      </w:tr>
      <w:tr>
        <w:tblPrEx>
          <w:tblCellMar>
            <w:top w:w="0" w:type="dxa"/>
            <w:left w:w="108" w:type="dxa"/>
            <w:bottom w:w="0" w:type="dxa"/>
            <w:right w:w="108" w:type="dxa"/>
          </w:tblCellMar>
        </w:tblPrEx>
        <w:trPr>
          <w:trHeight w:val="6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nil"/>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1.完成国道养护距离43.085公里、省道养护距离129.991公里和隧道养护距离2278延米，保持公路及其设施的完好状态,保障行车安全舒适、畅通。</w:t>
            </w:r>
          </w:p>
        </w:tc>
        <w:tc>
          <w:tcPr>
            <w:tcW w:w="3807" w:type="dxa"/>
            <w:gridSpan w:val="7"/>
            <w:tcBorders>
              <w:top w:val="single" w:color="000000" w:sz="8" w:space="0"/>
              <w:left w:val="nil"/>
              <w:bottom w:val="nil"/>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1.完成了国道养护距离43.085公里、省道养护距离129.991公里和隧道养护距离2278延米，保持公路及其设施的完好状态,保障行车安全舒适、畅通。</w:t>
            </w:r>
          </w:p>
        </w:tc>
      </w:tr>
      <w:tr>
        <w:tblPrEx>
          <w:tblCellMar>
            <w:top w:w="0" w:type="dxa"/>
            <w:left w:w="108" w:type="dxa"/>
            <w:bottom w:w="0" w:type="dxa"/>
            <w:right w:w="108" w:type="dxa"/>
          </w:tblCellMar>
        </w:tblPrEx>
        <w:trPr>
          <w:trHeight w:val="45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nil"/>
              <w:left w:val="nil"/>
              <w:bottom w:val="nil"/>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2.及时修复损坏部分，保证公路及设施的完好率≧95%。</w:t>
            </w:r>
          </w:p>
        </w:tc>
        <w:tc>
          <w:tcPr>
            <w:tcW w:w="3807" w:type="dxa"/>
            <w:gridSpan w:val="7"/>
            <w:tcBorders>
              <w:top w:val="nil"/>
              <w:left w:val="nil"/>
              <w:bottom w:val="nil"/>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2.及时修复损坏部分，保证公路及设施的完好率≧95%。</w:t>
            </w:r>
          </w:p>
        </w:tc>
      </w:tr>
      <w:tr>
        <w:tblPrEx>
          <w:tblCellMar>
            <w:top w:w="0" w:type="dxa"/>
            <w:left w:w="108" w:type="dxa"/>
            <w:bottom w:w="0" w:type="dxa"/>
            <w:right w:w="108" w:type="dxa"/>
          </w:tblCellMar>
        </w:tblPrEx>
        <w:trPr>
          <w:trHeight w:val="45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3.防治结合,治理公路存在的病害和隐患,逐步提高公路的抗灾能力，延长公路使用年限。</w:t>
            </w:r>
          </w:p>
        </w:tc>
        <w:tc>
          <w:tcPr>
            <w:tcW w:w="3807" w:type="dxa"/>
            <w:gridSpan w:val="7"/>
            <w:tcBorders>
              <w:top w:val="nil"/>
              <w:left w:val="nil"/>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3.防治结合,治理公路存在的病害和隐患,逐步提高公路的抗灾能力，延长公路使用年限。</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按照相关养路规则，履行养护职责，完成国道养护距离43.085公里、省道养护距离129.991公里和隧道养护距离2278延米，保持公路及其设施的完好状态,保障行车安全舒适、畅通；及时修复损坏部分，保证公路及设施的完好率≧95%；防治结合,治理公路存在的病害和隐患,逐步提高公路的抗灾能力，延长公路使用年限。</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27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1.预算执行率=预算执行数/调整后预算数，预算执行率未达到90%的需说明原因（100字以内）;2.年中发生预算调整的（追加或调减）,应单独说明理由；3.其他资金包括：社会投入资金、银行贷款.</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完成成本</w:t>
            </w:r>
          </w:p>
        </w:tc>
        <w:tc>
          <w:tcPr>
            <w:tcW w:w="1000" w:type="dxa"/>
            <w:tcBorders>
              <w:top w:val="nil"/>
              <w:left w:val="nil"/>
              <w:bottom w:val="single" w:color="000000" w:sz="8" w:space="0"/>
              <w:right w:val="single" w:color="000000" w:sz="8" w:space="0"/>
            </w:tcBorders>
            <w:shd w:val="clear" w:color="auto" w:fill="auto"/>
            <w:noWrap/>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200</w:t>
            </w:r>
          </w:p>
        </w:tc>
        <w:tc>
          <w:tcPr>
            <w:tcW w:w="1080" w:type="dxa"/>
            <w:gridSpan w:val="2"/>
            <w:tcBorders>
              <w:top w:val="nil"/>
              <w:left w:val="nil"/>
              <w:bottom w:val="single" w:color="000000" w:sz="8" w:space="0"/>
              <w:right w:val="single" w:color="000000" w:sz="8" w:space="0"/>
            </w:tcBorders>
            <w:shd w:val="clear" w:color="auto" w:fill="auto"/>
            <w:noWrap/>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2022年任务完成时限</w:t>
            </w:r>
          </w:p>
        </w:tc>
        <w:tc>
          <w:tcPr>
            <w:tcW w:w="1000" w:type="dxa"/>
            <w:tcBorders>
              <w:top w:val="nil"/>
              <w:left w:val="nil"/>
              <w:bottom w:val="single" w:color="000000" w:sz="8" w:space="0"/>
              <w:right w:val="single" w:color="000000" w:sz="8" w:space="0"/>
            </w:tcBorders>
            <w:shd w:val="clear" w:color="auto" w:fill="auto"/>
            <w:noWrap/>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2022</w:t>
            </w:r>
          </w:p>
        </w:tc>
        <w:tc>
          <w:tcPr>
            <w:tcW w:w="1080" w:type="dxa"/>
            <w:gridSpan w:val="2"/>
            <w:tcBorders>
              <w:top w:val="nil"/>
              <w:left w:val="nil"/>
              <w:bottom w:val="single" w:color="000000" w:sz="8" w:space="0"/>
              <w:right w:val="single" w:color="000000" w:sz="8" w:space="0"/>
            </w:tcBorders>
            <w:shd w:val="clear" w:color="auto" w:fill="auto"/>
            <w:noWrap/>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年</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2022</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隧道养护距离</w:t>
            </w:r>
          </w:p>
        </w:tc>
        <w:tc>
          <w:tcPr>
            <w:tcW w:w="1000" w:type="dxa"/>
            <w:tcBorders>
              <w:top w:val="nil"/>
              <w:left w:val="nil"/>
              <w:bottom w:val="single" w:color="000000" w:sz="8" w:space="0"/>
              <w:right w:val="single" w:color="000000" w:sz="8" w:space="0"/>
            </w:tcBorders>
            <w:shd w:val="clear" w:color="auto" w:fill="auto"/>
            <w:noWrap/>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2278</w:t>
            </w:r>
          </w:p>
        </w:tc>
        <w:tc>
          <w:tcPr>
            <w:tcW w:w="1080" w:type="dxa"/>
            <w:gridSpan w:val="2"/>
            <w:tcBorders>
              <w:top w:val="nil"/>
              <w:left w:val="nil"/>
              <w:bottom w:val="single" w:color="000000" w:sz="8" w:space="0"/>
              <w:right w:val="single" w:color="000000" w:sz="8" w:space="0"/>
            </w:tcBorders>
            <w:shd w:val="clear" w:color="auto" w:fill="auto"/>
            <w:noWrap/>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延米</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2278</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省道养护距离</w:t>
            </w:r>
          </w:p>
        </w:tc>
        <w:tc>
          <w:tcPr>
            <w:tcW w:w="1000" w:type="dxa"/>
            <w:tcBorders>
              <w:top w:val="nil"/>
              <w:left w:val="nil"/>
              <w:bottom w:val="single" w:color="000000" w:sz="8" w:space="0"/>
              <w:right w:val="single" w:color="000000" w:sz="8" w:space="0"/>
            </w:tcBorders>
            <w:shd w:val="clear" w:color="auto" w:fill="auto"/>
            <w:noWrap/>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129.991</w:t>
            </w:r>
          </w:p>
        </w:tc>
        <w:tc>
          <w:tcPr>
            <w:tcW w:w="1080" w:type="dxa"/>
            <w:gridSpan w:val="2"/>
            <w:tcBorders>
              <w:top w:val="nil"/>
              <w:left w:val="nil"/>
              <w:bottom w:val="single" w:color="000000" w:sz="8" w:space="0"/>
              <w:right w:val="single" w:color="000000" w:sz="8" w:space="0"/>
            </w:tcBorders>
            <w:shd w:val="clear" w:color="auto" w:fill="auto"/>
            <w:noWrap/>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公里</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129.991</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质量指标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保持公路及其设施的完好率</w:t>
            </w:r>
          </w:p>
        </w:tc>
        <w:tc>
          <w:tcPr>
            <w:tcW w:w="1000" w:type="dxa"/>
            <w:tcBorders>
              <w:top w:val="nil"/>
              <w:left w:val="nil"/>
              <w:bottom w:val="single" w:color="000000" w:sz="8" w:space="0"/>
              <w:right w:val="single" w:color="000000" w:sz="8" w:space="0"/>
            </w:tcBorders>
            <w:shd w:val="clear" w:color="auto" w:fill="auto"/>
            <w:noWrap/>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95</w:t>
            </w:r>
          </w:p>
        </w:tc>
        <w:tc>
          <w:tcPr>
            <w:tcW w:w="1080" w:type="dxa"/>
            <w:gridSpan w:val="2"/>
            <w:tcBorders>
              <w:top w:val="nil"/>
              <w:left w:val="nil"/>
              <w:bottom w:val="single" w:color="000000" w:sz="8" w:space="0"/>
              <w:right w:val="single" w:color="000000" w:sz="8" w:space="0"/>
            </w:tcBorders>
            <w:shd w:val="clear" w:color="auto" w:fill="auto"/>
            <w:noWrap/>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国道养护距离</w:t>
            </w:r>
          </w:p>
        </w:tc>
        <w:tc>
          <w:tcPr>
            <w:tcW w:w="1000" w:type="dxa"/>
            <w:tcBorders>
              <w:top w:val="nil"/>
              <w:left w:val="nil"/>
              <w:bottom w:val="single" w:color="000000" w:sz="8" w:space="0"/>
              <w:right w:val="single" w:color="000000" w:sz="8" w:space="0"/>
            </w:tcBorders>
            <w:shd w:val="clear" w:color="auto" w:fill="auto"/>
            <w:noWrap/>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43.085</w:t>
            </w:r>
          </w:p>
        </w:tc>
        <w:tc>
          <w:tcPr>
            <w:tcW w:w="1080" w:type="dxa"/>
            <w:gridSpan w:val="2"/>
            <w:tcBorders>
              <w:top w:val="nil"/>
              <w:left w:val="nil"/>
              <w:bottom w:val="single" w:color="000000" w:sz="8" w:space="0"/>
              <w:right w:val="single" w:color="000000" w:sz="8" w:space="0"/>
            </w:tcBorders>
            <w:shd w:val="clear" w:color="auto" w:fill="auto"/>
            <w:noWrap/>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公里</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43.085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可持续影响指标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保障公里正常运行</w:t>
            </w:r>
          </w:p>
        </w:tc>
        <w:tc>
          <w:tcPr>
            <w:tcW w:w="1000" w:type="dxa"/>
            <w:tcBorders>
              <w:top w:val="nil"/>
              <w:left w:val="nil"/>
              <w:bottom w:val="single" w:color="000000" w:sz="8" w:space="0"/>
              <w:right w:val="single" w:color="000000" w:sz="8" w:space="0"/>
            </w:tcBorders>
            <w:shd w:val="clear" w:color="auto" w:fill="auto"/>
            <w:noWrap/>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noWrap/>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路面修复完好率</w:t>
            </w:r>
          </w:p>
        </w:tc>
        <w:tc>
          <w:tcPr>
            <w:tcW w:w="1000" w:type="dxa"/>
            <w:tcBorders>
              <w:top w:val="nil"/>
              <w:left w:val="nil"/>
              <w:bottom w:val="single" w:color="000000" w:sz="8" w:space="0"/>
              <w:right w:val="single" w:color="000000" w:sz="8" w:space="0"/>
            </w:tcBorders>
            <w:shd w:val="clear" w:color="auto" w:fill="auto"/>
            <w:noWrap/>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noWrap/>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保障行车安全舒适、畅通</w:t>
            </w:r>
          </w:p>
        </w:tc>
        <w:tc>
          <w:tcPr>
            <w:tcW w:w="1000" w:type="dxa"/>
            <w:tcBorders>
              <w:top w:val="nil"/>
              <w:left w:val="nil"/>
              <w:bottom w:val="single" w:color="000000" w:sz="8" w:space="0"/>
              <w:right w:val="single" w:color="000000" w:sz="8" w:space="0"/>
            </w:tcBorders>
            <w:shd w:val="clear" w:color="auto" w:fill="auto"/>
            <w:noWrap/>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优良中低差</w:t>
            </w:r>
          </w:p>
        </w:tc>
        <w:tc>
          <w:tcPr>
            <w:tcW w:w="1080" w:type="dxa"/>
            <w:gridSpan w:val="2"/>
            <w:tcBorders>
              <w:top w:val="nil"/>
              <w:left w:val="nil"/>
              <w:bottom w:val="single" w:color="000000" w:sz="8" w:space="0"/>
              <w:right w:val="single" w:color="000000" w:sz="8" w:space="0"/>
            </w:tcBorders>
            <w:shd w:val="clear" w:color="auto" w:fill="auto"/>
            <w:noWrap/>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良</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8</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服务对象满意度指标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实施区域通行人员满意度</w:t>
            </w:r>
          </w:p>
        </w:tc>
        <w:tc>
          <w:tcPr>
            <w:tcW w:w="1000" w:type="dxa"/>
            <w:tcBorders>
              <w:top w:val="nil"/>
              <w:left w:val="nil"/>
              <w:bottom w:val="single" w:color="000000" w:sz="8" w:space="0"/>
              <w:right w:val="single" w:color="000000" w:sz="8" w:space="0"/>
            </w:tcBorders>
            <w:shd w:val="clear" w:color="auto" w:fill="auto"/>
            <w:noWrap/>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95</w:t>
            </w:r>
          </w:p>
        </w:tc>
        <w:tc>
          <w:tcPr>
            <w:tcW w:w="1080" w:type="dxa"/>
            <w:gridSpan w:val="2"/>
            <w:tcBorders>
              <w:top w:val="nil"/>
              <w:left w:val="nil"/>
              <w:bottom w:val="single" w:color="000000" w:sz="8" w:space="0"/>
              <w:right w:val="single" w:color="000000" w:sz="8" w:space="0"/>
            </w:tcBorders>
            <w:shd w:val="clear" w:color="auto" w:fill="auto"/>
            <w:noWrap/>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right"/>
              <w:rPr>
                <w:rFonts w:ascii="宋体" w:hAnsi="宋体" w:cs="宋体"/>
                <w:color w:val="000000"/>
                <w:kern w:val="0"/>
                <w:sz w:val="18"/>
                <w:szCs w:val="18"/>
              </w:rPr>
            </w:pPr>
            <w:r>
              <w:rPr>
                <w:rFonts w:hint="eastAsia" w:ascii="宋体" w:hAnsi="宋体" w:cs="宋体"/>
                <w:color w:val="000000"/>
                <w:kern w:val="0"/>
                <w:sz w:val="18"/>
                <w:szCs w:val="18"/>
              </w:rPr>
              <w:t>98</w:t>
            </w:r>
          </w:p>
        </w:tc>
        <w:tc>
          <w:tcPr>
            <w:tcW w:w="1026" w:type="dxa"/>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本项目自评得分98分，产出、效益和满意度指标均完成</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项目负责人：魏三建</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财务负责人：赵登林</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51081222T000006324864-2022年农村公路灾损保险投保费</w:t>
            </w:r>
          </w:p>
        </w:tc>
      </w:tr>
      <w:tr>
        <w:tblPrEx>
          <w:tblCellMar>
            <w:top w:w="0" w:type="dxa"/>
            <w:left w:w="108" w:type="dxa"/>
            <w:bottom w:w="0" w:type="dxa"/>
            <w:right w:w="108" w:type="dxa"/>
          </w:tblCellMar>
        </w:tblPrEx>
        <w:trPr>
          <w:trHeight w:val="46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实施</w:t>
            </w:r>
            <w:r>
              <w:rPr>
                <w:rFonts w:hint="eastAsia" w:ascii="黑体" w:hAnsi="宋体" w:eastAsia="黑体" w:cs="宋体"/>
                <w:color w:val="000000"/>
                <w:kern w:val="0"/>
                <w:sz w:val="18"/>
                <w:szCs w:val="18"/>
                <w:lang w:eastAsia="zh-CN"/>
              </w:rPr>
              <w:t>部门</w:t>
            </w:r>
            <w:r>
              <w:rPr>
                <w:rFonts w:hint="eastAsia" w:ascii="黑体" w:hAnsi="宋体" w:eastAsia="黑体" w:cs="宋体"/>
                <w:color w:val="000000"/>
                <w:kern w:val="0"/>
                <w:sz w:val="18"/>
                <w:szCs w:val="18"/>
              </w:rPr>
              <w:t xml:space="preserve"> （盖章）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广元市朝天区公路养护段</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黑体" w:hAnsi="宋体" w:eastAsia="黑体" w:cs="宋体"/>
                <w:color w:val="000000"/>
                <w:kern w:val="0"/>
                <w:sz w:val="18"/>
                <w:szCs w:val="18"/>
              </w:rPr>
            </w:pPr>
            <w:r>
              <w:rPr>
                <w:rFonts w:hint="eastAsia" w:ascii="黑体" w:hAnsi="宋体" w:eastAsia="黑体" w:cs="宋体"/>
                <w:color w:val="000000"/>
                <w:kern w:val="0"/>
                <w:sz w:val="18"/>
                <w:szCs w:val="18"/>
              </w:rPr>
              <w:t>年度目标完成情况</w:t>
            </w:r>
          </w:p>
        </w:tc>
      </w:tr>
      <w:tr>
        <w:tblPrEx>
          <w:tblCellMar>
            <w:top w:w="0" w:type="dxa"/>
            <w:left w:w="108" w:type="dxa"/>
            <w:bottom w:w="0" w:type="dxa"/>
            <w:right w:w="108" w:type="dxa"/>
          </w:tblCellMar>
        </w:tblPrEx>
        <w:trPr>
          <w:trHeight w:val="6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完成辖区内农村乡道、村道公路63.3公里、县道公路68.143公里自然灾害损毁损失投保，灾损保障率95%，提升农村公路灾损恢复能力，完善农村防灾管理体系</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对照年度目标，说明相关任务目标的完成情况（100字以内）</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完成辖区内农村乡道、村道公路63.3公里、县道公路68.143公里自然灾害损毁损失投保，灾损保障率95%，提升农村公路灾损恢复能力，完善农村防灾管理体系</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27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28.38</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28.38</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1.预算执行率=预算执行数/调整后预算数，预算执行率未达到90%的需说明原因（100字以内）;2.年中发生预算调整的（追加或调减）,应单独说明理由；3.其他资金包括：社会投入资金、银行贷款.</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28.38</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28.38</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nil"/>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nil"/>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nil"/>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农村乡道、村道公路</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63.3</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公里</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63.3</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县道公路</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68.143</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公里</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68.143</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质量指标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灾损保障率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95.00%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0.95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完成时间</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44926</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完成成本</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28.38</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28.38</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抗灾能力提升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nil"/>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提升</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提升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实施区域通行人员满意度</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0.95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8</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right"/>
              <w:rPr>
                <w:rFonts w:ascii="宋体" w:hAnsi="宋体" w:cs="宋体"/>
                <w:color w:val="000000"/>
                <w:kern w:val="0"/>
                <w:sz w:val="18"/>
                <w:szCs w:val="18"/>
              </w:rPr>
            </w:pPr>
            <w:r>
              <w:rPr>
                <w:rFonts w:hint="eastAsia" w:ascii="宋体" w:hAnsi="宋体" w:cs="宋体"/>
                <w:color w:val="000000"/>
                <w:kern w:val="0"/>
                <w:sz w:val="18"/>
                <w:szCs w:val="18"/>
              </w:rPr>
              <w:t>88</w:t>
            </w:r>
          </w:p>
        </w:tc>
        <w:tc>
          <w:tcPr>
            <w:tcW w:w="1026" w:type="dxa"/>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本项目自评得分98分，产出、效益和满意度指标均完成</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项目负责人：魏三建</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财务负责人：赵登林</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51081222T000007023785-2022年第一批省级交通专项资金</w:t>
            </w:r>
          </w:p>
        </w:tc>
      </w:tr>
      <w:tr>
        <w:tblPrEx>
          <w:tblCellMar>
            <w:top w:w="0" w:type="dxa"/>
            <w:left w:w="108" w:type="dxa"/>
            <w:bottom w:w="0" w:type="dxa"/>
            <w:right w:w="108" w:type="dxa"/>
          </w:tblCellMar>
        </w:tblPrEx>
        <w:trPr>
          <w:trHeight w:val="46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实施</w:t>
            </w:r>
            <w:r>
              <w:rPr>
                <w:rFonts w:hint="eastAsia" w:ascii="黑体" w:hAnsi="宋体" w:eastAsia="黑体" w:cs="宋体"/>
                <w:color w:val="000000"/>
                <w:kern w:val="0"/>
                <w:sz w:val="18"/>
                <w:szCs w:val="18"/>
                <w:lang w:eastAsia="zh-CN"/>
              </w:rPr>
              <w:t>部门</w:t>
            </w:r>
            <w:r>
              <w:rPr>
                <w:rFonts w:hint="eastAsia" w:ascii="黑体" w:hAnsi="宋体" w:eastAsia="黑体" w:cs="宋体"/>
                <w:color w:val="000000"/>
                <w:kern w:val="0"/>
                <w:sz w:val="18"/>
                <w:szCs w:val="18"/>
              </w:rPr>
              <w:t xml:space="preserve"> （盖章）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广元市朝天区公路养护段</w:t>
            </w:r>
          </w:p>
        </w:tc>
      </w:tr>
      <w:tr>
        <w:tblPrEx>
          <w:tblCellMar>
            <w:top w:w="0" w:type="dxa"/>
            <w:left w:w="108" w:type="dxa"/>
            <w:bottom w:w="0" w:type="dxa"/>
            <w:right w:w="108" w:type="dxa"/>
          </w:tblCellMar>
        </w:tblPrEx>
        <w:trPr>
          <w:trHeight w:val="28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黑体" w:hAnsi="宋体" w:eastAsia="黑体" w:cs="宋体"/>
                <w:color w:val="000000"/>
                <w:kern w:val="0"/>
                <w:sz w:val="18"/>
                <w:szCs w:val="18"/>
              </w:rPr>
            </w:pPr>
            <w:r>
              <w:rPr>
                <w:rFonts w:hint="eastAsia" w:ascii="黑体" w:hAnsi="宋体" w:eastAsia="黑体" w:cs="宋体"/>
                <w:color w:val="000000"/>
                <w:kern w:val="0"/>
                <w:sz w:val="18"/>
                <w:szCs w:val="18"/>
              </w:rPr>
              <w:t>年度目标完成情况</w:t>
            </w:r>
          </w:p>
        </w:tc>
      </w:tr>
      <w:tr>
        <w:tblPrEx>
          <w:tblCellMar>
            <w:top w:w="0" w:type="dxa"/>
            <w:left w:w="108" w:type="dxa"/>
            <w:bottom w:w="0" w:type="dxa"/>
            <w:right w:w="108" w:type="dxa"/>
          </w:tblCellMar>
        </w:tblPrEx>
        <w:trPr>
          <w:trHeight w:val="45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nil"/>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1.完成国省干线公路18.816公里保持干线及其设施的完好状态,保障行车安全舒适、畅通。</w:t>
            </w:r>
          </w:p>
        </w:tc>
        <w:tc>
          <w:tcPr>
            <w:tcW w:w="3807" w:type="dxa"/>
            <w:gridSpan w:val="7"/>
            <w:tcBorders>
              <w:top w:val="single" w:color="000000" w:sz="8" w:space="0"/>
              <w:left w:val="nil"/>
              <w:bottom w:val="nil"/>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1.完成了国省干线公路18.816公里保持干线及其设施的完好状态,保障行车安全舒适、畅通。</w:t>
            </w:r>
          </w:p>
        </w:tc>
      </w:tr>
      <w:tr>
        <w:tblPrEx>
          <w:tblCellMar>
            <w:top w:w="0" w:type="dxa"/>
            <w:left w:w="108" w:type="dxa"/>
            <w:bottom w:w="0" w:type="dxa"/>
            <w:right w:w="108" w:type="dxa"/>
          </w:tblCellMar>
        </w:tblPrEx>
        <w:trPr>
          <w:trHeight w:val="45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nil"/>
              <w:left w:val="nil"/>
              <w:bottom w:val="nil"/>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2.及时修复损坏部分，保证干线及设施的完好率≧95%。</w:t>
            </w:r>
          </w:p>
        </w:tc>
        <w:tc>
          <w:tcPr>
            <w:tcW w:w="3807" w:type="dxa"/>
            <w:gridSpan w:val="7"/>
            <w:tcBorders>
              <w:top w:val="nil"/>
              <w:left w:val="nil"/>
              <w:bottom w:val="nil"/>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2.及时修复损坏部分，保证干线及设施的完好率≧95%。</w:t>
            </w:r>
          </w:p>
        </w:tc>
      </w:tr>
      <w:tr>
        <w:tblPrEx>
          <w:tblCellMar>
            <w:top w:w="0" w:type="dxa"/>
            <w:left w:w="108" w:type="dxa"/>
            <w:bottom w:w="0" w:type="dxa"/>
            <w:right w:w="108" w:type="dxa"/>
          </w:tblCellMar>
        </w:tblPrEx>
        <w:trPr>
          <w:trHeight w:val="90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3.防治结合,治理公路存在的病害和隐患,改善朝天区公路通行条件和路域环境，提升抗灾能力，进而营造安全稳定的公路治安环境，促进朝天区经济社会发展。</w:t>
            </w:r>
          </w:p>
        </w:tc>
        <w:tc>
          <w:tcPr>
            <w:tcW w:w="3807" w:type="dxa"/>
            <w:gridSpan w:val="7"/>
            <w:tcBorders>
              <w:top w:val="nil"/>
              <w:left w:val="nil"/>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3.防治结合,治理公路存在的病害和隐患,改善朝天区公路通行条件和路域环境，提升抗灾能力，进而营造安全稳定的公路治安环境，促进朝天区经济社会发展。</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按照相关养路规则，履行养护职责，完成国省干线公路18.816公里保持干线及其设施的完好状态,保障行车安全舒适、畅通；及时修复损坏部分，保证干线及设施的完好率≧95%；防治结合,治理公路存在的病害和隐患,改善朝天区公路通行条件和路域环境，提升抗灾能力，进而营造安全稳定的公路治安环境，促进朝天区经济社会发展。</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497</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40.24%</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预算执行率只有40.24%是因为预算资金只到位了40.24%，所以实际预算执行率为100%</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497</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40.24%</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nil"/>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国省干线公路养护养护距离</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18.816</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公里</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18.816</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质量指标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保持道路及其设施的完好率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完成时间</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2023</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2023</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完成成本</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576</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576</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114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可持续影响指标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营造安全稳定的公路治安环境，促进朝天区经济社会发展</w:t>
            </w:r>
          </w:p>
        </w:tc>
        <w:tc>
          <w:tcPr>
            <w:tcW w:w="1000" w:type="dxa"/>
            <w:tcBorders>
              <w:top w:val="nil"/>
              <w:left w:val="nil"/>
              <w:bottom w:val="single" w:color="000000" w:sz="8" w:space="0"/>
              <w:right w:val="single" w:color="000000" w:sz="8" w:space="0"/>
            </w:tcBorders>
            <w:shd w:val="clear" w:color="auto" w:fill="auto"/>
            <w:noWrap/>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促进</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促进</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8</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确保朝天区公路大动脉安全畅通</w:t>
            </w:r>
          </w:p>
        </w:tc>
        <w:tc>
          <w:tcPr>
            <w:tcW w:w="1000" w:type="dxa"/>
            <w:tcBorders>
              <w:top w:val="nil"/>
              <w:left w:val="nil"/>
              <w:bottom w:val="single" w:color="000000" w:sz="8" w:space="0"/>
              <w:right w:val="single" w:color="000000" w:sz="8" w:space="0"/>
            </w:tcBorders>
            <w:shd w:val="clear" w:color="auto" w:fill="auto"/>
            <w:noWrap/>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确保</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确保</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公路通行条件和路域环境基本改善</w:t>
            </w:r>
          </w:p>
        </w:tc>
        <w:tc>
          <w:tcPr>
            <w:tcW w:w="1000" w:type="dxa"/>
            <w:tcBorders>
              <w:top w:val="nil"/>
              <w:left w:val="nil"/>
              <w:bottom w:val="single" w:color="000000" w:sz="8" w:space="0"/>
              <w:right w:val="single" w:color="000000" w:sz="8" w:space="0"/>
            </w:tcBorders>
            <w:shd w:val="clear" w:color="auto" w:fill="auto"/>
            <w:noWrap/>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改善</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改善</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改善通行服务水平群众满意度</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0.8</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0.89</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right"/>
              <w:rPr>
                <w:rFonts w:ascii="宋体" w:hAnsi="宋体" w:cs="宋体"/>
                <w:color w:val="000000"/>
                <w:kern w:val="0"/>
                <w:sz w:val="18"/>
                <w:szCs w:val="18"/>
              </w:rPr>
            </w:pPr>
            <w:r>
              <w:rPr>
                <w:rFonts w:hint="eastAsia" w:ascii="宋体" w:hAnsi="宋体" w:cs="宋体"/>
                <w:color w:val="000000"/>
                <w:kern w:val="0"/>
                <w:sz w:val="18"/>
                <w:szCs w:val="18"/>
              </w:rPr>
              <w:t>96</w:t>
            </w:r>
          </w:p>
        </w:tc>
        <w:tc>
          <w:tcPr>
            <w:tcW w:w="1026" w:type="dxa"/>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本项目自评得分96分，产出、效益和满意度指标均完成</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项目负责人：魏三建</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财务负责人：赵登林</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51081222T000007481187-农村公路养护补助资金（市级补助资金</w:t>
            </w:r>
          </w:p>
        </w:tc>
      </w:tr>
      <w:tr>
        <w:tblPrEx>
          <w:tblCellMar>
            <w:top w:w="0" w:type="dxa"/>
            <w:left w:w="108" w:type="dxa"/>
            <w:bottom w:w="0" w:type="dxa"/>
            <w:right w:w="108" w:type="dxa"/>
          </w:tblCellMar>
        </w:tblPrEx>
        <w:trPr>
          <w:trHeight w:val="46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实施</w:t>
            </w:r>
            <w:r>
              <w:rPr>
                <w:rFonts w:hint="eastAsia" w:ascii="黑体" w:hAnsi="宋体" w:eastAsia="黑体" w:cs="宋体"/>
                <w:color w:val="000000"/>
                <w:kern w:val="0"/>
                <w:sz w:val="18"/>
                <w:szCs w:val="18"/>
                <w:lang w:eastAsia="zh-CN"/>
              </w:rPr>
              <w:t>部门</w:t>
            </w:r>
            <w:r>
              <w:rPr>
                <w:rFonts w:hint="eastAsia" w:ascii="黑体" w:hAnsi="宋体" w:eastAsia="黑体" w:cs="宋体"/>
                <w:color w:val="000000"/>
                <w:kern w:val="0"/>
                <w:sz w:val="18"/>
                <w:szCs w:val="18"/>
              </w:rPr>
              <w:t xml:space="preserve"> （盖章）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广元市朝天区公路养护段</w:t>
            </w:r>
          </w:p>
        </w:tc>
      </w:tr>
      <w:tr>
        <w:tblPrEx>
          <w:tblCellMar>
            <w:top w:w="0" w:type="dxa"/>
            <w:left w:w="108" w:type="dxa"/>
            <w:bottom w:w="0" w:type="dxa"/>
            <w:right w:w="108" w:type="dxa"/>
          </w:tblCellMar>
        </w:tblPrEx>
        <w:trPr>
          <w:trHeight w:val="28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黑体" w:hAnsi="宋体" w:eastAsia="黑体" w:cs="宋体"/>
                <w:color w:val="000000"/>
                <w:kern w:val="0"/>
                <w:sz w:val="18"/>
                <w:szCs w:val="18"/>
              </w:rPr>
            </w:pPr>
            <w:r>
              <w:rPr>
                <w:rFonts w:hint="eastAsia" w:ascii="黑体" w:hAnsi="宋体" w:eastAsia="黑体" w:cs="宋体"/>
                <w:color w:val="000000"/>
                <w:kern w:val="0"/>
                <w:sz w:val="18"/>
                <w:szCs w:val="18"/>
              </w:rPr>
              <w:t>年度目标完成情况</w:t>
            </w:r>
          </w:p>
        </w:tc>
      </w:tr>
      <w:tr>
        <w:tblPrEx>
          <w:tblCellMar>
            <w:top w:w="0" w:type="dxa"/>
            <w:left w:w="108" w:type="dxa"/>
            <w:bottom w:w="0" w:type="dxa"/>
            <w:right w:w="108" w:type="dxa"/>
          </w:tblCellMar>
        </w:tblPrEx>
        <w:trPr>
          <w:trHeight w:val="90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nil"/>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1.完成县道养护距离541.602公里、乡道养护距离752.933公里、村道养护距离1464.089公里和隧道养护距离2474.6延米，保持公路及其设施的完好状态,保障行车安全舒适、畅通。</w:t>
            </w:r>
          </w:p>
        </w:tc>
        <w:tc>
          <w:tcPr>
            <w:tcW w:w="3807" w:type="dxa"/>
            <w:gridSpan w:val="7"/>
            <w:tcBorders>
              <w:top w:val="single" w:color="000000" w:sz="8" w:space="0"/>
              <w:left w:val="nil"/>
              <w:bottom w:val="nil"/>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1.完成了县道养护距离541.602公里、乡道养护距离752.933公里、村道养护距离1464.089公里和隧道养护距离2474.6延米，保持公路及其设施的完好状态,保障行车安全舒适、畅通。</w:t>
            </w:r>
          </w:p>
        </w:tc>
      </w:tr>
      <w:tr>
        <w:tblPrEx>
          <w:tblCellMar>
            <w:top w:w="0" w:type="dxa"/>
            <w:left w:w="108" w:type="dxa"/>
            <w:bottom w:w="0" w:type="dxa"/>
            <w:right w:w="108" w:type="dxa"/>
          </w:tblCellMar>
        </w:tblPrEx>
        <w:trPr>
          <w:trHeight w:val="45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nil"/>
              <w:left w:val="nil"/>
              <w:bottom w:val="nil"/>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2.及时修复损坏部分，保证公路及设施的完好率≧95%。</w:t>
            </w:r>
          </w:p>
        </w:tc>
        <w:tc>
          <w:tcPr>
            <w:tcW w:w="3807" w:type="dxa"/>
            <w:gridSpan w:val="7"/>
            <w:tcBorders>
              <w:top w:val="nil"/>
              <w:left w:val="nil"/>
              <w:bottom w:val="nil"/>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2.及时修复损坏部分，保证公路及设施的完好率≧95%。</w:t>
            </w:r>
          </w:p>
        </w:tc>
      </w:tr>
      <w:tr>
        <w:tblPrEx>
          <w:tblCellMar>
            <w:top w:w="0" w:type="dxa"/>
            <w:left w:w="108" w:type="dxa"/>
            <w:bottom w:w="0" w:type="dxa"/>
            <w:right w:w="108" w:type="dxa"/>
          </w:tblCellMar>
        </w:tblPrEx>
        <w:trPr>
          <w:trHeight w:val="90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3.防治结合,治理公路存在的病害和隐患,改善朝天区农村公路通行条件和路域环境，提升抗灾能力，为农村公路治理体系全面完善及治理能力全面提高提供基本保证。</w:t>
            </w:r>
          </w:p>
        </w:tc>
        <w:tc>
          <w:tcPr>
            <w:tcW w:w="3807" w:type="dxa"/>
            <w:gridSpan w:val="7"/>
            <w:tcBorders>
              <w:top w:val="nil"/>
              <w:left w:val="nil"/>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3.防治结合,治理公路存在的病害和隐患,改善朝天区农村公路通行条件和路域环境，提升抗灾能力，为农村公路治理体系全面完善及治理能力全面提高提供基本保证。</w:t>
            </w:r>
          </w:p>
        </w:tc>
      </w:tr>
      <w:tr>
        <w:tblPrEx>
          <w:tblCellMar>
            <w:top w:w="0" w:type="dxa"/>
            <w:left w:w="108" w:type="dxa"/>
            <w:bottom w:w="0" w:type="dxa"/>
            <w:right w:w="108" w:type="dxa"/>
          </w:tblCellMar>
        </w:tblPrEx>
        <w:trPr>
          <w:trHeight w:val="90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按照相关养路规则，履行养护职责，完成县道养护距离541.602公里、乡道养护距离752.933公里、村道养护距离1464.089公里和隧道养护距离2474.6延米，保持公路及其设施的完好状态,保障行车安全舒适、畅通；及时修复损坏部分，保证公路及设施的完好率≧95%；防治结合,治理公路存在的病害和隐患,改善朝天区农村公路通行条件和路域环境，提升抗灾能力，为农村公路治理体系全面完善及治理能力全面提高提供基本保证。</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27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280.17</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280.17</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1.预算执行率=预算执行数/调整后预算数，预算执行率未达到90%的需说明原因（100字以内）;2.年中发生预算调整的（追加或调减）,应单独说明理由；3.其他资金包括：社会投入资金、银行贷款.</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280.17</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280.17</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县道养护距离</w:t>
            </w:r>
          </w:p>
        </w:tc>
        <w:tc>
          <w:tcPr>
            <w:tcW w:w="1000" w:type="dxa"/>
            <w:tcBorders>
              <w:top w:val="nil"/>
              <w:left w:val="nil"/>
              <w:bottom w:val="single" w:color="000000" w:sz="8" w:space="0"/>
              <w:right w:val="single" w:color="000000" w:sz="8" w:space="0"/>
            </w:tcBorders>
            <w:shd w:val="clear" w:color="auto" w:fill="auto"/>
            <w:noWrap/>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541.602</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公里</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541.602</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乡道养护距离</w:t>
            </w:r>
          </w:p>
        </w:tc>
        <w:tc>
          <w:tcPr>
            <w:tcW w:w="1000" w:type="dxa"/>
            <w:tcBorders>
              <w:top w:val="nil"/>
              <w:left w:val="nil"/>
              <w:bottom w:val="single" w:color="000000" w:sz="8" w:space="0"/>
              <w:right w:val="single" w:color="000000" w:sz="8" w:space="0"/>
            </w:tcBorders>
            <w:shd w:val="clear" w:color="auto" w:fill="auto"/>
            <w:noWrap/>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752.933</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公里</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752.933</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村道养护距离</w:t>
            </w:r>
          </w:p>
        </w:tc>
        <w:tc>
          <w:tcPr>
            <w:tcW w:w="1000" w:type="dxa"/>
            <w:tcBorders>
              <w:top w:val="nil"/>
              <w:left w:val="nil"/>
              <w:bottom w:val="single" w:color="000000" w:sz="8" w:space="0"/>
              <w:right w:val="single" w:color="000000" w:sz="8" w:space="0"/>
            </w:tcBorders>
            <w:shd w:val="clear" w:color="auto" w:fill="auto"/>
            <w:noWrap/>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1464.089</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公里</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1464.089</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隧道养护距离</w:t>
            </w:r>
          </w:p>
        </w:tc>
        <w:tc>
          <w:tcPr>
            <w:tcW w:w="1000" w:type="dxa"/>
            <w:tcBorders>
              <w:top w:val="nil"/>
              <w:left w:val="nil"/>
              <w:bottom w:val="single" w:color="000000" w:sz="8" w:space="0"/>
              <w:right w:val="single" w:color="000000" w:sz="8" w:space="0"/>
            </w:tcBorders>
            <w:shd w:val="clear" w:color="auto" w:fill="auto"/>
            <w:noWrap/>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2474.6</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延米</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2474.6</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质量指标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保持公路及其设施的完好率</w:t>
            </w:r>
          </w:p>
        </w:tc>
        <w:tc>
          <w:tcPr>
            <w:tcW w:w="1000" w:type="dxa"/>
            <w:tcBorders>
              <w:top w:val="nil"/>
              <w:left w:val="nil"/>
              <w:bottom w:val="single" w:color="000000" w:sz="8" w:space="0"/>
              <w:right w:val="single" w:color="000000" w:sz="8" w:space="0"/>
            </w:tcBorders>
            <w:shd w:val="clear" w:color="auto" w:fill="auto"/>
            <w:noWrap/>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2022年任务完成时限</w:t>
            </w:r>
          </w:p>
        </w:tc>
        <w:tc>
          <w:tcPr>
            <w:tcW w:w="1000" w:type="dxa"/>
            <w:tcBorders>
              <w:top w:val="nil"/>
              <w:left w:val="nil"/>
              <w:bottom w:val="single" w:color="000000" w:sz="8" w:space="0"/>
              <w:right w:val="single" w:color="000000" w:sz="8" w:space="0"/>
            </w:tcBorders>
            <w:shd w:val="clear" w:color="auto" w:fill="auto"/>
            <w:noWrap/>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2022</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2022</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完成成本</w:t>
            </w:r>
          </w:p>
        </w:tc>
        <w:tc>
          <w:tcPr>
            <w:tcW w:w="1000" w:type="dxa"/>
            <w:tcBorders>
              <w:top w:val="nil"/>
              <w:left w:val="nil"/>
              <w:bottom w:val="single" w:color="000000" w:sz="8" w:space="0"/>
              <w:right w:val="single" w:color="000000" w:sz="8" w:space="0"/>
            </w:tcBorders>
            <w:shd w:val="clear" w:color="auto" w:fill="auto"/>
            <w:noWrap/>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482.64</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482.64</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公路通行条件和路域环境基本改善</w:t>
            </w:r>
          </w:p>
        </w:tc>
        <w:tc>
          <w:tcPr>
            <w:tcW w:w="1000" w:type="dxa"/>
            <w:tcBorders>
              <w:top w:val="nil"/>
              <w:left w:val="nil"/>
              <w:bottom w:val="single" w:color="000000" w:sz="8" w:space="0"/>
              <w:right w:val="single" w:color="000000" w:sz="8" w:space="0"/>
            </w:tcBorders>
            <w:shd w:val="clear" w:color="auto" w:fill="auto"/>
            <w:noWrap/>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优良中低差</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良</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8</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及时清障，使公路的抗灾能力提升</w:t>
            </w:r>
          </w:p>
        </w:tc>
        <w:tc>
          <w:tcPr>
            <w:tcW w:w="1000" w:type="dxa"/>
            <w:tcBorders>
              <w:top w:val="nil"/>
              <w:left w:val="nil"/>
              <w:bottom w:val="single" w:color="000000" w:sz="8" w:space="0"/>
              <w:right w:val="single" w:color="000000" w:sz="8" w:space="0"/>
            </w:tcBorders>
            <w:shd w:val="clear" w:color="auto" w:fill="auto"/>
            <w:noWrap/>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优良中低差</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良</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8</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114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可持续影响指标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农村公路治理体系全面完善，治理能力全面提高</w:t>
            </w:r>
          </w:p>
        </w:tc>
        <w:tc>
          <w:tcPr>
            <w:tcW w:w="1000" w:type="dxa"/>
            <w:tcBorders>
              <w:top w:val="nil"/>
              <w:left w:val="nil"/>
              <w:bottom w:val="single" w:color="000000" w:sz="8" w:space="0"/>
              <w:right w:val="single" w:color="000000" w:sz="8" w:space="0"/>
            </w:tcBorders>
            <w:shd w:val="clear" w:color="auto" w:fill="auto"/>
            <w:noWrap/>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优良中低差</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良</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8</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服务对象满意度指标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实施区域通行人员满意度</w:t>
            </w:r>
          </w:p>
        </w:tc>
        <w:tc>
          <w:tcPr>
            <w:tcW w:w="1000" w:type="dxa"/>
            <w:tcBorders>
              <w:top w:val="nil"/>
              <w:left w:val="nil"/>
              <w:bottom w:val="single" w:color="000000" w:sz="8" w:space="0"/>
              <w:right w:val="single" w:color="000000" w:sz="8" w:space="0"/>
            </w:tcBorders>
            <w:shd w:val="clear" w:color="auto" w:fill="auto"/>
            <w:noWrap/>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right"/>
              <w:rPr>
                <w:rFonts w:ascii="宋体" w:hAnsi="宋体" w:cs="宋体"/>
                <w:color w:val="000000"/>
                <w:kern w:val="0"/>
                <w:sz w:val="18"/>
                <w:szCs w:val="18"/>
              </w:rPr>
            </w:pPr>
            <w:r>
              <w:rPr>
                <w:rFonts w:hint="eastAsia" w:ascii="宋体" w:hAnsi="宋体" w:cs="宋体"/>
                <w:color w:val="000000"/>
                <w:kern w:val="0"/>
                <w:sz w:val="18"/>
                <w:szCs w:val="18"/>
              </w:rPr>
              <w:t>94</w:t>
            </w:r>
          </w:p>
        </w:tc>
        <w:tc>
          <w:tcPr>
            <w:tcW w:w="1026" w:type="dxa"/>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本项目自评得分94分，产出、效益和满意度指标均完成</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项目负责人：魏三建</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财务负责人：赵登林</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51081222Y000005135504-定额公用经费（事业）</w:t>
            </w:r>
          </w:p>
        </w:tc>
      </w:tr>
      <w:tr>
        <w:tblPrEx>
          <w:tblCellMar>
            <w:top w:w="0" w:type="dxa"/>
            <w:left w:w="108" w:type="dxa"/>
            <w:bottom w:w="0" w:type="dxa"/>
            <w:right w:w="108" w:type="dxa"/>
          </w:tblCellMar>
        </w:tblPrEx>
        <w:trPr>
          <w:trHeight w:val="46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实施</w:t>
            </w:r>
            <w:r>
              <w:rPr>
                <w:rFonts w:hint="eastAsia" w:ascii="黑体" w:hAnsi="宋体" w:eastAsia="黑体" w:cs="宋体"/>
                <w:color w:val="000000"/>
                <w:kern w:val="0"/>
                <w:sz w:val="18"/>
                <w:szCs w:val="18"/>
                <w:lang w:eastAsia="zh-CN"/>
              </w:rPr>
              <w:t>部门</w:t>
            </w:r>
            <w:r>
              <w:rPr>
                <w:rFonts w:hint="eastAsia" w:ascii="黑体" w:hAnsi="宋体" w:eastAsia="黑体" w:cs="宋体"/>
                <w:color w:val="000000"/>
                <w:kern w:val="0"/>
                <w:sz w:val="18"/>
                <w:szCs w:val="18"/>
              </w:rPr>
              <w:t xml:space="preserve"> （盖章）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广元市朝天区公路养护段</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黑体" w:hAnsi="宋体" w:eastAsia="黑体" w:cs="宋体"/>
                <w:color w:val="000000"/>
                <w:kern w:val="0"/>
                <w:sz w:val="18"/>
                <w:szCs w:val="18"/>
              </w:rPr>
            </w:pPr>
            <w:r>
              <w:rPr>
                <w:rFonts w:hint="eastAsia" w:ascii="黑体" w:hAnsi="宋体" w:eastAsia="黑体" w:cs="宋体"/>
                <w:color w:val="000000"/>
                <w:kern w:val="0"/>
                <w:sz w:val="18"/>
                <w:szCs w:val="18"/>
              </w:rPr>
              <w:t>年度目标完成情况</w:t>
            </w:r>
          </w:p>
        </w:tc>
      </w:tr>
      <w:tr>
        <w:tblPrEx>
          <w:tblCellMar>
            <w:top w:w="0" w:type="dxa"/>
            <w:left w:w="108" w:type="dxa"/>
            <w:bottom w:w="0" w:type="dxa"/>
            <w:right w:w="108" w:type="dxa"/>
          </w:tblCellMar>
        </w:tblPrEx>
        <w:trPr>
          <w:trHeight w:val="6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保障</w:t>
            </w: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日常运转，提高预算编制质量，严格执行预算</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严格执行相关政策，科目调整次数为零，定额公用经费控制率100%，运转保障率为100%，预算编制准确率100%，全面完成年度绩效目标</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严格执行相关政策，保障金财网正常运转，科目调整次数为零，三公经费控制率100%，运转保障率为100%，全面完成年度绩效目标</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27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47</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46.62</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45.75</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98.14%</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9.8</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1.预算执行率=预算执行数/调整后预算数，预算执行率未达到90%的需说明原因（100字以内）;2.年中发生预算调整的（追加或调减）,应单独说明理由；3.其他资金包括：社会投入资金、银行贷款.</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47</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46.62</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45.75</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98.14%</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科目调整次数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次</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13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质量指标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预算编制准确率（计算方法为：∣（执行数-预算数）/预算数∣）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15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经济效益指标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“三公”经费</w:t>
            </w:r>
            <w:r>
              <w:rPr>
                <w:rFonts w:hint="eastAsia" w:ascii="宋体" w:hAnsi="宋体" w:cs="宋体"/>
                <w:color w:val="000000"/>
                <w:kern w:val="0"/>
                <w:sz w:val="18"/>
                <w:szCs w:val="18"/>
              </w:rPr>
              <w:t>控制率[计算方法为：（三公经费实际支出数/预算安排数]×100%）</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运转保障率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right"/>
              <w:rPr>
                <w:rFonts w:ascii="宋体" w:hAnsi="宋体" w:cs="宋体"/>
                <w:color w:val="000000"/>
                <w:kern w:val="0"/>
                <w:sz w:val="18"/>
                <w:szCs w:val="18"/>
              </w:rPr>
            </w:pPr>
            <w:r>
              <w:rPr>
                <w:rFonts w:hint="eastAsia" w:ascii="宋体" w:hAnsi="宋体" w:cs="宋体"/>
                <w:color w:val="000000"/>
                <w:kern w:val="0"/>
                <w:sz w:val="18"/>
                <w:szCs w:val="18"/>
              </w:rPr>
              <w:t>99.8</w:t>
            </w:r>
          </w:p>
        </w:tc>
        <w:tc>
          <w:tcPr>
            <w:tcW w:w="1026" w:type="dxa"/>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本项目自评得分99.8分，产出、效益和满意度指标均完成</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项目负责人：魏三建</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财务负责人：赵登林</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nil"/>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　</w:t>
            </w:r>
          </w:p>
        </w:tc>
        <w:tc>
          <w:tcPr>
            <w:tcW w:w="976" w:type="dxa"/>
            <w:gridSpan w:val="2"/>
            <w:tcBorders>
              <w:top w:val="nil"/>
              <w:left w:val="nil"/>
              <w:bottom w:val="single" w:color="000000" w:sz="8" w:space="0"/>
              <w:right w:val="nil"/>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　</w:t>
            </w:r>
          </w:p>
        </w:tc>
        <w:tc>
          <w:tcPr>
            <w:tcW w:w="1061" w:type="dxa"/>
            <w:gridSpan w:val="2"/>
            <w:tcBorders>
              <w:top w:val="nil"/>
              <w:left w:val="nil"/>
              <w:bottom w:val="single" w:color="000000" w:sz="8" w:space="0"/>
              <w:right w:val="nil"/>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　</w:t>
            </w:r>
          </w:p>
        </w:tc>
        <w:tc>
          <w:tcPr>
            <w:tcW w:w="1061" w:type="dxa"/>
            <w:gridSpan w:val="2"/>
            <w:tcBorders>
              <w:top w:val="nil"/>
              <w:left w:val="nil"/>
              <w:bottom w:val="single" w:color="000000" w:sz="8" w:space="0"/>
              <w:right w:val="nil"/>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　</w:t>
            </w:r>
          </w:p>
        </w:tc>
        <w:tc>
          <w:tcPr>
            <w:tcW w:w="1000" w:type="dxa"/>
            <w:tcBorders>
              <w:top w:val="nil"/>
              <w:left w:val="nil"/>
              <w:bottom w:val="single" w:color="000000" w:sz="8" w:space="0"/>
              <w:right w:val="nil"/>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　</w:t>
            </w:r>
          </w:p>
        </w:tc>
        <w:tc>
          <w:tcPr>
            <w:tcW w:w="936" w:type="dxa"/>
            <w:tcBorders>
              <w:top w:val="nil"/>
              <w:left w:val="nil"/>
              <w:bottom w:val="single" w:color="000000" w:sz="8" w:space="0"/>
              <w:right w:val="nil"/>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　</w:t>
            </w:r>
          </w:p>
        </w:tc>
        <w:tc>
          <w:tcPr>
            <w:tcW w:w="1080" w:type="dxa"/>
            <w:gridSpan w:val="2"/>
            <w:tcBorders>
              <w:top w:val="nil"/>
              <w:left w:val="nil"/>
              <w:bottom w:val="single" w:color="000000" w:sz="8" w:space="0"/>
              <w:right w:val="nil"/>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　</w:t>
            </w:r>
          </w:p>
        </w:tc>
        <w:tc>
          <w:tcPr>
            <w:tcW w:w="1061" w:type="dxa"/>
            <w:gridSpan w:val="2"/>
            <w:tcBorders>
              <w:top w:val="nil"/>
              <w:left w:val="nil"/>
              <w:bottom w:val="single" w:color="000000" w:sz="8" w:space="0"/>
              <w:right w:val="nil"/>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　</w:t>
            </w:r>
          </w:p>
        </w:tc>
        <w:tc>
          <w:tcPr>
            <w:tcW w:w="940" w:type="dxa"/>
            <w:gridSpan w:val="2"/>
            <w:tcBorders>
              <w:top w:val="nil"/>
              <w:left w:val="nil"/>
              <w:bottom w:val="single" w:color="000000" w:sz="8" w:space="0"/>
              <w:right w:val="nil"/>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　</w:t>
            </w:r>
          </w:p>
        </w:tc>
        <w:tc>
          <w:tcPr>
            <w:tcW w:w="780" w:type="dxa"/>
            <w:gridSpan w:val="2"/>
            <w:tcBorders>
              <w:top w:val="nil"/>
              <w:left w:val="nil"/>
              <w:bottom w:val="single" w:color="000000" w:sz="8" w:space="0"/>
              <w:right w:val="nil"/>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　</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　</w:t>
            </w: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70"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51000021R000000019954-聘用人员经费</w:t>
            </w:r>
          </w:p>
        </w:tc>
      </w:tr>
      <w:tr>
        <w:tblPrEx>
          <w:tblCellMar>
            <w:top w:w="0" w:type="dxa"/>
            <w:left w:w="108" w:type="dxa"/>
            <w:bottom w:w="0" w:type="dxa"/>
            <w:right w:w="108" w:type="dxa"/>
          </w:tblCellMar>
        </w:tblPrEx>
        <w:trPr>
          <w:trHeight w:val="270"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rFonts w:ascii="Courier New" w:hAnsi="Courier New" w:cs="Courier New"/>
                <w:color w:val="000000"/>
                <w:kern w:val="0"/>
                <w:sz w:val="18"/>
                <w:szCs w:val="18"/>
              </w:rPr>
            </w:pPr>
            <w:r>
              <w:rPr>
                <w:rFonts w:ascii="Courier New" w:hAnsi="Courier New" w:cs="Courier New"/>
                <w:color w:val="000000"/>
                <w:kern w:val="0"/>
                <w:sz w:val="18"/>
                <w:szCs w:val="18"/>
              </w:rPr>
              <w:t>实施</w:t>
            </w:r>
            <w:r>
              <w:rPr>
                <w:rFonts w:hint="eastAsia" w:ascii="Courier New" w:hAnsi="Courier New" w:cs="Courier New"/>
                <w:color w:val="000000"/>
                <w:kern w:val="0"/>
                <w:sz w:val="18"/>
                <w:szCs w:val="18"/>
                <w:lang w:eastAsia="zh-CN"/>
              </w:rPr>
              <w:t>部门</w:t>
            </w:r>
            <w:r>
              <w:rPr>
                <w:rFonts w:hint="eastAsia" w:ascii="黑体" w:hAnsi="Courier New" w:eastAsia="黑体" w:cs="Courier New"/>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40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45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严格执行相关政策，保障工资及时发放、足额发放，预算编制科学合理，减少结余资金</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严格执行相关政策，保障工资及时发放、足额发放，预算编制科学合理，减少结余资金。</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按月支付聘用人员劳务费用。</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科目调整次数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次</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10次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按时发放率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91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经济效益指标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结余率（计算方法为：结余数/预算数）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严格按年初预算执行，达到预期绩效目标。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项目负责人：刘亮杰</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51000021R000000019957-其他补助支出</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6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严格执行相关政策，保障工资及时、足额发放或社保及时、足额缴纳，预算编制科学合理，减少结余资金。</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严格执行相关政策，保障工资及时、足额发放或社保及时、足额缴纳，预算编制科学合理，减少结余资金。</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用于支付第一书记驻村开展乡村振兴办公费用。</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发放（缴纳）覆盖率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足额保障率（参保率）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严格按年初预算执行，达到预期绩效目标。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项目负责人：董顺</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51081221R000000033316-其他对个人和家庭补助</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6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严格执行相关政策，保障工资及时、足额发放或社保及时、足额缴纳，预算编制科学合理，减少结余资金。</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严格执行相关政策，保障工资及时、足额发放或社保及时、足额缴纳，预算编制科学合理，减少结余资金。</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支付退休人员一次性补贴。</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1.2</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1.2</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1.2</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1.2</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发放（缴纳）覆盖率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足额保障率（参保率）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严格按年初预算执行，达到预期绩效目标。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项目负责人：韩平</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51081221R000000033747-独子费</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45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严格执行相关政策，保障工资及时发放、足额发放，预算编制科学合理，减少结余资金</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严格执行相关政策，保障工资及时发放、足额发放，预算编制科学合理，减少结余资金</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按照政策要求，及时发放干部独子费用。</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0.22</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0.22</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0.22</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0.22</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0.22</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0.22</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科目调整次数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次</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10次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按时发放率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91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经济效益指标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结余率（计算方法为：结余数/预算数）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严格按年初预算执行，达到预期绩效目标。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项目负责人：刘亮杰</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51081221R000000033753-遗属生活补助</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48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严格执行相关政策，保障工资及时发放、足额发放，预算编制科学合理，减少结余资金</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对照年度目标，说明相关任务目标的完成情况（</w:t>
            </w:r>
            <w:r>
              <w:rPr>
                <w:rFonts w:hint="eastAsia" w:ascii="黑体" w:eastAsia="黑体"/>
                <w:color w:val="000000"/>
                <w:kern w:val="0"/>
                <w:sz w:val="18"/>
                <w:szCs w:val="18"/>
              </w:rPr>
              <w:t>100</w:t>
            </w:r>
            <w:r>
              <w:rPr>
                <w:color w:val="000000"/>
                <w:kern w:val="0"/>
                <w:sz w:val="18"/>
                <w:szCs w:val="18"/>
              </w:rPr>
              <w:t>字以内）</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用于支付遗属补助。</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1.12</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1.12</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1.12</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1.12</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1.12</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1.12</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科目调整次数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次</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10次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按时发放率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91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经济效益指标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结余率（计算方法为：结余数/预算数）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严格按年初预算执行，达到预期绩效目标。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项目负责人：刘亮杰</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51081221R000000033767-目标绩效奖(公务员及参公人员)</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45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严格执行相关政策，保障工资及时发放、足额发放，预算编制科学合理，减少结余资金</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严格执行相关政策，保障工资及时发放、足额发放，预算编制科学合理，减少结余资金</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按照政策要求，认真开展干部年度考核，并依据考核结果兑付干部目标绩效奖。</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36</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36</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36</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36</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36</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36</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科目调整次数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次</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10次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按时发放率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91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经济效益指标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结余率（计算方法为：结余数/预算数）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严格按年初预算执行，达到预期绩效目标。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项目负责人：刘亮杰</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51081221R000000051755-其他交通费用（公务用车改革补贴）</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6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严格执行相关政策，保障工资及时、足额发放或社保及时、足额缴纳，预算编制科学合理，减少结余资金。</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严格执行相关政策，保障工资及时、足额发放或社保及时、足额缴纳，预算编制科学合理，减少结余资金。</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按照政策要求，严格干部出差审批，据实兑付公务用车改革补贴。　</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14.38</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14.38</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14.38</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14.38</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14.38</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14.38</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发放（缴纳）覆盖率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足额保障率（参保率）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严格按年初预算执行，达到预期绩效目标。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项目负责人：韩平</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51081221R000000052055-05年以前退休人员医疗保险</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45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严格执行相关政策，保障工资及时发放、足额发放，预算编制科学合理，减少结余资金</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严格执行相关政策，保障工资及时发放、足额发放，预算编制科学合理，减少结余资金</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05年以前退休人员医疗保险</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0.74</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0.74</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0.74</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0.74</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0.74</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0.74</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科目调整次数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次</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10次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按时发放率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91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经济效益指标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结余率（计算方法为：结余数/预算数）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严格按年初预算执行，达到预期绩效目标。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项目负责人：韩平</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51081221R000000052071-引进人才安家费及工作补助</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6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严格执行相关政策，保障工资及时、足额发放或社保及时、足额缴纳，预算编制科学合理，减少结余资金。</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严格执行相关政策，保障工资及时、足额发放或社保及时、足额缴纳，预算编制科学合理，减少结余资金。</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支付引进人才安家费及工作补助</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3.14</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3.14</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3.14</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3.14</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3.14</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3.14</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发放（缴纳）覆盖率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足额保障率（参保率）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严格按年初预算执行，达到预期绩效目标。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项目负责人：刘亮杰</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51081221Y000000052199-金财网维护费</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45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保障</w:t>
            </w: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日常运转，提高预算编制质量，严格执行预算</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保障</w:t>
            </w: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日常运转，提高预算编制质量，严格执行预算</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严格执行预算，保障财务日常业务正常运转。</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0.24</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0.24</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0.24</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0.24</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0.24</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0.24</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科目调整次数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次</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10次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13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质量指标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预算编制准确率（计算方法为：∣（执行数-预算数）/预算数∣）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经济效益指标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运转保障率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15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“三公”经费</w:t>
            </w:r>
            <w:r>
              <w:rPr>
                <w:rFonts w:hint="eastAsia" w:ascii="宋体" w:hAnsi="宋体" w:cs="宋体"/>
                <w:color w:val="000000"/>
                <w:kern w:val="0"/>
                <w:sz w:val="18"/>
                <w:szCs w:val="18"/>
              </w:rPr>
              <w:t>控制率[计算方法为：（三公经费实际支出数/预算安排数]×100%）</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严格按年初预算执行，达到预期绩效目标。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项目负责人：韩平</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51081222R000005136042-工资性支出（行政）</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6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严格执行相关政策，保障工资及时、足额发放或社保及时、足额缴纳，预算编制科学合理，减少结余资金。</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严格执行相关政策，保障工资及时、足额发放或社保及时、足额缴纳，预算编制科学合理，减少结余资金。</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按照相关政策，及时足额发放职工工资。</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133.26</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133.26</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133.26</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133.26</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133.26</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133.26</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发放（缴纳）覆盖率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足额保障率（参保率）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严格按年初预算执行，达到预期绩效目标。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项目负责人：刘亮杰</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51081222R000005136246-工资性支出（事业）</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6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严格执行相关政策，保障工资及时、足额发放或社保及时、足额缴纳，预算编制科学合理，减少结余资金。</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严格执行相关政策，保障工资及时、足额发放或社保及时、足额缴纳，预算编制科学合理，减少结余资金。</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按照相关政策，及时足额发放职工工资。</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181.61</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181.61</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181.61</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181.61</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181.61</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181.61</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发放（缴纳）覆盖率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足额保障率（参保率）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严格按年初预算执行，达到预期绩效目标。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项目负责人：刘亮杰</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51081222R000005136461-基本养老保险（行政）</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6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严格执行相关政策，保障工资及时、足额发放或社保及时、足额缴纳，预算编制科学合理，减少结余资金。</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严格执行相关政策，保障工资及时、足额发放或社保及时、足额缴纳，预算编制科学合理，减少结余资金。</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依据相关政策，按时缴纳职工养老保险。</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20.06</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20.06</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20.06</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20.06</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20.06</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20.06</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发放（缴纳）覆盖率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足额保障率（参保率）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严格按年初预算执行，达到预期绩效目标。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项目负责人：刘亮杰</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51081222R000005136839-基本养老保险（事业）</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6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严格执行相关政策，保障工资及时、足额发放或社保及时、足额缴纳，预算编制科学合理，减少结余资金。</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严格执行相关政策，保障工资及时、足额发放或社保及时、足额缴纳，预算编制科学合理，减少结余资金。</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依据相关政策，按时缴纳职工养老保险。</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28.75</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28.75</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28.75</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28.75</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28.75</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28.75</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发放（缴纳）覆盖率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足额保障率（参保率）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严格按年初预算执行，达到预期绩效目标。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项目负责人：刘亮杰</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51081222R000005137025-基本医疗保险（行政）</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6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严格执行相关政策，保障工资及时、足额发放或社保及时、足额缴纳，预算编制科学合理，减少结余资金。</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严格执行相关政策，保障工资及时、足额发放或社保及时、足额缴纳，预算编制科学合理，减少结余资金。</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依据相关政策，按时缴纳职工基本医疗保险。</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9.92</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9.92</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9.92</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9.92</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9.92</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9.92</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发放（缴纳）覆盖率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足额保障率（参保率）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严格按年初预算执行，达到预期绩效目标。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项目负责人：刘亮杰</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51081222R000005137228-基本医疗保险（事业）</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6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严格执行相关政策，保障工资及时、足额发放或社保及时、足额缴纳，预算编制科学合理，减少结余资金。</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严格执行相关政策，保障工资及时、足额发放或社保及时、足额缴纳，预算编制科学合理，减少结余资金。</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依据相关政策，按时缴纳职工基本医疗保险。</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14.48</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14.48</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14.48</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14.48</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14.48</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14.48</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发放（缴纳）覆盖率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足额保障率（参保率）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严格按年初预算执行，达到预期绩效目标。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项目负责人：刘亮杰</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51081222R000005137604-住房公积金（行政）</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6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严格执行相关政策，保障工资及时、足额发放或社保及时、足额缴纳，预算编制科学合理，减少结余资金。</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严格执行相关政策，保障工资及时、足额发放或社保及时、足额缴纳，预算编制科学合理，减少结余资金。</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依据相关政策，按时代扣代缴纳职工住房公积金。</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19.05</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19.05</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19.05</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19.05</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19.05</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19.05</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发放（缴纳）覆盖率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足额保障率（参保率）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严格按年初预算执行，达到预期绩效目标。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项目负责人：刘亮杰</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51081222R000005137802-住房公积金（事业）</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6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严格执行相关政策，保障工资及时、足额发放或社保及时、足额缴纳，预算编制科学合理，减少结余资金。</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严格执行相关政策，保障工资及时、足额发放或社保及时、足额缴纳，预算编制科学合理，减少结余资金。</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依据相关政策，按时代扣代缴纳职工住房公积金。</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30.61</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30.61</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30.61</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30.61</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30.61</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30.61</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发放（缴纳）覆盖率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足额保障率（参保率）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严格按年初预算执行，达到预期绩效目标。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项目负责人：刘亮杰</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51081222R000005138639-职业年金（事业）</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45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严格执行相关政策，保障工资及时发放、足额发放，预算编制科学合理，减少结余资金</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严格执行相关政策，保障工资及时发放、足额发放，预算编制科学合理，减少结余资金</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依据相关政策，按时代扣代缴纳职工职业年金。</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4.88</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4.88</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4.88</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4.88</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4.88</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4.88</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发放（缴纳）覆盖率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足额保障率（参保率）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严格按年初预算执行，达到预期绩效目标。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项目负责人：刘亮杰</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51081222R000005429042-目标绩效奖（事业人员）</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45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严格执行相关政策，保障工资及时发放、足额发放，预算编制科学合理，减少结余资金</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严格执行相关政策，保障工资及时发放、足额发放，预算编制科学合理，减少结余资金</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支付事业人员目标绩效奖</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科目调整次数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次</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10次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按时发放率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91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经济效益指标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结余率（计算方法为：结余数/预算数）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严格按年初预算执行，达到预期绩效目标。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项目负责人：刘亮杰</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51081222R000005430095-目标绩效奖（行政工人）</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48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严格执行相关政策，保障工资及时发放、足额发放，预算编制科学合理，减少结余资金</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对照年度目标，说明相关任务目标的完成情况（</w:t>
            </w:r>
            <w:r>
              <w:rPr>
                <w:rFonts w:hint="eastAsia" w:ascii="黑体" w:eastAsia="黑体"/>
                <w:color w:val="000000"/>
                <w:kern w:val="0"/>
                <w:sz w:val="18"/>
                <w:szCs w:val="18"/>
              </w:rPr>
              <w:t>100</w:t>
            </w:r>
            <w:r>
              <w:rPr>
                <w:color w:val="000000"/>
                <w:kern w:val="0"/>
                <w:sz w:val="18"/>
                <w:szCs w:val="18"/>
              </w:rPr>
              <w:t>字以内）</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支付行政工人目标绩效奖</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25.2</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25.2</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25.2</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25.2</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25.2</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25.2</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科目调整次数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次</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10次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足额保障率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按时发放率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91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经济效益指标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结余率（计算方法为：结余数/预算数）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严格按年初预算执行，达到预期绩效目标。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项目负责人：刘亮杰</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51081222T000005306207-s301线建设资金</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225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根据“十四五”中省补助资金支持农村公路水运“以奖代补”实施方案规定，我区规划新改建48公里省道301线朝天区李家乡天星坪（旺苍界）至中子镇段公路改建工程，按照二级标准公路建设，计划总投资57600万元，本次落实资金4320万元。目前我区现有农村公路大都是以前修建的四级公路或等外级公路，路面宽度不足、路面质量低、纵坡大、弯道急、行车条件差、路段存在安全隐患，影响老百姓的出行安全。该项目资金的投入和项目的建成为改善我区农村公路道路交通通行条件，解决沿线村民安全出行。</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根据“十四五”中省补助资金支持农村公路水运“以奖代补”实施方案规定，我区规划新改建48公里省道301线朝天区李家乡天星坪（旺苍界）至中子镇段公路改建工程，按照二级标准公路建设，计划总投资57600万元，本次落实资金4320万元。目前我区现有农村公路大都是以前修建的四级公路或等外级公路，路面宽度不足、路面质量低、纵坡大、弯道急、行车条件差、路段存在安全隐患，影响老百姓的出行安全。该项目资金的投入和项目的建成为改善我区农村公路道路交通通行条件，解决沿线村民安全出行。</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根据“十四五”中省补助资金支持农村公路水运“以奖代补”实施方案规定，我区规划新改建48公里省道301线朝天区李家乡天星坪（旺苍界）至中子镇段公路改建工程，按照二级标准公路建设，计划总投资57600万元，本次落实资金4320万元。</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4,320.00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4,320.00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4,320.00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4,320.00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4,320.00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4,320.00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资金使用合规性</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效果指标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对经济发展的促进作用</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明显</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按期完成投资</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是</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质量指标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完工项目验收合格率</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73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支持国省道路提档升级48公里</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48</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公里</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48公里</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73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生态效益指标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交通项目符合环评审批要求</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符合</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公路安全水平</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提升</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基本公共服务水平</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提升</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73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服务对象满意度指标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改善通行服务水平群众满意度</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95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95%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73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经济成本指标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省道S301线（李家镇到中子镇）</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4320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4320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严格执行项目预算，达到预期绩效目标。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项目负责人：王豪</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51081222T000005350368-中央车辆购置税收补助地方公路建设资金</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135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我区现有农村公路大都是以前修建的四级公路或等外级公路，路面宽度不足、路面质量低、纵坡大、弯道急、行车条件差、路段存在安全隐患，影响老百姓的出行安全。该项目资金的投入和项目的建成为改善我区农村公路道路交通通行条件，解决沿线村民安全出行。</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我区现有农村公路大都是以前修建的四级公路或等外级公路，路面宽度不足、路面质量低、纵坡大、弯道急、行车条件差、路段存在安全隐患，影响老百姓的出行安全。该项目资金的投入和项目的建成为改善我区农村公路道路交通通行条件，解决沿线村民安全出行。</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依据年初规划，用于农村公路建设，并根据项目实施进度按期拨付资金。</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1,410.00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1,410.00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1,410.00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1,410.00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1,410.00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1,410.00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资金使用合规性</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效果指标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对经济发展的促进作用</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明显</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按期完成投资</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是</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质量指标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完工项目验收合格率</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73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生态效益指标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交通项目符合环评审批要求</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符合</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公路安全水平</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提升</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基本公共服务水平</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提升</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73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服务对象满意度指标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改善通行服务水平群众满意度</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95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95%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经济成本指标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农村公路建设资金</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1410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1410万元</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严格执行项目预算，达到预期绩效目标。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项目负责人：王豪</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51081222T000005386942-2021车辆购置税收入补助地方资金</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45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改善我区农村公路道路交通通行条件，解决沿线村民安全出行。</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改善我区农村公路道路交通通行条件，解决沿线村民安全出行。</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依据年初规划，用于农村公路建设，并根据项目实施进度按期拨付资金。</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830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830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830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830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830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830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资金使用合规性</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效果指标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对经济发展的促进作用</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明显</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按期完成投资</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是</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质量指标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完工项目验收合格率</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73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生态效益指标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交通项目符合环评审批要求</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符合</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公路安全水平</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提升</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基本公共服务水平</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提升</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73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服务对象满意度指标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改善通行服务水平群众满意度</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95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95%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经济成本指标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项目建设资金</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830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830万元</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严格执行项目预算，达到预期绩效目标。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项目负责人：王豪</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51081222T000005590675-项目储备等前期费用工作经费</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45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加快交通项目建设，改善我区农村公路道路交通通行条件，解决沿线村民安全出行。</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加快交通项目建设，改善我区农村公路道路交通通行条件，解决沿线村民安全出行。</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用于交通项目前期准备相关费用</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2.5</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2.5</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2.5</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2.5</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资金使用合规性</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效果指标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对经济发展的促进作用</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明显</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按期完成投资</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是</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质量指标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完工项目验收合格率</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73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生态效益指标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交通项目符合环评审批要求</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符合</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公路安全水平</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提升</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基本公共服务水平</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提升</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73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服务对象满意度指标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改善通行服务水平群众满意度</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95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95%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经济成本指标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项目建设资金</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2.5万元</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严格执行项目预算，达到预期绩效目标。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项目负责人：王豪</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51081222T000005756571-2020年车辆购置税收入用于交通一般公路建设项目资金（统筹整合）</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改善我区道路交通通行条件，解决群众安全出行。</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改善我区道路交通通行条件，解决群众安全出行。</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依据年初规划，用于农村公路建设，并根据项目实施进度按期拨付资金。</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1,422.53</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1,422.53</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1,422.53</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1,422.53</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资金使用合规性</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效果指标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对经济发展的促进作用</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明显</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按期完成投资</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是</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质量指标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完工项目验收合格率</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73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生态效益指标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交通项目符合环评审批要求</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符合</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公路安全水平</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提升</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基本公共服务水平</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提升</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73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服务对象满意度指标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改善通行服务水平群众满意度</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95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95%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经济成本指标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项目建设资金</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1422.53</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1422.53万元</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严格执行项目预算，达到预期绩效目标。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项目负责人：王豪</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51081222T000005756916-2020年第一批省级交通建设补助资金</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45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改善我区道路交通通行条件，解决群众安全出行。</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改善我区道路交通通行条件，解决群众安全出行。</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依据年初规划，用于农村公路建设，并根据项目实施进度按期拨付资金。</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1,254.89</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1,254.89</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1,254.89</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1,254.89</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资金使用合规性</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效果指标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对经济发展的促进作用</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明显</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按期完成投资</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是</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质量指标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完工项目验收合格率</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73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生态效益指标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交通项目符合环评审批要求</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符合</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公路安全水平</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提升</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基本公共服务水平</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提升</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73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服务对象满意度指标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改善通行服务水平群众满意度</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95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95%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经济成本指标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项目建设资金</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1254.89</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1254.89万元</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严格执行项目预算，达到预期绩效目标。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项目负责人：王豪</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51081222T000005756951-2021年第一批省级交通专项资金</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改善我区道路交通通行条件，解决群众安全出行。</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改善我区道路交通通行条件，解决群众安全出行。</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依据年初规划，用于农村公路建设，并根据项目实施进度按期拨付资金。</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222.58</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222.58</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222.58</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222.58</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资金使用合规性</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效果指标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对经济发展的促进作用</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明显</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按期完成投资</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是</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质量指标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完工项目验收合格率</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73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生态效益指标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交通项目符合环评审批要求</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符合</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公路安全水平</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提升</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基本公共服务水平</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提升</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73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服务对象满意度指标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改善通行服务水平群众满意度</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95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95%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经济成本指标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项目建设资金</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222.58</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222.58万元</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严格执行项目预算，达到预期绩效目标。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项目负责人：王豪</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51081222T000005767686-2021年第二批省级交通项目建设资金及飨镇综合运输服务站建设（支出</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45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改善我区农村公路道路交通通行条件，加快建设乡镇综合运输服务站建设，解决沿线村民安全出行。</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改善我区农村公路道路交通通行条件，加快建设乡镇综合运输服务站建设，解决沿线村民安全出行。</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依据年初规划，用于农村公路建设，并根据项目实施进度按期拨付资金。</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947</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947</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947</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947</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资金使用合规性</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效果指标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对经济发展的促进作用</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明显</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按期完成投资</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是</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质量指标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完工项目验收合格率</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73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生态效益指标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交通项目符合环评审批要求</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符合</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公路安全水平</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提升</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基本公共服务水平</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提升</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73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服务对象满意度指标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改善通行服务水平群众满意度</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95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95%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经济成本指标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项目建设资金</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947</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947万元</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严格执行项目预算，达到预期绩效目标。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项目负责人：王豪</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51081222T000005817713-国道108线棋盘关（川陕界）至将军桥段公路改建工程</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改善我区道路交通通行条件，解决群众安全出行。</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改善我区道路交通通行条件，解决群众安全出行。</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依据年初规划，用于农村公路建设，并根据项目实施进度按期拨付资金。</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资金使用合规性</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效果指标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对经济发展的促进作用</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明显</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按期完成投资</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是</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质量指标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完工项目验收合格率</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73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生态效益指标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交通项目符合环评审批要求</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符合</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公路安全水平</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提升</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基本公共服务水平</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提升</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73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服务对象满意度指标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改善通行服务水平群众满意度</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95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95%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经济成本指标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项目建设资金</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200万元</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严格执行项目预算，达到预期绩效目标。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项目负责人：王豪</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51081222T000005932034-安全工作经费（交通局）</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6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落实“《中华人民共和国国家安全法》第七十一条国家加大对国家安全各项建设的投入，保障国家安全工作所需经费和装备”等相关法律法规制度。</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落实“《中华人民共和国国家安全法》第七十一条国家加大对国家安全各项建设的投入，保障国家安全工作所需经费和装备”等相关法律法规制度。</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召开安全会议、购买防汛应急物资。</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开展安全会议、培训</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次</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6次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质量指标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参会率、参训率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80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80%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完成时间为2022年12月</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好坏</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安全工作经费</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50000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50000元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保障当地交通安全运输</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高中低</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91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可持续影响指标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安全生产持续稳定，提供良好的交通运输环境</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高中低</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服务对象满意度指标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服务对象满意度</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严格执行项目预算，达到预期绩效目标。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项目负责人：熊明</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51081222T000005932146-交通战备工作经费（交通局）</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夯实交通战备基础，提高交通临战保障水平。</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夯实交通战备基础，提高交通临战保障水平。</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开展应急演练，购买装备及日常运行费用。</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参与相关综合应急演练</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次</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91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质量指标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提升交通战备水平，夯实交通战备基础</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高中低</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项目完成时间为2022年12月</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好坏</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交通战备工作经费</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50000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50000元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91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维护社会稳定，提高服务社会发展能力</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高中低</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服务对象满意度指标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服务对象满意度</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95%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严格执行项目预算，达到预期绩效目标。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项目负责人：熊明</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51081222T000006234518-七曾路交通项目建设</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45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改善我区道路交通通行条件，提升曾家旅游环线品质。</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改善我区道路交通通行条件，提升曾家旅游环线品质。</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改善我区道路交通通行条件，提升曾家旅游环线品质。</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58</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58</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58</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58</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资金使用合规性</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效果指标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对经济发展的促进作用</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明显</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按期完成投资</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是</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质量指标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完工项目验收合格率</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73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生态效益指标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交通项目符合环评审批要求</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符合</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公路安全水平</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提升</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基本公共服务水平</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提升</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73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服务对象满意度指标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改善通行服务水平群众满意度</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95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95%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经济成本指标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项目建设资金</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58</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58万元</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严格执行项目预算，达到预期绩效目标。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项目负责人：王豪</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51081222T000006296790-S205朝天区羊木镇（利州界）至云雾山镇（陕西宁强界）段改建工程可行性研究报告编制</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48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S205朝天区羊木镇（利州界）至云雾山镇（陕西宁强界）段改建工程可行性研究报告编制</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黑体" w:hAnsi="宋体" w:eastAsia="黑体" w:cs="宋体"/>
                <w:color w:val="000000"/>
                <w:kern w:val="0"/>
                <w:sz w:val="18"/>
                <w:szCs w:val="18"/>
              </w:rPr>
            </w:pPr>
            <w:r>
              <w:rPr>
                <w:rFonts w:hint="eastAsia" w:ascii="黑体" w:hAnsi="宋体" w:eastAsia="黑体" w:cs="宋体"/>
                <w:color w:val="000000"/>
                <w:kern w:val="0"/>
                <w:sz w:val="18"/>
                <w:szCs w:val="18"/>
              </w:rPr>
              <w:t>S205</w:t>
            </w:r>
            <w:r>
              <w:rPr>
                <w:rFonts w:eastAsia="黑体"/>
                <w:color w:val="000000"/>
                <w:kern w:val="0"/>
                <w:sz w:val="18"/>
                <w:szCs w:val="18"/>
              </w:rPr>
              <w:t>朝天区羊木镇（利州界）至云雾山镇（陕西宁强界）段改建工程可行性研究报告编制</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S205朝天区羊木镇（利州界）至云雾山镇（陕西宁强界）段改建工程可行性研究报告编制</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59.41</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59.41</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质量指标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二级</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47</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47</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公里</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47公里</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85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85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严格执行项目预算，达到预期绩效目标。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项目负责人：王豪</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51081222T000006343051-七曾路项目征拆资金</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225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全线涉及2个乡镇、6个村、22个组（中子镇3个村13个组，曾家镇3个村9个组）。项目征地拆迁已基本结束，一是完成全线22公里红线内永久征地约900亩；二是全线应拆迁房屋41户，中子镇境内30户，曾家镇境内11户，目前完成拆迁房屋38户，未拆迁房屋3户（其中：大竹村2户、尧坪村1户拆迁资金未到位）。项目征地拆迁资金已兑付6415.17万元,其中:征地拆迁资金5912.02万元,杆管线迁改资金503.14万元, 经区征拆事务中心统计核实,该项目红线内急需兑付征地拆迁资金约为520万元。</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全线涉及2个乡镇、6个村、22个组（中子镇3个村13个组，曾家镇3个村9个组）。项目征地拆迁已基本结束，一是完成全线22公里红线内永久征地约900亩；二是全线应拆迁房屋41户，中子镇境内30户，曾家镇境内11户，目前完成拆迁房屋38户，未拆迁房屋3户（其中：大竹村2户、尧坪村1户拆迁资金未到位）。项目征地拆迁资金已兑付6415.17万元,其中:征地拆迁资金5912.02万元,杆管线迁改资金503.14万元, 经区征拆事务中心统计核实,该项目红线内急需兑付征地拆迁资金约为520万元。</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完成全线22公里红线内永久征地约900亩；二是全线应拆迁房屋41户，中子镇境内30户，曾家镇境内11户，目前完成拆迁房屋38户，未拆迁房屋3户（其中：大竹村2户、尧坪村1户拆迁资金未到位）。</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520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520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520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520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村组个数</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30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个（台、套、件、辆）</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征拆补助资金</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5200000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5200000元</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85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85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严格执行项目预算，达到预期绩效目标。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项目负责人：王豪</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51081222T000006469035-羊木镇、曾家镇、云雾山镇路网改善工程</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120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为</w:t>
            </w:r>
            <w:r>
              <w:rPr>
                <w:rFonts w:hint="eastAsia" w:ascii="宋体" w:hAnsi="宋体" w:cs="宋体"/>
                <w:color w:val="000000"/>
                <w:kern w:val="0"/>
                <w:sz w:val="18"/>
                <w:szCs w:val="18"/>
                <w:lang w:eastAsia="zh-CN"/>
              </w:rPr>
              <w:t>贯彻落实</w:t>
            </w:r>
            <w:r>
              <w:rPr>
                <w:rFonts w:hint="eastAsia" w:ascii="宋体" w:hAnsi="宋体" w:cs="宋体"/>
                <w:color w:val="000000"/>
                <w:kern w:val="0"/>
                <w:sz w:val="18"/>
                <w:szCs w:val="18"/>
              </w:rPr>
              <w:t>市委、市政府乡村振兴工作的部署和开展“领导挂点、部门包村、干部帮户”活动的有关要求，切实解决边远农村群众的“行路难、过河难”等问题。涉及三个镇，分别情况是羊木镇20万元;曾家镇40万元;云雾山镇30万元。</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为</w:t>
            </w:r>
            <w:r>
              <w:rPr>
                <w:rFonts w:hint="eastAsia"/>
                <w:color w:val="000000"/>
                <w:kern w:val="0"/>
                <w:sz w:val="18"/>
                <w:szCs w:val="18"/>
                <w:lang w:eastAsia="zh-CN"/>
              </w:rPr>
              <w:t>贯彻落实</w:t>
            </w:r>
            <w:r>
              <w:rPr>
                <w:color w:val="000000"/>
                <w:kern w:val="0"/>
                <w:sz w:val="18"/>
                <w:szCs w:val="18"/>
              </w:rPr>
              <w:t>市委、市政府乡村振兴工作的部署和开展“领导挂点、部门包村、干部帮户”活动的有关要求，切实解决边远农村群众的“行路难、过河难”等问题。涉及三个镇，分别情况是羊木镇</w:t>
            </w:r>
            <w:r>
              <w:rPr>
                <w:rFonts w:hint="eastAsia" w:ascii="黑体" w:eastAsia="黑体"/>
                <w:color w:val="000000"/>
                <w:kern w:val="0"/>
                <w:sz w:val="18"/>
                <w:szCs w:val="18"/>
              </w:rPr>
              <w:t>20</w:t>
            </w:r>
            <w:r>
              <w:rPr>
                <w:color w:val="000000"/>
                <w:kern w:val="0"/>
                <w:sz w:val="18"/>
                <w:szCs w:val="18"/>
              </w:rPr>
              <w:t>万元</w:t>
            </w:r>
            <w:r>
              <w:rPr>
                <w:rFonts w:hint="eastAsia" w:ascii="黑体" w:eastAsia="黑体"/>
                <w:color w:val="000000"/>
                <w:kern w:val="0"/>
                <w:sz w:val="18"/>
                <w:szCs w:val="18"/>
              </w:rPr>
              <w:t>;</w:t>
            </w:r>
            <w:r>
              <w:rPr>
                <w:color w:val="000000"/>
                <w:kern w:val="0"/>
                <w:sz w:val="18"/>
                <w:szCs w:val="18"/>
              </w:rPr>
              <w:t>曾家镇</w:t>
            </w:r>
            <w:r>
              <w:rPr>
                <w:rFonts w:hint="eastAsia" w:ascii="黑体" w:eastAsia="黑体"/>
                <w:color w:val="000000"/>
                <w:kern w:val="0"/>
                <w:sz w:val="18"/>
                <w:szCs w:val="18"/>
              </w:rPr>
              <w:t>40</w:t>
            </w:r>
            <w:r>
              <w:rPr>
                <w:color w:val="000000"/>
                <w:kern w:val="0"/>
                <w:sz w:val="18"/>
                <w:szCs w:val="18"/>
              </w:rPr>
              <w:t>万元</w:t>
            </w:r>
            <w:r>
              <w:rPr>
                <w:rFonts w:hint="eastAsia" w:ascii="黑体" w:eastAsia="黑体"/>
                <w:color w:val="000000"/>
                <w:kern w:val="0"/>
                <w:sz w:val="18"/>
                <w:szCs w:val="18"/>
              </w:rPr>
              <w:t>;</w:t>
            </w:r>
            <w:r>
              <w:rPr>
                <w:color w:val="000000"/>
                <w:kern w:val="0"/>
                <w:sz w:val="18"/>
                <w:szCs w:val="18"/>
              </w:rPr>
              <w:t>云雾山镇</w:t>
            </w:r>
            <w:r>
              <w:rPr>
                <w:rFonts w:hint="eastAsia" w:ascii="黑体" w:eastAsia="黑体"/>
                <w:color w:val="000000"/>
                <w:kern w:val="0"/>
                <w:sz w:val="18"/>
                <w:szCs w:val="18"/>
              </w:rPr>
              <w:t>30</w:t>
            </w:r>
            <w:r>
              <w:rPr>
                <w:color w:val="000000"/>
                <w:kern w:val="0"/>
                <w:sz w:val="18"/>
                <w:szCs w:val="18"/>
              </w:rPr>
              <w:t>万元。</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解决边远农村群众的“行路难、过河难”等问题。涉及三个镇，分别情况是羊木镇20万元;曾家镇40万元;云雾山镇30万元。</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90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90</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90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90万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85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85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服务对象满意度指标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98%</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98</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户（套）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98户</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严格执行项目预算，达到预期绩效目标。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项目负责人：王豪</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51081222T000006728666-朝天区八庙沟嘉陵江大桥新建工程工程征地</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144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朝天区八庙沟嘉陵江大桥新建工程位于朝天区朝天镇境内，横跨嘉陵江，路线全长128.997米，其中桥梁长 119 米，引道长9.997米，采用水泥混凝土路面，上部结构预应力砼简支T梁，桥面宽8米，设计时速 30Km/h，设计洪水频率50年一遇。目前项目土地征收工作已启动。</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朝天区八庙沟嘉陵江大桥新建工程位于朝天区朝天镇境内，横跨嘉陵江，路线全长</w:t>
            </w:r>
            <w:r>
              <w:rPr>
                <w:rFonts w:hint="eastAsia" w:ascii="黑体" w:eastAsia="黑体"/>
                <w:color w:val="000000"/>
                <w:kern w:val="0"/>
                <w:sz w:val="18"/>
                <w:szCs w:val="18"/>
              </w:rPr>
              <w:t>128.997</w:t>
            </w:r>
            <w:r>
              <w:rPr>
                <w:color w:val="000000"/>
                <w:kern w:val="0"/>
                <w:sz w:val="18"/>
                <w:szCs w:val="18"/>
              </w:rPr>
              <w:t>米，其中桥梁长</w:t>
            </w:r>
            <w:r>
              <w:rPr>
                <w:rFonts w:hint="eastAsia" w:ascii="黑体" w:eastAsia="黑体"/>
                <w:color w:val="000000"/>
                <w:kern w:val="0"/>
                <w:sz w:val="18"/>
                <w:szCs w:val="18"/>
              </w:rPr>
              <w:t xml:space="preserve"> 119 </w:t>
            </w:r>
            <w:r>
              <w:rPr>
                <w:color w:val="000000"/>
                <w:kern w:val="0"/>
                <w:sz w:val="18"/>
                <w:szCs w:val="18"/>
              </w:rPr>
              <w:t>米，引道长</w:t>
            </w:r>
            <w:r>
              <w:rPr>
                <w:rFonts w:hint="eastAsia" w:ascii="黑体" w:eastAsia="黑体"/>
                <w:color w:val="000000"/>
                <w:kern w:val="0"/>
                <w:sz w:val="18"/>
                <w:szCs w:val="18"/>
              </w:rPr>
              <w:t>9.997</w:t>
            </w:r>
            <w:r>
              <w:rPr>
                <w:color w:val="000000"/>
                <w:kern w:val="0"/>
                <w:sz w:val="18"/>
                <w:szCs w:val="18"/>
              </w:rPr>
              <w:t>米，采用水泥混凝土路面，上部结构预应力砼简支</w:t>
            </w:r>
            <w:r>
              <w:rPr>
                <w:rFonts w:hint="eastAsia" w:ascii="黑体" w:eastAsia="黑体"/>
                <w:color w:val="000000"/>
                <w:kern w:val="0"/>
                <w:sz w:val="18"/>
                <w:szCs w:val="18"/>
              </w:rPr>
              <w:t>T</w:t>
            </w:r>
            <w:r>
              <w:rPr>
                <w:color w:val="000000"/>
                <w:kern w:val="0"/>
                <w:sz w:val="18"/>
                <w:szCs w:val="18"/>
              </w:rPr>
              <w:t>梁，桥面宽</w:t>
            </w:r>
            <w:r>
              <w:rPr>
                <w:rFonts w:hint="eastAsia" w:ascii="黑体" w:eastAsia="黑体"/>
                <w:color w:val="000000"/>
                <w:kern w:val="0"/>
                <w:sz w:val="18"/>
                <w:szCs w:val="18"/>
              </w:rPr>
              <w:t>8</w:t>
            </w:r>
            <w:r>
              <w:rPr>
                <w:color w:val="000000"/>
                <w:kern w:val="0"/>
                <w:sz w:val="18"/>
                <w:szCs w:val="18"/>
              </w:rPr>
              <w:t>米，设计时速</w:t>
            </w:r>
            <w:r>
              <w:rPr>
                <w:rFonts w:hint="eastAsia" w:ascii="黑体" w:eastAsia="黑体"/>
                <w:color w:val="000000"/>
                <w:kern w:val="0"/>
                <w:sz w:val="18"/>
                <w:szCs w:val="18"/>
              </w:rPr>
              <w:t xml:space="preserve"> 30Km/h</w:t>
            </w:r>
            <w:r>
              <w:rPr>
                <w:color w:val="000000"/>
                <w:kern w:val="0"/>
                <w:sz w:val="18"/>
                <w:szCs w:val="18"/>
              </w:rPr>
              <w:t>，设计洪水频率</w:t>
            </w:r>
            <w:r>
              <w:rPr>
                <w:rFonts w:hint="eastAsia" w:ascii="黑体" w:eastAsia="黑体"/>
                <w:color w:val="000000"/>
                <w:kern w:val="0"/>
                <w:sz w:val="18"/>
                <w:szCs w:val="18"/>
              </w:rPr>
              <w:t>50</w:t>
            </w:r>
            <w:r>
              <w:rPr>
                <w:color w:val="000000"/>
                <w:kern w:val="0"/>
                <w:sz w:val="18"/>
                <w:szCs w:val="18"/>
              </w:rPr>
              <w:t>年一遇。目前项目土地征收工作已启动。</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朝天区八庙沟嘉陵江大桥新建工程位于朝天区朝天镇境内，横跨嘉陵江，路线全长128.997米，其中桥梁长 119 米，引道长9.997米，采用水泥混凝土路面，上部结构预应力砼简支T梁，桥面宽8米。</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23.74</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23.74</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23.74</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23.74</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公路建设工程量完成率</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98</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98%</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公路养护工程量完成率</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公路通车里程</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0.00151</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万公里</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0.00151万公里</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128.997</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125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米</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125米</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35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经济效益指标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经济增长明显</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高中低</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可持续发展指标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持续增收</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高中低</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服务对象满意度指标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98%</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98</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98%</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帮扶对象满意度指标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95%</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95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95%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严格执行项目预算，达到预期绩效目标。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项目负责人：王豪</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51081222T000006749538-省道410线朝天城区过境段工程项目</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264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省道410线朝天城区过境段项目路线起于安乐河右岸锦屏村附近，路线沿安乐河右岸山坡开辟新线，经黄连坪、锦屏村，在苟家岭上方设隧道穿越李家槽、刘家垭至明月村，之后顺山坡展线下山，在刘家沟沟口附近沿山坡展线至跨越羊木河后到达终点与大羊快速通道相接（项目施工区域全部位于朝天镇境内），路线全长约7.684km，路基宽度12m，沥青混凝土路面。全线新建长隧道1座2992m，大中桥5座419m，土石方开挖回填75万m3，防护工程约7.0万m3，各类边坡防护面积约3.5万m2，涵洞22道，平面交叉6处，项目用地约264亩。项目总造价约5.03亿元，建安费约4.13亿元。</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省道</w:t>
            </w:r>
            <w:r>
              <w:rPr>
                <w:rFonts w:hint="eastAsia" w:ascii="黑体" w:eastAsia="黑体"/>
                <w:color w:val="000000"/>
                <w:kern w:val="0"/>
                <w:sz w:val="18"/>
                <w:szCs w:val="18"/>
              </w:rPr>
              <w:t>410</w:t>
            </w:r>
            <w:r>
              <w:rPr>
                <w:color w:val="000000"/>
                <w:kern w:val="0"/>
                <w:sz w:val="18"/>
                <w:szCs w:val="18"/>
              </w:rPr>
              <w:t>线朝天城区过境段项目路线起于安乐河右岸锦屏村附近，路线沿安乐河右岸山坡开辟新线，经黄连坪、锦屏村，在苟家岭上方设隧道穿越李家槽、刘家垭至明月村，之后顺山坡展线下山，在刘家沟沟口附近沿山坡展线至跨越羊木河后到达终点与大羊快速通道相接（项目施工区域全部位于朝天镇境内），路线全长约</w:t>
            </w:r>
            <w:r>
              <w:rPr>
                <w:rFonts w:hint="eastAsia" w:ascii="黑体" w:eastAsia="黑体"/>
                <w:color w:val="000000"/>
                <w:kern w:val="0"/>
                <w:sz w:val="18"/>
                <w:szCs w:val="18"/>
              </w:rPr>
              <w:t>7.684km</w:t>
            </w:r>
            <w:r>
              <w:rPr>
                <w:color w:val="000000"/>
                <w:kern w:val="0"/>
                <w:sz w:val="18"/>
                <w:szCs w:val="18"/>
              </w:rPr>
              <w:t>，路基宽度</w:t>
            </w:r>
            <w:r>
              <w:rPr>
                <w:rFonts w:hint="eastAsia" w:ascii="黑体" w:eastAsia="黑体"/>
                <w:color w:val="000000"/>
                <w:kern w:val="0"/>
                <w:sz w:val="18"/>
                <w:szCs w:val="18"/>
              </w:rPr>
              <w:t>12m</w:t>
            </w:r>
            <w:r>
              <w:rPr>
                <w:color w:val="000000"/>
                <w:kern w:val="0"/>
                <w:sz w:val="18"/>
                <w:szCs w:val="18"/>
              </w:rPr>
              <w:t>，沥青混凝土路面。全线新建长隧道</w:t>
            </w:r>
            <w:r>
              <w:rPr>
                <w:rFonts w:hint="eastAsia" w:ascii="黑体" w:eastAsia="黑体"/>
                <w:color w:val="000000"/>
                <w:kern w:val="0"/>
                <w:sz w:val="18"/>
                <w:szCs w:val="18"/>
              </w:rPr>
              <w:t>1</w:t>
            </w:r>
            <w:r>
              <w:rPr>
                <w:color w:val="000000"/>
                <w:kern w:val="0"/>
                <w:sz w:val="18"/>
                <w:szCs w:val="18"/>
              </w:rPr>
              <w:t>座</w:t>
            </w:r>
            <w:r>
              <w:rPr>
                <w:rFonts w:hint="eastAsia" w:ascii="黑体" w:eastAsia="黑体"/>
                <w:color w:val="000000"/>
                <w:kern w:val="0"/>
                <w:sz w:val="18"/>
                <w:szCs w:val="18"/>
              </w:rPr>
              <w:t>2992m</w:t>
            </w:r>
            <w:r>
              <w:rPr>
                <w:color w:val="000000"/>
                <w:kern w:val="0"/>
                <w:sz w:val="18"/>
                <w:szCs w:val="18"/>
              </w:rPr>
              <w:t>，大中桥</w:t>
            </w:r>
            <w:r>
              <w:rPr>
                <w:rFonts w:hint="eastAsia" w:ascii="黑体" w:eastAsia="黑体"/>
                <w:color w:val="000000"/>
                <w:kern w:val="0"/>
                <w:sz w:val="18"/>
                <w:szCs w:val="18"/>
              </w:rPr>
              <w:t>5</w:t>
            </w:r>
            <w:r>
              <w:rPr>
                <w:color w:val="000000"/>
                <w:kern w:val="0"/>
                <w:sz w:val="18"/>
                <w:szCs w:val="18"/>
              </w:rPr>
              <w:t>座</w:t>
            </w:r>
            <w:r>
              <w:rPr>
                <w:rFonts w:hint="eastAsia" w:ascii="黑体" w:eastAsia="黑体"/>
                <w:color w:val="000000"/>
                <w:kern w:val="0"/>
                <w:sz w:val="18"/>
                <w:szCs w:val="18"/>
              </w:rPr>
              <w:t>419m</w:t>
            </w:r>
            <w:r>
              <w:rPr>
                <w:color w:val="000000"/>
                <w:kern w:val="0"/>
                <w:sz w:val="18"/>
                <w:szCs w:val="18"/>
              </w:rPr>
              <w:t>，土石方开挖回填</w:t>
            </w:r>
            <w:r>
              <w:rPr>
                <w:rFonts w:hint="eastAsia" w:ascii="黑体" w:eastAsia="黑体"/>
                <w:color w:val="000000"/>
                <w:kern w:val="0"/>
                <w:sz w:val="18"/>
                <w:szCs w:val="18"/>
              </w:rPr>
              <w:t>75</w:t>
            </w:r>
            <w:r>
              <w:rPr>
                <w:color w:val="000000"/>
                <w:kern w:val="0"/>
                <w:sz w:val="18"/>
                <w:szCs w:val="18"/>
              </w:rPr>
              <w:t>万</w:t>
            </w:r>
            <w:r>
              <w:rPr>
                <w:rFonts w:hint="eastAsia" w:ascii="黑体" w:eastAsia="黑体"/>
                <w:color w:val="000000"/>
                <w:kern w:val="0"/>
                <w:sz w:val="18"/>
                <w:szCs w:val="18"/>
              </w:rPr>
              <w:t>m3</w:t>
            </w:r>
            <w:r>
              <w:rPr>
                <w:color w:val="000000"/>
                <w:kern w:val="0"/>
                <w:sz w:val="18"/>
                <w:szCs w:val="18"/>
              </w:rPr>
              <w:t>，防护工程约</w:t>
            </w:r>
            <w:r>
              <w:rPr>
                <w:rFonts w:hint="eastAsia" w:ascii="黑体" w:eastAsia="黑体"/>
                <w:color w:val="000000"/>
                <w:kern w:val="0"/>
                <w:sz w:val="18"/>
                <w:szCs w:val="18"/>
              </w:rPr>
              <w:t>7.0</w:t>
            </w:r>
            <w:r>
              <w:rPr>
                <w:color w:val="000000"/>
                <w:kern w:val="0"/>
                <w:sz w:val="18"/>
                <w:szCs w:val="18"/>
              </w:rPr>
              <w:t>万</w:t>
            </w:r>
            <w:r>
              <w:rPr>
                <w:rFonts w:hint="eastAsia" w:ascii="黑体" w:eastAsia="黑体"/>
                <w:color w:val="000000"/>
                <w:kern w:val="0"/>
                <w:sz w:val="18"/>
                <w:szCs w:val="18"/>
              </w:rPr>
              <w:t>m3</w:t>
            </w:r>
            <w:r>
              <w:rPr>
                <w:color w:val="000000"/>
                <w:kern w:val="0"/>
                <w:sz w:val="18"/>
                <w:szCs w:val="18"/>
              </w:rPr>
              <w:t>，各类边坡防护面积约</w:t>
            </w:r>
            <w:r>
              <w:rPr>
                <w:rFonts w:hint="eastAsia" w:ascii="黑体" w:eastAsia="黑体"/>
                <w:color w:val="000000"/>
                <w:kern w:val="0"/>
                <w:sz w:val="18"/>
                <w:szCs w:val="18"/>
              </w:rPr>
              <w:t>3.5</w:t>
            </w:r>
            <w:r>
              <w:rPr>
                <w:color w:val="000000"/>
                <w:kern w:val="0"/>
                <w:sz w:val="18"/>
                <w:szCs w:val="18"/>
              </w:rPr>
              <w:t>万</w:t>
            </w:r>
            <w:r>
              <w:rPr>
                <w:rFonts w:hint="eastAsia" w:ascii="黑体" w:eastAsia="黑体"/>
                <w:color w:val="000000"/>
                <w:kern w:val="0"/>
                <w:sz w:val="18"/>
                <w:szCs w:val="18"/>
              </w:rPr>
              <w:t>m2</w:t>
            </w:r>
            <w:r>
              <w:rPr>
                <w:color w:val="000000"/>
                <w:kern w:val="0"/>
                <w:sz w:val="18"/>
                <w:szCs w:val="18"/>
              </w:rPr>
              <w:t>，涵洞</w:t>
            </w:r>
            <w:r>
              <w:rPr>
                <w:rFonts w:hint="eastAsia" w:ascii="黑体" w:eastAsia="黑体"/>
                <w:color w:val="000000"/>
                <w:kern w:val="0"/>
                <w:sz w:val="18"/>
                <w:szCs w:val="18"/>
              </w:rPr>
              <w:t>22</w:t>
            </w:r>
            <w:r>
              <w:rPr>
                <w:color w:val="000000"/>
                <w:kern w:val="0"/>
                <w:sz w:val="18"/>
                <w:szCs w:val="18"/>
              </w:rPr>
              <w:t>道，平面交叉</w:t>
            </w:r>
            <w:r>
              <w:rPr>
                <w:rFonts w:hint="eastAsia" w:ascii="黑体" w:eastAsia="黑体"/>
                <w:color w:val="000000"/>
                <w:kern w:val="0"/>
                <w:sz w:val="18"/>
                <w:szCs w:val="18"/>
              </w:rPr>
              <w:t>6</w:t>
            </w:r>
            <w:r>
              <w:rPr>
                <w:color w:val="000000"/>
                <w:kern w:val="0"/>
                <w:sz w:val="18"/>
                <w:szCs w:val="18"/>
              </w:rPr>
              <w:t>处，项目用地约</w:t>
            </w:r>
            <w:r>
              <w:rPr>
                <w:rFonts w:hint="eastAsia" w:ascii="黑体" w:eastAsia="黑体"/>
                <w:color w:val="000000"/>
                <w:kern w:val="0"/>
                <w:sz w:val="18"/>
                <w:szCs w:val="18"/>
              </w:rPr>
              <w:t>264</w:t>
            </w:r>
            <w:r>
              <w:rPr>
                <w:color w:val="000000"/>
                <w:kern w:val="0"/>
                <w:sz w:val="18"/>
                <w:szCs w:val="18"/>
              </w:rPr>
              <w:t>亩。项目总造价约</w:t>
            </w:r>
            <w:r>
              <w:rPr>
                <w:rFonts w:hint="eastAsia" w:ascii="黑体" w:eastAsia="黑体"/>
                <w:color w:val="000000"/>
                <w:kern w:val="0"/>
                <w:sz w:val="18"/>
                <w:szCs w:val="18"/>
              </w:rPr>
              <w:t>5.03</w:t>
            </w:r>
            <w:r>
              <w:rPr>
                <w:color w:val="000000"/>
                <w:kern w:val="0"/>
                <w:sz w:val="18"/>
                <w:szCs w:val="18"/>
              </w:rPr>
              <w:t>亿元，建安费约</w:t>
            </w:r>
            <w:r>
              <w:rPr>
                <w:rFonts w:hint="eastAsia" w:ascii="黑体" w:eastAsia="黑体"/>
                <w:color w:val="000000"/>
                <w:kern w:val="0"/>
                <w:sz w:val="18"/>
                <w:szCs w:val="18"/>
              </w:rPr>
              <w:t>4.13</w:t>
            </w:r>
            <w:r>
              <w:rPr>
                <w:color w:val="000000"/>
                <w:kern w:val="0"/>
                <w:sz w:val="18"/>
                <w:szCs w:val="18"/>
              </w:rPr>
              <w:t>亿元。</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路线全长约7.684km，路基宽度12m，沥青混凝土路面。全线新建长隧道1座2992m，大中桥5座419m，土石方开挖回填75万m3，防护工程约7.0万m3，各类边坡防护面积约3.5万m2，涵洞22道，平面交叉6处，项目用地约264亩。项目总造价约5.03亿元，建安费约4.13亿元。</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3,170.00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3,170.00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3,170.00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3,170.00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质量指标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交工验收合格率</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8</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8</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工程建设按期完工比率</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98</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98%</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6</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6</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当年投资完成率</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95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95%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8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成本指标</w:t>
            </w:r>
          </w:p>
        </w:tc>
        <w:tc>
          <w:tcPr>
            <w:tcW w:w="1061" w:type="dxa"/>
            <w:gridSpan w:val="2"/>
            <w:tcBorders>
              <w:top w:val="nil"/>
              <w:left w:val="nil"/>
              <w:bottom w:val="nil"/>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实际成本超概</w:t>
            </w:r>
          </w:p>
        </w:tc>
        <w:tc>
          <w:tcPr>
            <w:tcW w:w="1000"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0.5</w:t>
            </w:r>
          </w:p>
        </w:tc>
        <w:tc>
          <w:tcPr>
            <w:tcW w:w="1080"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0.50%</w:t>
            </w:r>
          </w:p>
        </w:tc>
        <w:tc>
          <w:tcPr>
            <w:tcW w:w="940"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3</w:t>
            </w:r>
          </w:p>
        </w:tc>
        <w:tc>
          <w:tcPr>
            <w:tcW w:w="780"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3</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color w:val="000000"/>
                <w:kern w:val="0"/>
                <w:sz w:val="18"/>
                <w:szCs w:val="18"/>
              </w:rPr>
            </w:pPr>
          </w:p>
        </w:tc>
        <w:tc>
          <w:tcPr>
            <w:tcW w:w="1061"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（预）算比率</w:t>
            </w:r>
          </w:p>
        </w:tc>
        <w:tc>
          <w:tcPr>
            <w:tcW w:w="1000" w:type="dxa"/>
            <w:vMerge w:val="continue"/>
            <w:tcBorders>
              <w:top w:val="nil"/>
              <w:left w:val="single" w:color="000000" w:sz="8" w:space="0"/>
              <w:bottom w:val="single" w:color="000000" w:sz="8" w:space="0"/>
              <w:right w:val="single" w:color="000000" w:sz="8" w:space="0"/>
            </w:tcBorders>
            <w:vAlign w:val="center"/>
          </w:tcPr>
          <w:p>
            <w:pPr>
              <w:widowControl/>
              <w:jc w:val="left"/>
              <w:rPr>
                <w:color w:val="000000"/>
                <w:kern w:val="0"/>
                <w:sz w:val="18"/>
                <w:szCs w:val="18"/>
              </w:rPr>
            </w:pPr>
          </w:p>
        </w:tc>
        <w:tc>
          <w:tcPr>
            <w:tcW w:w="936" w:type="dxa"/>
            <w:vMerge w:val="continue"/>
            <w:tcBorders>
              <w:top w:val="nil"/>
              <w:left w:val="single" w:color="000000" w:sz="8" w:space="0"/>
              <w:bottom w:val="single" w:color="000000" w:sz="8" w:space="0"/>
              <w:right w:val="single" w:color="000000" w:sz="8" w:space="0"/>
            </w:tcBorders>
            <w:vAlign w:val="center"/>
          </w:tcPr>
          <w:p>
            <w:pPr>
              <w:widowControl/>
              <w:jc w:val="left"/>
              <w:rPr>
                <w:color w:val="000000"/>
                <w:kern w:val="0"/>
                <w:sz w:val="18"/>
                <w:szCs w:val="18"/>
              </w:rPr>
            </w:pPr>
          </w:p>
        </w:tc>
        <w:tc>
          <w:tcPr>
            <w:tcW w:w="1080"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color w:val="000000"/>
                <w:kern w:val="0"/>
                <w:sz w:val="18"/>
                <w:szCs w:val="18"/>
              </w:rPr>
            </w:pPr>
          </w:p>
        </w:tc>
        <w:tc>
          <w:tcPr>
            <w:tcW w:w="1061"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微软雅黑" w:hAnsi="微软雅黑" w:eastAsia="微软雅黑" w:cs="宋体"/>
                <w:i/>
                <w:iCs/>
                <w:color w:val="000000"/>
                <w:kern w:val="0"/>
                <w:sz w:val="16"/>
                <w:szCs w:val="16"/>
              </w:rPr>
            </w:pPr>
          </w:p>
        </w:tc>
        <w:tc>
          <w:tcPr>
            <w:tcW w:w="940"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color w:val="000000"/>
                <w:kern w:val="0"/>
                <w:sz w:val="18"/>
                <w:szCs w:val="18"/>
              </w:rPr>
            </w:pPr>
          </w:p>
        </w:tc>
        <w:tc>
          <w:tcPr>
            <w:tcW w:w="780"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color w:val="000000"/>
                <w:kern w:val="0"/>
                <w:sz w:val="18"/>
                <w:szCs w:val="18"/>
              </w:rPr>
            </w:pP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微软雅黑" w:hAnsi="微软雅黑" w:eastAsia="微软雅黑" w:cs="宋体"/>
                <w:i/>
                <w:iCs/>
                <w:color w:val="000000"/>
                <w:kern w:val="0"/>
                <w:sz w:val="16"/>
                <w:szCs w:val="16"/>
              </w:rPr>
            </w:pP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建制村通硬化路率</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建制村通客车率</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提供施工就业岗位数</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1500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人</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1500人</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8</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8</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出行信息服务覆盖率</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2000</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2090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米</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2090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30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30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严格执行项目预算，达到预期绩效目标。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项目负责人：张峰</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51081222T000006954901-2022年村道生命安全防护工程及”四好农村路示范市创建</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72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建成375.36公里村道生命安全防护工程，提升基本公共服务能力及公路安全通行水平，满足人民群众未来一定时期内交通需求</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建成</w:t>
            </w:r>
            <w:r>
              <w:rPr>
                <w:rFonts w:hint="eastAsia" w:ascii="黑体" w:eastAsia="黑体"/>
                <w:color w:val="000000"/>
                <w:kern w:val="0"/>
                <w:sz w:val="18"/>
                <w:szCs w:val="18"/>
              </w:rPr>
              <w:t>375.36</w:t>
            </w:r>
            <w:r>
              <w:rPr>
                <w:color w:val="000000"/>
                <w:kern w:val="0"/>
                <w:sz w:val="18"/>
                <w:szCs w:val="18"/>
              </w:rPr>
              <w:t>公里村道生命安全防护工程，提升基本公共服务能力及公路安全通行水平，满足人民群众未来一定时期内交通需求</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建成375.36公里村道生命安全防护工程，创建四好农村路示范市</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4,806.00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4806</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4,806.00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4806</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375.36</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375.36</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公里</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375.36公里</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按期完成投资</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好坏</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效果指标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对经济的促进作用</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好坏</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安全指标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公路安全水平</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高中低</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35</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35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万元/公里</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35万元/公里</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3</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3</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产出指标</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1项</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质量指标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完工验收合格率</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可持续发展指标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公路平安水平</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高中低</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服务水平</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高中低</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经济效益指标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明显</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高中低</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服务对象满意度指标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95%</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严格执行项目预算，达到预期绩效目标。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项目负责人：张峰</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51081222T000006981133-2022年省级专项交通资金用于农村公路建设项目</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315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根据“十四五”中省补助资金支持农村公路水运“以奖代补”实施方案规定，一是我区规划新改建29.9公里幸福美丽乡村路，按照四级标准农村公路建设，计划总投资4784万元，二是大力提升撤并建制村畅通工程127.3公里、上级补助资金3475万元,，新建农村铁索桥改公路桥和新建桥梁2座，上级补助资金356万元，主要用于项目前期相关费用支出。项目建成后将全面改善农村道路通行条件。目前我区现有农村公路大都是以前修建的四级公路或等外级公路，路面宽度不足、路面质量低、纵坡大、弯道急、行车条件差、路段存在安全隐患，影响老百姓的出行安全。以上项目总计投资6701万元，该项目的建成为改善我区农村公路道路交通通行条件，解决沿线村民安全出行问题，带动该区域经济社会发展将发挥重要作用。</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根据“十四五”中省补助资金支持农村公路水运“以奖代补”实施方案规定，一是我区规划新改建29.9公里幸福美丽乡村路，按照四级标准农村公路建设，计划总投资4784万元，二是大力提升撤并建制村畅通工程127.3公里、上级补助资金3475万元,，新建农村铁索桥改公路桥和新建桥梁2座，上级补助资金356万元，主要用于项目前期相关费用支出。项目建成后将全面改善农村道路通行条件。目前我区现有农村公路大都是以前修建的四级公路或等外级公路，路面宽度不足、路面质量低、纵坡大、弯道急、行车条件差、路段存在安全隐患，影响老百姓的出行安全。以上项目总计投资6701万元，该项目的建成为改善我区农村公路道路交通通行条件，解决沿线村民安全出行问题，带动该区域经济社会发展将发挥重要作用。</w:t>
            </w:r>
          </w:p>
        </w:tc>
      </w:tr>
      <w:tr>
        <w:tblPrEx>
          <w:tblCellMar>
            <w:top w:w="0" w:type="dxa"/>
            <w:left w:w="108" w:type="dxa"/>
            <w:bottom w:w="0" w:type="dxa"/>
            <w:right w:w="108" w:type="dxa"/>
          </w:tblCellMar>
        </w:tblPrEx>
        <w:trPr>
          <w:trHeight w:val="90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根据“十四五”中省补助资金支持农村公路水运“以奖代补”实施方案规定，一是我区规划新改建29.9公里幸福美丽乡村路，按照四级标准农村公路建设，计划总投资4784万元，二是大力提升撤并建制村畅通工程127.3公里、上级补助资金3475万元,，新建农村铁索桥改公路桥和新建桥梁2座，上级补助资金356万元，主要用于项目前期相关费用支出。项目建成后将全面改善农村道路通行条件。</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6,701.00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6701</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6,701.00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6701</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29.9</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29.9</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公里</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29.9公里</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质量指标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100</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按期完成投资</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好坏</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160</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160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万元/公里</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160公里</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效果指标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明显</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好坏</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效益指标</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座</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2座</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安全指标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提升</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好坏</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127.3</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127.3</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公里</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127.3公里</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效果指标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100</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提升</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高中低</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基本四线</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经济效益指标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明显</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高中低</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严格执行项目预算，达到预期绩效目标。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项目负责人：王豪</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51081222T000007138289-2021年结转省级交通专项应急保障项目</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21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根据农村公路建设通达、通畅，惠及一方百性总体要求，2021年受到洪涝灾害的影响，区内有多处桥梁、公路损毁严重，极大影响沿线人民群众的出行 ，此后区交通运输系统多方组织人力全面摸排核实损毁情况并及时处置，改造危桥一座，安排资金216万元，恢复损毁路面多处，安排资金200万元，确保了全区各村组道路通行畅通，确保老百姓的出行安全。及时改善相关道路交通通行条件，解决沿线村民安全出行问题，推动区域地方经济社会发展</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根据农村公路建设通达、通畅，惠及一方百性总体要求，</w:t>
            </w:r>
            <w:r>
              <w:rPr>
                <w:rFonts w:hint="eastAsia" w:ascii="黑体" w:eastAsia="黑体"/>
                <w:color w:val="000000"/>
                <w:kern w:val="0"/>
                <w:sz w:val="18"/>
                <w:szCs w:val="18"/>
              </w:rPr>
              <w:t>2021</w:t>
            </w:r>
            <w:r>
              <w:rPr>
                <w:color w:val="000000"/>
                <w:kern w:val="0"/>
                <w:sz w:val="18"/>
                <w:szCs w:val="18"/>
              </w:rPr>
              <w:t>年受到洪涝灾害的影响，区内有多处桥梁、公路损毁严重，极大影响沿线人民群众的出行</w:t>
            </w:r>
            <w:r>
              <w:rPr>
                <w:rFonts w:hint="eastAsia" w:ascii="黑体" w:eastAsia="黑体"/>
                <w:color w:val="000000"/>
                <w:kern w:val="0"/>
                <w:sz w:val="18"/>
                <w:szCs w:val="18"/>
              </w:rPr>
              <w:t xml:space="preserve"> </w:t>
            </w:r>
            <w:r>
              <w:rPr>
                <w:color w:val="000000"/>
                <w:kern w:val="0"/>
                <w:sz w:val="18"/>
                <w:szCs w:val="18"/>
              </w:rPr>
              <w:t>，此后区交通运输系统多方组织人力全面摸排核实损毁情况并及时处置，改造危桥一座，安排资金</w:t>
            </w:r>
            <w:r>
              <w:rPr>
                <w:rFonts w:hint="eastAsia" w:ascii="黑体" w:eastAsia="黑体"/>
                <w:color w:val="000000"/>
                <w:kern w:val="0"/>
                <w:sz w:val="18"/>
                <w:szCs w:val="18"/>
              </w:rPr>
              <w:t>216</w:t>
            </w:r>
            <w:r>
              <w:rPr>
                <w:color w:val="000000"/>
                <w:kern w:val="0"/>
                <w:sz w:val="18"/>
                <w:szCs w:val="18"/>
              </w:rPr>
              <w:t>万元，恢复损毁路面多处，安排资金</w:t>
            </w:r>
            <w:r>
              <w:rPr>
                <w:rFonts w:hint="eastAsia" w:ascii="黑体" w:eastAsia="黑体"/>
                <w:color w:val="000000"/>
                <w:kern w:val="0"/>
                <w:sz w:val="18"/>
                <w:szCs w:val="18"/>
              </w:rPr>
              <w:t>200</w:t>
            </w:r>
            <w:r>
              <w:rPr>
                <w:color w:val="000000"/>
                <w:kern w:val="0"/>
                <w:sz w:val="18"/>
                <w:szCs w:val="18"/>
              </w:rPr>
              <w:t>万元，确保了全区各村组道路通行畅通，确保老百姓的出行安全。及时改善相关道路交通通行条件，解决沿线村民安全出行问题，推动区域地方经济社会发展</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改造危桥一座，安排资金216万元，恢复损毁路面多处，安排资金200万元，确保了全区各村组道路通行畅通，确保老百姓的出行安全。</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416</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416</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416</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416</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桥梁</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座</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1座</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路面损毁</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处</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15处</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质量指标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资金使用合格性</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效果指标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完工项目验收合格率</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按期完成任务</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经济效益指标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对经济发展促进作用</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明显</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生态效益指标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交通符合环评审批要求</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符合</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基本公共服务水平</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提升高</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73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服务对象满意度指标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通行服务水平群众满意度</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95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95%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经济成本指标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危桥改造</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216</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216万元</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经济成本指标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路面毁损恢复</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200万元</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严格执行项目预算，达到预期绩效目标。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项目负责人：王豪</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51081222T000007138464-省道301线朝天区李家镇至中子镇段公路改建项目及平安渡运、乡镇运输服务站以奖代补</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28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283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根据“十四五”中省补助资金支持农村公路水运“以奖代补”实施方案规定，一是我区规划新改建48公里省道301线朝天区李家乡天星坪（旺苍界）至中子镇段公路改建工程，按照二级标准公路建设，计划总投资57600万元，本次落实资金3168万元；二是大力提升平安渡运管理水平、乡镇运输服务站服务能力，投入资金共504万元，全面改善农村道路通行条件和人民群众对交通服务的需要。目前我区现有农村公路大都是以前修建的四级公路或等外级公路，路面宽度不足、路面质量低、纵坡大、弯道急、行车条件差、路段存在安全隐患，影响老百姓的出行安全。以上总计投资3672万元，该项目资金的投入和项目的建成为改善我区农村公路道路交通通行条件，解决沿线村民安全出行。</w:t>
            </w:r>
          </w:p>
        </w:tc>
        <w:tc>
          <w:tcPr>
            <w:tcW w:w="3807" w:type="dxa"/>
            <w:gridSpan w:val="7"/>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根据“十四五”中省补助资金支持农村公路水运“以奖代补”实施方案规定，一是我区规划新改建</w:t>
            </w:r>
            <w:r>
              <w:rPr>
                <w:rFonts w:hint="eastAsia" w:ascii="黑体" w:eastAsia="黑体"/>
                <w:color w:val="000000"/>
                <w:kern w:val="0"/>
                <w:sz w:val="18"/>
                <w:szCs w:val="18"/>
              </w:rPr>
              <w:t>48</w:t>
            </w:r>
            <w:r>
              <w:rPr>
                <w:color w:val="000000"/>
                <w:kern w:val="0"/>
                <w:sz w:val="18"/>
                <w:szCs w:val="18"/>
              </w:rPr>
              <w:t>公里省道</w:t>
            </w:r>
            <w:r>
              <w:rPr>
                <w:rFonts w:hint="eastAsia" w:ascii="黑体" w:eastAsia="黑体"/>
                <w:color w:val="000000"/>
                <w:kern w:val="0"/>
                <w:sz w:val="18"/>
                <w:szCs w:val="18"/>
              </w:rPr>
              <w:t>301</w:t>
            </w:r>
            <w:r>
              <w:rPr>
                <w:color w:val="000000"/>
                <w:kern w:val="0"/>
                <w:sz w:val="18"/>
                <w:szCs w:val="18"/>
              </w:rPr>
              <w:t>线朝天区李家乡天星坪（旺苍界）至中子镇段公路改建工程，按照二级标准公路建设，计划总投资</w:t>
            </w:r>
            <w:r>
              <w:rPr>
                <w:rFonts w:hint="eastAsia" w:ascii="黑体" w:eastAsia="黑体"/>
                <w:color w:val="000000"/>
                <w:kern w:val="0"/>
                <w:sz w:val="18"/>
                <w:szCs w:val="18"/>
              </w:rPr>
              <w:t>57600</w:t>
            </w:r>
            <w:r>
              <w:rPr>
                <w:color w:val="000000"/>
                <w:kern w:val="0"/>
                <w:sz w:val="18"/>
                <w:szCs w:val="18"/>
              </w:rPr>
              <w:t>万元，本次落实资金</w:t>
            </w:r>
            <w:r>
              <w:rPr>
                <w:rFonts w:hint="eastAsia" w:ascii="黑体" w:eastAsia="黑体"/>
                <w:color w:val="000000"/>
                <w:kern w:val="0"/>
                <w:sz w:val="18"/>
                <w:szCs w:val="18"/>
              </w:rPr>
              <w:t>3168</w:t>
            </w:r>
            <w:r>
              <w:rPr>
                <w:color w:val="000000"/>
                <w:kern w:val="0"/>
                <w:sz w:val="18"/>
                <w:szCs w:val="18"/>
              </w:rPr>
              <w:t>万元；二是大力提升平安渡运管理水平、乡镇运输服务站服务能力，投入资金共</w:t>
            </w:r>
            <w:r>
              <w:rPr>
                <w:rFonts w:hint="eastAsia" w:ascii="黑体" w:eastAsia="黑体"/>
                <w:color w:val="000000"/>
                <w:kern w:val="0"/>
                <w:sz w:val="18"/>
                <w:szCs w:val="18"/>
              </w:rPr>
              <w:t>504</w:t>
            </w:r>
            <w:r>
              <w:rPr>
                <w:color w:val="000000"/>
                <w:kern w:val="0"/>
                <w:sz w:val="18"/>
                <w:szCs w:val="18"/>
              </w:rPr>
              <w:t>万元，全面改善农村道路通行条件和人民群众对交通服务的需要。目前我区现有农村公路大都是以前修建的四级公路或等外级公路，路面宽度不足、路面质量低、纵坡大、弯道急、行车条件差、路段存在安全隐患，影响老百姓的出行安全。以上总计投资</w:t>
            </w:r>
            <w:r>
              <w:rPr>
                <w:rFonts w:hint="eastAsia" w:ascii="黑体" w:eastAsia="黑体"/>
                <w:color w:val="000000"/>
                <w:kern w:val="0"/>
                <w:sz w:val="18"/>
                <w:szCs w:val="18"/>
              </w:rPr>
              <w:t>3672</w:t>
            </w:r>
            <w:r>
              <w:rPr>
                <w:color w:val="000000"/>
                <w:kern w:val="0"/>
                <w:sz w:val="18"/>
                <w:szCs w:val="18"/>
              </w:rPr>
              <w:t>万元，该项目资金的投入和项目的建成为改善我区农村公路道路交通通行条件，解决沿线村民安全出行。</w:t>
            </w:r>
          </w:p>
        </w:tc>
      </w:tr>
      <w:tr>
        <w:tblPrEx>
          <w:tblCellMar>
            <w:top w:w="0" w:type="dxa"/>
            <w:left w:w="108" w:type="dxa"/>
            <w:bottom w:w="0" w:type="dxa"/>
            <w:right w:w="108" w:type="dxa"/>
          </w:tblCellMar>
        </w:tblPrEx>
        <w:trPr>
          <w:trHeight w:val="312"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vMerge w:val="continue"/>
            <w:tcBorders>
              <w:top w:val="single" w:color="000000" w:sz="8" w:space="0"/>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3807" w:type="dxa"/>
            <w:gridSpan w:val="7"/>
            <w:vMerge w:val="continue"/>
            <w:tcBorders>
              <w:top w:val="single" w:color="000000" w:sz="8" w:space="0"/>
              <w:left w:val="single" w:color="000000" w:sz="8" w:space="0"/>
              <w:bottom w:val="single" w:color="000000" w:sz="8" w:space="0"/>
              <w:right w:val="single" w:color="000000" w:sz="8" w:space="0"/>
            </w:tcBorders>
            <w:vAlign w:val="center"/>
          </w:tcPr>
          <w:p>
            <w:pPr>
              <w:widowControl/>
              <w:jc w:val="left"/>
              <w:rPr>
                <w:color w:val="000000"/>
                <w:kern w:val="0"/>
                <w:sz w:val="18"/>
                <w:szCs w:val="18"/>
              </w:rPr>
            </w:pP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一是我区规划新改建48公里省道301线朝天区李家乡天星坪（旺苍界）至中子镇段公路改建工程，按照二级标准公路建设，计划总投资57600万元，本次落实资金3168万元；二是大力提升平安渡运管理水平、乡镇运输服务站服务能力，投入资金共504万元，全面改善农村道路通行条件和人民群众对交通服务的需要。</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3,672.00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3672</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3,672.00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3672</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资金使用合规性</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效果指标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对经济发展的促进作用</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明显</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按期完成投资</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是</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3</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3</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质量指标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完工项目验收合格率</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平安渡运工程</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6</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个</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6个</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支持乡镇客运站</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14</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个</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14个</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73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支持国省道路提档升级48公里</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48</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公里</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48公里</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73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生态效益指标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交通项目符合环评审批要求</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符合</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公路安全水平</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提升</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基本公共服务水平</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提升</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73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服务对象满意度指标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改善通行服务水平群众满意度</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95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95%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73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经济成本指标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省道S301线（李家镇到中子镇）</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3168</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3168万元</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经济成本指标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乡镇运输服务站</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414</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414万元</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经济成本指标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平安渡运</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90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90万元</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严格执行项目预算，达到预期绩效目标。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项目负责人：王豪</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51081222T000007296452-2021年公路灾毁应急保障补助资金</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135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根据省交通运输厅《关于下达2022年度第一批交通专项资金投资计划的通知》（川交函[2022]202号）精神，经2022年第19次党组会研究，现将2021年公路灾毁应急保障补助资金下达行业管理部门，并责成相关乡镇及时组织实施，加强技术指导与服务，加强资金管理、提高资金效益，确保专款专用</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根据省交通运输厅《关于下达2022年度第一批交通专项资金投资计划的通知》（川交函[2022]202号）精神，经2022年第19次党组会研究，现将2021年公路灾毁应急保障补助资金下达行业管理部门，并责成相关乡镇及时组织实施，加强技术指导与服务，加强资金管理、提高资金效益，确保专款专用</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实施公路水毁应急保障</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360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360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23公里</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23</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公里</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23公里</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质量指标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安全通行</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明显提升</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可持续发展指标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明显提高</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服务对象满意度指标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95%</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95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经济成本指标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360万元</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360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360万元</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严格执行项目预算，达到预期绩效目标。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项目负责人：王豪</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51081222Y000005135060-定额公用经费（行政）</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45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提高预算编制质量，严格执行预算，保障</w:t>
            </w: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日常运转。</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提高预算编制质量，严格执行预算，保障</w:t>
            </w: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日常运转。</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保障机关日常事务正常运转</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17</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17</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17</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17</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17</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17</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科目调整次数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次</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5次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13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质量指标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预算编制准确率（计算方法为：∣（执行数-预算数）/预算数∣）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15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经济效益指标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“三公”经费</w:t>
            </w:r>
            <w:r>
              <w:rPr>
                <w:rFonts w:hint="eastAsia" w:ascii="宋体" w:hAnsi="宋体" w:cs="宋体"/>
                <w:color w:val="000000"/>
                <w:kern w:val="0"/>
                <w:sz w:val="18"/>
                <w:szCs w:val="18"/>
              </w:rPr>
              <w:t>控制率[计算方法为：（三公经费实际支出数/预算安排数]×100%）</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运转保障率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严格执行项目预算，达到预期绩效目标。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项目负责人：韩平</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51081222Y000005135504-定额公用经费（事业）</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45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保障</w:t>
            </w: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日常运转，提高预算编制质量，严格执行预算</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保障</w:t>
            </w: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日常运转，提高预算编制质量，严格执行预算</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保障机关日常事务正常运转</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25</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25</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25</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25</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25</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25</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科目调整次数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次</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10次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13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质量指标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预算编制准确率（计算方法为：∣（执行数-预算数）/预算数∣）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15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经济效益指标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“三公”经费</w:t>
            </w:r>
            <w:r>
              <w:rPr>
                <w:rFonts w:hint="eastAsia" w:ascii="宋体" w:hAnsi="宋体" w:cs="宋体"/>
                <w:color w:val="000000"/>
                <w:kern w:val="0"/>
                <w:sz w:val="18"/>
                <w:szCs w:val="18"/>
              </w:rPr>
              <w:t>控制率[计算方法为：（三公经费实际支出数/预算安排数]×100%）</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运转保障率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严格执行项目预算，达到预期绩效目标。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项目负责人：王豪</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51081222Y000005899943-乡村振兴第一书记和工作队工作经费</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45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保障</w:t>
            </w: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日常运转，提高预算编制质量，严格执行预算</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保障</w:t>
            </w: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日常运转，提高预算编制质量，严格执行预算</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保障乡村振兴工作正常运转</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科目调整次数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次</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10次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13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质量指标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预算编制准确率（计算方法为：∣（执行数-预算数）/预算数∣）</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效益指标</w:t>
            </w:r>
          </w:p>
        </w:tc>
        <w:tc>
          <w:tcPr>
            <w:tcW w:w="1061"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经济效益指标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运转保障率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15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“三公”经费</w:t>
            </w:r>
            <w:r>
              <w:rPr>
                <w:rFonts w:hint="eastAsia" w:ascii="宋体" w:hAnsi="宋体" w:cs="宋体"/>
                <w:color w:val="000000"/>
                <w:kern w:val="0"/>
                <w:sz w:val="18"/>
                <w:szCs w:val="18"/>
              </w:rPr>
              <w:t>控制率[计算方法为：（三公经费实际支出数/预算安排数]×100%）</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22.5</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严格执行项目预算，达到预期绩效目标。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项目负责人：王豪</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51081223T000007854734-交通运输组疫情防控重点查验点工作费用</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120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根据区委、区政府和区疫情防控指挥部工作部署，区交通运输组在境内G5京昆高速公路出口（中子出口、朝天出口）及二专线七盘关超限检测站3个交通查验点常态化开展“入川即检”工作。7至9月共发生工作经费200万元。</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根据区委、区政府和区疫情防控指挥部工作部署，区交通运输组在境内</w:t>
            </w:r>
            <w:r>
              <w:rPr>
                <w:rFonts w:hint="eastAsia" w:ascii="黑体" w:eastAsia="黑体"/>
                <w:color w:val="000000"/>
                <w:kern w:val="0"/>
                <w:sz w:val="18"/>
                <w:szCs w:val="18"/>
              </w:rPr>
              <w:t>G5</w:t>
            </w:r>
            <w:r>
              <w:rPr>
                <w:color w:val="000000"/>
                <w:kern w:val="0"/>
                <w:sz w:val="18"/>
                <w:szCs w:val="18"/>
              </w:rPr>
              <w:t>京昆高速公路出口（中子出口、朝天出口）及二专线七盘关超限检测站</w:t>
            </w:r>
            <w:r>
              <w:rPr>
                <w:rFonts w:hint="eastAsia" w:ascii="黑体" w:eastAsia="黑体"/>
                <w:color w:val="000000"/>
                <w:kern w:val="0"/>
                <w:sz w:val="18"/>
                <w:szCs w:val="18"/>
              </w:rPr>
              <w:t>3</w:t>
            </w:r>
            <w:r>
              <w:rPr>
                <w:color w:val="000000"/>
                <w:kern w:val="0"/>
                <w:sz w:val="18"/>
                <w:szCs w:val="18"/>
              </w:rPr>
              <w:t>个交通查验点常态化开展“入川即检”工作。</w:t>
            </w:r>
            <w:r>
              <w:rPr>
                <w:rFonts w:hint="eastAsia" w:ascii="黑体" w:eastAsia="黑体"/>
                <w:color w:val="000000"/>
                <w:kern w:val="0"/>
                <w:sz w:val="18"/>
                <w:szCs w:val="18"/>
              </w:rPr>
              <w:t>7</w:t>
            </w:r>
            <w:r>
              <w:rPr>
                <w:color w:val="000000"/>
                <w:kern w:val="0"/>
                <w:sz w:val="18"/>
                <w:szCs w:val="18"/>
              </w:rPr>
              <w:t>至</w:t>
            </w:r>
            <w:r>
              <w:rPr>
                <w:rFonts w:hint="eastAsia" w:ascii="黑体" w:eastAsia="黑体"/>
                <w:color w:val="000000"/>
                <w:kern w:val="0"/>
                <w:sz w:val="18"/>
                <w:szCs w:val="18"/>
              </w:rPr>
              <w:t>9</w:t>
            </w:r>
            <w:r>
              <w:rPr>
                <w:color w:val="000000"/>
                <w:kern w:val="0"/>
                <w:sz w:val="18"/>
                <w:szCs w:val="18"/>
              </w:rPr>
              <w:t>月共发生工作经费</w:t>
            </w:r>
            <w:r>
              <w:rPr>
                <w:rFonts w:hint="eastAsia" w:ascii="黑体" w:eastAsia="黑体"/>
                <w:color w:val="000000"/>
                <w:kern w:val="0"/>
                <w:sz w:val="18"/>
                <w:szCs w:val="18"/>
              </w:rPr>
              <w:t>200</w:t>
            </w:r>
            <w:r>
              <w:rPr>
                <w:color w:val="000000"/>
                <w:kern w:val="0"/>
                <w:sz w:val="18"/>
                <w:szCs w:val="18"/>
              </w:rPr>
              <w:t>万元。</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区交通运输组在境内G5京昆高速公路出口（中子出口、朝天出口）及二专线七盘关超限检测站3个交通查验点常态化开展“入川即检”工作。7至9月共发生工作经费200万元。</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时效指标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限时办好</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3</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处</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3处</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3卡点</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3</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处</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3处</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可持续影响指标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确保疫情不外溢</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3</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处</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3处</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确保人员安全通行</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3</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处</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3处</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服务对象满意度指标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98.50%</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99</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99%</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社会成本指标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不计成本</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3</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处</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3处</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经济成本指标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200万元</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20万元</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严格执行项目预算，达到预期绩效目标。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项目负责人：焦心玉</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51081223T000008255665-广元朝天七盘关客运枢纽站建设项目</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312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广元朝天七盘关客运枢纽站建设项目，已被交通运输部纳入“十四五”综合客运枢纽项目库，该项目经区发改局《关于&lt;广元朝天七盘关客运枢纽站项目可行性研究报告&gt;的批复》（广朝发改项目〔2022〕99号）同意立项，拟建二级客运枢纽站，占地面积32186平方米，总建筑面积7898.9平方米，主要建筑综合楼、站务用房、旅游集散中心、库房、广场、监控、安检等设施设备。项目总投资11344.28万元，建安费8000万元，土地成本1400万元。目前，该项目已完成可行性研究报告、施工图设计文件编制，正在进行招投标前期工作。经区政府第20次常务会审议同意解决1007万元用于项目建设及开展前期工作，为确保项目建设顺利推进。</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广元朝天七盘关客运枢纽站建设项目，已被交通运输部纳入“十四五”综合客运枢纽项目库，该项目经区发改局《关于</w:t>
            </w:r>
            <w:r>
              <w:rPr>
                <w:rFonts w:hint="eastAsia" w:ascii="黑体" w:eastAsia="黑体"/>
                <w:color w:val="000000"/>
                <w:kern w:val="0"/>
                <w:sz w:val="18"/>
                <w:szCs w:val="18"/>
              </w:rPr>
              <w:t>&lt;</w:t>
            </w:r>
            <w:r>
              <w:rPr>
                <w:color w:val="000000"/>
                <w:kern w:val="0"/>
                <w:sz w:val="18"/>
                <w:szCs w:val="18"/>
              </w:rPr>
              <w:t>广元朝天七盘关客运枢纽站项目可行性研究报告</w:t>
            </w:r>
            <w:r>
              <w:rPr>
                <w:rFonts w:hint="eastAsia" w:ascii="黑体" w:eastAsia="黑体"/>
                <w:color w:val="000000"/>
                <w:kern w:val="0"/>
                <w:sz w:val="18"/>
                <w:szCs w:val="18"/>
              </w:rPr>
              <w:t>&gt;</w:t>
            </w:r>
            <w:r>
              <w:rPr>
                <w:color w:val="000000"/>
                <w:kern w:val="0"/>
                <w:sz w:val="18"/>
                <w:szCs w:val="18"/>
              </w:rPr>
              <w:t>的批复》（广朝发改项目〔</w:t>
            </w:r>
            <w:r>
              <w:rPr>
                <w:rFonts w:hint="eastAsia" w:ascii="黑体" w:eastAsia="黑体"/>
                <w:color w:val="000000"/>
                <w:kern w:val="0"/>
                <w:sz w:val="18"/>
                <w:szCs w:val="18"/>
              </w:rPr>
              <w:t>2022</w:t>
            </w:r>
            <w:r>
              <w:rPr>
                <w:color w:val="000000"/>
                <w:kern w:val="0"/>
                <w:sz w:val="18"/>
                <w:szCs w:val="18"/>
              </w:rPr>
              <w:t>〕</w:t>
            </w:r>
            <w:r>
              <w:rPr>
                <w:rFonts w:hint="eastAsia" w:ascii="黑体" w:eastAsia="黑体"/>
                <w:color w:val="000000"/>
                <w:kern w:val="0"/>
                <w:sz w:val="18"/>
                <w:szCs w:val="18"/>
              </w:rPr>
              <w:t>99</w:t>
            </w:r>
            <w:r>
              <w:rPr>
                <w:color w:val="000000"/>
                <w:kern w:val="0"/>
                <w:sz w:val="18"/>
                <w:szCs w:val="18"/>
              </w:rPr>
              <w:t>号）同意立项，拟建二级客运枢纽站，占地面积</w:t>
            </w:r>
            <w:r>
              <w:rPr>
                <w:rFonts w:hint="eastAsia" w:ascii="黑体" w:eastAsia="黑体"/>
                <w:color w:val="000000"/>
                <w:kern w:val="0"/>
                <w:sz w:val="18"/>
                <w:szCs w:val="18"/>
              </w:rPr>
              <w:t>32186</w:t>
            </w:r>
            <w:r>
              <w:rPr>
                <w:color w:val="000000"/>
                <w:kern w:val="0"/>
                <w:sz w:val="18"/>
                <w:szCs w:val="18"/>
              </w:rPr>
              <w:t>平方米，总建筑面积</w:t>
            </w:r>
            <w:r>
              <w:rPr>
                <w:rFonts w:hint="eastAsia" w:ascii="黑体" w:eastAsia="黑体"/>
                <w:color w:val="000000"/>
                <w:kern w:val="0"/>
                <w:sz w:val="18"/>
                <w:szCs w:val="18"/>
              </w:rPr>
              <w:t>7898.9</w:t>
            </w:r>
            <w:r>
              <w:rPr>
                <w:color w:val="000000"/>
                <w:kern w:val="0"/>
                <w:sz w:val="18"/>
                <w:szCs w:val="18"/>
              </w:rPr>
              <w:t>平方米，主要建筑综合楼、站务用房、旅游集散中心、库房、广场、监控、安检等设施设备。项目总投资</w:t>
            </w:r>
            <w:r>
              <w:rPr>
                <w:rFonts w:hint="eastAsia" w:ascii="黑体" w:eastAsia="黑体"/>
                <w:color w:val="000000"/>
                <w:kern w:val="0"/>
                <w:sz w:val="18"/>
                <w:szCs w:val="18"/>
              </w:rPr>
              <w:t>11344.28</w:t>
            </w:r>
            <w:r>
              <w:rPr>
                <w:color w:val="000000"/>
                <w:kern w:val="0"/>
                <w:sz w:val="18"/>
                <w:szCs w:val="18"/>
              </w:rPr>
              <w:t>万元，建安费</w:t>
            </w:r>
            <w:r>
              <w:rPr>
                <w:rFonts w:hint="eastAsia" w:ascii="黑体" w:eastAsia="黑体"/>
                <w:color w:val="000000"/>
                <w:kern w:val="0"/>
                <w:sz w:val="18"/>
                <w:szCs w:val="18"/>
              </w:rPr>
              <w:t>8000</w:t>
            </w:r>
            <w:r>
              <w:rPr>
                <w:color w:val="000000"/>
                <w:kern w:val="0"/>
                <w:sz w:val="18"/>
                <w:szCs w:val="18"/>
              </w:rPr>
              <w:t>万元，土地成本</w:t>
            </w:r>
            <w:r>
              <w:rPr>
                <w:rFonts w:hint="eastAsia" w:ascii="黑体" w:eastAsia="黑体"/>
                <w:color w:val="000000"/>
                <w:kern w:val="0"/>
                <w:sz w:val="18"/>
                <w:szCs w:val="18"/>
              </w:rPr>
              <w:t>1400</w:t>
            </w:r>
            <w:r>
              <w:rPr>
                <w:color w:val="000000"/>
                <w:kern w:val="0"/>
                <w:sz w:val="18"/>
                <w:szCs w:val="18"/>
              </w:rPr>
              <w:t>万元。目前，该项目已完成可行性研究报告、施工图设计文件编制，正在进行招投标前期工作。经区政府第</w:t>
            </w:r>
            <w:r>
              <w:rPr>
                <w:rFonts w:hint="eastAsia" w:ascii="黑体" w:eastAsia="黑体"/>
                <w:color w:val="000000"/>
                <w:kern w:val="0"/>
                <w:sz w:val="18"/>
                <w:szCs w:val="18"/>
              </w:rPr>
              <w:t>20</w:t>
            </w:r>
            <w:r>
              <w:rPr>
                <w:color w:val="000000"/>
                <w:kern w:val="0"/>
                <w:sz w:val="18"/>
                <w:szCs w:val="18"/>
              </w:rPr>
              <w:t>次常务会审议同意解决</w:t>
            </w:r>
            <w:r>
              <w:rPr>
                <w:rFonts w:hint="eastAsia" w:ascii="黑体" w:eastAsia="黑体"/>
                <w:color w:val="000000"/>
                <w:kern w:val="0"/>
                <w:sz w:val="18"/>
                <w:szCs w:val="18"/>
              </w:rPr>
              <w:t>1007</w:t>
            </w:r>
            <w:r>
              <w:rPr>
                <w:color w:val="000000"/>
                <w:kern w:val="0"/>
                <w:sz w:val="18"/>
                <w:szCs w:val="18"/>
              </w:rPr>
              <w:t>万元用于项目建设及开展前期工作，为确保项目建设顺利推进。</w:t>
            </w:r>
          </w:p>
        </w:tc>
      </w:tr>
      <w:tr>
        <w:tblPrEx>
          <w:tblCellMar>
            <w:top w:w="0" w:type="dxa"/>
            <w:left w:w="108" w:type="dxa"/>
            <w:bottom w:w="0" w:type="dxa"/>
            <w:right w:w="108" w:type="dxa"/>
          </w:tblCellMar>
        </w:tblPrEx>
        <w:trPr>
          <w:trHeight w:val="90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拟建二级客运枢纽站，占地面积32186平方米，总建筑面积7898.9平方米，主要建筑综合楼、站务用房、旅游集散中心、库房、广场、监控、安检等设施设备。项目总投资11344.28万元，建安费8000万元，土地成本1400万元。目前，该项目已完成可行性研究报告、施工图设计文件编制，正在进行招投标前期工作。经区政府第20次常务会审议同意解决1007万元用于项目建设及开展前期工作，为确保项目建设顺利推进。</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1,007.00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1,007.00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1,007.00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1,007.00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产出指标</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座</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1座</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质量指标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满意度指标</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3</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处</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3处</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提升交通运输综合水平</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提升交通运输综合水平</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处</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可持续发展指标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助力地方经济发展</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助力地方经济发展</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处</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基本事件</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95%</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95</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95%</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经济成本指标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1007万元</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1007</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1007万元</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社会成本指标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行业标准</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行业标准</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严格执行项目预算，达到预期绩效目标。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项目负责人：王豪</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85"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405" w:hRule="atLeast"/>
        </w:trPr>
        <w:tc>
          <w:tcPr>
            <w:tcW w:w="10810" w:type="dxa"/>
            <w:gridSpan w:val="1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黑体" w:hAnsi="宋体" w:eastAsia="黑体" w:cs="宋体"/>
                <w:b/>
                <w:bCs/>
                <w:color w:val="000000"/>
                <w:kern w:val="0"/>
                <w:sz w:val="30"/>
                <w:szCs w:val="30"/>
              </w:rPr>
            </w:pPr>
            <w:r>
              <w:rPr>
                <w:rFonts w:hint="eastAsia" w:ascii="黑体" w:hAnsi="宋体" w:eastAsia="黑体" w:cs="宋体"/>
                <w:b/>
                <w:bCs/>
                <w:color w:val="000000"/>
                <w:kern w:val="0"/>
                <w:sz w:val="30"/>
                <w:szCs w:val="30"/>
              </w:rPr>
              <w:t>部门预算项目支出绩效自评表（2022年度）</w:t>
            </w:r>
          </w:p>
        </w:tc>
      </w:tr>
      <w:tr>
        <w:tblPrEx>
          <w:tblCellMar>
            <w:top w:w="0" w:type="dxa"/>
            <w:left w:w="108" w:type="dxa"/>
            <w:bottom w:w="0" w:type="dxa"/>
            <w:right w:w="108" w:type="dxa"/>
          </w:tblCellMar>
        </w:tblPrEx>
        <w:trPr>
          <w:trHeight w:val="28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项目名称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51081223T000008538547-财政支持政府与社会资本合作（PPP)综合补助资金</w:t>
            </w:r>
          </w:p>
        </w:tc>
      </w:tr>
      <w:tr>
        <w:tblPrEx>
          <w:tblCellMar>
            <w:top w:w="0" w:type="dxa"/>
            <w:left w:w="108" w:type="dxa"/>
            <w:bottom w:w="0" w:type="dxa"/>
            <w:right w:w="108" w:type="dxa"/>
          </w:tblCellMar>
        </w:tblPrEx>
        <w:trPr>
          <w:trHeight w:val="495" w:hRule="atLeast"/>
        </w:trPr>
        <w:tc>
          <w:tcPr>
            <w:tcW w:w="1865"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主管部门</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广元市朝天区交通运输局部门</w:t>
            </w:r>
          </w:p>
        </w:tc>
        <w:tc>
          <w:tcPr>
            <w:tcW w:w="1061" w:type="dxa"/>
            <w:gridSpan w:val="2"/>
            <w:tcBorders>
              <w:top w:val="nil"/>
              <w:left w:val="nil"/>
              <w:bottom w:val="nil"/>
              <w:right w:val="nil"/>
            </w:tcBorders>
            <w:shd w:val="clear" w:color="auto" w:fill="auto"/>
            <w:vAlign w:val="center"/>
          </w:tcPr>
          <w:p>
            <w:pPr>
              <w:widowControl/>
              <w:jc w:val="left"/>
              <w:rPr>
                <w:color w:val="000000"/>
                <w:kern w:val="0"/>
                <w:sz w:val="18"/>
                <w:szCs w:val="18"/>
              </w:rPr>
            </w:pPr>
            <w:r>
              <w:rPr>
                <w:color w:val="000000"/>
                <w:kern w:val="0"/>
                <w:sz w:val="18"/>
                <w:szCs w:val="18"/>
              </w:rPr>
              <w:t>实施</w:t>
            </w:r>
            <w:r>
              <w:rPr>
                <w:rFonts w:hint="eastAsia"/>
                <w:color w:val="000000"/>
                <w:kern w:val="0"/>
                <w:sz w:val="18"/>
                <w:szCs w:val="18"/>
                <w:lang w:eastAsia="zh-CN"/>
              </w:rPr>
              <w:t>部门</w:t>
            </w:r>
            <w:r>
              <w:rPr>
                <w:rFonts w:hint="eastAsia" w:ascii="黑体" w:eastAsia="黑体"/>
                <w:color w:val="000000"/>
                <w:kern w:val="0"/>
                <w:sz w:val="18"/>
                <w:szCs w:val="18"/>
              </w:rPr>
              <w:t xml:space="preserve"> </w:t>
            </w:r>
            <w:r>
              <w:rPr>
                <w:color w:val="000000"/>
                <w:kern w:val="0"/>
                <w:sz w:val="18"/>
                <w:szCs w:val="18"/>
              </w:rPr>
              <w:t>（盖章）</w:t>
            </w:r>
          </w:p>
        </w:tc>
        <w:tc>
          <w:tcPr>
            <w:tcW w:w="2746"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广元市朝天区交通运输局</w:t>
            </w:r>
          </w:p>
        </w:tc>
      </w:tr>
      <w:tr>
        <w:tblPrEx>
          <w:tblCellMar>
            <w:top w:w="0" w:type="dxa"/>
            <w:left w:w="108" w:type="dxa"/>
            <w:bottom w:w="0" w:type="dxa"/>
            <w:right w:w="108" w:type="dxa"/>
          </w:tblCellMar>
        </w:tblPrEx>
        <w:trPr>
          <w:trHeight w:val="390"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项目基本情况</w:t>
            </w:r>
          </w:p>
        </w:tc>
        <w:tc>
          <w:tcPr>
            <w:tcW w:w="976"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1.项目年度目标完成情况</w:t>
            </w: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项目年度目标</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年度目标完成情况</w:t>
            </w:r>
          </w:p>
        </w:tc>
      </w:tr>
      <w:tr>
        <w:tblPrEx>
          <w:tblCellMar>
            <w:top w:w="0" w:type="dxa"/>
            <w:left w:w="108" w:type="dxa"/>
            <w:bottom w:w="0" w:type="dxa"/>
            <w:right w:w="108" w:type="dxa"/>
          </w:tblCellMar>
        </w:tblPrEx>
        <w:trPr>
          <w:trHeight w:val="157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5138" w:type="dxa"/>
            <w:gridSpan w:val="8"/>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大羊通道改扩建工程起于朝天镇大巴口，止于羊木镇中坝，道路起点与GZ40线（二专线）相连，向南延伸与利州区回龙河相连，途经朝天区朝天镇、羊木镇、西北乡，辐射东溪河乡、花石乡，是该片区两镇三乡近3万群众出行的重要通道，也是全市交通规划“三环、五横、七射线”干线公路网络的重要组成部分。项目建设已交验，本次安排综合补助资金32万元。</w:t>
            </w:r>
          </w:p>
        </w:tc>
        <w:tc>
          <w:tcPr>
            <w:tcW w:w="3807" w:type="dxa"/>
            <w:gridSpan w:val="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大羊通道改扩建工程起于朝天镇大巴口，止于羊木镇中坝，道路起点与GZ40线（二专线）相连，向南延伸与利州区回龙河相连，途经朝天区朝天镇、羊木镇、西北乡，辐射东溪河乡、花石乡，是该片区两镇三乡近3万群众出行的重要通道，也是全市交通规划“三环、五横、七射线”干线公路网络的重要组成部分。项目建设已交验，本次安排综合补助资金32万元。</w:t>
            </w:r>
          </w:p>
        </w:tc>
      </w:tr>
      <w:tr>
        <w:tblPrEx>
          <w:tblCellMar>
            <w:top w:w="0" w:type="dxa"/>
            <w:left w:w="108" w:type="dxa"/>
            <w:bottom w:w="0" w:type="dxa"/>
            <w:right w:w="108" w:type="dxa"/>
          </w:tblCellMar>
        </w:tblPrEx>
        <w:trPr>
          <w:trHeight w:val="69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2.项目实施内容及过程概述</w:t>
            </w:r>
          </w:p>
        </w:tc>
        <w:tc>
          <w:tcPr>
            <w:tcW w:w="8945" w:type="dxa"/>
            <w:gridSpan w:val="15"/>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大羊通道改扩建工程起于朝天镇大巴口，止于羊木镇中坝。</w:t>
            </w: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预算执行情况（10分）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年度预算数（万元）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年初预算</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调整后预算数</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预算执行数</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预算执行率</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原因</w:t>
            </w:r>
          </w:p>
        </w:tc>
      </w:tr>
      <w:tr>
        <w:tblPrEx>
          <w:tblCellMar>
            <w:top w:w="0" w:type="dxa"/>
            <w:left w:w="108" w:type="dxa"/>
            <w:bottom w:w="0" w:type="dxa"/>
            <w:right w:w="108" w:type="dxa"/>
          </w:tblCellMar>
        </w:tblPrEx>
        <w:trPr>
          <w:trHeight w:val="3060"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总额</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32</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1026" w:type="dxa"/>
            <w:vMerge w:val="restart"/>
            <w:tcBorders>
              <w:top w:val="nil"/>
              <w:left w:val="single" w:color="000000" w:sz="8" w:space="0"/>
              <w:bottom w:val="single" w:color="000000" w:sz="8" w:space="0"/>
              <w:right w:val="single" w:color="000000" w:sz="8" w:space="0"/>
            </w:tcBorders>
            <w:shd w:val="clear" w:color="auto" w:fill="auto"/>
            <w:vAlign w:val="center"/>
          </w:tcPr>
          <w:p>
            <w:pPr>
              <w:widowControl/>
              <w:jc w:val="left"/>
              <w:rPr>
                <w:rFonts w:ascii="黑体" w:hAnsi="宋体" w:eastAsia="黑体" w:cs="宋体"/>
                <w:i/>
                <w:iCs/>
                <w:color w:val="000000"/>
                <w:kern w:val="0"/>
                <w:sz w:val="18"/>
                <w:szCs w:val="18"/>
              </w:rPr>
            </w:pPr>
            <w:r>
              <w:rPr>
                <w:rFonts w:hint="eastAsia" w:ascii="黑体" w:hAnsi="宋体" w:eastAsia="黑体" w:cs="宋体"/>
                <w:i/>
                <w:iCs/>
                <w:color w:val="000000"/>
                <w:kern w:val="0"/>
                <w:sz w:val="18"/>
                <w:szCs w:val="18"/>
              </w:rPr>
              <w:t>1.</w:t>
            </w:r>
            <w:r>
              <w:rPr>
                <w:rFonts w:eastAsia="黑体"/>
                <w:i/>
                <w:iCs/>
                <w:color w:val="000000"/>
                <w:kern w:val="0"/>
                <w:sz w:val="18"/>
                <w:szCs w:val="18"/>
              </w:rPr>
              <w:t>预算执行率</w:t>
            </w:r>
            <w:r>
              <w:rPr>
                <w:rFonts w:hint="eastAsia" w:ascii="黑体" w:hAnsi="宋体" w:eastAsia="黑体" w:cs="宋体"/>
                <w:i/>
                <w:iCs/>
                <w:color w:val="000000"/>
                <w:kern w:val="0"/>
                <w:sz w:val="18"/>
                <w:szCs w:val="18"/>
              </w:rPr>
              <w:t>=</w:t>
            </w:r>
            <w:r>
              <w:rPr>
                <w:rFonts w:eastAsia="黑体"/>
                <w:i/>
                <w:iCs/>
                <w:color w:val="000000"/>
                <w:kern w:val="0"/>
                <w:sz w:val="18"/>
                <w:szCs w:val="18"/>
              </w:rPr>
              <w:t>预算执行数</w:t>
            </w:r>
            <w:r>
              <w:rPr>
                <w:rFonts w:hint="eastAsia" w:ascii="黑体" w:hAnsi="宋体" w:eastAsia="黑体" w:cs="宋体"/>
                <w:i/>
                <w:iCs/>
                <w:color w:val="000000"/>
                <w:kern w:val="0"/>
                <w:sz w:val="18"/>
                <w:szCs w:val="18"/>
              </w:rPr>
              <w:t>/</w:t>
            </w:r>
            <w:r>
              <w:rPr>
                <w:rFonts w:eastAsia="黑体"/>
                <w:i/>
                <w:iCs/>
                <w:color w:val="000000"/>
                <w:kern w:val="0"/>
                <w:sz w:val="18"/>
                <w:szCs w:val="18"/>
              </w:rPr>
              <w:t>调整后预算数，预算执行率未达到</w:t>
            </w:r>
            <w:r>
              <w:rPr>
                <w:rFonts w:hint="eastAsia" w:ascii="黑体" w:hAnsi="宋体" w:eastAsia="黑体" w:cs="宋体"/>
                <w:i/>
                <w:iCs/>
                <w:color w:val="000000"/>
                <w:kern w:val="0"/>
                <w:sz w:val="18"/>
                <w:szCs w:val="18"/>
              </w:rPr>
              <w:t>90%</w:t>
            </w:r>
            <w:r>
              <w:rPr>
                <w:rFonts w:eastAsia="黑体"/>
                <w:i/>
                <w:iCs/>
                <w:color w:val="000000"/>
                <w:kern w:val="0"/>
                <w:sz w:val="18"/>
                <w:szCs w:val="18"/>
              </w:rPr>
              <w:t>的需说明原因（</w:t>
            </w:r>
            <w:r>
              <w:rPr>
                <w:rFonts w:hint="eastAsia" w:ascii="黑体" w:hAnsi="宋体" w:eastAsia="黑体" w:cs="宋体"/>
                <w:i/>
                <w:iCs/>
                <w:color w:val="000000"/>
                <w:kern w:val="0"/>
                <w:sz w:val="18"/>
                <w:szCs w:val="18"/>
              </w:rPr>
              <w:t>100</w:t>
            </w:r>
            <w:r>
              <w:rPr>
                <w:rFonts w:eastAsia="黑体"/>
                <w:i/>
                <w:iCs/>
                <w:color w:val="000000"/>
                <w:kern w:val="0"/>
                <w:sz w:val="18"/>
                <w:szCs w:val="18"/>
              </w:rPr>
              <w:t>字以内）</w:t>
            </w:r>
            <w:r>
              <w:rPr>
                <w:rFonts w:hint="eastAsia" w:ascii="黑体" w:hAnsi="宋体" w:eastAsia="黑体" w:cs="宋体"/>
                <w:i/>
                <w:iCs/>
                <w:color w:val="000000"/>
                <w:kern w:val="0"/>
                <w:sz w:val="18"/>
                <w:szCs w:val="18"/>
              </w:rPr>
              <w:t>;2.</w:t>
            </w:r>
            <w:r>
              <w:rPr>
                <w:rFonts w:eastAsia="黑体"/>
                <w:i/>
                <w:iCs/>
                <w:color w:val="000000"/>
                <w:kern w:val="0"/>
                <w:sz w:val="18"/>
                <w:szCs w:val="18"/>
              </w:rPr>
              <w:t>年中发生预算调整的（追加或调减）</w:t>
            </w:r>
            <w:r>
              <w:rPr>
                <w:rFonts w:hint="eastAsia" w:ascii="黑体" w:hAnsi="宋体" w:eastAsia="黑体" w:cs="宋体"/>
                <w:i/>
                <w:iCs/>
                <w:color w:val="000000"/>
                <w:kern w:val="0"/>
                <w:sz w:val="18"/>
                <w:szCs w:val="18"/>
              </w:rPr>
              <w:t>,</w:t>
            </w:r>
            <w:r>
              <w:rPr>
                <w:rFonts w:eastAsia="黑体"/>
                <w:i/>
                <w:iCs/>
                <w:color w:val="000000"/>
                <w:kern w:val="0"/>
                <w:sz w:val="18"/>
                <w:szCs w:val="18"/>
              </w:rPr>
              <w:t>应单独说明理由；</w:t>
            </w:r>
            <w:r>
              <w:rPr>
                <w:rFonts w:hint="eastAsia" w:ascii="黑体" w:hAnsi="宋体" w:eastAsia="黑体" w:cs="宋体"/>
                <w:i/>
                <w:iCs/>
                <w:color w:val="000000"/>
                <w:kern w:val="0"/>
                <w:sz w:val="18"/>
                <w:szCs w:val="18"/>
              </w:rPr>
              <w:t>3.</w:t>
            </w:r>
            <w:r>
              <w:rPr>
                <w:rFonts w:eastAsia="黑体"/>
                <w:i/>
                <w:iCs/>
                <w:color w:val="000000"/>
                <w:kern w:val="0"/>
                <w:sz w:val="18"/>
                <w:szCs w:val="18"/>
              </w:rPr>
              <w:t>其他资金包括：社会投入资金、银行贷款</w:t>
            </w:r>
            <w:r>
              <w:rPr>
                <w:rFonts w:hint="eastAsia" w:ascii="黑体" w:hAnsi="宋体" w:eastAsia="黑体" w:cs="宋体"/>
                <w:i/>
                <w:iCs/>
                <w:color w:val="000000"/>
                <w:kern w:val="0"/>
                <w:sz w:val="18"/>
                <w:szCs w:val="18"/>
              </w:rPr>
              <w:t>.</w:t>
            </w: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其中：财政资金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32</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财政专户管理资金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lang w:eastAsia="zh-CN"/>
              </w:rPr>
              <w:t>部门</w:t>
            </w:r>
            <w:r>
              <w:rPr>
                <w:rFonts w:hint="eastAsia" w:ascii="宋体" w:hAnsi="宋体" w:cs="宋体"/>
                <w:color w:val="000000"/>
                <w:kern w:val="0"/>
                <w:sz w:val="18"/>
                <w:szCs w:val="18"/>
              </w:rPr>
              <w:t>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0.00%</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其他资金</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3016" w:type="dxa"/>
            <w:gridSpan w:val="4"/>
            <w:tcBorders>
              <w:top w:val="single" w:color="000000" w:sz="8" w:space="0"/>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w:t>
            </w:r>
          </w:p>
        </w:tc>
        <w:tc>
          <w:tcPr>
            <w:tcW w:w="1026" w:type="dxa"/>
            <w:vMerge w:val="continue"/>
            <w:tcBorders>
              <w:top w:val="nil"/>
              <w:left w:val="single" w:color="000000" w:sz="8" w:space="0"/>
              <w:bottom w:val="single" w:color="000000" w:sz="8" w:space="0"/>
              <w:right w:val="single" w:color="000000" w:sz="8" w:space="0"/>
            </w:tcBorders>
            <w:vAlign w:val="center"/>
          </w:tcPr>
          <w:p>
            <w:pPr>
              <w:widowControl/>
              <w:jc w:val="left"/>
              <w:rPr>
                <w:rFonts w:ascii="黑体" w:hAnsi="宋体" w:eastAsia="黑体" w:cs="宋体"/>
                <w:i/>
                <w:iCs/>
                <w:color w:val="000000"/>
                <w:kern w:val="0"/>
                <w:sz w:val="18"/>
                <w:szCs w:val="18"/>
              </w:rPr>
            </w:pPr>
          </w:p>
        </w:tc>
      </w:tr>
      <w:tr>
        <w:tblPrEx>
          <w:tblCellMar>
            <w:top w:w="0" w:type="dxa"/>
            <w:left w:w="108" w:type="dxa"/>
            <w:bottom w:w="0" w:type="dxa"/>
            <w:right w:w="108" w:type="dxa"/>
          </w:tblCellMar>
        </w:tblPrEx>
        <w:trPr>
          <w:trHeight w:val="465" w:hRule="atLeast"/>
        </w:trPr>
        <w:tc>
          <w:tcPr>
            <w:tcW w:w="889" w:type="dxa"/>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绩效指标（90分）</w:t>
            </w: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一级指标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二级指标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三级指标</w:t>
            </w:r>
          </w:p>
        </w:tc>
        <w:tc>
          <w:tcPr>
            <w:tcW w:w="1000"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指标性质</w:t>
            </w:r>
          </w:p>
        </w:tc>
        <w:tc>
          <w:tcPr>
            <w:tcW w:w="93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指标值</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度量</w:t>
            </w:r>
            <w:r>
              <w:rPr>
                <w:rFonts w:hint="eastAsia" w:ascii="宋体" w:hAnsi="宋体" w:cs="宋体"/>
                <w:color w:val="000000"/>
                <w:kern w:val="0"/>
                <w:sz w:val="18"/>
                <w:szCs w:val="18"/>
                <w:lang w:eastAsia="zh-CN"/>
              </w:rPr>
              <w:t>部门</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完成值</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权重</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得分</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未完成原因分析</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产出指标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数量指标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32万元</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32</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万元</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32万元</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40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40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社会效益指标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明显提升</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提升明显</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49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效益指标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可持续发展指标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强化要素保险</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定性</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保障有力</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基本实现</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满意度指标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98%</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98</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98%</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10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555" w:hRule="atLeast"/>
        </w:trPr>
        <w:tc>
          <w:tcPr>
            <w:tcW w:w="889"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000000"/>
                <w:kern w:val="0"/>
                <w:sz w:val="18"/>
                <w:szCs w:val="18"/>
              </w:rPr>
            </w:pPr>
          </w:p>
        </w:tc>
        <w:tc>
          <w:tcPr>
            <w:tcW w:w="976"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经济成本指标</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center"/>
              <w:rPr>
                <w:color w:val="000000"/>
                <w:kern w:val="0"/>
                <w:sz w:val="18"/>
                <w:szCs w:val="18"/>
              </w:rPr>
            </w:pPr>
            <w:r>
              <w:rPr>
                <w:color w:val="000000"/>
                <w:kern w:val="0"/>
                <w:sz w:val="18"/>
                <w:szCs w:val="18"/>
              </w:rPr>
              <w:t>600万元每公里</w:t>
            </w:r>
          </w:p>
        </w:tc>
        <w:tc>
          <w:tcPr>
            <w:tcW w:w="1000"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w:t>
            </w:r>
          </w:p>
        </w:tc>
        <w:tc>
          <w:tcPr>
            <w:tcW w:w="936" w:type="dxa"/>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600</w:t>
            </w:r>
          </w:p>
        </w:tc>
        <w:tc>
          <w:tcPr>
            <w:tcW w:w="10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万元/公里</w:t>
            </w:r>
          </w:p>
        </w:tc>
        <w:tc>
          <w:tcPr>
            <w:tcW w:w="1061"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600万元/公里</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20</w:t>
            </w:r>
          </w:p>
        </w:tc>
        <w:tc>
          <w:tcPr>
            <w:tcW w:w="1026" w:type="dxa"/>
            <w:tcBorders>
              <w:top w:val="nil"/>
              <w:left w:val="nil"/>
              <w:bottom w:val="single" w:color="000000" w:sz="8" w:space="0"/>
              <w:right w:val="single" w:color="000000" w:sz="8" w:space="0"/>
            </w:tcBorders>
            <w:shd w:val="clear" w:color="auto" w:fill="auto"/>
            <w:vAlign w:val="center"/>
          </w:tcPr>
          <w:p>
            <w:pPr>
              <w:widowControl/>
              <w:jc w:val="center"/>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　</w:t>
            </w:r>
          </w:p>
        </w:tc>
      </w:tr>
      <w:tr>
        <w:tblPrEx>
          <w:tblCellMar>
            <w:top w:w="0" w:type="dxa"/>
            <w:left w:w="108" w:type="dxa"/>
            <w:bottom w:w="0" w:type="dxa"/>
            <w:right w:w="108" w:type="dxa"/>
          </w:tblCellMar>
        </w:tblPrEx>
        <w:trPr>
          <w:trHeight w:val="285" w:hRule="atLeast"/>
        </w:trPr>
        <w:tc>
          <w:tcPr>
            <w:tcW w:w="8064" w:type="dxa"/>
            <w:gridSpan w:val="14"/>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合计</w:t>
            </w:r>
          </w:p>
        </w:tc>
        <w:tc>
          <w:tcPr>
            <w:tcW w:w="940" w:type="dxa"/>
            <w:gridSpan w:val="2"/>
            <w:tcBorders>
              <w:top w:val="nil"/>
              <w:left w:val="nil"/>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780" w:type="dxa"/>
            <w:gridSpan w:val="2"/>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100</w:t>
            </w:r>
          </w:p>
        </w:tc>
        <w:tc>
          <w:tcPr>
            <w:tcW w:w="1026" w:type="dxa"/>
            <w:tcBorders>
              <w:top w:val="nil"/>
              <w:left w:val="nil"/>
              <w:bottom w:val="single" w:color="000000" w:sz="8" w:space="0"/>
              <w:right w:val="single" w:color="000000" w:sz="8"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评价结论</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严格执行项目预算，达到预期绩效目标。</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存在问题</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88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改进措施</w:t>
            </w:r>
          </w:p>
        </w:tc>
        <w:tc>
          <w:tcPr>
            <w:tcW w:w="9921" w:type="dxa"/>
            <w:gridSpan w:val="17"/>
            <w:tcBorders>
              <w:top w:val="single" w:color="000000" w:sz="8" w:space="0"/>
              <w:left w:val="nil"/>
              <w:bottom w:val="single" w:color="000000" w:sz="8" w:space="0"/>
              <w:right w:val="single" w:color="000000" w:sz="8" w:space="0"/>
            </w:tcBorders>
            <w:shd w:val="clear" w:color="auto" w:fill="auto"/>
            <w:vAlign w:val="center"/>
          </w:tcPr>
          <w:p>
            <w:pPr>
              <w:widowControl/>
              <w:jc w:val="left"/>
              <w:rPr>
                <w:rFonts w:ascii="微软雅黑" w:hAnsi="微软雅黑" w:eastAsia="微软雅黑" w:cs="宋体"/>
                <w:i/>
                <w:iCs/>
                <w:color w:val="000000"/>
                <w:kern w:val="0"/>
                <w:sz w:val="16"/>
                <w:szCs w:val="16"/>
              </w:rPr>
            </w:pPr>
            <w:r>
              <w:rPr>
                <w:rFonts w:hint="eastAsia" w:ascii="微软雅黑" w:hAnsi="微软雅黑" w:eastAsia="微软雅黑" w:cs="宋体"/>
                <w:i/>
                <w:iCs/>
                <w:color w:val="000000"/>
                <w:kern w:val="0"/>
                <w:sz w:val="16"/>
                <w:szCs w:val="16"/>
              </w:rPr>
              <w:t>无</w:t>
            </w:r>
          </w:p>
        </w:tc>
      </w:tr>
      <w:tr>
        <w:tblPrEx>
          <w:tblCellMar>
            <w:top w:w="0" w:type="dxa"/>
            <w:left w:w="108" w:type="dxa"/>
            <w:bottom w:w="0" w:type="dxa"/>
            <w:right w:w="108" w:type="dxa"/>
          </w:tblCellMar>
        </w:tblPrEx>
        <w:trPr>
          <w:trHeight w:val="285" w:hRule="atLeast"/>
        </w:trPr>
        <w:tc>
          <w:tcPr>
            <w:tcW w:w="4987" w:type="dxa"/>
            <w:gridSpan w:val="9"/>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项目负责人：王豪</w:t>
            </w:r>
          </w:p>
        </w:tc>
        <w:tc>
          <w:tcPr>
            <w:tcW w:w="5823" w:type="dxa"/>
            <w:gridSpan w:val="10"/>
            <w:tcBorders>
              <w:top w:val="single" w:color="000000" w:sz="8" w:space="0"/>
              <w:left w:val="nil"/>
              <w:bottom w:val="single" w:color="000000" w:sz="8" w:space="0"/>
              <w:right w:val="single" w:color="000000" w:sz="8" w:space="0"/>
            </w:tcBorders>
            <w:shd w:val="clear" w:color="auto" w:fill="auto"/>
            <w:vAlign w:val="center"/>
          </w:tcPr>
          <w:p>
            <w:pPr>
              <w:widowControl/>
              <w:jc w:val="left"/>
              <w:rPr>
                <w:color w:val="000000"/>
                <w:kern w:val="0"/>
                <w:sz w:val="18"/>
                <w:szCs w:val="18"/>
              </w:rPr>
            </w:pPr>
            <w:r>
              <w:rPr>
                <w:color w:val="000000"/>
                <w:kern w:val="0"/>
                <w:sz w:val="18"/>
                <w:szCs w:val="18"/>
              </w:rPr>
              <w:t>财务负责人：张群</w:t>
            </w:r>
          </w:p>
        </w:tc>
      </w:tr>
      <w:tr>
        <w:tblPrEx>
          <w:tblCellMar>
            <w:top w:w="0" w:type="dxa"/>
            <w:left w:w="108" w:type="dxa"/>
            <w:bottom w:w="0" w:type="dxa"/>
            <w:right w:w="108" w:type="dxa"/>
          </w:tblCellMar>
        </w:tblPrEx>
        <w:trPr>
          <w:trHeight w:val="270" w:hRule="atLeast"/>
        </w:trPr>
        <w:tc>
          <w:tcPr>
            <w:tcW w:w="889"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76"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00"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3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61"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94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780" w:type="dxa"/>
            <w:gridSpan w:val="2"/>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c>
          <w:tcPr>
            <w:tcW w:w="1026" w:type="dxa"/>
            <w:tcBorders>
              <w:top w:val="nil"/>
              <w:left w:val="nil"/>
              <w:bottom w:val="nil"/>
              <w:right w:val="nil"/>
            </w:tcBorders>
            <w:shd w:val="clear" w:color="auto" w:fill="auto"/>
            <w:vAlign w:val="center"/>
          </w:tcPr>
          <w:p>
            <w:pPr>
              <w:widowControl/>
              <w:jc w:val="left"/>
              <w:rPr>
                <w:rFonts w:ascii="宋体" w:hAnsi="宋体" w:cs="宋体"/>
                <w:color w:val="000000"/>
                <w:kern w:val="0"/>
                <w:sz w:val="18"/>
                <w:szCs w:val="18"/>
              </w:rPr>
            </w:pPr>
          </w:p>
        </w:tc>
      </w:tr>
      <w:tr>
        <w:tblPrEx>
          <w:tblCellMar>
            <w:top w:w="0" w:type="dxa"/>
            <w:left w:w="108" w:type="dxa"/>
            <w:bottom w:w="0" w:type="dxa"/>
            <w:right w:w="108" w:type="dxa"/>
          </w:tblCellMar>
        </w:tblPrEx>
        <w:trPr>
          <w:trHeight w:val="270" w:hRule="atLeast"/>
        </w:trPr>
        <w:tc>
          <w:tcPr>
            <w:tcW w:w="10810" w:type="dxa"/>
            <w:gridSpan w:val="19"/>
            <w:tcBorders>
              <w:top w:val="nil"/>
              <w:left w:val="nil"/>
              <w:bottom w:val="nil"/>
              <w:right w:val="nil"/>
            </w:tcBorders>
            <w:shd w:val="clear" w:color="auto" w:fill="auto"/>
            <w:vAlign w:val="center"/>
          </w:tcPr>
          <w:p>
            <w:pPr>
              <w:widowControl/>
              <w:jc w:val="left"/>
              <w:rPr>
                <w:rFonts w:ascii="宋体" w:hAnsi="宋体" w:cs="宋体"/>
                <w:kern w:val="0"/>
                <w:sz w:val="18"/>
                <w:szCs w:val="18"/>
              </w:rPr>
            </w:pPr>
            <w:r>
              <w:rPr>
                <w:rFonts w:hint="eastAsia" w:ascii="宋体" w:hAnsi="宋体" w:cs="宋体"/>
                <w:kern w:val="0"/>
                <w:sz w:val="18"/>
                <w:szCs w:val="18"/>
              </w:rPr>
              <w:t>1、报表说明:该报表查询项目信息、绩效目标信息、预算及执行情况，用于预算</w:t>
            </w:r>
            <w:r>
              <w:rPr>
                <w:rFonts w:hint="eastAsia" w:ascii="宋体" w:hAnsi="宋体" w:cs="宋体"/>
                <w:kern w:val="0"/>
                <w:sz w:val="18"/>
                <w:szCs w:val="18"/>
                <w:lang w:eastAsia="zh-CN"/>
              </w:rPr>
              <w:t>部门</w:t>
            </w:r>
            <w:r>
              <w:rPr>
                <w:rFonts w:hint="eastAsia" w:ascii="宋体" w:hAnsi="宋体" w:cs="宋体"/>
                <w:kern w:val="0"/>
                <w:sz w:val="18"/>
                <w:szCs w:val="18"/>
              </w:rPr>
              <w:t>查询导出开展项目自评。</w:t>
            </w:r>
          </w:p>
        </w:tc>
      </w:tr>
      <w:tr>
        <w:tblPrEx>
          <w:tblCellMar>
            <w:top w:w="0" w:type="dxa"/>
            <w:left w:w="108" w:type="dxa"/>
            <w:bottom w:w="0" w:type="dxa"/>
            <w:right w:w="108" w:type="dxa"/>
          </w:tblCellMar>
        </w:tblPrEx>
        <w:trPr>
          <w:trHeight w:val="270" w:hRule="atLeast"/>
        </w:trPr>
        <w:tc>
          <w:tcPr>
            <w:tcW w:w="10810" w:type="dxa"/>
            <w:gridSpan w:val="19"/>
            <w:tcBorders>
              <w:top w:val="nil"/>
              <w:left w:val="nil"/>
              <w:bottom w:val="nil"/>
              <w:right w:val="nil"/>
            </w:tcBorders>
            <w:shd w:val="clear" w:color="auto" w:fill="auto"/>
            <w:vAlign w:val="center"/>
          </w:tcPr>
          <w:p>
            <w:pPr>
              <w:widowControl/>
              <w:jc w:val="left"/>
              <w:rPr>
                <w:rFonts w:ascii="宋体" w:hAnsi="宋体" w:cs="宋体"/>
                <w:kern w:val="0"/>
                <w:sz w:val="18"/>
                <w:szCs w:val="18"/>
              </w:rPr>
            </w:pPr>
            <w:r>
              <w:rPr>
                <w:rFonts w:hint="eastAsia" w:ascii="宋体" w:hAnsi="宋体" w:cs="宋体"/>
                <w:kern w:val="0"/>
                <w:sz w:val="18"/>
                <w:szCs w:val="18"/>
              </w:rPr>
              <w:t>2、取数口径：部门项目绩效目标表信息，包括年初预算、追加预算、结转预算和调整预算的绩效目标（以项目的最终绩效目标为准）。</w:t>
            </w:r>
          </w:p>
        </w:tc>
      </w:tr>
      <w:tr>
        <w:tblPrEx>
          <w:tblCellMar>
            <w:top w:w="0" w:type="dxa"/>
            <w:left w:w="108" w:type="dxa"/>
            <w:bottom w:w="0" w:type="dxa"/>
            <w:right w:w="108" w:type="dxa"/>
          </w:tblCellMar>
        </w:tblPrEx>
        <w:trPr>
          <w:trHeight w:val="270" w:hRule="atLeast"/>
        </w:trPr>
        <w:tc>
          <w:tcPr>
            <w:tcW w:w="10810" w:type="dxa"/>
            <w:gridSpan w:val="19"/>
            <w:tcBorders>
              <w:top w:val="nil"/>
              <w:left w:val="nil"/>
              <w:bottom w:val="nil"/>
              <w:right w:val="nil"/>
            </w:tcBorders>
            <w:shd w:val="clear" w:color="auto" w:fill="auto"/>
            <w:vAlign w:val="center"/>
          </w:tcPr>
          <w:p>
            <w:pPr>
              <w:widowControl/>
              <w:jc w:val="left"/>
              <w:rPr>
                <w:rFonts w:ascii="宋体" w:hAnsi="宋体" w:cs="宋体"/>
                <w:kern w:val="0"/>
                <w:sz w:val="18"/>
                <w:szCs w:val="18"/>
              </w:rPr>
            </w:pPr>
            <w:r>
              <w:rPr>
                <w:rFonts w:hint="eastAsia" w:ascii="宋体" w:hAnsi="宋体" w:cs="宋体"/>
                <w:kern w:val="0"/>
                <w:sz w:val="18"/>
                <w:szCs w:val="18"/>
              </w:rPr>
              <w:t>适用地区：全省范围</w:t>
            </w:r>
          </w:p>
        </w:tc>
      </w:tr>
      <w:tr>
        <w:tblPrEx>
          <w:tblCellMar>
            <w:top w:w="0" w:type="dxa"/>
            <w:left w:w="108" w:type="dxa"/>
            <w:bottom w:w="0" w:type="dxa"/>
            <w:right w:w="108" w:type="dxa"/>
          </w:tblCellMar>
        </w:tblPrEx>
        <w:trPr>
          <w:trHeight w:val="270" w:hRule="atLeast"/>
        </w:trPr>
        <w:tc>
          <w:tcPr>
            <w:tcW w:w="10810" w:type="dxa"/>
            <w:gridSpan w:val="19"/>
            <w:tcBorders>
              <w:top w:val="nil"/>
              <w:left w:val="nil"/>
              <w:bottom w:val="nil"/>
              <w:right w:val="nil"/>
            </w:tcBorders>
            <w:shd w:val="clear" w:color="auto" w:fill="auto"/>
            <w:vAlign w:val="center"/>
          </w:tcPr>
          <w:p>
            <w:pPr>
              <w:widowControl/>
              <w:jc w:val="left"/>
              <w:rPr>
                <w:rFonts w:ascii="宋体" w:hAnsi="宋体" w:cs="宋体"/>
                <w:kern w:val="0"/>
                <w:sz w:val="18"/>
                <w:szCs w:val="18"/>
              </w:rPr>
            </w:pPr>
            <w:r>
              <w:rPr>
                <w:rFonts w:hint="eastAsia" w:ascii="宋体" w:hAnsi="宋体" w:cs="宋体"/>
                <w:kern w:val="0"/>
                <w:sz w:val="18"/>
                <w:szCs w:val="18"/>
              </w:rPr>
              <w:t>适用用户：部门用户、</w:t>
            </w:r>
            <w:r>
              <w:rPr>
                <w:rFonts w:hint="eastAsia" w:ascii="宋体" w:hAnsi="宋体" w:cs="宋体"/>
                <w:kern w:val="0"/>
                <w:sz w:val="18"/>
                <w:szCs w:val="18"/>
                <w:lang w:eastAsia="zh-CN"/>
              </w:rPr>
              <w:t>部门</w:t>
            </w:r>
            <w:r>
              <w:rPr>
                <w:rFonts w:hint="eastAsia" w:ascii="宋体" w:hAnsi="宋体" w:cs="宋体"/>
                <w:kern w:val="0"/>
                <w:sz w:val="18"/>
                <w:szCs w:val="18"/>
              </w:rPr>
              <w:t>用户</w:t>
            </w:r>
          </w:p>
        </w:tc>
      </w:tr>
    </w:tbl>
    <w:p>
      <w:pPr>
        <w:spacing w:line="600" w:lineRule="exact"/>
        <w:jc w:val="left"/>
        <w:outlineLvl w:val="9"/>
        <w:rPr>
          <w:rFonts w:ascii="黑体" w:hAnsi="黑体" w:eastAsia="黑体"/>
          <w:sz w:val="44"/>
          <w:szCs w:val="44"/>
        </w:rPr>
      </w:pPr>
    </w:p>
    <w:p>
      <w:pPr>
        <w:spacing w:line="600" w:lineRule="exact"/>
        <w:jc w:val="center"/>
        <w:outlineLvl w:val="9"/>
        <w:rPr>
          <w:rFonts w:ascii="黑体" w:hAnsi="黑体" w:eastAsia="黑体"/>
          <w:sz w:val="44"/>
          <w:szCs w:val="44"/>
        </w:rPr>
      </w:pPr>
    </w:p>
    <w:p>
      <w:pPr>
        <w:spacing w:line="600" w:lineRule="exact"/>
        <w:jc w:val="center"/>
        <w:outlineLvl w:val="0"/>
        <w:rPr>
          <w:rStyle w:val="29"/>
          <w:rFonts w:ascii="黑体" w:hAnsi="黑体" w:eastAsia="黑体"/>
          <w:b w:val="0"/>
        </w:rPr>
      </w:pPr>
      <w:bookmarkStart w:id="50" w:name="_Toc8983"/>
      <w:r>
        <w:rPr>
          <w:rFonts w:hint="eastAsia" w:ascii="黑体" w:hAnsi="黑体" w:eastAsia="黑体"/>
          <w:sz w:val="44"/>
          <w:szCs w:val="44"/>
        </w:rPr>
        <w:t>第</w:t>
      </w:r>
      <w:r>
        <w:rPr>
          <w:rStyle w:val="29"/>
          <w:rFonts w:hint="eastAsia" w:ascii="黑体" w:hAnsi="黑体" w:eastAsia="黑体"/>
          <w:b w:val="0"/>
        </w:rPr>
        <w:t>五部分 附表</w:t>
      </w:r>
      <w:bookmarkEnd w:id="46"/>
      <w:bookmarkEnd w:id="48"/>
      <w:bookmarkEnd w:id="50"/>
      <w:bookmarkStart w:id="51" w:name="_Toc15396619"/>
    </w:p>
    <w:p>
      <w:pPr>
        <w:pStyle w:val="2"/>
        <w:spacing w:before="93"/>
      </w:pPr>
    </w:p>
    <w:bookmarkEnd w:id="51"/>
    <w:p>
      <w:pPr>
        <w:pStyle w:val="14"/>
        <w:adjustRightInd w:val="0"/>
        <w:snapToGrid w:val="0"/>
        <w:spacing w:line="440" w:lineRule="exact"/>
        <w:jc w:val="left"/>
        <w:rPr>
          <w:rFonts w:ascii="仿宋_GB2312" w:eastAsia="仿宋_GB2312"/>
          <w:sz w:val="36"/>
          <w:szCs w:val="36"/>
        </w:rPr>
      </w:pPr>
      <w:r>
        <w:rPr>
          <w:rFonts w:hint="eastAsia" w:ascii="仿宋_GB2312" w:eastAsia="仿宋_GB2312"/>
          <w:sz w:val="36"/>
          <w:szCs w:val="36"/>
        </w:rPr>
        <w:t>一、收入支出决算总表</w:t>
      </w:r>
    </w:p>
    <w:p>
      <w:pPr>
        <w:pStyle w:val="14"/>
        <w:adjustRightInd w:val="0"/>
        <w:snapToGrid w:val="0"/>
        <w:spacing w:line="440" w:lineRule="exact"/>
        <w:jc w:val="left"/>
        <w:rPr>
          <w:rFonts w:ascii="仿宋_GB2312" w:eastAsia="仿宋_GB2312"/>
          <w:sz w:val="36"/>
          <w:szCs w:val="36"/>
        </w:rPr>
      </w:pPr>
      <w:r>
        <w:rPr>
          <w:rFonts w:hint="eastAsia" w:ascii="仿宋_GB2312" w:eastAsia="仿宋_GB2312"/>
          <w:sz w:val="36"/>
          <w:szCs w:val="36"/>
        </w:rPr>
        <w:t>二、收入决算表</w:t>
      </w:r>
    </w:p>
    <w:p>
      <w:pPr>
        <w:pStyle w:val="14"/>
        <w:adjustRightInd w:val="0"/>
        <w:snapToGrid w:val="0"/>
        <w:spacing w:line="440" w:lineRule="exact"/>
        <w:jc w:val="left"/>
        <w:rPr>
          <w:rFonts w:ascii="仿宋_GB2312" w:eastAsia="仿宋_GB2312"/>
          <w:sz w:val="36"/>
          <w:szCs w:val="36"/>
        </w:rPr>
      </w:pPr>
      <w:r>
        <w:rPr>
          <w:rFonts w:hint="eastAsia" w:ascii="仿宋_GB2312" w:eastAsia="仿宋_GB2312"/>
          <w:sz w:val="36"/>
          <w:szCs w:val="36"/>
        </w:rPr>
        <w:t>三、支出决算表</w:t>
      </w:r>
    </w:p>
    <w:p>
      <w:pPr>
        <w:pStyle w:val="14"/>
        <w:adjustRightInd w:val="0"/>
        <w:snapToGrid w:val="0"/>
        <w:spacing w:line="440" w:lineRule="exact"/>
        <w:jc w:val="left"/>
        <w:rPr>
          <w:rFonts w:ascii="仿宋_GB2312" w:eastAsia="仿宋_GB2312"/>
          <w:sz w:val="36"/>
          <w:szCs w:val="36"/>
        </w:rPr>
      </w:pPr>
      <w:r>
        <w:rPr>
          <w:rFonts w:hint="eastAsia" w:ascii="仿宋_GB2312" w:eastAsia="仿宋_GB2312"/>
          <w:sz w:val="36"/>
          <w:szCs w:val="36"/>
        </w:rPr>
        <w:t>四、财政拨款收入支出决算总表</w:t>
      </w:r>
    </w:p>
    <w:p>
      <w:pPr>
        <w:pStyle w:val="14"/>
        <w:adjustRightInd w:val="0"/>
        <w:snapToGrid w:val="0"/>
        <w:spacing w:line="440" w:lineRule="exact"/>
        <w:jc w:val="left"/>
        <w:rPr>
          <w:rFonts w:ascii="仿宋_GB2312" w:eastAsia="仿宋_GB2312"/>
          <w:sz w:val="36"/>
          <w:szCs w:val="36"/>
        </w:rPr>
      </w:pPr>
      <w:r>
        <w:rPr>
          <w:rFonts w:hint="eastAsia" w:ascii="仿宋_GB2312" w:eastAsia="仿宋_GB2312"/>
          <w:sz w:val="36"/>
          <w:szCs w:val="36"/>
        </w:rPr>
        <w:t>五、财政拨款支出决算明细表</w:t>
      </w:r>
    </w:p>
    <w:p>
      <w:pPr>
        <w:pStyle w:val="14"/>
        <w:adjustRightInd w:val="0"/>
        <w:snapToGrid w:val="0"/>
        <w:spacing w:line="440" w:lineRule="exact"/>
        <w:jc w:val="left"/>
        <w:rPr>
          <w:rFonts w:ascii="仿宋_GB2312" w:eastAsia="仿宋_GB2312"/>
          <w:sz w:val="36"/>
          <w:szCs w:val="36"/>
        </w:rPr>
      </w:pPr>
      <w:r>
        <w:rPr>
          <w:rFonts w:hint="eastAsia" w:ascii="仿宋_GB2312" w:eastAsia="仿宋_GB2312"/>
          <w:sz w:val="36"/>
          <w:szCs w:val="36"/>
        </w:rPr>
        <w:t>六、一般公共预算财政拨款支出决算表</w:t>
      </w:r>
    </w:p>
    <w:p>
      <w:pPr>
        <w:pStyle w:val="14"/>
        <w:adjustRightInd w:val="0"/>
        <w:snapToGrid w:val="0"/>
        <w:spacing w:line="440" w:lineRule="exact"/>
        <w:jc w:val="left"/>
        <w:rPr>
          <w:rFonts w:ascii="仿宋_GB2312" w:eastAsia="仿宋_GB2312"/>
          <w:sz w:val="36"/>
          <w:szCs w:val="36"/>
        </w:rPr>
      </w:pPr>
      <w:r>
        <w:rPr>
          <w:rFonts w:hint="eastAsia" w:ascii="仿宋_GB2312" w:eastAsia="仿宋_GB2312"/>
          <w:sz w:val="36"/>
          <w:szCs w:val="36"/>
        </w:rPr>
        <w:t>七、一般公共预算财政拨款支出决算明细表</w:t>
      </w:r>
    </w:p>
    <w:p>
      <w:pPr>
        <w:pStyle w:val="14"/>
        <w:adjustRightInd w:val="0"/>
        <w:snapToGrid w:val="0"/>
        <w:spacing w:line="440" w:lineRule="exact"/>
        <w:jc w:val="left"/>
        <w:rPr>
          <w:rFonts w:ascii="仿宋_GB2312" w:eastAsia="仿宋_GB2312"/>
          <w:sz w:val="36"/>
          <w:szCs w:val="36"/>
        </w:rPr>
      </w:pPr>
      <w:r>
        <w:rPr>
          <w:rFonts w:hint="eastAsia" w:ascii="仿宋_GB2312" w:eastAsia="仿宋_GB2312"/>
          <w:sz w:val="36"/>
          <w:szCs w:val="36"/>
        </w:rPr>
        <w:t>八、一般公共预算财政拨款基本支出决算明细表</w:t>
      </w:r>
    </w:p>
    <w:p>
      <w:pPr>
        <w:pStyle w:val="14"/>
        <w:adjustRightInd w:val="0"/>
        <w:snapToGrid w:val="0"/>
        <w:spacing w:line="440" w:lineRule="exact"/>
        <w:jc w:val="left"/>
        <w:rPr>
          <w:rFonts w:ascii="仿宋_GB2312" w:eastAsia="仿宋_GB2312"/>
          <w:sz w:val="36"/>
          <w:szCs w:val="36"/>
        </w:rPr>
      </w:pPr>
      <w:r>
        <w:rPr>
          <w:rFonts w:hint="eastAsia" w:ascii="仿宋_GB2312" w:eastAsia="仿宋_GB2312"/>
          <w:sz w:val="36"/>
          <w:szCs w:val="36"/>
        </w:rPr>
        <w:t>九、一般公共预算财政拨款项目支出决算表</w:t>
      </w:r>
    </w:p>
    <w:p>
      <w:pPr>
        <w:pStyle w:val="14"/>
        <w:adjustRightInd w:val="0"/>
        <w:snapToGrid w:val="0"/>
        <w:spacing w:line="440" w:lineRule="exact"/>
        <w:jc w:val="left"/>
        <w:rPr>
          <w:rFonts w:ascii="仿宋_GB2312" w:eastAsia="仿宋_GB2312"/>
          <w:sz w:val="36"/>
          <w:szCs w:val="36"/>
        </w:rPr>
      </w:pPr>
      <w:r>
        <w:rPr>
          <w:rFonts w:hint="eastAsia" w:ascii="仿宋_GB2312" w:eastAsia="仿宋_GB2312"/>
          <w:sz w:val="36"/>
          <w:szCs w:val="36"/>
        </w:rPr>
        <w:t>十、政府性基金预算财政拨款收入支出决算表</w:t>
      </w:r>
    </w:p>
    <w:p>
      <w:pPr>
        <w:pStyle w:val="14"/>
        <w:adjustRightInd w:val="0"/>
        <w:snapToGrid w:val="0"/>
        <w:spacing w:line="440" w:lineRule="exact"/>
        <w:jc w:val="left"/>
        <w:rPr>
          <w:rFonts w:ascii="仿宋_GB2312" w:eastAsia="仿宋_GB2312"/>
          <w:sz w:val="36"/>
          <w:szCs w:val="36"/>
        </w:rPr>
      </w:pPr>
      <w:r>
        <w:rPr>
          <w:rFonts w:hint="eastAsia" w:ascii="仿宋_GB2312" w:eastAsia="仿宋_GB2312"/>
          <w:sz w:val="36"/>
          <w:szCs w:val="36"/>
        </w:rPr>
        <w:t>十一、国有资本经营预算财政拨款收入支出决算表</w:t>
      </w:r>
    </w:p>
    <w:p>
      <w:pPr>
        <w:pStyle w:val="14"/>
        <w:adjustRightInd w:val="0"/>
        <w:snapToGrid w:val="0"/>
        <w:spacing w:line="440" w:lineRule="exact"/>
        <w:jc w:val="left"/>
        <w:rPr>
          <w:rFonts w:ascii="仿宋_GB2312" w:eastAsia="仿宋_GB2312"/>
          <w:sz w:val="36"/>
          <w:szCs w:val="36"/>
        </w:rPr>
      </w:pPr>
      <w:r>
        <w:rPr>
          <w:rFonts w:hint="eastAsia" w:ascii="仿宋_GB2312" w:eastAsia="仿宋_GB2312"/>
          <w:sz w:val="36"/>
          <w:szCs w:val="36"/>
        </w:rPr>
        <w:t>十二、国有资本经营预算财政拨款支出决算表</w:t>
      </w:r>
    </w:p>
    <w:p>
      <w:pPr>
        <w:pStyle w:val="14"/>
        <w:adjustRightInd w:val="0"/>
        <w:snapToGrid w:val="0"/>
        <w:spacing w:line="440" w:lineRule="exact"/>
        <w:jc w:val="left"/>
        <w:rPr>
          <w:rFonts w:ascii="仿宋_GB2312" w:eastAsia="仿宋_GB2312" w:hAnsiTheme="minorEastAsia" w:cstheme="minorEastAsia"/>
          <w:sz w:val="36"/>
          <w:szCs w:val="36"/>
        </w:rPr>
      </w:pPr>
      <w:r>
        <w:rPr>
          <w:rFonts w:hint="eastAsia" w:ascii="仿宋_GB2312" w:eastAsia="仿宋_GB2312"/>
          <w:sz w:val="36"/>
          <w:szCs w:val="36"/>
        </w:rPr>
        <w:t>十三、财政拨款“三公”经费支出决算表</w:t>
      </w:r>
    </w:p>
    <w:p>
      <w:pPr>
        <w:pStyle w:val="4"/>
        <w:outlineLvl w:val="9"/>
        <w:rPr>
          <w:rFonts w:eastAsia="仿宋"/>
        </w:rPr>
      </w:pPr>
    </w:p>
    <w:sectPr>
      <w:headerReference r:id="rId9" w:type="default"/>
      <w:footerReference r:id="rId10" w:type="default"/>
      <w:pgSz w:w="11906" w:h="16838"/>
      <w:pgMar w:top="1440" w:right="1800" w:bottom="1440" w:left="1800" w:header="851" w:footer="992" w:gutter="0"/>
      <w:pgNumType w:start="1"/>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Lucida Sans"/>
    <w:panose1 w:val="020F0502020204030204"/>
    <w:charset w:val="00"/>
    <w:family w:val="swiss"/>
    <w:pitch w:val="default"/>
    <w:sig w:usb0="00000000" w:usb1="00000000" w:usb2="00000001" w:usb3="00000000" w:csb0="0000019F" w:csb1="00000000"/>
  </w:font>
  <w:font w:name="Cambria">
    <w:altName w:val="Noto Sans Syriac Eastern"/>
    <w:panose1 w:val="02040503050406030204"/>
    <w:charset w:val="00"/>
    <w:family w:val="roman"/>
    <w:pitch w:val="default"/>
    <w:sig w:usb0="00000000" w:usb1="00000000"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仿宋">
    <w:altName w:val="宋体"/>
    <w:panose1 w:val="02010609060101010101"/>
    <w:charset w:val="86"/>
    <w:family w:val="modern"/>
    <w:pitch w:val="default"/>
    <w:sig w:usb0="00000000" w:usb1="00000000" w:usb2="00000016" w:usb3="00000000" w:csb0="00040001" w:csb1="00000000"/>
  </w:font>
  <w:font w:name="微软雅黑">
    <w:altName w:val="黑体"/>
    <w:panose1 w:val="020B0503020204020204"/>
    <w:charset w:val="86"/>
    <w:family w:val="swiss"/>
    <w:pitch w:val="default"/>
    <w:sig w:usb0="00000000" w:usb1="00000000" w:usb2="00000016" w:usb3="00000000" w:csb0="0004001F" w:csb1="00000000"/>
  </w:font>
  <w:font w:name="方正小标宋简体">
    <w:panose1 w:val="02000000000000000000"/>
    <w:charset w:val="86"/>
    <w:family w:val="auto"/>
    <w:pitch w:val="default"/>
    <w:sig w:usb0="A00002BF" w:usb1="184F6CFA" w:usb2="00000012" w:usb3="00000000" w:csb0="00040001" w:csb1="00000000"/>
  </w:font>
  <w:font w:name="方正舒体">
    <w:altName w:val="宋体"/>
    <w:panose1 w:val="02010601030101010101"/>
    <w:charset w:val="86"/>
    <w:family w:val="auto"/>
    <w:pitch w:val="default"/>
    <w:sig w:usb0="00000000" w:usb1="00000000" w:usb2="00000010" w:usb3="00000000" w:csb0="00040000" w:csb1="00000000"/>
  </w:font>
  <w:font w:name="楷体">
    <w:altName w:val="方正楷体_GBK"/>
    <w:panose1 w:val="02010609060101010101"/>
    <w:charset w:val="86"/>
    <w:family w:val="auto"/>
    <w:pitch w:val="default"/>
    <w:sig w:usb0="00000000" w:usb1="00000000" w:usb2="00000016" w:usb3="00000000" w:csb0="00040001" w:csb1="00000000"/>
  </w:font>
  <w:font w:name="楷体_GB2312">
    <w:panose1 w:val="02010609030101010101"/>
    <w:charset w:val="86"/>
    <w:family w:val="modern"/>
    <w:pitch w:val="default"/>
    <w:sig w:usb0="00000001" w:usb1="080E0000" w:usb2="00000000" w:usb3="00000000" w:csb0="00040000" w:csb1="00000000"/>
  </w:font>
  <w:font w:name="方正大标宋简体">
    <w:altName w:val="宋体"/>
    <w:panose1 w:val="00000000000000000000"/>
    <w:charset w:val="86"/>
    <w:family w:val="script"/>
    <w:pitch w:val="default"/>
    <w:sig w:usb0="00000000" w:usb1="00000000" w:usb2="00000000" w:usb3="00000000" w:csb0="00040000" w:csb1="00000000"/>
  </w:font>
  <w:font w:name="??">
    <w:altName w:val="Courier New"/>
    <w:panose1 w:val="00000000000000000000"/>
    <w:charset w:val="00"/>
    <w:family w:val="auto"/>
    <w:pitch w:val="default"/>
    <w:sig w:usb0="00000000" w:usb1="00000000" w:usb2="00000000" w:usb3="00000000" w:csb0="00040001" w:csb1="00000000"/>
  </w:font>
  <w:font w:name="Lucida Sans">
    <w:panose1 w:val="020B0602030504020204"/>
    <w:charset w:val="00"/>
    <w:family w:val="auto"/>
    <w:pitch w:val="default"/>
    <w:sig w:usb0="00000000" w:usb1="00000000" w:usb2="00000000" w:usb3="00000000" w:csb0="00000000" w:csb1="00000000"/>
  </w:font>
  <w:font w:name="Comic Sans MS">
    <w:panose1 w:val="030F0702030302020204"/>
    <w:charset w:val="00"/>
    <w:family w:val="auto"/>
    <w:pitch w:val="default"/>
    <w:sig w:usb0="00000287" w:usb1="00000000" w:usb2="00000000" w:usb3="00000000" w:csb0="2000009F" w:csb1="00000000"/>
  </w:font>
  <w:font w:name="方正楷体_GBK">
    <w:panose1 w:val="02000000000000000000"/>
    <w:charset w:val="86"/>
    <w:family w:val="auto"/>
    <w:pitch w:val="default"/>
    <w:sig w:usb0="00000001" w:usb1="08000000" w:usb2="00000000" w:usb3="00000000" w:csb0="00040000" w:csb1="00000000"/>
  </w:font>
  <w:font w:name="Noto Sans Syriac Eastern">
    <w:panose1 w:val="02040503050306020203"/>
    <w:charset w:val="86"/>
    <w:family w:val="auto"/>
    <w:pitch w:val="default"/>
    <w:sig w:usb0="00000000" w:usb1="00000000" w:usb2="00000080" w:usb3="00000000" w:csb0="203E0161" w:csb1="D7FF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2353844"/>
      <w:docPartObj>
        <w:docPartGallery w:val="autotext"/>
      </w:docPartObj>
    </w:sdtPr>
    <w:sdtContent>
      <w:p>
        <w:pPr>
          <w:pStyle w:val="10"/>
          <w:jc w:val="center"/>
        </w:pPr>
        <w:r>
          <w:fldChar w:fldCharType="begin"/>
        </w:r>
        <w:r>
          <w:instrText xml:space="preserve"> PAGE   \* MERGEFORMAT </w:instrText>
        </w:r>
        <w:r>
          <w:fldChar w:fldCharType="separate"/>
        </w:r>
        <w:r>
          <w:rPr>
            <w:lang w:val="zh-CN"/>
          </w:rPr>
          <w:t>2</w:t>
        </w:r>
        <w:r>
          <w:rPr>
            <w:lang w:val="zh-CN"/>
          </w:rPr>
          <w:fldChar w:fldCharType="end"/>
        </w:r>
      </w:p>
    </w:sdtContent>
  </w:sdt>
  <w:p>
    <w:pPr>
      <w:pStyle w:val="1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94781956"/>
    </w:sdtPr>
    <w:sdtContent>
      <w:p>
        <w:pPr>
          <w:pStyle w:val="10"/>
          <w:jc w:val="center"/>
        </w:pPr>
        <w:r>
          <w:fldChar w:fldCharType="begin"/>
        </w:r>
        <w:r>
          <w:instrText xml:space="preserve">PAGE   \* MERGEFORMAT</w:instrText>
        </w:r>
        <w:r>
          <w:fldChar w:fldCharType="separate"/>
        </w:r>
        <w:r>
          <w:rPr>
            <w:lang w:val="zh-CN"/>
          </w:rPr>
          <w:t>2</w:t>
        </w:r>
        <w:r>
          <w:rPr>
            <w:lang w:val="zh-CN"/>
          </w:rPr>
          <w:fldChar w:fldCharType="end"/>
        </w:r>
      </w:p>
    </w:sdtContent>
  </w:sdt>
  <w:p>
    <w:pPr>
      <w:pStyle w:val="1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2FA047D"/>
    <w:multiLevelType w:val="singleLevel"/>
    <w:tmpl w:val="E2FA047D"/>
    <w:lvl w:ilvl="0" w:tentative="0">
      <w:start w:val="3"/>
      <w:numFmt w:val="chineseCounting"/>
      <w:suff w:val="space"/>
      <w:lvlText w:val="第%1部分"/>
      <w:lvlJc w:val="left"/>
      <w:rPr>
        <w:rFonts w:hint="eastAsia" w:ascii="黑体" w:hAnsi="黑体" w:eastAsia="黑体" w:cs="黑体"/>
        <w:sz w:val="44"/>
        <w:szCs w:val="44"/>
      </w:rPr>
    </w:lvl>
  </w:abstractNum>
  <w:abstractNum w:abstractNumId="1">
    <w:nsid w:val="E5BB7935"/>
    <w:multiLevelType w:val="singleLevel"/>
    <w:tmpl w:val="E5BB7935"/>
    <w:lvl w:ilvl="0" w:tentative="0">
      <w:start w:val="2"/>
      <w:numFmt w:val="chineseCounting"/>
      <w:suff w:val="nothing"/>
      <w:lvlText w:val="（%1）"/>
      <w:lvlJc w:val="left"/>
      <w:rPr>
        <w:rFonts w:hint="eastAsia"/>
      </w:rPr>
    </w:lvl>
  </w:abstractNum>
  <w:abstractNum w:abstractNumId="2">
    <w:nsid w:val="439A341B"/>
    <w:multiLevelType w:val="multilevel"/>
    <w:tmpl w:val="439A341B"/>
    <w:lvl w:ilvl="0" w:tentative="0">
      <w:start w:val="1"/>
      <w:numFmt w:val="decimal"/>
      <w:lvlText w:val="%1."/>
      <w:lvlJc w:val="left"/>
      <w:pPr>
        <w:ind w:left="1000" w:hanging="360"/>
      </w:pPr>
      <w:rPr>
        <w:rFonts w:hint="default"/>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3">
    <w:nsid w:val="459C2D63"/>
    <w:multiLevelType w:val="singleLevel"/>
    <w:tmpl w:val="459C2D63"/>
    <w:lvl w:ilvl="0" w:tentative="0">
      <w:start w:val="2"/>
      <w:numFmt w:val="chineseCounting"/>
      <w:suff w:val="nothing"/>
      <w:lvlText w:val="（%1）"/>
      <w:lvlJc w:val="left"/>
      <w:rPr>
        <w:rFonts w:hint="eastAsia"/>
      </w:rPr>
    </w:lvl>
  </w:abstractNum>
  <w:abstractNum w:abstractNumId="4">
    <w:nsid w:val="55E53E0A"/>
    <w:multiLevelType w:val="singleLevel"/>
    <w:tmpl w:val="55E53E0A"/>
    <w:lvl w:ilvl="0" w:tentative="0">
      <w:start w:val="2"/>
      <w:numFmt w:val="chineseCounting"/>
      <w:suff w:val="nothing"/>
      <w:lvlText w:val="（%1）"/>
      <w:lvlJc w:val="left"/>
      <w:rPr>
        <w:rFonts w:hint="eastAsia"/>
      </w:rPr>
    </w:lvl>
  </w:abstractNum>
  <w:abstractNum w:abstractNumId="5">
    <w:nsid w:val="57786EA7"/>
    <w:multiLevelType w:val="singleLevel"/>
    <w:tmpl w:val="57786EA7"/>
    <w:lvl w:ilvl="0" w:tentative="0">
      <w:start w:val="2"/>
      <w:numFmt w:val="chineseCounting"/>
      <w:suff w:val="nothing"/>
      <w:lvlText w:val="（%1）"/>
      <w:lvlJc w:val="left"/>
      <w:rPr>
        <w:rFonts w:hint="eastAsia"/>
      </w:rPr>
    </w:lvl>
  </w:abstractNum>
  <w:abstractNum w:abstractNumId="6">
    <w:nsid w:val="59BCB486"/>
    <w:multiLevelType w:val="singleLevel"/>
    <w:tmpl w:val="59BCB486"/>
    <w:lvl w:ilvl="0" w:tentative="0">
      <w:start w:val="2"/>
      <w:numFmt w:val="chineseCounting"/>
      <w:suff w:val="nothing"/>
      <w:lvlText w:val="（%1）"/>
      <w:lvlJc w:val="left"/>
      <w:rPr>
        <w:rFonts w:hint="eastAsia"/>
      </w:rPr>
    </w:lvl>
  </w:abstractNum>
  <w:abstractNum w:abstractNumId="7">
    <w:nsid w:val="668719A5"/>
    <w:multiLevelType w:val="singleLevel"/>
    <w:tmpl w:val="668719A5"/>
    <w:lvl w:ilvl="0" w:tentative="0">
      <w:start w:val="2"/>
      <w:numFmt w:val="chineseCounting"/>
      <w:suff w:val="nothing"/>
      <w:lvlText w:val="（%1）"/>
      <w:lvlJc w:val="left"/>
      <w:rPr>
        <w:rFonts w:hint="eastAsia"/>
      </w:rPr>
    </w:lvl>
  </w:abstractNum>
  <w:abstractNum w:abstractNumId="8">
    <w:nsid w:val="6B3949A0"/>
    <w:multiLevelType w:val="multilevel"/>
    <w:tmpl w:val="6B3949A0"/>
    <w:lvl w:ilvl="0" w:tentative="0">
      <w:start w:val="1"/>
      <w:numFmt w:val="japaneseCounting"/>
      <w:lvlText w:val="%1、"/>
      <w:lvlJc w:val="left"/>
      <w:pPr>
        <w:ind w:left="1425" w:hanging="795"/>
      </w:pPr>
      <w:rPr>
        <w:rFonts w:hint="default" w:hAnsi="Times New Roman" w:cs="Times New Roman"/>
        <w:b w:val="0"/>
        <w:color w:val="000000"/>
      </w:rPr>
    </w:lvl>
    <w:lvl w:ilvl="1" w:tentative="0">
      <w:start w:val="1"/>
      <w:numFmt w:val="lowerLetter"/>
      <w:lvlText w:val="%2)"/>
      <w:lvlJc w:val="left"/>
      <w:pPr>
        <w:ind w:left="1470" w:hanging="420"/>
      </w:pPr>
    </w:lvl>
    <w:lvl w:ilvl="2" w:tentative="0">
      <w:start w:val="1"/>
      <w:numFmt w:val="lowerRoman"/>
      <w:lvlText w:val="%3."/>
      <w:lvlJc w:val="right"/>
      <w:pPr>
        <w:ind w:left="1890" w:hanging="420"/>
      </w:pPr>
    </w:lvl>
    <w:lvl w:ilvl="3" w:tentative="0">
      <w:start w:val="1"/>
      <w:numFmt w:val="decimal"/>
      <w:lvlText w:val="%4."/>
      <w:lvlJc w:val="left"/>
      <w:pPr>
        <w:ind w:left="2310" w:hanging="420"/>
      </w:pPr>
    </w:lvl>
    <w:lvl w:ilvl="4" w:tentative="0">
      <w:start w:val="1"/>
      <w:numFmt w:val="lowerLetter"/>
      <w:lvlText w:val="%5)"/>
      <w:lvlJc w:val="left"/>
      <w:pPr>
        <w:ind w:left="2730" w:hanging="420"/>
      </w:pPr>
    </w:lvl>
    <w:lvl w:ilvl="5" w:tentative="0">
      <w:start w:val="1"/>
      <w:numFmt w:val="lowerRoman"/>
      <w:lvlText w:val="%6."/>
      <w:lvlJc w:val="right"/>
      <w:pPr>
        <w:ind w:left="3150" w:hanging="420"/>
      </w:pPr>
    </w:lvl>
    <w:lvl w:ilvl="6" w:tentative="0">
      <w:start w:val="1"/>
      <w:numFmt w:val="decimal"/>
      <w:lvlText w:val="%7."/>
      <w:lvlJc w:val="left"/>
      <w:pPr>
        <w:ind w:left="3570" w:hanging="420"/>
      </w:pPr>
    </w:lvl>
    <w:lvl w:ilvl="7" w:tentative="0">
      <w:start w:val="1"/>
      <w:numFmt w:val="lowerLetter"/>
      <w:lvlText w:val="%8)"/>
      <w:lvlJc w:val="left"/>
      <w:pPr>
        <w:ind w:left="3990" w:hanging="420"/>
      </w:pPr>
    </w:lvl>
    <w:lvl w:ilvl="8" w:tentative="0">
      <w:start w:val="1"/>
      <w:numFmt w:val="lowerRoman"/>
      <w:lvlText w:val="%9."/>
      <w:lvlJc w:val="right"/>
      <w:pPr>
        <w:ind w:left="4410" w:hanging="420"/>
      </w:pPr>
    </w:lvl>
  </w:abstractNum>
  <w:abstractNum w:abstractNumId="9">
    <w:nsid w:val="710B07BB"/>
    <w:multiLevelType w:val="singleLevel"/>
    <w:tmpl w:val="710B07BB"/>
    <w:lvl w:ilvl="0" w:tentative="0">
      <w:start w:val="2"/>
      <w:numFmt w:val="chineseCounting"/>
      <w:suff w:val="nothing"/>
      <w:lvlText w:val="（%1）"/>
      <w:lvlJc w:val="left"/>
      <w:rPr>
        <w:rFonts w:hint="eastAsia"/>
      </w:rPr>
    </w:lvl>
  </w:abstractNum>
  <w:num w:numId="1">
    <w:abstractNumId w:val="8"/>
  </w:num>
  <w:num w:numId="2">
    <w:abstractNumId w:val="2"/>
  </w:num>
  <w:num w:numId="3">
    <w:abstractNumId w:val="0"/>
  </w:num>
  <w:num w:numId="4">
    <w:abstractNumId w:val="4"/>
  </w:num>
  <w:num w:numId="5">
    <w:abstractNumId w:val="6"/>
  </w:num>
  <w:num w:numId="6">
    <w:abstractNumId w:val="1"/>
  </w:num>
  <w:num w:numId="7">
    <w:abstractNumId w:val="5"/>
  </w:num>
  <w:num w:numId="8">
    <w:abstractNumId w:val="9"/>
  </w:num>
  <w:num w:numId="9">
    <w:abstractNumId w:val="3"/>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true"/>
  <w:bordersDoNotSurroundFooter w:val="true"/>
  <w:hideSpellingErrors/>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NTUzOTJlMTJjZTQ0ODNmMTdkYmI0ZTdlMDNhOWNmNDcifQ=="/>
  </w:docVars>
  <w:rsids>
    <w:rsidRoot w:val="00F1361C"/>
    <w:rsid w:val="00004F1F"/>
    <w:rsid w:val="000108FD"/>
    <w:rsid w:val="00011320"/>
    <w:rsid w:val="000172E1"/>
    <w:rsid w:val="000222C6"/>
    <w:rsid w:val="0002549F"/>
    <w:rsid w:val="00026D23"/>
    <w:rsid w:val="0003405D"/>
    <w:rsid w:val="00043868"/>
    <w:rsid w:val="000468DB"/>
    <w:rsid w:val="0006487A"/>
    <w:rsid w:val="00065F8F"/>
    <w:rsid w:val="00070A43"/>
    <w:rsid w:val="00070D78"/>
    <w:rsid w:val="000768F2"/>
    <w:rsid w:val="00081985"/>
    <w:rsid w:val="00081B5D"/>
    <w:rsid w:val="00082989"/>
    <w:rsid w:val="0009184B"/>
    <w:rsid w:val="00092CEE"/>
    <w:rsid w:val="00094236"/>
    <w:rsid w:val="0009593C"/>
    <w:rsid w:val="00096635"/>
    <w:rsid w:val="00097322"/>
    <w:rsid w:val="000A2B86"/>
    <w:rsid w:val="000A6A92"/>
    <w:rsid w:val="000B047F"/>
    <w:rsid w:val="000B26FA"/>
    <w:rsid w:val="000B5923"/>
    <w:rsid w:val="000B5A48"/>
    <w:rsid w:val="000B6FF3"/>
    <w:rsid w:val="000B7C57"/>
    <w:rsid w:val="000C3467"/>
    <w:rsid w:val="000C34E5"/>
    <w:rsid w:val="000C3BF0"/>
    <w:rsid w:val="000C3CA6"/>
    <w:rsid w:val="000D1267"/>
    <w:rsid w:val="000D1D50"/>
    <w:rsid w:val="000D3CE0"/>
    <w:rsid w:val="000D5782"/>
    <w:rsid w:val="000D6C00"/>
    <w:rsid w:val="000E2840"/>
    <w:rsid w:val="000E6613"/>
    <w:rsid w:val="000E7119"/>
    <w:rsid w:val="000E7F03"/>
    <w:rsid w:val="000F0711"/>
    <w:rsid w:val="000F14B0"/>
    <w:rsid w:val="00102802"/>
    <w:rsid w:val="00111E5B"/>
    <w:rsid w:val="00114E9B"/>
    <w:rsid w:val="00116431"/>
    <w:rsid w:val="00121E58"/>
    <w:rsid w:val="0012358D"/>
    <w:rsid w:val="00132804"/>
    <w:rsid w:val="00141C26"/>
    <w:rsid w:val="00142216"/>
    <w:rsid w:val="00144D6A"/>
    <w:rsid w:val="00144D94"/>
    <w:rsid w:val="00145A6C"/>
    <w:rsid w:val="0014729F"/>
    <w:rsid w:val="0015183A"/>
    <w:rsid w:val="00155AA6"/>
    <w:rsid w:val="00157BAB"/>
    <w:rsid w:val="00162C48"/>
    <w:rsid w:val="001654D1"/>
    <w:rsid w:val="00166C5D"/>
    <w:rsid w:val="0017087D"/>
    <w:rsid w:val="001733B7"/>
    <w:rsid w:val="00174518"/>
    <w:rsid w:val="00175748"/>
    <w:rsid w:val="00175BE6"/>
    <w:rsid w:val="0018106D"/>
    <w:rsid w:val="001877A7"/>
    <w:rsid w:val="00191536"/>
    <w:rsid w:val="001920C7"/>
    <w:rsid w:val="00194E7D"/>
    <w:rsid w:val="00196687"/>
    <w:rsid w:val="001969C9"/>
    <w:rsid w:val="001A0901"/>
    <w:rsid w:val="001A12D6"/>
    <w:rsid w:val="001A4BDA"/>
    <w:rsid w:val="001A726F"/>
    <w:rsid w:val="001B651A"/>
    <w:rsid w:val="001B751B"/>
    <w:rsid w:val="001C0962"/>
    <w:rsid w:val="001C4F90"/>
    <w:rsid w:val="001C6ED5"/>
    <w:rsid w:val="001D50FD"/>
    <w:rsid w:val="001D7531"/>
    <w:rsid w:val="001E34DA"/>
    <w:rsid w:val="001E737D"/>
    <w:rsid w:val="001F0592"/>
    <w:rsid w:val="001F4800"/>
    <w:rsid w:val="001F4FD9"/>
    <w:rsid w:val="001F7396"/>
    <w:rsid w:val="001F7506"/>
    <w:rsid w:val="002006CD"/>
    <w:rsid w:val="00202B36"/>
    <w:rsid w:val="00204B7A"/>
    <w:rsid w:val="00204CDE"/>
    <w:rsid w:val="0021101A"/>
    <w:rsid w:val="0021228B"/>
    <w:rsid w:val="00214BD6"/>
    <w:rsid w:val="00220536"/>
    <w:rsid w:val="00221319"/>
    <w:rsid w:val="00235629"/>
    <w:rsid w:val="00242FE4"/>
    <w:rsid w:val="002463F0"/>
    <w:rsid w:val="00253013"/>
    <w:rsid w:val="00260C38"/>
    <w:rsid w:val="002616C0"/>
    <w:rsid w:val="002623F2"/>
    <w:rsid w:val="00265372"/>
    <w:rsid w:val="002662AA"/>
    <w:rsid w:val="00280496"/>
    <w:rsid w:val="002821F8"/>
    <w:rsid w:val="00294DC9"/>
    <w:rsid w:val="00294EF1"/>
    <w:rsid w:val="00295495"/>
    <w:rsid w:val="002A31DE"/>
    <w:rsid w:val="002A7610"/>
    <w:rsid w:val="002A7C2B"/>
    <w:rsid w:val="002B249D"/>
    <w:rsid w:val="002B2613"/>
    <w:rsid w:val="002B51B1"/>
    <w:rsid w:val="002C0137"/>
    <w:rsid w:val="002D57D7"/>
    <w:rsid w:val="002D6D05"/>
    <w:rsid w:val="002F05C3"/>
    <w:rsid w:val="002F1818"/>
    <w:rsid w:val="002F567B"/>
    <w:rsid w:val="003022B5"/>
    <w:rsid w:val="00304B9A"/>
    <w:rsid w:val="0031327A"/>
    <w:rsid w:val="00317892"/>
    <w:rsid w:val="003216A9"/>
    <w:rsid w:val="00322223"/>
    <w:rsid w:val="003232FF"/>
    <w:rsid w:val="00326549"/>
    <w:rsid w:val="00332E2E"/>
    <w:rsid w:val="0033312B"/>
    <w:rsid w:val="00335A74"/>
    <w:rsid w:val="0034064B"/>
    <w:rsid w:val="00340EDE"/>
    <w:rsid w:val="00346B99"/>
    <w:rsid w:val="003506AD"/>
    <w:rsid w:val="00354A2C"/>
    <w:rsid w:val="0035736F"/>
    <w:rsid w:val="00363A9D"/>
    <w:rsid w:val="0036561B"/>
    <w:rsid w:val="00365786"/>
    <w:rsid w:val="0037013F"/>
    <w:rsid w:val="0037080E"/>
    <w:rsid w:val="00374030"/>
    <w:rsid w:val="00380C92"/>
    <w:rsid w:val="003850A6"/>
    <w:rsid w:val="00391455"/>
    <w:rsid w:val="003940FE"/>
    <w:rsid w:val="003A25E8"/>
    <w:rsid w:val="003A29A5"/>
    <w:rsid w:val="003A484F"/>
    <w:rsid w:val="003A4883"/>
    <w:rsid w:val="003A51E0"/>
    <w:rsid w:val="003B0797"/>
    <w:rsid w:val="003B0BE0"/>
    <w:rsid w:val="003B0C1B"/>
    <w:rsid w:val="003B688C"/>
    <w:rsid w:val="003C0291"/>
    <w:rsid w:val="003C39AE"/>
    <w:rsid w:val="003C53B7"/>
    <w:rsid w:val="003C7B60"/>
    <w:rsid w:val="003D0C0F"/>
    <w:rsid w:val="003D1FB2"/>
    <w:rsid w:val="003D66DA"/>
    <w:rsid w:val="003E1310"/>
    <w:rsid w:val="003E2AC0"/>
    <w:rsid w:val="003E61A2"/>
    <w:rsid w:val="003E68C7"/>
    <w:rsid w:val="003E6D2C"/>
    <w:rsid w:val="003E6F55"/>
    <w:rsid w:val="003F0A79"/>
    <w:rsid w:val="003F6E07"/>
    <w:rsid w:val="004038AA"/>
    <w:rsid w:val="00405C17"/>
    <w:rsid w:val="00406254"/>
    <w:rsid w:val="004154C2"/>
    <w:rsid w:val="00416D20"/>
    <w:rsid w:val="004223DE"/>
    <w:rsid w:val="00422939"/>
    <w:rsid w:val="00426B84"/>
    <w:rsid w:val="00434489"/>
    <w:rsid w:val="00437085"/>
    <w:rsid w:val="00443880"/>
    <w:rsid w:val="004464F4"/>
    <w:rsid w:val="004561B3"/>
    <w:rsid w:val="00463F8A"/>
    <w:rsid w:val="00470ED8"/>
    <w:rsid w:val="00471401"/>
    <w:rsid w:val="00473F31"/>
    <w:rsid w:val="00475CF5"/>
    <w:rsid w:val="004761CC"/>
    <w:rsid w:val="004819AD"/>
    <w:rsid w:val="0048263A"/>
    <w:rsid w:val="00487E5D"/>
    <w:rsid w:val="00492140"/>
    <w:rsid w:val="00496E79"/>
    <w:rsid w:val="004A64AD"/>
    <w:rsid w:val="004A7083"/>
    <w:rsid w:val="004A711F"/>
    <w:rsid w:val="004B199D"/>
    <w:rsid w:val="004B461E"/>
    <w:rsid w:val="004B4690"/>
    <w:rsid w:val="004D2A60"/>
    <w:rsid w:val="004E0A2D"/>
    <w:rsid w:val="004E206B"/>
    <w:rsid w:val="004E52E5"/>
    <w:rsid w:val="004E6DF7"/>
    <w:rsid w:val="004F0FBD"/>
    <w:rsid w:val="005019A1"/>
    <w:rsid w:val="00503563"/>
    <w:rsid w:val="00503C44"/>
    <w:rsid w:val="005052C7"/>
    <w:rsid w:val="00505A47"/>
    <w:rsid w:val="00512FDA"/>
    <w:rsid w:val="00513F65"/>
    <w:rsid w:val="00520DA0"/>
    <w:rsid w:val="00526FE2"/>
    <w:rsid w:val="0052726E"/>
    <w:rsid w:val="00534369"/>
    <w:rsid w:val="00534D25"/>
    <w:rsid w:val="0053706B"/>
    <w:rsid w:val="00553A36"/>
    <w:rsid w:val="005617D1"/>
    <w:rsid w:val="00562555"/>
    <w:rsid w:val="005664BB"/>
    <w:rsid w:val="00566FFA"/>
    <w:rsid w:val="005717BB"/>
    <w:rsid w:val="005735C1"/>
    <w:rsid w:val="0057481D"/>
    <w:rsid w:val="00574A18"/>
    <w:rsid w:val="005828C6"/>
    <w:rsid w:val="0058486E"/>
    <w:rsid w:val="00585590"/>
    <w:rsid w:val="00585B33"/>
    <w:rsid w:val="0059014D"/>
    <w:rsid w:val="005907C8"/>
    <w:rsid w:val="00591A7B"/>
    <w:rsid w:val="00595CC4"/>
    <w:rsid w:val="005A0A9D"/>
    <w:rsid w:val="005A322F"/>
    <w:rsid w:val="005B0A25"/>
    <w:rsid w:val="005B3024"/>
    <w:rsid w:val="005B429A"/>
    <w:rsid w:val="005B5C64"/>
    <w:rsid w:val="005C2CD5"/>
    <w:rsid w:val="005C5337"/>
    <w:rsid w:val="005C595E"/>
    <w:rsid w:val="005C6BD0"/>
    <w:rsid w:val="005D1C8B"/>
    <w:rsid w:val="005D3165"/>
    <w:rsid w:val="005D468D"/>
    <w:rsid w:val="005D5CED"/>
    <w:rsid w:val="005E2A5D"/>
    <w:rsid w:val="005E379F"/>
    <w:rsid w:val="005E4308"/>
    <w:rsid w:val="005E4CD1"/>
    <w:rsid w:val="005E4EBF"/>
    <w:rsid w:val="005E69B2"/>
    <w:rsid w:val="005E7189"/>
    <w:rsid w:val="005F0BC4"/>
    <w:rsid w:val="005F1A4C"/>
    <w:rsid w:val="005F690E"/>
    <w:rsid w:val="006004D7"/>
    <w:rsid w:val="00605688"/>
    <w:rsid w:val="00605B4F"/>
    <w:rsid w:val="00606C66"/>
    <w:rsid w:val="006070AF"/>
    <w:rsid w:val="00607665"/>
    <w:rsid w:val="00607C55"/>
    <w:rsid w:val="00607E6C"/>
    <w:rsid w:val="006101B1"/>
    <w:rsid w:val="00611201"/>
    <w:rsid w:val="0061186F"/>
    <w:rsid w:val="00614E44"/>
    <w:rsid w:val="0062270A"/>
    <w:rsid w:val="00622830"/>
    <w:rsid w:val="00623DA0"/>
    <w:rsid w:val="00630AEF"/>
    <w:rsid w:val="006325F8"/>
    <w:rsid w:val="00633463"/>
    <w:rsid w:val="00634C9A"/>
    <w:rsid w:val="00637F65"/>
    <w:rsid w:val="00640450"/>
    <w:rsid w:val="00643BCC"/>
    <w:rsid w:val="006440E4"/>
    <w:rsid w:val="006601BF"/>
    <w:rsid w:val="0066343B"/>
    <w:rsid w:val="00664777"/>
    <w:rsid w:val="006660E4"/>
    <w:rsid w:val="006748A4"/>
    <w:rsid w:val="006763D8"/>
    <w:rsid w:val="006801A4"/>
    <w:rsid w:val="00681A31"/>
    <w:rsid w:val="006833DD"/>
    <w:rsid w:val="00683E73"/>
    <w:rsid w:val="0068673D"/>
    <w:rsid w:val="006928B7"/>
    <w:rsid w:val="006A069B"/>
    <w:rsid w:val="006A3141"/>
    <w:rsid w:val="006A5E34"/>
    <w:rsid w:val="006B2422"/>
    <w:rsid w:val="006B2B9A"/>
    <w:rsid w:val="006B5226"/>
    <w:rsid w:val="006C1937"/>
    <w:rsid w:val="006C7A95"/>
    <w:rsid w:val="006D2B42"/>
    <w:rsid w:val="006D5050"/>
    <w:rsid w:val="006E71D2"/>
    <w:rsid w:val="006E75A5"/>
    <w:rsid w:val="006F020C"/>
    <w:rsid w:val="006F19BA"/>
    <w:rsid w:val="006F5860"/>
    <w:rsid w:val="00700A6A"/>
    <w:rsid w:val="00702B68"/>
    <w:rsid w:val="0070417D"/>
    <w:rsid w:val="0070510F"/>
    <w:rsid w:val="007127B7"/>
    <w:rsid w:val="0071798E"/>
    <w:rsid w:val="00733319"/>
    <w:rsid w:val="00733F48"/>
    <w:rsid w:val="00735632"/>
    <w:rsid w:val="00741393"/>
    <w:rsid w:val="007416B6"/>
    <w:rsid w:val="00744F95"/>
    <w:rsid w:val="00746F48"/>
    <w:rsid w:val="0075404D"/>
    <w:rsid w:val="0076182A"/>
    <w:rsid w:val="0076780A"/>
    <w:rsid w:val="00767B7E"/>
    <w:rsid w:val="00773F39"/>
    <w:rsid w:val="00775A59"/>
    <w:rsid w:val="007770C3"/>
    <w:rsid w:val="00784D24"/>
    <w:rsid w:val="00785FBA"/>
    <w:rsid w:val="00786E4A"/>
    <w:rsid w:val="007875EB"/>
    <w:rsid w:val="0079295A"/>
    <w:rsid w:val="0079426B"/>
    <w:rsid w:val="007A4C22"/>
    <w:rsid w:val="007B1871"/>
    <w:rsid w:val="007B4657"/>
    <w:rsid w:val="007D1682"/>
    <w:rsid w:val="007D312A"/>
    <w:rsid w:val="007D3F19"/>
    <w:rsid w:val="007D4692"/>
    <w:rsid w:val="007D4CF8"/>
    <w:rsid w:val="007E23B0"/>
    <w:rsid w:val="007E23E5"/>
    <w:rsid w:val="007E3E38"/>
    <w:rsid w:val="007E6984"/>
    <w:rsid w:val="007F1991"/>
    <w:rsid w:val="007F2C2F"/>
    <w:rsid w:val="007F47D0"/>
    <w:rsid w:val="007F55FC"/>
    <w:rsid w:val="007F5665"/>
    <w:rsid w:val="007F76E9"/>
    <w:rsid w:val="00800112"/>
    <w:rsid w:val="00804716"/>
    <w:rsid w:val="008056C6"/>
    <w:rsid w:val="00810A67"/>
    <w:rsid w:val="00813348"/>
    <w:rsid w:val="00813C0A"/>
    <w:rsid w:val="008253BB"/>
    <w:rsid w:val="008309F4"/>
    <w:rsid w:val="0083706E"/>
    <w:rsid w:val="008408F6"/>
    <w:rsid w:val="008423A5"/>
    <w:rsid w:val="008468AC"/>
    <w:rsid w:val="00846C2C"/>
    <w:rsid w:val="00850625"/>
    <w:rsid w:val="00853718"/>
    <w:rsid w:val="008544E8"/>
    <w:rsid w:val="008545C1"/>
    <w:rsid w:val="00855221"/>
    <w:rsid w:val="00860645"/>
    <w:rsid w:val="00860B65"/>
    <w:rsid w:val="008630D4"/>
    <w:rsid w:val="00870B24"/>
    <w:rsid w:val="00871F71"/>
    <w:rsid w:val="00872FB0"/>
    <w:rsid w:val="00872FD8"/>
    <w:rsid w:val="00877F72"/>
    <w:rsid w:val="00882D68"/>
    <w:rsid w:val="008834D0"/>
    <w:rsid w:val="00885AF4"/>
    <w:rsid w:val="00886C4A"/>
    <w:rsid w:val="00887746"/>
    <w:rsid w:val="008939CD"/>
    <w:rsid w:val="0089424F"/>
    <w:rsid w:val="008A280F"/>
    <w:rsid w:val="008A6872"/>
    <w:rsid w:val="008B236C"/>
    <w:rsid w:val="008B768C"/>
    <w:rsid w:val="008C0005"/>
    <w:rsid w:val="008C4DB1"/>
    <w:rsid w:val="008C4EAF"/>
    <w:rsid w:val="008C5176"/>
    <w:rsid w:val="008C7C09"/>
    <w:rsid w:val="008C7FD0"/>
    <w:rsid w:val="008D3978"/>
    <w:rsid w:val="008E1DE7"/>
    <w:rsid w:val="008E707C"/>
    <w:rsid w:val="008F5E30"/>
    <w:rsid w:val="00900B08"/>
    <w:rsid w:val="00902155"/>
    <w:rsid w:val="00902FA3"/>
    <w:rsid w:val="009052C5"/>
    <w:rsid w:val="009078B3"/>
    <w:rsid w:val="00913C21"/>
    <w:rsid w:val="0092068D"/>
    <w:rsid w:val="00923564"/>
    <w:rsid w:val="0092392E"/>
    <w:rsid w:val="009244E6"/>
    <w:rsid w:val="009315F9"/>
    <w:rsid w:val="00933499"/>
    <w:rsid w:val="00935C98"/>
    <w:rsid w:val="00946945"/>
    <w:rsid w:val="00951248"/>
    <w:rsid w:val="0095152F"/>
    <w:rsid w:val="00954C49"/>
    <w:rsid w:val="00955E37"/>
    <w:rsid w:val="00961201"/>
    <w:rsid w:val="009638C0"/>
    <w:rsid w:val="0097099F"/>
    <w:rsid w:val="0097113C"/>
    <w:rsid w:val="00971997"/>
    <w:rsid w:val="00971FFC"/>
    <w:rsid w:val="009856EF"/>
    <w:rsid w:val="0098660A"/>
    <w:rsid w:val="00986ABD"/>
    <w:rsid w:val="009931C3"/>
    <w:rsid w:val="009A5188"/>
    <w:rsid w:val="009A6BD3"/>
    <w:rsid w:val="009B16D4"/>
    <w:rsid w:val="009B182F"/>
    <w:rsid w:val="009B2C43"/>
    <w:rsid w:val="009B4EAE"/>
    <w:rsid w:val="009B7573"/>
    <w:rsid w:val="009C11FB"/>
    <w:rsid w:val="009C22F4"/>
    <w:rsid w:val="009C2A4B"/>
    <w:rsid w:val="009C2E98"/>
    <w:rsid w:val="009C3616"/>
    <w:rsid w:val="009C43EB"/>
    <w:rsid w:val="009D3447"/>
    <w:rsid w:val="009D4711"/>
    <w:rsid w:val="009E11D4"/>
    <w:rsid w:val="009E1B61"/>
    <w:rsid w:val="009E54AA"/>
    <w:rsid w:val="009E5E05"/>
    <w:rsid w:val="009F1185"/>
    <w:rsid w:val="009F18CD"/>
    <w:rsid w:val="009F2A13"/>
    <w:rsid w:val="009F7527"/>
    <w:rsid w:val="00A04EB0"/>
    <w:rsid w:val="00A13CC1"/>
    <w:rsid w:val="00A16847"/>
    <w:rsid w:val="00A21968"/>
    <w:rsid w:val="00A237D8"/>
    <w:rsid w:val="00A268C4"/>
    <w:rsid w:val="00A307CD"/>
    <w:rsid w:val="00A33086"/>
    <w:rsid w:val="00A331C8"/>
    <w:rsid w:val="00A40A00"/>
    <w:rsid w:val="00A4142F"/>
    <w:rsid w:val="00A422EB"/>
    <w:rsid w:val="00A428AA"/>
    <w:rsid w:val="00A434FD"/>
    <w:rsid w:val="00A44C05"/>
    <w:rsid w:val="00A45BB7"/>
    <w:rsid w:val="00A4604A"/>
    <w:rsid w:val="00A4716E"/>
    <w:rsid w:val="00A5612A"/>
    <w:rsid w:val="00A56DF2"/>
    <w:rsid w:val="00A56E6E"/>
    <w:rsid w:val="00A57DB8"/>
    <w:rsid w:val="00A6382F"/>
    <w:rsid w:val="00A6496E"/>
    <w:rsid w:val="00A66AFF"/>
    <w:rsid w:val="00A67AB5"/>
    <w:rsid w:val="00A733B2"/>
    <w:rsid w:val="00A741C2"/>
    <w:rsid w:val="00A76D6B"/>
    <w:rsid w:val="00A91760"/>
    <w:rsid w:val="00A92A0F"/>
    <w:rsid w:val="00A93B00"/>
    <w:rsid w:val="00A93C21"/>
    <w:rsid w:val="00A944D3"/>
    <w:rsid w:val="00AB64C9"/>
    <w:rsid w:val="00AC326E"/>
    <w:rsid w:val="00AC3C6A"/>
    <w:rsid w:val="00AC65A9"/>
    <w:rsid w:val="00AD5620"/>
    <w:rsid w:val="00AD656B"/>
    <w:rsid w:val="00AD7C1B"/>
    <w:rsid w:val="00AE0AE6"/>
    <w:rsid w:val="00AE16BA"/>
    <w:rsid w:val="00AE1EBE"/>
    <w:rsid w:val="00AE250E"/>
    <w:rsid w:val="00AF00E9"/>
    <w:rsid w:val="00AF0E0A"/>
    <w:rsid w:val="00AF1071"/>
    <w:rsid w:val="00B0044F"/>
    <w:rsid w:val="00B03C9D"/>
    <w:rsid w:val="00B0400C"/>
    <w:rsid w:val="00B060AE"/>
    <w:rsid w:val="00B10517"/>
    <w:rsid w:val="00B116C3"/>
    <w:rsid w:val="00B138E1"/>
    <w:rsid w:val="00B14E76"/>
    <w:rsid w:val="00B161B8"/>
    <w:rsid w:val="00B2048C"/>
    <w:rsid w:val="00B22E89"/>
    <w:rsid w:val="00B310B9"/>
    <w:rsid w:val="00B34D92"/>
    <w:rsid w:val="00B34E10"/>
    <w:rsid w:val="00B35F3F"/>
    <w:rsid w:val="00B36CBB"/>
    <w:rsid w:val="00B425E0"/>
    <w:rsid w:val="00B440AA"/>
    <w:rsid w:val="00B44B70"/>
    <w:rsid w:val="00B519CC"/>
    <w:rsid w:val="00B533B3"/>
    <w:rsid w:val="00B53C56"/>
    <w:rsid w:val="00B550F3"/>
    <w:rsid w:val="00B55A93"/>
    <w:rsid w:val="00B57A0F"/>
    <w:rsid w:val="00B57DAF"/>
    <w:rsid w:val="00B646D2"/>
    <w:rsid w:val="00B75EB1"/>
    <w:rsid w:val="00B77EA6"/>
    <w:rsid w:val="00B81598"/>
    <w:rsid w:val="00B82F87"/>
    <w:rsid w:val="00B841F1"/>
    <w:rsid w:val="00B84728"/>
    <w:rsid w:val="00B85124"/>
    <w:rsid w:val="00B86C73"/>
    <w:rsid w:val="00B944D6"/>
    <w:rsid w:val="00B95F09"/>
    <w:rsid w:val="00BA56BE"/>
    <w:rsid w:val="00BB4DF0"/>
    <w:rsid w:val="00BC289F"/>
    <w:rsid w:val="00BC2D50"/>
    <w:rsid w:val="00BC48D7"/>
    <w:rsid w:val="00BC5361"/>
    <w:rsid w:val="00BC5460"/>
    <w:rsid w:val="00BC6B50"/>
    <w:rsid w:val="00BD0E25"/>
    <w:rsid w:val="00BD1BC6"/>
    <w:rsid w:val="00BD2141"/>
    <w:rsid w:val="00BD5C6C"/>
    <w:rsid w:val="00BD5D7F"/>
    <w:rsid w:val="00BF53CD"/>
    <w:rsid w:val="00BF5BD6"/>
    <w:rsid w:val="00C02354"/>
    <w:rsid w:val="00C02928"/>
    <w:rsid w:val="00C03E31"/>
    <w:rsid w:val="00C106F1"/>
    <w:rsid w:val="00C17198"/>
    <w:rsid w:val="00C26F77"/>
    <w:rsid w:val="00C33E72"/>
    <w:rsid w:val="00C349D0"/>
    <w:rsid w:val="00C354B2"/>
    <w:rsid w:val="00C35554"/>
    <w:rsid w:val="00C40378"/>
    <w:rsid w:val="00C412C4"/>
    <w:rsid w:val="00C42709"/>
    <w:rsid w:val="00C4486F"/>
    <w:rsid w:val="00C45DE5"/>
    <w:rsid w:val="00C46BBF"/>
    <w:rsid w:val="00C50818"/>
    <w:rsid w:val="00C533CC"/>
    <w:rsid w:val="00C54027"/>
    <w:rsid w:val="00C547A1"/>
    <w:rsid w:val="00C57467"/>
    <w:rsid w:val="00C5751C"/>
    <w:rsid w:val="00C61BFC"/>
    <w:rsid w:val="00C62B85"/>
    <w:rsid w:val="00C65166"/>
    <w:rsid w:val="00C65438"/>
    <w:rsid w:val="00C65F3E"/>
    <w:rsid w:val="00C7399E"/>
    <w:rsid w:val="00C82587"/>
    <w:rsid w:val="00C87FD8"/>
    <w:rsid w:val="00C91381"/>
    <w:rsid w:val="00C91CBB"/>
    <w:rsid w:val="00CA130C"/>
    <w:rsid w:val="00CB4E70"/>
    <w:rsid w:val="00CC09B6"/>
    <w:rsid w:val="00CC4451"/>
    <w:rsid w:val="00CC666F"/>
    <w:rsid w:val="00CD1E3F"/>
    <w:rsid w:val="00CD2DBE"/>
    <w:rsid w:val="00CD5A43"/>
    <w:rsid w:val="00CD6963"/>
    <w:rsid w:val="00CE44F6"/>
    <w:rsid w:val="00CE49DA"/>
    <w:rsid w:val="00CE7B61"/>
    <w:rsid w:val="00CF3576"/>
    <w:rsid w:val="00CF57A6"/>
    <w:rsid w:val="00D00095"/>
    <w:rsid w:val="00D114F0"/>
    <w:rsid w:val="00D20620"/>
    <w:rsid w:val="00D21143"/>
    <w:rsid w:val="00D211B6"/>
    <w:rsid w:val="00D254F7"/>
    <w:rsid w:val="00D25EC1"/>
    <w:rsid w:val="00D26091"/>
    <w:rsid w:val="00D2685C"/>
    <w:rsid w:val="00D2737F"/>
    <w:rsid w:val="00D34E7C"/>
    <w:rsid w:val="00D35489"/>
    <w:rsid w:val="00D36AFE"/>
    <w:rsid w:val="00D36C16"/>
    <w:rsid w:val="00D43655"/>
    <w:rsid w:val="00D51276"/>
    <w:rsid w:val="00D57DFB"/>
    <w:rsid w:val="00D57EFF"/>
    <w:rsid w:val="00D61090"/>
    <w:rsid w:val="00D61398"/>
    <w:rsid w:val="00D614E4"/>
    <w:rsid w:val="00D659CA"/>
    <w:rsid w:val="00D7035F"/>
    <w:rsid w:val="00D74294"/>
    <w:rsid w:val="00D8215F"/>
    <w:rsid w:val="00D85AB0"/>
    <w:rsid w:val="00D85B1D"/>
    <w:rsid w:val="00D90D22"/>
    <w:rsid w:val="00D952F6"/>
    <w:rsid w:val="00DA634F"/>
    <w:rsid w:val="00DA64B3"/>
    <w:rsid w:val="00DA65AC"/>
    <w:rsid w:val="00DA6DE6"/>
    <w:rsid w:val="00DB183F"/>
    <w:rsid w:val="00DB1913"/>
    <w:rsid w:val="00DC410D"/>
    <w:rsid w:val="00DC5A81"/>
    <w:rsid w:val="00DC68CA"/>
    <w:rsid w:val="00DC7CBA"/>
    <w:rsid w:val="00DD5909"/>
    <w:rsid w:val="00DD73B7"/>
    <w:rsid w:val="00DF28BC"/>
    <w:rsid w:val="00DF34B9"/>
    <w:rsid w:val="00E01053"/>
    <w:rsid w:val="00E01D8F"/>
    <w:rsid w:val="00E07ACF"/>
    <w:rsid w:val="00E11ECB"/>
    <w:rsid w:val="00E12DA1"/>
    <w:rsid w:val="00E139A0"/>
    <w:rsid w:val="00E24A08"/>
    <w:rsid w:val="00E27C51"/>
    <w:rsid w:val="00E311E6"/>
    <w:rsid w:val="00E32692"/>
    <w:rsid w:val="00E331A1"/>
    <w:rsid w:val="00E33202"/>
    <w:rsid w:val="00E336A9"/>
    <w:rsid w:val="00E360E5"/>
    <w:rsid w:val="00E45C7C"/>
    <w:rsid w:val="00E472B1"/>
    <w:rsid w:val="00E50624"/>
    <w:rsid w:val="00E568DF"/>
    <w:rsid w:val="00E64269"/>
    <w:rsid w:val="00E77F05"/>
    <w:rsid w:val="00E77FA3"/>
    <w:rsid w:val="00E8080A"/>
    <w:rsid w:val="00E82267"/>
    <w:rsid w:val="00E853CE"/>
    <w:rsid w:val="00E867B6"/>
    <w:rsid w:val="00E9052C"/>
    <w:rsid w:val="00E96F66"/>
    <w:rsid w:val="00EA010F"/>
    <w:rsid w:val="00EA3684"/>
    <w:rsid w:val="00EA3D3C"/>
    <w:rsid w:val="00EB70A7"/>
    <w:rsid w:val="00EC4D83"/>
    <w:rsid w:val="00ED1B63"/>
    <w:rsid w:val="00ED3C1F"/>
    <w:rsid w:val="00ED4085"/>
    <w:rsid w:val="00ED420E"/>
    <w:rsid w:val="00ED6FBE"/>
    <w:rsid w:val="00EE080E"/>
    <w:rsid w:val="00EE2F57"/>
    <w:rsid w:val="00EF421B"/>
    <w:rsid w:val="00EF4C34"/>
    <w:rsid w:val="00EF77C6"/>
    <w:rsid w:val="00F05438"/>
    <w:rsid w:val="00F1023C"/>
    <w:rsid w:val="00F1361C"/>
    <w:rsid w:val="00F156F0"/>
    <w:rsid w:val="00F160C7"/>
    <w:rsid w:val="00F20F36"/>
    <w:rsid w:val="00F2408F"/>
    <w:rsid w:val="00F240E9"/>
    <w:rsid w:val="00F30FB1"/>
    <w:rsid w:val="00F322D3"/>
    <w:rsid w:val="00F3467D"/>
    <w:rsid w:val="00F368DB"/>
    <w:rsid w:val="00F36D82"/>
    <w:rsid w:val="00F36D8F"/>
    <w:rsid w:val="00F41716"/>
    <w:rsid w:val="00F417B1"/>
    <w:rsid w:val="00F44477"/>
    <w:rsid w:val="00F45853"/>
    <w:rsid w:val="00F602DF"/>
    <w:rsid w:val="00F64454"/>
    <w:rsid w:val="00F72CA7"/>
    <w:rsid w:val="00F754A1"/>
    <w:rsid w:val="00F7570B"/>
    <w:rsid w:val="00F76901"/>
    <w:rsid w:val="00F81FD9"/>
    <w:rsid w:val="00F841AA"/>
    <w:rsid w:val="00F84A94"/>
    <w:rsid w:val="00F87E96"/>
    <w:rsid w:val="00F931C3"/>
    <w:rsid w:val="00F945EE"/>
    <w:rsid w:val="00FA0B5F"/>
    <w:rsid w:val="00FA23E8"/>
    <w:rsid w:val="00FA4353"/>
    <w:rsid w:val="00FB16D3"/>
    <w:rsid w:val="00FC5929"/>
    <w:rsid w:val="00FD1FE9"/>
    <w:rsid w:val="00FD3CC1"/>
    <w:rsid w:val="00FE21B1"/>
    <w:rsid w:val="00FE3502"/>
    <w:rsid w:val="00FE7178"/>
    <w:rsid w:val="00FF0F06"/>
    <w:rsid w:val="00FF1631"/>
    <w:rsid w:val="00FF1CF5"/>
    <w:rsid w:val="00FF1E02"/>
    <w:rsid w:val="00FF30B4"/>
    <w:rsid w:val="00FF7A95"/>
    <w:rsid w:val="0A2032A3"/>
    <w:rsid w:val="0B8A37D8"/>
    <w:rsid w:val="10C055FF"/>
    <w:rsid w:val="118107EC"/>
    <w:rsid w:val="11DD6519"/>
    <w:rsid w:val="16BB723D"/>
    <w:rsid w:val="18015F3F"/>
    <w:rsid w:val="1BE8440E"/>
    <w:rsid w:val="1D155CEE"/>
    <w:rsid w:val="20F57F95"/>
    <w:rsid w:val="240371BF"/>
    <w:rsid w:val="25C741E6"/>
    <w:rsid w:val="27842671"/>
    <w:rsid w:val="29FD04D3"/>
    <w:rsid w:val="2ABE7A3E"/>
    <w:rsid w:val="2EFA178C"/>
    <w:rsid w:val="30B46D73"/>
    <w:rsid w:val="319F7F4E"/>
    <w:rsid w:val="39AE70AB"/>
    <w:rsid w:val="3C0C0783"/>
    <w:rsid w:val="3F795B0E"/>
    <w:rsid w:val="3F9F3A96"/>
    <w:rsid w:val="493C27E9"/>
    <w:rsid w:val="496F39ED"/>
    <w:rsid w:val="49FF41D3"/>
    <w:rsid w:val="4A185DC8"/>
    <w:rsid w:val="4BE068DB"/>
    <w:rsid w:val="4BF6002B"/>
    <w:rsid w:val="4ECE2238"/>
    <w:rsid w:val="51DB4B86"/>
    <w:rsid w:val="55333C3E"/>
    <w:rsid w:val="61F64D0D"/>
    <w:rsid w:val="64CA39A1"/>
    <w:rsid w:val="6C4A05C8"/>
    <w:rsid w:val="6FFFF0E7"/>
    <w:rsid w:val="72734D90"/>
    <w:rsid w:val="79E7B28D"/>
    <w:rsid w:val="7F9F20EE"/>
    <w:rsid w:val="9E3A10E2"/>
    <w:rsid w:val="F2E1F9D4"/>
    <w:rsid w:val="F7880819"/>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qFormat="1"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name="FollowedHyperlink"/>
    <w:lsdException w:qFormat="1" w:unhideWhenUsed="0" w:uiPriority="99"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9"/>
    <w:qFormat/>
    <w:uiPriority w:val="9"/>
    <w:pPr>
      <w:keepNext/>
      <w:keepLines/>
      <w:spacing w:before="340" w:after="330" w:line="578" w:lineRule="auto"/>
      <w:outlineLvl w:val="0"/>
    </w:pPr>
    <w:rPr>
      <w:b/>
      <w:bCs/>
      <w:kern w:val="44"/>
      <w:sz w:val="44"/>
      <w:szCs w:val="44"/>
    </w:rPr>
  </w:style>
  <w:style w:type="paragraph" w:styleId="4">
    <w:name w:val="heading 2"/>
    <w:basedOn w:val="1"/>
    <w:next w:val="1"/>
    <w:link w:val="30"/>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5">
    <w:name w:val="heading 3"/>
    <w:basedOn w:val="1"/>
    <w:next w:val="1"/>
    <w:link w:val="33"/>
    <w:unhideWhenUsed/>
    <w:qFormat/>
    <w:uiPriority w:val="9"/>
    <w:pPr>
      <w:keepNext/>
      <w:keepLines/>
      <w:spacing w:before="260" w:after="260" w:line="416" w:lineRule="auto"/>
      <w:outlineLvl w:val="2"/>
    </w:pPr>
    <w:rPr>
      <w:b/>
      <w:bCs/>
      <w:sz w:val="32"/>
      <w:szCs w:val="32"/>
    </w:rPr>
  </w:style>
  <w:style w:type="character" w:default="1" w:styleId="17">
    <w:name w:val="Default Paragraph Font"/>
    <w:semiHidden/>
    <w:unhideWhenUsed/>
    <w:qFormat/>
    <w:uiPriority w:val="1"/>
  </w:style>
  <w:style w:type="table" w:default="1" w:styleId="16">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26"/>
    <w:qFormat/>
    <w:uiPriority w:val="99"/>
    <w:pPr>
      <w:spacing w:beforeLines="30"/>
    </w:pPr>
    <w:rPr>
      <w:rFonts w:ascii="仿宋_GB2312" w:eastAsia="仿宋_GB2312"/>
      <w:kern w:val="0"/>
      <w:sz w:val="30"/>
    </w:rPr>
  </w:style>
  <w:style w:type="paragraph" w:styleId="6">
    <w:name w:val="Body Text Indent"/>
    <w:basedOn w:val="1"/>
    <w:link w:val="35"/>
    <w:semiHidden/>
    <w:unhideWhenUsed/>
    <w:qFormat/>
    <w:uiPriority w:val="99"/>
    <w:pPr>
      <w:spacing w:after="120"/>
      <w:ind w:left="420" w:leftChars="200"/>
    </w:pPr>
  </w:style>
  <w:style w:type="paragraph" w:styleId="7">
    <w:name w:val="toc 3"/>
    <w:basedOn w:val="1"/>
    <w:next w:val="1"/>
    <w:unhideWhenUsed/>
    <w:qFormat/>
    <w:uiPriority w:val="39"/>
    <w:pPr>
      <w:tabs>
        <w:tab w:val="right" w:leader="dot" w:pos="8296"/>
      </w:tabs>
      <w:ind w:left="840" w:leftChars="400"/>
    </w:pPr>
  </w:style>
  <w:style w:type="paragraph" w:styleId="8">
    <w:name w:val="Date"/>
    <w:basedOn w:val="1"/>
    <w:next w:val="1"/>
    <w:link w:val="160"/>
    <w:semiHidden/>
    <w:unhideWhenUsed/>
    <w:qFormat/>
    <w:uiPriority w:val="99"/>
    <w:pPr>
      <w:ind w:left="100" w:leftChars="2500"/>
    </w:pPr>
    <w:rPr>
      <w:rFonts w:asciiTheme="minorHAnsi" w:hAnsiTheme="minorHAnsi" w:eastAsiaTheme="minorEastAsia" w:cstheme="minorBidi"/>
      <w:szCs w:val="22"/>
    </w:rPr>
  </w:style>
  <w:style w:type="paragraph" w:styleId="9">
    <w:name w:val="Balloon Text"/>
    <w:basedOn w:val="1"/>
    <w:link w:val="32"/>
    <w:semiHidden/>
    <w:unhideWhenUsed/>
    <w:qFormat/>
    <w:uiPriority w:val="99"/>
    <w:rPr>
      <w:sz w:val="18"/>
      <w:szCs w:val="18"/>
    </w:rPr>
  </w:style>
  <w:style w:type="paragraph" w:styleId="10">
    <w:name w:val="footer"/>
    <w:basedOn w:val="1"/>
    <w:link w:val="24"/>
    <w:qFormat/>
    <w:uiPriority w:val="99"/>
    <w:pPr>
      <w:tabs>
        <w:tab w:val="center" w:pos="4153"/>
        <w:tab w:val="right" w:pos="8306"/>
      </w:tabs>
      <w:snapToGrid w:val="0"/>
      <w:jc w:val="left"/>
    </w:pPr>
    <w:rPr>
      <w:rFonts w:ascii="Calibri" w:hAnsi="Calibri"/>
      <w:kern w:val="0"/>
      <w:sz w:val="18"/>
      <w:szCs w:val="18"/>
    </w:rPr>
  </w:style>
  <w:style w:type="paragraph" w:styleId="11">
    <w:name w:val="header"/>
    <w:basedOn w:val="1"/>
    <w:link w:val="22"/>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2">
    <w:name w:val="toc 1"/>
    <w:basedOn w:val="1"/>
    <w:next w:val="1"/>
    <w:unhideWhenUsed/>
    <w:qFormat/>
    <w:uiPriority w:val="39"/>
    <w:pPr>
      <w:tabs>
        <w:tab w:val="right" w:leader="dot" w:pos="8296"/>
      </w:tabs>
      <w:spacing w:before="93"/>
      <w:jc w:val="center"/>
    </w:pPr>
    <w:rPr>
      <w:rFonts w:ascii="仿宋" w:hAnsi="仿宋" w:eastAsia="仿宋"/>
      <w:sz w:val="28"/>
      <w:szCs w:val="28"/>
    </w:rPr>
  </w:style>
  <w:style w:type="paragraph" w:styleId="13">
    <w:name w:val="Subtitle"/>
    <w:basedOn w:val="1"/>
    <w:next w:val="1"/>
    <w:link w:val="38"/>
    <w:qFormat/>
    <w:uiPriority w:val="11"/>
    <w:pPr>
      <w:spacing w:before="240" w:after="60" w:line="312" w:lineRule="auto"/>
      <w:jc w:val="center"/>
      <w:outlineLvl w:val="1"/>
    </w:pPr>
    <w:rPr>
      <w:rFonts w:asciiTheme="majorHAnsi" w:hAnsiTheme="majorHAnsi" w:cstheme="majorBidi"/>
      <w:b/>
      <w:bCs/>
      <w:kern w:val="28"/>
      <w:sz w:val="32"/>
      <w:szCs w:val="32"/>
    </w:rPr>
  </w:style>
  <w:style w:type="paragraph" w:styleId="14">
    <w:name w:val="toc 2"/>
    <w:basedOn w:val="1"/>
    <w:next w:val="1"/>
    <w:unhideWhenUsed/>
    <w:qFormat/>
    <w:uiPriority w:val="39"/>
    <w:pPr>
      <w:tabs>
        <w:tab w:val="right" w:leader="dot" w:pos="8296"/>
      </w:tabs>
      <w:ind w:left="420" w:leftChars="200"/>
    </w:pPr>
  </w:style>
  <w:style w:type="paragraph" w:styleId="15">
    <w:name w:val="Body Text First Indent 2"/>
    <w:basedOn w:val="6"/>
    <w:link w:val="36"/>
    <w:semiHidden/>
    <w:unhideWhenUsed/>
    <w:qFormat/>
    <w:uiPriority w:val="99"/>
    <w:pPr>
      <w:ind w:firstLine="420" w:firstLineChars="200"/>
    </w:pPr>
  </w:style>
  <w:style w:type="character" w:styleId="18">
    <w:name w:val="Strong"/>
    <w:basedOn w:val="17"/>
    <w:qFormat/>
    <w:uiPriority w:val="99"/>
    <w:rPr>
      <w:b/>
    </w:rPr>
  </w:style>
  <w:style w:type="character" w:styleId="19">
    <w:name w:val="FollowedHyperlink"/>
    <w:basedOn w:val="17"/>
    <w:semiHidden/>
    <w:unhideWhenUsed/>
    <w:qFormat/>
    <w:uiPriority w:val="99"/>
    <w:rPr>
      <w:color w:val="954F72"/>
      <w:u w:val="single"/>
    </w:rPr>
  </w:style>
  <w:style w:type="character" w:styleId="20">
    <w:name w:val="Hyperlink"/>
    <w:basedOn w:val="17"/>
    <w:unhideWhenUsed/>
    <w:qFormat/>
    <w:uiPriority w:val="99"/>
    <w:rPr>
      <w:color w:val="0000FF" w:themeColor="hyperlink"/>
      <w:u w:val="single"/>
    </w:rPr>
  </w:style>
  <w:style w:type="character" w:customStyle="1" w:styleId="21">
    <w:name w:val="Header Char"/>
    <w:basedOn w:val="17"/>
    <w:semiHidden/>
    <w:qFormat/>
    <w:uiPriority w:val="99"/>
    <w:rPr>
      <w:rFonts w:ascii="Times New Roman" w:hAnsi="Times New Roman"/>
      <w:sz w:val="18"/>
      <w:szCs w:val="18"/>
    </w:rPr>
  </w:style>
  <w:style w:type="character" w:customStyle="1" w:styleId="22">
    <w:name w:val="页眉 Char"/>
    <w:link w:val="11"/>
    <w:semiHidden/>
    <w:qFormat/>
    <w:locked/>
    <w:uiPriority w:val="99"/>
    <w:rPr>
      <w:sz w:val="18"/>
    </w:rPr>
  </w:style>
  <w:style w:type="character" w:customStyle="1" w:styleId="23">
    <w:name w:val="Footer Char"/>
    <w:basedOn w:val="17"/>
    <w:semiHidden/>
    <w:qFormat/>
    <w:uiPriority w:val="99"/>
    <w:rPr>
      <w:rFonts w:ascii="Times New Roman" w:hAnsi="Times New Roman"/>
      <w:sz w:val="18"/>
      <w:szCs w:val="18"/>
    </w:rPr>
  </w:style>
  <w:style w:type="character" w:customStyle="1" w:styleId="24">
    <w:name w:val="页脚 Char"/>
    <w:link w:val="10"/>
    <w:qFormat/>
    <w:locked/>
    <w:uiPriority w:val="99"/>
    <w:rPr>
      <w:sz w:val="18"/>
    </w:rPr>
  </w:style>
  <w:style w:type="character" w:customStyle="1" w:styleId="25">
    <w:name w:val="Body Text Char"/>
    <w:basedOn w:val="17"/>
    <w:semiHidden/>
    <w:qFormat/>
    <w:uiPriority w:val="99"/>
    <w:rPr>
      <w:rFonts w:ascii="Times New Roman" w:hAnsi="Times New Roman"/>
      <w:szCs w:val="24"/>
    </w:rPr>
  </w:style>
  <w:style w:type="character" w:customStyle="1" w:styleId="26">
    <w:name w:val="正文文本 Char"/>
    <w:link w:val="2"/>
    <w:qFormat/>
    <w:locked/>
    <w:uiPriority w:val="99"/>
    <w:rPr>
      <w:rFonts w:ascii="仿宋_GB2312" w:hAnsi="Times New Roman" w:eastAsia="仿宋_GB2312"/>
      <w:sz w:val="24"/>
    </w:rPr>
  </w:style>
  <w:style w:type="paragraph" w:customStyle="1" w:styleId="27">
    <w:name w:val="Default"/>
    <w:qFormat/>
    <w:uiPriority w:val="99"/>
    <w:pPr>
      <w:widowControl w:val="0"/>
      <w:autoSpaceDE w:val="0"/>
      <w:autoSpaceDN w:val="0"/>
      <w:adjustRightInd w:val="0"/>
    </w:pPr>
    <w:rPr>
      <w:rFonts w:ascii="仿宋" w:hAnsi="Calibri" w:eastAsia="仿宋" w:cs="仿宋"/>
      <w:color w:val="000000"/>
      <w:sz w:val="24"/>
      <w:szCs w:val="24"/>
      <w:lang w:val="en-US" w:eastAsia="zh-CN" w:bidi="ar-SA"/>
    </w:rPr>
  </w:style>
  <w:style w:type="paragraph" w:styleId="28">
    <w:name w:val="List Paragraph"/>
    <w:basedOn w:val="1"/>
    <w:qFormat/>
    <w:uiPriority w:val="34"/>
    <w:pPr>
      <w:ind w:firstLine="420" w:firstLineChars="200"/>
    </w:pPr>
  </w:style>
  <w:style w:type="character" w:customStyle="1" w:styleId="29">
    <w:name w:val="标题 1 Char"/>
    <w:basedOn w:val="17"/>
    <w:link w:val="3"/>
    <w:qFormat/>
    <w:uiPriority w:val="9"/>
    <w:rPr>
      <w:rFonts w:ascii="Times New Roman" w:hAnsi="Times New Roman"/>
      <w:b/>
      <w:bCs/>
      <w:kern w:val="44"/>
      <w:sz w:val="44"/>
      <w:szCs w:val="44"/>
    </w:rPr>
  </w:style>
  <w:style w:type="character" w:customStyle="1" w:styleId="30">
    <w:name w:val="标题 2 Char"/>
    <w:basedOn w:val="17"/>
    <w:link w:val="4"/>
    <w:qFormat/>
    <w:uiPriority w:val="9"/>
    <w:rPr>
      <w:rFonts w:asciiTheme="majorHAnsi" w:hAnsiTheme="majorHAnsi" w:eastAsiaTheme="majorEastAsia" w:cstheme="majorBidi"/>
      <w:b/>
      <w:bCs/>
      <w:kern w:val="2"/>
      <w:sz w:val="32"/>
      <w:szCs w:val="32"/>
    </w:rPr>
  </w:style>
  <w:style w:type="paragraph" w:customStyle="1" w:styleId="31">
    <w:name w:val="TOC 标题1"/>
    <w:basedOn w:val="3"/>
    <w:next w:val="1"/>
    <w:unhideWhenUsed/>
    <w:qFormat/>
    <w:uiPriority w:val="39"/>
    <w:pPr>
      <w:widowControl/>
      <w:spacing w:before="480" w:after="0" w:line="276" w:lineRule="auto"/>
      <w:jc w:val="left"/>
      <w:outlineLvl w:val="9"/>
    </w:pPr>
    <w:rPr>
      <w:rFonts w:asciiTheme="majorHAnsi" w:hAnsiTheme="majorHAnsi" w:eastAsiaTheme="majorEastAsia" w:cstheme="majorBidi"/>
      <w:color w:val="366091" w:themeColor="accent1" w:themeShade="BF"/>
      <w:kern w:val="0"/>
      <w:sz w:val="28"/>
      <w:szCs w:val="28"/>
    </w:rPr>
  </w:style>
  <w:style w:type="character" w:customStyle="1" w:styleId="32">
    <w:name w:val="批注框文本 Char"/>
    <w:basedOn w:val="17"/>
    <w:link w:val="9"/>
    <w:semiHidden/>
    <w:qFormat/>
    <w:uiPriority w:val="99"/>
    <w:rPr>
      <w:rFonts w:ascii="Times New Roman" w:hAnsi="Times New Roman"/>
      <w:kern w:val="2"/>
      <w:sz w:val="18"/>
      <w:szCs w:val="18"/>
    </w:rPr>
  </w:style>
  <w:style w:type="character" w:customStyle="1" w:styleId="33">
    <w:name w:val="标题 3 Char"/>
    <w:basedOn w:val="17"/>
    <w:link w:val="5"/>
    <w:qFormat/>
    <w:uiPriority w:val="9"/>
    <w:rPr>
      <w:rFonts w:ascii="Times New Roman" w:hAnsi="Times New Roman"/>
      <w:b/>
      <w:bCs/>
      <w:kern w:val="2"/>
      <w:sz w:val="32"/>
      <w:szCs w:val="32"/>
    </w:rPr>
  </w:style>
  <w:style w:type="paragraph" w:customStyle="1" w:styleId="34">
    <w:name w:val="TOC 标题2"/>
    <w:basedOn w:val="3"/>
    <w:next w:val="1"/>
    <w:unhideWhenUsed/>
    <w:qFormat/>
    <w:uiPriority w:val="39"/>
    <w:pPr>
      <w:widowControl/>
      <w:spacing w:before="480" w:after="0" w:line="276" w:lineRule="auto"/>
      <w:jc w:val="left"/>
      <w:outlineLvl w:val="9"/>
    </w:pPr>
    <w:rPr>
      <w:rFonts w:asciiTheme="majorHAnsi" w:hAnsiTheme="majorHAnsi" w:eastAsiaTheme="majorEastAsia" w:cstheme="majorBidi"/>
      <w:color w:val="366091" w:themeColor="accent1" w:themeShade="BF"/>
      <w:kern w:val="0"/>
      <w:sz w:val="28"/>
      <w:szCs w:val="28"/>
    </w:rPr>
  </w:style>
  <w:style w:type="character" w:customStyle="1" w:styleId="35">
    <w:name w:val="正文文本缩进 Char"/>
    <w:basedOn w:val="17"/>
    <w:link w:val="6"/>
    <w:semiHidden/>
    <w:qFormat/>
    <w:uiPriority w:val="99"/>
    <w:rPr>
      <w:rFonts w:ascii="Times New Roman" w:hAnsi="Times New Roman" w:eastAsia="宋体" w:cs="Times New Roman"/>
      <w:kern w:val="2"/>
      <w:sz w:val="21"/>
      <w:szCs w:val="24"/>
    </w:rPr>
  </w:style>
  <w:style w:type="character" w:customStyle="1" w:styleId="36">
    <w:name w:val="正文首行缩进 2 Char"/>
    <w:basedOn w:val="35"/>
    <w:link w:val="15"/>
    <w:semiHidden/>
    <w:qFormat/>
    <w:uiPriority w:val="99"/>
  </w:style>
  <w:style w:type="paragraph" w:customStyle="1" w:styleId="37">
    <w:name w:val="TOC Heading"/>
    <w:basedOn w:val="3"/>
    <w:next w:val="1"/>
    <w:semiHidden/>
    <w:unhideWhenUsed/>
    <w:qFormat/>
    <w:uiPriority w:val="39"/>
    <w:pPr>
      <w:widowControl/>
      <w:spacing w:before="480" w:after="0" w:line="276" w:lineRule="auto"/>
      <w:jc w:val="left"/>
      <w:outlineLvl w:val="9"/>
    </w:pPr>
    <w:rPr>
      <w:rFonts w:asciiTheme="majorHAnsi" w:hAnsiTheme="majorHAnsi" w:eastAsiaTheme="majorEastAsia" w:cstheme="majorBidi"/>
      <w:color w:val="366091" w:themeColor="accent1" w:themeShade="BF"/>
      <w:kern w:val="0"/>
      <w:sz w:val="28"/>
      <w:szCs w:val="28"/>
    </w:rPr>
  </w:style>
  <w:style w:type="character" w:customStyle="1" w:styleId="38">
    <w:name w:val="副标题 Char"/>
    <w:basedOn w:val="17"/>
    <w:link w:val="13"/>
    <w:qFormat/>
    <w:uiPriority w:val="11"/>
    <w:rPr>
      <w:rFonts w:eastAsia="宋体" w:asciiTheme="majorHAnsi" w:hAnsiTheme="majorHAnsi" w:cstheme="majorBidi"/>
      <w:b/>
      <w:bCs/>
      <w:kern w:val="28"/>
      <w:sz w:val="32"/>
      <w:szCs w:val="32"/>
    </w:rPr>
  </w:style>
  <w:style w:type="paragraph" w:customStyle="1" w:styleId="39">
    <w:name w:val="xl6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cs="宋体"/>
      <w:color w:val="000000"/>
      <w:kern w:val="0"/>
      <w:sz w:val="18"/>
      <w:szCs w:val="18"/>
    </w:rPr>
  </w:style>
  <w:style w:type="paragraph" w:customStyle="1" w:styleId="40">
    <w:name w:val="xl64"/>
    <w:basedOn w:val="1"/>
    <w:qFormat/>
    <w:uiPriority w:val="0"/>
    <w:pPr>
      <w:widowControl/>
      <w:spacing w:before="100" w:beforeAutospacing="1" w:after="100" w:afterAutospacing="1"/>
      <w:jc w:val="left"/>
    </w:pPr>
    <w:rPr>
      <w:rFonts w:ascii="黑体" w:hAnsi="黑体" w:cs="宋体"/>
      <w:color w:val="000000"/>
      <w:kern w:val="0"/>
      <w:sz w:val="18"/>
      <w:szCs w:val="18"/>
    </w:rPr>
  </w:style>
  <w:style w:type="paragraph" w:customStyle="1" w:styleId="41">
    <w:name w:val="xl6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cs="宋体"/>
      <w:color w:val="000000"/>
      <w:kern w:val="0"/>
      <w:sz w:val="18"/>
      <w:szCs w:val="18"/>
    </w:rPr>
  </w:style>
  <w:style w:type="paragraph" w:customStyle="1" w:styleId="42">
    <w:name w:val="xl6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cs="宋体"/>
      <w:color w:val="000000"/>
      <w:kern w:val="0"/>
      <w:sz w:val="18"/>
      <w:szCs w:val="18"/>
    </w:rPr>
  </w:style>
  <w:style w:type="paragraph" w:customStyle="1" w:styleId="43">
    <w:name w:val="xl6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cs="宋体"/>
      <w:color w:val="000000"/>
      <w:kern w:val="0"/>
      <w:sz w:val="18"/>
      <w:szCs w:val="18"/>
    </w:rPr>
  </w:style>
  <w:style w:type="paragraph" w:customStyle="1" w:styleId="44">
    <w:name w:val="xl6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微软雅黑" w:hAnsi="微软雅黑" w:eastAsia="微软雅黑" w:cs="宋体"/>
      <w:i/>
      <w:iCs/>
      <w:color w:val="000000"/>
      <w:kern w:val="0"/>
      <w:sz w:val="16"/>
      <w:szCs w:val="16"/>
    </w:rPr>
  </w:style>
  <w:style w:type="paragraph" w:customStyle="1" w:styleId="45">
    <w:name w:val="xl69"/>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46">
    <w:name w:val="xl7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微软雅黑" w:hAnsi="微软雅黑" w:eastAsia="微软雅黑" w:cs="宋体"/>
      <w:i/>
      <w:iCs/>
      <w:color w:val="000000"/>
      <w:kern w:val="0"/>
      <w:sz w:val="16"/>
      <w:szCs w:val="16"/>
    </w:rPr>
  </w:style>
  <w:style w:type="paragraph" w:customStyle="1" w:styleId="47">
    <w:name w:val="xl7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黑体" w:hAnsi="黑体" w:cs="宋体"/>
      <w:color w:val="000000"/>
      <w:kern w:val="0"/>
      <w:sz w:val="18"/>
      <w:szCs w:val="18"/>
    </w:rPr>
  </w:style>
  <w:style w:type="paragraph" w:customStyle="1" w:styleId="48">
    <w:name w:val="xl7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黑体" w:hAnsi="黑体" w:cs="宋体"/>
      <w:i/>
      <w:iCs/>
      <w:color w:val="000000"/>
      <w:kern w:val="0"/>
      <w:sz w:val="18"/>
      <w:szCs w:val="18"/>
    </w:rPr>
  </w:style>
  <w:style w:type="paragraph" w:customStyle="1" w:styleId="49">
    <w:name w:val="xl7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黑体" w:hAnsi="黑体" w:cs="宋体"/>
      <w:color w:val="000000"/>
      <w:kern w:val="0"/>
      <w:sz w:val="18"/>
      <w:szCs w:val="18"/>
    </w:rPr>
  </w:style>
  <w:style w:type="paragraph" w:customStyle="1" w:styleId="50">
    <w:name w:val="xl7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黑体" w:hAnsi="宋体" w:eastAsia="黑体" w:cs="宋体"/>
      <w:b/>
      <w:bCs/>
      <w:color w:val="000000"/>
      <w:kern w:val="0"/>
      <w:sz w:val="30"/>
      <w:szCs w:val="30"/>
    </w:rPr>
  </w:style>
  <w:style w:type="paragraph" w:customStyle="1" w:styleId="51">
    <w:name w:val="font5"/>
    <w:basedOn w:val="1"/>
    <w:qFormat/>
    <w:uiPriority w:val="0"/>
    <w:pPr>
      <w:widowControl/>
      <w:spacing w:before="100" w:beforeAutospacing="1" w:after="100" w:afterAutospacing="1"/>
      <w:jc w:val="left"/>
    </w:pPr>
    <w:rPr>
      <w:rFonts w:ascii="黑体" w:hAnsi="宋体" w:eastAsia="黑体" w:cs="宋体"/>
      <w:color w:val="000000"/>
      <w:kern w:val="0"/>
      <w:sz w:val="18"/>
      <w:szCs w:val="18"/>
    </w:rPr>
  </w:style>
  <w:style w:type="paragraph" w:customStyle="1" w:styleId="52">
    <w:name w:val="font6"/>
    <w:basedOn w:val="1"/>
    <w:qFormat/>
    <w:uiPriority w:val="0"/>
    <w:pPr>
      <w:widowControl/>
      <w:spacing w:before="100" w:beforeAutospacing="1" w:after="100" w:afterAutospacing="1"/>
      <w:jc w:val="left"/>
    </w:pPr>
    <w:rPr>
      <w:color w:val="000000"/>
      <w:kern w:val="0"/>
      <w:sz w:val="18"/>
      <w:szCs w:val="18"/>
    </w:rPr>
  </w:style>
  <w:style w:type="paragraph" w:customStyle="1" w:styleId="53">
    <w:name w:val="font7"/>
    <w:basedOn w:val="1"/>
    <w:qFormat/>
    <w:uiPriority w:val="0"/>
    <w:pPr>
      <w:widowControl/>
      <w:spacing w:before="100" w:beforeAutospacing="1" w:after="100" w:afterAutospacing="1"/>
      <w:jc w:val="left"/>
    </w:pPr>
    <w:rPr>
      <w:rFonts w:ascii="黑体" w:hAnsi="宋体" w:eastAsia="黑体" w:cs="宋体"/>
      <w:i/>
      <w:iCs/>
      <w:color w:val="000000"/>
      <w:kern w:val="0"/>
      <w:sz w:val="18"/>
      <w:szCs w:val="18"/>
    </w:rPr>
  </w:style>
  <w:style w:type="paragraph" w:customStyle="1" w:styleId="54">
    <w:name w:val="font8"/>
    <w:basedOn w:val="1"/>
    <w:qFormat/>
    <w:uiPriority w:val="0"/>
    <w:pPr>
      <w:widowControl/>
      <w:spacing w:before="100" w:beforeAutospacing="1" w:after="100" w:afterAutospacing="1"/>
      <w:jc w:val="left"/>
    </w:pPr>
    <w:rPr>
      <w:i/>
      <w:iCs/>
      <w:color w:val="000000"/>
      <w:kern w:val="0"/>
      <w:sz w:val="18"/>
      <w:szCs w:val="18"/>
    </w:rPr>
  </w:style>
  <w:style w:type="paragraph" w:customStyle="1" w:styleId="55">
    <w:name w:val="font9"/>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56">
    <w:name w:val="xl75"/>
    <w:basedOn w:val="1"/>
    <w:qFormat/>
    <w:uiPriority w:val="0"/>
    <w:pPr>
      <w:widowControl/>
      <w:pBdr>
        <w:bottom w:val="single" w:color="000000" w:sz="8" w:space="0"/>
        <w:right w:val="single" w:color="000000" w:sz="8" w:space="0"/>
      </w:pBdr>
      <w:spacing w:before="100" w:beforeAutospacing="1" w:after="100" w:afterAutospacing="1"/>
    </w:pPr>
    <w:rPr>
      <w:rFonts w:ascii="微软雅黑" w:hAnsi="微软雅黑" w:eastAsia="微软雅黑" w:cs="宋体"/>
      <w:i/>
      <w:iCs/>
      <w:color w:val="000000"/>
      <w:kern w:val="0"/>
      <w:sz w:val="16"/>
      <w:szCs w:val="16"/>
    </w:rPr>
  </w:style>
  <w:style w:type="paragraph" w:customStyle="1" w:styleId="57">
    <w:name w:val="xl76"/>
    <w:basedOn w:val="1"/>
    <w:qFormat/>
    <w:uiPriority w:val="0"/>
    <w:pPr>
      <w:widowControl/>
      <w:pBdr>
        <w:bottom w:val="single" w:color="000000" w:sz="8" w:space="0"/>
        <w:right w:val="single" w:color="000000" w:sz="8" w:space="0"/>
      </w:pBdr>
      <w:spacing w:before="100" w:beforeAutospacing="1" w:after="100" w:afterAutospacing="1"/>
      <w:jc w:val="center"/>
    </w:pPr>
    <w:rPr>
      <w:rFonts w:ascii="Arial" w:hAnsi="Arial" w:cs="Arial"/>
      <w:color w:val="000000"/>
      <w:kern w:val="0"/>
      <w:sz w:val="18"/>
      <w:szCs w:val="18"/>
    </w:rPr>
  </w:style>
  <w:style w:type="paragraph" w:customStyle="1" w:styleId="58">
    <w:name w:val="xl77"/>
    <w:basedOn w:val="1"/>
    <w:qFormat/>
    <w:uiPriority w:val="0"/>
    <w:pPr>
      <w:widowControl/>
      <w:spacing w:before="100" w:beforeAutospacing="1" w:after="100" w:afterAutospacing="1"/>
      <w:jc w:val="left"/>
    </w:pPr>
    <w:rPr>
      <w:rFonts w:ascii="黑体" w:hAnsi="宋体" w:eastAsia="黑体" w:cs="宋体"/>
      <w:color w:val="000000"/>
      <w:kern w:val="0"/>
      <w:sz w:val="18"/>
      <w:szCs w:val="18"/>
    </w:rPr>
  </w:style>
  <w:style w:type="paragraph" w:customStyle="1" w:styleId="59">
    <w:name w:val="xl78"/>
    <w:basedOn w:val="1"/>
    <w:qFormat/>
    <w:uiPriority w:val="0"/>
    <w:pPr>
      <w:widowControl/>
      <w:spacing w:before="100" w:beforeAutospacing="1" w:after="100" w:afterAutospacing="1"/>
    </w:pPr>
    <w:rPr>
      <w:rFonts w:ascii="宋体" w:hAnsi="宋体" w:cs="宋体"/>
      <w:color w:val="000000"/>
      <w:kern w:val="0"/>
      <w:sz w:val="18"/>
      <w:szCs w:val="18"/>
    </w:rPr>
  </w:style>
  <w:style w:type="paragraph" w:customStyle="1" w:styleId="60">
    <w:name w:val="xl79"/>
    <w:basedOn w:val="1"/>
    <w:qFormat/>
    <w:uiPriority w:val="0"/>
    <w:pPr>
      <w:widowControl/>
      <w:pBdr>
        <w:bottom w:val="single" w:color="000000" w:sz="8" w:space="0"/>
        <w:right w:val="single" w:color="000000" w:sz="8" w:space="0"/>
      </w:pBdr>
      <w:spacing w:before="100" w:beforeAutospacing="1" w:after="100" w:afterAutospacing="1"/>
    </w:pPr>
    <w:rPr>
      <w:rFonts w:ascii="宋体" w:hAnsi="宋体" w:cs="宋体"/>
      <w:color w:val="000000"/>
      <w:kern w:val="0"/>
      <w:sz w:val="18"/>
      <w:szCs w:val="18"/>
    </w:rPr>
  </w:style>
  <w:style w:type="paragraph" w:customStyle="1" w:styleId="61">
    <w:name w:val="xl80"/>
    <w:basedOn w:val="1"/>
    <w:qFormat/>
    <w:uiPriority w:val="0"/>
    <w:pPr>
      <w:widowControl/>
      <w:spacing w:before="100" w:beforeAutospacing="1" w:after="100" w:afterAutospacing="1"/>
    </w:pPr>
    <w:rPr>
      <w:rFonts w:ascii="宋体" w:hAnsi="宋体" w:cs="宋体"/>
      <w:color w:val="000000"/>
      <w:kern w:val="0"/>
      <w:sz w:val="24"/>
    </w:rPr>
  </w:style>
  <w:style w:type="paragraph" w:customStyle="1" w:styleId="62">
    <w:name w:val="xl81"/>
    <w:basedOn w:val="1"/>
    <w:qFormat/>
    <w:uiPriority w:val="0"/>
    <w:pPr>
      <w:widowControl/>
      <w:pBdr>
        <w:bottom w:val="single" w:color="000000" w:sz="8" w:space="0"/>
        <w:right w:val="single" w:color="000000" w:sz="8" w:space="0"/>
      </w:pBdr>
      <w:spacing w:before="100" w:beforeAutospacing="1" w:after="100" w:afterAutospacing="1"/>
      <w:jc w:val="right"/>
    </w:pPr>
    <w:rPr>
      <w:rFonts w:ascii="宋体" w:hAnsi="宋体" w:cs="宋体"/>
      <w:color w:val="000000"/>
      <w:kern w:val="0"/>
      <w:sz w:val="18"/>
      <w:szCs w:val="18"/>
    </w:rPr>
  </w:style>
  <w:style w:type="paragraph" w:customStyle="1" w:styleId="63">
    <w:name w:val="xl82"/>
    <w:basedOn w:val="1"/>
    <w:qFormat/>
    <w:uiPriority w:val="0"/>
    <w:pPr>
      <w:widowControl/>
      <w:pBdr>
        <w:bottom w:val="single" w:color="000000" w:sz="8" w:space="0"/>
        <w:right w:val="single" w:color="000000" w:sz="8" w:space="0"/>
      </w:pBdr>
      <w:spacing w:before="100" w:beforeAutospacing="1" w:after="100" w:afterAutospacing="1"/>
      <w:jc w:val="left"/>
    </w:pPr>
    <w:rPr>
      <w:rFonts w:ascii="宋体" w:hAnsi="宋体" w:cs="宋体"/>
      <w:color w:val="000000"/>
      <w:kern w:val="0"/>
      <w:sz w:val="18"/>
      <w:szCs w:val="18"/>
    </w:rPr>
  </w:style>
  <w:style w:type="paragraph" w:customStyle="1" w:styleId="64">
    <w:name w:val="xl83"/>
    <w:basedOn w:val="1"/>
    <w:qFormat/>
    <w:uiPriority w:val="0"/>
    <w:pPr>
      <w:widowControl/>
      <w:pBdr>
        <w:bottom w:val="single" w:color="000000" w:sz="8" w:space="0"/>
        <w:right w:val="single" w:color="000000" w:sz="8" w:space="0"/>
      </w:pBdr>
      <w:spacing w:before="100" w:beforeAutospacing="1" w:after="100" w:afterAutospacing="1"/>
    </w:pPr>
    <w:rPr>
      <w:rFonts w:ascii="宋体" w:hAnsi="宋体" w:cs="宋体"/>
      <w:color w:val="000000"/>
      <w:kern w:val="0"/>
      <w:sz w:val="18"/>
      <w:szCs w:val="18"/>
    </w:rPr>
  </w:style>
  <w:style w:type="paragraph" w:customStyle="1" w:styleId="65">
    <w:name w:val="xl84"/>
    <w:basedOn w:val="1"/>
    <w:qFormat/>
    <w:uiPriority w:val="0"/>
    <w:pPr>
      <w:widowControl/>
      <w:pBdr>
        <w:right w:val="single" w:color="000000" w:sz="8" w:space="0"/>
      </w:pBdr>
      <w:spacing w:before="100" w:beforeAutospacing="1" w:after="100" w:afterAutospacing="1"/>
      <w:jc w:val="center"/>
    </w:pPr>
    <w:rPr>
      <w:rFonts w:ascii="微软雅黑" w:hAnsi="微软雅黑" w:eastAsia="微软雅黑" w:cs="宋体"/>
      <w:i/>
      <w:iCs/>
      <w:color w:val="000000"/>
      <w:kern w:val="0"/>
      <w:sz w:val="16"/>
      <w:szCs w:val="16"/>
    </w:rPr>
  </w:style>
  <w:style w:type="paragraph" w:customStyle="1" w:styleId="66">
    <w:name w:val="xl85"/>
    <w:basedOn w:val="1"/>
    <w:qFormat/>
    <w:uiPriority w:val="0"/>
    <w:pPr>
      <w:widowControl/>
      <w:pBdr>
        <w:top w:val="single" w:color="000000" w:sz="8" w:space="0"/>
        <w:left w:val="single" w:color="000000" w:sz="8" w:space="0"/>
        <w:bottom w:val="single" w:color="000000" w:sz="8" w:space="0"/>
        <w:right w:val="single" w:color="000000" w:sz="8" w:space="0"/>
      </w:pBdr>
      <w:spacing w:before="100" w:beforeAutospacing="1" w:after="100" w:afterAutospacing="1"/>
      <w:jc w:val="center"/>
    </w:pPr>
    <w:rPr>
      <w:rFonts w:ascii="宋体" w:hAnsi="宋体" w:cs="宋体"/>
      <w:color w:val="000000"/>
      <w:kern w:val="0"/>
      <w:sz w:val="18"/>
      <w:szCs w:val="18"/>
    </w:rPr>
  </w:style>
  <w:style w:type="paragraph" w:customStyle="1" w:styleId="67">
    <w:name w:val="xl86"/>
    <w:basedOn w:val="1"/>
    <w:qFormat/>
    <w:uiPriority w:val="0"/>
    <w:pPr>
      <w:widowControl/>
      <w:pBdr>
        <w:top w:val="single" w:color="000000" w:sz="8" w:space="0"/>
        <w:bottom w:val="single" w:color="000000" w:sz="8" w:space="0"/>
        <w:right w:val="single" w:color="000000" w:sz="8" w:space="0"/>
      </w:pBdr>
      <w:spacing w:before="100" w:beforeAutospacing="1" w:after="100" w:afterAutospacing="1"/>
      <w:jc w:val="center"/>
    </w:pPr>
    <w:rPr>
      <w:rFonts w:ascii="宋体" w:hAnsi="宋体" w:cs="宋体"/>
      <w:color w:val="000000"/>
      <w:kern w:val="0"/>
      <w:sz w:val="18"/>
      <w:szCs w:val="18"/>
    </w:rPr>
  </w:style>
  <w:style w:type="paragraph" w:customStyle="1" w:styleId="68">
    <w:name w:val="xl87"/>
    <w:basedOn w:val="1"/>
    <w:qFormat/>
    <w:uiPriority w:val="0"/>
    <w:pPr>
      <w:widowControl/>
      <w:pBdr>
        <w:bottom w:val="single" w:color="000000" w:sz="8" w:space="0"/>
        <w:right w:val="single" w:color="000000" w:sz="8" w:space="0"/>
      </w:pBdr>
      <w:spacing w:before="100" w:beforeAutospacing="1" w:after="100" w:afterAutospacing="1"/>
      <w:jc w:val="center"/>
    </w:pPr>
    <w:rPr>
      <w:rFonts w:ascii="宋体" w:hAnsi="宋体" w:cs="宋体"/>
      <w:color w:val="000000"/>
      <w:kern w:val="0"/>
      <w:sz w:val="18"/>
      <w:szCs w:val="18"/>
    </w:rPr>
  </w:style>
  <w:style w:type="paragraph" w:customStyle="1" w:styleId="69">
    <w:name w:val="xl88"/>
    <w:basedOn w:val="1"/>
    <w:qFormat/>
    <w:uiPriority w:val="0"/>
    <w:pPr>
      <w:widowControl/>
      <w:pBdr>
        <w:top w:val="single" w:color="000000" w:sz="8" w:space="0"/>
        <w:bottom w:val="single" w:color="000000" w:sz="8" w:space="0"/>
        <w:right w:val="single" w:color="000000" w:sz="8" w:space="0"/>
      </w:pBdr>
      <w:spacing w:before="100" w:beforeAutospacing="1" w:after="100" w:afterAutospacing="1"/>
      <w:jc w:val="center"/>
    </w:pPr>
    <w:rPr>
      <w:rFonts w:ascii="宋体" w:hAnsi="宋体" w:cs="宋体"/>
      <w:color w:val="000000"/>
      <w:kern w:val="0"/>
      <w:sz w:val="18"/>
      <w:szCs w:val="18"/>
    </w:rPr>
  </w:style>
  <w:style w:type="paragraph" w:customStyle="1" w:styleId="70">
    <w:name w:val="xl89"/>
    <w:basedOn w:val="1"/>
    <w:qFormat/>
    <w:uiPriority w:val="0"/>
    <w:pPr>
      <w:widowControl/>
      <w:pBdr>
        <w:top w:val="single" w:color="000000" w:sz="8" w:space="0"/>
        <w:left w:val="single" w:color="000000" w:sz="8" w:space="0"/>
        <w:bottom w:val="single" w:color="000000" w:sz="8" w:space="0"/>
      </w:pBdr>
      <w:spacing w:before="100" w:beforeAutospacing="1" w:after="100" w:afterAutospacing="1"/>
      <w:jc w:val="left"/>
    </w:pPr>
    <w:rPr>
      <w:rFonts w:ascii="黑体" w:hAnsi="宋体" w:eastAsia="黑体" w:cs="宋体"/>
      <w:color w:val="000000"/>
      <w:kern w:val="0"/>
      <w:sz w:val="18"/>
      <w:szCs w:val="18"/>
    </w:rPr>
  </w:style>
  <w:style w:type="paragraph" w:customStyle="1" w:styleId="71">
    <w:name w:val="xl90"/>
    <w:basedOn w:val="1"/>
    <w:qFormat/>
    <w:uiPriority w:val="0"/>
    <w:pPr>
      <w:widowControl/>
      <w:pBdr>
        <w:top w:val="single" w:color="000000" w:sz="8" w:space="0"/>
        <w:bottom w:val="single" w:color="000000" w:sz="8" w:space="0"/>
      </w:pBdr>
      <w:spacing w:before="100" w:beforeAutospacing="1" w:after="100" w:afterAutospacing="1"/>
      <w:jc w:val="left"/>
    </w:pPr>
    <w:rPr>
      <w:rFonts w:ascii="黑体" w:hAnsi="宋体" w:eastAsia="黑体" w:cs="宋体"/>
      <w:color w:val="000000"/>
      <w:kern w:val="0"/>
      <w:sz w:val="18"/>
      <w:szCs w:val="18"/>
    </w:rPr>
  </w:style>
  <w:style w:type="paragraph" w:customStyle="1" w:styleId="72">
    <w:name w:val="xl91"/>
    <w:basedOn w:val="1"/>
    <w:qFormat/>
    <w:uiPriority w:val="0"/>
    <w:pPr>
      <w:widowControl/>
      <w:pBdr>
        <w:top w:val="single" w:color="000000" w:sz="8" w:space="0"/>
        <w:bottom w:val="single" w:color="000000" w:sz="8" w:space="0"/>
        <w:right w:val="single" w:color="000000" w:sz="8" w:space="0"/>
      </w:pBdr>
      <w:spacing w:before="100" w:beforeAutospacing="1" w:after="100" w:afterAutospacing="1"/>
      <w:jc w:val="left"/>
    </w:pPr>
    <w:rPr>
      <w:rFonts w:ascii="黑体" w:hAnsi="宋体" w:eastAsia="黑体" w:cs="宋体"/>
      <w:color w:val="000000"/>
      <w:kern w:val="0"/>
      <w:sz w:val="18"/>
      <w:szCs w:val="18"/>
    </w:rPr>
  </w:style>
  <w:style w:type="paragraph" w:customStyle="1" w:styleId="73">
    <w:name w:val="xl92"/>
    <w:basedOn w:val="1"/>
    <w:qFormat/>
    <w:uiPriority w:val="0"/>
    <w:pPr>
      <w:widowControl/>
      <w:pBdr>
        <w:left w:val="single" w:color="000000" w:sz="8" w:space="0"/>
        <w:bottom w:val="single" w:color="000000" w:sz="8" w:space="0"/>
        <w:right w:val="single" w:color="000000" w:sz="8" w:space="0"/>
      </w:pBdr>
      <w:spacing w:before="100" w:beforeAutospacing="1" w:after="100" w:afterAutospacing="1"/>
      <w:jc w:val="left"/>
    </w:pPr>
    <w:rPr>
      <w:rFonts w:ascii="宋体" w:hAnsi="宋体" w:cs="宋体"/>
      <w:color w:val="000000"/>
      <w:kern w:val="0"/>
      <w:sz w:val="18"/>
      <w:szCs w:val="18"/>
    </w:rPr>
  </w:style>
  <w:style w:type="paragraph" w:customStyle="1" w:styleId="74">
    <w:name w:val="xl93"/>
    <w:basedOn w:val="1"/>
    <w:qFormat/>
    <w:uiPriority w:val="0"/>
    <w:pPr>
      <w:widowControl/>
      <w:pBdr>
        <w:bottom w:val="single" w:color="000000" w:sz="8" w:space="0"/>
        <w:right w:val="single" w:color="000000" w:sz="8" w:space="0"/>
      </w:pBdr>
      <w:spacing w:before="100" w:beforeAutospacing="1" w:after="100" w:afterAutospacing="1"/>
    </w:pPr>
    <w:rPr>
      <w:rFonts w:ascii="微软雅黑" w:hAnsi="微软雅黑" w:eastAsia="微软雅黑" w:cs="宋体"/>
      <w:i/>
      <w:iCs/>
      <w:color w:val="000000"/>
      <w:kern w:val="0"/>
      <w:sz w:val="16"/>
      <w:szCs w:val="16"/>
    </w:rPr>
  </w:style>
  <w:style w:type="paragraph" w:customStyle="1" w:styleId="75">
    <w:name w:val="xl94"/>
    <w:basedOn w:val="1"/>
    <w:qFormat/>
    <w:uiPriority w:val="0"/>
    <w:pPr>
      <w:widowControl/>
      <w:pBdr>
        <w:bottom w:val="single" w:color="000000" w:sz="8" w:space="0"/>
        <w:right w:val="single" w:color="000000" w:sz="8" w:space="0"/>
      </w:pBdr>
      <w:spacing w:before="100" w:beforeAutospacing="1" w:after="100" w:afterAutospacing="1"/>
      <w:jc w:val="center"/>
    </w:pPr>
    <w:rPr>
      <w:rFonts w:ascii="宋体" w:hAnsi="宋体" w:cs="宋体"/>
      <w:color w:val="000000"/>
      <w:kern w:val="0"/>
      <w:sz w:val="18"/>
      <w:szCs w:val="18"/>
    </w:rPr>
  </w:style>
  <w:style w:type="paragraph" w:customStyle="1" w:styleId="76">
    <w:name w:val="xl95"/>
    <w:basedOn w:val="1"/>
    <w:qFormat/>
    <w:uiPriority w:val="0"/>
    <w:pPr>
      <w:widowControl/>
      <w:pBdr>
        <w:bottom w:val="single" w:color="000000" w:sz="8" w:space="0"/>
        <w:right w:val="single" w:color="000000" w:sz="8" w:space="0"/>
      </w:pBdr>
      <w:spacing w:before="100" w:beforeAutospacing="1" w:after="100" w:afterAutospacing="1"/>
      <w:jc w:val="left"/>
    </w:pPr>
    <w:rPr>
      <w:color w:val="000000"/>
      <w:kern w:val="0"/>
      <w:sz w:val="18"/>
      <w:szCs w:val="18"/>
    </w:rPr>
  </w:style>
  <w:style w:type="paragraph" w:customStyle="1" w:styleId="77">
    <w:name w:val="xl96"/>
    <w:basedOn w:val="1"/>
    <w:qFormat/>
    <w:uiPriority w:val="0"/>
    <w:pPr>
      <w:widowControl/>
      <w:pBdr>
        <w:bottom w:val="single" w:color="000000" w:sz="8" w:space="0"/>
        <w:right w:val="single" w:color="000000" w:sz="8" w:space="0"/>
      </w:pBdr>
      <w:spacing w:before="100" w:beforeAutospacing="1" w:after="100" w:afterAutospacing="1"/>
      <w:jc w:val="center"/>
    </w:pPr>
    <w:rPr>
      <w:color w:val="000000"/>
      <w:kern w:val="0"/>
      <w:sz w:val="18"/>
      <w:szCs w:val="18"/>
    </w:rPr>
  </w:style>
  <w:style w:type="paragraph" w:customStyle="1" w:styleId="78">
    <w:name w:val="xl97"/>
    <w:basedOn w:val="1"/>
    <w:qFormat/>
    <w:uiPriority w:val="0"/>
    <w:pPr>
      <w:widowControl/>
      <w:pBdr>
        <w:bottom w:val="single" w:color="000000" w:sz="8" w:space="0"/>
        <w:right w:val="single" w:color="000000" w:sz="8" w:space="0"/>
      </w:pBdr>
      <w:spacing w:before="100" w:beforeAutospacing="1" w:after="100" w:afterAutospacing="1"/>
      <w:jc w:val="left"/>
    </w:pPr>
    <w:rPr>
      <w:rFonts w:ascii="微软雅黑" w:hAnsi="微软雅黑" w:eastAsia="微软雅黑" w:cs="宋体"/>
      <w:i/>
      <w:iCs/>
      <w:color w:val="000000"/>
      <w:kern w:val="0"/>
      <w:sz w:val="16"/>
      <w:szCs w:val="16"/>
    </w:rPr>
  </w:style>
  <w:style w:type="paragraph" w:customStyle="1" w:styleId="79">
    <w:name w:val="xl98"/>
    <w:basedOn w:val="1"/>
    <w:qFormat/>
    <w:uiPriority w:val="0"/>
    <w:pPr>
      <w:widowControl/>
      <w:pBdr>
        <w:bottom w:val="single" w:color="000000" w:sz="8" w:space="0"/>
        <w:right w:val="single" w:color="000000" w:sz="8" w:space="0"/>
      </w:pBdr>
      <w:spacing w:before="100" w:beforeAutospacing="1" w:after="100" w:afterAutospacing="1"/>
      <w:jc w:val="center"/>
    </w:pPr>
    <w:rPr>
      <w:color w:val="000000"/>
      <w:kern w:val="0"/>
      <w:sz w:val="18"/>
      <w:szCs w:val="18"/>
    </w:rPr>
  </w:style>
  <w:style w:type="paragraph" w:customStyle="1" w:styleId="80">
    <w:name w:val="xl99"/>
    <w:basedOn w:val="1"/>
    <w:qFormat/>
    <w:uiPriority w:val="0"/>
    <w:pPr>
      <w:widowControl/>
      <w:pBdr>
        <w:bottom w:val="single" w:color="000000" w:sz="8" w:space="0"/>
        <w:right w:val="single" w:color="000000" w:sz="8" w:space="0"/>
      </w:pBdr>
      <w:spacing w:before="100" w:beforeAutospacing="1" w:after="100" w:afterAutospacing="1"/>
      <w:jc w:val="left"/>
    </w:pPr>
    <w:rPr>
      <w:rFonts w:ascii="宋体" w:hAnsi="宋体" w:cs="宋体"/>
      <w:color w:val="000000"/>
      <w:kern w:val="0"/>
      <w:sz w:val="18"/>
      <w:szCs w:val="18"/>
    </w:rPr>
  </w:style>
  <w:style w:type="paragraph" w:customStyle="1" w:styleId="81">
    <w:name w:val="xl100"/>
    <w:basedOn w:val="1"/>
    <w:qFormat/>
    <w:uiPriority w:val="0"/>
    <w:pPr>
      <w:widowControl/>
      <w:pBdr>
        <w:bottom w:val="single" w:color="000000" w:sz="8" w:space="0"/>
        <w:right w:val="single" w:color="000000" w:sz="8" w:space="0"/>
      </w:pBdr>
      <w:spacing w:before="100" w:beforeAutospacing="1" w:after="100" w:afterAutospacing="1"/>
      <w:jc w:val="left"/>
    </w:pPr>
    <w:rPr>
      <w:rFonts w:ascii="微软雅黑" w:hAnsi="微软雅黑" w:eastAsia="微软雅黑" w:cs="宋体"/>
      <w:i/>
      <w:iCs/>
      <w:color w:val="000000"/>
      <w:kern w:val="0"/>
      <w:sz w:val="16"/>
      <w:szCs w:val="16"/>
    </w:rPr>
  </w:style>
  <w:style w:type="paragraph" w:customStyle="1" w:styleId="82">
    <w:name w:val="xl101"/>
    <w:basedOn w:val="1"/>
    <w:qFormat/>
    <w:uiPriority w:val="0"/>
    <w:pPr>
      <w:widowControl/>
      <w:pBdr>
        <w:right w:val="single" w:color="000000" w:sz="8" w:space="0"/>
      </w:pBdr>
      <w:spacing w:before="100" w:beforeAutospacing="1" w:after="100" w:afterAutospacing="1"/>
      <w:jc w:val="center"/>
    </w:pPr>
    <w:rPr>
      <w:color w:val="000000"/>
      <w:kern w:val="0"/>
      <w:sz w:val="18"/>
      <w:szCs w:val="18"/>
    </w:rPr>
  </w:style>
  <w:style w:type="paragraph" w:customStyle="1" w:styleId="83">
    <w:name w:val="xl102"/>
    <w:basedOn w:val="1"/>
    <w:qFormat/>
    <w:uiPriority w:val="0"/>
    <w:pPr>
      <w:widowControl/>
      <w:pBdr>
        <w:bottom w:val="single" w:color="000000" w:sz="8" w:space="0"/>
        <w:right w:val="single" w:color="000000" w:sz="8" w:space="0"/>
      </w:pBdr>
      <w:spacing w:before="100" w:beforeAutospacing="1" w:after="100" w:afterAutospacing="1"/>
      <w:jc w:val="center"/>
    </w:pPr>
    <w:rPr>
      <w:color w:val="000000"/>
      <w:kern w:val="0"/>
      <w:sz w:val="18"/>
      <w:szCs w:val="18"/>
    </w:rPr>
  </w:style>
  <w:style w:type="paragraph" w:customStyle="1" w:styleId="84">
    <w:name w:val="xl103"/>
    <w:basedOn w:val="1"/>
    <w:qFormat/>
    <w:uiPriority w:val="0"/>
    <w:pPr>
      <w:widowControl/>
      <w:pBdr>
        <w:top w:val="single" w:color="000000" w:sz="8" w:space="0"/>
        <w:left w:val="single" w:color="000000" w:sz="8" w:space="0"/>
        <w:right w:val="single" w:color="000000" w:sz="8" w:space="0"/>
      </w:pBdr>
      <w:spacing w:before="100" w:beforeAutospacing="1" w:after="100" w:afterAutospacing="1"/>
      <w:jc w:val="center"/>
    </w:pPr>
    <w:rPr>
      <w:rFonts w:ascii="宋体" w:hAnsi="宋体" w:cs="宋体"/>
      <w:color w:val="000000"/>
      <w:kern w:val="0"/>
      <w:sz w:val="18"/>
      <w:szCs w:val="18"/>
    </w:rPr>
  </w:style>
  <w:style w:type="paragraph" w:customStyle="1" w:styleId="85">
    <w:name w:val="xl104"/>
    <w:basedOn w:val="1"/>
    <w:qFormat/>
    <w:uiPriority w:val="0"/>
    <w:pPr>
      <w:widowControl/>
      <w:pBdr>
        <w:left w:val="single" w:color="000000" w:sz="8" w:space="0"/>
        <w:right w:val="single" w:color="000000" w:sz="8" w:space="0"/>
      </w:pBdr>
      <w:spacing w:before="100" w:beforeAutospacing="1" w:after="100" w:afterAutospacing="1"/>
      <w:jc w:val="center"/>
    </w:pPr>
    <w:rPr>
      <w:rFonts w:ascii="宋体" w:hAnsi="宋体" w:cs="宋体"/>
      <w:color w:val="000000"/>
      <w:kern w:val="0"/>
      <w:sz w:val="18"/>
      <w:szCs w:val="18"/>
    </w:rPr>
  </w:style>
  <w:style w:type="paragraph" w:customStyle="1" w:styleId="86">
    <w:name w:val="xl105"/>
    <w:basedOn w:val="1"/>
    <w:qFormat/>
    <w:uiPriority w:val="0"/>
    <w:pPr>
      <w:widowControl/>
      <w:pBdr>
        <w:top w:val="single" w:color="000000" w:sz="8" w:space="0"/>
        <w:left w:val="single" w:color="000000" w:sz="8" w:space="0"/>
        <w:bottom w:val="single" w:color="000000" w:sz="8" w:space="0"/>
      </w:pBdr>
      <w:spacing w:before="100" w:beforeAutospacing="1" w:after="100" w:afterAutospacing="1"/>
      <w:jc w:val="center"/>
    </w:pPr>
    <w:rPr>
      <w:rFonts w:ascii="宋体" w:hAnsi="宋体" w:cs="宋体"/>
      <w:color w:val="000000"/>
      <w:kern w:val="0"/>
      <w:sz w:val="18"/>
      <w:szCs w:val="18"/>
    </w:rPr>
  </w:style>
  <w:style w:type="paragraph" w:customStyle="1" w:styleId="87">
    <w:name w:val="xl106"/>
    <w:basedOn w:val="1"/>
    <w:qFormat/>
    <w:uiPriority w:val="0"/>
    <w:pPr>
      <w:widowControl/>
      <w:pBdr>
        <w:top w:val="single" w:color="000000" w:sz="8" w:space="0"/>
        <w:bottom w:val="single" w:color="000000" w:sz="8" w:space="0"/>
      </w:pBdr>
      <w:spacing w:before="100" w:beforeAutospacing="1" w:after="100" w:afterAutospacing="1"/>
      <w:jc w:val="center"/>
    </w:pPr>
    <w:rPr>
      <w:rFonts w:ascii="宋体" w:hAnsi="宋体" w:cs="宋体"/>
      <w:color w:val="000000"/>
      <w:kern w:val="0"/>
      <w:sz w:val="18"/>
      <w:szCs w:val="18"/>
    </w:rPr>
  </w:style>
  <w:style w:type="paragraph" w:customStyle="1" w:styleId="88">
    <w:name w:val="xl107"/>
    <w:basedOn w:val="1"/>
    <w:qFormat/>
    <w:uiPriority w:val="0"/>
    <w:pPr>
      <w:widowControl/>
      <w:pBdr>
        <w:top w:val="single" w:color="000000" w:sz="8" w:space="0"/>
        <w:left w:val="single" w:color="000000" w:sz="8" w:space="0"/>
        <w:bottom w:val="single" w:color="000000" w:sz="8" w:space="0"/>
      </w:pBdr>
      <w:spacing w:before="100" w:beforeAutospacing="1" w:after="100" w:afterAutospacing="1"/>
      <w:jc w:val="left"/>
    </w:pPr>
    <w:rPr>
      <w:rFonts w:ascii="微软雅黑" w:hAnsi="微软雅黑" w:eastAsia="微软雅黑" w:cs="宋体"/>
      <w:i/>
      <w:iCs/>
      <w:color w:val="000000"/>
      <w:kern w:val="0"/>
      <w:sz w:val="16"/>
      <w:szCs w:val="16"/>
    </w:rPr>
  </w:style>
  <w:style w:type="paragraph" w:customStyle="1" w:styleId="89">
    <w:name w:val="xl108"/>
    <w:basedOn w:val="1"/>
    <w:qFormat/>
    <w:uiPriority w:val="0"/>
    <w:pPr>
      <w:widowControl/>
      <w:pBdr>
        <w:top w:val="single" w:color="000000" w:sz="8" w:space="0"/>
        <w:bottom w:val="single" w:color="000000" w:sz="8" w:space="0"/>
      </w:pBdr>
      <w:spacing w:before="100" w:beforeAutospacing="1" w:after="100" w:afterAutospacing="1"/>
      <w:jc w:val="left"/>
    </w:pPr>
    <w:rPr>
      <w:rFonts w:ascii="微软雅黑" w:hAnsi="微软雅黑" w:eastAsia="微软雅黑" w:cs="宋体"/>
      <w:i/>
      <w:iCs/>
      <w:color w:val="000000"/>
      <w:kern w:val="0"/>
      <w:sz w:val="16"/>
      <w:szCs w:val="16"/>
    </w:rPr>
  </w:style>
  <w:style w:type="paragraph" w:customStyle="1" w:styleId="90">
    <w:name w:val="xl109"/>
    <w:basedOn w:val="1"/>
    <w:qFormat/>
    <w:uiPriority w:val="0"/>
    <w:pPr>
      <w:widowControl/>
      <w:pBdr>
        <w:top w:val="single" w:color="000000" w:sz="8" w:space="0"/>
        <w:bottom w:val="single" w:color="000000" w:sz="8" w:space="0"/>
        <w:right w:val="single" w:color="000000" w:sz="8" w:space="0"/>
      </w:pBdr>
      <w:spacing w:before="100" w:beforeAutospacing="1" w:after="100" w:afterAutospacing="1"/>
      <w:jc w:val="left"/>
    </w:pPr>
    <w:rPr>
      <w:rFonts w:ascii="微软雅黑" w:hAnsi="微软雅黑" w:eastAsia="微软雅黑" w:cs="宋体"/>
      <w:i/>
      <w:iCs/>
      <w:color w:val="000000"/>
      <w:kern w:val="0"/>
      <w:sz w:val="16"/>
      <w:szCs w:val="16"/>
    </w:rPr>
  </w:style>
  <w:style w:type="paragraph" w:customStyle="1" w:styleId="91">
    <w:name w:val="xl110"/>
    <w:basedOn w:val="1"/>
    <w:qFormat/>
    <w:uiPriority w:val="0"/>
    <w:pPr>
      <w:widowControl/>
      <w:pBdr>
        <w:top w:val="single" w:color="000000" w:sz="8" w:space="0"/>
        <w:left w:val="single" w:color="000000" w:sz="8" w:space="0"/>
        <w:bottom w:val="single" w:color="000000" w:sz="8" w:space="0"/>
      </w:pBdr>
      <w:spacing w:before="100" w:beforeAutospacing="1" w:after="100" w:afterAutospacing="1"/>
      <w:jc w:val="left"/>
    </w:pPr>
    <w:rPr>
      <w:color w:val="000000"/>
      <w:kern w:val="0"/>
      <w:sz w:val="18"/>
      <w:szCs w:val="18"/>
    </w:rPr>
  </w:style>
  <w:style w:type="paragraph" w:customStyle="1" w:styleId="92">
    <w:name w:val="xl111"/>
    <w:basedOn w:val="1"/>
    <w:qFormat/>
    <w:uiPriority w:val="0"/>
    <w:pPr>
      <w:widowControl/>
      <w:pBdr>
        <w:top w:val="single" w:color="000000" w:sz="8" w:space="0"/>
        <w:bottom w:val="single" w:color="000000" w:sz="8" w:space="0"/>
      </w:pBdr>
      <w:spacing w:before="100" w:beforeAutospacing="1" w:after="100" w:afterAutospacing="1"/>
      <w:jc w:val="left"/>
    </w:pPr>
    <w:rPr>
      <w:color w:val="000000"/>
      <w:kern w:val="0"/>
      <w:sz w:val="18"/>
      <w:szCs w:val="18"/>
    </w:rPr>
  </w:style>
  <w:style w:type="paragraph" w:customStyle="1" w:styleId="93">
    <w:name w:val="xl112"/>
    <w:basedOn w:val="1"/>
    <w:qFormat/>
    <w:uiPriority w:val="0"/>
    <w:pPr>
      <w:widowControl/>
      <w:pBdr>
        <w:top w:val="single" w:color="000000" w:sz="8" w:space="0"/>
        <w:bottom w:val="single" w:color="000000" w:sz="8" w:space="0"/>
        <w:right w:val="single" w:color="000000" w:sz="8" w:space="0"/>
      </w:pBdr>
      <w:spacing w:before="100" w:beforeAutospacing="1" w:after="100" w:afterAutospacing="1"/>
      <w:jc w:val="left"/>
    </w:pPr>
    <w:rPr>
      <w:color w:val="000000"/>
      <w:kern w:val="0"/>
      <w:sz w:val="18"/>
      <w:szCs w:val="18"/>
    </w:rPr>
  </w:style>
  <w:style w:type="paragraph" w:customStyle="1" w:styleId="94">
    <w:name w:val="xl113"/>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95">
    <w:name w:val="xl114"/>
    <w:basedOn w:val="1"/>
    <w:qFormat/>
    <w:uiPriority w:val="0"/>
    <w:pPr>
      <w:widowControl/>
      <w:pBdr>
        <w:top w:val="single" w:color="000000" w:sz="8" w:space="0"/>
        <w:left w:val="single" w:color="000000" w:sz="8" w:space="0"/>
        <w:bottom w:val="single" w:color="000000" w:sz="8" w:space="0"/>
      </w:pBdr>
      <w:spacing w:before="100" w:beforeAutospacing="1" w:after="100" w:afterAutospacing="1"/>
      <w:jc w:val="left"/>
    </w:pPr>
    <w:rPr>
      <w:rFonts w:ascii="宋体" w:hAnsi="宋体" w:cs="宋体"/>
      <w:color w:val="000000"/>
      <w:kern w:val="0"/>
      <w:sz w:val="18"/>
      <w:szCs w:val="18"/>
    </w:rPr>
  </w:style>
  <w:style w:type="paragraph" w:customStyle="1" w:styleId="96">
    <w:name w:val="xl115"/>
    <w:basedOn w:val="1"/>
    <w:qFormat/>
    <w:uiPriority w:val="0"/>
    <w:pPr>
      <w:widowControl/>
      <w:pBdr>
        <w:top w:val="single" w:color="000000" w:sz="8" w:space="0"/>
        <w:bottom w:val="single" w:color="000000" w:sz="8" w:space="0"/>
        <w:right w:val="single" w:color="000000" w:sz="8" w:space="0"/>
      </w:pBdr>
      <w:spacing w:before="100" w:beforeAutospacing="1" w:after="100" w:afterAutospacing="1"/>
      <w:jc w:val="left"/>
    </w:pPr>
    <w:rPr>
      <w:rFonts w:ascii="宋体" w:hAnsi="宋体" w:cs="宋体"/>
      <w:color w:val="000000"/>
      <w:kern w:val="0"/>
      <w:sz w:val="18"/>
      <w:szCs w:val="18"/>
    </w:rPr>
  </w:style>
  <w:style w:type="paragraph" w:customStyle="1" w:styleId="97">
    <w:name w:val="xl116"/>
    <w:basedOn w:val="1"/>
    <w:qFormat/>
    <w:uiPriority w:val="0"/>
    <w:pPr>
      <w:widowControl/>
      <w:pBdr>
        <w:top w:val="single" w:color="000000" w:sz="8" w:space="0"/>
        <w:bottom w:val="single" w:color="000000" w:sz="8" w:space="0"/>
      </w:pBdr>
      <w:spacing w:before="100" w:beforeAutospacing="1" w:after="100" w:afterAutospacing="1"/>
      <w:jc w:val="left"/>
    </w:pPr>
    <w:rPr>
      <w:rFonts w:ascii="宋体" w:hAnsi="宋体" w:cs="宋体"/>
      <w:color w:val="000000"/>
      <w:kern w:val="0"/>
      <w:sz w:val="18"/>
      <w:szCs w:val="18"/>
    </w:rPr>
  </w:style>
  <w:style w:type="paragraph" w:customStyle="1" w:styleId="98">
    <w:name w:val="xl117"/>
    <w:basedOn w:val="1"/>
    <w:qFormat/>
    <w:uiPriority w:val="0"/>
    <w:pPr>
      <w:widowControl/>
      <w:pBdr>
        <w:top w:val="single" w:color="000000" w:sz="8" w:space="0"/>
        <w:left w:val="single" w:color="000000" w:sz="8" w:space="0"/>
        <w:right w:val="single" w:color="000000" w:sz="8" w:space="0"/>
      </w:pBdr>
      <w:spacing w:before="100" w:beforeAutospacing="1" w:after="100" w:afterAutospacing="1"/>
      <w:jc w:val="left"/>
    </w:pPr>
    <w:rPr>
      <w:rFonts w:ascii="宋体" w:hAnsi="宋体" w:cs="宋体"/>
      <w:color w:val="000000"/>
      <w:kern w:val="0"/>
      <w:sz w:val="18"/>
      <w:szCs w:val="18"/>
    </w:rPr>
  </w:style>
  <w:style w:type="paragraph" w:customStyle="1" w:styleId="99">
    <w:name w:val="xl118"/>
    <w:basedOn w:val="1"/>
    <w:qFormat/>
    <w:uiPriority w:val="0"/>
    <w:pPr>
      <w:widowControl/>
      <w:pBdr>
        <w:left w:val="single" w:color="000000" w:sz="8" w:space="0"/>
        <w:right w:val="single" w:color="000000" w:sz="8" w:space="0"/>
      </w:pBdr>
      <w:spacing w:before="100" w:beforeAutospacing="1" w:after="100" w:afterAutospacing="1"/>
      <w:jc w:val="left"/>
    </w:pPr>
    <w:rPr>
      <w:rFonts w:ascii="宋体" w:hAnsi="宋体" w:cs="宋体"/>
      <w:color w:val="000000"/>
      <w:kern w:val="0"/>
      <w:sz w:val="18"/>
      <w:szCs w:val="18"/>
    </w:rPr>
  </w:style>
  <w:style w:type="paragraph" w:customStyle="1" w:styleId="100">
    <w:name w:val="xl119"/>
    <w:basedOn w:val="1"/>
    <w:qFormat/>
    <w:uiPriority w:val="0"/>
    <w:pPr>
      <w:widowControl/>
      <w:pBdr>
        <w:top w:val="single" w:color="000000" w:sz="8" w:space="0"/>
        <w:left w:val="single" w:color="000000" w:sz="8" w:space="0"/>
        <w:bottom w:val="single" w:color="000000" w:sz="8" w:space="0"/>
      </w:pBdr>
      <w:spacing w:before="100" w:beforeAutospacing="1" w:after="100" w:afterAutospacing="1"/>
      <w:jc w:val="center"/>
    </w:pPr>
    <w:rPr>
      <w:color w:val="000000"/>
      <w:kern w:val="0"/>
      <w:sz w:val="18"/>
      <w:szCs w:val="18"/>
    </w:rPr>
  </w:style>
  <w:style w:type="paragraph" w:customStyle="1" w:styleId="101">
    <w:name w:val="xl120"/>
    <w:basedOn w:val="1"/>
    <w:qFormat/>
    <w:uiPriority w:val="0"/>
    <w:pPr>
      <w:widowControl/>
      <w:pBdr>
        <w:top w:val="single" w:color="000000" w:sz="8" w:space="0"/>
        <w:bottom w:val="single" w:color="000000" w:sz="8" w:space="0"/>
      </w:pBdr>
      <w:spacing w:before="100" w:beforeAutospacing="1" w:after="100" w:afterAutospacing="1"/>
      <w:jc w:val="center"/>
    </w:pPr>
    <w:rPr>
      <w:color w:val="000000"/>
      <w:kern w:val="0"/>
      <w:sz w:val="18"/>
      <w:szCs w:val="18"/>
    </w:rPr>
  </w:style>
  <w:style w:type="paragraph" w:customStyle="1" w:styleId="102">
    <w:name w:val="xl121"/>
    <w:basedOn w:val="1"/>
    <w:qFormat/>
    <w:uiPriority w:val="0"/>
    <w:pPr>
      <w:widowControl/>
      <w:pBdr>
        <w:top w:val="single" w:color="000000" w:sz="8" w:space="0"/>
        <w:bottom w:val="single" w:color="000000" w:sz="8" w:space="0"/>
        <w:right w:val="single" w:color="000000" w:sz="8" w:space="0"/>
      </w:pBdr>
      <w:spacing w:before="100" w:beforeAutospacing="1" w:after="100" w:afterAutospacing="1"/>
      <w:jc w:val="center"/>
    </w:pPr>
    <w:rPr>
      <w:color w:val="000000"/>
      <w:kern w:val="0"/>
      <w:sz w:val="18"/>
      <w:szCs w:val="18"/>
    </w:rPr>
  </w:style>
  <w:style w:type="paragraph" w:customStyle="1" w:styleId="103">
    <w:name w:val="xl122"/>
    <w:basedOn w:val="1"/>
    <w:qFormat/>
    <w:uiPriority w:val="0"/>
    <w:pPr>
      <w:widowControl/>
      <w:pBdr>
        <w:top w:val="single" w:color="000000" w:sz="8" w:space="0"/>
        <w:left w:val="single" w:color="000000" w:sz="8" w:space="0"/>
        <w:right w:val="single" w:color="000000" w:sz="8" w:space="0"/>
      </w:pBdr>
      <w:spacing w:before="100" w:beforeAutospacing="1" w:after="100" w:afterAutospacing="1"/>
      <w:jc w:val="left"/>
    </w:pPr>
    <w:rPr>
      <w:rFonts w:ascii="黑体" w:hAnsi="宋体" w:eastAsia="黑体" w:cs="宋体"/>
      <w:i/>
      <w:iCs/>
      <w:color w:val="000000"/>
      <w:kern w:val="0"/>
      <w:sz w:val="18"/>
      <w:szCs w:val="18"/>
    </w:rPr>
  </w:style>
  <w:style w:type="paragraph" w:customStyle="1" w:styleId="104">
    <w:name w:val="xl123"/>
    <w:basedOn w:val="1"/>
    <w:qFormat/>
    <w:uiPriority w:val="0"/>
    <w:pPr>
      <w:widowControl/>
      <w:pBdr>
        <w:left w:val="single" w:color="000000" w:sz="8" w:space="0"/>
        <w:right w:val="single" w:color="000000" w:sz="8" w:space="0"/>
      </w:pBdr>
      <w:spacing w:before="100" w:beforeAutospacing="1" w:after="100" w:afterAutospacing="1"/>
      <w:jc w:val="left"/>
    </w:pPr>
    <w:rPr>
      <w:rFonts w:ascii="黑体" w:hAnsi="宋体" w:eastAsia="黑体" w:cs="宋体"/>
      <w:i/>
      <w:iCs/>
      <w:color w:val="000000"/>
      <w:kern w:val="0"/>
      <w:sz w:val="18"/>
      <w:szCs w:val="18"/>
    </w:rPr>
  </w:style>
  <w:style w:type="paragraph" w:customStyle="1" w:styleId="105">
    <w:name w:val="xl124"/>
    <w:basedOn w:val="1"/>
    <w:qFormat/>
    <w:uiPriority w:val="0"/>
    <w:pPr>
      <w:widowControl/>
      <w:pBdr>
        <w:left w:val="single" w:color="000000" w:sz="8" w:space="0"/>
        <w:bottom w:val="single" w:color="000000" w:sz="8" w:space="0"/>
        <w:right w:val="single" w:color="000000" w:sz="8" w:space="0"/>
      </w:pBdr>
      <w:spacing w:before="100" w:beforeAutospacing="1" w:after="100" w:afterAutospacing="1"/>
      <w:jc w:val="left"/>
    </w:pPr>
    <w:rPr>
      <w:rFonts w:ascii="黑体" w:hAnsi="宋体" w:eastAsia="黑体" w:cs="宋体"/>
      <w:i/>
      <w:iCs/>
      <w:color w:val="000000"/>
      <w:kern w:val="0"/>
      <w:sz w:val="18"/>
      <w:szCs w:val="18"/>
    </w:rPr>
  </w:style>
  <w:style w:type="paragraph" w:customStyle="1" w:styleId="106">
    <w:name w:val="xl125"/>
    <w:basedOn w:val="1"/>
    <w:qFormat/>
    <w:uiPriority w:val="0"/>
    <w:pPr>
      <w:widowControl/>
      <w:pBdr>
        <w:top w:val="single" w:color="000000" w:sz="8" w:space="0"/>
        <w:left w:val="single" w:color="000000" w:sz="8" w:space="0"/>
        <w:bottom w:val="single" w:color="000000" w:sz="8" w:space="0"/>
      </w:pBdr>
      <w:spacing w:before="100" w:beforeAutospacing="1" w:after="100" w:afterAutospacing="1"/>
      <w:jc w:val="center"/>
    </w:pPr>
    <w:rPr>
      <w:rFonts w:ascii="微软雅黑" w:hAnsi="微软雅黑" w:eastAsia="微软雅黑" w:cs="宋体"/>
      <w:i/>
      <w:iCs/>
      <w:color w:val="000000"/>
      <w:kern w:val="0"/>
      <w:sz w:val="16"/>
      <w:szCs w:val="16"/>
    </w:rPr>
  </w:style>
  <w:style w:type="paragraph" w:customStyle="1" w:styleId="107">
    <w:name w:val="xl126"/>
    <w:basedOn w:val="1"/>
    <w:qFormat/>
    <w:uiPriority w:val="0"/>
    <w:pPr>
      <w:widowControl/>
      <w:pBdr>
        <w:top w:val="single" w:color="000000" w:sz="8" w:space="0"/>
        <w:bottom w:val="single" w:color="000000" w:sz="8" w:space="0"/>
      </w:pBdr>
      <w:spacing w:before="100" w:beforeAutospacing="1" w:after="100" w:afterAutospacing="1"/>
      <w:jc w:val="center"/>
    </w:pPr>
    <w:rPr>
      <w:rFonts w:ascii="微软雅黑" w:hAnsi="微软雅黑" w:eastAsia="微软雅黑" w:cs="宋体"/>
      <w:i/>
      <w:iCs/>
      <w:color w:val="000000"/>
      <w:kern w:val="0"/>
      <w:sz w:val="16"/>
      <w:szCs w:val="16"/>
    </w:rPr>
  </w:style>
  <w:style w:type="paragraph" w:customStyle="1" w:styleId="108">
    <w:name w:val="xl127"/>
    <w:basedOn w:val="1"/>
    <w:qFormat/>
    <w:uiPriority w:val="0"/>
    <w:pPr>
      <w:widowControl/>
      <w:pBdr>
        <w:top w:val="single" w:color="000000" w:sz="8" w:space="0"/>
        <w:bottom w:val="single" w:color="000000" w:sz="8" w:space="0"/>
        <w:right w:val="single" w:color="000000" w:sz="8" w:space="0"/>
      </w:pBdr>
      <w:spacing w:before="100" w:beforeAutospacing="1" w:after="100" w:afterAutospacing="1"/>
      <w:jc w:val="center"/>
    </w:pPr>
    <w:rPr>
      <w:rFonts w:ascii="微软雅黑" w:hAnsi="微软雅黑" w:eastAsia="微软雅黑" w:cs="宋体"/>
      <w:i/>
      <w:iCs/>
      <w:color w:val="000000"/>
      <w:kern w:val="0"/>
      <w:sz w:val="16"/>
      <w:szCs w:val="16"/>
    </w:rPr>
  </w:style>
  <w:style w:type="paragraph" w:customStyle="1" w:styleId="109">
    <w:name w:val="xl128"/>
    <w:basedOn w:val="1"/>
    <w:qFormat/>
    <w:uiPriority w:val="0"/>
    <w:pPr>
      <w:widowControl/>
      <w:pBdr>
        <w:top w:val="single" w:color="000000" w:sz="8" w:space="0"/>
        <w:left w:val="single" w:color="000000" w:sz="8" w:space="0"/>
        <w:bottom w:val="single" w:color="000000" w:sz="8" w:space="0"/>
      </w:pBdr>
      <w:spacing w:before="100" w:beforeAutospacing="1" w:after="100" w:afterAutospacing="1"/>
      <w:jc w:val="center"/>
    </w:pPr>
    <w:rPr>
      <w:rFonts w:ascii="宋体" w:hAnsi="宋体" w:cs="宋体"/>
      <w:color w:val="000000"/>
      <w:kern w:val="0"/>
      <w:sz w:val="18"/>
      <w:szCs w:val="18"/>
    </w:rPr>
  </w:style>
  <w:style w:type="paragraph" w:customStyle="1" w:styleId="110">
    <w:name w:val="xl129"/>
    <w:basedOn w:val="1"/>
    <w:qFormat/>
    <w:uiPriority w:val="0"/>
    <w:pPr>
      <w:widowControl/>
      <w:pBdr>
        <w:top w:val="single" w:color="000000" w:sz="8" w:space="0"/>
        <w:bottom w:val="single" w:color="000000" w:sz="8" w:space="0"/>
      </w:pBdr>
      <w:spacing w:before="100" w:beforeAutospacing="1" w:after="100" w:afterAutospacing="1"/>
      <w:jc w:val="center"/>
    </w:pPr>
    <w:rPr>
      <w:rFonts w:ascii="宋体" w:hAnsi="宋体" w:cs="宋体"/>
      <w:color w:val="000000"/>
      <w:kern w:val="0"/>
      <w:sz w:val="18"/>
      <w:szCs w:val="18"/>
    </w:rPr>
  </w:style>
  <w:style w:type="paragraph" w:customStyle="1" w:styleId="111">
    <w:name w:val="xl130"/>
    <w:basedOn w:val="1"/>
    <w:qFormat/>
    <w:uiPriority w:val="0"/>
    <w:pPr>
      <w:widowControl/>
      <w:pBdr>
        <w:top w:val="single" w:color="000000" w:sz="8" w:space="0"/>
        <w:bottom w:val="single" w:color="000000" w:sz="8" w:space="0"/>
        <w:right w:val="single" w:color="000000" w:sz="8" w:space="0"/>
      </w:pBdr>
      <w:spacing w:before="100" w:beforeAutospacing="1" w:after="100" w:afterAutospacing="1"/>
      <w:jc w:val="center"/>
    </w:pPr>
    <w:rPr>
      <w:rFonts w:ascii="宋体" w:hAnsi="宋体" w:cs="宋体"/>
      <w:color w:val="000000"/>
      <w:kern w:val="0"/>
      <w:sz w:val="18"/>
      <w:szCs w:val="18"/>
    </w:rPr>
  </w:style>
  <w:style w:type="paragraph" w:customStyle="1" w:styleId="112">
    <w:name w:val="xl131"/>
    <w:basedOn w:val="1"/>
    <w:qFormat/>
    <w:uiPriority w:val="0"/>
    <w:pPr>
      <w:widowControl/>
      <w:pBdr>
        <w:top w:val="single" w:color="000000" w:sz="8" w:space="0"/>
        <w:left w:val="single" w:color="000000" w:sz="8" w:space="0"/>
        <w:bottom w:val="single" w:color="000000" w:sz="8" w:space="0"/>
      </w:pBdr>
      <w:spacing w:before="100" w:beforeAutospacing="1" w:after="100" w:afterAutospacing="1"/>
      <w:jc w:val="center"/>
    </w:pPr>
    <w:rPr>
      <w:rFonts w:ascii="黑体" w:hAnsi="宋体" w:eastAsia="黑体" w:cs="宋体"/>
      <w:b/>
      <w:bCs/>
      <w:color w:val="000000"/>
      <w:kern w:val="0"/>
      <w:sz w:val="30"/>
      <w:szCs w:val="30"/>
    </w:rPr>
  </w:style>
  <w:style w:type="paragraph" w:customStyle="1" w:styleId="113">
    <w:name w:val="xl132"/>
    <w:basedOn w:val="1"/>
    <w:qFormat/>
    <w:uiPriority w:val="0"/>
    <w:pPr>
      <w:widowControl/>
      <w:pBdr>
        <w:top w:val="single" w:color="000000" w:sz="8" w:space="0"/>
        <w:bottom w:val="single" w:color="000000" w:sz="8" w:space="0"/>
      </w:pBdr>
      <w:spacing w:before="100" w:beforeAutospacing="1" w:after="100" w:afterAutospacing="1"/>
      <w:jc w:val="center"/>
    </w:pPr>
    <w:rPr>
      <w:rFonts w:ascii="黑体" w:hAnsi="宋体" w:eastAsia="黑体" w:cs="宋体"/>
      <w:b/>
      <w:bCs/>
      <w:color w:val="000000"/>
      <w:kern w:val="0"/>
      <w:sz w:val="30"/>
      <w:szCs w:val="30"/>
    </w:rPr>
  </w:style>
  <w:style w:type="paragraph" w:customStyle="1" w:styleId="114">
    <w:name w:val="xl133"/>
    <w:basedOn w:val="1"/>
    <w:qFormat/>
    <w:uiPriority w:val="0"/>
    <w:pPr>
      <w:widowControl/>
      <w:pBdr>
        <w:top w:val="single" w:color="000000" w:sz="8" w:space="0"/>
        <w:bottom w:val="single" w:color="000000" w:sz="8" w:space="0"/>
        <w:right w:val="single" w:color="000000" w:sz="8" w:space="0"/>
      </w:pBdr>
      <w:spacing w:before="100" w:beforeAutospacing="1" w:after="100" w:afterAutospacing="1"/>
      <w:jc w:val="center"/>
    </w:pPr>
    <w:rPr>
      <w:rFonts w:ascii="黑体" w:hAnsi="宋体" w:eastAsia="黑体" w:cs="宋体"/>
      <w:b/>
      <w:bCs/>
      <w:color w:val="000000"/>
      <w:kern w:val="0"/>
      <w:sz w:val="30"/>
      <w:szCs w:val="30"/>
    </w:rPr>
  </w:style>
  <w:style w:type="paragraph" w:customStyle="1" w:styleId="115">
    <w:name w:val="xl134"/>
    <w:basedOn w:val="1"/>
    <w:qFormat/>
    <w:uiPriority w:val="0"/>
    <w:pPr>
      <w:widowControl/>
      <w:pBdr>
        <w:top w:val="single" w:color="000000" w:sz="8" w:space="0"/>
        <w:left w:val="single" w:color="000000" w:sz="8" w:space="0"/>
      </w:pBdr>
      <w:spacing w:before="100" w:beforeAutospacing="1" w:after="100" w:afterAutospacing="1"/>
      <w:jc w:val="left"/>
    </w:pPr>
    <w:rPr>
      <w:rFonts w:ascii="宋体" w:hAnsi="宋体" w:cs="宋体"/>
      <w:color w:val="000000"/>
      <w:kern w:val="0"/>
      <w:sz w:val="18"/>
      <w:szCs w:val="18"/>
    </w:rPr>
  </w:style>
  <w:style w:type="paragraph" w:customStyle="1" w:styleId="116">
    <w:name w:val="xl135"/>
    <w:basedOn w:val="1"/>
    <w:qFormat/>
    <w:uiPriority w:val="0"/>
    <w:pPr>
      <w:widowControl/>
      <w:pBdr>
        <w:top w:val="single" w:color="000000" w:sz="8" w:space="0"/>
      </w:pBdr>
      <w:spacing w:before="100" w:beforeAutospacing="1" w:after="100" w:afterAutospacing="1"/>
      <w:jc w:val="left"/>
    </w:pPr>
    <w:rPr>
      <w:rFonts w:ascii="宋体" w:hAnsi="宋体" w:cs="宋体"/>
      <w:color w:val="000000"/>
      <w:kern w:val="0"/>
      <w:sz w:val="18"/>
      <w:szCs w:val="18"/>
    </w:rPr>
  </w:style>
  <w:style w:type="paragraph" w:customStyle="1" w:styleId="117">
    <w:name w:val="xl136"/>
    <w:basedOn w:val="1"/>
    <w:qFormat/>
    <w:uiPriority w:val="0"/>
    <w:pPr>
      <w:widowControl/>
      <w:pBdr>
        <w:top w:val="single" w:color="000000" w:sz="8" w:space="0"/>
        <w:right w:val="single" w:color="000000" w:sz="8" w:space="0"/>
      </w:pBdr>
      <w:spacing w:before="100" w:beforeAutospacing="1" w:after="100" w:afterAutospacing="1"/>
      <w:jc w:val="left"/>
    </w:pPr>
    <w:rPr>
      <w:rFonts w:ascii="宋体" w:hAnsi="宋体" w:cs="宋体"/>
      <w:color w:val="000000"/>
      <w:kern w:val="0"/>
      <w:sz w:val="18"/>
      <w:szCs w:val="18"/>
    </w:rPr>
  </w:style>
  <w:style w:type="paragraph" w:customStyle="1" w:styleId="118">
    <w:name w:val="xl137"/>
    <w:basedOn w:val="1"/>
    <w:qFormat/>
    <w:uiPriority w:val="0"/>
    <w:pPr>
      <w:widowControl/>
      <w:pBdr>
        <w:left w:val="single" w:color="000000" w:sz="8" w:space="0"/>
        <w:bottom w:val="single" w:color="000000" w:sz="8" w:space="0"/>
      </w:pBdr>
      <w:spacing w:before="100" w:beforeAutospacing="1" w:after="100" w:afterAutospacing="1"/>
      <w:jc w:val="left"/>
    </w:pPr>
    <w:rPr>
      <w:rFonts w:ascii="宋体" w:hAnsi="宋体" w:cs="宋体"/>
      <w:color w:val="000000"/>
      <w:kern w:val="0"/>
      <w:sz w:val="18"/>
      <w:szCs w:val="18"/>
    </w:rPr>
  </w:style>
  <w:style w:type="paragraph" w:customStyle="1" w:styleId="119">
    <w:name w:val="xl138"/>
    <w:basedOn w:val="1"/>
    <w:qFormat/>
    <w:uiPriority w:val="0"/>
    <w:pPr>
      <w:widowControl/>
      <w:pBdr>
        <w:bottom w:val="single" w:color="000000" w:sz="8" w:space="0"/>
      </w:pBdr>
      <w:spacing w:before="100" w:beforeAutospacing="1" w:after="100" w:afterAutospacing="1"/>
      <w:jc w:val="left"/>
    </w:pPr>
    <w:rPr>
      <w:rFonts w:ascii="宋体" w:hAnsi="宋体" w:cs="宋体"/>
      <w:color w:val="000000"/>
      <w:kern w:val="0"/>
      <w:sz w:val="18"/>
      <w:szCs w:val="18"/>
    </w:rPr>
  </w:style>
  <w:style w:type="paragraph" w:customStyle="1" w:styleId="120">
    <w:name w:val="xl139"/>
    <w:basedOn w:val="1"/>
    <w:qFormat/>
    <w:uiPriority w:val="0"/>
    <w:pPr>
      <w:widowControl/>
      <w:pBdr>
        <w:top w:val="single" w:color="000000" w:sz="8" w:space="0"/>
        <w:left w:val="single" w:color="000000" w:sz="8" w:space="0"/>
      </w:pBdr>
      <w:spacing w:before="100" w:beforeAutospacing="1" w:after="100" w:afterAutospacing="1"/>
      <w:jc w:val="left"/>
    </w:pPr>
    <w:rPr>
      <w:color w:val="000000"/>
      <w:kern w:val="0"/>
      <w:sz w:val="18"/>
      <w:szCs w:val="18"/>
    </w:rPr>
  </w:style>
  <w:style w:type="paragraph" w:customStyle="1" w:styleId="121">
    <w:name w:val="xl140"/>
    <w:basedOn w:val="1"/>
    <w:qFormat/>
    <w:uiPriority w:val="0"/>
    <w:pPr>
      <w:widowControl/>
      <w:pBdr>
        <w:top w:val="single" w:color="000000" w:sz="8" w:space="0"/>
      </w:pBdr>
      <w:spacing w:before="100" w:beforeAutospacing="1" w:after="100" w:afterAutospacing="1"/>
      <w:jc w:val="left"/>
    </w:pPr>
    <w:rPr>
      <w:color w:val="000000"/>
      <w:kern w:val="0"/>
      <w:sz w:val="18"/>
      <w:szCs w:val="18"/>
    </w:rPr>
  </w:style>
  <w:style w:type="paragraph" w:customStyle="1" w:styleId="122">
    <w:name w:val="xl141"/>
    <w:basedOn w:val="1"/>
    <w:qFormat/>
    <w:uiPriority w:val="0"/>
    <w:pPr>
      <w:widowControl/>
      <w:pBdr>
        <w:top w:val="single" w:color="000000" w:sz="8" w:space="0"/>
        <w:right w:val="single" w:color="000000" w:sz="8" w:space="0"/>
      </w:pBdr>
      <w:spacing w:before="100" w:beforeAutospacing="1" w:after="100" w:afterAutospacing="1"/>
      <w:jc w:val="left"/>
    </w:pPr>
    <w:rPr>
      <w:color w:val="000000"/>
      <w:kern w:val="0"/>
      <w:sz w:val="18"/>
      <w:szCs w:val="18"/>
    </w:rPr>
  </w:style>
  <w:style w:type="paragraph" w:customStyle="1" w:styleId="123">
    <w:name w:val="xl142"/>
    <w:basedOn w:val="1"/>
    <w:qFormat/>
    <w:uiPriority w:val="0"/>
    <w:pPr>
      <w:widowControl/>
      <w:pBdr>
        <w:left w:val="single" w:color="000000" w:sz="8" w:space="0"/>
        <w:bottom w:val="single" w:color="000000" w:sz="8" w:space="0"/>
      </w:pBdr>
      <w:spacing w:before="100" w:beforeAutospacing="1" w:after="100" w:afterAutospacing="1"/>
      <w:jc w:val="left"/>
    </w:pPr>
    <w:rPr>
      <w:color w:val="000000"/>
      <w:kern w:val="0"/>
      <w:sz w:val="18"/>
      <w:szCs w:val="18"/>
    </w:rPr>
  </w:style>
  <w:style w:type="paragraph" w:customStyle="1" w:styleId="124">
    <w:name w:val="xl143"/>
    <w:basedOn w:val="1"/>
    <w:qFormat/>
    <w:uiPriority w:val="0"/>
    <w:pPr>
      <w:widowControl/>
      <w:pBdr>
        <w:bottom w:val="single" w:color="000000" w:sz="8" w:space="0"/>
      </w:pBdr>
      <w:spacing w:before="100" w:beforeAutospacing="1" w:after="100" w:afterAutospacing="1"/>
      <w:jc w:val="left"/>
    </w:pPr>
    <w:rPr>
      <w:color w:val="000000"/>
      <w:kern w:val="0"/>
      <w:sz w:val="18"/>
      <w:szCs w:val="18"/>
    </w:rPr>
  </w:style>
  <w:style w:type="paragraph" w:customStyle="1" w:styleId="125">
    <w:name w:val="xl144"/>
    <w:basedOn w:val="1"/>
    <w:qFormat/>
    <w:uiPriority w:val="0"/>
    <w:pPr>
      <w:widowControl/>
      <w:pBdr>
        <w:top w:val="single" w:color="000000" w:sz="8" w:space="0"/>
        <w:left w:val="single" w:color="000000" w:sz="8" w:space="0"/>
        <w:right w:val="single" w:color="000000" w:sz="8" w:space="0"/>
      </w:pBdr>
      <w:spacing w:before="100" w:beforeAutospacing="1" w:after="100" w:afterAutospacing="1"/>
      <w:jc w:val="left"/>
    </w:pPr>
    <w:rPr>
      <w:color w:val="000000"/>
      <w:kern w:val="0"/>
      <w:sz w:val="18"/>
      <w:szCs w:val="18"/>
    </w:rPr>
  </w:style>
  <w:style w:type="paragraph" w:customStyle="1" w:styleId="126">
    <w:name w:val="xl145"/>
    <w:basedOn w:val="1"/>
    <w:qFormat/>
    <w:uiPriority w:val="0"/>
    <w:pPr>
      <w:widowControl/>
      <w:pBdr>
        <w:left w:val="single" w:color="000000" w:sz="8" w:space="0"/>
        <w:bottom w:val="single" w:color="000000" w:sz="8" w:space="0"/>
        <w:right w:val="single" w:color="000000" w:sz="8" w:space="0"/>
      </w:pBdr>
      <w:spacing w:before="100" w:beforeAutospacing="1" w:after="100" w:afterAutospacing="1"/>
      <w:jc w:val="left"/>
    </w:pPr>
    <w:rPr>
      <w:color w:val="000000"/>
      <w:kern w:val="0"/>
      <w:sz w:val="18"/>
      <w:szCs w:val="18"/>
    </w:rPr>
  </w:style>
  <w:style w:type="paragraph" w:customStyle="1" w:styleId="127">
    <w:name w:val="xl146"/>
    <w:basedOn w:val="1"/>
    <w:qFormat/>
    <w:uiPriority w:val="0"/>
    <w:pPr>
      <w:widowControl/>
      <w:pBdr>
        <w:top w:val="single" w:color="000000" w:sz="8" w:space="0"/>
        <w:left w:val="single" w:color="000000" w:sz="8" w:space="0"/>
        <w:right w:val="single" w:color="000000" w:sz="8" w:space="0"/>
      </w:pBdr>
      <w:spacing w:before="100" w:beforeAutospacing="1" w:after="100" w:afterAutospacing="1"/>
      <w:jc w:val="center"/>
    </w:pPr>
    <w:rPr>
      <w:color w:val="000000"/>
      <w:kern w:val="0"/>
      <w:sz w:val="18"/>
      <w:szCs w:val="18"/>
    </w:rPr>
  </w:style>
  <w:style w:type="paragraph" w:customStyle="1" w:styleId="128">
    <w:name w:val="xl147"/>
    <w:basedOn w:val="1"/>
    <w:qFormat/>
    <w:uiPriority w:val="0"/>
    <w:pPr>
      <w:widowControl/>
      <w:pBdr>
        <w:left w:val="single" w:color="000000" w:sz="8" w:space="0"/>
        <w:bottom w:val="single" w:color="000000" w:sz="8" w:space="0"/>
        <w:right w:val="single" w:color="000000" w:sz="8" w:space="0"/>
      </w:pBdr>
      <w:spacing w:before="100" w:beforeAutospacing="1" w:after="100" w:afterAutospacing="1"/>
      <w:jc w:val="center"/>
    </w:pPr>
    <w:rPr>
      <w:color w:val="000000"/>
      <w:kern w:val="0"/>
      <w:sz w:val="18"/>
      <w:szCs w:val="18"/>
    </w:rPr>
  </w:style>
  <w:style w:type="paragraph" w:customStyle="1" w:styleId="129">
    <w:name w:val="xl148"/>
    <w:basedOn w:val="1"/>
    <w:qFormat/>
    <w:uiPriority w:val="0"/>
    <w:pPr>
      <w:widowControl/>
      <w:pBdr>
        <w:top w:val="single" w:color="000000" w:sz="8" w:space="0"/>
        <w:left w:val="single" w:color="000000" w:sz="8" w:space="0"/>
        <w:right w:val="single" w:color="000000" w:sz="8" w:space="0"/>
      </w:pBdr>
      <w:spacing w:before="100" w:beforeAutospacing="1" w:after="100" w:afterAutospacing="1"/>
      <w:jc w:val="left"/>
    </w:pPr>
    <w:rPr>
      <w:rFonts w:ascii="微软雅黑" w:hAnsi="微软雅黑" w:eastAsia="微软雅黑" w:cs="宋体"/>
      <w:i/>
      <w:iCs/>
      <w:color w:val="000000"/>
      <w:kern w:val="0"/>
      <w:sz w:val="16"/>
      <w:szCs w:val="16"/>
    </w:rPr>
  </w:style>
  <w:style w:type="paragraph" w:customStyle="1" w:styleId="130">
    <w:name w:val="xl149"/>
    <w:basedOn w:val="1"/>
    <w:qFormat/>
    <w:uiPriority w:val="0"/>
    <w:pPr>
      <w:widowControl/>
      <w:pBdr>
        <w:left w:val="single" w:color="000000" w:sz="8" w:space="0"/>
        <w:bottom w:val="single" w:color="000000" w:sz="8" w:space="0"/>
        <w:right w:val="single" w:color="000000" w:sz="8" w:space="0"/>
      </w:pBdr>
      <w:spacing w:before="100" w:beforeAutospacing="1" w:after="100" w:afterAutospacing="1"/>
      <w:jc w:val="left"/>
    </w:pPr>
    <w:rPr>
      <w:rFonts w:ascii="微软雅黑" w:hAnsi="微软雅黑" w:eastAsia="微软雅黑" w:cs="宋体"/>
      <w:i/>
      <w:iCs/>
      <w:color w:val="000000"/>
      <w:kern w:val="0"/>
      <w:sz w:val="16"/>
      <w:szCs w:val="16"/>
    </w:rPr>
  </w:style>
  <w:style w:type="paragraph" w:customStyle="1" w:styleId="131">
    <w:name w:val="xl150"/>
    <w:basedOn w:val="1"/>
    <w:qFormat/>
    <w:uiPriority w:val="0"/>
    <w:pPr>
      <w:widowControl/>
      <w:pBdr>
        <w:top w:val="single" w:color="000000" w:sz="8" w:space="0"/>
        <w:left w:val="single" w:color="000000" w:sz="8" w:space="0"/>
        <w:right w:val="single" w:color="000000" w:sz="8" w:space="0"/>
      </w:pBdr>
      <w:spacing w:before="100" w:beforeAutospacing="1" w:after="100" w:afterAutospacing="1"/>
      <w:jc w:val="center"/>
    </w:pPr>
    <w:rPr>
      <w:rFonts w:ascii="微软雅黑" w:hAnsi="微软雅黑" w:eastAsia="微软雅黑" w:cs="宋体"/>
      <w:i/>
      <w:iCs/>
      <w:color w:val="000000"/>
      <w:kern w:val="0"/>
      <w:sz w:val="16"/>
      <w:szCs w:val="16"/>
    </w:rPr>
  </w:style>
  <w:style w:type="paragraph" w:customStyle="1" w:styleId="132">
    <w:name w:val="xl151"/>
    <w:basedOn w:val="1"/>
    <w:qFormat/>
    <w:uiPriority w:val="0"/>
    <w:pPr>
      <w:widowControl/>
      <w:pBdr>
        <w:left w:val="single" w:color="000000" w:sz="8" w:space="0"/>
        <w:bottom w:val="single" w:color="000000" w:sz="8" w:space="0"/>
        <w:right w:val="single" w:color="000000" w:sz="8" w:space="0"/>
      </w:pBdr>
      <w:spacing w:before="100" w:beforeAutospacing="1" w:after="100" w:afterAutospacing="1"/>
      <w:jc w:val="center"/>
    </w:pPr>
    <w:rPr>
      <w:rFonts w:ascii="微软雅黑" w:hAnsi="微软雅黑" w:eastAsia="微软雅黑" w:cs="宋体"/>
      <w:i/>
      <w:iCs/>
      <w:color w:val="000000"/>
      <w:kern w:val="0"/>
      <w:sz w:val="16"/>
      <w:szCs w:val="16"/>
    </w:rPr>
  </w:style>
  <w:style w:type="paragraph" w:customStyle="1" w:styleId="133">
    <w:name w:val="xl152"/>
    <w:basedOn w:val="1"/>
    <w:qFormat/>
    <w:uiPriority w:val="0"/>
    <w:pPr>
      <w:widowControl/>
      <w:pBdr>
        <w:top w:val="single" w:color="000000" w:sz="8" w:space="0"/>
        <w:left w:val="single" w:color="000000" w:sz="8" w:space="0"/>
        <w:bottom w:val="single" w:color="000000" w:sz="8" w:space="0"/>
      </w:pBdr>
      <w:spacing w:before="100" w:beforeAutospacing="1" w:after="100" w:afterAutospacing="1"/>
      <w:jc w:val="center"/>
    </w:pPr>
    <w:rPr>
      <w:rFonts w:ascii="黑体" w:hAnsi="宋体" w:eastAsia="黑体" w:cs="宋体"/>
      <w:color w:val="000000"/>
      <w:kern w:val="0"/>
      <w:sz w:val="18"/>
      <w:szCs w:val="18"/>
    </w:rPr>
  </w:style>
  <w:style w:type="paragraph" w:customStyle="1" w:styleId="134">
    <w:name w:val="xl153"/>
    <w:basedOn w:val="1"/>
    <w:qFormat/>
    <w:uiPriority w:val="0"/>
    <w:pPr>
      <w:widowControl/>
      <w:pBdr>
        <w:top w:val="single" w:color="000000" w:sz="8" w:space="0"/>
        <w:bottom w:val="single" w:color="000000" w:sz="8" w:space="0"/>
      </w:pBdr>
      <w:spacing w:before="100" w:beforeAutospacing="1" w:after="100" w:afterAutospacing="1"/>
      <w:jc w:val="center"/>
    </w:pPr>
    <w:rPr>
      <w:rFonts w:ascii="黑体" w:hAnsi="宋体" w:eastAsia="黑体" w:cs="宋体"/>
      <w:color w:val="000000"/>
      <w:kern w:val="0"/>
      <w:sz w:val="18"/>
      <w:szCs w:val="18"/>
    </w:rPr>
  </w:style>
  <w:style w:type="paragraph" w:customStyle="1" w:styleId="135">
    <w:name w:val="xl154"/>
    <w:basedOn w:val="1"/>
    <w:qFormat/>
    <w:uiPriority w:val="0"/>
    <w:pPr>
      <w:widowControl/>
      <w:pBdr>
        <w:top w:val="single" w:color="000000" w:sz="8" w:space="0"/>
        <w:bottom w:val="single" w:color="000000" w:sz="8" w:space="0"/>
        <w:right w:val="single" w:color="000000" w:sz="8" w:space="0"/>
      </w:pBdr>
      <w:spacing w:before="100" w:beforeAutospacing="1" w:after="100" w:afterAutospacing="1"/>
      <w:jc w:val="center"/>
    </w:pPr>
    <w:rPr>
      <w:rFonts w:ascii="黑体" w:hAnsi="宋体" w:eastAsia="黑体" w:cs="宋体"/>
      <w:color w:val="000000"/>
      <w:kern w:val="0"/>
      <w:sz w:val="18"/>
      <w:szCs w:val="18"/>
    </w:rPr>
  </w:style>
  <w:style w:type="paragraph" w:customStyle="1" w:styleId="136">
    <w:name w:val="xl155"/>
    <w:basedOn w:val="1"/>
    <w:qFormat/>
    <w:uiPriority w:val="0"/>
    <w:pPr>
      <w:widowControl/>
      <w:pBdr>
        <w:top w:val="single" w:color="000000" w:sz="8" w:space="0"/>
        <w:left w:val="single" w:color="000000" w:sz="8" w:space="0"/>
      </w:pBdr>
      <w:spacing w:before="100" w:beforeAutospacing="1" w:after="100" w:afterAutospacing="1"/>
      <w:jc w:val="left"/>
    </w:pPr>
    <w:rPr>
      <w:rFonts w:ascii="黑体" w:hAnsi="宋体" w:eastAsia="黑体" w:cs="宋体"/>
      <w:color w:val="000000"/>
      <w:kern w:val="0"/>
      <w:sz w:val="18"/>
      <w:szCs w:val="18"/>
    </w:rPr>
  </w:style>
  <w:style w:type="paragraph" w:customStyle="1" w:styleId="137">
    <w:name w:val="xl156"/>
    <w:basedOn w:val="1"/>
    <w:qFormat/>
    <w:uiPriority w:val="0"/>
    <w:pPr>
      <w:widowControl/>
      <w:pBdr>
        <w:top w:val="single" w:color="000000" w:sz="8" w:space="0"/>
      </w:pBdr>
      <w:spacing w:before="100" w:beforeAutospacing="1" w:after="100" w:afterAutospacing="1"/>
      <w:jc w:val="left"/>
    </w:pPr>
    <w:rPr>
      <w:rFonts w:ascii="黑体" w:hAnsi="宋体" w:eastAsia="黑体" w:cs="宋体"/>
      <w:color w:val="000000"/>
      <w:kern w:val="0"/>
      <w:sz w:val="18"/>
      <w:szCs w:val="18"/>
    </w:rPr>
  </w:style>
  <w:style w:type="paragraph" w:customStyle="1" w:styleId="138">
    <w:name w:val="xl157"/>
    <w:basedOn w:val="1"/>
    <w:qFormat/>
    <w:uiPriority w:val="0"/>
    <w:pPr>
      <w:widowControl/>
      <w:pBdr>
        <w:top w:val="single" w:color="000000" w:sz="8" w:space="0"/>
        <w:right w:val="single" w:color="000000" w:sz="8" w:space="0"/>
      </w:pBdr>
      <w:spacing w:before="100" w:beforeAutospacing="1" w:after="100" w:afterAutospacing="1"/>
      <w:jc w:val="left"/>
    </w:pPr>
    <w:rPr>
      <w:rFonts w:ascii="黑体" w:hAnsi="宋体" w:eastAsia="黑体" w:cs="宋体"/>
      <w:color w:val="000000"/>
      <w:kern w:val="0"/>
      <w:sz w:val="18"/>
      <w:szCs w:val="18"/>
    </w:rPr>
  </w:style>
  <w:style w:type="paragraph" w:customStyle="1" w:styleId="139">
    <w:name w:val="xl158"/>
    <w:basedOn w:val="1"/>
    <w:qFormat/>
    <w:uiPriority w:val="0"/>
    <w:pPr>
      <w:widowControl/>
      <w:pBdr>
        <w:left w:val="single" w:color="000000" w:sz="8" w:space="0"/>
      </w:pBdr>
      <w:spacing w:before="100" w:beforeAutospacing="1" w:after="100" w:afterAutospacing="1"/>
      <w:jc w:val="left"/>
    </w:pPr>
    <w:rPr>
      <w:rFonts w:ascii="黑体" w:hAnsi="宋体" w:eastAsia="黑体" w:cs="宋体"/>
      <w:color w:val="000000"/>
      <w:kern w:val="0"/>
      <w:sz w:val="18"/>
      <w:szCs w:val="18"/>
    </w:rPr>
  </w:style>
  <w:style w:type="paragraph" w:customStyle="1" w:styleId="140">
    <w:name w:val="xl159"/>
    <w:basedOn w:val="1"/>
    <w:qFormat/>
    <w:uiPriority w:val="0"/>
    <w:pPr>
      <w:widowControl/>
      <w:pBdr>
        <w:right w:val="single" w:color="000000" w:sz="8" w:space="0"/>
      </w:pBdr>
      <w:spacing w:before="100" w:beforeAutospacing="1" w:after="100" w:afterAutospacing="1"/>
      <w:jc w:val="left"/>
    </w:pPr>
    <w:rPr>
      <w:rFonts w:ascii="黑体" w:hAnsi="宋体" w:eastAsia="黑体" w:cs="宋体"/>
      <w:color w:val="000000"/>
      <w:kern w:val="0"/>
      <w:sz w:val="18"/>
      <w:szCs w:val="18"/>
    </w:rPr>
  </w:style>
  <w:style w:type="paragraph" w:customStyle="1" w:styleId="141">
    <w:name w:val="xl160"/>
    <w:basedOn w:val="1"/>
    <w:qFormat/>
    <w:uiPriority w:val="0"/>
    <w:pPr>
      <w:widowControl/>
      <w:pBdr>
        <w:left w:val="single" w:color="000000" w:sz="8" w:space="0"/>
        <w:bottom w:val="single" w:color="000000" w:sz="8" w:space="0"/>
      </w:pBdr>
      <w:spacing w:before="100" w:beforeAutospacing="1" w:after="100" w:afterAutospacing="1"/>
      <w:jc w:val="left"/>
    </w:pPr>
    <w:rPr>
      <w:rFonts w:ascii="黑体" w:hAnsi="宋体" w:eastAsia="黑体" w:cs="宋体"/>
      <w:color w:val="000000"/>
      <w:kern w:val="0"/>
      <w:sz w:val="18"/>
      <w:szCs w:val="18"/>
    </w:rPr>
  </w:style>
  <w:style w:type="paragraph" w:customStyle="1" w:styleId="142">
    <w:name w:val="xl161"/>
    <w:basedOn w:val="1"/>
    <w:qFormat/>
    <w:uiPriority w:val="0"/>
    <w:pPr>
      <w:widowControl/>
      <w:pBdr>
        <w:bottom w:val="single" w:color="000000" w:sz="8" w:space="0"/>
      </w:pBdr>
      <w:spacing w:before="100" w:beforeAutospacing="1" w:after="100" w:afterAutospacing="1"/>
      <w:jc w:val="left"/>
    </w:pPr>
    <w:rPr>
      <w:rFonts w:ascii="黑体" w:hAnsi="宋体" w:eastAsia="黑体" w:cs="宋体"/>
      <w:color w:val="000000"/>
      <w:kern w:val="0"/>
      <w:sz w:val="18"/>
      <w:szCs w:val="18"/>
    </w:rPr>
  </w:style>
  <w:style w:type="paragraph" w:customStyle="1" w:styleId="143">
    <w:name w:val="xl162"/>
    <w:basedOn w:val="1"/>
    <w:qFormat/>
    <w:uiPriority w:val="0"/>
    <w:pPr>
      <w:widowControl/>
      <w:pBdr>
        <w:bottom w:val="single" w:color="000000" w:sz="8" w:space="0"/>
        <w:right w:val="single" w:color="000000" w:sz="8" w:space="0"/>
      </w:pBdr>
      <w:spacing w:before="100" w:beforeAutospacing="1" w:after="100" w:afterAutospacing="1"/>
      <w:jc w:val="left"/>
    </w:pPr>
    <w:rPr>
      <w:rFonts w:ascii="黑体" w:hAnsi="宋体" w:eastAsia="黑体" w:cs="宋体"/>
      <w:color w:val="000000"/>
      <w:kern w:val="0"/>
      <w:sz w:val="18"/>
      <w:szCs w:val="18"/>
    </w:rPr>
  </w:style>
  <w:style w:type="paragraph" w:customStyle="1" w:styleId="144">
    <w:name w:val="xl163"/>
    <w:basedOn w:val="1"/>
    <w:qFormat/>
    <w:uiPriority w:val="0"/>
    <w:pPr>
      <w:widowControl/>
      <w:pBdr>
        <w:left w:val="single" w:color="000000" w:sz="8" w:space="0"/>
      </w:pBdr>
      <w:spacing w:before="100" w:beforeAutospacing="1" w:after="100" w:afterAutospacing="1"/>
      <w:jc w:val="left"/>
    </w:pPr>
    <w:rPr>
      <w:rFonts w:ascii="宋体" w:hAnsi="宋体" w:cs="宋体"/>
      <w:color w:val="000000"/>
      <w:kern w:val="0"/>
      <w:sz w:val="18"/>
      <w:szCs w:val="18"/>
    </w:rPr>
  </w:style>
  <w:style w:type="paragraph" w:customStyle="1" w:styleId="145">
    <w:name w:val="xl164"/>
    <w:basedOn w:val="1"/>
    <w:qFormat/>
    <w:uiPriority w:val="0"/>
    <w:pPr>
      <w:widowControl/>
      <w:spacing w:before="100" w:beforeAutospacing="1" w:after="100" w:afterAutospacing="1"/>
      <w:jc w:val="left"/>
    </w:pPr>
    <w:rPr>
      <w:rFonts w:ascii="宋体" w:hAnsi="宋体" w:cs="宋体"/>
      <w:color w:val="000000"/>
      <w:kern w:val="0"/>
      <w:sz w:val="18"/>
      <w:szCs w:val="18"/>
    </w:rPr>
  </w:style>
  <w:style w:type="paragraph" w:customStyle="1" w:styleId="146">
    <w:name w:val="xl165"/>
    <w:basedOn w:val="1"/>
    <w:qFormat/>
    <w:uiPriority w:val="0"/>
    <w:pPr>
      <w:widowControl/>
      <w:pBdr>
        <w:right w:val="single" w:color="000000" w:sz="8" w:space="0"/>
      </w:pBdr>
      <w:spacing w:before="100" w:beforeAutospacing="1" w:after="100" w:afterAutospacing="1"/>
      <w:jc w:val="left"/>
    </w:pPr>
    <w:rPr>
      <w:rFonts w:ascii="宋体" w:hAnsi="宋体" w:cs="宋体"/>
      <w:color w:val="000000"/>
      <w:kern w:val="0"/>
      <w:sz w:val="18"/>
      <w:szCs w:val="18"/>
    </w:rPr>
  </w:style>
  <w:style w:type="paragraph" w:customStyle="1" w:styleId="147">
    <w:name w:val="xl166"/>
    <w:basedOn w:val="1"/>
    <w:qFormat/>
    <w:uiPriority w:val="0"/>
    <w:pPr>
      <w:widowControl/>
      <w:pBdr>
        <w:top w:val="single" w:color="000000" w:sz="8" w:space="0"/>
        <w:left w:val="single" w:color="000000" w:sz="8" w:space="0"/>
        <w:bottom w:val="single" w:color="000000" w:sz="8" w:space="0"/>
      </w:pBdr>
      <w:spacing w:before="100" w:beforeAutospacing="1" w:after="100" w:afterAutospacing="1"/>
      <w:jc w:val="left"/>
    </w:pPr>
    <w:rPr>
      <w:rFonts w:ascii="微软雅黑" w:hAnsi="微软雅黑" w:eastAsia="微软雅黑" w:cs="宋体"/>
      <w:color w:val="000000"/>
      <w:kern w:val="0"/>
      <w:sz w:val="16"/>
      <w:szCs w:val="16"/>
    </w:rPr>
  </w:style>
  <w:style w:type="paragraph" w:customStyle="1" w:styleId="148">
    <w:name w:val="xl167"/>
    <w:basedOn w:val="1"/>
    <w:qFormat/>
    <w:uiPriority w:val="0"/>
    <w:pPr>
      <w:widowControl/>
      <w:pBdr>
        <w:top w:val="single" w:color="000000" w:sz="8" w:space="0"/>
        <w:bottom w:val="single" w:color="000000" w:sz="8" w:space="0"/>
      </w:pBdr>
      <w:spacing w:before="100" w:beforeAutospacing="1" w:after="100" w:afterAutospacing="1"/>
      <w:jc w:val="left"/>
    </w:pPr>
    <w:rPr>
      <w:rFonts w:ascii="微软雅黑" w:hAnsi="微软雅黑" w:eastAsia="微软雅黑" w:cs="宋体"/>
      <w:color w:val="000000"/>
      <w:kern w:val="0"/>
      <w:sz w:val="16"/>
      <w:szCs w:val="16"/>
    </w:rPr>
  </w:style>
  <w:style w:type="paragraph" w:customStyle="1" w:styleId="149">
    <w:name w:val="xl168"/>
    <w:basedOn w:val="1"/>
    <w:qFormat/>
    <w:uiPriority w:val="0"/>
    <w:pPr>
      <w:widowControl/>
      <w:pBdr>
        <w:top w:val="single" w:color="000000" w:sz="8" w:space="0"/>
        <w:bottom w:val="single" w:color="000000" w:sz="8" w:space="0"/>
        <w:right w:val="single" w:color="000000" w:sz="8" w:space="0"/>
      </w:pBdr>
      <w:spacing w:before="100" w:beforeAutospacing="1" w:after="100" w:afterAutospacing="1"/>
      <w:jc w:val="left"/>
    </w:pPr>
    <w:rPr>
      <w:rFonts w:ascii="微软雅黑" w:hAnsi="微软雅黑" w:eastAsia="微软雅黑" w:cs="宋体"/>
      <w:color w:val="000000"/>
      <w:kern w:val="0"/>
      <w:sz w:val="16"/>
      <w:szCs w:val="16"/>
    </w:rPr>
  </w:style>
  <w:style w:type="paragraph" w:customStyle="1" w:styleId="150">
    <w:name w:val="xl169"/>
    <w:basedOn w:val="1"/>
    <w:qFormat/>
    <w:uiPriority w:val="0"/>
    <w:pPr>
      <w:widowControl/>
      <w:pBdr>
        <w:top w:val="single" w:color="000000" w:sz="8" w:space="0"/>
        <w:bottom w:val="single" w:color="000000" w:sz="8" w:space="0"/>
      </w:pBdr>
      <w:spacing w:before="100" w:beforeAutospacing="1" w:after="100" w:afterAutospacing="1"/>
      <w:jc w:val="left"/>
    </w:pPr>
    <w:rPr>
      <w:rFonts w:ascii="宋体" w:hAnsi="宋体" w:cs="宋体"/>
      <w:color w:val="000000"/>
      <w:kern w:val="0"/>
      <w:sz w:val="20"/>
      <w:szCs w:val="20"/>
    </w:rPr>
  </w:style>
  <w:style w:type="paragraph" w:customStyle="1" w:styleId="151">
    <w:name w:val="xl170"/>
    <w:basedOn w:val="1"/>
    <w:qFormat/>
    <w:uiPriority w:val="0"/>
    <w:pPr>
      <w:widowControl/>
      <w:pBdr>
        <w:top w:val="single" w:color="000000" w:sz="8" w:space="0"/>
        <w:bottom w:val="single" w:color="000000" w:sz="8" w:space="0"/>
      </w:pBdr>
      <w:spacing w:before="100" w:beforeAutospacing="1" w:after="100" w:afterAutospacing="1"/>
    </w:pPr>
    <w:rPr>
      <w:rFonts w:ascii="宋体" w:hAnsi="宋体" w:cs="宋体"/>
      <w:color w:val="000000"/>
      <w:kern w:val="0"/>
      <w:sz w:val="20"/>
      <w:szCs w:val="20"/>
    </w:rPr>
  </w:style>
  <w:style w:type="paragraph" w:customStyle="1" w:styleId="152">
    <w:name w:val="xl171"/>
    <w:basedOn w:val="1"/>
    <w:qFormat/>
    <w:uiPriority w:val="0"/>
    <w:pPr>
      <w:widowControl/>
      <w:pBdr>
        <w:top w:val="single" w:color="000000" w:sz="8" w:space="0"/>
        <w:left w:val="single" w:color="000000" w:sz="8" w:space="0"/>
        <w:bottom w:val="single" w:color="000000" w:sz="8" w:space="0"/>
      </w:pBdr>
      <w:spacing w:before="100" w:beforeAutospacing="1" w:after="100" w:afterAutospacing="1"/>
    </w:pPr>
    <w:rPr>
      <w:rFonts w:ascii="宋体" w:hAnsi="宋体" w:cs="宋体"/>
      <w:color w:val="000000"/>
      <w:kern w:val="0"/>
      <w:sz w:val="18"/>
      <w:szCs w:val="18"/>
    </w:rPr>
  </w:style>
  <w:style w:type="paragraph" w:customStyle="1" w:styleId="153">
    <w:name w:val="xl172"/>
    <w:basedOn w:val="1"/>
    <w:qFormat/>
    <w:uiPriority w:val="0"/>
    <w:pPr>
      <w:widowControl/>
      <w:pBdr>
        <w:top w:val="single" w:color="000000" w:sz="8" w:space="0"/>
        <w:bottom w:val="single" w:color="000000" w:sz="8" w:space="0"/>
      </w:pBdr>
      <w:spacing w:before="100" w:beforeAutospacing="1" w:after="100" w:afterAutospacing="1"/>
    </w:pPr>
    <w:rPr>
      <w:rFonts w:ascii="宋体" w:hAnsi="宋体" w:cs="宋体"/>
      <w:color w:val="000000"/>
      <w:kern w:val="0"/>
      <w:sz w:val="18"/>
      <w:szCs w:val="18"/>
    </w:rPr>
  </w:style>
  <w:style w:type="paragraph" w:customStyle="1" w:styleId="154">
    <w:name w:val="xl173"/>
    <w:basedOn w:val="1"/>
    <w:qFormat/>
    <w:uiPriority w:val="0"/>
    <w:pPr>
      <w:widowControl/>
      <w:pBdr>
        <w:top w:val="single" w:color="000000" w:sz="8" w:space="0"/>
        <w:bottom w:val="single" w:color="000000" w:sz="8" w:space="0"/>
        <w:right w:val="single" w:color="000000" w:sz="8" w:space="0"/>
      </w:pBdr>
      <w:spacing w:before="100" w:beforeAutospacing="1" w:after="100" w:afterAutospacing="1"/>
    </w:pPr>
    <w:rPr>
      <w:rFonts w:ascii="宋体" w:hAnsi="宋体" w:cs="宋体"/>
      <w:color w:val="000000"/>
      <w:kern w:val="0"/>
      <w:sz w:val="18"/>
      <w:szCs w:val="18"/>
    </w:rPr>
  </w:style>
  <w:style w:type="paragraph" w:customStyle="1" w:styleId="155">
    <w:name w:val="xl174"/>
    <w:basedOn w:val="1"/>
    <w:qFormat/>
    <w:uiPriority w:val="0"/>
    <w:pPr>
      <w:widowControl/>
      <w:pBdr>
        <w:top w:val="single" w:color="000000" w:sz="8" w:space="0"/>
        <w:left w:val="single" w:color="000000" w:sz="8" w:space="0"/>
        <w:bottom w:val="single" w:color="000000" w:sz="8" w:space="0"/>
      </w:pBdr>
      <w:spacing w:before="100" w:beforeAutospacing="1" w:after="100" w:afterAutospacing="1"/>
      <w:jc w:val="left"/>
    </w:pPr>
    <w:rPr>
      <w:rFonts w:ascii="Courier New" w:hAnsi="Courier New" w:cs="Courier New"/>
      <w:color w:val="000000"/>
      <w:kern w:val="0"/>
      <w:sz w:val="18"/>
      <w:szCs w:val="18"/>
    </w:rPr>
  </w:style>
  <w:style w:type="paragraph" w:customStyle="1" w:styleId="156">
    <w:name w:val="xl175"/>
    <w:basedOn w:val="1"/>
    <w:qFormat/>
    <w:uiPriority w:val="0"/>
    <w:pPr>
      <w:widowControl/>
      <w:pBdr>
        <w:top w:val="single" w:color="000000" w:sz="8" w:space="0"/>
        <w:bottom w:val="single" w:color="000000" w:sz="8" w:space="0"/>
      </w:pBdr>
      <w:spacing w:before="100" w:beforeAutospacing="1" w:after="100" w:afterAutospacing="1"/>
      <w:jc w:val="left"/>
    </w:pPr>
    <w:rPr>
      <w:rFonts w:ascii="Courier New" w:hAnsi="Courier New" w:cs="Courier New"/>
      <w:color w:val="000000"/>
      <w:kern w:val="0"/>
      <w:sz w:val="18"/>
      <w:szCs w:val="18"/>
    </w:rPr>
  </w:style>
  <w:style w:type="paragraph" w:customStyle="1" w:styleId="157">
    <w:name w:val="xl176"/>
    <w:basedOn w:val="1"/>
    <w:qFormat/>
    <w:uiPriority w:val="0"/>
    <w:pPr>
      <w:widowControl/>
      <w:pBdr>
        <w:top w:val="single" w:color="000000" w:sz="8" w:space="0"/>
        <w:bottom w:val="single" w:color="000000" w:sz="8" w:space="0"/>
        <w:right w:val="single" w:color="000000" w:sz="8" w:space="0"/>
      </w:pBdr>
      <w:spacing w:before="100" w:beforeAutospacing="1" w:after="100" w:afterAutospacing="1"/>
      <w:jc w:val="left"/>
    </w:pPr>
    <w:rPr>
      <w:rFonts w:ascii="Courier New" w:hAnsi="Courier New" w:cs="Courier New"/>
      <w:color w:val="000000"/>
      <w:kern w:val="0"/>
      <w:sz w:val="18"/>
      <w:szCs w:val="18"/>
    </w:rPr>
  </w:style>
  <w:style w:type="paragraph" w:customStyle="1" w:styleId="158">
    <w:name w:val="xl177"/>
    <w:basedOn w:val="1"/>
    <w:qFormat/>
    <w:uiPriority w:val="0"/>
    <w:pPr>
      <w:widowControl/>
      <w:pBdr>
        <w:top w:val="single" w:color="000000" w:sz="8" w:space="0"/>
      </w:pBdr>
      <w:spacing w:before="100" w:beforeAutospacing="1" w:after="100" w:afterAutospacing="1"/>
      <w:jc w:val="left"/>
    </w:pPr>
    <w:rPr>
      <w:rFonts w:ascii="宋体" w:hAnsi="宋体" w:cs="宋体"/>
      <w:kern w:val="0"/>
      <w:sz w:val="18"/>
      <w:szCs w:val="18"/>
    </w:rPr>
  </w:style>
  <w:style w:type="paragraph" w:customStyle="1" w:styleId="159">
    <w:name w:val="xl178"/>
    <w:basedOn w:val="1"/>
    <w:qFormat/>
    <w:uiPriority w:val="0"/>
    <w:pPr>
      <w:widowControl/>
      <w:pBdr>
        <w:bottom w:val="single" w:color="000000" w:sz="8" w:space="0"/>
      </w:pBdr>
      <w:spacing w:before="100" w:beforeAutospacing="1" w:after="100" w:afterAutospacing="1"/>
      <w:jc w:val="left"/>
    </w:pPr>
    <w:rPr>
      <w:rFonts w:ascii="宋体" w:hAnsi="宋体" w:cs="宋体"/>
      <w:kern w:val="0"/>
      <w:sz w:val="18"/>
      <w:szCs w:val="18"/>
    </w:rPr>
  </w:style>
  <w:style w:type="character" w:customStyle="1" w:styleId="160">
    <w:name w:val="日期 Char"/>
    <w:basedOn w:val="17"/>
    <w:link w:val="8"/>
    <w:semiHidden/>
    <w:qFormat/>
    <w:uiPriority w:val="99"/>
    <w:rPr>
      <w:kern w:val="2"/>
      <w:sz w:val="21"/>
      <w:szCs w:val="22"/>
    </w:rPr>
  </w:style>
  <w:style w:type="paragraph" w:customStyle="1" w:styleId="161">
    <w:name w:val="WPSOffice手动目录 1"/>
    <w:qFormat/>
    <w:uiPriority w:val="0"/>
    <w:pPr>
      <w:ind w:leftChars="0"/>
    </w:pPr>
    <w:rPr>
      <w:rFonts w:asciiTheme="minorHAnsi" w:hAnsiTheme="minorHAnsi" w:eastAsiaTheme="minorEastAsia" w:cstheme="minorBidi"/>
      <w:sz w:val="20"/>
      <w:szCs w:val="20"/>
    </w:rPr>
  </w:style>
  <w:style w:type="paragraph" w:customStyle="1" w:styleId="162">
    <w:name w:val="WPSOffice手动目录 2"/>
    <w:qFormat/>
    <w:uiPriority w:val="0"/>
    <w:pPr>
      <w:ind w:leftChars="200"/>
    </w:pPr>
    <w:rPr>
      <w:rFonts w:asciiTheme="minorHAnsi" w:hAnsiTheme="minorHAnsi" w:eastAsiaTheme="minorEastAsia" w:cstheme="minorBidi"/>
      <w:sz w:val="20"/>
      <w:szCs w:val="20"/>
    </w:rPr>
  </w:style>
  <w:style w:type="paragraph" w:customStyle="1" w:styleId="163">
    <w:name w:val="WPSOffice手动目录 3"/>
    <w:qFormat/>
    <w:uiPriority w:val="0"/>
    <w:pPr>
      <w:ind w:leftChars="400"/>
    </w:pPr>
    <w:rPr>
      <w:rFonts w:asciiTheme="minorHAnsi" w:hAnsiTheme="minorHAnsi" w:eastAsiaTheme="minorEastAsia" w:cstheme="minorBidi"/>
      <w:sz w:val="20"/>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chart" Target="charts/chart3.xml"/><Relationship Id="rId16" Type="http://schemas.openxmlformats.org/officeDocument/2006/relationships/image" Target="media/image3.png"/><Relationship Id="rId15" Type="http://schemas.openxmlformats.org/officeDocument/2006/relationships/image" Target="media/image2.png"/><Relationship Id="rId14" Type="http://schemas.openxmlformats.org/officeDocument/2006/relationships/chart" Target="charts/chart2.xml"/><Relationship Id="rId13" Type="http://schemas.openxmlformats.org/officeDocument/2006/relationships/chart" Target="charts/chart1.xml"/><Relationship Id="rId12" Type="http://schemas.openxmlformats.org/officeDocument/2006/relationships/image" Target="media/image1.png"/><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charts/_rels/chart1.xml.rels><?xml version="1.0" encoding="UTF-8" standalone="yes"?>
<Relationships xmlns="http://schemas.openxmlformats.org/package/2006/relationships"><Relationship Id="rId1" Type="http://schemas.openxmlformats.org/officeDocument/2006/relationships/oleObject" Target="file:///C:\Documents%20and%20Settings\Administrator\&#26700;&#38754;\&#22270;.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Documents%20and%20Settings\Administrator\&#26700;&#38754;\&#22270;.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Documents%20and%20Settings\Administrator\&#26700;&#38754;\&#22270;.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false"/>
  <c:lang val="zh-CN"/>
  <c:roundedCorners val="false"/>
  <mc:AlternateContent xmlns:mc="http://schemas.openxmlformats.org/markup-compatibility/2006">
    <mc:Choice xmlns:c14="http://schemas.microsoft.com/office/drawing/2007/8/2/chart" Requires="c14">
      <c14:style val="102"/>
    </mc:Choice>
    <mc:Fallback>
      <c:style val="2"/>
    </mc:Fallback>
  </mc:AlternateContent>
  <c:chart>
    <c:title>
      <c:layout/>
      <c:overlay val="false"/>
      <c:txPr>
        <a:bodyPr rot="0" spcFirstLastPara="0" vertOverflow="ellipsis" vert="horz" wrap="square" anchor="ctr" anchorCtr="true"/>
        <a:lstStyle/>
        <a:p>
          <a:pPr>
            <a:defRPr lang="zh-CN" sz="1800" b="1" i="0" u="none" strike="noStrike" kern="1200" baseline="0">
              <a:solidFill>
                <a:schemeClr val="tx1"/>
              </a:solidFill>
              <a:latin typeface="+mn-lt"/>
              <a:ea typeface="+mn-ea"/>
              <a:cs typeface="+mn-cs"/>
            </a:defRPr>
          </a:pPr>
        </a:p>
      </c:txPr>
    </c:title>
    <c:autoTitleDeleted val="false"/>
    <c:plotArea>
      <c:layout/>
      <c:pieChart>
        <c:varyColors val="true"/>
        <c:ser>
          <c:idx val="0"/>
          <c:order val="0"/>
          <c:tx>
            <c:strRef>
              <c:f>Sheet2!$E$4</c:f>
              <c:strCache>
                <c:ptCount val="1"/>
                <c:pt idx="0">
                  <c:v>收入决算结构图</c:v>
                </c:pt>
              </c:strCache>
            </c:strRef>
          </c:tx>
          <c:explosion val="0"/>
          <c:dPt>
            <c:idx val="0"/>
            <c:bubble3D val="false"/>
          </c:dPt>
          <c:dPt>
            <c:idx val="1"/>
            <c:bubble3D val="false"/>
          </c:dPt>
          <c:dLbls>
            <c:spPr>
              <a:noFill/>
              <a:ln>
                <a:noFill/>
              </a:ln>
              <a:effectLst/>
            </c:spPr>
            <c:txPr>
              <a:bodyPr rot="0" spcFirstLastPara="0" vertOverflow="ellipsis" vert="horz" wrap="square" lIns="38100" tIns="19050" rIns="38100" bIns="19050" anchor="ctr" anchorCtr="true"/>
              <a:lstStyle/>
              <a:p>
                <a:pPr>
                  <a:defRPr lang="zh-CN" sz="1000" b="0" i="0" u="none" strike="noStrike" kern="1200" baseline="0">
                    <a:solidFill>
                      <a:schemeClr val="tx1"/>
                    </a:solidFill>
                    <a:latin typeface="+mn-lt"/>
                    <a:ea typeface="+mn-ea"/>
                    <a:cs typeface="+mn-cs"/>
                  </a:defRPr>
                </a:pPr>
              </a:p>
            </c:txPr>
            <c:dLblPos val="bestFit"/>
            <c:showLegendKey val="false"/>
            <c:showVal val="false"/>
            <c:showCatName val="true"/>
            <c:showSerName val="false"/>
            <c:showPercent val="true"/>
            <c:showBubbleSize val="false"/>
            <c:showLeaderLines val="true"/>
            <c:extLst>
              <c:ext xmlns:c15="http://schemas.microsoft.com/office/drawing/2012/chart" uri="{CE6537A1-D6FC-4f65-9D91-7224C49458BB}">
                <c15:layout/>
                <c15:showLeaderLines val="true"/>
                <c15:leaderLines/>
              </c:ext>
            </c:extLst>
          </c:dLbls>
          <c:cat>
            <c:strRef>
              <c:f>Sheet2!$D$5:$D$6</c:f>
              <c:strCache>
                <c:ptCount val="2"/>
                <c:pt idx="0">
                  <c:v>一般公共预算财政拨款收入</c:v>
                </c:pt>
                <c:pt idx="1">
                  <c:v>政府性基金预算财政拨款收入</c:v>
                </c:pt>
              </c:strCache>
            </c:strRef>
          </c:cat>
          <c:val>
            <c:numRef>
              <c:f>Sheet2!$E$5:$E$6</c:f>
              <c:numCache>
                <c:formatCode>General</c:formatCode>
                <c:ptCount val="2"/>
                <c:pt idx="0">
                  <c:v>24125.53</c:v>
                </c:pt>
                <c:pt idx="1">
                  <c:v>543.74</c:v>
                </c:pt>
              </c:numCache>
            </c:numRef>
          </c:val>
        </c:ser>
        <c:dLbls>
          <c:showLegendKey val="false"/>
          <c:showVal val="false"/>
          <c:showCatName val="true"/>
          <c:showSerName val="false"/>
          <c:showPercent val="true"/>
          <c:showBubbleSize val="false"/>
          <c:showLeaderLines val="true"/>
        </c:dLbls>
        <c:firstSliceAng val="0"/>
      </c:pieChart>
    </c:plotArea>
    <c:plotVisOnly val="true"/>
    <c:dispBlanksAs val="gap"/>
    <c:showDLblsOverMax val="false"/>
  </c:chart>
  <c:txPr>
    <a:bodyPr/>
    <a:lstStyle/>
    <a:p>
      <a:pPr>
        <a:defRPr lang="zh-CN"/>
      </a:pPr>
    </a:p>
  </c:txPr>
  <c:externalData r:id="rId1">
    <c:autoUpdate val="false"/>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false"/>
  <c:lang val="zh-CN"/>
  <c:roundedCorners val="false"/>
  <mc:AlternateContent xmlns:mc="http://schemas.openxmlformats.org/markup-compatibility/2006">
    <mc:Choice xmlns:c14="http://schemas.microsoft.com/office/drawing/2007/8/2/chart" Requires="c14">
      <c14:style val="102"/>
    </mc:Choice>
    <mc:Fallback>
      <c:style val="2"/>
    </mc:Fallback>
  </mc:AlternateContent>
  <c:chart>
    <c:title>
      <c:layout/>
      <c:overlay val="false"/>
      <c:txPr>
        <a:bodyPr rot="0" spcFirstLastPara="0" vertOverflow="ellipsis" vert="horz" wrap="square" anchor="ctr" anchorCtr="true"/>
        <a:lstStyle/>
        <a:p>
          <a:pPr>
            <a:defRPr lang="zh-CN" sz="1800" b="1" i="0" u="none" strike="noStrike" kern="1200" baseline="0">
              <a:solidFill>
                <a:schemeClr val="tx1"/>
              </a:solidFill>
              <a:latin typeface="+mn-lt"/>
              <a:ea typeface="+mn-ea"/>
              <a:cs typeface="+mn-cs"/>
            </a:defRPr>
          </a:pPr>
        </a:p>
      </c:txPr>
    </c:title>
    <c:autoTitleDeleted val="false"/>
    <c:plotArea>
      <c:layout/>
      <c:pieChart>
        <c:varyColors val="true"/>
        <c:ser>
          <c:idx val="0"/>
          <c:order val="0"/>
          <c:tx>
            <c:strRef>
              <c:f>Sheet3!$D$4</c:f>
              <c:strCache>
                <c:ptCount val="1"/>
                <c:pt idx="0">
                  <c:v>支出决算结构图</c:v>
                </c:pt>
              </c:strCache>
            </c:strRef>
          </c:tx>
          <c:explosion val="0"/>
          <c:dPt>
            <c:idx val="0"/>
            <c:bubble3D val="false"/>
          </c:dPt>
          <c:dPt>
            <c:idx val="1"/>
            <c:bubble3D val="false"/>
          </c:dPt>
          <c:dLbls>
            <c:delete val="true"/>
          </c:dLbls>
          <c:cat>
            <c:strRef>
              <c:f>Sheet3!$C$5:$C$6</c:f>
              <c:strCache>
                <c:ptCount val="2"/>
                <c:pt idx="0">
                  <c:v>1、基本支出</c:v>
                </c:pt>
                <c:pt idx="1">
                  <c:v>2、项目支出</c:v>
                </c:pt>
              </c:strCache>
            </c:strRef>
          </c:cat>
          <c:val>
            <c:numRef>
              <c:f>Sheet3!$D$5:$D$6</c:f>
              <c:numCache>
                <c:formatCode>General</c:formatCode>
                <c:ptCount val="2"/>
                <c:pt idx="0">
                  <c:v>635.49</c:v>
                </c:pt>
                <c:pt idx="1">
                  <c:v>25934.28</c:v>
                </c:pt>
              </c:numCache>
            </c:numRef>
          </c:val>
        </c:ser>
        <c:dLbls>
          <c:showLegendKey val="false"/>
          <c:showVal val="false"/>
          <c:showCatName val="false"/>
          <c:showSerName val="false"/>
          <c:showPercent val="false"/>
          <c:showBubbleSize val="false"/>
          <c:showLeaderLines val="true"/>
        </c:dLbls>
        <c:firstSliceAng val="0"/>
      </c:pieChart>
    </c:plotArea>
    <c:legend>
      <c:legendPos val="r"/>
      <c:layout/>
      <c:overlay val="false"/>
      <c:txPr>
        <a:bodyPr rot="0" spcFirstLastPara="0" vertOverflow="ellipsis" vert="horz" wrap="square" anchor="ctr" anchorCtr="true"/>
        <a:lstStyle/>
        <a:p>
          <a:pPr>
            <a:defRPr lang="zh-CN" sz="1000" b="0" i="0" u="none" strike="noStrike" kern="1200" baseline="0">
              <a:solidFill>
                <a:schemeClr val="tx1"/>
              </a:solidFill>
              <a:latin typeface="+mn-lt"/>
              <a:ea typeface="+mn-ea"/>
              <a:cs typeface="+mn-cs"/>
            </a:defRPr>
          </a:pPr>
        </a:p>
      </c:txPr>
    </c:legend>
    <c:plotVisOnly val="true"/>
    <c:dispBlanksAs val="gap"/>
    <c:showDLblsOverMax val="false"/>
  </c:chart>
  <c:txPr>
    <a:bodyPr/>
    <a:lstStyle/>
    <a:p>
      <a:pPr>
        <a:defRPr lang="zh-CN"/>
      </a:pPr>
    </a:p>
  </c:txPr>
  <c:externalData r:id="rId1">
    <c:autoUpdate val="false"/>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false"/>
  <c:lang val="zh-CN"/>
  <c:roundedCorners val="false"/>
  <mc:AlternateContent xmlns:mc="http://schemas.openxmlformats.org/markup-compatibility/2006">
    <mc:Choice xmlns:c14="http://schemas.microsoft.com/office/drawing/2007/8/2/chart" Requires="c14">
      <c14:style val="102"/>
    </mc:Choice>
    <mc:Fallback>
      <c:style val="2"/>
    </mc:Fallback>
  </mc:AlternateContent>
  <c:chart>
    <c:title>
      <c:layout/>
      <c:overlay val="false"/>
      <c:txPr>
        <a:bodyPr rot="0" spcFirstLastPara="0" vertOverflow="ellipsis" vert="horz" wrap="square" anchor="ctr" anchorCtr="true"/>
        <a:lstStyle/>
        <a:p>
          <a:pPr>
            <a:defRPr lang="zh-CN" sz="1800" b="1" i="0" u="none" strike="noStrike" kern="1200" baseline="0">
              <a:solidFill>
                <a:schemeClr val="tx1"/>
              </a:solidFill>
              <a:latin typeface="+mn-lt"/>
              <a:ea typeface="+mn-ea"/>
              <a:cs typeface="+mn-cs"/>
            </a:defRPr>
          </a:pPr>
        </a:p>
      </c:txPr>
    </c:title>
    <c:autoTitleDeleted val="false"/>
    <c:plotArea>
      <c:layout/>
      <c:pieChart>
        <c:varyColors val="true"/>
        <c:ser>
          <c:idx val="0"/>
          <c:order val="0"/>
          <c:tx>
            <c:strRef>
              <c:f>Sheet6!$D$5</c:f>
              <c:strCache>
                <c:ptCount val="1"/>
                <c:pt idx="0">
                  <c:v>“三公”经费财政拨款支出结构</c:v>
                </c:pt>
              </c:strCache>
            </c:strRef>
          </c:tx>
          <c:explosion val="0"/>
          <c:dPt>
            <c:idx val="0"/>
            <c:bubble3D val="false"/>
          </c:dPt>
          <c:dPt>
            <c:idx val="1"/>
            <c:bubble3D val="false"/>
          </c:dPt>
          <c:dPt>
            <c:idx val="2"/>
            <c:bubble3D val="false"/>
          </c:dPt>
          <c:dLbls>
            <c:delete val="true"/>
          </c:dLbls>
          <c:cat>
            <c:strRef>
              <c:f>Sheet6!$E$4:$G$4</c:f>
              <c:strCache>
                <c:ptCount val="3"/>
                <c:pt idx="0">
                  <c:v>因公出国（境）经费</c:v>
                </c:pt>
                <c:pt idx="1">
                  <c:v>公务用车购置及运行维护费</c:v>
                </c:pt>
                <c:pt idx="2">
                  <c:v>公务接待费</c:v>
                </c:pt>
              </c:strCache>
            </c:strRef>
          </c:cat>
          <c:val>
            <c:numRef>
              <c:f>Sheet6!$E$5:$G$5</c:f>
              <c:numCache>
                <c:formatCode>General</c:formatCode>
                <c:ptCount val="3"/>
                <c:pt idx="0">
                  <c:v>0</c:v>
                </c:pt>
                <c:pt idx="1">
                  <c:v>29.81</c:v>
                </c:pt>
                <c:pt idx="2">
                  <c:v>5.72</c:v>
                </c:pt>
              </c:numCache>
            </c:numRef>
          </c:val>
        </c:ser>
        <c:dLbls>
          <c:showLegendKey val="false"/>
          <c:showVal val="false"/>
          <c:showCatName val="false"/>
          <c:showSerName val="false"/>
          <c:showPercent val="false"/>
          <c:showBubbleSize val="false"/>
          <c:showLeaderLines val="true"/>
        </c:dLbls>
        <c:firstSliceAng val="0"/>
      </c:pieChart>
      <c:spPr>
        <a:noFill/>
        <a:ln>
          <a:noFill/>
        </a:ln>
        <a:effectLst/>
      </c:spPr>
    </c:plotArea>
    <c:legend>
      <c:legendPos val="r"/>
      <c:layout/>
      <c:overlay val="false"/>
      <c:txPr>
        <a:bodyPr rot="0" spcFirstLastPara="0" vertOverflow="ellipsis" vert="horz" wrap="square" anchor="ctr" anchorCtr="true"/>
        <a:lstStyle/>
        <a:p>
          <a:pPr>
            <a:defRPr lang="zh-CN" sz="1000" b="0" i="0" u="none" strike="noStrike" kern="1200" baseline="0">
              <a:solidFill>
                <a:schemeClr val="tx1"/>
              </a:solidFill>
              <a:latin typeface="+mn-lt"/>
              <a:ea typeface="+mn-ea"/>
              <a:cs typeface="+mn-cs"/>
            </a:defRPr>
          </a:pPr>
        </a:p>
      </c:txPr>
    </c:legend>
    <c:plotVisOnly val="true"/>
    <c:dispBlanksAs val="gap"/>
    <c:showDLblsOverMax val="false"/>
  </c:chart>
  <c:txPr>
    <a:bodyPr/>
    <a:lstStyle/>
    <a:p>
      <a:pPr>
        <a:defRPr lang="zh-CN"/>
      </a:pPr>
    </a:p>
  </c:txPr>
  <c:externalData r:id="rId1">
    <c:autoUpdate val="false"/>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四川省财政厅</Company>
  <Pages>197</Pages>
  <Words>92712</Words>
  <Characters>105293</Characters>
  <Lines>883</Lines>
  <Paragraphs>248</Paragraphs>
  <TotalTime>0</TotalTime>
  <ScaleCrop>false</ScaleCrop>
  <LinksUpToDate>false</LinksUpToDate>
  <CharactersWithSpaces>106790</CharactersWithSpaces>
  <Application>WPS Office_11.8.2.10290_F1E327BC-269C-435d-A152-05C5408002CA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2023-10-27T12:15:00Z</dcterms:created>
  <dc:creator>曹颖</dc:creator>
  <cp:lastModifiedBy>user</cp:lastModifiedBy>
  <cp:lastPrinted>2022-08-06T10:23:00Z</cp:lastPrinted>
  <dcterms:modified xsi:type="dcterms:W3CDTF">2025-01-09T16:32:37Z</dcterms:modified>
  <dc:title>四川省***</dc:title>
  <cp:revision>86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2052-11.8.2.10290</vt:lpwstr>
  </property>
  <property fmtid="{D5CDD505-2E9C-101B-9397-08002B2CF9AE}" pid="3" name="ICV">
    <vt:lpwstr>18C4299B72334D3095585539B3212D20</vt:lpwstr>
  </property>
</Properties>
</file>