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96597"/>
      <w:bookmarkStart w:id="1" w:name="_Toc15377425"/>
      <w:bookmarkStart w:id="2" w:name="_Toc15378441"/>
      <w:bookmarkStart w:id="3" w:name="_Toc15377193"/>
      <w:bookmarkStart w:id="4" w:name="_Toc15396475"/>
      <w:bookmarkStart w:id="5" w:name="_Toc15306267"/>
      <w:bookmarkStart w:id="115" w:name="_GoBack"/>
      <w:bookmarkEnd w:id="115"/>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9674"/>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32171"/>
      <w:bookmarkStart w:id="8" w:name="_Toc15378442"/>
      <w:bookmarkStart w:id="9" w:name="_Toc15396598"/>
      <w:bookmarkStart w:id="10" w:name="_Toc15377194"/>
      <w:bookmarkStart w:id="11" w:name="_Toc15396476"/>
      <w:bookmarkStart w:id="12" w:name="_Toc15306268"/>
      <w:bookmarkStart w:id="13" w:name="_Toc15377426"/>
      <w:r>
        <w:rPr>
          <w:rFonts w:hint="eastAsia" w:ascii="方正小标宋简体" w:hAnsi="方正小标宋简体" w:eastAsia="方正小标宋简体" w:cs="方正小标宋简体"/>
          <w:color w:val="auto"/>
          <w:spacing w:val="-23"/>
          <w:sz w:val="72"/>
          <w:szCs w:val="72"/>
          <w:highlight w:val="none"/>
          <w:lang w:eastAsia="zh-CN"/>
        </w:rPr>
        <w:t>中共广元市朝天区委机构编制</w:t>
      </w:r>
      <w:r>
        <w:rPr>
          <w:rFonts w:hint="eastAsia" w:ascii="方正小标宋简体" w:hAnsi="方正小标宋简体" w:eastAsia="方正小标宋简体" w:cs="方正小标宋简体"/>
          <w:color w:val="auto"/>
          <w:sz w:val="72"/>
          <w:szCs w:val="72"/>
          <w:highlight w:val="none"/>
          <w:lang w:eastAsia="zh-CN"/>
        </w:rPr>
        <w:t>委员会办公室</w:t>
      </w: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bookmarkEnd w:id="13"/>
    </w:p>
    <w:p>
      <w:pPr>
        <w:widowControl/>
        <w:jc w:val="both"/>
        <w:rPr>
          <w:rFonts w:ascii="黑体" w:hAnsi="黑体" w:eastAsia="黑体" w:cstheme="minorBidi"/>
          <w:color w:val="auto"/>
          <w:sz w:val="28"/>
          <w:szCs w:val="28"/>
          <w:highlight w:val="none"/>
        </w:rPr>
      </w:pPr>
    </w:p>
    <w:p>
      <w:pPr>
        <w:widowControl/>
        <w:jc w:val="both"/>
        <w:rPr>
          <w:rFonts w:ascii="黑体" w:hAnsi="黑体" w:eastAsia="黑体" w:cstheme="minorBidi"/>
          <w:color w:val="auto"/>
          <w:sz w:val="28"/>
          <w:szCs w:val="28"/>
          <w:highlight w:val="none"/>
        </w:rPr>
      </w:pPr>
    </w:p>
    <w:p>
      <w:pPr>
        <w:widowControl/>
        <w:jc w:val="both"/>
        <w:rPr>
          <w:rFonts w:ascii="黑体" w:hAnsi="黑体" w:eastAsia="黑体" w:cstheme="minorBidi"/>
          <w:color w:val="auto"/>
          <w:sz w:val="28"/>
          <w:szCs w:val="28"/>
          <w:highlight w:val="none"/>
        </w:rPr>
      </w:pPr>
    </w:p>
    <w:p>
      <w:pPr>
        <w:widowControl/>
        <w:jc w:val="both"/>
        <w:rPr>
          <w:rFonts w:ascii="黑体" w:hAnsi="黑体" w:eastAsia="黑体" w:cstheme="minorBidi"/>
          <w:color w:val="auto"/>
          <w:sz w:val="28"/>
          <w:szCs w:val="28"/>
          <w:highlight w:val="none"/>
        </w:rPr>
      </w:pPr>
    </w:p>
    <w:p>
      <w:pPr>
        <w:widowControl/>
        <w:jc w:val="both"/>
        <w:rPr>
          <w:rFonts w:ascii="黑体" w:hAnsi="黑体" w:eastAsia="黑体" w:cstheme="minorBidi"/>
          <w:color w:val="auto"/>
          <w:sz w:val="28"/>
          <w:szCs w:val="28"/>
          <w:highlight w:val="none"/>
        </w:rPr>
      </w:pPr>
    </w:p>
    <w:p>
      <w:pPr>
        <w:widowControl/>
        <w:jc w:val="both"/>
        <w:rPr>
          <w:rFonts w:ascii="黑体" w:hAnsi="黑体" w:eastAsia="黑体" w:cstheme="minorBidi"/>
          <w:color w:val="auto"/>
          <w:sz w:val="28"/>
          <w:szCs w:val="28"/>
          <w:highlight w:val="none"/>
        </w:rPr>
      </w:pPr>
    </w:p>
    <w:p>
      <w:pPr>
        <w:widowControl/>
        <w:jc w:val="both"/>
        <w:rPr>
          <w:rFonts w:ascii="黑体" w:hAnsi="黑体" w:eastAsia="黑体" w:cstheme="minorBidi"/>
          <w:color w:val="auto"/>
          <w:sz w:val="28"/>
          <w:szCs w:val="28"/>
          <w:highlight w:val="none"/>
        </w:rPr>
      </w:pPr>
    </w:p>
    <w:p>
      <w:pPr>
        <w:widowControl/>
        <w:jc w:val="both"/>
        <w:rPr>
          <w:rFonts w:ascii="黑体" w:hAnsi="黑体" w:eastAsia="黑体" w:cstheme="minorBidi"/>
          <w:color w:val="auto"/>
          <w:sz w:val="28"/>
          <w:szCs w:val="28"/>
          <w:highlight w:val="none"/>
        </w:rPr>
      </w:pPr>
    </w:p>
    <w:p>
      <w:pPr>
        <w:pStyle w:val="12"/>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公开时间：2023年10月27日</w:t>
      </w:r>
    </w:p>
    <w:p>
      <w:pPr>
        <w:rPr>
          <w:color w:val="auto"/>
          <w:highlight w:val="none"/>
        </w:rPr>
      </w:pPr>
    </w:p>
    <w:sdt>
      <w:sdtPr>
        <w:rPr>
          <w:rFonts w:ascii="宋体" w:hAnsi="宋体" w:eastAsia="宋体" w:cs="Times New Roman"/>
          <w:kern w:val="2"/>
          <w:sz w:val="21"/>
          <w:szCs w:val="24"/>
          <w:lang w:val="en-US" w:eastAsia="zh-CN" w:bidi="ar-SA"/>
        </w:rPr>
        <w:id w:val="147482679"/>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4" w:name="_Toc15377196"/>
          <w:bookmarkStart w:id="15" w:name="_Toc15396599"/>
          <w:r>
            <w:rPr>
              <w:rFonts w:ascii="宋体" w:hAnsi="宋体" w:eastAsia="宋体"/>
              <w:sz w:val="21"/>
            </w:rPr>
            <w:t>目录</w:t>
          </w:r>
        </w:p>
        <w:p>
          <w:pPr>
            <w:pStyle w:val="36"/>
            <w:tabs>
              <w:tab w:val="right" w:leader="dot" w:pos="8845"/>
            </w:tabs>
          </w:pPr>
          <w:r>
            <w:fldChar w:fldCharType="begin"/>
          </w:r>
          <w:r>
            <w:instrText xml:space="preserve">TOC \o "1-3" \h \u </w:instrText>
          </w:r>
          <w:r>
            <w:fldChar w:fldCharType="separate"/>
          </w:r>
          <w:r>
            <w:fldChar w:fldCharType="begin"/>
          </w:r>
          <w:r>
            <w:instrText xml:space="preserve"> HYPERLINK \l _Toc22124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_Toc22124 \h </w:instrText>
          </w:r>
          <w:r>
            <w:fldChar w:fldCharType="separate"/>
          </w:r>
          <w:r>
            <w:t>3</w:t>
          </w:r>
          <w:r>
            <w:fldChar w:fldCharType="end"/>
          </w:r>
          <w:r>
            <w:fldChar w:fldCharType="end"/>
          </w:r>
        </w:p>
        <w:p>
          <w:pPr>
            <w:pStyle w:val="37"/>
            <w:tabs>
              <w:tab w:val="right" w:leader="dot" w:pos="8845"/>
            </w:tabs>
          </w:pPr>
          <w:r>
            <w:fldChar w:fldCharType="begin"/>
          </w:r>
          <w:r>
            <w:instrText xml:space="preserve"> HYPERLINK \l _Toc16508 </w:instrText>
          </w:r>
          <w:r>
            <w:fldChar w:fldCharType="separate"/>
          </w:r>
          <w:r>
            <w:rPr>
              <w:rFonts w:hint="eastAsia" w:ascii="黑体" w:hAnsi="黑体" w:eastAsia="黑体"/>
              <w:highlight w:val="none"/>
            </w:rPr>
            <w:t>一、</w:t>
          </w:r>
          <w:r>
            <w:rPr>
              <w:rFonts w:hint="eastAsia" w:ascii="黑体" w:hAnsi="黑体" w:eastAsia="黑体"/>
              <w:highlight w:val="none"/>
              <w:lang w:eastAsia="zh-CN"/>
            </w:rPr>
            <w:t>部门职责</w:t>
          </w:r>
          <w:r>
            <w:tab/>
          </w:r>
          <w:r>
            <w:fldChar w:fldCharType="begin"/>
          </w:r>
          <w:r>
            <w:instrText xml:space="preserve"> PAGEREF _Toc16508 \h </w:instrText>
          </w:r>
          <w:r>
            <w:fldChar w:fldCharType="separate"/>
          </w:r>
          <w:r>
            <w:t>3</w:t>
          </w:r>
          <w:r>
            <w:fldChar w:fldCharType="end"/>
          </w:r>
          <w:r>
            <w:fldChar w:fldCharType="end"/>
          </w:r>
        </w:p>
        <w:p>
          <w:pPr>
            <w:pStyle w:val="37"/>
            <w:tabs>
              <w:tab w:val="right" w:leader="dot" w:pos="8845"/>
            </w:tabs>
          </w:pPr>
          <w:r>
            <w:fldChar w:fldCharType="begin"/>
          </w:r>
          <w:r>
            <w:instrText xml:space="preserve"> HYPERLINK \l _Toc17285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_Toc17285 \h </w:instrText>
          </w:r>
          <w:r>
            <w:fldChar w:fldCharType="separate"/>
          </w:r>
          <w:r>
            <w:t>4</w:t>
          </w:r>
          <w:r>
            <w:fldChar w:fldCharType="end"/>
          </w:r>
          <w:r>
            <w:fldChar w:fldCharType="end"/>
          </w:r>
        </w:p>
        <w:p>
          <w:pPr>
            <w:pStyle w:val="36"/>
            <w:tabs>
              <w:tab w:val="right" w:leader="dot" w:pos="8845"/>
            </w:tabs>
          </w:pPr>
          <w:r>
            <w:fldChar w:fldCharType="begin"/>
          </w:r>
          <w:r>
            <w:instrText xml:space="preserve"> HYPERLINK \l _Toc23594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rPr>
            <w:t>部门决算情况说明</w:t>
          </w:r>
          <w:r>
            <w:tab/>
          </w:r>
          <w:r>
            <w:fldChar w:fldCharType="begin"/>
          </w:r>
          <w:r>
            <w:instrText xml:space="preserve"> PAGEREF _Toc23594 \h </w:instrText>
          </w:r>
          <w:r>
            <w:fldChar w:fldCharType="separate"/>
          </w:r>
          <w:r>
            <w:t>5</w:t>
          </w:r>
          <w:r>
            <w:fldChar w:fldCharType="end"/>
          </w:r>
          <w:r>
            <w:fldChar w:fldCharType="end"/>
          </w:r>
        </w:p>
        <w:p>
          <w:pPr>
            <w:pStyle w:val="37"/>
            <w:tabs>
              <w:tab w:val="right" w:leader="dot" w:pos="8845"/>
            </w:tabs>
          </w:pPr>
          <w:r>
            <w:fldChar w:fldCharType="begin"/>
          </w:r>
          <w:r>
            <w:instrText xml:space="preserve"> HYPERLINK \l _Toc15532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_Toc15532 \h </w:instrText>
          </w:r>
          <w:r>
            <w:fldChar w:fldCharType="separate"/>
          </w:r>
          <w:r>
            <w:t>5</w:t>
          </w:r>
          <w:r>
            <w:fldChar w:fldCharType="end"/>
          </w:r>
          <w:r>
            <w:fldChar w:fldCharType="end"/>
          </w:r>
        </w:p>
        <w:p>
          <w:pPr>
            <w:pStyle w:val="37"/>
            <w:tabs>
              <w:tab w:val="right" w:leader="dot" w:pos="8845"/>
            </w:tabs>
          </w:pPr>
          <w:r>
            <w:fldChar w:fldCharType="begin"/>
          </w:r>
          <w:r>
            <w:instrText xml:space="preserve"> HYPERLINK \l _Toc11463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_Toc11463 \h </w:instrText>
          </w:r>
          <w:r>
            <w:fldChar w:fldCharType="separate"/>
          </w:r>
          <w:r>
            <w:t>5</w:t>
          </w:r>
          <w:r>
            <w:fldChar w:fldCharType="end"/>
          </w:r>
          <w:r>
            <w:fldChar w:fldCharType="end"/>
          </w:r>
        </w:p>
        <w:p>
          <w:pPr>
            <w:pStyle w:val="37"/>
            <w:tabs>
              <w:tab w:val="right" w:leader="dot" w:pos="8845"/>
            </w:tabs>
          </w:pPr>
          <w:r>
            <w:fldChar w:fldCharType="begin"/>
          </w:r>
          <w:r>
            <w:instrText xml:space="preserve"> HYPERLINK \l _Toc11364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_Toc11364 \h </w:instrText>
          </w:r>
          <w:r>
            <w:fldChar w:fldCharType="separate"/>
          </w:r>
          <w:r>
            <w:t>6</w:t>
          </w:r>
          <w:r>
            <w:fldChar w:fldCharType="end"/>
          </w:r>
          <w:r>
            <w:fldChar w:fldCharType="end"/>
          </w:r>
        </w:p>
        <w:p>
          <w:pPr>
            <w:pStyle w:val="37"/>
            <w:tabs>
              <w:tab w:val="right" w:leader="dot" w:pos="8845"/>
            </w:tabs>
          </w:pPr>
          <w:r>
            <w:fldChar w:fldCharType="begin"/>
          </w:r>
          <w:r>
            <w:instrText xml:space="preserve"> HYPERLINK \l _Toc28169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_Toc28169 \h </w:instrText>
          </w:r>
          <w:r>
            <w:fldChar w:fldCharType="separate"/>
          </w:r>
          <w:r>
            <w:t>7</w:t>
          </w:r>
          <w:r>
            <w:fldChar w:fldCharType="end"/>
          </w:r>
          <w:r>
            <w:fldChar w:fldCharType="end"/>
          </w:r>
        </w:p>
        <w:p>
          <w:pPr>
            <w:pStyle w:val="37"/>
            <w:tabs>
              <w:tab w:val="right" w:leader="dot" w:pos="8845"/>
            </w:tabs>
          </w:pPr>
          <w:r>
            <w:fldChar w:fldCharType="begin"/>
          </w:r>
          <w:r>
            <w:instrText xml:space="preserve"> HYPERLINK \l _Toc27908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_Toc27908 \h </w:instrText>
          </w:r>
          <w:r>
            <w:fldChar w:fldCharType="separate"/>
          </w:r>
          <w:r>
            <w:t>7</w:t>
          </w:r>
          <w:r>
            <w:fldChar w:fldCharType="end"/>
          </w:r>
          <w:r>
            <w:fldChar w:fldCharType="end"/>
          </w:r>
        </w:p>
        <w:p>
          <w:pPr>
            <w:pStyle w:val="38"/>
            <w:tabs>
              <w:tab w:val="right" w:leader="dot" w:pos="8845"/>
            </w:tabs>
          </w:pPr>
          <w:r>
            <w:fldChar w:fldCharType="begin"/>
          </w:r>
          <w:r>
            <w:instrText xml:space="preserve"> HYPERLINK \l _Toc18875 </w:instrText>
          </w:r>
          <w:r>
            <w:fldChar w:fldCharType="separate"/>
          </w:r>
          <w:r>
            <w:rPr>
              <w:rFonts w:hint="eastAsia" w:ascii="楷体_GB2312" w:hAnsi="楷体_GB2312" w:eastAsia="楷体_GB2312" w:cs="楷体_GB2312"/>
              <w:bCs/>
              <w:szCs w:val="32"/>
              <w:highlight w:val="none"/>
            </w:rPr>
            <w:t>（一）一般公共预算财政拨款支出决算总体情况</w:t>
          </w:r>
          <w:r>
            <w:tab/>
          </w:r>
          <w:r>
            <w:fldChar w:fldCharType="begin"/>
          </w:r>
          <w:r>
            <w:instrText xml:space="preserve"> PAGEREF _Toc18875 \h </w:instrText>
          </w:r>
          <w:r>
            <w:fldChar w:fldCharType="separate"/>
          </w:r>
          <w:r>
            <w:t>7</w:t>
          </w:r>
          <w:r>
            <w:fldChar w:fldCharType="end"/>
          </w:r>
          <w:r>
            <w:fldChar w:fldCharType="end"/>
          </w:r>
        </w:p>
        <w:p>
          <w:pPr>
            <w:pStyle w:val="38"/>
            <w:tabs>
              <w:tab w:val="right" w:leader="dot" w:pos="8845"/>
            </w:tabs>
          </w:pPr>
          <w:r>
            <w:fldChar w:fldCharType="begin"/>
          </w:r>
          <w:r>
            <w:instrText xml:space="preserve"> HYPERLINK \l _Toc13392 </w:instrText>
          </w:r>
          <w:r>
            <w:fldChar w:fldCharType="separate"/>
          </w:r>
          <w:r>
            <w:rPr>
              <w:rFonts w:hint="eastAsia" w:ascii="楷体_GB2312" w:hAnsi="楷体_GB2312" w:eastAsia="楷体_GB2312" w:cs="楷体_GB2312"/>
              <w:bCs/>
              <w:szCs w:val="32"/>
              <w:highlight w:val="none"/>
            </w:rPr>
            <w:t>（二）一般公共预算财政拨款支出决算结构情况</w:t>
          </w:r>
          <w:r>
            <w:tab/>
          </w:r>
          <w:r>
            <w:fldChar w:fldCharType="begin"/>
          </w:r>
          <w:r>
            <w:instrText xml:space="preserve"> PAGEREF _Toc13392 \h </w:instrText>
          </w:r>
          <w:r>
            <w:fldChar w:fldCharType="separate"/>
          </w:r>
          <w:r>
            <w:t>8</w:t>
          </w:r>
          <w:r>
            <w:fldChar w:fldCharType="end"/>
          </w:r>
          <w:r>
            <w:fldChar w:fldCharType="end"/>
          </w:r>
        </w:p>
        <w:p>
          <w:pPr>
            <w:pStyle w:val="38"/>
            <w:tabs>
              <w:tab w:val="right" w:leader="dot" w:pos="8845"/>
            </w:tabs>
          </w:pPr>
          <w:r>
            <w:fldChar w:fldCharType="begin"/>
          </w:r>
          <w:r>
            <w:instrText xml:space="preserve"> HYPERLINK \l _Toc2389 </w:instrText>
          </w:r>
          <w:r>
            <w:fldChar w:fldCharType="separate"/>
          </w:r>
          <w:r>
            <w:rPr>
              <w:rFonts w:hint="eastAsia" w:ascii="楷体_GB2312" w:hAnsi="楷体_GB2312" w:eastAsia="楷体_GB2312" w:cs="楷体_GB2312"/>
              <w:bCs/>
              <w:szCs w:val="32"/>
              <w:highlight w:val="none"/>
            </w:rPr>
            <w:t>（三）一般公共预算财政拨款支出决算具体情况</w:t>
          </w:r>
          <w:r>
            <w:tab/>
          </w:r>
          <w:r>
            <w:fldChar w:fldCharType="begin"/>
          </w:r>
          <w:r>
            <w:instrText xml:space="preserve"> PAGEREF _Toc2389 \h </w:instrText>
          </w:r>
          <w:r>
            <w:fldChar w:fldCharType="separate"/>
          </w:r>
          <w:r>
            <w:t>8</w:t>
          </w:r>
          <w:r>
            <w:fldChar w:fldCharType="end"/>
          </w:r>
          <w:r>
            <w:fldChar w:fldCharType="end"/>
          </w:r>
        </w:p>
        <w:p>
          <w:pPr>
            <w:pStyle w:val="37"/>
            <w:tabs>
              <w:tab w:val="right" w:leader="dot" w:pos="8845"/>
            </w:tabs>
          </w:pPr>
          <w:r>
            <w:fldChar w:fldCharType="begin"/>
          </w:r>
          <w:r>
            <w:instrText xml:space="preserve"> HYPERLINK \l _Toc9597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_Toc9597 \h </w:instrText>
          </w:r>
          <w:r>
            <w:fldChar w:fldCharType="separate"/>
          </w:r>
          <w:r>
            <w:t>10</w:t>
          </w:r>
          <w:r>
            <w:fldChar w:fldCharType="end"/>
          </w:r>
          <w:r>
            <w:fldChar w:fldCharType="end"/>
          </w:r>
        </w:p>
        <w:p>
          <w:pPr>
            <w:pStyle w:val="37"/>
            <w:tabs>
              <w:tab w:val="right" w:leader="dot" w:pos="8845"/>
            </w:tabs>
          </w:pPr>
          <w:r>
            <w:fldChar w:fldCharType="begin"/>
          </w:r>
          <w:r>
            <w:instrText xml:space="preserve"> HYPERLINK \l _Toc6086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_Toc6086 \h </w:instrText>
          </w:r>
          <w:r>
            <w:fldChar w:fldCharType="separate"/>
          </w:r>
          <w:r>
            <w:t>10</w:t>
          </w:r>
          <w:r>
            <w:fldChar w:fldCharType="end"/>
          </w:r>
          <w:r>
            <w:fldChar w:fldCharType="end"/>
          </w:r>
        </w:p>
        <w:p>
          <w:pPr>
            <w:pStyle w:val="38"/>
            <w:tabs>
              <w:tab w:val="right" w:leader="dot" w:pos="8845"/>
            </w:tabs>
          </w:pPr>
          <w:r>
            <w:fldChar w:fldCharType="begin"/>
          </w:r>
          <w:r>
            <w:instrText xml:space="preserve"> HYPERLINK \l _Toc23299 </w:instrText>
          </w:r>
          <w:r>
            <w:fldChar w:fldCharType="separate"/>
          </w:r>
          <w:r>
            <w:rPr>
              <w:rFonts w:hint="eastAsia" w:ascii="楷体_GB2312" w:hAnsi="楷体_GB2312" w:eastAsia="楷体_GB2312" w:cs="楷体_GB2312"/>
              <w:bCs/>
              <w:szCs w:val="32"/>
              <w:highlight w:val="none"/>
            </w:rPr>
            <w:t>（一）“三公”经费财政拨款支出决算总体情况说明</w:t>
          </w:r>
          <w:r>
            <w:tab/>
          </w:r>
          <w:r>
            <w:fldChar w:fldCharType="begin"/>
          </w:r>
          <w:r>
            <w:instrText xml:space="preserve"> PAGEREF _Toc23299 \h </w:instrText>
          </w:r>
          <w:r>
            <w:fldChar w:fldCharType="separate"/>
          </w:r>
          <w:r>
            <w:t>10</w:t>
          </w:r>
          <w:r>
            <w:fldChar w:fldCharType="end"/>
          </w:r>
          <w:r>
            <w:fldChar w:fldCharType="end"/>
          </w:r>
        </w:p>
        <w:p>
          <w:pPr>
            <w:pStyle w:val="37"/>
            <w:tabs>
              <w:tab w:val="right" w:leader="dot" w:pos="8845"/>
            </w:tabs>
          </w:pPr>
          <w:r>
            <w:fldChar w:fldCharType="begin"/>
          </w:r>
          <w:r>
            <w:instrText xml:space="preserve"> HYPERLINK \l _Toc15665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_Toc15665 \h </w:instrText>
          </w:r>
          <w:r>
            <w:fldChar w:fldCharType="separate"/>
          </w:r>
          <w:r>
            <w:t>12</w:t>
          </w:r>
          <w:r>
            <w:fldChar w:fldCharType="end"/>
          </w:r>
          <w:r>
            <w:fldChar w:fldCharType="end"/>
          </w:r>
        </w:p>
        <w:p>
          <w:pPr>
            <w:pStyle w:val="37"/>
            <w:tabs>
              <w:tab w:val="right" w:leader="dot" w:pos="8845"/>
            </w:tabs>
          </w:pPr>
          <w:r>
            <w:fldChar w:fldCharType="begin"/>
          </w:r>
          <w:r>
            <w:instrText xml:space="preserve"> HYPERLINK \l _Toc25702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_Toc25702 \h </w:instrText>
          </w:r>
          <w:r>
            <w:fldChar w:fldCharType="separate"/>
          </w:r>
          <w:r>
            <w:t>12</w:t>
          </w:r>
          <w:r>
            <w:fldChar w:fldCharType="end"/>
          </w:r>
          <w:r>
            <w:fldChar w:fldCharType="end"/>
          </w:r>
        </w:p>
        <w:p>
          <w:pPr>
            <w:pStyle w:val="37"/>
            <w:tabs>
              <w:tab w:val="right" w:leader="dot" w:pos="8845"/>
            </w:tabs>
          </w:pPr>
          <w:r>
            <w:fldChar w:fldCharType="begin"/>
          </w:r>
          <w:r>
            <w:instrText xml:space="preserve"> HYPERLINK \l _Toc20794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_Toc20794 \h </w:instrText>
          </w:r>
          <w:r>
            <w:fldChar w:fldCharType="separate"/>
          </w:r>
          <w:r>
            <w:t>12</w:t>
          </w:r>
          <w:r>
            <w:fldChar w:fldCharType="end"/>
          </w:r>
          <w:r>
            <w:fldChar w:fldCharType="end"/>
          </w:r>
        </w:p>
        <w:p>
          <w:pPr>
            <w:pStyle w:val="38"/>
            <w:tabs>
              <w:tab w:val="right" w:leader="dot" w:pos="8845"/>
            </w:tabs>
          </w:pPr>
          <w:r>
            <w:fldChar w:fldCharType="begin"/>
          </w:r>
          <w:r>
            <w:instrText xml:space="preserve"> HYPERLINK \l _Toc16469 </w:instrText>
          </w:r>
          <w:r>
            <w:fldChar w:fldCharType="separate"/>
          </w:r>
          <w:r>
            <w:rPr>
              <w:rFonts w:hint="eastAsia" w:ascii="楷体_GB2312" w:hAnsi="楷体_GB2312" w:eastAsia="楷体_GB2312" w:cs="楷体_GB2312"/>
              <w:bCs/>
              <w:szCs w:val="32"/>
              <w:highlight w:val="none"/>
            </w:rPr>
            <w:t>（一）机关运行经费支出情况</w:t>
          </w:r>
          <w:r>
            <w:tab/>
          </w:r>
          <w:r>
            <w:fldChar w:fldCharType="begin"/>
          </w:r>
          <w:r>
            <w:instrText xml:space="preserve"> PAGEREF _Toc16469 \h </w:instrText>
          </w:r>
          <w:r>
            <w:fldChar w:fldCharType="separate"/>
          </w:r>
          <w:r>
            <w:t>12</w:t>
          </w:r>
          <w:r>
            <w:fldChar w:fldCharType="end"/>
          </w:r>
          <w:r>
            <w:fldChar w:fldCharType="end"/>
          </w:r>
        </w:p>
        <w:p>
          <w:pPr>
            <w:pStyle w:val="38"/>
            <w:tabs>
              <w:tab w:val="right" w:leader="dot" w:pos="8845"/>
            </w:tabs>
          </w:pPr>
          <w:r>
            <w:fldChar w:fldCharType="begin"/>
          </w:r>
          <w:r>
            <w:instrText xml:space="preserve"> HYPERLINK \l _Toc31595 </w:instrText>
          </w:r>
          <w:r>
            <w:fldChar w:fldCharType="separate"/>
          </w:r>
          <w:r>
            <w:rPr>
              <w:rFonts w:hint="eastAsia" w:ascii="楷体_GB2312" w:hAnsi="楷体_GB2312" w:eastAsia="楷体_GB2312" w:cs="楷体_GB2312"/>
              <w:bCs/>
              <w:szCs w:val="32"/>
              <w:highlight w:val="none"/>
            </w:rPr>
            <w:t>（二）政府采购支出情况</w:t>
          </w:r>
          <w:r>
            <w:tab/>
          </w:r>
          <w:r>
            <w:fldChar w:fldCharType="begin"/>
          </w:r>
          <w:r>
            <w:instrText xml:space="preserve"> PAGEREF _Toc31595 \h </w:instrText>
          </w:r>
          <w:r>
            <w:fldChar w:fldCharType="separate"/>
          </w:r>
          <w:r>
            <w:t>12</w:t>
          </w:r>
          <w:r>
            <w:fldChar w:fldCharType="end"/>
          </w:r>
          <w:r>
            <w:fldChar w:fldCharType="end"/>
          </w:r>
        </w:p>
        <w:p>
          <w:pPr>
            <w:pStyle w:val="38"/>
            <w:tabs>
              <w:tab w:val="right" w:leader="dot" w:pos="8845"/>
            </w:tabs>
          </w:pPr>
          <w:r>
            <w:fldChar w:fldCharType="begin"/>
          </w:r>
          <w:r>
            <w:instrText xml:space="preserve"> HYPERLINK \l _Toc30054 </w:instrText>
          </w:r>
          <w:r>
            <w:fldChar w:fldCharType="separate"/>
          </w:r>
          <w:r>
            <w:rPr>
              <w:rFonts w:hint="eastAsia" w:ascii="楷体_GB2312" w:hAnsi="楷体_GB2312" w:eastAsia="楷体_GB2312" w:cs="楷体_GB2312"/>
              <w:bCs/>
              <w:szCs w:val="32"/>
              <w:highlight w:val="none"/>
            </w:rPr>
            <w:t>（三）国有资产占有使用情况</w:t>
          </w:r>
          <w:r>
            <w:tab/>
          </w:r>
          <w:r>
            <w:fldChar w:fldCharType="begin"/>
          </w:r>
          <w:r>
            <w:instrText xml:space="preserve"> PAGEREF _Toc30054 \h </w:instrText>
          </w:r>
          <w:r>
            <w:fldChar w:fldCharType="separate"/>
          </w:r>
          <w:r>
            <w:t>12</w:t>
          </w:r>
          <w:r>
            <w:fldChar w:fldCharType="end"/>
          </w:r>
          <w:r>
            <w:fldChar w:fldCharType="end"/>
          </w:r>
        </w:p>
        <w:p>
          <w:pPr>
            <w:pStyle w:val="38"/>
            <w:tabs>
              <w:tab w:val="right" w:leader="dot" w:pos="8845"/>
            </w:tabs>
          </w:pPr>
          <w:r>
            <w:fldChar w:fldCharType="begin"/>
          </w:r>
          <w:r>
            <w:instrText xml:space="preserve"> HYPERLINK \l _Toc30830 </w:instrText>
          </w:r>
          <w:r>
            <w:fldChar w:fldCharType="separate"/>
          </w:r>
          <w:r>
            <w:rPr>
              <w:rFonts w:hint="eastAsia" w:ascii="楷体_GB2312" w:hAnsi="楷体_GB2312" w:eastAsia="楷体_GB2312" w:cs="楷体_GB2312"/>
              <w:bCs/>
              <w:szCs w:val="32"/>
              <w:highlight w:val="none"/>
            </w:rPr>
            <w:t>（四）预算绩效管理情况</w:t>
          </w:r>
          <w:r>
            <w:tab/>
          </w:r>
          <w:r>
            <w:fldChar w:fldCharType="begin"/>
          </w:r>
          <w:r>
            <w:instrText xml:space="preserve"> PAGEREF _Toc30830 \h </w:instrText>
          </w:r>
          <w:r>
            <w:fldChar w:fldCharType="separate"/>
          </w:r>
          <w:r>
            <w:t>13</w:t>
          </w:r>
          <w:r>
            <w:fldChar w:fldCharType="end"/>
          </w:r>
          <w:r>
            <w:fldChar w:fldCharType="end"/>
          </w:r>
        </w:p>
        <w:p>
          <w:pPr>
            <w:pStyle w:val="36"/>
            <w:tabs>
              <w:tab w:val="right" w:leader="dot" w:pos="8845"/>
            </w:tabs>
          </w:pPr>
          <w:r>
            <w:fldChar w:fldCharType="begin"/>
          </w:r>
          <w:r>
            <w:instrText xml:space="preserve"> HYPERLINK \l _Toc1115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_Toc1115 \h </w:instrText>
          </w:r>
          <w:r>
            <w:fldChar w:fldCharType="separate"/>
          </w:r>
          <w:r>
            <w:t>14</w:t>
          </w:r>
          <w:r>
            <w:fldChar w:fldCharType="end"/>
          </w:r>
          <w:r>
            <w:fldChar w:fldCharType="end"/>
          </w:r>
        </w:p>
        <w:p>
          <w:pPr>
            <w:pStyle w:val="36"/>
            <w:tabs>
              <w:tab w:val="right" w:leader="dot" w:pos="8845"/>
            </w:tabs>
          </w:pPr>
          <w:r>
            <w:fldChar w:fldCharType="begin"/>
          </w:r>
          <w:r>
            <w:instrText xml:space="preserve"> HYPERLINK \l _Toc10681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_Toc10681 \h </w:instrText>
          </w:r>
          <w:r>
            <w:fldChar w:fldCharType="separate"/>
          </w:r>
          <w:r>
            <w:t>17</w:t>
          </w:r>
          <w:r>
            <w:fldChar w:fldCharType="end"/>
          </w:r>
          <w:r>
            <w:fldChar w:fldCharType="end"/>
          </w:r>
        </w:p>
        <w:p>
          <w:pPr>
            <w:pStyle w:val="36"/>
            <w:tabs>
              <w:tab w:val="right" w:leader="dot" w:pos="8845"/>
            </w:tabs>
          </w:pPr>
          <w:r>
            <w:fldChar w:fldCharType="begin"/>
          </w:r>
          <w:r>
            <w:instrText xml:space="preserve"> HYPERLINK \l _Toc24361 </w:instrText>
          </w:r>
          <w:r>
            <w:fldChar w:fldCharType="separate"/>
          </w:r>
          <w:r>
            <w:rPr>
              <w:rFonts w:hint="eastAsia" w:ascii="黑体" w:hAnsi="黑体" w:eastAsia="黑体"/>
              <w:szCs w:val="44"/>
              <w:highlight w:val="none"/>
            </w:rPr>
            <w:t>第</w:t>
          </w:r>
          <w:r>
            <w:rPr>
              <w:rFonts w:hint="eastAsia" w:ascii="黑体" w:hAnsi="黑体" w:eastAsia="黑体"/>
              <w:highlight w:val="none"/>
            </w:rPr>
            <w:t xml:space="preserve">五部分 </w:t>
          </w:r>
          <w:r>
            <w:rPr>
              <w:rFonts w:hint="eastAsia" w:ascii="黑体" w:hAnsi="黑体" w:eastAsia="黑体"/>
              <w:highlight w:val="none"/>
              <w:lang w:val="en-US" w:eastAsia="zh-CN"/>
            </w:rPr>
            <w:t xml:space="preserve"> </w:t>
          </w:r>
          <w:r>
            <w:rPr>
              <w:rFonts w:hint="eastAsia" w:ascii="黑体" w:hAnsi="黑体" w:eastAsia="黑体"/>
              <w:highlight w:val="none"/>
            </w:rPr>
            <w:t>附表</w:t>
          </w:r>
          <w:r>
            <w:tab/>
          </w:r>
          <w:r>
            <w:fldChar w:fldCharType="begin"/>
          </w:r>
          <w:r>
            <w:instrText xml:space="preserve"> PAGEREF _Toc24361 \h </w:instrText>
          </w:r>
          <w:r>
            <w:fldChar w:fldCharType="separate"/>
          </w:r>
          <w:r>
            <w:t>72</w:t>
          </w:r>
          <w:r>
            <w:fldChar w:fldCharType="end"/>
          </w:r>
          <w:r>
            <w:fldChar w:fldCharType="end"/>
          </w:r>
        </w:p>
        <w:p>
          <w:pPr>
            <w:pStyle w:val="37"/>
            <w:tabs>
              <w:tab w:val="right" w:leader="dot" w:pos="8845"/>
            </w:tabs>
          </w:pPr>
          <w:r>
            <w:fldChar w:fldCharType="begin"/>
          </w:r>
          <w:r>
            <w:instrText xml:space="preserve"> HYPERLINK \l _Toc30149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_Toc30149 \h </w:instrText>
          </w:r>
          <w:r>
            <w:fldChar w:fldCharType="separate"/>
          </w:r>
          <w:r>
            <w:t>72</w:t>
          </w:r>
          <w:r>
            <w:fldChar w:fldCharType="end"/>
          </w:r>
          <w:r>
            <w:fldChar w:fldCharType="end"/>
          </w:r>
        </w:p>
        <w:p>
          <w:pPr>
            <w:pStyle w:val="37"/>
            <w:tabs>
              <w:tab w:val="right" w:leader="dot" w:pos="8845"/>
            </w:tabs>
          </w:pPr>
          <w:r>
            <w:fldChar w:fldCharType="begin"/>
          </w:r>
          <w:r>
            <w:instrText xml:space="preserve"> HYPERLINK \l _Toc6924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_Toc6924 \h </w:instrText>
          </w:r>
          <w:r>
            <w:fldChar w:fldCharType="separate"/>
          </w:r>
          <w:r>
            <w:t>72</w:t>
          </w:r>
          <w:r>
            <w:fldChar w:fldCharType="end"/>
          </w:r>
          <w:r>
            <w:fldChar w:fldCharType="end"/>
          </w:r>
        </w:p>
        <w:p>
          <w:pPr>
            <w:pStyle w:val="37"/>
            <w:tabs>
              <w:tab w:val="right" w:leader="dot" w:pos="8845"/>
            </w:tabs>
          </w:pPr>
          <w:r>
            <w:fldChar w:fldCharType="begin"/>
          </w:r>
          <w:r>
            <w:instrText xml:space="preserve"> HYPERLINK \l _Toc15829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_Toc15829 \h </w:instrText>
          </w:r>
          <w:r>
            <w:fldChar w:fldCharType="separate"/>
          </w:r>
          <w:r>
            <w:t>72</w:t>
          </w:r>
          <w:r>
            <w:fldChar w:fldCharType="end"/>
          </w:r>
          <w:r>
            <w:fldChar w:fldCharType="end"/>
          </w:r>
        </w:p>
        <w:p>
          <w:pPr>
            <w:pStyle w:val="37"/>
            <w:tabs>
              <w:tab w:val="right" w:leader="dot" w:pos="8845"/>
            </w:tabs>
          </w:pPr>
          <w:r>
            <w:fldChar w:fldCharType="begin"/>
          </w:r>
          <w:r>
            <w:instrText xml:space="preserve"> HYPERLINK \l _Toc29643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_Toc29643 \h </w:instrText>
          </w:r>
          <w:r>
            <w:fldChar w:fldCharType="separate"/>
          </w:r>
          <w:r>
            <w:t>72</w:t>
          </w:r>
          <w:r>
            <w:fldChar w:fldCharType="end"/>
          </w:r>
          <w:r>
            <w:fldChar w:fldCharType="end"/>
          </w:r>
        </w:p>
        <w:p>
          <w:pPr>
            <w:pStyle w:val="37"/>
            <w:tabs>
              <w:tab w:val="right" w:leader="dot" w:pos="8845"/>
            </w:tabs>
          </w:pPr>
          <w:r>
            <w:fldChar w:fldCharType="begin"/>
          </w:r>
          <w:r>
            <w:instrText xml:space="preserve"> HYPERLINK \l _Toc13415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_Toc13415 \h </w:instrText>
          </w:r>
          <w:r>
            <w:fldChar w:fldCharType="separate"/>
          </w:r>
          <w:r>
            <w:t>72</w:t>
          </w:r>
          <w:r>
            <w:fldChar w:fldCharType="end"/>
          </w:r>
          <w:r>
            <w:fldChar w:fldCharType="end"/>
          </w:r>
        </w:p>
        <w:p>
          <w:pPr>
            <w:pStyle w:val="37"/>
            <w:tabs>
              <w:tab w:val="right" w:leader="dot" w:pos="8845"/>
            </w:tabs>
          </w:pPr>
          <w:r>
            <w:fldChar w:fldCharType="begin"/>
          </w:r>
          <w:r>
            <w:instrText xml:space="preserve"> HYPERLINK \l _Toc21194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_Toc21194 \h </w:instrText>
          </w:r>
          <w:r>
            <w:fldChar w:fldCharType="separate"/>
          </w:r>
          <w:r>
            <w:t>72</w:t>
          </w:r>
          <w:r>
            <w:fldChar w:fldCharType="end"/>
          </w:r>
          <w:r>
            <w:fldChar w:fldCharType="end"/>
          </w:r>
        </w:p>
        <w:p>
          <w:pPr>
            <w:pStyle w:val="37"/>
            <w:tabs>
              <w:tab w:val="right" w:leader="dot" w:pos="8845"/>
            </w:tabs>
          </w:pPr>
          <w:r>
            <w:fldChar w:fldCharType="begin"/>
          </w:r>
          <w:r>
            <w:instrText xml:space="preserve"> HYPERLINK \l _Toc32750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_Toc32750 \h </w:instrText>
          </w:r>
          <w:r>
            <w:fldChar w:fldCharType="separate"/>
          </w:r>
          <w:r>
            <w:t>72</w:t>
          </w:r>
          <w:r>
            <w:fldChar w:fldCharType="end"/>
          </w:r>
          <w:r>
            <w:fldChar w:fldCharType="end"/>
          </w:r>
        </w:p>
        <w:p>
          <w:pPr>
            <w:pStyle w:val="37"/>
            <w:tabs>
              <w:tab w:val="right" w:leader="dot" w:pos="8845"/>
            </w:tabs>
          </w:pPr>
          <w:r>
            <w:fldChar w:fldCharType="begin"/>
          </w:r>
          <w:r>
            <w:instrText xml:space="preserve"> HYPERLINK \l _Toc9412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_Toc9412 \h </w:instrText>
          </w:r>
          <w:r>
            <w:fldChar w:fldCharType="separate"/>
          </w:r>
          <w:r>
            <w:t>72</w:t>
          </w:r>
          <w:r>
            <w:fldChar w:fldCharType="end"/>
          </w:r>
          <w:r>
            <w:fldChar w:fldCharType="end"/>
          </w:r>
        </w:p>
        <w:p>
          <w:pPr>
            <w:pStyle w:val="37"/>
            <w:tabs>
              <w:tab w:val="right" w:leader="dot" w:pos="8845"/>
            </w:tabs>
          </w:pPr>
          <w:r>
            <w:fldChar w:fldCharType="begin"/>
          </w:r>
          <w:r>
            <w:instrText xml:space="preserve"> HYPERLINK \l _Toc8688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_Toc8688 \h </w:instrText>
          </w:r>
          <w:r>
            <w:fldChar w:fldCharType="separate"/>
          </w:r>
          <w:r>
            <w:t>72</w:t>
          </w:r>
          <w:r>
            <w:fldChar w:fldCharType="end"/>
          </w:r>
          <w:r>
            <w:fldChar w:fldCharType="end"/>
          </w:r>
        </w:p>
        <w:p>
          <w:pPr>
            <w:pStyle w:val="37"/>
            <w:tabs>
              <w:tab w:val="right" w:leader="dot" w:pos="8845"/>
            </w:tabs>
          </w:pPr>
          <w:r>
            <w:fldChar w:fldCharType="begin"/>
          </w:r>
          <w:r>
            <w:instrText xml:space="preserve"> HYPERLINK \l _Toc22040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_Toc22040 \h </w:instrText>
          </w:r>
          <w:r>
            <w:fldChar w:fldCharType="separate"/>
          </w:r>
          <w:r>
            <w:t>72</w:t>
          </w:r>
          <w:r>
            <w:fldChar w:fldCharType="end"/>
          </w:r>
          <w:r>
            <w:fldChar w:fldCharType="end"/>
          </w:r>
        </w:p>
        <w:p>
          <w:pPr>
            <w:pStyle w:val="37"/>
            <w:tabs>
              <w:tab w:val="right" w:leader="dot" w:pos="8845"/>
            </w:tabs>
          </w:pPr>
          <w:r>
            <w:fldChar w:fldCharType="begin"/>
          </w:r>
          <w:r>
            <w:instrText xml:space="preserve"> HYPERLINK \l _Toc10892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_Toc10892 \h </w:instrText>
          </w:r>
          <w:r>
            <w:fldChar w:fldCharType="separate"/>
          </w:r>
          <w:r>
            <w:t>72</w:t>
          </w:r>
          <w:r>
            <w:fldChar w:fldCharType="end"/>
          </w:r>
          <w:r>
            <w:fldChar w:fldCharType="end"/>
          </w:r>
        </w:p>
        <w:p>
          <w:pPr>
            <w:pStyle w:val="37"/>
            <w:tabs>
              <w:tab w:val="right" w:leader="dot" w:pos="8845"/>
            </w:tabs>
          </w:pPr>
          <w:r>
            <w:fldChar w:fldCharType="begin"/>
          </w:r>
          <w:r>
            <w:instrText xml:space="preserve"> HYPERLINK \l _Toc16030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_Toc16030 \h </w:instrText>
          </w:r>
          <w:r>
            <w:fldChar w:fldCharType="separate"/>
          </w:r>
          <w:r>
            <w:t>72</w:t>
          </w:r>
          <w:r>
            <w:fldChar w:fldCharType="end"/>
          </w:r>
          <w:r>
            <w:fldChar w:fldCharType="end"/>
          </w:r>
        </w:p>
        <w:p>
          <w:pPr>
            <w:pStyle w:val="37"/>
            <w:tabs>
              <w:tab w:val="right" w:leader="dot" w:pos="8845"/>
            </w:tabs>
          </w:pPr>
          <w:r>
            <w:fldChar w:fldCharType="begin"/>
          </w:r>
          <w:r>
            <w:instrText xml:space="preserve"> HYPERLINK \l _Toc24973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_Toc24973 \h </w:instrText>
          </w:r>
          <w:r>
            <w:fldChar w:fldCharType="separate"/>
          </w:r>
          <w:r>
            <w:t>72</w:t>
          </w:r>
          <w:r>
            <w:fldChar w:fldCharType="end"/>
          </w:r>
          <w:r>
            <w:fldChar w:fldCharType="end"/>
          </w:r>
        </w:p>
        <w:p>
          <w:r>
            <w:fldChar w:fldCharType="end"/>
          </w:r>
        </w:p>
      </w:sdtContent>
    </w:sdt>
    <w:p>
      <w:pPr>
        <w:pStyle w:val="2"/>
        <w:jc w:val="center"/>
        <w:rPr>
          <w:rStyle w:val="29"/>
          <w:rFonts w:ascii="黑体" w:hAnsi="黑体" w:eastAsia="黑体"/>
          <w:b/>
          <w:bCs w:val="0"/>
          <w:color w:val="auto"/>
          <w:highlight w:val="none"/>
        </w:rPr>
      </w:pPr>
      <w:bookmarkStart w:id="16" w:name="_Toc22124"/>
      <w:r>
        <w:rPr>
          <w:rFonts w:hint="eastAsia" w:ascii="黑体" w:hAnsi="黑体" w:eastAsia="黑体"/>
          <w:b w:val="0"/>
          <w:color w:val="auto"/>
          <w:highlight w:val="none"/>
        </w:rPr>
        <w:t xml:space="preserve">第一部分 </w:t>
      </w:r>
      <w:r>
        <w:rPr>
          <w:rStyle w:val="29"/>
          <w:rFonts w:hint="eastAsia" w:ascii="黑体" w:hAnsi="黑体" w:eastAsia="黑体"/>
          <w:b w:val="0"/>
          <w:bCs w:val="0"/>
          <w:color w:val="auto"/>
          <w:highlight w:val="none"/>
        </w:rPr>
        <w:t>部门概况</w:t>
      </w:r>
      <w:bookmarkEnd w:id="14"/>
      <w:bookmarkEnd w:id="15"/>
      <w:bookmarkEnd w:id="16"/>
    </w:p>
    <w:p>
      <w:pPr>
        <w:pStyle w:val="3"/>
        <w:pageBreakBefore w:val="0"/>
        <w:widowControl w:val="0"/>
        <w:kinsoku/>
        <w:wordWrap/>
        <w:overflowPunct/>
        <w:topLinePunct w:val="0"/>
        <w:autoSpaceDE/>
        <w:autoSpaceDN/>
        <w:bidi w:val="0"/>
        <w:adjustRightInd w:val="0"/>
        <w:snapToGrid w:val="0"/>
        <w:spacing w:before="0" w:after="0" w:line="576" w:lineRule="exact"/>
        <w:ind w:firstLine="640" w:firstLineChars="200"/>
        <w:textAlignment w:val="auto"/>
        <w:rPr>
          <w:rFonts w:hint="eastAsia" w:ascii="黑体" w:hAnsi="黑体" w:eastAsia="黑体"/>
          <w:b w:val="0"/>
          <w:color w:val="auto"/>
          <w:highlight w:val="none"/>
          <w:lang w:eastAsia="zh-CN"/>
        </w:rPr>
      </w:pPr>
      <w:bookmarkStart w:id="17" w:name="_Toc15377197"/>
      <w:bookmarkStart w:id="18" w:name="_Toc15396600"/>
      <w:bookmarkStart w:id="19" w:name="_Toc16508"/>
      <w:r>
        <w:rPr>
          <w:rFonts w:hint="eastAsia" w:ascii="黑体" w:hAnsi="黑体" w:eastAsia="黑体"/>
          <w:b w:val="0"/>
          <w:color w:val="auto"/>
          <w:highlight w:val="none"/>
        </w:rPr>
        <w:t>一、</w:t>
      </w:r>
      <w:bookmarkEnd w:id="17"/>
      <w:bookmarkEnd w:id="18"/>
      <w:r>
        <w:rPr>
          <w:rFonts w:hint="eastAsia" w:ascii="黑体" w:hAnsi="黑体" w:eastAsia="黑体"/>
          <w:b w:val="0"/>
          <w:color w:val="auto"/>
          <w:highlight w:val="none"/>
          <w:lang w:eastAsia="zh-CN"/>
        </w:rPr>
        <w:t>部门职责</w:t>
      </w:r>
      <w:bookmarkEnd w:id="19"/>
    </w:p>
    <w:p>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区委编办是</w:t>
      </w:r>
      <w:r>
        <w:rPr>
          <w:rFonts w:hint="eastAsia" w:ascii="仿宋_GB2312" w:hAnsi="仿宋_GB2312" w:eastAsia="仿宋_GB2312" w:cs="仿宋_GB2312"/>
          <w:kern w:val="0"/>
          <w:sz w:val="32"/>
          <w:szCs w:val="32"/>
          <w:lang w:eastAsia="zh-CN"/>
        </w:rPr>
        <w:t>区委工作机关，</w:t>
      </w:r>
      <w:r>
        <w:rPr>
          <w:rFonts w:hint="eastAsia" w:ascii="仿宋_GB2312" w:hAnsi="仿宋_GB2312" w:eastAsia="仿宋_GB2312" w:cs="仿宋_GB2312"/>
          <w:kern w:val="0"/>
          <w:sz w:val="32"/>
          <w:szCs w:val="32"/>
        </w:rPr>
        <w:t>主管全区机构编制</w:t>
      </w:r>
      <w:r>
        <w:rPr>
          <w:rFonts w:hint="eastAsia" w:ascii="仿宋_GB2312" w:hAnsi="仿宋_GB2312" w:eastAsia="仿宋_GB2312" w:cs="仿宋_GB2312"/>
          <w:kern w:val="0"/>
          <w:sz w:val="32"/>
          <w:szCs w:val="32"/>
          <w:lang w:eastAsia="zh-CN"/>
        </w:rPr>
        <w:t>体制改革等工作</w:t>
      </w:r>
      <w:r>
        <w:rPr>
          <w:rFonts w:hint="eastAsia" w:ascii="仿宋_GB2312" w:hAnsi="仿宋_GB2312" w:eastAsia="仿宋_GB2312" w:cs="仿宋_GB2312"/>
          <w:kern w:val="0"/>
          <w:sz w:val="32"/>
          <w:szCs w:val="32"/>
        </w:rPr>
        <w:t>。主要负责：1.研究拟订全区行政管理体制和机构改革以及机构编制管理的政策、法规草案，统一管理全区机构编制工作；2.研究拟订全区行政管理体制与机构改革的总体方案，审核区委、区政府各部门和乡镇机构改革方案，指导、协调区委、区政府各部门和乡镇行政管理体制和机构改革以及机构编制管理工作；3.协调区委、区政府各部门的职能配置及其调整，协调区委、区政府各部门之间以及区委、区政府各部门与乡镇之间职责分工；参与区级各部门行政审批事项的清理、调整工作；4.审核区委、区政府各部门和区人大常委会机关、区政协机关、法院、检察院和各群众团体机关的机构设置、人员编制和领导职数；审核各乡镇机关机构设置、人员编制和领导职数；参与乡镇行政区划调整工作；5.研究拟订全区事业单位管理体制和机构改革方案及其配套的有关政策；审核区委、区政府直属事业单位的机构编制方案，审核区级各部门所属事业单位的机构编制；负责区属事业单位机构编制的日常管理工作；综合管理全区事业单位的登记和年检工作；6.监督检查全区各级行政管理体制和机构改革以及机构编制的执行情况，并上报区委、区政府、区委机构编制委员会；7.承办区委、区政府和区委机构编制委员会交办的其他工作。</w:t>
      </w:r>
    </w:p>
    <w:p>
      <w:pPr>
        <w:pStyle w:val="3"/>
        <w:pageBreakBefore w:val="0"/>
        <w:widowControl w:val="0"/>
        <w:kinsoku/>
        <w:wordWrap/>
        <w:overflowPunct/>
        <w:topLinePunct w:val="0"/>
        <w:autoSpaceDE/>
        <w:autoSpaceDN/>
        <w:bidi w:val="0"/>
        <w:snapToGrid w:val="0"/>
        <w:spacing w:before="0" w:after="0" w:line="576" w:lineRule="exact"/>
        <w:ind w:firstLine="640" w:firstLineChars="200"/>
        <w:textAlignment w:val="auto"/>
        <w:rPr>
          <w:rStyle w:val="30"/>
          <w:b w:val="0"/>
          <w:bCs w:val="0"/>
          <w:color w:val="auto"/>
          <w:highlight w:val="none"/>
        </w:rPr>
      </w:pPr>
      <w:bookmarkStart w:id="20" w:name="_Toc15396601"/>
      <w:bookmarkStart w:id="21" w:name="_Toc17285"/>
      <w:bookmarkStart w:id="22"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30"/>
          <w:rFonts w:hint="eastAsia" w:ascii="黑体" w:hAnsi="黑体" w:eastAsia="黑体"/>
          <w:b w:val="0"/>
          <w:bCs w:val="0"/>
          <w:color w:val="auto"/>
          <w:highlight w:val="none"/>
        </w:rPr>
        <w:t>构设置</w:t>
      </w:r>
      <w:bookmarkEnd w:id="20"/>
      <w:bookmarkEnd w:id="21"/>
      <w:bookmarkEnd w:id="22"/>
    </w:p>
    <w:p>
      <w:pPr>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区委编办</w:t>
      </w:r>
      <w:r>
        <w:rPr>
          <w:rFonts w:hint="eastAsia" w:ascii="仿宋_GB2312" w:hAnsi="仿宋_GB2312" w:eastAsia="仿宋_GB2312" w:cs="仿宋_GB2312"/>
          <w:sz w:val="32"/>
          <w:szCs w:val="32"/>
        </w:rPr>
        <w:t>下属二级单位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个，参照公务员法管理的事业单位</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（区事业单位登记服务中心）</w:t>
      </w:r>
      <w:r>
        <w:rPr>
          <w:rFonts w:hint="eastAsia" w:ascii="仿宋_GB2312" w:hAnsi="仿宋_GB2312" w:eastAsia="仿宋_GB2312" w:cs="仿宋_GB2312"/>
          <w:sz w:val="32"/>
          <w:szCs w:val="32"/>
        </w:rPr>
        <w:t>，其他事业单位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（区机构编制信息中心）</w:t>
      </w:r>
      <w:r>
        <w:rPr>
          <w:rFonts w:hint="eastAsia" w:ascii="仿宋_GB2312" w:hAnsi="仿宋_GB2312" w:eastAsia="仿宋_GB2312" w:cs="仿宋_GB2312"/>
          <w:sz w:val="32"/>
          <w:szCs w:val="32"/>
        </w:rPr>
        <w:t>。</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内设机构</w:t>
      </w:r>
      <w:r>
        <w:rPr>
          <w:rFonts w:hint="eastAsia" w:ascii="仿宋_GB2312" w:hAnsi="仿宋_GB2312" w:eastAsia="仿宋_GB2312" w:cs="仿宋_GB2312"/>
          <w:i w:val="0"/>
          <w:caps w:val="0"/>
          <w:color w:val="auto"/>
          <w:spacing w:val="0"/>
          <w:sz w:val="32"/>
          <w:szCs w:val="32"/>
          <w:u w:val="none"/>
          <w:shd w:val="clear" w:color="auto" w:fill="FFFFFF"/>
          <w:lang w:val="en-US" w:eastAsia="zh-CN"/>
        </w:rPr>
        <w:t>4</w:t>
      </w:r>
      <w:r>
        <w:rPr>
          <w:rFonts w:hint="eastAsia" w:ascii="仿宋_GB2312" w:hAnsi="仿宋_GB2312" w:eastAsia="仿宋_GB2312" w:cs="仿宋_GB2312"/>
          <w:i w:val="0"/>
          <w:caps w:val="0"/>
          <w:color w:val="auto"/>
          <w:spacing w:val="0"/>
          <w:sz w:val="32"/>
          <w:szCs w:val="32"/>
          <w:u w:val="none"/>
          <w:shd w:val="clear" w:color="auto" w:fill="FFFFFF"/>
        </w:rPr>
        <w:t>个：</w:t>
      </w:r>
      <w:r>
        <w:rPr>
          <w:rFonts w:hint="eastAsia" w:ascii="仿宋_GB2312" w:hAnsi="仿宋_GB2312" w:eastAsia="仿宋_GB2312" w:cs="仿宋_GB2312"/>
          <w:i w:val="0"/>
          <w:caps w:val="0"/>
          <w:color w:val="auto"/>
          <w:spacing w:val="0"/>
          <w:sz w:val="32"/>
          <w:szCs w:val="32"/>
          <w:u w:val="none"/>
          <w:shd w:val="clear" w:color="auto" w:fill="FFFFFF"/>
          <w:lang w:eastAsia="zh-CN"/>
        </w:rPr>
        <w:t>综合股、机构编制股、监督检查股</w:t>
      </w:r>
      <w:r>
        <w:rPr>
          <w:rFonts w:hint="eastAsia" w:ascii="仿宋_GB2312" w:hAnsi="仿宋_GB2312" w:eastAsia="仿宋_GB2312" w:cs="仿宋_GB2312"/>
          <w:i w:val="0"/>
          <w:caps w:val="0"/>
          <w:color w:val="auto"/>
          <w:spacing w:val="0"/>
          <w:sz w:val="32"/>
          <w:szCs w:val="32"/>
          <w:u w:val="none"/>
          <w:shd w:val="clear" w:color="auto" w:fill="FFFFFF"/>
        </w:rPr>
        <w:t>（</w:t>
      </w:r>
      <w:r>
        <w:rPr>
          <w:rFonts w:hint="eastAsia" w:ascii="仿宋_GB2312" w:hAnsi="仿宋_GB2312" w:eastAsia="仿宋_GB2312" w:cs="仿宋_GB2312"/>
          <w:i w:val="0"/>
          <w:caps w:val="0"/>
          <w:color w:val="auto"/>
          <w:spacing w:val="0"/>
          <w:sz w:val="32"/>
          <w:szCs w:val="32"/>
          <w:u w:val="none"/>
          <w:shd w:val="clear" w:color="auto" w:fill="FFFFFF"/>
          <w:lang w:eastAsia="zh-CN"/>
        </w:rPr>
        <w:t>政策法规股</w:t>
      </w:r>
      <w:r>
        <w:rPr>
          <w:rFonts w:hint="eastAsia" w:ascii="仿宋_GB2312" w:hAnsi="仿宋_GB2312" w:eastAsia="仿宋_GB2312" w:cs="仿宋_GB2312"/>
          <w:i w:val="0"/>
          <w:caps w:val="0"/>
          <w:color w:val="auto"/>
          <w:spacing w:val="0"/>
          <w:sz w:val="32"/>
          <w:szCs w:val="32"/>
          <w:u w:val="none"/>
          <w:shd w:val="clear" w:color="auto" w:fill="FFFFFF"/>
        </w:rPr>
        <w:t>）、事业单位登记管理</w:t>
      </w:r>
      <w:r>
        <w:rPr>
          <w:rFonts w:hint="eastAsia" w:ascii="仿宋_GB2312" w:hAnsi="仿宋_GB2312" w:eastAsia="仿宋_GB2312" w:cs="仿宋_GB2312"/>
          <w:i w:val="0"/>
          <w:caps w:val="0"/>
          <w:color w:val="auto"/>
          <w:spacing w:val="0"/>
          <w:sz w:val="32"/>
          <w:szCs w:val="32"/>
          <w:u w:val="none"/>
          <w:shd w:val="clear" w:color="auto" w:fill="FFFFFF"/>
          <w:lang w:eastAsia="zh-CN"/>
        </w:rPr>
        <w:t>股（区事业单位登记管理局）</w:t>
      </w:r>
      <w:r>
        <w:rPr>
          <w:rFonts w:hint="eastAsia" w:ascii="仿宋_GB2312" w:hAnsi="仿宋_GB2312" w:eastAsia="仿宋_GB2312" w:cs="仿宋_GB2312"/>
          <w:i w:val="0"/>
          <w:caps w:val="0"/>
          <w:color w:val="auto"/>
          <w:spacing w:val="0"/>
          <w:sz w:val="32"/>
          <w:szCs w:val="32"/>
          <w:u w:val="none"/>
          <w:shd w:val="clear" w:color="auto" w:fill="FFFFFF"/>
        </w:rPr>
        <w:t>。</w:t>
      </w:r>
    </w:p>
    <w:p>
      <w:pPr>
        <w:pStyle w:val="5"/>
        <w:pageBreakBefore w:val="0"/>
        <w:widowControl w:val="0"/>
        <w:kinsoku/>
        <w:wordWrap/>
        <w:overflowPunct/>
        <w:topLinePunct w:val="0"/>
        <w:autoSpaceDE/>
        <w:autoSpaceDN/>
        <w:bidi w:val="0"/>
        <w:adjustRightInd w:val="0"/>
        <w:snapToGrid w:val="0"/>
        <w:spacing w:beforeLines="0" w:line="576" w:lineRule="exact"/>
        <w:ind w:left="0" w:firstLine="672" w:firstLineChars="210"/>
        <w:textAlignment w:val="auto"/>
        <w:rPr>
          <w:rFonts w:hint="eastAsia" w:ascii="仿宋_GB2312" w:hAnsi="仿宋_GB2312" w:eastAsia="仿宋_GB2312" w:cs="仿宋_GB2312"/>
          <w:color w:val="000000"/>
          <w:sz w:val="32"/>
          <w:szCs w:val="32"/>
          <w:lang w:eastAsia="zh-CN"/>
        </w:rPr>
      </w:pPr>
      <w:r>
        <w:rPr>
          <w:rFonts w:hint="eastAsia" w:hAnsi="仿宋_GB2312" w:cs="仿宋_GB2312"/>
          <w:color w:val="000000"/>
          <w:sz w:val="32"/>
          <w:szCs w:val="32"/>
          <w:lang w:eastAsia="zh-CN"/>
        </w:rPr>
        <w:t>纳入区委编办</w:t>
      </w:r>
      <w:r>
        <w:rPr>
          <w:rFonts w:hint="eastAsia" w:ascii="仿宋_GB2312" w:hAnsi="仿宋_GB2312" w:eastAsia="仿宋_GB2312" w:cs="仿宋_GB2312"/>
          <w:color w:val="000000"/>
          <w:sz w:val="32"/>
          <w:szCs w:val="32"/>
        </w:rPr>
        <w:t>202</w:t>
      </w:r>
      <w:r>
        <w:rPr>
          <w:rFonts w:hint="eastAsia"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年度部门决算编制范围的二级预算</w:t>
      </w:r>
      <w:r>
        <w:rPr>
          <w:rFonts w:hint="eastAsia" w:hAnsi="仿宋_GB2312" w:cs="仿宋_GB2312"/>
          <w:color w:val="000000"/>
          <w:sz w:val="32"/>
          <w:szCs w:val="32"/>
          <w:lang w:eastAsia="zh-CN"/>
        </w:rPr>
        <w:t>单位无。</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2"/>
        <w:ind w:right="440"/>
        <w:jc w:val="center"/>
        <w:rPr>
          <w:rStyle w:val="29"/>
          <w:rFonts w:ascii="黑体" w:hAnsi="黑体" w:eastAsia="黑体"/>
          <w:b w:val="0"/>
          <w:bCs/>
          <w:color w:val="auto"/>
          <w:highlight w:val="none"/>
        </w:rPr>
      </w:pPr>
      <w:bookmarkStart w:id="23" w:name="_Toc23594"/>
      <w:bookmarkStart w:id="24" w:name="_Toc15377204"/>
      <w:bookmarkStart w:id="25"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9"/>
          <w:rFonts w:hint="eastAsia" w:ascii="黑体" w:hAnsi="黑体" w:eastAsia="黑体"/>
          <w:b w:val="0"/>
          <w:bCs/>
          <w:color w:val="auto"/>
          <w:highlight w:val="none"/>
        </w:rPr>
        <w:t>部门决算情况说明</w:t>
      </w:r>
      <w:bookmarkEnd w:id="23"/>
      <w:bookmarkEnd w:id="24"/>
      <w:bookmarkEnd w:id="25"/>
    </w:p>
    <w:p>
      <w:pPr>
        <w:rPr>
          <w:color w:val="auto"/>
          <w:highlight w:val="none"/>
        </w:rPr>
      </w:pPr>
    </w:p>
    <w:p>
      <w:pPr>
        <w:pStyle w:val="28"/>
        <w:numPr>
          <w:ilvl w:val="0"/>
          <w:numId w:val="1"/>
        </w:numPr>
        <w:spacing w:line="600" w:lineRule="exact"/>
        <w:ind w:firstLineChars="0"/>
        <w:outlineLvl w:val="1"/>
        <w:rPr>
          <w:rStyle w:val="30"/>
          <w:rFonts w:ascii="黑体" w:hAnsi="黑体" w:eastAsia="黑体"/>
          <w:b w:val="0"/>
          <w:color w:val="auto"/>
          <w:highlight w:val="none"/>
        </w:rPr>
      </w:pPr>
      <w:bookmarkStart w:id="26" w:name="_Toc15377205"/>
      <w:bookmarkStart w:id="27" w:name="_Toc15396603"/>
      <w:bookmarkStart w:id="28" w:name="_Toc15532"/>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26"/>
      <w:bookmarkEnd w:id="27"/>
      <w:bookmarkEnd w:id="28"/>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年度收、支总计</w:t>
      </w:r>
      <w:r>
        <w:rPr>
          <w:rFonts w:hint="eastAsia" w:ascii="仿宋_GB2312" w:hAnsi="仿宋_GB2312" w:eastAsia="仿宋_GB2312" w:cs="仿宋_GB2312"/>
          <w:color w:val="auto"/>
          <w:sz w:val="32"/>
          <w:szCs w:val="32"/>
          <w:highlight w:val="none"/>
          <w:lang w:val="en-US" w:eastAsia="zh-CN"/>
        </w:rPr>
        <w:t>242.89</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211.25万元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相比，收、支总计各增加</w:t>
      </w:r>
      <w:r>
        <w:rPr>
          <w:rFonts w:hint="eastAsia" w:ascii="仿宋_GB2312" w:hAnsi="仿宋_GB2312" w:eastAsia="仿宋_GB2312" w:cs="仿宋_GB2312"/>
          <w:color w:val="auto"/>
          <w:sz w:val="32"/>
          <w:szCs w:val="32"/>
          <w:highlight w:val="none"/>
          <w:lang w:val="en-US" w:eastAsia="zh-CN"/>
        </w:rPr>
        <w:t>31.64</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14.98</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人员增加工资及公积金相关保险类增加。</w:t>
      </w:r>
    </w:p>
    <w:p>
      <w:pPr>
        <w:pStyle w:val="5"/>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sz w:val="32"/>
          <w:szCs w:val="32"/>
          <w:lang w:eastAsia="zh-CN"/>
        </w:rPr>
        <w:drawing>
          <wp:inline distT="0" distB="0" distL="114300" distR="114300">
            <wp:extent cx="4196080" cy="2562860"/>
            <wp:effectExtent l="4445" t="4445" r="9525" b="234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（图1：收、支决算总计变动情况图）（柱状图）</w:t>
      </w:r>
    </w:p>
    <w:p>
      <w:pPr>
        <w:pStyle w:val="28"/>
        <w:numPr>
          <w:ilvl w:val="0"/>
          <w:numId w:val="1"/>
        </w:numPr>
        <w:spacing w:line="600" w:lineRule="exact"/>
        <w:ind w:firstLineChars="0"/>
        <w:outlineLvl w:val="1"/>
        <w:rPr>
          <w:rStyle w:val="30"/>
          <w:rFonts w:ascii="黑体" w:hAnsi="黑体" w:eastAsia="黑体"/>
          <w:b w:val="0"/>
          <w:color w:val="auto"/>
          <w:highlight w:val="none"/>
        </w:rPr>
      </w:pPr>
      <w:bookmarkStart w:id="29" w:name="_Toc11463"/>
      <w:bookmarkStart w:id="30" w:name="_Toc15377206"/>
      <w:bookmarkStart w:id="31" w:name="_Toc15396604"/>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29"/>
      <w:bookmarkEnd w:id="30"/>
      <w:bookmarkEnd w:id="31"/>
    </w:p>
    <w:p>
      <w:pPr>
        <w:spacing w:line="600" w:lineRule="exact"/>
        <w:ind w:firstLine="640" w:firstLineChars="200"/>
        <w:outlineLvl w:val="1"/>
        <w:rPr>
          <w:rFonts w:hint="eastAsia" w:ascii="仿宋_GB2312" w:hAnsi="仿宋_GB2312" w:eastAsia="仿宋_GB2312" w:cs="仿宋_GB2312"/>
          <w:color w:val="auto"/>
          <w:sz w:val="32"/>
          <w:szCs w:val="32"/>
          <w:highlight w:val="none"/>
        </w:rPr>
      </w:pPr>
      <w:bookmarkStart w:id="32" w:name="_Toc13504"/>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年本年收入合计</w:t>
      </w:r>
      <w:r>
        <w:rPr>
          <w:rFonts w:hint="eastAsia" w:ascii="仿宋_GB2312" w:hAnsi="仿宋_GB2312" w:eastAsia="仿宋_GB2312" w:cs="仿宋_GB2312"/>
          <w:color w:val="auto"/>
          <w:sz w:val="32"/>
          <w:szCs w:val="32"/>
          <w:highlight w:val="none"/>
          <w:lang w:val="en-US" w:eastAsia="zh-CN"/>
        </w:rPr>
        <w:t>242.89</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eastAsia="仿宋_GB2312" w:cs="仿宋_GB2312"/>
          <w:color w:val="auto"/>
          <w:sz w:val="32"/>
          <w:szCs w:val="32"/>
          <w:highlight w:val="none"/>
          <w:lang w:val="en-US" w:eastAsia="zh-CN"/>
        </w:rPr>
        <w:t>242.87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99.99</w:t>
      </w:r>
      <w:r>
        <w:rPr>
          <w:rFonts w:hint="eastAsia" w:ascii="仿宋_GB2312" w:hAnsi="仿宋_GB2312" w:eastAsia="仿宋_GB2312" w:cs="仿宋_GB2312"/>
          <w:color w:val="auto"/>
          <w:sz w:val="32"/>
          <w:szCs w:val="32"/>
          <w:highlight w:val="none"/>
        </w:rPr>
        <w:t>%；政府性基金预算财政拨款收入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%；上级补助收入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%；事业收入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%；经营收入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%；附属单位上缴收入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%；其他收入</w:t>
      </w:r>
      <w:r>
        <w:rPr>
          <w:rFonts w:hint="eastAsia" w:ascii="仿宋_GB2312" w:hAnsi="仿宋_GB2312" w:eastAsia="仿宋_GB2312" w:cs="仿宋_GB2312"/>
          <w:color w:val="auto"/>
          <w:sz w:val="32"/>
          <w:szCs w:val="32"/>
          <w:highlight w:val="none"/>
          <w:lang w:val="en-US" w:eastAsia="zh-CN"/>
        </w:rPr>
        <w:t>0.02</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0.01</w:t>
      </w:r>
      <w:r>
        <w:rPr>
          <w:rFonts w:hint="eastAsia" w:ascii="仿宋_GB2312" w:hAnsi="仿宋_GB2312" w:eastAsia="仿宋_GB2312" w:cs="仿宋_GB2312"/>
          <w:color w:val="auto"/>
          <w:sz w:val="32"/>
          <w:szCs w:val="32"/>
          <w:highlight w:val="none"/>
        </w:rPr>
        <w:t>%。</w:t>
      </w:r>
      <w:bookmarkEnd w:id="32"/>
    </w:p>
    <w:p>
      <w:pPr>
        <w:pStyle w:val="5"/>
        <w:rPr>
          <w:rFonts w:hint="eastAsia" w:ascii="仿宋_GB2312" w:hAnsi="仿宋_GB2312" w:eastAsia="仿宋_GB2312" w:cs="仿宋_GB2312"/>
          <w:color w:val="auto"/>
          <w:sz w:val="32"/>
          <w:szCs w:val="32"/>
          <w:highlight w:val="none"/>
        </w:rPr>
      </w:pPr>
      <w:r>
        <w:rPr>
          <w:rFonts w:hint="eastAsia" w:ascii="仿宋" w:hAnsi="仿宋" w:eastAsia="仿宋"/>
          <w:sz w:val="32"/>
          <w:szCs w:val="32"/>
          <w:lang w:val="en-US" w:eastAsia="zh-CN"/>
        </w:rPr>
        <w:t xml:space="preserve">       </w:t>
      </w:r>
      <w:r>
        <w:rPr>
          <w:rFonts w:ascii="仿宋" w:hAnsi="仿宋" w:eastAsia="仿宋"/>
          <w:sz w:val="32"/>
          <w:szCs w:val="32"/>
        </w:rPr>
        <w:drawing>
          <wp:inline distT="0" distB="0" distL="114300" distR="114300">
            <wp:extent cx="4124325" cy="2541270"/>
            <wp:effectExtent l="4445" t="4445" r="5080" b="698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（图2：收入决算结构图）（饼状图）</w:t>
      </w:r>
    </w:p>
    <w:p>
      <w:pPr>
        <w:pStyle w:val="28"/>
        <w:numPr>
          <w:ilvl w:val="0"/>
          <w:numId w:val="1"/>
        </w:numPr>
        <w:spacing w:line="600" w:lineRule="exact"/>
        <w:ind w:firstLineChars="0"/>
        <w:outlineLvl w:val="1"/>
        <w:rPr>
          <w:rStyle w:val="30"/>
          <w:rFonts w:ascii="黑体" w:hAnsi="黑体" w:eastAsia="黑体"/>
          <w:b w:val="0"/>
          <w:color w:val="auto"/>
          <w:highlight w:val="none"/>
        </w:rPr>
      </w:pPr>
      <w:bookmarkStart w:id="33" w:name="_Toc11364"/>
      <w:bookmarkStart w:id="34" w:name="_Toc15377207"/>
      <w:bookmarkStart w:id="35" w:name="_Toc15396605"/>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33"/>
      <w:bookmarkEnd w:id="34"/>
      <w:bookmarkEnd w:id="35"/>
    </w:p>
    <w:p>
      <w:pPr>
        <w:spacing w:line="600" w:lineRule="exact"/>
        <w:ind w:firstLine="640" w:firstLineChars="200"/>
        <w:outlineLvl w:val="1"/>
        <w:rPr>
          <w:rFonts w:hint="eastAsia" w:ascii="仿宋_GB2312" w:hAnsi="仿宋_GB2312" w:eastAsia="仿宋_GB2312" w:cs="仿宋_GB2312"/>
          <w:color w:val="auto"/>
          <w:sz w:val="32"/>
          <w:szCs w:val="32"/>
          <w:highlight w:val="none"/>
        </w:rPr>
      </w:pPr>
      <w:bookmarkStart w:id="36" w:name="_Toc3456"/>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年本年支出合计</w:t>
      </w:r>
      <w:r>
        <w:rPr>
          <w:rFonts w:hint="eastAsia" w:ascii="仿宋_GB2312" w:hAnsi="仿宋_GB2312" w:eastAsia="仿宋_GB2312" w:cs="仿宋_GB2312"/>
          <w:color w:val="auto"/>
          <w:sz w:val="32"/>
          <w:szCs w:val="32"/>
          <w:highlight w:val="none"/>
          <w:lang w:val="en-US" w:eastAsia="zh-CN"/>
        </w:rPr>
        <w:t>242.89</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222.65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91.67</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8.33</w:t>
      </w:r>
      <w:r>
        <w:rPr>
          <w:rFonts w:hint="eastAsia" w:ascii="仿宋_GB2312" w:hAnsi="仿宋_GB2312" w:eastAsia="仿宋_GB2312" w:cs="仿宋_GB2312"/>
          <w:color w:val="auto"/>
          <w:sz w:val="32"/>
          <w:szCs w:val="32"/>
          <w:highlight w:val="none"/>
        </w:rPr>
        <w:t>%；上缴上级支出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%；经营支出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%；对附属单位补助支出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bookmarkEnd w:id="36"/>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rPr>
      </w:pPr>
      <w:r>
        <w:rPr>
          <w:rFonts w:ascii="仿宋" w:hAnsi="仿宋" w:eastAsia="仿宋"/>
          <w:sz w:val="32"/>
          <w:szCs w:val="32"/>
        </w:rPr>
        <w:drawing>
          <wp:inline distT="0" distB="0" distL="114300" distR="114300">
            <wp:extent cx="4166870" cy="2091690"/>
            <wp:effectExtent l="5080" t="4445" r="19050" b="184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（图3：支出决算结构图）（饼状图）</w:t>
      </w:r>
    </w:p>
    <w:p>
      <w:pPr>
        <w:spacing w:line="600" w:lineRule="exact"/>
        <w:ind w:firstLine="640" w:firstLineChars="200"/>
        <w:outlineLvl w:val="1"/>
        <w:rPr>
          <w:rStyle w:val="30"/>
          <w:rFonts w:ascii="黑体" w:hAnsi="黑体" w:eastAsia="黑体"/>
          <w:b w:val="0"/>
          <w:color w:val="auto"/>
          <w:highlight w:val="none"/>
        </w:rPr>
      </w:pPr>
      <w:bookmarkStart w:id="37" w:name="_Toc15377208"/>
      <w:bookmarkStart w:id="38" w:name="_Toc15396606"/>
      <w:bookmarkStart w:id="39" w:name="_Toc28169"/>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年财政拨款收、支总计</w:t>
      </w:r>
      <w:r>
        <w:rPr>
          <w:rFonts w:hint="eastAsia" w:ascii="仿宋_GB2312" w:hAnsi="仿宋_GB2312" w:eastAsia="仿宋_GB2312" w:cs="仿宋_GB2312"/>
          <w:color w:val="auto"/>
          <w:sz w:val="32"/>
          <w:szCs w:val="32"/>
          <w:highlight w:val="none"/>
          <w:lang w:val="en-US" w:eastAsia="zh-CN"/>
        </w:rPr>
        <w:t>242.87</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211.25万元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相比，财政拨款收、支总计各增加</w:t>
      </w:r>
      <w:r>
        <w:rPr>
          <w:rFonts w:hint="eastAsia" w:ascii="仿宋_GB2312" w:hAnsi="仿宋_GB2312" w:eastAsia="仿宋_GB2312" w:cs="仿宋_GB2312"/>
          <w:color w:val="auto"/>
          <w:sz w:val="32"/>
          <w:szCs w:val="32"/>
          <w:highlight w:val="none"/>
          <w:lang w:val="en-US" w:eastAsia="zh-CN"/>
        </w:rPr>
        <w:t>31.62</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14.97</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人员增加工资及公积金相关保险类增加。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 w:hAnsi="仿宋" w:eastAsia="仿宋"/>
          <w:sz w:val="32"/>
          <w:szCs w:val="32"/>
          <w:lang w:val="en-US" w:eastAsia="zh-CN"/>
        </w:rPr>
        <w:t xml:space="preserve"> </w:t>
      </w:r>
      <w:r>
        <w:rPr>
          <w:rFonts w:hint="eastAsia" w:ascii="仿宋" w:hAnsi="仿宋" w:eastAsia="仿宋"/>
          <w:sz w:val="32"/>
          <w:szCs w:val="32"/>
        </w:rPr>
        <w:drawing>
          <wp:inline distT="0" distB="0" distL="114300" distR="114300">
            <wp:extent cx="4149725" cy="1837055"/>
            <wp:effectExtent l="5080" t="5080" r="17145" b="571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（图4：财政拨款收、支决算总计变动情况）（柱状图）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Style w:val="30"/>
          <w:rFonts w:ascii="黑体" w:hAnsi="黑体" w:eastAsia="黑体"/>
          <w:b w:val="0"/>
          <w:color w:val="auto"/>
          <w:highlight w:val="none"/>
        </w:rPr>
      </w:pPr>
      <w:bookmarkStart w:id="40" w:name="_Toc15377209"/>
      <w:bookmarkStart w:id="41" w:name="_Toc15396607"/>
      <w:bookmarkStart w:id="42" w:name="_Toc27908"/>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40"/>
      <w:bookmarkEnd w:id="41"/>
      <w:bookmarkEnd w:id="42"/>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43" w:name="_Toc15377210"/>
      <w:bookmarkStart w:id="44" w:name="_Toc18875"/>
      <w:r>
        <w:rPr>
          <w:rFonts w:hint="eastAsia" w:ascii="楷体_GB2312" w:hAnsi="楷体_GB2312" w:eastAsia="楷体_GB2312" w:cs="楷体_GB2312"/>
          <w:b w:val="0"/>
          <w:bCs/>
          <w:color w:val="auto"/>
          <w:sz w:val="32"/>
          <w:szCs w:val="32"/>
          <w:highlight w:val="none"/>
        </w:rPr>
        <w:t>（一）一般公共预算财政拨款支出决算总体情况</w:t>
      </w:r>
      <w:bookmarkEnd w:id="43"/>
      <w:bookmarkEnd w:id="4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242.87</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增加</w:t>
      </w:r>
      <w:r>
        <w:rPr>
          <w:rFonts w:hint="eastAsia" w:ascii="仿宋_GB2312" w:hAnsi="仿宋_GB2312" w:eastAsia="仿宋_GB2312" w:cs="仿宋_GB2312"/>
          <w:color w:val="auto"/>
          <w:sz w:val="32"/>
          <w:szCs w:val="32"/>
          <w:highlight w:val="none"/>
          <w:lang w:val="en-US" w:eastAsia="zh-CN"/>
        </w:rPr>
        <w:t>31.62</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14.97</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人员增加工资及公积金相关保险类增加。</w:t>
      </w:r>
    </w:p>
    <w:p>
      <w:pPr>
        <w:pStyle w:val="5"/>
        <w:jc w:val="center"/>
        <w:rPr>
          <w:rFonts w:hint="eastAsia" w:ascii="仿宋_GB2312" w:hAnsi="仿宋_GB2312" w:eastAsia="仿宋_GB2312" w:cs="仿宋_GB2312"/>
          <w:color w:val="auto"/>
          <w:sz w:val="32"/>
          <w:szCs w:val="32"/>
          <w:highlight w:val="none"/>
          <w:lang w:eastAsia="zh-CN"/>
        </w:rPr>
      </w:pPr>
      <w:r>
        <w:rPr>
          <w:rFonts w:hint="eastAsia" w:ascii="仿宋" w:hAnsi="仿宋" w:eastAsia="仿宋"/>
          <w:sz w:val="32"/>
          <w:szCs w:val="32"/>
        </w:rPr>
        <w:drawing>
          <wp:inline distT="0" distB="0" distL="114300" distR="114300">
            <wp:extent cx="4142740" cy="1890395"/>
            <wp:effectExtent l="4445" t="4445" r="5715" b="1016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（图5：一般公共预算财政拨款支出决算变动情况）（柱状图）</w:t>
      </w:r>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45" w:name="_Toc13392"/>
      <w:bookmarkStart w:id="46" w:name="_Toc15377211"/>
      <w:r>
        <w:rPr>
          <w:rFonts w:hint="eastAsia" w:ascii="楷体_GB2312" w:hAnsi="楷体_GB2312" w:eastAsia="楷体_GB2312" w:cs="楷体_GB2312"/>
          <w:b w:val="0"/>
          <w:bCs/>
          <w:color w:val="auto"/>
          <w:sz w:val="32"/>
          <w:szCs w:val="32"/>
          <w:highlight w:val="none"/>
        </w:rPr>
        <w:t>（二）一般公共预算财政拨款支出决算结构情况</w:t>
      </w:r>
      <w:bookmarkEnd w:id="45"/>
      <w:bookmarkEnd w:id="46"/>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22</w:t>
      </w:r>
      <w:r>
        <w:rPr>
          <w:rFonts w:hint="eastAsia" w:ascii="仿宋_GB2312" w:hAnsi="仿宋_GB2312" w:eastAsia="仿宋_GB2312" w:cs="仿宋_GB2312"/>
          <w:b w:val="0"/>
          <w:bCs w:val="0"/>
          <w:color w:val="auto"/>
          <w:sz w:val="32"/>
          <w:szCs w:val="32"/>
          <w:highlight w:val="none"/>
        </w:rPr>
        <w:t>年一般公共预算财政拨款支出</w:t>
      </w:r>
      <w:r>
        <w:rPr>
          <w:rFonts w:hint="eastAsia" w:ascii="仿宋_GB2312" w:hAnsi="仿宋_GB2312" w:eastAsia="仿宋_GB2312" w:cs="仿宋_GB2312"/>
          <w:b w:val="0"/>
          <w:bCs w:val="0"/>
          <w:color w:val="auto"/>
          <w:sz w:val="32"/>
          <w:szCs w:val="32"/>
          <w:highlight w:val="none"/>
          <w:lang w:val="en-US" w:eastAsia="zh-CN"/>
        </w:rPr>
        <w:t>242.87</w:t>
      </w:r>
      <w:r>
        <w:rPr>
          <w:rFonts w:hint="eastAsia" w:ascii="仿宋_GB2312" w:hAnsi="仿宋_GB2312" w:eastAsia="仿宋_GB2312" w:cs="仿宋_GB2312"/>
          <w:b w:val="0"/>
          <w:bCs w:val="0"/>
          <w:color w:val="auto"/>
          <w:sz w:val="32"/>
          <w:szCs w:val="32"/>
          <w:highlight w:val="none"/>
        </w:rPr>
        <w:t>万元，主要用于以下方面:一般公共服务支出</w:t>
      </w:r>
      <w:r>
        <w:rPr>
          <w:rFonts w:hint="eastAsia" w:ascii="仿宋_GB2312" w:hAnsi="仿宋_GB2312" w:eastAsia="仿宋_GB2312" w:cs="仿宋_GB2312"/>
          <w:b w:val="0"/>
          <w:bCs w:val="0"/>
          <w:color w:val="auto"/>
          <w:sz w:val="32"/>
          <w:szCs w:val="32"/>
          <w:highlight w:val="none"/>
          <w:lang w:val="en-US" w:eastAsia="zh-CN"/>
        </w:rPr>
        <w:t>199.14</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81.99</w:t>
      </w:r>
      <w:r>
        <w:rPr>
          <w:rFonts w:hint="eastAsia" w:ascii="仿宋_GB2312" w:hAnsi="仿宋_GB2312" w:eastAsia="仿宋_GB2312" w:cs="仿宋_GB2312"/>
          <w:b w:val="0"/>
          <w:bCs w:val="0"/>
          <w:color w:val="auto"/>
          <w:sz w:val="32"/>
          <w:szCs w:val="32"/>
          <w:highlight w:val="none"/>
        </w:rPr>
        <w:t>%；社会保障和就业支出</w:t>
      </w:r>
      <w:r>
        <w:rPr>
          <w:rFonts w:hint="eastAsia" w:ascii="仿宋_GB2312" w:hAnsi="仿宋_GB2312" w:eastAsia="仿宋_GB2312" w:cs="仿宋_GB2312"/>
          <w:b w:val="0"/>
          <w:bCs w:val="0"/>
          <w:color w:val="auto"/>
          <w:sz w:val="32"/>
          <w:szCs w:val="32"/>
          <w:highlight w:val="none"/>
          <w:lang w:val="en-US" w:eastAsia="zh-CN"/>
        </w:rPr>
        <w:t>17.58</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7.24</w:t>
      </w:r>
      <w:r>
        <w:rPr>
          <w:rFonts w:hint="eastAsia" w:ascii="仿宋_GB2312" w:hAnsi="仿宋_GB2312" w:eastAsia="仿宋_GB2312" w:cs="仿宋_GB2312"/>
          <w:b w:val="0"/>
          <w:bCs w:val="0"/>
          <w:color w:val="auto"/>
          <w:sz w:val="32"/>
          <w:szCs w:val="32"/>
          <w:highlight w:val="none"/>
        </w:rPr>
        <w:t>%；卫生健康支出</w:t>
      </w:r>
      <w:r>
        <w:rPr>
          <w:rFonts w:hint="eastAsia" w:ascii="仿宋_GB2312" w:hAnsi="仿宋_GB2312" w:eastAsia="仿宋_GB2312" w:cs="仿宋_GB2312"/>
          <w:b w:val="0"/>
          <w:bCs w:val="0"/>
          <w:color w:val="auto"/>
          <w:sz w:val="32"/>
          <w:szCs w:val="32"/>
          <w:highlight w:val="none"/>
          <w:lang w:val="en-US" w:eastAsia="zh-CN"/>
        </w:rPr>
        <w:t>8.33</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3.43</w:t>
      </w:r>
      <w:r>
        <w:rPr>
          <w:rFonts w:hint="eastAsia" w:ascii="仿宋_GB2312" w:hAnsi="仿宋_GB2312" w:eastAsia="仿宋_GB2312" w:cs="仿宋_GB2312"/>
          <w:b w:val="0"/>
          <w:bCs w:val="0"/>
          <w:color w:val="auto"/>
          <w:sz w:val="32"/>
          <w:szCs w:val="32"/>
          <w:highlight w:val="none"/>
        </w:rPr>
        <w:t>%；住房保障支出</w:t>
      </w:r>
      <w:r>
        <w:rPr>
          <w:rFonts w:hint="eastAsia" w:ascii="仿宋_GB2312" w:hAnsi="仿宋_GB2312" w:eastAsia="仿宋_GB2312" w:cs="仿宋_GB2312"/>
          <w:b w:val="0"/>
          <w:bCs w:val="0"/>
          <w:color w:val="auto"/>
          <w:sz w:val="32"/>
          <w:szCs w:val="32"/>
          <w:highlight w:val="none"/>
          <w:lang w:val="en-US" w:eastAsia="zh-CN"/>
        </w:rPr>
        <w:t>17.82</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7.34</w:t>
      </w:r>
      <w:r>
        <w:rPr>
          <w:rFonts w:hint="eastAsia" w:ascii="仿宋_GB2312" w:hAnsi="仿宋_GB2312" w:eastAsia="仿宋_GB2312" w:cs="仿宋_GB2312"/>
          <w:b w:val="0"/>
          <w:bCs w:val="0"/>
          <w:color w:val="auto"/>
          <w:sz w:val="32"/>
          <w:szCs w:val="32"/>
          <w:highlight w:val="none"/>
        </w:rPr>
        <w:t>%。</w:t>
      </w:r>
    </w:p>
    <w:p>
      <w:pPr>
        <w:pStyle w:val="5"/>
        <w:rPr>
          <w:rFonts w:ascii="仿宋" w:hAnsi="仿宋" w:eastAsia="仿宋"/>
          <w:color w:val="auto"/>
          <w:sz w:val="32"/>
          <w:szCs w:val="32"/>
          <w:highlight w:val="none"/>
        </w:rPr>
      </w:pPr>
      <w:r>
        <w:rPr>
          <w:rFonts w:hint="eastAsia" w:ascii="仿宋" w:hAnsi="仿宋" w:eastAsia="仿宋"/>
          <w:sz w:val="32"/>
          <w:szCs w:val="32"/>
          <w:lang w:val="en-US" w:eastAsia="zh-CN"/>
        </w:rPr>
        <w:t xml:space="preserve">      </w:t>
      </w:r>
      <w:r>
        <w:rPr>
          <w:rFonts w:hint="eastAsia" w:ascii="仿宋" w:hAnsi="仿宋" w:eastAsia="仿宋"/>
          <w:sz w:val="32"/>
          <w:szCs w:val="32"/>
        </w:rPr>
        <w:drawing>
          <wp:inline distT="0" distB="0" distL="114300" distR="114300">
            <wp:extent cx="3985895" cy="3006090"/>
            <wp:effectExtent l="4445" t="4445" r="10160" b="1841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（图6：一般公共预算财政拨款支出决算结构）（饼状图）</w:t>
      </w:r>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47" w:name="_Toc2389"/>
      <w:bookmarkStart w:id="48" w:name="_Toc15377212"/>
      <w:r>
        <w:rPr>
          <w:rFonts w:hint="eastAsia" w:ascii="楷体_GB2312" w:hAnsi="楷体_GB2312" w:eastAsia="楷体_GB2312" w:cs="楷体_GB2312"/>
          <w:b w:val="0"/>
          <w:bCs/>
          <w:color w:val="auto"/>
          <w:sz w:val="32"/>
          <w:szCs w:val="32"/>
          <w:highlight w:val="none"/>
        </w:rPr>
        <w:t>（三）一般公共预算财政拨款支出决算具体情况</w:t>
      </w:r>
      <w:bookmarkEnd w:id="47"/>
      <w:bookmarkEnd w:id="48"/>
    </w:p>
    <w:p>
      <w:pPr>
        <w:spacing w:line="600" w:lineRule="exact"/>
        <w:ind w:firstLine="640" w:firstLineChars="200"/>
        <w:outlineLvl w:val="2"/>
        <w:rPr>
          <w:rFonts w:hint="eastAsia" w:ascii="仿宋_GB2312" w:hAnsi="仿宋_GB2312" w:eastAsia="仿宋_GB2312" w:cs="仿宋_GB2312"/>
          <w:b w:val="0"/>
          <w:bCs/>
          <w:color w:val="auto"/>
          <w:sz w:val="32"/>
          <w:szCs w:val="32"/>
          <w:highlight w:val="none"/>
        </w:rPr>
      </w:pPr>
      <w:bookmarkStart w:id="49" w:name="_Toc18216"/>
      <w:bookmarkStart w:id="50" w:name="_Toc15377444"/>
      <w:bookmarkStart w:id="51" w:name="_Toc15378460"/>
      <w:bookmarkStart w:id="52" w:name="_Toc15377213"/>
      <w:r>
        <w:rPr>
          <w:rFonts w:hint="eastAsia" w:ascii="仿宋_GB2312" w:hAnsi="仿宋_GB2312" w:eastAsia="仿宋_GB2312" w:cs="仿宋_GB2312"/>
          <w:b w:val="0"/>
          <w:bCs/>
          <w:color w:val="auto"/>
          <w:sz w:val="32"/>
          <w:szCs w:val="32"/>
          <w:highlight w:val="none"/>
        </w:rPr>
        <w:t>20</w:t>
      </w:r>
      <w:r>
        <w:rPr>
          <w:rFonts w:hint="eastAsia" w:ascii="仿宋_GB2312" w:hAnsi="仿宋_GB2312" w:eastAsia="仿宋_GB2312" w:cs="仿宋_GB2312"/>
          <w:b w:val="0"/>
          <w:bCs/>
          <w:color w:val="auto"/>
          <w:sz w:val="32"/>
          <w:szCs w:val="32"/>
          <w:highlight w:val="none"/>
          <w:lang w:val="en-US" w:eastAsia="zh-CN"/>
        </w:rPr>
        <w:t>22</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般公共预算支出决算数为</w:t>
      </w:r>
      <w:r>
        <w:rPr>
          <w:rFonts w:hint="eastAsia" w:ascii="仿宋_GB2312" w:hAnsi="仿宋_GB2312" w:eastAsia="仿宋_GB2312" w:cs="仿宋_GB2312"/>
          <w:b w:val="0"/>
          <w:bCs/>
          <w:color w:val="auto"/>
          <w:sz w:val="32"/>
          <w:szCs w:val="32"/>
          <w:highlight w:val="none"/>
          <w:lang w:val="en-US" w:eastAsia="zh-CN"/>
        </w:rPr>
        <w:t>242.87万元</w:t>
      </w:r>
      <w:r>
        <w:rPr>
          <w:rFonts w:hint="eastAsia" w:ascii="仿宋_GB2312" w:hAnsi="仿宋_GB2312" w:eastAsia="仿宋_GB2312" w:cs="仿宋_GB2312"/>
          <w:b w:val="0"/>
          <w:bCs/>
          <w:color w:val="auto"/>
          <w:sz w:val="32"/>
          <w:szCs w:val="32"/>
          <w:highlight w:val="none"/>
        </w:rPr>
        <w:t>，</w:t>
      </w:r>
      <w:r>
        <w:rPr>
          <w:rStyle w:val="18"/>
          <w:rFonts w:hint="eastAsia" w:ascii="仿宋_GB2312" w:hAnsi="仿宋_GB2312" w:eastAsia="仿宋_GB2312" w:cs="仿宋_GB2312"/>
          <w:b w:val="0"/>
          <w:bCs/>
          <w:color w:val="auto"/>
          <w:sz w:val="32"/>
          <w:szCs w:val="32"/>
          <w:highlight w:val="none"/>
        </w:rPr>
        <w:t>完成预算</w:t>
      </w:r>
      <w:r>
        <w:rPr>
          <w:rStyle w:val="18"/>
          <w:rFonts w:hint="eastAsia" w:ascii="仿宋_GB2312" w:hAnsi="仿宋_GB2312" w:eastAsia="仿宋_GB2312" w:cs="仿宋_GB2312"/>
          <w:b w:val="0"/>
          <w:bCs/>
          <w:color w:val="auto"/>
          <w:sz w:val="32"/>
          <w:szCs w:val="32"/>
          <w:highlight w:val="none"/>
          <w:lang w:val="en-US" w:eastAsia="zh-CN"/>
        </w:rPr>
        <w:t>100</w:t>
      </w:r>
      <w:r>
        <w:rPr>
          <w:rStyle w:val="18"/>
          <w:rFonts w:hint="eastAsia" w:ascii="仿宋_GB2312" w:hAnsi="仿宋_GB2312" w:eastAsia="仿宋_GB2312" w:cs="仿宋_GB2312"/>
          <w:b w:val="0"/>
          <w:bCs/>
          <w:color w:val="auto"/>
          <w:sz w:val="32"/>
          <w:szCs w:val="32"/>
          <w:highlight w:val="none"/>
        </w:rPr>
        <w:t>%。其中：</w:t>
      </w:r>
      <w:bookmarkEnd w:id="49"/>
      <w:bookmarkEnd w:id="50"/>
      <w:bookmarkEnd w:id="51"/>
      <w:bookmarkEnd w:id="52"/>
    </w:p>
    <w:p>
      <w:pPr>
        <w:ind w:firstLine="642" w:firstLineChars="200"/>
        <w:rPr>
          <w:rFonts w:hint="eastAsia" w:ascii="仿宋_GB2312" w:hAnsi="仿宋_GB2312" w:eastAsia="仿宋_GB2312" w:cs="仿宋_GB2312"/>
          <w:b w:val="0"/>
          <w:bCs/>
          <w:color w:val="000000"/>
          <w:sz w:val="32"/>
          <w:szCs w:val="32"/>
          <w:lang w:eastAsia="zh-CN"/>
        </w:rPr>
      </w:pPr>
      <w:r>
        <w:rPr>
          <w:rStyle w:val="18"/>
          <w:rFonts w:hint="eastAsia" w:ascii="仿宋_GB2312" w:hAnsi="仿宋_GB2312" w:eastAsia="仿宋_GB2312" w:cs="仿宋_GB2312"/>
          <w:b/>
          <w:bCs w:val="0"/>
          <w:color w:val="000000"/>
          <w:sz w:val="32"/>
          <w:szCs w:val="32"/>
        </w:rPr>
        <w:t>1.</w:t>
      </w:r>
      <w:r>
        <w:rPr>
          <w:rStyle w:val="18"/>
          <w:rFonts w:hint="eastAsia" w:ascii="仿宋_GB2312" w:hAnsi="仿宋_GB2312" w:eastAsia="仿宋_GB2312" w:cs="仿宋_GB2312"/>
          <w:bCs/>
          <w:color w:val="auto"/>
          <w:sz w:val="32"/>
          <w:szCs w:val="32"/>
          <w:highlight w:val="none"/>
        </w:rPr>
        <w:t>一般公共服务</w:t>
      </w:r>
      <w:r>
        <w:rPr>
          <w:rStyle w:val="18"/>
          <w:rFonts w:hint="eastAsia" w:ascii="仿宋_GB2312" w:hAnsi="仿宋_GB2312" w:eastAsia="仿宋_GB2312" w:cs="仿宋_GB2312"/>
          <w:bCs/>
          <w:color w:val="auto"/>
          <w:sz w:val="32"/>
          <w:szCs w:val="32"/>
          <w:highlight w:val="none"/>
          <w:lang w:val="en-US" w:eastAsia="zh-CN"/>
        </w:rPr>
        <w:t>支出</w:t>
      </w:r>
      <w:r>
        <w:rPr>
          <w:rStyle w:val="18"/>
          <w:rFonts w:hint="eastAsia" w:ascii="仿宋_GB2312" w:hAnsi="仿宋_GB2312" w:eastAsia="仿宋_GB2312" w:cs="仿宋_GB2312"/>
          <w:bCs/>
          <w:color w:val="auto"/>
          <w:sz w:val="32"/>
          <w:szCs w:val="32"/>
          <w:highlight w:val="none"/>
        </w:rPr>
        <w:t>（类）</w:t>
      </w:r>
      <w:r>
        <w:rPr>
          <w:rStyle w:val="18"/>
          <w:rFonts w:hint="eastAsia" w:ascii="仿宋_GB2312" w:hAnsi="仿宋_GB2312" w:eastAsia="仿宋_GB2312" w:cs="仿宋_GB2312"/>
          <w:bCs/>
          <w:color w:val="auto"/>
          <w:sz w:val="32"/>
          <w:szCs w:val="32"/>
          <w:highlight w:val="none"/>
          <w:lang w:val="en-US" w:eastAsia="zh-CN"/>
        </w:rPr>
        <w:t>党委办公厅（室）及相关机构事务</w:t>
      </w:r>
      <w:r>
        <w:rPr>
          <w:rStyle w:val="18"/>
          <w:rFonts w:hint="eastAsia" w:ascii="仿宋_GB2312" w:hAnsi="仿宋_GB2312" w:eastAsia="仿宋_GB2312" w:cs="仿宋_GB2312"/>
          <w:bCs/>
          <w:color w:val="auto"/>
          <w:sz w:val="32"/>
          <w:szCs w:val="32"/>
          <w:highlight w:val="none"/>
        </w:rPr>
        <w:t>（款）</w:t>
      </w:r>
      <w:r>
        <w:rPr>
          <w:rStyle w:val="18"/>
          <w:rFonts w:hint="eastAsia" w:ascii="仿宋_GB2312" w:hAnsi="仿宋_GB2312" w:eastAsia="仿宋_GB2312" w:cs="仿宋_GB2312"/>
          <w:bCs/>
          <w:color w:val="auto"/>
          <w:sz w:val="32"/>
          <w:szCs w:val="32"/>
          <w:highlight w:val="none"/>
          <w:lang w:val="en-US" w:eastAsia="zh-CN"/>
        </w:rPr>
        <w:t>行政运行</w:t>
      </w:r>
      <w:r>
        <w:rPr>
          <w:rStyle w:val="18"/>
          <w:rFonts w:hint="eastAsia" w:ascii="仿宋_GB2312" w:hAnsi="仿宋_GB2312" w:eastAsia="仿宋_GB2312" w:cs="仿宋_GB2312"/>
          <w:bCs/>
          <w:color w:val="auto"/>
          <w:sz w:val="32"/>
          <w:szCs w:val="32"/>
          <w:highlight w:val="none"/>
        </w:rPr>
        <w:t>（项）</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123.65</w:t>
      </w:r>
      <w:r>
        <w:rPr>
          <w:rStyle w:val="18"/>
          <w:rFonts w:hint="eastAsia" w:ascii="仿宋_GB2312" w:hAnsi="仿宋_GB2312" w:eastAsia="仿宋_GB2312" w:cs="仿宋_GB2312"/>
          <w:b w:val="0"/>
          <w:bCs/>
          <w:color w:val="000000"/>
          <w:sz w:val="32"/>
          <w:szCs w:val="32"/>
        </w:rPr>
        <w:t>万元，完成预算</w:t>
      </w:r>
      <w:r>
        <w:rPr>
          <w:rStyle w:val="18"/>
          <w:rFonts w:hint="eastAsia" w:ascii="仿宋_GB2312" w:hAnsi="仿宋_GB2312" w:eastAsia="仿宋_GB2312" w:cs="仿宋_GB2312"/>
          <w:b w:val="0"/>
          <w:bCs/>
          <w:color w:val="000000"/>
          <w:sz w:val="32"/>
          <w:szCs w:val="32"/>
          <w:lang w:val="en-US" w:eastAsia="zh-CN"/>
        </w:rPr>
        <w:t>100</w:t>
      </w:r>
      <w:r>
        <w:rPr>
          <w:rStyle w:val="18"/>
          <w:rFonts w:hint="eastAsia" w:ascii="仿宋_GB2312" w:hAnsi="仿宋_GB2312" w:eastAsia="仿宋_GB2312" w:cs="仿宋_GB2312"/>
          <w:b w:val="0"/>
          <w:bCs/>
          <w:color w:val="000000"/>
          <w:sz w:val="32"/>
          <w:szCs w:val="32"/>
        </w:rPr>
        <w:t>%。</w:t>
      </w:r>
      <w:r>
        <w:rPr>
          <w:rStyle w:val="18"/>
          <w:rFonts w:hint="eastAsia" w:ascii="仿宋_GB2312" w:hAnsi="仿宋_GB2312" w:eastAsia="仿宋_GB2312" w:cs="仿宋_GB2312"/>
          <w:b w:val="0"/>
          <w:bCs/>
          <w:color w:val="000000"/>
          <w:sz w:val="32"/>
          <w:szCs w:val="32"/>
          <w:lang w:eastAsia="zh-CN"/>
        </w:rPr>
        <w:t>决算数等于预算数。</w:t>
      </w:r>
    </w:p>
    <w:p>
      <w:pPr>
        <w:ind w:firstLine="642" w:firstLineChars="200"/>
        <w:rPr>
          <w:rFonts w:hint="eastAsia" w:ascii="仿宋_GB2312" w:hAnsi="仿宋_GB2312" w:eastAsia="仿宋_GB2312" w:cs="仿宋_GB2312"/>
          <w:b w:val="0"/>
          <w:bCs/>
          <w:color w:val="000000"/>
          <w:sz w:val="32"/>
          <w:szCs w:val="32"/>
          <w:lang w:eastAsia="zh-CN"/>
        </w:rPr>
      </w:pPr>
      <w:r>
        <w:rPr>
          <w:rStyle w:val="18"/>
          <w:rFonts w:hint="eastAsia" w:ascii="仿宋_GB2312" w:hAnsi="仿宋_GB2312" w:eastAsia="仿宋_GB2312" w:cs="仿宋_GB2312"/>
          <w:b/>
          <w:bCs w:val="0"/>
          <w:color w:val="000000"/>
          <w:sz w:val="32"/>
          <w:szCs w:val="32"/>
          <w:lang w:val="en-US" w:eastAsia="zh-CN"/>
        </w:rPr>
        <w:t>2</w:t>
      </w:r>
      <w:r>
        <w:rPr>
          <w:rStyle w:val="18"/>
          <w:rFonts w:hint="eastAsia" w:ascii="仿宋_GB2312" w:hAnsi="仿宋_GB2312" w:eastAsia="仿宋_GB2312" w:cs="仿宋_GB2312"/>
          <w:b/>
          <w:bCs w:val="0"/>
          <w:color w:val="000000"/>
          <w:sz w:val="32"/>
          <w:szCs w:val="32"/>
        </w:rPr>
        <w:t>.</w:t>
      </w:r>
      <w:r>
        <w:rPr>
          <w:rStyle w:val="18"/>
          <w:rFonts w:hint="eastAsia" w:ascii="仿宋_GB2312" w:hAnsi="仿宋_GB2312" w:eastAsia="仿宋_GB2312" w:cs="仿宋_GB2312"/>
          <w:bCs/>
          <w:color w:val="auto"/>
          <w:sz w:val="32"/>
          <w:szCs w:val="32"/>
          <w:highlight w:val="none"/>
        </w:rPr>
        <w:t>一般公共服务</w:t>
      </w:r>
      <w:r>
        <w:rPr>
          <w:rStyle w:val="18"/>
          <w:rFonts w:hint="eastAsia" w:ascii="仿宋_GB2312" w:hAnsi="仿宋_GB2312" w:eastAsia="仿宋_GB2312" w:cs="仿宋_GB2312"/>
          <w:bCs/>
          <w:color w:val="auto"/>
          <w:sz w:val="32"/>
          <w:szCs w:val="32"/>
          <w:highlight w:val="none"/>
          <w:lang w:val="en-US" w:eastAsia="zh-CN"/>
        </w:rPr>
        <w:t>支出</w:t>
      </w:r>
      <w:r>
        <w:rPr>
          <w:rStyle w:val="18"/>
          <w:rFonts w:hint="eastAsia" w:ascii="仿宋_GB2312" w:hAnsi="仿宋_GB2312" w:eastAsia="仿宋_GB2312" w:cs="仿宋_GB2312"/>
          <w:bCs/>
          <w:color w:val="auto"/>
          <w:sz w:val="32"/>
          <w:szCs w:val="32"/>
          <w:highlight w:val="none"/>
        </w:rPr>
        <w:t>（类）</w:t>
      </w:r>
      <w:r>
        <w:rPr>
          <w:rStyle w:val="18"/>
          <w:rFonts w:hint="eastAsia" w:ascii="仿宋_GB2312" w:hAnsi="仿宋_GB2312" w:eastAsia="仿宋_GB2312" w:cs="仿宋_GB2312"/>
          <w:bCs/>
          <w:color w:val="auto"/>
          <w:sz w:val="32"/>
          <w:szCs w:val="32"/>
          <w:highlight w:val="none"/>
          <w:lang w:val="en-US" w:eastAsia="zh-CN"/>
        </w:rPr>
        <w:t>党委办公厅（室）及相关机构事务</w:t>
      </w:r>
      <w:r>
        <w:rPr>
          <w:rStyle w:val="18"/>
          <w:rFonts w:hint="eastAsia" w:ascii="仿宋_GB2312" w:hAnsi="仿宋_GB2312" w:eastAsia="仿宋_GB2312" w:cs="仿宋_GB2312"/>
          <w:bCs/>
          <w:color w:val="auto"/>
          <w:sz w:val="32"/>
          <w:szCs w:val="32"/>
          <w:highlight w:val="none"/>
        </w:rPr>
        <w:t>（款）</w:t>
      </w:r>
      <w:r>
        <w:rPr>
          <w:rStyle w:val="18"/>
          <w:rFonts w:hint="eastAsia" w:ascii="仿宋_GB2312" w:hAnsi="仿宋_GB2312" w:eastAsia="仿宋_GB2312" w:cs="仿宋_GB2312"/>
          <w:bCs/>
          <w:color w:val="auto"/>
          <w:sz w:val="32"/>
          <w:szCs w:val="32"/>
          <w:highlight w:val="none"/>
          <w:lang w:val="en-US" w:eastAsia="zh-CN"/>
        </w:rPr>
        <w:t>一般行政管理事务</w:t>
      </w:r>
      <w:r>
        <w:rPr>
          <w:rStyle w:val="18"/>
          <w:rFonts w:hint="eastAsia" w:ascii="仿宋_GB2312" w:hAnsi="仿宋_GB2312" w:eastAsia="仿宋_GB2312" w:cs="仿宋_GB2312"/>
          <w:bCs/>
          <w:color w:val="auto"/>
          <w:sz w:val="32"/>
          <w:szCs w:val="32"/>
          <w:highlight w:val="none"/>
        </w:rPr>
        <w:t>（项）</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20.24</w:t>
      </w:r>
      <w:r>
        <w:rPr>
          <w:rStyle w:val="18"/>
          <w:rFonts w:hint="eastAsia" w:ascii="仿宋_GB2312" w:hAnsi="仿宋_GB2312" w:eastAsia="仿宋_GB2312" w:cs="仿宋_GB2312"/>
          <w:b w:val="0"/>
          <w:bCs/>
          <w:color w:val="000000"/>
          <w:sz w:val="32"/>
          <w:szCs w:val="32"/>
        </w:rPr>
        <w:t>万元，完成预算</w:t>
      </w:r>
      <w:r>
        <w:rPr>
          <w:rStyle w:val="18"/>
          <w:rFonts w:hint="eastAsia" w:ascii="仿宋_GB2312" w:hAnsi="仿宋_GB2312" w:eastAsia="仿宋_GB2312" w:cs="仿宋_GB2312"/>
          <w:b w:val="0"/>
          <w:bCs/>
          <w:color w:val="000000"/>
          <w:sz w:val="32"/>
          <w:szCs w:val="32"/>
          <w:lang w:val="en-US" w:eastAsia="zh-CN"/>
        </w:rPr>
        <w:t>100</w:t>
      </w:r>
      <w:r>
        <w:rPr>
          <w:rStyle w:val="18"/>
          <w:rFonts w:hint="eastAsia" w:ascii="仿宋_GB2312" w:hAnsi="仿宋_GB2312" w:eastAsia="仿宋_GB2312" w:cs="仿宋_GB2312"/>
          <w:b w:val="0"/>
          <w:bCs/>
          <w:color w:val="000000"/>
          <w:sz w:val="32"/>
          <w:szCs w:val="32"/>
        </w:rPr>
        <w:t>%。</w:t>
      </w:r>
      <w:r>
        <w:rPr>
          <w:rStyle w:val="18"/>
          <w:rFonts w:hint="eastAsia" w:ascii="仿宋_GB2312" w:hAnsi="仿宋_GB2312" w:eastAsia="仿宋_GB2312" w:cs="仿宋_GB2312"/>
          <w:b w:val="0"/>
          <w:bCs/>
          <w:color w:val="000000"/>
          <w:sz w:val="32"/>
          <w:szCs w:val="32"/>
          <w:lang w:eastAsia="zh-CN"/>
        </w:rPr>
        <w:t>决算数等于预算数。</w:t>
      </w:r>
    </w:p>
    <w:p>
      <w:pPr>
        <w:ind w:firstLine="642" w:firstLineChars="200"/>
        <w:rPr>
          <w:rFonts w:hint="eastAsia" w:ascii="仿宋_GB2312" w:hAnsi="仿宋_GB2312" w:eastAsia="仿宋_GB2312" w:cs="仿宋_GB2312"/>
          <w:b w:val="0"/>
          <w:bCs/>
          <w:color w:val="000000"/>
          <w:sz w:val="32"/>
          <w:szCs w:val="32"/>
          <w:lang w:eastAsia="zh-CN"/>
        </w:rPr>
      </w:pPr>
      <w:r>
        <w:rPr>
          <w:rStyle w:val="18"/>
          <w:rFonts w:hint="eastAsia" w:ascii="仿宋_GB2312" w:hAnsi="仿宋_GB2312" w:eastAsia="仿宋_GB2312" w:cs="仿宋_GB2312"/>
          <w:b/>
          <w:bCs w:val="0"/>
          <w:color w:val="000000"/>
          <w:sz w:val="32"/>
          <w:szCs w:val="32"/>
          <w:lang w:val="en-US" w:eastAsia="zh-CN"/>
        </w:rPr>
        <w:t>3.</w:t>
      </w:r>
      <w:r>
        <w:rPr>
          <w:rStyle w:val="18"/>
          <w:rFonts w:hint="eastAsia" w:ascii="仿宋_GB2312" w:hAnsi="仿宋_GB2312" w:eastAsia="仿宋_GB2312" w:cs="仿宋_GB2312"/>
          <w:bCs/>
          <w:color w:val="auto"/>
          <w:sz w:val="32"/>
          <w:szCs w:val="32"/>
          <w:highlight w:val="none"/>
        </w:rPr>
        <w:t>一般公共服务</w:t>
      </w:r>
      <w:r>
        <w:rPr>
          <w:rStyle w:val="18"/>
          <w:rFonts w:hint="eastAsia" w:ascii="仿宋_GB2312" w:hAnsi="仿宋_GB2312" w:eastAsia="仿宋_GB2312" w:cs="仿宋_GB2312"/>
          <w:bCs/>
          <w:color w:val="auto"/>
          <w:sz w:val="32"/>
          <w:szCs w:val="32"/>
          <w:highlight w:val="none"/>
          <w:lang w:val="en-US" w:eastAsia="zh-CN"/>
        </w:rPr>
        <w:t>支出</w:t>
      </w:r>
      <w:r>
        <w:rPr>
          <w:rStyle w:val="18"/>
          <w:rFonts w:hint="eastAsia" w:ascii="仿宋_GB2312" w:hAnsi="仿宋_GB2312" w:eastAsia="仿宋_GB2312" w:cs="仿宋_GB2312"/>
          <w:bCs/>
          <w:color w:val="auto"/>
          <w:sz w:val="32"/>
          <w:szCs w:val="32"/>
          <w:highlight w:val="none"/>
        </w:rPr>
        <w:t>（类）</w:t>
      </w:r>
      <w:r>
        <w:rPr>
          <w:rStyle w:val="18"/>
          <w:rFonts w:hint="eastAsia" w:ascii="仿宋_GB2312" w:hAnsi="仿宋_GB2312" w:eastAsia="仿宋_GB2312" w:cs="仿宋_GB2312"/>
          <w:bCs/>
          <w:color w:val="auto"/>
          <w:sz w:val="32"/>
          <w:szCs w:val="32"/>
          <w:highlight w:val="none"/>
          <w:lang w:val="en-US" w:eastAsia="zh-CN"/>
        </w:rPr>
        <w:t>党委办公厅（室）及相关机构事务</w:t>
      </w:r>
      <w:r>
        <w:rPr>
          <w:rStyle w:val="18"/>
          <w:rFonts w:hint="eastAsia" w:ascii="仿宋_GB2312" w:hAnsi="仿宋_GB2312" w:eastAsia="仿宋_GB2312" w:cs="仿宋_GB2312"/>
          <w:bCs/>
          <w:color w:val="auto"/>
          <w:sz w:val="32"/>
          <w:szCs w:val="32"/>
          <w:highlight w:val="none"/>
        </w:rPr>
        <w:t>（款）</w:t>
      </w:r>
      <w:r>
        <w:rPr>
          <w:rStyle w:val="18"/>
          <w:rFonts w:hint="eastAsia" w:ascii="仿宋_GB2312" w:hAnsi="仿宋_GB2312" w:eastAsia="仿宋_GB2312" w:cs="仿宋_GB2312"/>
          <w:bCs/>
          <w:color w:val="auto"/>
          <w:sz w:val="32"/>
          <w:szCs w:val="32"/>
          <w:highlight w:val="none"/>
          <w:lang w:val="en-US" w:eastAsia="zh-CN"/>
        </w:rPr>
        <w:t>事业运行</w:t>
      </w:r>
      <w:r>
        <w:rPr>
          <w:rStyle w:val="18"/>
          <w:rFonts w:hint="eastAsia" w:ascii="仿宋_GB2312" w:hAnsi="仿宋_GB2312" w:eastAsia="仿宋_GB2312" w:cs="仿宋_GB2312"/>
          <w:bCs/>
          <w:color w:val="auto"/>
          <w:sz w:val="32"/>
          <w:szCs w:val="32"/>
          <w:highlight w:val="none"/>
        </w:rPr>
        <w:t>（项）</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55.25</w:t>
      </w:r>
      <w:r>
        <w:rPr>
          <w:rStyle w:val="18"/>
          <w:rFonts w:hint="eastAsia" w:ascii="仿宋_GB2312" w:hAnsi="仿宋_GB2312" w:eastAsia="仿宋_GB2312" w:cs="仿宋_GB2312"/>
          <w:b w:val="0"/>
          <w:bCs/>
          <w:color w:val="000000"/>
          <w:sz w:val="32"/>
          <w:szCs w:val="32"/>
        </w:rPr>
        <w:t>万元，完成预算</w:t>
      </w:r>
      <w:r>
        <w:rPr>
          <w:rStyle w:val="18"/>
          <w:rFonts w:hint="eastAsia" w:ascii="仿宋_GB2312" w:hAnsi="仿宋_GB2312" w:eastAsia="仿宋_GB2312" w:cs="仿宋_GB2312"/>
          <w:b w:val="0"/>
          <w:bCs/>
          <w:color w:val="000000"/>
          <w:sz w:val="32"/>
          <w:szCs w:val="32"/>
          <w:lang w:val="en-US" w:eastAsia="zh-CN"/>
        </w:rPr>
        <w:t>100</w:t>
      </w:r>
      <w:r>
        <w:rPr>
          <w:rStyle w:val="18"/>
          <w:rFonts w:hint="eastAsia" w:ascii="仿宋_GB2312" w:hAnsi="仿宋_GB2312" w:eastAsia="仿宋_GB2312" w:cs="仿宋_GB2312"/>
          <w:b w:val="0"/>
          <w:bCs/>
          <w:color w:val="000000"/>
          <w:sz w:val="32"/>
          <w:szCs w:val="32"/>
        </w:rPr>
        <w:t>%。</w:t>
      </w:r>
      <w:r>
        <w:rPr>
          <w:rStyle w:val="18"/>
          <w:rFonts w:hint="eastAsia" w:ascii="仿宋_GB2312" w:hAnsi="仿宋_GB2312" w:eastAsia="仿宋_GB2312" w:cs="仿宋_GB2312"/>
          <w:b w:val="0"/>
          <w:bCs/>
          <w:color w:val="000000"/>
          <w:sz w:val="32"/>
          <w:szCs w:val="32"/>
          <w:lang w:eastAsia="zh-CN"/>
        </w:rPr>
        <w:t>决算数等于预算数。</w:t>
      </w:r>
    </w:p>
    <w:p>
      <w:pPr>
        <w:ind w:firstLine="642" w:firstLineChars="200"/>
        <w:rPr>
          <w:rFonts w:hint="eastAsia" w:ascii="仿宋_GB2312" w:hAnsi="仿宋_GB2312" w:eastAsia="仿宋_GB2312" w:cs="仿宋_GB2312"/>
          <w:b w:val="0"/>
          <w:bCs/>
          <w:color w:val="000000"/>
          <w:sz w:val="32"/>
          <w:szCs w:val="32"/>
          <w:lang w:eastAsia="zh-CN"/>
        </w:rPr>
      </w:pPr>
      <w:r>
        <w:rPr>
          <w:rStyle w:val="18"/>
          <w:rFonts w:hint="eastAsia" w:ascii="仿宋_GB2312" w:hAnsi="仿宋_GB2312" w:eastAsia="仿宋_GB2312" w:cs="仿宋_GB2312"/>
          <w:b/>
          <w:bCs w:val="0"/>
          <w:color w:val="000000"/>
          <w:sz w:val="32"/>
          <w:szCs w:val="32"/>
          <w:lang w:val="en-US" w:eastAsia="zh-CN"/>
        </w:rPr>
        <w:t>4.</w:t>
      </w:r>
      <w:r>
        <w:rPr>
          <w:rStyle w:val="18"/>
          <w:rFonts w:hint="eastAsia" w:ascii="仿宋_GB2312" w:hAnsi="仿宋_GB2312" w:eastAsia="仿宋_GB2312" w:cs="仿宋_GB2312"/>
          <w:bCs/>
          <w:color w:val="auto"/>
          <w:sz w:val="32"/>
          <w:szCs w:val="32"/>
          <w:highlight w:val="none"/>
        </w:rPr>
        <w:t>社会保障和就业</w:t>
      </w:r>
      <w:r>
        <w:rPr>
          <w:rStyle w:val="18"/>
          <w:rFonts w:hint="eastAsia" w:ascii="仿宋_GB2312" w:hAnsi="仿宋_GB2312" w:eastAsia="仿宋_GB2312" w:cs="仿宋_GB2312"/>
          <w:bCs/>
          <w:color w:val="auto"/>
          <w:sz w:val="32"/>
          <w:szCs w:val="32"/>
          <w:highlight w:val="none"/>
          <w:lang w:val="en-US" w:eastAsia="zh-CN"/>
        </w:rPr>
        <w:t>支出</w:t>
      </w:r>
      <w:r>
        <w:rPr>
          <w:rStyle w:val="18"/>
          <w:rFonts w:hint="eastAsia" w:ascii="仿宋_GB2312" w:hAnsi="仿宋_GB2312" w:eastAsia="仿宋_GB2312" w:cs="仿宋_GB2312"/>
          <w:bCs/>
          <w:color w:val="auto"/>
          <w:sz w:val="32"/>
          <w:szCs w:val="32"/>
          <w:highlight w:val="none"/>
        </w:rPr>
        <w:t>（类）</w:t>
      </w:r>
      <w:r>
        <w:rPr>
          <w:rStyle w:val="18"/>
          <w:rFonts w:hint="eastAsia" w:ascii="仿宋_GB2312" w:hAnsi="仿宋_GB2312" w:eastAsia="仿宋_GB2312" w:cs="仿宋_GB2312"/>
          <w:bCs/>
          <w:color w:val="auto"/>
          <w:sz w:val="32"/>
          <w:szCs w:val="32"/>
          <w:highlight w:val="none"/>
          <w:lang w:val="en-US" w:eastAsia="zh-CN"/>
        </w:rPr>
        <w:t>行政事业单位养老支出</w:t>
      </w:r>
      <w:r>
        <w:rPr>
          <w:rStyle w:val="18"/>
          <w:rFonts w:hint="eastAsia" w:ascii="仿宋_GB2312" w:hAnsi="仿宋_GB2312" w:eastAsia="仿宋_GB2312" w:cs="仿宋_GB2312"/>
          <w:bCs/>
          <w:color w:val="auto"/>
          <w:sz w:val="32"/>
          <w:szCs w:val="32"/>
          <w:highlight w:val="none"/>
        </w:rPr>
        <w:t>（款）</w:t>
      </w:r>
      <w:r>
        <w:rPr>
          <w:rStyle w:val="18"/>
          <w:rFonts w:hint="eastAsia" w:ascii="仿宋_GB2312" w:hAnsi="仿宋_GB2312" w:eastAsia="仿宋_GB2312" w:cs="仿宋_GB2312"/>
          <w:bCs/>
          <w:color w:val="auto"/>
          <w:sz w:val="32"/>
          <w:szCs w:val="32"/>
          <w:highlight w:val="none"/>
          <w:lang w:val="en-US" w:eastAsia="zh-CN"/>
        </w:rPr>
        <w:t>机关事业单位基本养老保险缴费支出</w:t>
      </w:r>
      <w:r>
        <w:rPr>
          <w:rStyle w:val="18"/>
          <w:rFonts w:hint="eastAsia" w:ascii="仿宋_GB2312" w:hAnsi="仿宋_GB2312" w:eastAsia="仿宋_GB2312" w:cs="仿宋_GB2312"/>
          <w:bCs/>
          <w:color w:val="auto"/>
          <w:sz w:val="32"/>
          <w:szCs w:val="32"/>
          <w:highlight w:val="none"/>
        </w:rPr>
        <w:t>（项）:</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16.02</w:t>
      </w:r>
      <w:r>
        <w:rPr>
          <w:rStyle w:val="18"/>
          <w:rFonts w:hint="eastAsia" w:ascii="仿宋_GB2312" w:hAnsi="仿宋_GB2312" w:eastAsia="仿宋_GB2312" w:cs="仿宋_GB2312"/>
          <w:b w:val="0"/>
          <w:bCs/>
          <w:color w:val="000000"/>
          <w:sz w:val="32"/>
          <w:szCs w:val="32"/>
        </w:rPr>
        <w:t>万元，完成预算</w:t>
      </w:r>
      <w:r>
        <w:rPr>
          <w:rStyle w:val="18"/>
          <w:rFonts w:hint="eastAsia" w:ascii="仿宋_GB2312" w:hAnsi="仿宋_GB2312" w:eastAsia="仿宋_GB2312" w:cs="仿宋_GB2312"/>
          <w:b w:val="0"/>
          <w:bCs/>
          <w:color w:val="000000"/>
          <w:sz w:val="32"/>
          <w:szCs w:val="32"/>
          <w:lang w:val="en-US" w:eastAsia="zh-CN"/>
        </w:rPr>
        <w:t>100</w:t>
      </w:r>
      <w:r>
        <w:rPr>
          <w:rStyle w:val="18"/>
          <w:rFonts w:hint="eastAsia" w:ascii="仿宋_GB2312" w:hAnsi="仿宋_GB2312" w:eastAsia="仿宋_GB2312" w:cs="仿宋_GB2312"/>
          <w:b w:val="0"/>
          <w:bCs/>
          <w:color w:val="000000"/>
          <w:sz w:val="32"/>
          <w:szCs w:val="32"/>
        </w:rPr>
        <w:t>%。</w:t>
      </w:r>
      <w:r>
        <w:rPr>
          <w:rStyle w:val="18"/>
          <w:rFonts w:hint="eastAsia" w:ascii="仿宋_GB2312" w:hAnsi="仿宋_GB2312" w:eastAsia="仿宋_GB2312" w:cs="仿宋_GB2312"/>
          <w:b w:val="0"/>
          <w:bCs/>
          <w:color w:val="000000"/>
          <w:sz w:val="32"/>
          <w:szCs w:val="32"/>
          <w:lang w:eastAsia="zh-CN"/>
        </w:rPr>
        <w:t>决算数等于预算数。</w:t>
      </w:r>
    </w:p>
    <w:p>
      <w:pPr>
        <w:ind w:firstLine="642" w:firstLineChars="200"/>
        <w:rPr>
          <w:rFonts w:hint="eastAsia" w:ascii="仿宋_GB2312" w:hAnsi="仿宋_GB2312" w:eastAsia="仿宋_GB2312" w:cs="仿宋_GB2312"/>
          <w:b w:val="0"/>
          <w:bCs/>
          <w:color w:val="000000"/>
          <w:sz w:val="32"/>
          <w:szCs w:val="32"/>
          <w:lang w:eastAsia="zh-CN"/>
        </w:rPr>
      </w:pPr>
      <w:r>
        <w:rPr>
          <w:rStyle w:val="18"/>
          <w:rFonts w:hint="eastAsia" w:ascii="仿宋_GB2312" w:hAnsi="仿宋_GB2312" w:eastAsia="仿宋_GB2312" w:cs="仿宋_GB2312"/>
          <w:b/>
          <w:bCs w:val="0"/>
          <w:color w:val="000000"/>
          <w:sz w:val="32"/>
          <w:szCs w:val="32"/>
          <w:lang w:val="en-US" w:eastAsia="zh-CN"/>
        </w:rPr>
        <w:t>5.</w:t>
      </w:r>
      <w:r>
        <w:rPr>
          <w:rStyle w:val="18"/>
          <w:rFonts w:hint="eastAsia" w:ascii="仿宋_GB2312" w:hAnsi="仿宋_GB2312" w:eastAsia="仿宋_GB2312" w:cs="仿宋_GB2312"/>
          <w:bCs/>
          <w:color w:val="auto"/>
          <w:sz w:val="32"/>
          <w:szCs w:val="32"/>
          <w:highlight w:val="none"/>
        </w:rPr>
        <w:t>社会保障和就业</w:t>
      </w:r>
      <w:r>
        <w:rPr>
          <w:rStyle w:val="18"/>
          <w:rFonts w:hint="eastAsia" w:ascii="仿宋_GB2312" w:hAnsi="仿宋_GB2312" w:eastAsia="仿宋_GB2312" w:cs="仿宋_GB2312"/>
          <w:bCs/>
          <w:color w:val="auto"/>
          <w:sz w:val="32"/>
          <w:szCs w:val="32"/>
          <w:highlight w:val="none"/>
          <w:lang w:val="en-US" w:eastAsia="zh-CN"/>
        </w:rPr>
        <w:t>支出</w:t>
      </w:r>
      <w:r>
        <w:rPr>
          <w:rStyle w:val="18"/>
          <w:rFonts w:hint="eastAsia" w:ascii="仿宋_GB2312" w:hAnsi="仿宋_GB2312" w:eastAsia="仿宋_GB2312" w:cs="仿宋_GB2312"/>
          <w:bCs/>
          <w:color w:val="auto"/>
          <w:sz w:val="32"/>
          <w:szCs w:val="32"/>
          <w:highlight w:val="none"/>
        </w:rPr>
        <w:t>（类）</w:t>
      </w:r>
      <w:r>
        <w:rPr>
          <w:rStyle w:val="18"/>
          <w:rFonts w:hint="eastAsia" w:ascii="仿宋_GB2312" w:hAnsi="仿宋_GB2312" w:eastAsia="仿宋_GB2312" w:cs="仿宋_GB2312"/>
          <w:bCs/>
          <w:color w:val="auto"/>
          <w:sz w:val="32"/>
          <w:szCs w:val="32"/>
          <w:highlight w:val="none"/>
          <w:lang w:val="en-US" w:eastAsia="zh-CN"/>
        </w:rPr>
        <w:t>其他社会保障和就业支出</w:t>
      </w:r>
      <w:r>
        <w:rPr>
          <w:rStyle w:val="18"/>
          <w:rFonts w:hint="eastAsia" w:ascii="仿宋_GB2312" w:hAnsi="仿宋_GB2312" w:eastAsia="仿宋_GB2312" w:cs="仿宋_GB2312"/>
          <w:bCs/>
          <w:color w:val="auto"/>
          <w:sz w:val="32"/>
          <w:szCs w:val="32"/>
          <w:highlight w:val="none"/>
        </w:rPr>
        <w:t>（款）</w:t>
      </w:r>
      <w:r>
        <w:rPr>
          <w:rStyle w:val="18"/>
          <w:rFonts w:hint="eastAsia" w:ascii="仿宋_GB2312" w:hAnsi="仿宋_GB2312" w:eastAsia="仿宋_GB2312" w:cs="仿宋_GB2312"/>
          <w:bCs/>
          <w:color w:val="auto"/>
          <w:sz w:val="32"/>
          <w:szCs w:val="32"/>
          <w:highlight w:val="none"/>
          <w:lang w:val="en-US" w:eastAsia="zh-CN"/>
        </w:rPr>
        <w:t>其他社会保障和就业支出</w:t>
      </w:r>
      <w:r>
        <w:rPr>
          <w:rStyle w:val="18"/>
          <w:rFonts w:hint="eastAsia" w:ascii="仿宋_GB2312" w:hAnsi="仿宋_GB2312" w:eastAsia="仿宋_GB2312" w:cs="仿宋_GB2312"/>
          <w:bCs/>
          <w:color w:val="auto"/>
          <w:sz w:val="32"/>
          <w:szCs w:val="32"/>
          <w:highlight w:val="none"/>
        </w:rPr>
        <w:t>（项）:</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1.56</w:t>
      </w:r>
      <w:r>
        <w:rPr>
          <w:rStyle w:val="18"/>
          <w:rFonts w:hint="eastAsia" w:ascii="仿宋_GB2312" w:hAnsi="仿宋_GB2312" w:eastAsia="仿宋_GB2312" w:cs="仿宋_GB2312"/>
          <w:b w:val="0"/>
          <w:bCs/>
          <w:color w:val="000000"/>
          <w:sz w:val="32"/>
          <w:szCs w:val="32"/>
        </w:rPr>
        <w:t>万元，完成预算</w:t>
      </w:r>
      <w:r>
        <w:rPr>
          <w:rStyle w:val="18"/>
          <w:rFonts w:hint="eastAsia" w:ascii="仿宋_GB2312" w:hAnsi="仿宋_GB2312" w:eastAsia="仿宋_GB2312" w:cs="仿宋_GB2312"/>
          <w:b w:val="0"/>
          <w:bCs/>
          <w:color w:val="000000"/>
          <w:sz w:val="32"/>
          <w:szCs w:val="32"/>
          <w:lang w:val="en-US" w:eastAsia="zh-CN"/>
        </w:rPr>
        <w:t>100</w:t>
      </w:r>
      <w:r>
        <w:rPr>
          <w:rStyle w:val="18"/>
          <w:rFonts w:hint="eastAsia" w:ascii="仿宋_GB2312" w:hAnsi="仿宋_GB2312" w:eastAsia="仿宋_GB2312" w:cs="仿宋_GB2312"/>
          <w:b w:val="0"/>
          <w:bCs/>
          <w:color w:val="000000"/>
          <w:sz w:val="32"/>
          <w:szCs w:val="32"/>
        </w:rPr>
        <w:t>%。</w:t>
      </w:r>
      <w:r>
        <w:rPr>
          <w:rStyle w:val="18"/>
          <w:rFonts w:hint="eastAsia" w:ascii="仿宋_GB2312" w:hAnsi="仿宋_GB2312" w:eastAsia="仿宋_GB2312" w:cs="仿宋_GB2312"/>
          <w:b w:val="0"/>
          <w:bCs/>
          <w:color w:val="000000"/>
          <w:sz w:val="32"/>
          <w:szCs w:val="32"/>
          <w:lang w:eastAsia="zh-CN"/>
        </w:rPr>
        <w:t>决算数等于预算数。</w:t>
      </w:r>
    </w:p>
    <w:p>
      <w:pPr>
        <w:ind w:firstLine="642" w:firstLineChars="200"/>
        <w:rPr>
          <w:rFonts w:hint="eastAsia" w:ascii="仿宋_GB2312" w:hAnsi="仿宋_GB2312" w:eastAsia="仿宋_GB2312" w:cs="仿宋_GB2312"/>
          <w:b w:val="0"/>
          <w:bCs/>
          <w:color w:val="000000"/>
          <w:sz w:val="32"/>
          <w:szCs w:val="32"/>
          <w:lang w:eastAsia="zh-CN"/>
        </w:rPr>
      </w:pPr>
      <w:r>
        <w:rPr>
          <w:rStyle w:val="18"/>
          <w:rFonts w:hint="eastAsia" w:ascii="仿宋_GB2312" w:hAnsi="仿宋_GB2312" w:eastAsia="仿宋_GB2312" w:cs="仿宋_GB2312"/>
          <w:b/>
          <w:bCs w:val="0"/>
          <w:color w:val="000000"/>
          <w:sz w:val="32"/>
          <w:szCs w:val="32"/>
          <w:lang w:val="en-US" w:eastAsia="zh-CN"/>
        </w:rPr>
        <w:t>6.</w:t>
      </w:r>
      <w:r>
        <w:rPr>
          <w:rFonts w:hint="eastAsia" w:ascii="仿宋_GB2312" w:hAnsi="仿宋_GB2312" w:eastAsia="仿宋_GB2312" w:cs="仿宋_GB2312"/>
          <w:b/>
          <w:color w:val="auto"/>
          <w:sz w:val="32"/>
          <w:szCs w:val="32"/>
          <w:highlight w:val="none"/>
        </w:rPr>
        <w:t>卫生健康</w:t>
      </w:r>
      <w:r>
        <w:rPr>
          <w:rFonts w:hint="eastAsia" w:ascii="仿宋_GB2312" w:hAnsi="仿宋_GB2312" w:eastAsia="仿宋_GB2312" w:cs="仿宋_GB2312"/>
          <w:b/>
          <w:color w:val="auto"/>
          <w:sz w:val="32"/>
          <w:szCs w:val="32"/>
          <w:highlight w:val="none"/>
          <w:lang w:val="en-US" w:eastAsia="zh-CN"/>
        </w:rPr>
        <w:t>支出</w:t>
      </w:r>
      <w:r>
        <w:rPr>
          <w:rFonts w:hint="eastAsia" w:ascii="仿宋_GB2312" w:hAnsi="仿宋_GB2312" w:eastAsia="仿宋_GB2312" w:cs="仿宋_GB2312"/>
          <w:b/>
          <w:color w:val="auto"/>
          <w:sz w:val="32"/>
          <w:szCs w:val="32"/>
          <w:highlight w:val="none"/>
        </w:rPr>
        <w:t>（类）</w:t>
      </w:r>
      <w:r>
        <w:rPr>
          <w:rFonts w:hint="eastAsia" w:ascii="仿宋_GB2312" w:hAnsi="仿宋_GB2312" w:eastAsia="仿宋_GB2312" w:cs="仿宋_GB2312"/>
          <w:b/>
          <w:color w:val="auto"/>
          <w:sz w:val="32"/>
          <w:szCs w:val="32"/>
          <w:highlight w:val="none"/>
          <w:lang w:val="en-US" w:eastAsia="zh-CN"/>
        </w:rPr>
        <w:t>行政事业单位医疗</w:t>
      </w:r>
      <w:r>
        <w:rPr>
          <w:rFonts w:hint="eastAsia" w:ascii="仿宋_GB2312" w:hAnsi="仿宋_GB2312" w:eastAsia="仿宋_GB2312" w:cs="仿宋_GB2312"/>
          <w:b/>
          <w:color w:val="auto"/>
          <w:sz w:val="32"/>
          <w:szCs w:val="32"/>
          <w:highlight w:val="none"/>
        </w:rPr>
        <w:t>（款）</w:t>
      </w:r>
      <w:r>
        <w:rPr>
          <w:rFonts w:hint="eastAsia" w:ascii="仿宋_GB2312" w:hAnsi="仿宋_GB2312" w:eastAsia="仿宋_GB2312" w:cs="仿宋_GB2312"/>
          <w:b/>
          <w:color w:val="auto"/>
          <w:sz w:val="32"/>
          <w:szCs w:val="32"/>
          <w:highlight w:val="none"/>
          <w:lang w:val="en-US" w:eastAsia="zh-CN"/>
        </w:rPr>
        <w:t>行政单位医疗</w:t>
      </w:r>
      <w:r>
        <w:rPr>
          <w:rFonts w:hint="eastAsia" w:ascii="仿宋_GB2312" w:hAnsi="仿宋_GB2312" w:eastAsia="仿宋_GB2312" w:cs="仿宋_GB2312"/>
          <w:b/>
          <w:color w:val="auto"/>
          <w:sz w:val="32"/>
          <w:szCs w:val="32"/>
          <w:highlight w:val="none"/>
        </w:rPr>
        <w:t>（项）:</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5.6</w:t>
      </w:r>
      <w:r>
        <w:rPr>
          <w:rStyle w:val="18"/>
          <w:rFonts w:hint="eastAsia" w:ascii="仿宋_GB2312" w:hAnsi="仿宋_GB2312" w:eastAsia="仿宋_GB2312" w:cs="仿宋_GB2312"/>
          <w:b w:val="0"/>
          <w:bCs/>
          <w:color w:val="000000"/>
          <w:sz w:val="32"/>
          <w:szCs w:val="32"/>
        </w:rPr>
        <w:t>万元，完成预算</w:t>
      </w:r>
      <w:r>
        <w:rPr>
          <w:rStyle w:val="18"/>
          <w:rFonts w:hint="eastAsia" w:ascii="仿宋_GB2312" w:hAnsi="仿宋_GB2312" w:eastAsia="仿宋_GB2312" w:cs="仿宋_GB2312"/>
          <w:b w:val="0"/>
          <w:bCs/>
          <w:color w:val="000000"/>
          <w:sz w:val="32"/>
          <w:szCs w:val="32"/>
          <w:lang w:val="en-US" w:eastAsia="zh-CN"/>
        </w:rPr>
        <w:t>100</w:t>
      </w:r>
      <w:r>
        <w:rPr>
          <w:rStyle w:val="18"/>
          <w:rFonts w:hint="eastAsia" w:ascii="仿宋_GB2312" w:hAnsi="仿宋_GB2312" w:eastAsia="仿宋_GB2312" w:cs="仿宋_GB2312"/>
          <w:b w:val="0"/>
          <w:bCs/>
          <w:color w:val="000000"/>
          <w:sz w:val="32"/>
          <w:szCs w:val="32"/>
        </w:rPr>
        <w:t>%。</w:t>
      </w:r>
      <w:r>
        <w:rPr>
          <w:rStyle w:val="18"/>
          <w:rFonts w:hint="eastAsia" w:ascii="仿宋_GB2312" w:hAnsi="仿宋_GB2312" w:eastAsia="仿宋_GB2312" w:cs="仿宋_GB2312"/>
          <w:b w:val="0"/>
          <w:bCs/>
          <w:color w:val="000000"/>
          <w:sz w:val="32"/>
          <w:szCs w:val="32"/>
          <w:lang w:eastAsia="zh-CN"/>
        </w:rPr>
        <w:t>决算数等于预算数。</w:t>
      </w:r>
    </w:p>
    <w:p>
      <w:pPr>
        <w:ind w:firstLine="642" w:firstLineChars="200"/>
        <w:rPr>
          <w:rFonts w:hint="eastAsia" w:ascii="仿宋_GB2312" w:hAnsi="仿宋_GB2312" w:eastAsia="仿宋_GB2312" w:cs="仿宋_GB2312"/>
          <w:b w:val="0"/>
          <w:bCs/>
          <w:color w:val="000000"/>
          <w:sz w:val="32"/>
          <w:szCs w:val="32"/>
          <w:lang w:eastAsia="zh-CN"/>
        </w:rPr>
      </w:pPr>
      <w:r>
        <w:rPr>
          <w:rStyle w:val="18"/>
          <w:rFonts w:hint="eastAsia" w:ascii="仿宋_GB2312" w:hAnsi="仿宋_GB2312" w:eastAsia="仿宋_GB2312" w:cs="仿宋_GB2312"/>
          <w:b/>
          <w:bCs w:val="0"/>
          <w:color w:val="000000"/>
          <w:sz w:val="32"/>
          <w:szCs w:val="32"/>
          <w:lang w:val="en-US" w:eastAsia="zh-CN"/>
        </w:rPr>
        <w:t>7.</w:t>
      </w:r>
      <w:r>
        <w:rPr>
          <w:rFonts w:hint="eastAsia" w:ascii="仿宋_GB2312" w:hAnsi="仿宋_GB2312" w:eastAsia="仿宋_GB2312" w:cs="仿宋_GB2312"/>
          <w:b/>
          <w:color w:val="auto"/>
          <w:sz w:val="32"/>
          <w:szCs w:val="32"/>
          <w:highlight w:val="none"/>
        </w:rPr>
        <w:t>卫生健康</w:t>
      </w:r>
      <w:r>
        <w:rPr>
          <w:rFonts w:hint="eastAsia" w:ascii="仿宋_GB2312" w:hAnsi="仿宋_GB2312" w:eastAsia="仿宋_GB2312" w:cs="仿宋_GB2312"/>
          <w:b/>
          <w:color w:val="auto"/>
          <w:sz w:val="32"/>
          <w:szCs w:val="32"/>
          <w:highlight w:val="none"/>
          <w:lang w:val="en-US" w:eastAsia="zh-CN"/>
        </w:rPr>
        <w:t>支出</w:t>
      </w:r>
      <w:r>
        <w:rPr>
          <w:rFonts w:hint="eastAsia" w:ascii="仿宋_GB2312" w:hAnsi="仿宋_GB2312" w:eastAsia="仿宋_GB2312" w:cs="仿宋_GB2312"/>
          <w:b/>
          <w:color w:val="auto"/>
          <w:sz w:val="32"/>
          <w:szCs w:val="32"/>
          <w:highlight w:val="none"/>
        </w:rPr>
        <w:t>（类）</w:t>
      </w:r>
      <w:r>
        <w:rPr>
          <w:rFonts w:hint="eastAsia" w:ascii="仿宋_GB2312" w:hAnsi="仿宋_GB2312" w:eastAsia="仿宋_GB2312" w:cs="仿宋_GB2312"/>
          <w:b/>
          <w:color w:val="auto"/>
          <w:sz w:val="32"/>
          <w:szCs w:val="32"/>
          <w:highlight w:val="none"/>
          <w:lang w:val="en-US" w:eastAsia="zh-CN"/>
        </w:rPr>
        <w:t>行政事业单位医疗</w:t>
      </w:r>
      <w:r>
        <w:rPr>
          <w:rFonts w:hint="eastAsia" w:ascii="仿宋_GB2312" w:hAnsi="仿宋_GB2312" w:eastAsia="仿宋_GB2312" w:cs="仿宋_GB2312"/>
          <w:b/>
          <w:color w:val="auto"/>
          <w:sz w:val="32"/>
          <w:szCs w:val="32"/>
          <w:highlight w:val="none"/>
        </w:rPr>
        <w:t>（款）</w:t>
      </w:r>
      <w:r>
        <w:rPr>
          <w:rFonts w:hint="eastAsia" w:ascii="仿宋_GB2312" w:hAnsi="仿宋_GB2312" w:eastAsia="仿宋_GB2312" w:cs="仿宋_GB2312"/>
          <w:b/>
          <w:color w:val="auto"/>
          <w:sz w:val="32"/>
          <w:szCs w:val="32"/>
          <w:highlight w:val="none"/>
          <w:lang w:val="en-US" w:eastAsia="zh-CN"/>
        </w:rPr>
        <w:t>事业单位医疗</w:t>
      </w:r>
      <w:r>
        <w:rPr>
          <w:rFonts w:hint="eastAsia" w:ascii="仿宋_GB2312" w:hAnsi="仿宋_GB2312" w:eastAsia="仿宋_GB2312" w:cs="仿宋_GB2312"/>
          <w:b/>
          <w:color w:val="auto"/>
          <w:sz w:val="32"/>
          <w:szCs w:val="32"/>
          <w:highlight w:val="none"/>
        </w:rPr>
        <w:t>（项）:</w:t>
      </w:r>
      <w:r>
        <w:rPr>
          <w:rStyle w:val="18"/>
          <w:rFonts w:hint="eastAsia" w:ascii="仿宋_GB2312" w:hAnsi="仿宋_GB2312" w:eastAsia="仿宋_GB2312" w:cs="仿宋_GB2312"/>
          <w:b w:val="0"/>
          <w:bCs/>
          <w:color w:val="000000"/>
          <w:sz w:val="32"/>
          <w:szCs w:val="32"/>
        </w:rPr>
        <w:t>支出决算为</w:t>
      </w:r>
      <w:r>
        <w:rPr>
          <w:rStyle w:val="18"/>
          <w:rFonts w:hint="eastAsia" w:ascii="仿宋_GB2312" w:hAnsi="仿宋_GB2312" w:eastAsia="仿宋_GB2312" w:cs="仿宋_GB2312"/>
          <w:b w:val="0"/>
          <w:bCs/>
          <w:color w:val="000000"/>
          <w:sz w:val="32"/>
          <w:szCs w:val="32"/>
          <w:lang w:val="en-US" w:eastAsia="zh-CN"/>
        </w:rPr>
        <w:t>2.73</w:t>
      </w:r>
      <w:r>
        <w:rPr>
          <w:rStyle w:val="18"/>
          <w:rFonts w:hint="eastAsia" w:ascii="仿宋_GB2312" w:hAnsi="仿宋_GB2312" w:eastAsia="仿宋_GB2312" w:cs="仿宋_GB2312"/>
          <w:b w:val="0"/>
          <w:bCs/>
          <w:color w:val="000000"/>
          <w:sz w:val="32"/>
          <w:szCs w:val="32"/>
        </w:rPr>
        <w:t>万元，完成预算</w:t>
      </w:r>
      <w:r>
        <w:rPr>
          <w:rStyle w:val="18"/>
          <w:rFonts w:hint="eastAsia" w:ascii="仿宋_GB2312" w:hAnsi="仿宋_GB2312" w:eastAsia="仿宋_GB2312" w:cs="仿宋_GB2312"/>
          <w:b w:val="0"/>
          <w:bCs/>
          <w:color w:val="000000"/>
          <w:sz w:val="32"/>
          <w:szCs w:val="32"/>
          <w:lang w:val="en-US" w:eastAsia="zh-CN"/>
        </w:rPr>
        <w:t>100</w:t>
      </w:r>
      <w:r>
        <w:rPr>
          <w:rStyle w:val="18"/>
          <w:rFonts w:hint="eastAsia" w:ascii="仿宋_GB2312" w:hAnsi="仿宋_GB2312" w:eastAsia="仿宋_GB2312" w:cs="仿宋_GB2312"/>
          <w:b w:val="0"/>
          <w:bCs/>
          <w:color w:val="000000"/>
          <w:sz w:val="32"/>
          <w:szCs w:val="32"/>
        </w:rPr>
        <w:t>%。</w:t>
      </w:r>
      <w:r>
        <w:rPr>
          <w:rStyle w:val="18"/>
          <w:rFonts w:hint="eastAsia" w:ascii="仿宋_GB2312" w:hAnsi="仿宋_GB2312" w:eastAsia="仿宋_GB2312" w:cs="仿宋_GB2312"/>
          <w:b w:val="0"/>
          <w:bCs/>
          <w:color w:val="000000"/>
          <w:sz w:val="32"/>
          <w:szCs w:val="32"/>
          <w:lang w:eastAsia="zh-CN"/>
        </w:rPr>
        <w:t>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Style w:val="18"/>
          <w:rFonts w:hint="default" w:ascii="仿宋_GB2312" w:hAnsi="仿宋_GB2312" w:eastAsia="仿宋_GB2312" w:cs="仿宋_GB2312"/>
          <w:b w:val="0"/>
          <w:bCs/>
          <w:color w:val="000000"/>
          <w:sz w:val="32"/>
          <w:szCs w:val="32"/>
          <w:lang w:val="en-US" w:eastAsia="zh-CN"/>
        </w:rPr>
      </w:pPr>
      <w:r>
        <w:rPr>
          <w:rStyle w:val="18"/>
          <w:rFonts w:hint="eastAsia" w:ascii="仿宋_GB2312" w:hAnsi="仿宋_GB2312" w:eastAsia="仿宋_GB2312" w:cs="仿宋_GB2312"/>
          <w:b/>
          <w:bCs w:val="0"/>
          <w:color w:val="000000"/>
          <w:sz w:val="32"/>
          <w:szCs w:val="32"/>
          <w:lang w:val="en-US" w:eastAsia="zh-CN"/>
        </w:rPr>
        <w:t>8.住房保障支出（类）住房改革支出（款）住房公积金（项）：</w:t>
      </w:r>
      <w:r>
        <w:rPr>
          <w:rStyle w:val="18"/>
          <w:rFonts w:hint="eastAsia" w:ascii="仿宋_GB2312" w:hAnsi="仿宋_GB2312" w:eastAsia="仿宋_GB2312" w:cs="仿宋_GB2312"/>
          <w:b w:val="0"/>
          <w:bCs/>
          <w:color w:val="000000"/>
          <w:sz w:val="32"/>
          <w:szCs w:val="32"/>
          <w:lang w:val="en-US" w:eastAsia="zh-CN"/>
        </w:rPr>
        <w:t>支出决算为17.82万元，完成预算100%。决算数等于预算数。</w:t>
      </w: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textAlignment w:val="auto"/>
        <w:outlineLvl w:val="1"/>
        <w:rPr>
          <w:rStyle w:val="30"/>
          <w:color w:val="auto"/>
          <w:highlight w:val="none"/>
        </w:rPr>
      </w:pPr>
      <w:bookmarkStart w:id="53" w:name="_Toc15396608"/>
      <w:bookmarkStart w:id="54" w:name="_Toc15377214"/>
      <w:bookmarkStart w:id="55" w:name="_Toc9597"/>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53"/>
      <w:bookmarkEnd w:id="54"/>
      <w:bookmarkEnd w:id="55"/>
      <w:r>
        <w:rPr>
          <w:rStyle w:val="30"/>
          <w:rFonts w:ascii="黑体" w:hAnsi="黑体" w:eastAsia="黑体"/>
          <w:b w:val="0"/>
          <w:color w:val="auto"/>
          <w:highlight w:val="none"/>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646"/>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年一般公共预算财政拨款基本支出</w:t>
      </w:r>
      <w:r>
        <w:rPr>
          <w:rFonts w:hint="eastAsia" w:ascii="仿宋_GB2312" w:hAnsi="仿宋_GB2312" w:eastAsia="仿宋_GB2312" w:cs="仿宋_GB2312"/>
          <w:color w:val="auto"/>
          <w:sz w:val="32"/>
          <w:szCs w:val="32"/>
          <w:highlight w:val="none"/>
          <w:lang w:val="en-US" w:eastAsia="zh-CN"/>
        </w:rPr>
        <w:t>222.63</w:t>
      </w:r>
      <w:r>
        <w:rPr>
          <w:rFonts w:hint="eastAsia" w:ascii="仿宋_GB2312" w:hAnsi="仿宋_GB2312" w:eastAsia="仿宋_GB2312" w:cs="仿宋_GB2312"/>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val="0"/>
        <w:snapToGrid w:val="0"/>
        <w:spacing w:line="576" w:lineRule="exact"/>
        <w:ind w:firstLine="646"/>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201.23</w:t>
      </w:r>
      <w:r>
        <w:rPr>
          <w:rFonts w:hint="eastAsia" w:ascii="仿宋_GB2312" w:hAnsi="仿宋_GB2312" w:eastAsia="仿宋_GB2312" w:cs="仿宋_GB2312"/>
          <w:color w:val="auto"/>
          <w:sz w:val="32"/>
          <w:szCs w:val="32"/>
          <w:highlight w:val="none"/>
        </w:rPr>
        <w:t>万元，主要包括：基本工资</w:t>
      </w:r>
      <w:r>
        <w:rPr>
          <w:rFonts w:hint="eastAsia" w:ascii="仿宋_GB2312" w:hAnsi="仿宋_GB2312" w:eastAsia="仿宋_GB2312" w:cs="仿宋_GB2312"/>
          <w:color w:val="auto"/>
          <w:sz w:val="32"/>
          <w:szCs w:val="32"/>
          <w:highlight w:val="none"/>
          <w:lang w:val="en-US" w:eastAsia="zh-CN"/>
        </w:rPr>
        <w:t>70.58万元</w:t>
      </w:r>
      <w:r>
        <w:rPr>
          <w:rFonts w:hint="eastAsia" w:ascii="仿宋_GB2312" w:hAnsi="仿宋_GB2312" w:eastAsia="仿宋_GB2312" w:cs="仿宋_GB2312"/>
          <w:color w:val="auto"/>
          <w:sz w:val="32"/>
          <w:szCs w:val="32"/>
          <w:highlight w:val="none"/>
        </w:rPr>
        <w:t>、津贴补贴</w:t>
      </w:r>
      <w:r>
        <w:rPr>
          <w:rFonts w:hint="eastAsia" w:ascii="仿宋_GB2312" w:hAnsi="仿宋_GB2312" w:eastAsia="仿宋_GB2312" w:cs="仿宋_GB2312"/>
          <w:color w:val="auto"/>
          <w:sz w:val="32"/>
          <w:szCs w:val="32"/>
          <w:highlight w:val="none"/>
          <w:lang w:val="en-US" w:eastAsia="zh-CN"/>
        </w:rPr>
        <w:t>28.94万元</w:t>
      </w:r>
      <w:r>
        <w:rPr>
          <w:rFonts w:hint="eastAsia" w:ascii="仿宋_GB2312" w:hAnsi="仿宋_GB2312" w:eastAsia="仿宋_GB2312" w:cs="仿宋_GB2312"/>
          <w:color w:val="auto"/>
          <w:sz w:val="32"/>
          <w:szCs w:val="32"/>
          <w:highlight w:val="none"/>
        </w:rPr>
        <w:t>、奖金</w:t>
      </w:r>
      <w:r>
        <w:rPr>
          <w:rFonts w:hint="eastAsia" w:ascii="仿宋_GB2312" w:hAnsi="仿宋_GB2312" w:eastAsia="仿宋_GB2312" w:cs="仿宋_GB2312"/>
          <w:color w:val="auto"/>
          <w:sz w:val="32"/>
          <w:szCs w:val="32"/>
          <w:highlight w:val="none"/>
          <w:lang w:val="en-US" w:eastAsia="zh-CN"/>
        </w:rPr>
        <w:t>43.79万元</w:t>
      </w:r>
      <w:r>
        <w:rPr>
          <w:rFonts w:hint="eastAsia" w:ascii="仿宋_GB2312" w:hAnsi="仿宋_GB2312" w:eastAsia="仿宋_GB2312" w:cs="仿宋_GB2312"/>
          <w:color w:val="auto"/>
          <w:sz w:val="32"/>
          <w:szCs w:val="32"/>
          <w:highlight w:val="none"/>
        </w:rPr>
        <w:t>、绩效工资</w:t>
      </w:r>
      <w:r>
        <w:rPr>
          <w:rFonts w:hint="eastAsia" w:ascii="仿宋_GB2312" w:hAnsi="仿宋_GB2312" w:eastAsia="仿宋_GB2312" w:cs="仿宋_GB2312"/>
          <w:color w:val="auto"/>
          <w:sz w:val="32"/>
          <w:szCs w:val="32"/>
          <w:highlight w:val="none"/>
          <w:lang w:val="en-US" w:eastAsia="zh-CN"/>
        </w:rPr>
        <w:t>13.4万元</w:t>
      </w:r>
      <w:r>
        <w:rPr>
          <w:rFonts w:hint="eastAsia" w:ascii="仿宋_GB2312" w:hAnsi="仿宋_GB2312" w:eastAsia="仿宋_GB2312" w:cs="仿宋_GB2312"/>
          <w:color w:val="auto"/>
          <w:sz w:val="32"/>
          <w:szCs w:val="32"/>
          <w:highlight w:val="none"/>
        </w:rPr>
        <w:t>、机关事业单位基本养老保险缴费</w:t>
      </w:r>
      <w:r>
        <w:rPr>
          <w:rFonts w:hint="eastAsia" w:ascii="仿宋_GB2312" w:hAnsi="仿宋_GB2312" w:eastAsia="仿宋_GB2312" w:cs="仿宋_GB2312"/>
          <w:color w:val="auto"/>
          <w:sz w:val="32"/>
          <w:szCs w:val="32"/>
          <w:highlight w:val="none"/>
          <w:lang w:val="en-US" w:eastAsia="zh-CN"/>
        </w:rPr>
        <w:t>16.02万元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职工基本医疗保险缴费</w:t>
      </w:r>
      <w:r>
        <w:rPr>
          <w:rFonts w:hint="eastAsia" w:ascii="仿宋_GB2312" w:hAnsi="仿宋_GB2312" w:eastAsia="仿宋_GB2312" w:cs="仿宋_GB2312"/>
          <w:color w:val="auto"/>
          <w:sz w:val="32"/>
          <w:szCs w:val="32"/>
          <w:highlight w:val="none"/>
          <w:lang w:val="en-US" w:eastAsia="zh-CN"/>
        </w:rPr>
        <w:t>8.33万元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其他社会保障缴费</w:t>
      </w:r>
      <w:r>
        <w:rPr>
          <w:rFonts w:hint="eastAsia" w:ascii="仿宋_GB2312" w:hAnsi="仿宋_GB2312" w:eastAsia="仿宋_GB2312" w:cs="仿宋_GB2312"/>
          <w:color w:val="auto"/>
          <w:sz w:val="32"/>
          <w:szCs w:val="32"/>
          <w:highlight w:val="none"/>
          <w:lang w:val="en-US" w:eastAsia="zh-CN"/>
        </w:rPr>
        <w:t>2.29万元</w:t>
      </w:r>
      <w:r>
        <w:rPr>
          <w:rFonts w:hint="eastAsia" w:ascii="仿宋_GB2312" w:hAnsi="仿宋_GB2312" w:eastAsia="仿宋_GB2312" w:cs="仿宋_GB2312"/>
          <w:color w:val="auto"/>
          <w:sz w:val="32"/>
          <w:szCs w:val="32"/>
          <w:highlight w:val="none"/>
        </w:rPr>
        <w:t>、住房公积金</w:t>
      </w:r>
      <w:r>
        <w:rPr>
          <w:rFonts w:hint="eastAsia" w:ascii="仿宋_GB2312" w:hAnsi="仿宋_GB2312" w:eastAsia="仿宋_GB2312" w:cs="仿宋_GB2312"/>
          <w:color w:val="auto"/>
          <w:sz w:val="32"/>
          <w:szCs w:val="32"/>
          <w:highlight w:val="none"/>
          <w:lang w:val="en-US" w:eastAsia="zh-CN"/>
        </w:rPr>
        <w:t>17.82万元</w:t>
      </w:r>
      <w:r>
        <w:rPr>
          <w:rFonts w:hint="eastAsia" w:ascii="仿宋_GB2312" w:hAnsi="仿宋_GB2312" w:eastAsia="仿宋_GB2312" w:cs="仿宋_GB2312"/>
          <w:color w:val="auto"/>
          <w:sz w:val="32"/>
          <w:szCs w:val="32"/>
          <w:highlight w:val="none"/>
        </w:rPr>
        <w:t>、对个人和家庭的补助支出</w:t>
      </w:r>
      <w:r>
        <w:rPr>
          <w:rFonts w:hint="eastAsia" w:ascii="仿宋_GB2312" w:hAnsi="仿宋_GB2312" w:eastAsia="仿宋_GB2312" w:cs="仿宋_GB2312"/>
          <w:color w:val="auto"/>
          <w:sz w:val="32"/>
          <w:szCs w:val="32"/>
          <w:highlight w:val="none"/>
          <w:lang w:val="en-US" w:eastAsia="zh-CN"/>
        </w:rPr>
        <w:t>0.06万元</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6"/>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公用经费</w:t>
      </w:r>
      <w:r>
        <w:rPr>
          <w:rFonts w:hint="eastAsia" w:ascii="仿宋_GB2312" w:hAnsi="仿宋_GB2312" w:eastAsia="仿宋_GB2312" w:cs="仿宋_GB2312"/>
          <w:color w:val="auto"/>
          <w:sz w:val="32"/>
          <w:szCs w:val="32"/>
          <w:highlight w:val="none"/>
          <w:lang w:val="en-US" w:eastAsia="zh-CN"/>
        </w:rPr>
        <w:t>21.4</w:t>
      </w:r>
      <w:r>
        <w:rPr>
          <w:rFonts w:hint="eastAsia" w:ascii="仿宋_GB2312" w:hAnsi="仿宋_GB2312" w:eastAsia="仿宋_GB2312" w:cs="仿宋_GB2312"/>
          <w:color w:val="auto"/>
          <w:sz w:val="32"/>
          <w:szCs w:val="32"/>
          <w:highlight w:val="none"/>
        </w:rPr>
        <w:t>万元，主要包括：办公费</w:t>
      </w:r>
      <w:r>
        <w:rPr>
          <w:rFonts w:hint="eastAsia" w:ascii="仿宋_GB2312" w:hAnsi="仿宋_GB2312" w:eastAsia="仿宋_GB2312" w:cs="仿宋_GB2312"/>
          <w:color w:val="auto"/>
          <w:sz w:val="32"/>
          <w:szCs w:val="32"/>
          <w:highlight w:val="none"/>
          <w:lang w:val="en-US" w:eastAsia="zh-CN"/>
        </w:rPr>
        <w:t>1.14万元</w:t>
      </w:r>
      <w:r>
        <w:rPr>
          <w:rFonts w:hint="eastAsia" w:ascii="仿宋_GB2312" w:hAnsi="仿宋_GB2312" w:eastAsia="仿宋_GB2312" w:cs="仿宋_GB2312"/>
          <w:color w:val="auto"/>
          <w:sz w:val="32"/>
          <w:szCs w:val="32"/>
          <w:highlight w:val="none"/>
        </w:rPr>
        <w:t>、水费</w:t>
      </w:r>
      <w:r>
        <w:rPr>
          <w:rFonts w:hint="eastAsia" w:ascii="仿宋_GB2312" w:hAnsi="仿宋_GB2312" w:eastAsia="仿宋_GB2312" w:cs="仿宋_GB2312"/>
          <w:color w:val="auto"/>
          <w:sz w:val="32"/>
          <w:szCs w:val="32"/>
          <w:highlight w:val="none"/>
          <w:lang w:val="en-US" w:eastAsia="zh-CN"/>
        </w:rPr>
        <w:t>0.1万元</w:t>
      </w:r>
      <w:r>
        <w:rPr>
          <w:rFonts w:hint="eastAsia" w:ascii="仿宋_GB2312" w:hAnsi="仿宋_GB2312" w:eastAsia="仿宋_GB2312" w:cs="仿宋_GB2312"/>
          <w:color w:val="auto"/>
          <w:sz w:val="32"/>
          <w:szCs w:val="32"/>
          <w:highlight w:val="none"/>
        </w:rPr>
        <w:t>、电费</w:t>
      </w:r>
      <w:r>
        <w:rPr>
          <w:rFonts w:hint="eastAsia" w:ascii="仿宋_GB2312" w:hAnsi="仿宋_GB2312" w:eastAsia="仿宋_GB2312" w:cs="仿宋_GB2312"/>
          <w:color w:val="auto"/>
          <w:sz w:val="32"/>
          <w:szCs w:val="32"/>
          <w:highlight w:val="none"/>
          <w:lang w:val="en-US" w:eastAsia="zh-CN"/>
        </w:rPr>
        <w:t>0.16万元</w:t>
      </w:r>
      <w:r>
        <w:rPr>
          <w:rFonts w:hint="eastAsia" w:ascii="仿宋_GB2312" w:hAnsi="仿宋_GB2312" w:eastAsia="仿宋_GB2312" w:cs="仿宋_GB2312"/>
          <w:color w:val="auto"/>
          <w:sz w:val="32"/>
          <w:szCs w:val="32"/>
          <w:highlight w:val="none"/>
        </w:rPr>
        <w:t>、邮电费</w:t>
      </w:r>
      <w:r>
        <w:rPr>
          <w:rFonts w:hint="eastAsia" w:ascii="仿宋_GB2312" w:hAnsi="仿宋_GB2312" w:eastAsia="仿宋_GB2312" w:cs="仿宋_GB2312"/>
          <w:color w:val="auto"/>
          <w:sz w:val="32"/>
          <w:szCs w:val="32"/>
          <w:highlight w:val="none"/>
          <w:lang w:val="en-US" w:eastAsia="zh-CN"/>
        </w:rPr>
        <w:t>1.87万元</w:t>
      </w:r>
      <w:r>
        <w:rPr>
          <w:rFonts w:hint="eastAsia" w:ascii="仿宋_GB2312" w:hAnsi="仿宋_GB2312" w:eastAsia="仿宋_GB2312" w:cs="仿宋_GB2312"/>
          <w:color w:val="auto"/>
          <w:sz w:val="32"/>
          <w:szCs w:val="32"/>
          <w:highlight w:val="none"/>
        </w:rPr>
        <w:t>、差旅费</w:t>
      </w:r>
      <w:r>
        <w:rPr>
          <w:rFonts w:hint="eastAsia" w:ascii="仿宋_GB2312" w:hAnsi="仿宋_GB2312" w:eastAsia="仿宋_GB2312" w:cs="仿宋_GB2312"/>
          <w:color w:val="auto"/>
          <w:sz w:val="32"/>
          <w:szCs w:val="32"/>
          <w:highlight w:val="none"/>
          <w:lang w:val="en-US" w:eastAsia="zh-CN"/>
        </w:rPr>
        <w:t>4.07万元</w:t>
      </w:r>
      <w:r>
        <w:rPr>
          <w:rFonts w:hint="eastAsia" w:ascii="仿宋_GB2312" w:hAnsi="仿宋_GB2312" w:eastAsia="仿宋_GB2312" w:cs="仿宋_GB2312"/>
          <w:color w:val="auto"/>
          <w:sz w:val="32"/>
          <w:szCs w:val="32"/>
          <w:highlight w:val="none"/>
        </w:rPr>
        <w:t>、维修（护）费</w:t>
      </w:r>
      <w:r>
        <w:rPr>
          <w:rFonts w:hint="eastAsia" w:ascii="仿宋_GB2312" w:hAnsi="仿宋_GB2312" w:eastAsia="仿宋_GB2312" w:cs="仿宋_GB2312"/>
          <w:color w:val="auto"/>
          <w:sz w:val="32"/>
          <w:szCs w:val="32"/>
          <w:highlight w:val="none"/>
          <w:lang w:val="en-US" w:eastAsia="zh-CN"/>
        </w:rPr>
        <w:t>0.19万元</w:t>
      </w:r>
      <w:r>
        <w:rPr>
          <w:rFonts w:hint="eastAsia" w:ascii="仿宋_GB2312" w:hAnsi="仿宋_GB2312" w:eastAsia="仿宋_GB2312" w:cs="仿宋_GB2312"/>
          <w:color w:val="auto"/>
          <w:sz w:val="32"/>
          <w:szCs w:val="32"/>
          <w:highlight w:val="none"/>
        </w:rPr>
        <w:t>、租赁费</w:t>
      </w:r>
      <w:r>
        <w:rPr>
          <w:rFonts w:hint="eastAsia" w:ascii="仿宋_GB2312" w:hAnsi="仿宋_GB2312" w:eastAsia="仿宋_GB2312" w:cs="仿宋_GB2312"/>
          <w:color w:val="auto"/>
          <w:sz w:val="32"/>
          <w:szCs w:val="32"/>
          <w:highlight w:val="none"/>
          <w:lang w:val="en-US" w:eastAsia="zh-CN"/>
        </w:rPr>
        <w:t>0.83万元</w:t>
      </w:r>
      <w:r>
        <w:rPr>
          <w:rFonts w:hint="eastAsia" w:ascii="仿宋_GB2312" w:hAnsi="仿宋_GB2312" w:eastAsia="仿宋_GB2312" w:cs="仿宋_GB2312"/>
          <w:color w:val="auto"/>
          <w:sz w:val="32"/>
          <w:szCs w:val="32"/>
          <w:highlight w:val="none"/>
        </w:rPr>
        <w:t>、培训费</w:t>
      </w:r>
      <w:r>
        <w:rPr>
          <w:rFonts w:hint="eastAsia" w:ascii="仿宋_GB2312" w:hAnsi="仿宋_GB2312" w:eastAsia="仿宋_GB2312" w:cs="仿宋_GB2312"/>
          <w:color w:val="auto"/>
          <w:sz w:val="32"/>
          <w:szCs w:val="32"/>
          <w:highlight w:val="none"/>
          <w:lang w:val="en-US" w:eastAsia="zh-CN"/>
        </w:rPr>
        <w:t>0.58万元</w:t>
      </w:r>
      <w:r>
        <w:rPr>
          <w:rFonts w:hint="eastAsia" w:ascii="仿宋_GB2312" w:hAnsi="仿宋_GB2312" w:eastAsia="仿宋_GB2312" w:cs="仿宋_GB2312"/>
          <w:color w:val="auto"/>
          <w:sz w:val="32"/>
          <w:szCs w:val="32"/>
          <w:highlight w:val="none"/>
        </w:rPr>
        <w:t>、公务接待费</w:t>
      </w:r>
      <w:r>
        <w:rPr>
          <w:rFonts w:hint="eastAsia" w:ascii="仿宋_GB2312" w:hAnsi="仿宋_GB2312" w:eastAsia="仿宋_GB2312" w:cs="仿宋_GB2312"/>
          <w:color w:val="auto"/>
          <w:sz w:val="32"/>
          <w:szCs w:val="32"/>
          <w:highlight w:val="none"/>
          <w:lang w:val="en-US" w:eastAsia="zh-CN"/>
        </w:rPr>
        <w:t>0.8万元</w:t>
      </w:r>
      <w:r>
        <w:rPr>
          <w:rFonts w:hint="eastAsia" w:ascii="仿宋_GB2312" w:hAnsi="仿宋_GB2312" w:eastAsia="仿宋_GB2312" w:cs="仿宋_GB2312"/>
          <w:color w:val="auto"/>
          <w:sz w:val="32"/>
          <w:szCs w:val="32"/>
          <w:highlight w:val="none"/>
        </w:rPr>
        <w:t>、工会经费</w:t>
      </w:r>
      <w:r>
        <w:rPr>
          <w:rFonts w:hint="eastAsia" w:ascii="仿宋_GB2312" w:hAnsi="仿宋_GB2312" w:eastAsia="仿宋_GB2312" w:cs="仿宋_GB2312"/>
          <w:color w:val="auto"/>
          <w:sz w:val="32"/>
          <w:szCs w:val="32"/>
          <w:highlight w:val="none"/>
          <w:lang w:val="en-US" w:eastAsia="zh-CN"/>
        </w:rPr>
        <w:t>1.21万元</w:t>
      </w:r>
      <w:r>
        <w:rPr>
          <w:rFonts w:hint="eastAsia" w:ascii="仿宋_GB2312" w:hAnsi="仿宋_GB2312" w:eastAsia="仿宋_GB2312" w:cs="仿宋_GB2312"/>
          <w:color w:val="auto"/>
          <w:sz w:val="32"/>
          <w:szCs w:val="32"/>
          <w:highlight w:val="none"/>
        </w:rPr>
        <w:t>、其他交通费</w:t>
      </w:r>
      <w:r>
        <w:rPr>
          <w:rFonts w:hint="eastAsia" w:ascii="仿宋_GB2312" w:hAnsi="仿宋_GB2312" w:eastAsia="仿宋_GB2312" w:cs="仿宋_GB2312"/>
          <w:color w:val="auto"/>
          <w:sz w:val="32"/>
          <w:szCs w:val="32"/>
          <w:highlight w:val="none"/>
          <w:lang w:val="en-US" w:eastAsia="zh-CN"/>
        </w:rPr>
        <w:t>8.28万元、其他商品和服务支出2.18万元</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outlineLvl w:val="1"/>
        <w:rPr>
          <w:rStyle w:val="30"/>
          <w:rFonts w:ascii="黑体" w:hAnsi="黑体" w:eastAsia="黑体"/>
          <w:b w:val="0"/>
          <w:color w:val="auto"/>
          <w:highlight w:val="none"/>
        </w:rPr>
      </w:pPr>
      <w:bookmarkStart w:id="56" w:name="_Toc15377215"/>
      <w:bookmarkStart w:id="57" w:name="_Toc15396609"/>
      <w:bookmarkStart w:id="58" w:name="_Toc6086"/>
      <w:r>
        <w:rPr>
          <w:rFonts w:hint="eastAsia" w:ascii="黑体" w:eastAsia="黑体"/>
          <w:color w:val="auto"/>
          <w:sz w:val="32"/>
          <w:szCs w:val="32"/>
          <w:highlight w:val="none"/>
        </w:rPr>
        <w:t>七、</w:t>
      </w:r>
      <w:r>
        <w:rPr>
          <w:rStyle w:val="30"/>
          <w:rFonts w:hint="eastAsia" w:ascii="黑体" w:hAnsi="黑体" w:eastAsia="黑体"/>
          <w:b w:val="0"/>
          <w:color w:val="auto"/>
          <w:highlight w:val="none"/>
        </w:rPr>
        <w:t>财政拨款</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三公”经费支出决算情况说明</w:t>
      </w:r>
      <w:bookmarkEnd w:id="56"/>
      <w:bookmarkEnd w:id="57"/>
      <w:bookmarkEnd w:id="58"/>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outlineLvl w:val="2"/>
        <w:rPr>
          <w:rFonts w:hint="eastAsia" w:ascii="楷体_GB2312" w:hAnsi="楷体_GB2312" w:eastAsia="楷体_GB2312" w:cs="楷体_GB2312"/>
          <w:b w:val="0"/>
          <w:bCs/>
          <w:color w:val="auto"/>
          <w:sz w:val="32"/>
          <w:szCs w:val="32"/>
          <w:highlight w:val="none"/>
        </w:rPr>
      </w:pPr>
      <w:bookmarkStart w:id="59" w:name="_Toc15377216"/>
      <w:bookmarkStart w:id="60" w:name="_Toc23299"/>
      <w:r>
        <w:rPr>
          <w:rFonts w:hint="eastAsia" w:ascii="楷体_GB2312" w:hAnsi="楷体_GB2312" w:eastAsia="楷体_GB2312" w:cs="楷体_GB2312"/>
          <w:b w:val="0"/>
          <w:bCs/>
          <w:color w:val="auto"/>
          <w:sz w:val="32"/>
          <w:szCs w:val="32"/>
          <w:highlight w:val="none"/>
        </w:rPr>
        <w:t>（一）“三公”经费财政拨款支出决算总体情况说明</w:t>
      </w:r>
      <w:bookmarkEnd w:id="59"/>
      <w:bookmarkEnd w:id="60"/>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年“三公”经费财政拨款支出决算为</w:t>
      </w:r>
      <w:r>
        <w:rPr>
          <w:rFonts w:hint="eastAsia" w:ascii="仿宋_GB2312" w:hAnsi="仿宋_GB2312" w:eastAsia="仿宋_GB2312" w:cs="仿宋_GB2312"/>
          <w:color w:val="auto"/>
          <w:sz w:val="32"/>
          <w:szCs w:val="32"/>
          <w:highlight w:val="none"/>
          <w:lang w:val="en-US" w:eastAsia="zh-CN"/>
        </w:rPr>
        <w:t>0.8</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较上年</w:t>
      </w:r>
      <w:r>
        <w:rPr>
          <w:rFonts w:hint="eastAsia" w:ascii="仿宋_GB2312" w:hAnsi="仿宋_GB2312" w:eastAsia="仿宋_GB2312" w:cs="仿宋_GB2312"/>
          <w:color w:val="auto"/>
          <w:sz w:val="32"/>
          <w:szCs w:val="32"/>
          <w:highlight w:val="none"/>
          <w:lang w:val="en-US" w:eastAsia="zh-CN"/>
        </w:rPr>
        <w:t>减少0.74万元，下降48.05%。</w:t>
      </w:r>
      <w:r>
        <w:rPr>
          <w:rFonts w:hint="eastAsia" w:ascii="仿宋_GB2312" w:hAnsi="仿宋_GB2312" w:eastAsia="仿宋_GB2312" w:cs="仿宋_GB2312"/>
          <w:color w:val="auto"/>
          <w:sz w:val="32"/>
          <w:szCs w:val="32"/>
          <w:highlight w:val="none"/>
        </w:rPr>
        <w:t>决算数</w:t>
      </w:r>
      <w:r>
        <w:rPr>
          <w:rFonts w:hint="eastAsia" w:ascii="仿宋_GB2312" w:hAnsi="仿宋_GB2312" w:eastAsia="仿宋_GB2312" w:cs="仿宋_GB2312"/>
          <w:color w:val="auto"/>
          <w:sz w:val="32"/>
          <w:szCs w:val="32"/>
          <w:highlight w:val="none"/>
          <w:lang w:eastAsia="zh-CN"/>
        </w:rPr>
        <w:t>与预算数持平</w:t>
      </w:r>
      <w:r>
        <w:rPr>
          <w:rFonts w:hint="eastAsia" w:ascii="仿宋_GB2312" w:hAnsi="仿宋_GB2312" w:eastAsia="仿宋_GB2312" w:cs="仿宋_GB2312"/>
          <w:color w:val="auto"/>
          <w:sz w:val="32"/>
          <w:szCs w:val="32"/>
          <w:highlight w:val="none"/>
        </w:rPr>
        <w:t>的主要原因</w:t>
      </w:r>
      <w:r>
        <w:rPr>
          <w:rFonts w:hint="eastAsia" w:ascii="仿宋_GB2312" w:hAnsi="仿宋_GB2312" w:eastAsia="仿宋_GB2312" w:cs="仿宋_GB2312"/>
          <w:color w:val="auto"/>
          <w:sz w:val="32"/>
          <w:szCs w:val="32"/>
          <w:highlight w:val="none"/>
          <w:lang w:eastAsia="zh-CN"/>
        </w:rPr>
        <w:t>一是严格控制各市、县区来我区考察学习次数；二是受疫情影响调研、考察次数减少</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hint="eastAsia" w:ascii="仿宋_GB2312" w:hAnsi="仿宋_GB2312" w:eastAsia="仿宋_GB2312" w:cs="仿宋_GB2312"/>
          <w:color w:val="auto"/>
          <w:sz w:val="32"/>
          <w:szCs w:val="32"/>
          <w:highlight w:val="none"/>
          <w:lang w:eastAsia="zh-CN"/>
        </w:rPr>
      </w:pPr>
      <w:bookmarkStart w:id="61" w:name="_Toc15377217"/>
      <w:r>
        <w:rPr>
          <w:rFonts w:hint="eastAsia" w:ascii="仿宋_GB2312" w:hAnsi="仿宋_GB2312" w:eastAsia="仿宋_GB2312" w:cs="仿宋_GB2312"/>
          <w:color w:val="auto"/>
          <w:sz w:val="32"/>
          <w:szCs w:val="32"/>
          <w:highlight w:val="none"/>
        </w:rPr>
        <w:t>“三公”经费财政拨款支出决算具体情况说明</w:t>
      </w:r>
      <w:bookmarkEnd w:id="61"/>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年“三公”经费财政拨款支出决算中，因公出国（境）费支出决算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eastAsia="仿宋_GB2312" w:cs="仿宋_GB2312"/>
          <w:color w:val="auto"/>
          <w:sz w:val="32"/>
          <w:szCs w:val="32"/>
          <w:highlight w:val="none"/>
          <w:lang w:val="en-US" w:eastAsia="zh-CN"/>
        </w:rPr>
        <w:t>0.8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%。具体情况如下：</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rPr>
      </w:pPr>
      <w:r>
        <w:rPr>
          <w:rFonts w:hint="eastAsia"/>
          <w:lang w:val="en-US" w:eastAsia="zh-CN"/>
        </w:rPr>
        <w:t xml:space="preserve">  </w:t>
      </w:r>
      <w:r>
        <w:rPr>
          <w:rFonts w:hint="eastAsia"/>
        </w:rPr>
        <w:drawing>
          <wp:inline distT="0" distB="0" distL="114300" distR="114300">
            <wp:extent cx="4198620" cy="2073275"/>
            <wp:effectExtent l="5080" t="4445" r="6350" b="17780"/>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hint="eastAsia"/>
        </w:rPr>
      </w:pPr>
      <w:r>
        <w:rPr>
          <w:rFonts w:hint="eastAsia" w:ascii="仿宋_GB2312" w:hAnsi="仿宋_GB2312" w:eastAsia="仿宋_GB2312" w:cs="仿宋_GB2312"/>
          <w:color w:val="auto"/>
          <w:sz w:val="32"/>
          <w:szCs w:val="32"/>
          <w:highlight w:val="none"/>
        </w:rPr>
        <w:t>（图7：“三公”经费财政拨款支出结构）（饼状图）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rPr>
        <w:t>因公出国（境）经费支出</w:t>
      </w:r>
      <w:r>
        <w:rPr>
          <w:rFonts w:hint="eastAsia" w:ascii="仿宋_GB2312" w:hAnsi="仿宋_GB2312" w:eastAsia="仿宋_GB2312" w:cs="仿宋_GB2312"/>
          <w:b w:val="0"/>
          <w:bCs/>
          <w:color w:val="auto"/>
          <w:sz w:val="32"/>
          <w:szCs w:val="32"/>
          <w:highlight w:val="none"/>
          <w:lang w:val="en-US" w:eastAsia="zh-CN"/>
        </w:rPr>
        <w:t>0</w:t>
      </w:r>
      <w:r>
        <w:rPr>
          <w:rFonts w:hint="eastAsia" w:ascii="仿宋_GB2312" w:hAnsi="仿宋_GB2312" w:eastAsia="仿宋_GB2312" w:cs="仿宋_GB2312"/>
          <w:b w:val="0"/>
          <w:bCs/>
          <w:color w:val="auto"/>
          <w:sz w:val="32"/>
          <w:szCs w:val="32"/>
          <w:highlight w:val="none"/>
        </w:rPr>
        <w:t>万元，</w:t>
      </w:r>
      <w:r>
        <w:rPr>
          <w:rFonts w:hint="eastAsia" w:ascii="仿宋_GB2312" w:hAnsi="仿宋_GB2312" w:eastAsia="仿宋_GB2312" w:cs="仿宋_GB2312"/>
          <w:b w:val="0"/>
          <w:bCs/>
          <w:color w:val="auto"/>
          <w:sz w:val="32"/>
          <w:szCs w:val="32"/>
          <w:highlight w:val="none"/>
          <w:lang w:val="en-US" w:eastAsia="zh-CN"/>
        </w:rPr>
        <w:t>年初未安排预算</w:t>
      </w:r>
      <w:r>
        <w:rPr>
          <w:rFonts w:hint="eastAsia" w:ascii="仿宋_GB2312" w:hAnsi="仿宋_GB2312" w:eastAsia="仿宋_GB2312" w:cs="仿宋_GB2312"/>
          <w:b w:val="0"/>
          <w:bCs/>
          <w:color w:val="auto"/>
          <w:sz w:val="32"/>
          <w:szCs w:val="32"/>
          <w:highlight w:val="none"/>
        </w:rPr>
        <w:t>。</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Lines="0" w:line="576"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hAnsi="仿宋_GB2312" w:cs="仿宋_GB2312"/>
          <w:b w:val="0"/>
          <w:bCs/>
          <w:sz w:val="32"/>
          <w:szCs w:val="32"/>
          <w:lang w:val="en-US" w:eastAsia="zh-CN"/>
        </w:rPr>
        <w:t>2.</w:t>
      </w:r>
      <w:r>
        <w:rPr>
          <w:rFonts w:hint="eastAsia" w:ascii="仿宋_GB2312" w:hAnsi="仿宋_GB2312" w:eastAsia="仿宋_GB2312" w:cs="仿宋_GB2312"/>
          <w:b w:val="0"/>
          <w:bCs/>
          <w:sz w:val="32"/>
          <w:szCs w:val="32"/>
        </w:rPr>
        <w:t>公务用车购置及运行维护费支出</w:t>
      </w:r>
      <w:r>
        <w:rPr>
          <w:rFonts w:hint="eastAsia" w:hAnsi="仿宋_GB2312" w:cs="仿宋_GB2312"/>
          <w:b w:val="0"/>
          <w:bCs/>
          <w:sz w:val="32"/>
          <w:szCs w:val="32"/>
          <w:lang w:val="en-US" w:eastAsia="zh-CN"/>
        </w:rPr>
        <w:t>0</w:t>
      </w:r>
      <w:r>
        <w:rPr>
          <w:rFonts w:hint="eastAsia" w:ascii="仿宋_GB2312" w:hAnsi="仿宋_GB2312" w:eastAsia="仿宋_GB2312" w:cs="仿宋_GB2312"/>
          <w:b w:val="0"/>
          <w:bCs/>
          <w:sz w:val="32"/>
          <w:szCs w:val="32"/>
        </w:rPr>
        <w:t>万元,</w:t>
      </w:r>
      <w:r>
        <w:rPr>
          <w:rStyle w:val="18"/>
          <w:rFonts w:hint="eastAsia" w:hAnsi="仿宋_GB2312" w:cs="仿宋_GB2312"/>
          <w:b w:val="0"/>
          <w:bCs/>
          <w:sz w:val="32"/>
          <w:szCs w:val="32"/>
          <w:lang w:eastAsia="zh-CN"/>
        </w:rPr>
        <w:t>年初未安排预算。</w:t>
      </w:r>
      <w:r>
        <w:rPr>
          <w:rFonts w:hint="eastAsia" w:ascii="仿宋_GB2312" w:hAnsi="仿宋_GB2312" w:eastAsia="仿宋_GB2312" w:cs="仿宋_GB2312"/>
          <w:b w:val="0"/>
          <w:bCs/>
          <w:sz w:val="32"/>
          <w:szCs w:val="32"/>
        </w:rPr>
        <w:t>公务用车购置支出</w:t>
      </w:r>
      <w:r>
        <w:rPr>
          <w:rFonts w:hint="eastAsia" w:hAnsi="仿宋_GB2312" w:cs="仿宋_GB2312"/>
          <w:b w:val="0"/>
          <w:bCs/>
          <w:sz w:val="32"/>
          <w:szCs w:val="32"/>
          <w:lang w:val="en-US" w:eastAsia="zh-CN"/>
        </w:rPr>
        <w:t>0</w:t>
      </w:r>
      <w:r>
        <w:rPr>
          <w:rFonts w:hint="eastAsia" w:ascii="仿宋_GB2312" w:hAnsi="仿宋_GB2312" w:eastAsia="仿宋_GB2312" w:cs="仿宋_GB2312"/>
          <w:b w:val="0"/>
          <w:bCs/>
          <w:sz w:val="32"/>
          <w:szCs w:val="32"/>
        </w:rPr>
        <w:t>万元。公务用车运行维护费支出</w:t>
      </w:r>
      <w:r>
        <w:rPr>
          <w:rFonts w:hint="eastAsia" w:hAnsi="仿宋_GB2312" w:cs="仿宋_GB2312"/>
          <w:b w:val="0"/>
          <w:bCs/>
          <w:sz w:val="32"/>
          <w:szCs w:val="32"/>
          <w:lang w:val="en-US" w:eastAsia="zh-CN"/>
        </w:rPr>
        <w:t>0</w:t>
      </w:r>
      <w:r>
        <w:rPr>
          <w:rFonts w:hint="eastAsia" w:ascii="仿宋_GB2312" w:hAnsi="仿宋_GB2312" w:eastAsia="仿宋_GB2312" w:cs="仿宋_GB2312"/>
          <w:b w:val="0"/>
          <w:bCs/>
          <w:sz w:val="32"/>
          <w:szCs w:val="32"/>
        </w:rPr>
        <w:t>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.公务接待费支出</w:t>
      </w:r>
      <w:r>
        <w:rPr>
          <w:rFonts w:hint="eastAsia" w:ascii="仿宋_GB2312" w:hAnsi="仿宋_GB2312" w:eastAsia="仿宋_GB2312" w:cs="仿宋_GB2312"/>
          <w:b w:val="0"/>
          <w:bCs/>
          <w:color w:val="auto"/>
          <w:sz w:val="32"/>
          <w:szCs w:val="32"/>
          <w:highlight w:val="none"/>
          <w:lang w:val="en-US" w:eastAsia="zh-CN"/>
        </w:rPr>
        <w:t>0.8</w:t>
      </w:r>
      <w:r>
        <w:rPr>
          <w:rFonts w:hint="eastAsia" w:ascii="仿宋_GB2312" w:hAnsi="仿宋_GB2312" w:eastAsia="仿宋_GB2312" w:cs="仿宋_GB2312"/>
          <w:b w:val="0"/>
          <w:bCs/>
          <w:color w:val="auto"/>
          <w:sz w:val="32"/>
          <w:szCs w:val="32"/>
          <w:highlight w:val="none"/>
        </w:rPr>
        <w:t>万元，完成预算</w:t>
      </w:r>
      <w:r>
        <w:rPr>
          <w:rFonts w:hint="eastAsia" w:ascii="仿宋_GB2312" w:hAnsi="仿宋_GB2312" w:eastAsia="仿宋_GB2312" w:cs="仿宋_GB2312"/>
          <w:b w:val="0"/>
          <w:bCs/>
          <w:color w:val="auto"/>
          <w:sz w:val="32"/>
          <w:szCs w:val="32"/>
          <w:highlight w:val="none"/>
          <w:lang w:val="en-US" w:eastAsia="zh-CN"/>
        </w:rPr>
        <w:t>100</w:t>
      </w:r>
      <w:r>
        <w:rPr>
          <w:rFonts w:hint="eastAsia" w:ascii="仿宋_GB2312" w:hAnsi="仿宋_GB2312" w:eastAsia="仿宋_GB2312" w:cs="仿宋_GB2312"/>
          <w:b w:val="0"/>
          <w:bCs/>
          <w:color w:val="auto"/>
          <w:sz w:val="32"/>
          <w:szCs w:val="32"/>
          <w:highlight w:val="none"/>
        </w:rPr>
        <w:t>%。公务接待费支出决算比20</w:t>
      </w:r>
      <w:r>
        <w:rPr>
          <w:rFonts w:hint="eastAsia" w:ascii="仿宋_GB2312" w:hAnsi="仿宋_GB2312" w:eastAsia="仿宋_GB2312" w:cs="仿宋_GB2312"/>
          <w:b w:val="0"/>
          <w:bCs/>
          <w:color w:val="auto"/>
          <w:sz w:val="32"/>
          <w:szCs w:val="32"/>
          <w:highlight w:val="none"/>
          <w:lang w:val="en-US" w:eastAsia="zh-CN"/>
        </w:rPr>
        <w:t>21</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eastAsia="zh-CN"/>
        </w:rPr>
        <w:t>减少</w:t>
      </w:r>
      <w:r>
        <w:rPr>
          <w:rFonts w:hint="eastAsia" w:ascii="仿宋_GB2312" w:hAnsi="仿宋_GB2312" w:eastAsia="仿宋_GB2312" w:cs="仿宋_GB2312"/>
          <w:b w:val="0"/>
          <w:bCs/>
          <w:color w:val="auto"/>
          <w:sz w:val="32"/>
          <w:szCs w:val="32"/>
          <w:highlight w:val="none"/>
          <w:lang w:val="en-US" w:eastAsia="zh-CN"/>
        </w:rPr>
        <w:t>0.74</w:t>
      </w:r>
      <w:r>
        <w:rPr>
          <w:rFonts w:hint="eastAsia" w:ascii="仿宋_GB2312" w:hAnsi="仿宋_GB2312" w:eastAsia="仿宋_GB2312" w:cs="仿宋_GB2312"/>
          <w:b w:val="0"/>
          <w:bCs/>
          <w:color w:val="auto"/>
          <w:sz w:val="32"/>
          <w:szCs w:val="32"/>
          <w:highlight w:val="none"/>
        </w:rPr>
        <w:t>万元，</w:t>
      </w:r>
      <w:r>
        <w:rPr>
          <w:rFonts w:hint="eastAsia" w:ascii="仿宋_GB2312" w:hAnsi="仿宋_GB2312" w:eastAsia="仿宋_GB2312" w:cs="仿宋_GB2312"/>
          <w:b w:val="0"/>
          <w:bCs/>
          <w:color w:val="auto"/>
          <w:sz w:val="32"/>
          <w:szCs w:val="32"/>
          <w:highlight w:val="none"/>
          <w:lang w:eastAsia="zh-CN"/>
        </w:rPr>
        <w:t>下降</w:t>
      </w:r>
      <w:r>
        <w:rPr>
          <w:rFonts w:hint="eastAsia" w:ascii="仿宋_GB2312" w:hAnsi="仿宋_GB2312" w:eastAsia="仿宋_GB2312" w:cs="仿宋_GB2312"/>
          <w:b w:val="0"/>
          <w:bCs/>
          <w:color w:val="auto"/>
          <w:sz w:val="32"/>
          <w:szCs w:val="32"/>
          <w:highlight w:val="none"/>
          <w:lang w:val="en-US" w:eastAsia="zh-CN"/>
        </w:rPr>
        <w:t>48.05</w:t>
      </w:r>
      <w:r>
        <w:rPr>
          <w:rFonts w:hint="eastAsia" w:ascii="仿宋_GB2312" w:hAnsi="仿宋_GB2312" w:eastAsia="仿宋_GB2312" w:cs="仿宋_GB2312"/>
          <w:b w:val="0"/>
          <w:bCs/>
          <w:color w:val="auto"/>
          <w:sz w:val="32"/>
          <w:szCs w:val="32"/>
          <w:highlight w:val="none"/>
        </w:rPr>
        <w:t>%。主要原因</w:t>
      </w:r>
      <w:r>
        <w:rPr>
          <w:rFonts w:hint="eastAsia" w:ascii="仿宋_GB2312" w:hAnsi="仿宋_GB2312" w:eastAsia="仿宋_GB2312" w:cs="仿宋_GB2312"/>
          <w:color w:val="auto"/>
          <w:sz w:val="32"/>
          <w:szCs w:val="32"/>
          <w:highlight w:val="none"/>
          <w:lang w:eastAsia="zh-CN"/>
        </w:rPr>
        <w:t>一是严格控制各市、县区来我区考察学习次数；二是受疫情影响调研、考察次数减少。</w:t>
      </w:r>
    </w:p>
    <w:p>
      <w:pPr>
        <w:keepNext w:val="0"/>
        <w:keepLines w:val="0"/>
        <w:pageBreakBefore w:val="0"/>
        <w:widowControl w:val="0"/>
        <w:kinsoku/>
        <w:wordWrap/>
        <w:overflowPunct/>
        <w:topLinePunct w:val="0"/>
        <w:autoSpaceDE/>
        <w:autoSpaceDN/>
        <w:bidi w:val="0"/>
        <w:adjustRightInd w:val="0"/>
        <w:snapToGrid w:val="0"/>
        <w:spacing w:line="576" w:lineRule="exact"/>
        <w:ind w:firstLine="640"/>
        <w:textAlignment w:val="auto"/>
        <w:rPr>
          <w:rFonts w:hint="default" w:ascii="仿宋_GB2312" w:hAnsi="仿宋_GB2312" w:eastAsia="仿宋_GB2312" w:cs="仿宋_GB2312"/>
          <w:b w:val="0"/>
          <w:bCs/>
          <w:sz w:val="32"/>
          <w:szCs w:val="32"/>
          <w:lang w:val="en-US"/>
        </w:rPr>
      </w:pPr>
      <w:r>
        <w:rPr>
          <w:rFonts w:hint="eastAsia" w:ascii="仿宋_GB2312" w:hAnsi="仿宋_GB2312" w:eastAsia="仿宋_GB2312" w:cs="仿宋_GB2312"/>
          <w:b w:val="0"/>
          <w:bCs/>
          <w:sz w:val="32"/>
          <w:szCs w:val="32"/>
        </w:rPr>
        <w:t>国内公务接待支出</w:t>
      </w:r>
      <w:r>
        <w:rPr>
          <w:rFonts w:hint="eastAsia" w:ascii="仿宋_GB2312" w:hAnsi="仿宋_GB2312" w:eastAsia="仿宋_GB2312" w:cs="仿宋_GB2312"/>
          <w:b w:val="0"/>
          <w:bCs/>
          <w:sz w:val="32"/>
          <w:szCs w:val="32"/>
          <w:lang w:val="en-US" w:eastAsia="zh-CN"/>
        </w:rPr>
        <w:t>0.8</w:t>
      </w:r>
      <w:r>
        <w:rPr>
          <w:rFonts w:hint="eastAsia" w:ascii="仿宋_GB2312" w:hAnsi="仿宋_GB2312" w:eastAsia="仿宋_GB2312" w:cs="仿宋_GB2312"/>
          <w:b w:val="0"/>
          <w:bCs/>
          <w:sz w:val="32"/>
          <w:szCs w:val="32"/>
        </w:rPr>
        <w:t>万元，主要用于</w:t>
      </w:r>
      <w:r>
        <w:rPr>
          <w:rFonts w:hint="eastAsia" w:ascii="仿宋_GB2312" w:hAnsi="仿宋_GB2312" w:eastAsia="仿宋_GB2312" w:cs="仿宋_GB2312"/>
          <w:b w:val="0"/>
          <w:bCs/>
          <w:sz w:val="32"/>
          <w:szCs w:val="32"/>
          <w:lang w:eastAsia="zh-CN"/>
        </w:rPr>
        <w:t>省委编办及市委编办开展业务活动的</w:t>
      </w:r>
      <w:r>
        <w:rPr>
          <w:rFonts w:hint="eastAsia" w:ascii="仿宋_GB2312" w:hAnsi="仿宋_GB2312" w:eastAsia="仿宋_GB2312" w:cs="仿宋_GB2312"/>
          <w:b w:val="0"/>
          <w:bCs/>
          <w:sz w:val="32"/>
          <w:szCs w:val="32"/>
        </w:rPr>
        <w:t>用餐费。国内公务接待</w:t>
      </w: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批次，</w:t>
      </w:r>
      <w:r>
        <w:rPr>
          <w:rFonts w:hint="eastAsia" w:ascii="仿宋_GB2312" w:hAnsi="仿宋_GB2312" w:eastAsia="仿宋_GB2312" w:cs="仿宋_GB2312"/>
          <w:b w:val="0"/>
          <w:bCs/>
          <w:sz w:val="32"/>
          <w:szCs w:val="32"/>
          <w:lang w:val="en-US" w:eastAsia="zh-CN"/>
        </w:rPr>
        <w:t>70余</w:t>
      </w:r>
      <w:r>
        <w:rPr>
          <w:rFonts w:hint="eastAsia" w:ascii="仿宋_GB2312" w:hAnsi="仿宋_GB2312" w:eastAsia="仿宋_GB2312" w:cs="仿宋_GB2312"/>
          <w:b w:val="0"/>
          <w:bCs/>
          <w:sz w:val="32"/>
          <w:szCs w:val="32"/>
        </w:rPr>
        <w:t>人次，共计支出</w:t>
      </w:r>
      <w:r>
        <w:rPr>
          <w:rFonts w:hint="eastAsia" w:ascii="仿宋_GB2312" w:hAnsi="仿宋_GB2312" w:eastAsia="仿宋_GB2312" w:cs="仿宋_GB2312"/>
          <w:b w:val="0"/>
          <w:bCs/>
          <w:sz w:val="32"/>
          <w:szCs w:val="32"/>
          <w:lang w:val="en-US" w:eastAsia="zh-CN"/>
        </w:rPr>
        <w:t>0.8</w:t>
      </w:r>
      <w:r>
        <w:rPr>
          <w:rFonts w:hint="eastAsia" w:ascii="仿宋_GB2312" w:hAnsi="仿宋_GB2312" w:eastAsia="仿宋_GB2312" w:cs="仿宋_GB2312"/>
          <w:b w:val="0"/>
          <w:bCs/>
          <w:sz w:val="32"/>
          <w:szCs w:val="32"/>
        </w:rPr>
        <w:t>万元，具体内容包括：</w:t>
      </w:r>
      <w:r>
        <w:rPr>
          <w:rFonts w:hint="eastAsia" w:ascii="微软雅黑" w:hAnsi="微软雅黑" w:eastAsia="微软雅黑" w:cs="微软雅黑"/>
          <w:b w:val="0"/>
          <w:bCs/>
          <w:sz w:val="32"/>
          <w:szCs w:val="32"/>
          <w:lang w:eastAsia="zh-CN"/>
        </w:rPr>
        <w:t>①</w:t>
      </w:r>
      <w:r>
        <w:rPr>
          <w:rFonts w:hint="eastAsia" w:ascii="仿宋_GB2312" w:hAnsi="仿宋_GB2312" w:eastAsia="仿宋_GB2312" w:cs="仿宋_GB2312"/>
          <w:b w:val="0"/>
          <w:bCs/>
          <w:sz w:val="32"/>
          <w:szCs w:val="32"/>
          <w:lang w:eastAsia="zh-CN"/>
        </w:rPr>
        <w:t>省委编办开展春节走访慰问、城乡党建结对工作、定点帮扶结对工作、参加朝天区生态旅游节暨核桃文化节共</w:t>
      </w:r>
      <w:r>
        <w:rPr>
          <w:rFonts w:hint="eastAsia" w:ascii="仿宋_GB2312" w:hAnsi="仿宋_GB2312" w:eastAsia="仿宋_GB2312" w:cs="仿宋_GB2312"/>
          <w:b w:val="0"/>
          <w:bCs/>
          <w:sz w:val="32"/>
          <w:szCs w:val="32"/>
          <w:lang w:val="en-US" w:eastAsia="zh-CN"/>
        </w:rPr>
        <w:t>4批次49人次5788元，</w:t>
      </w:r>
      <w:r>
        <w:rPr>
          <w:rFonts w:hint="eastAsia" w:ascii="微软雅黑" w:hAnsi="微软雅黑" w:eastAsia="微软雅黑" w:cs="微软雅黑"/>
          <w:b w:val="0"/>
          <w:bCs/>
          <w:sz w:val="32"/>
          <w:szCs w:val="32"/>
          <w:lang w:eastAsia="zh-CN"/>
        </w:rPr>
        <w:t>②</w:t>
      </w:r>
      <w:r>
        <w:rPr>
          <w:rFonts w:hint="eastAsia" w:ascii="仿宋_GB2312" w:hAnsi="仿宋_GB2312" w:eastAsia="仿宋_GB2312" w:cs="仿宋_GB2312"/>
          <w:b w:val="0"/>
          <w:bCs/>
          <w:sz w:val="32"/>
          <w:szCs w:val="32"/>
          <w:lang w:eastAsia="zh-CN"/>
        </w:rPr>
        <w:t>市委编办开展机构编制调研、机构编制工作记录执行情况监督检查共</w:t>
      </w:r>
      <w:r>
        <w:rPr>
          <w:rFonts w:hint="eastAsia" w:ascii="仿宋_GB2312" w:hAnsi="仿宋_GB2312" w:eastAsia="仿宋_GB2312" w:cs="仿宋_GB2312"/>
          <w:b w:val="0"/>
          <w:bCs/>
          <w:sz w:val="32"/>
          <w:szCs w:val="32"/>
          <w:lang w:val="en-US" w:eastAsia="zh-CN"/>
        </w:rPr>
        <w:t>2批次15人1552元，</w:t>
      </w:r>
      <w:r>
        <w:rPr>
          <w:rFonts w:hint="eastAsia" w:ascii="微软雅黑" w:hAnsi="微软雅黑" w:eastAsia="微软雅黑" w:cs="微软雅黑"/>
          <w:b w:val="0"/>
          <w:bCs/>
          <w:sz w:val="32"/>
          <w:szCs w:val="32"/>
          <w:lang w:eastAsia="zh-CN"/>
        </w:rPr>
        <w:t>③</w:t>
      </w:r>
      <w:r>
        <w:rPr>
          <w:rFonts w:hint="eastAsia" w:ascii="仿宋_GB2312" w:hAnsi="仿宋_GB2312" w:eastAsia="仿宋_GB2312" w:cs="仿宋_GB2312"/>
          <w:b w:val="0"/>
          <w:bCs/>
          <w:sz w:val="32"/>
          <w:szCs w:val="32"/>
          <w:lang w:eastAsia="zh-CN"/>
        </w:rPr>
        <w:t>昭化区开展事业单位法人公示信息交叉检查</w:t>
      </w:r>
      <w:r>
        <w:rPr>
          <w:rFonts w:hint="eastAsia" w:ascii="仿宋_GB2312" w:hAnsi="仿宋_GB2312" w:eastAsia="仿宋_GB2312" w:cs="仿宋_GB2312"/>
          <w:b w:val="0"/>
          <w:bCs/>
          <w:sz w:val="32"/>
          <w:szCs w:val="32"/>
          <w:lang w:val="en-US" w:eastAsia="zh-CN"/>
        </w:rPr>
        <w:t>1批次6人660元。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外事接待支出</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万元，外事接待</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批次，</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人，共计支出</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万元</w:t>
      </w:r>
      <w:r>
        <w:rPr>
          <w:rFonts w:hint="eastAsia" w:ascii="仿宋_GB2312" w:hAnsi="仿宋_GB2312" w:eastAsia="仿宋_GB2312" w:cs="仿宋_GB2312"/>
          <w:b w:val="0"/>
          <w:bCs/>
          <w:sz w:val="32"/>
          <w:szCs w:val="32"/>
          <w:lang w:val="en-US" w:eastAsia="zh-CN"/>
        </w:rPr>
        <w:t>。</w:t>
      </w:r>
    </w:p>
    <w:p>
      <w:pPr>
        <w:spacing w:line="600" w:lineRule="exact"/>
        <w:ind w:firstLine="640"/>
        <w:outlineLvl w:val="1"/>
        <w:rPr>
          <w:rStyle w:val="30"/>
          <w:rFonts w:ascii="黑体" w:hAnsi="黑体" w:eastAsia="黑体"/>
          <w:color w:val="auto"/>
          <w:highlight w:val="none"/>
        </w:rPr>
      </w:pPr>
      <w:bookmarkStart w:id="62" w:name="_Toc15396610"/>
      <w:bookmarkStart w:id="63" w:name="_Toc15665"/>
      <w:bookmarkStart w:id="64" w:name="_Toc15377218"/>
      <w:r>
        <w:rPr>
          <w:rFonts w:hint="eastAsia" w:ascii="黑体" w:eastAsia="黑体"/>
          <w:color w:val="auto"/>
          <w:sz w:val="32"/>
          <w:szCs w:val="32"/>
          <w:highlight w:val="none"/>
        </w:rPr>
        <w:t>八、</w:t>
      </w:r>
      <w:r>
        <w:rPr>
          <w:rStyle w:val="30"/>
          <w:rFonts w:hint="eastAsia" w:ascii="黑体" w:hAnsi="黑体" w:eastAsia="黑体"/>
          <w:b w:val="0"/>
          <w:color w:val="auto"/>
          <w:highlight w:val="none"/>
        </w:rPr>
        <w:t>政府性基金预算支出决算情况说明</w:t>
      </w:r>
      <w:bookmarkEnd w:id="62"/>
      <w:bookmarkEnd w:id="63"/>
      <w:bookmarkEnd w:id="64"/>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30"/>
          <w:rFonts w:ascii="黑体" w:hAnsi="黑体" w:eastAsia="黑体"/>
          <w:b w:val="0"/>
          <w:color w:val="auto"/>
          <w:highlight w:val="none"/>
        </w:rPr>
      </w:pPr>
      <w:bookmarkStart w:id="65" w:name="_Toc15396611"/>
      <w:bookmarkStart w:id="66" w:name="_Toc25702"/>
      <w:bookmarkStart w:id="67" w:name="_Toc15377219"/>
      <w:r>
        <w:rPr>
          <w:rStyle w:val="30"/>
          <w:rFonts w:hint="eastAsia" w:ascii="黑体" w:hAnsi="黑体" w:eastAsia="黑体"/>
          <w:b w:val="0"/>
          <w:color w:val="auto"/>
          <w:highlight w:val="none"/>
        </w:rPr>
        <w:t>国有资本经营预算支出决算情况说明</w:t>
      </w:r>
      <w:bookmarkEnd w:id="65"/>
      <w:bookmarkEnd w:id="66"/>
      <w:bookmarkEnd w:id="67"/>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30"/>
          <w:rFonts w:hint="eastAsia" w:ascii="黑体" w:hAnsi="黑体" w:eastAsia="黑体"/>
          <w:b w:val="0"/>
          <w:color w:val="auto"/>
          <w:highlight w:val="none"/>
        </w:rPr>
      </w:pPr>
      <w:bookmarkStart w:id="68" w:name="_Toc20794"/>
      <w:bookmarkStart w:id="69" w:name="_Toc15396612"/>
      <w:bookmarkStart w:id="70" w:name="_Toc15377221"/>
      <w:r>
        <w:rPr>
          <w:rStyle w:val="30"/>
          <w:rFonts w:hint="eastAsia" w:ascii="黑体" w:hAnsi="黑体" w:eastAsia="黑体"/>
          <w:b w:val="0"/>
          <w:color w:val="auto"/>
          <w:highlight w:val="none"/>
        </w:rPr>
        <w:t>其他重要事项的情况说明</w:t>
      </w:r>
      <w:bookmarkEnd w:id="68"/>
      <w:bookmarkEnd w:id="69"/>
      <w:bookmarkEnd w:id="70"/>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71" w:name="_Toc16469"/>
      <w:bookmarkStart w:id="72" w:name="_Toc15377222"/>
      <w:r>
        <w:rPr>
          <w:rFonts w:hint="eastAsia" w:ascii="楷体_GB2312" w:hAnsi="楷体_GB2312" w:eastAsia="楷体_GB2312" w:cs="楷体_GB2312"/>
          <w:b w:val="0"/>
          <w:bCs/>
          <w:color w:val="auto"/>
          <w:sz w:val="32"/>
          <w:szCs w:val="32"/>
          <w:highlight w:val="none"/>
        </w:rPr>
        <w:t>（一）机关运行经费支出情况</w:t>
      </w:r>
      <w:bookmarkEnd w:id="71"/>
      <w:bookmarkEnd w:id="72"/>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区委编办</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21.39</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18.16万元</w:t>
      </w:r>
      <w:r>
        <w:rPr>
          <w:rFonts w:hint="eastAsia" w:ascii="仿宋_GB2312" w:eastAsia="仿宋_GB2312"/>
          <w:color w:val="auto"/>
          <w:sz w:val="32"/>
          <w:szCs w:val="32"/>
          <w:highlight w:val="none"/>
          <w:lang w:eastAsia="zh-CN"/>
        </w:rPr>
        <w:t>）增加</w:t>
      </w:r>
      <w:r>
        <w:rPr>
          <w:rFonts w:hint="eastAsia" w:ascii="仿宋_GB2312" w:eastAsia="仿宋_GB2312"/>
          <w:color w:val="auto"/>
          <w:sz w:val="32"/>
          <w:szCs w:val="32"/>
          <w:highlight w:val="none"/>
          <w:lang w:val="en-US" w:eastAsia="zh-CN"/>
        </w:rPr>
        <w:t>3.23</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增长</w:t>
      </w:r>
      <w:r>
        <w:rPr>
          <w:rFonts w:hint="eastAsia" w:ascii="仿宋_GB2312" w:eastAsia="仿宋_GB2312"/>
          <w:color w:val="auto"/>
          <w:sz w:val="32"/>
          <w:szCs w:val="32"/>
          <w:highlight w:val="none"/>
          <w:lang w:val="en-US" w:eastAsia="zh-CN"/>
        </w:rPr>
        <w:t>17.79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人员增加经费增加。</w:t>
      </w:r>
    </w:p>
    <w:p>
      <w:pPr>
        <w:keepNext w:val="0"/>
        <w:keepLines w:val="0"/>
        <w:pageBreakBefore w:val="0"/>
        <w:kinsoku/>
        <w:wordWrap/>
        <w:overflowPunct/>
        <w:topLinePunct w:val="0"/>
        <w:autoSpaceDE w:val="0"/>
        <w:autoSpaceDN w:val="0"/>
        <w:bidi w:val="0"/>
        <w:adjustRightInd w:val="0"/>
        <w:snapToGrid w:val="0"/>
        <w:spacing w:line="576" w:lineRule="exact"/>
        <w:ind w:firstLine="640" w:firstLineChars="200"/>
        <w:jc w:val="left"/>
        <w:textAlignment w:val="auto"/>
        <w:outlineLvl w:val="2"/>
        <w:rPr>
          <w:rFonts w:hint="eastAsia" w:ascii="楷体_GB2312" w:hAnsi="楷体_GB2312" w:eastAsia="楷体_GB2312" w:cs="楷体_GB2312"/>
          <w:b w:val="0"/>
          <w:bCs/>
          <w:color w:val="auto"/>
          <w:sz w:val="32"/>
          <w:szCs w:val="32"/>
          <w:highlight w:val="none"/>
        </w:rPr>
      </w:pPr>
      <w:bookmarkStart w:id="73" w:name="_Toc15377223"/>
      <w:bookmarkStart w:id="74" w:name="_Toc31595"/>
      <w:r>
        <w:rPr>
          <w:rFonts w:hint="eastAsia" w:ascii="楷体_GB2312" w:hAnsi="楷体_GB2312" w:eastAsia="楷体_GB2312" w:cs="楷体_GB2312"/>
          <w:b w:val="0"/>
          <w:bCs/>
          <w:color w:val="auto"/>
          <w:sz w:val="32"/>
          <w:szCs w:val="32"/>
          <w:highlight w:val="none"/>
        </w:rPr>
        <w:t>（二）政府采购支出情况</w:t>
      </w:r>
      <w:bookmarkEnd w:id="73"/>
      <w:bookmarkEnd w:id="74"/>
    </w:p>
    <w:p>
      <w:pPr>
        <w:keepNext w:val="0"/>
        <w:keepLines w:val="0"/>
        <w:pageBreakBefore w:val="0"/>
        <w:kinsoku/>
        <w:wordWrap/>
        <w:overflowPunct/>
        <w:topLinePunct w:val="0"/>
        <w:bidi w:val="0"/>
        <w:adjustRightInd w:val="0"/>
        <w:snapToGrid w:val="0"/>
        <w:spacing w:line="576"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区委编办</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keepNext w:val="0"/>
        <w:keepLines w:val="0"/>
        <w:pageBreakBefore w:val="0"/>
        <w:kinsoku/>
        <w:wordWrap/>
        <w:overflowPunct/>
        <w:topLinePunct w:val="0"/>
        <w:autoSpaceDE w:val="0"/>
        <w:autoSpaceDN w:val="0"/>
        <w:bidi w:val="0"/>
        <w:adjustRightInd w:val="0"/>
        <w:snapToGrid w:val="0"/>
        <w:spacing w:line="576" w:lineRule="exact"/>
        <w:ind w:firstLine="640" w:firstLineChars="200"/>
        <w:jc w:val="left"/>
        <w:textAlignment w:val="auto"/>
        <w:outlineLvl w:val="2"/>
        <w:rPr>
          <w:rFonts w:hint="eastAsia" w:ascii="楷体_GB2312" w:hAnsi="楷体_GB2312" w:eastAsia="楷体_GB2312" w:cs="楷体_GB2312"/>
          <w:b w:val="0"/>
          <w:bCs/>
          <w:color w:val="auto"/>
          <w:sz w:val="32"/>
          <w:szCs w:val="32"/>
          <w:highlight w:val="none"/>
        </w:rPr>
      </w:pPr>
      <w:bookmarkStart w:id="75" w:name="_Toc30054"/>
      <w:bookmarkStart w:id="76" w:name="_Toc15377224"/>
      <w:r>
        <w:rPr>
          <w:rFonts w:hint="eastAsia" w:ascii="楷体_GB2312" w:hAnsi="楷体_GB2312" w:eastAsia="楷体_GB2312" w:cs="楷体_GB2312"/>
          <w:b w:val="0"/>
          <w:bCs/>
          <w:color w:val="auto"/>
          <w:sz w:val="32"/>
          <w:szCs w:val="32"/>
          <w:highlight w:val="none"/>
        </w:rPr>
        <w:t>（三）国有资产占有使用情况</w:t>
      </w:r>
      <w:bookmarkEnd w:id="75"/>
      <w:bookmarkEnd w:id="76"/>
    </w:p>
    <w:p>
      <w:pPr>
        <w:keepNext w:val="0"/>
        <w:keepLines w:val="0"/>
        <w:pageBreakBefore w:val="0"/>
        <w:kinsoku/>
        <w:wordWrap/>
        <w:overflowPunct/>
        <w:topLinePunct w:val="0"/>
        <w:autoSpaceDE w:val="0"/>
        <w:autoSpaceDN w:val="0"/>
        <w:bidi w:val="0"/>
        <w:adjustRightInd w:val="0"/>
        <w:snapToGrid w:val="0"/>
        <w:spacing w:line="576" w:lineRule="exact"/>
        <w:ind w:firstLine="640" w:firstLineChars="200"/>
        <w:jc w:val="left"/>
        <w:textAlignment w:val="auto"/>
        <w:rPr>
          <w:rFonts w:hint="eastAsia" w:ascii="仿宋_GB2312" w:eastAsia="仿宋_GB2312"/>
          <w:snapToGrid w:val="0"/>
          <w:color w:val="auto"/>
          <w:kern w:val="0"/>
          <w:sz w:val="32"/>
          <w:szCs w:val="32"/>
          <w:highlight w:val="none"/>
        </w:rPr>
      </w:pPr>
      <w:r>
        <w:rPr>
          <w:rFonts w:hint="eastAsia" w:ascii="仿宋_GB2312" w:eastAsia="仿宋_GB2312"/>
          <w:snapToGrid w:val="0"/>
          <w:color w:val="auto"/>
          <w:kern w:val="0"/>
          <w:sz w:val="32"/>
          <w:szCs w:val="32"/>
          <w:highlight w:val="none"/>
        </w:rPr>
        <w:t>截至</w:t>
      </w:r>
      <w:r>
        <w:rPr>
          <w:rFonts w:ascii="仿宋_GB2312" w:eastAsia="仿宋_GB2312"/>
          <w:snapToGrid w:val="0"/>
          <w:color w:val="auto"/>
          <w:kern w:val="0"/>
          <w:sz w:val="32"/>
          <w:szCs w:val="32"/>
          <w:highlight w:val="none"/>
        </w:rPr>
        <w:t>20</w:t>
      </w:r>
      <w:r>
        <w:rPr>
          <w:rFonts w:hint="eastAsia" w:ascii="仿宋_GB2312" w:eastAsia="仿宋_GB2312"/>
          <w:snapToGrid w:val="0"/>
          <w:color w:val="auto"/>
          <w:kern w:val="0"/>
          <w:sz w:val="32"/>
          <w:szCs w:val="32"/>
          <w:highlight w:val="none"/>
          <w:lang w:val="en-US" w:eastAsia="zh-CN"/>
        </w:rPr>
        <w:t>22</w:t>
      </w:r>
      <w:r>
        <w:rPr>
          <w:rFonts w:hint="eastAsia" w:ascii="仿宋_GB2312" w:eastAsia="仿宋_GB2312"/>
          <w:snapToGrid w:val="0"/>
          <w:color w:val="auto"/>
          <w:kern w:val="0"/>
          <w:sz w:val="32"/>
          <w:szCs w:val="32"/>
          <w:highlight w:val="none"/>
        </w:rPr>
        <w:t>年</w:t>
      </w:r>
      <w:r>
        <w:rPr>
          <w:rFonts w:ascii="仿宋_GB2312" w:eastAsia="仿宋_GB2312"/>
          <w:snapToGrid w:val="0"/>
          <w:color w:val="auto"/>
          <w:kern w:val="0"/>
          <w:sz w:val="32"/>
          <w:szCs w:val="32"/>
          <w:highlight w:val="none"/>
        </w:rPr>
        <w:t>12</w:t>
      </w:r>
      <w:r>
        <w:rPr>
          <w:rFonts w:hint="eastAsia" w:ascii="仿宋_GB2312" w:eastAsia="仿宋_GB2312"/>
          <w:snapToGrid w:val="0"/>
          <w:color w:val="auto"/>
          <w:kern w:val="0"/>
          <w:sz w:val="32"/>
          <w:szCs w:val="32"/>
          <w:highlight w:val="none"/>
        </w:rPr>
        <w:t>月</w:t>
      </w:r>
      <w:r>
        <w:rPr>
          <w:rFonts w:ascii="仿宋_GB2312" w:eastAsia="仿宋_GB2312"/>
          <w:snapToGrid w:val="0"/>
          <w:color w:val="auto"/>
          <w:kern w:val="0"/>
          <w:sz w:val="32"/>
          <w:szCs w:val="32"/>
          <w:highlight w:val="none"/>
        </w:rPr>
        <w:t>31</w:t>
      </w:r>
      <w:r>
        <w:rPr>
          <w:rFonts w:hint="eastAsia" w:ascii="仿宋_GB2312" w:eastAsia="仿宋_GB2312"/>
          <w:snapToGrid w:val="0"/>
          <w:color w:val="auto"/>
          <w:kern w:val="0"/>
          <w:sz w:val="32"/>
          <w:szCs w:val="32"/>
          <w:highlight w:val="none"/>
        </w:rPr>
        <w:t>日，</w:t>
      </w:r>
      <w:r>
        <w:rPr>
          <w:rFonts w:hint="eastAsia" w:ascii="仿宋_GB2312" w:eastAsia="仿宋_GB2312"/>
          <w:snapToGrid w:val="0"/>
          <w:color w:val="auto"/>
          <w:kern w:val="0"/>
          <w:sz w:val="32"/>
          <w:szCs w:val="32"/>
          <w:highlight w:val="none"/>
          <w:lang w:eastAsia="zh-CN"/>
        </w:rPr>
        <w:t>区委编办</w:t>
      </w:r>
      <w:r>
        <w:rPr>
          <w:rFonts w:hint="eastAsia" w:ascii="仿宋_GB2312" w:eastAsia="仿宋_GB2312"/>
          <w:snapToGrid w:val="0"/>
          <w:color w:val="auto"/>
          <w:kern w:val="0"/>
          <w:sz w:val="32"/>
          <w:szCs w:val="32"/>
          <w:highlight w:val="none"/>
        </w:rPr>
        <w:t>共有车辆</w:t>
      </w:r>
      <w:r>
        <w:rPr>
          <w:rFonts w:hint="eastAsia" w:ascii="仿宋_GB2312" w:eastAsia="仿宋_GB2312"/>
          <w:snapToGrid w:val="0"/>
          <w:color w:val="auto"/>
          <w:kern w:val="0"/>
          <w:sz w:val="32"/>
          <w:szCs w:val="32"/>
          <w:highlight w:val="none"/>
          <w:lang w:val="en-US" w:eastAsia="zh-CN"/>
        </w:rPr>
        <w:t>0</w:t>
      </w:r>
      <w:r>
        <w:rPr>
          <w:rFonts w:hint="eastAsia" w:ascii="仿宋_GB2312" w:eastAsia="仿宋_GB2312"/>
          <w:snapToGrid w:val="0"/>
          <w:color w:val="auto"/>
          <w:kern w:val="0"/>
          <w:sz w:val="32"/>
          <w:szCs w:val="32"/>
          <w:highlight w:val="none"/>
        </w:rPr>
        <w:t>辆，其中：主要领导干部用车</w:t>
      </w:r>
      <w:r>
        <w:rPr>
          <w:rFonts w:hint="eastAsia" w:ascii="仿宋_GB2312" w:eastAsia="仿宋_GB2312"/>
          <w:snapToGrid w:val="0"/>
          <w:color w:val="auto"/>
          <w:kern w:val="0"/>
          <w:sz w:val="32"/>
          <w:szCs w:val="32"/>
          <w:highlight w:val="none"/>
          <w:lang w:val="en-US" w:eastAsia="zh-CN"/>
        </w:rPr>
        <w:t>0</w:t>
      </w:r>
      <w:r>
        <w:rPr>
          <w:rFonts w:hint="eastAsia" w:ascii="仿宋_GB2312" w:eastAsia="仿宋_GB2312"/>
          <w:snapToGrid w:val="0"/>
          <w:color w:val="auto"/>
          <w:kern w:val="0"/>
          <w:sz w:val="32"/>
          <w:szCs w:val="32"/>
          <w:highlight w:val="none"/>
        </w:rPr>
        <w:t>辆、机要通信用车</w:t>
      </w:r>
      <w:r>
        <w:rPr>
          <w:rFonts w:hint="eastAsia" w:ascii="仿宋_GB2312" w:eastAsia="仿宋_GB2312"/>
          <w:snapToGrid w:val="0"/>
          <w:color w:val="auto"/>
          <w:kern w:val="0"/>
          <w:sz w:val="32"/>
          <w:szCs w:val="32"/>
          <w:highlight w:val="none"/>
          <w:lang w:val="en-US" w:eastAsia="zh-CN"/>
        </w:rPr>
        <w:t>0</w:t>
      </w:r>
      <w:r>
        <w:rPr>
          <w:rFonts w:hint="eastAsia" w:ascii="仿宋_GB2312" w:eastAsia="仿宋_GB2312"/>
          <w:snapToGrid w:val="0"/>
          <w:color w:val="auto"/>
          <w:kern w:val="0"/>
          <w:sz w:val="32"/>
          <w:szCs w:val="32"/>
          <w:highlight w:val="none"/>
        </w:rPr>
        <w:t>辆、应急保障用车</w:t>
      </w:r>
      <w:r>
        <w:rPr>
          <w:rFonts w:hint="eastAsia" w:ascii="仿宋_GB2312" w:eastAsia="仿宋_GB2312"/>
          <w:snapToGrid w:val="0"/>
          <w:color w:val="auto"/>
          <w:kern w:val="0"/>
          <w:sz w:val="32"/>
          <w:szCs w:val="32"/>
          <w:highlight w:val="none"/>
          <w:lang w:val="en-US" w:eastAsia="zh-CN"/>
        </w:rPr>
        <w:t>0</w:t>
      </w:r>
      <w:r>
        <w:rPr>
          <w:rFonts w:hint="eastAsia" w:ascii="仿宋_GB2312" w:eastAsia="仿宋_GB2312"/>
          <w:snapToGrid w:val="0"/>
          <w:color w:val="auto"/>
          <w:kern w:val="0"/>
          <w:sz w:val="32"/>
          <w:szCs w:val="32"/>
          <w:highlight w:val="none"/>
        </w:rPr>
        <w:t>辆、其他用车</w:t>
      </w:r>
      <w:r>
        <w:rPr>
          <w:rFonts w:hint="eastAsia" w:ascii="仿宋_GB2312" w:eastAsia="仿宋_GB2312"/>
          <w:snapToGrid w:val="0"/>
          <w:color w:val="auto"/>
          <w:kern w:val="0"/>
          <w:sz w:val="32"/>
          <w:szCs w:val="32"/>
          <w:highlight w:val="none"/>
          <w:lang w:val="en-US" w:eastAsia="zh-CN"/>
        </w:rPr>
        <w:t>0</w:t>
      </w:r>
      <w:r>
        <w:rPr>
          <w:rFonts w:hint="eastAsia" w:ascii="仿宋_GB2312" w:eastAsia="仿宋_GB2312"/>
          <w:snapToGrid w:val="0"/>
          <w:color w:val="auto"/>
          <w:kern w:val="0"/>
          <w:sz w:val="32"/>
          <w:szCs w:val="32"/>
          <w:highlight w:val="none"/>
        </w:rPr>
        <w:t>辆</w:t>
      </w:r>
      <w:r>
        <w:rPr>
          <w:rFonts w:hint="eastAsia" w:ascii="仿宋_GB2312" w:eastAsia="仿宋_GB2312"/>
          <w:snapToGrid w:val="0"/>
          <w:color w:val="auto"/>
          <w:kern w:val="0"/>
          <w:sz w:val="32"/>
          <w:szCs w:val="32"/>
          <w:highlight w:val="none"/>
          <w:lang w:val="en-US" w:eastAsia="zh-CN"/>
        </w:rPr>
        <w:t>0</w:t>
      </w:r>
      <w:r>
        <w:rPr>
          <w:rFonts w:hint="eastAsia" w:ascii="仿宋_GB2312" w:eastAsia="仿宋_GB2312"/>
          <w:snapToGrid w:val="0"/>
          <w:color w:val="auto"/>
          <w:kern w:val="0"/>
          <w:sz w:val="32"/>
          <w:szCs w:val="32"/>
          <w:highlight w:val="none"/>
          <w:lang w:eastAsia="zh-CN"/>
        </w:rPr>
        <w:t>。</w:t>
      </w:r>
      <w:r>
        <w:rPr>
          <w:rFonts w:hint="eastAsia" w:ascii="仿宋_GB2312" w:eastAsia="仿宋_GB2312"/>
          <w:snapToGrid w:val="0"/>
          <w:color w:val="auto"/>
          <w:kern w:val="0"/>
          <w:sz w:val="32"/>
          <w:szCs w:val="32"/>
          <w:highlight w:val="none"/>
        </w:rPr>
        <w:t>单价</w:t>
      </w:r>
      <w:r>
        <w:rPr>
          <w:rFonts w:ascii="仿宋_GB2312" w:eastAsia="仿宋_GB2312"/>
          <w:snapToGrid w:val="0"/>
          <w:color w:val="auto"/>
          <w:kern w:val="0"/>
          <w:sz w:val="32"/>
          <w:szCs w:val="32"/>
          <w:highlight w:val="none"/>
        </w:rPr>
        <w:t>100</w:t>
      </w:r>
      <w:r>
        <w:rPr>
          <w:rFonts w:hint="eastAsia" w:ascii="仿宋_GB2312" w:eastAsia="仿宋_GB2312"/>
          <w:snapToGrid w:val="0"/>
          <w:color w:val="auto"/>
          <w:kern w:val="0"/>
          <w:sz w:val="32"/>
          <w:szCs w:val="32"/>
          <w:highlight w:val="none"/>
        </w:rPr>
        <w:t>万元以上专用设备</w:t>
      </w:r>
      <w:r>
        <w:rPr>
          <w:rFonts w:hint="eastAsia" w:ascii="仿宋_GB2312" w:eastAsia="仿宋_GB2312"/>
          <w:snapToGrid w:val="0"/>
          <w:color w:val="auto"/>
          <w:kern w:val="0"/>
          <w:sz w:val="32"/>
          <w:szCs w:val="32"/>
          <w:highlight w:val="none"/>
          <w:lang w:val="en-US" w:eastAsia="zh-CN"/>
        </w:rPr>
        <w:t>0</w:t>
      </w:r>
      <w:r>
        <w:rPr>
          <w:rFonts w:hint="eastAsia" w:ascii="仿宋_GB2312" w:eastAsia="仿宋_GB2312"/>
          <w:snapToGrid w:val="0"/>
          <w:color w:val="auto"/>
          <w:kern w:val="0"/>
          <w:sz w:val="32"/>
          <w:szCs w:val="32"/>
          <w:highlight w:val="none"/>
        </w:rPr>
        <w:t>台（套）。</w:t>
      </w:r>
    </w:p>
    <w:p>
      <w:pPr>
        <w:keepNext w:val="0"/>
        <w:keepLines w:val="0"/>
        <w:pageBreakBefore w:val="0"/>
        <w:kinsoku/>
        <w:wordWrap/>
        <w:overflowPunct/>
        <w:topLinePunct w:val="0"/>
        <w:autoSpaceDE w:val="0"/>
        <w:autoSpaceDN w:val="0"/>
        <w:bidi w:val="0"/>
        <w:adjustRightInd w:val="0"/>
        <w:snapToGrid w:val="0"/>
        <w:spacing w:line="576" w:lineRule="exact"/>
        <w:ind w:firstLine="640" w:firstLineChars="200"/>
        <w:jc w:val="left"/>
        <w:textAlignment w:val="auto"/>
        <w:outlineLvl w:val="2"/>
        <w:rPr>
          <w:rFonts w:hint="eastAsia" w:ascii="楷体_GB2312" w:hAnsi="楷体_GB2312" w:eastAsia="楷体_GB2312" w:cs="楷体_GB2312"/>
          <w:b w:val="0"/>
          <w:bCs/>
          <w:color w:val="auto"/>
          <w:sz w:val="32"/>
          <w:szCs w:val="32"/>
          <w:highlight w:val="none"/>
        </w:rPr>
      </w:pPr>
      <w:bookmarkStart w:id="77" w:name="_Toc30830"/>
      <w:r>
        <w:rPr>
          <w:rFonts w:hint="eastAsia" w:ascii="楷体_GB2312" w:hAnsi="楷体_GB2312" w:eastAsia="楷体_GB2312" w:cs="楷体_GB2312"/>
          <w:b w:val="0"/>
          <w:bCs/>
          <w:color w:val="auto"/>
          <w:sz w:val="32"/>
          <w:szCs w:val="32"/>
          <w:highlight w:val="none"/>
        </w:rPr>
        <w:t>（四）预算绩效管理情况</w:t>
      </w:r>
      <w:bookmarkEnd w:id="77"/>
    </w:p>
    <w:p>
      <w:pPr>
        <w:keepNext w:val="0"/>
        <w:keepLines w:val="0"/>
        <w:pageBreakBefore w:val="0"/>
        <w:widowControl/>
        <w:kinsoku/>
        <w:wordWrap/>
        <w:overflowPunct/>
        <w:topLinePunct w:val="0"/>
        <w:bidi w:val="0"/>
        <w:adjustRightInd w:val="0"/>
        <w:snapToGrid w:val="0"/>
        <w:spacing w:line="576" w:lineRule="exact"/>
        <w:ind w:firstLine="640" w:firstLineChars="200"/>
        <w:jc w:val="left"/>
        <w:textAlignment w:val="auto"/>
        <w:rPr>
          <w:rFonts w:hint="eastAsia"/>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snapToGrid w:val="0"/>
          <w:spacing w:val="0"/>
          <w:kern w:val="0"/>
          <w:sz w:val="32"/>
          <w:szCs w:val="32"/>
          <w:lang w:val="en-US" w:eastAsia="zh-CN"/>
        </w:rPr>
        <w:t>中英文注册域名运行维护费</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napToGrid w:val="0"/>
          <w:spacing w:val="0"/>
          <w:kern w:val="0"/>
          <w:sz w:val="32"/>
          <w:szCs w:val="32"/>
          <w:lang w:val="en-US" w:eastAsia="zh-CN"/>
        </w:rPr>
        <w:t>统一社会信用代码赋码颁证项目</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个项目开展绩效监控。</w:t>
      </w:r>
    </w:p>
    <w:p>
      <w:pPr>
        <w:keepNext w:val="0"/>
        <w:keepLines w:val="0"/>
        <w:pageBreakBefore w:val="0"/>
        <w:kinsoku/>
        <w:wordWrap/>
        <w:overflowPunct/>
        <w:topLinePunct w:val="0"/>
        <w:autoSpaceDN/>
        <w:bidi w:val="0"/>
        <w:adjustRightInd w:val="0"/>
        <w:snapToGrid w:val="0"/>
        <w:spacing w:line="576" w:lineRule="exact"/>
        <w:ind w:firstLine="72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color w:val="auto"/>
          <w:sz w:val="32"/>
          <w:szCs w:val="32"/>
          <w:highlight w:val="none"/>
        </w:rPr>
        <w:t>资金等全面开展绩效自评，形成</w:t>
      </w:r>
      <w:r>
        <w:rPr>
          <w:rFonts w:hint="eastAsia" w:ascii="仿宋_GB2312" w:hAnsi="仿宋_GB2312" w:eastAsia="仿宋_GB2312" w:cs="仿宋_GB2312"/>
          <w:color w:val="auto"/>
          <w:sz w:val="32"/>
          <w:szCs w:val="32"/>
          <w:highlight w:val="none"/>
          <w:lang w:eastAsia="zh-CN"/>
        </w:rPr>
        <w:t>中共广元市朝天区委机构编制委员会办公室</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eastAsia="仿宋_GB2312" w:cs="仿宋_GB2312"/>
          <w:snapToGrid w:val="0"/>
          <w:spacing w:val="0"/>
          <w:kern w:val="0"/>
          <w:sz w:val="32"/>
          <w:szCs w:val="32"/>
          <w:lang w:val="en-US" w:eastAsia="zh-CN"/>
        </w:rPr>
        <w:t>中英文注册域名运行维护费</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napToGrid w:val="0"/>
          <w:spacing w:val="0"/>
          <w:kern w:val="0"/>
          <w:sz w:val="32"/>
          <w:szCs w:val="32"/>
          <w:lang w:val="en-US" w:eastAsia="zh-CN"/>
        </w:rPr>
        <w:t>统一社会信用代码赋码颁证项目</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2个</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预算项目绩效自评报告，其中，</w:t>
      </w:r>
      <w:r>
        <w:rPr>
          <w:rFonts w:hint="eastAsia" w:ascii="仿宋_GB2312" w:hAnsi="仿宋_GB2312" w:eastAsia="仿宋_GB2312" w:cs="仿宋_GB2312"/>
          <w:color w:val="auto"/>
          <w:sz w:val="32"/>
          <w:szCs w:val="32"/>
          <w:highlight w:val="none"/>
          <w:lang w:eastAsia="zh-CN"/>
        </w:rPr>
        <w:t>中共广元市朝天区委机构编制委员会办公室</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highlight w:val="none"/>
          <w:lang w:eastAsia="zh-CN"/>
        </w:rPr>
        <w:t>从总体上看，</w:t>
      </w:r>
      <w:r>
        <w:rPr>
          <w:rFonts w:hint="eastAsia" w:ascii="仿宋_GB2312" w:hAnsi="仿宋_GB2312" w:eastAsia="仿宋_GB2312" w:cs="仿宋_GB2312"/>
          <w:sz w:val="32"/>
          <w:szCs w:val="32"/>
        </w:rPr>
        <w:t>根据预算绩效管理工作要求及安排，我单位对202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部门整体支出</w:t>
      </w:r>
      <w:r>
        <w:rPr>
          <w:rFonts w:hint="eastAsia" w:ascii="仿宋_GB2312" w:hAnsi="仿宋_GB2312" w:eastAsia="仿宋_GB2312" w:cs="仿宋_GB2312"/>
          <w:sz w:val="32"/>
          <w:szCs w:val="32"/>
        </w:rPr>
        <w:t>绩效管理工作进行了自评考核，基础自评得分9</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分，加分项得分0分，共计9</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napToGrid w:val="0"/>
          <w:spacing w:val="0"/>
          <w:kern w:val="0"/>
          <w:sz w:val="32"/>
          <w:szCs w:val="32"/>
          <w:lang w:val="en-US" w:eastAsia="zh-CN"/>
        </w:rPr>
        <w:t>中英文注册域名运行维护费部门</w:t>
      </w:r>
      <w:r>
        <w:rPr>
          <w:rFonts w:hint="eastAsia" w:ascii="仿宋_GB2312" w:hAnsi="仿宋_GB2312" w:eastAsia="仿宋_GB2312" w:cs="仿宋_GB2312"/>
          <w:color w:val="auto"/>
          <w:sz w:val="32"/>
          <w:szCs w:val="32"/>
          <w:highlight w:val="none"/>
        </w:rPr>
        <w:t>预算项目绩效自评得分为</w:t>
      </w:r>
      <w:r>
        <w:rPr>
          <w:rFonts w:hint="eastAsia" w:ascii="仿宋_GB2312" w:hAnsi="仿宋_GB2312" w:eastAsia="仿宋_GB2312" w:cs="仿宋_GB2312"/>
          <w:color w:val="auto"/>
          <w:sz w:val="32"/>
          <w:szCs w:val="32"/>
          <w:highlight w:val="none"/>
          <w:lang w:val="en-US" w:eastAsia="zh-CN"/>
        </w:rPr>
        <w:t>97</w:t>
      </w:r>
      <w:r>
        <w:rPr>
          <w:rFonts w:hint="eastAsia" w:ascii="仿宋_GB2312" w:hAnsi="仿宋_GB2312" w:eastAsia="仿宋_GB2312" w:cs="仿宋_GB2312"/>
          <w:color w:val="auto"/>
          <w:sz w:val="32"/>
          <w:szCs w:val="32"/>
          <w:highlight w:val="none"/>
        </w:rPr>
        <w:t>分，绩效自评综述：</w:t>
      </w:r>
      <w:r>
        <w:rPr>
          <w:rFonts w:hint="eastAsia" w:ascii="仿宋_GB2312" w:hAnsi="宋体" w:eastAsia="仿宋_GB2312" w:cs="Times New Roman"/>
          <w:w w:val="99"/>
          <w:sz w:val="32"/>
          <w:szCs w:val="32"/>
          <w:lang w:val="zh-CN" w:eastAsia="zh-CN"/>
        </w:rPr>
        <w:t>全区机关事业单位对中文域名项目注册管理工作满意度较高，满意率达</w:t>
      </w:r>
      <w:r>
        <w:rPr>
          <w:rFonts w:hint="eastAsia" w:ascii="仿宋_GB2312" w:hAnsi="宋体" w:eastAsia="仿宋_GB2312" w:cs="Times New Roman"/>
          <w:w w:val="99"/>
          <w:sz w:val="32"/>
          <w:szCs w:val="32"/>
          <w:lang w:val="en-US" w:eastAsia="zh-CN"/>
        </w:rPr>
        <w:t>90%以上，自评优。</w:t>
      </w:r>
      <w:r>
        <w:rPr>
          <w:rFonts w:hint="eastAsia" w:ascii="仿宋_GB2312" w:hAnsi="仿宋_GB2312" w:eastAsia="仿宋_GB2312" w:cs="仿宋_GB2312"/>
          <w:snapToGrid w:val="0"/>
          <w:spacing w:val="0"/>
          <w:kern w:val="0"/>
          <w:sz w:val="32"/>
          <w:szCs w:val="32"/>
          <w:lang w:val="en-US" w:eastAsia="zh-CN"/>
        </w:rPr>
        <w:t>统一社会信用代码赋码颁证部门</w:t>
      </w:r>
      <w:r>
        <w:rPr>
          <w:rFonts w:hint="eastAsia" w:ascii="仿宋_GB2312" w:hAnsi="仿宋_GB2312" w:eastAsia="仿宋_GB2312" w:cs="仿宋_GB2312"/>
          <w:color w:val="auto"/>
          <w:sz w:val="32"/>
          <w:szCs w:val="32"/>
          <w:highlight w:val="none"/>
        </w:rPr>
        <w:t>预算项目绩效自评得分为</w:t>
      </w:r>
      <w:r>
        <w:rPr>
          <w:rFonts w:hint="eastAsia" w:ascii="仿宋_GB2312" w:hAnsi="仿宋_GB2312" w:eastAsia="仿宋_GB2312" w:cs="仿宋_GB2312"/>
          <w:color w:val="auto"/>
          <w:sz w:val="32"/>
          <w:szCs w:val="32"/>
          <w:highlight w:val="none"/>
          <w:lang w:val="en-US" w:eastAsia="zh-CN"/>
        </w:rPr>
        <w:t>97</w:t>
      </w:r>
      <w:r>
        <w:rPr>
          <w:rFonts w:hint="eastAsia" w:ascii="仿宋_GB2312" w:hAnsi="仿宋_GB2312" w:eastAsia="仿宋_GB2312" w:cs="仿宋_GB2312"/>
          <w:color w:val="auto"/>
          <w:sz w:val="32"/>
          <w:szCs w:val="32"/>
          <w:highlight w:val="none"/>
        </w:rPr>
        <w:t>分，绩效自评综述：</w:t>
      </w:r>
      <w:r>
        <w:rPr>
          <w:rFonts w:hint="eastAsia" w:ascii="仿宋_GB2312" w:hAnsi="宋体" w:eastAsia="仿宋_GB2312" w:cs="Times New Roman"/>
          <w:w w:val="99"/>
          <w:sz w:val="32"/>
          <w:szCs w:val="32"/>
          <w:lang w:val="zh-CN" w:eastAsia="zh-CN"/>
        </w:rPr>
        <w:t>全区机关事业单位对社会统一信息代码赋码颁证管理工作满意度较高，满意率达</w:t>
      </w:r>
      <w:r>
        <w:rPr>
          <w:rFonts w:hint="eastAsia" w:ascii="仿宋_GB2312" w:hAnsi="宋体" w:eastAsia="仿宋_GB2312" w:cs="Times New Roman"/>
          <w:w w:val="99"/>
          <w:sz w:val="32"/>
          <w:szCs w:val="32"/>
          <w:lang w:val="en-US" w:eastAsia="zh-CN"/>
        </w:rPr>
        <w:t>90%以上，自评优。</w:t>
      </w:r>
      <w:r>
        <w:rPr>
          <w:rFonts w:hint="eastAsia" w:ascii="仿宋_GB2312" w:hAnsi="仿宋_GB2312" w:eastAsia="仿宋_GB2312" w:cs="仿宋_GB2312"/>
          <w:color w:val="auto"/>
          <w:sz w:val="32"/>
          <w:szCs w:val="32"/>
          <w:highlight w:val="none"/>
        </w:rPr>
        <w:t>绩效自评报告详见附件。</w:t>
      </w:r>
    </w:p>
    <w:p>
      <w:pPr>
        <w:widowControl/>
        <w:ind w:firstLine="642" w:firstLineChars="200"/>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9"/>
          <w:rFonts w:ascii="黑体" w:hAnsi="黑体" w:eastAsia="黑体"/>
          <w:b w:val="0"/>
          <w:color w:val="auto"/>
          <w:highlight w:val="none"/>
        </w:rPr>
      </w:pPr>
      <w:bookmarkStart w:id="78" w:name="_Toc15377225"/>
      <w:bookmarkStart w:id="79" w:name="_Toc15396613"/>
      <w:bookmarkStart w:id="80" w:name="_Toc1115"/>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78"/>
      <w:bookmarkEnd w:id="79"/>
      <w:bookmarkEnd w:id="80"/>
    </w:p>
    <w:p>
      <w:pPr>
        <w:spacing w:line="600" w:lineRule="exact"/>
        <w:jc w:val="left"/>
        <w:rPr>
          <w:rFonts w:ascii="宋体"/>
          <w:b/>
          <w:color w:val="auto"/>
          <w:sz w:val="44"/>
          <w:szCs w:val="44"/>
          <w:highlight w:val="none"/>
        </w:rPr>
      </w:pP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7"/>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7"/>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hint="eastAsia" w:ascii="仿宋_GB2312" w:hAnsi="仿宋_GB2312" w:eastAsia="仿宋_GB2312" w:cs="仿宋_GB2312"/>
          <w:b w:val="0"/>
          <w:bCs/>
          <w:color w:val="000000"/>
          <w:sz w:val="32"/>
          <w:szCs w:val="32"/>
          <w:lang w:eastAsia="zh-CN"/>
        </w:rPr>
      </w:pPr>
      <w:r>
        <w:rPr>
          <w:rStyle w:val="18"/>
          <w:rFonts w:hint="eastAsia" w:ascii="仿宋_GB2312" w:hAnsi="仿宋_GB2312" w:eastAsia="仿宋_GB2312" w:cs="仿宋_GB2312"/>
          <w:b w:val="0"/>
          <w:bCs/>
          <w:color w:val="000000"/>
          <w:sz w:val="32"/>
          <w:szCs w:val="32"/>
          <w:lang w:val="en-US" w:eastAsia="zh-CN"/>
        </w:rPr>
        <w:t>9</w:t>
      </w:r>
      <w:r>
        <w:rPr>
          <w:rStyle w:val="18"/>
          <w:rFonts w:hint="eastAsia" w:ascii="仿宋_GB2312" w:hAnsi="仿宋_GB2312" w:eastAsia="仿宋_GB2312" w:cs="仿宋_GB2312"/>
          <w:b w:val="0"/>
          <w:bCs/>
          <w:color w:val="000000"/>
          <w:sz w:val="32"/>
          <w:szCs w:val="32"/>
        </w:rPr>
        <w:t>.</w:t>
      </w:r>
      <w:r>
        <w:rPr>
          <w:rStyle w:val="18"/>
          <w:rFonts w:hint="eastAsia" w:ascii="仿宋_GB2312" w:hAnsi="仿宋_GB2312" w:eastAsia="仿宋_GB2312" w:cs="仿宋_GB2312"/>
          <w:b w:val="0"/>
          <w:bCs/>
          <w:color w:val="auto"/>
          <w:sz w:val="32"/>
          <w:szCs w:val="32"/>
          <w:highlight w:val="none"/>
        </w:rPr>
        <w:t>一般公共服务</w:t>
      </w:r>
      <w:r>
        <w:rPr>
          <w:rStyle w:val="18"/>
          <w:rFonts w:hint="eastAsia" w:ascii="仿宋_GB2312" w:hAnsi="仿宋_GB2312" w:eastAsia="仿宋_GB2312" w:cs="仿宋_GB2312"/>
          <w:b w:val="0"/>
          <w:bCs/>
          <w:color w:val="auto"/>
          <w:sz w:val="32"/>
          <w:szCs w:val="32"/>
          <w:highlight w:val="none"/>
          <w:lang w:val="en-US" w:eastAsia="zh-CN"/>
        </w:rPr>
        <w:t>支出</w:t>
      </w:r>
      <w:r>
        <w:rPr>
          <w:rStyle w:val="18"/>
          <w:rFonts w:hint="eastAsia" w:ascii="仿宋_GB2312" w:hAnsi="仿宋_GB2312" w:eastAsia="仿宋_GB2312" w:cs="仿宋_GB2312"/>
          <w:b w:val="0"/>
          <w:bCs/>
          <w:color w:val="auto"/>
          <w:sz w:val="32"/>
          <w:szCs w:val="32"/>
          <w:highlight w:val="none"/>
        </w:rPr>
        <w:t>（类）</w:t>
      </w:r>
      <w:r>
        <w:rPr>
          <w:rStyle w:val="18"/>
          <w:rFonts w:hint="eastAsia" w:ascii="仿宋_GB2312" w:hAnsi="仿宋_GB2312" w:eastAsia="仿宋_GB2312" w:cs="仿宋_GB2312"/>
          <w:b w:val="0"/>
          <w:bCs/>
          <w:color w:val="auto"/>
          <w:sz w:val="32"/>
          <w:szCs w:val="32"/>
          <w:highlight w:val="none"/>
          <w:lang w:val="en-US" w:eastAsia="zh-CN"/>
        </w:rPr>
        <w:t>党委办公厅（室）及相关机构事务</w:t>
      </w:r>
      <w:r>
        <w:rPr>
          <w:rStyle w:val="18"/>
          <w:rFonts w:hint="eastAsia" w:ascii="仿宋_GB2312" w:hAnsi="仿宋_GB2312" w:eastAsia="仿宋_GB2312" w:cs="仿宋_GB2312"/>
          <w:b w:val="0"/>
          <w:bCs/>
          <w:color w:val="auto"/>
          <w:sz w:val="32"/>
          <w:szCs w:val="32"/>
          <w:highlight w:val="none"/>
        </w:rPr>
        <w:t>（款）</w:t>
      </w:r>
      <w:r>
        <w:rPr>
          <w:rStyle w:val="18"/>
          <w:rFonts w:hint="eastAsia" w:ascii="仿宋_GB2312" w:hAnsi="仿宋_GB2312" w:eastAsia="仿宋_GB2312" w:cs="仿宋_GB2312"/>
          <w:b w:val="0"/>
          <w:bCs/>
          <w:color w:val="auto"/>
          <w:sz w:val="32"/>
          <w:szCs w:val="32"/>
          <w:highlight w:val="none"/>
          <w:lang w:val="en-US" w:eastAsia="zh-CN"/>
        </w:rPr>
        <w:t>行政运行</w:t>
      </w:r>
      <w:r>
        <w:rPr>
          <w:rStyle w:val="18"/>
          <w:rFonts w:hint="eastAsia" w:ascii="仿宋_GB2312" w:hAnsi="仿宋_GB2312" w:eastAsia="仿宋_GB2312" w:cs="仿宋_GB2312"/>
          <w:b w:val="0"/>
          <w:bCs/>
          <w:color w:val="auto"/>
          <w:sz w:val="32"/>
          <w:szCs w:val="32"/>
          <w:highlight w:val="none"/>
        </w:rPr>
        <w:t>（项）</w:t>
      </w:r>
      <w:r>
        <w:rPr>
          <w:rStyle w:val="18"/>
          <w:rFonts w:hint="eastAsia" w:ascii="仿宋_GB2312" w:hAnsi="仿宋_GB2312" w:eastAsia="仿宋_GB2312" w:cs="仿宋_GB2312"/>
          <w:b w:val="0"/>
          <w:bCs/>
          <w:color w:val="000000"/>
          <w:sz w:val="32"/>
          <w:szCs w:val="32"/>
        </w:rPr>
        <w:t>:</w:t>
      </w:r>
      <w:r>
        <w:rPr>
          <w:rStyle w:val="18"/>
          <w:rFonts w:hint="eastAsia" w:ascii="仿宋_GB2312" w:hAnsi="仿宋_GB2312" w:eastAsia="仿宋_GB2312" w:cs="仿宋_GB2312"/>
          <w:b w:val="0"/>
          <w:bCs/>
          <w:color w:val="000000"/>
          <w:sz w:val="32"/>
          <w:szCs w:val="32"/>
          <w:lang w:eastAsia="zh-CN"/>
        </w:rPr>
        <w:t>指一般公共支出行政运行。</w:t>
      </w:r>
    </w:p>
    <w:p>
      <w:pPr>
        <w:ind w:firstLine="640" w:firstLineChars="200"/>
        <w:rPr>
          <w:rStyle w:val="18"/>
          <w:rFonts w:hint="eastAsia" w:ascii="仿宋_GB2312" w:hAnsi="仿宋_GB2312" w:eastAsia="仿宋_GB2312" w:cs="仿宋_GB2312"/>
          <w:b w:val="0"/>
          <w:bCs/>
          <w:color w:val="000000"/>
          <w:sz w:val="32"/>
          <w:szCs w:val="32"/>
          <w:lang w:eastAsia="zh-CN"/>
        </w:rPr>
      </w:pPr>
      <w:r>
        <w:rPr>
          <w:rStyle w:val="18"/>
          <w:rFonts w:hint="eastAsia" w:ascii="仿宋_GB2312" w:hAnsi="仿宋_GB2312" w:eastAsia="仿宋_GB2312" w:cs="仿宋_GB2312"/>
          <w:b w:val="0"/>
          <w:bCs/>
          <w:color w:val="000000"/>
          <w:sz w:val="32"/>
          <w:szCs w:val="32"/>
          <w:lang w:val="en-US" w:eastAsia="zh-CN"/>
        </w:rPr>
        <w:t>10</w:t>
      </w:r>
      <w:r>
        <w:rPr>
          <w:rStyle w:val="18"/>
          <w:rFonts w:hint="eastAsia" w:ascii="仿宋_GB2312" w:hAnsi="仿宋_GB2312" w:eastAsia="仿宋_GB2312" w:cs="仿宋_GB2312"/>
          <w:b w:val="0"/>
          <w:bCs/>
          <w:color w:val="000000"/>
          <w:sz w:val="32"/>
          <w:szCs w:val="32"/>
        </w:rPr>
        <w:t>.</w:t>
      </w:r>
      <w:r>
        <w:rPr>
          <w:rStyle w:val="18"/>
          <w:rFonts w:hint="eastAsia" w:ascii="仿宋_GB2312" w:hAnsi="仿宋_GB2312" w:eastAsia="仿宋_GB2312" w:cs="仿宋_GB2312"/>
          <w:b w:val="0"/>
          <w:bCs/>
          <w:color w:val="auto"/>
          <w:sz w:val="32"/>
          <w:szCs w:val="32"/>
          <w:highlight w:val="none"/>
        </w:rPr>
        <w:t>一般公共服务</w:t>
      </w:r>
      <w:r>
        <w:rPr>
          <w:rStyle w:val="18"/>
          <w:rFonts w:hint="eastAsia" w:ascii="仿宋_GB2312" w:hAnsi="仿宋_GB2312" w:eastAsia="仿宋_GB2312" w:cs="仿宋_GB2312"/>
          <w:b w:val="0"/>
          <w:bCs/>
          <w:color w:val="auto"/>
          <w:sz w:val="32"/>
          <w:szCs w:val="32"/>
          <w:highlight w:val="none"/>
          <w:lang w:val="en-US" w:eastAsia="zh-CN"/>
        </w:rPr>
        <w:t>支出</w:t>
      </w:r>
      <w:r>
        <w:rPr>
          <w:rStyle w:val="18"/>
          <w:rFonts w:hint="eastAsia" w:ascii="仿宋_GB2312" w:hAnsi="仿宋_GB2312" w:eastAsia="仿宋_GB2312" w:cs="仿宋_GB2312"/>
          <w:b w:val="0"/>
          <w:bCs/>
          <w:color w:val="auto"/>
          <w:sz w:val="32"/>
          <w:szCs w:val="32"/>
          <w:highlight w:val="none"/>
        </w:rPr>
        <w:t>（类）</w:t>
      </w:r>
      <w:r>
        <w:rPr>
          <w:rStyle w:val="18"/>
          <w:rFonts w:hint="eastAsia" w:ascii="仿宋_GB2312" w:hAnsi="仿宋_GB2312" w:eastAsia="仿宋_GB2312" w:cs="仿宋_GB2312"/>
          <w:b w:val="0"/>
          <w:bCs/>
          <w:color w:val="auto"/>
          <w:sz w:val="32"/>
          <w:szCs w:val="32"/>
          <w:highlight w:val="none"/>
          <w:lang w:val="en-US" w:eastAsia="zh-CN"/>
        </w:rPr>
        <w:t>党委办公厅（室）及相关机构事务</w:t>
      </w:r>
      <w:r>
        <w:rPr>
          <w:rStyle w:val="18"/>
          <w:rFonts w:hint="eastAsia" w:ascii="仿宋_GB2312" w:hAnsi="仿宋_GB2312" w:eastAsia="仿宋_GB2312" w:cs="仿宋_GB2312"/>
          <w:b w:val="0"/>
          <w:bCs/>
          <w:color w:val="auto"/>
          <w:sz w:val="32"/>
          <w:szCs w:val="32"/>
          <w:highlight w:val="none"/>
        </w:rPr>
        <w:t>（款）</w:t>
      </w:r>
      <w:r>
        <w:rPr>
          <w:rStyle w:val="18"/>
          <w:rFonts w:hint="eastAsia" w:ascii="仿宋_GB2312" w:hAnsi="仿宋_GB2312" w:eastAsia="仿宋_GB2312" w:cs="仿宋_GB2312"/>
          <w:b w:val="0"/>
          <w:bCs/>
          <w:color w:val="auto"/>
          <w:sz w:val="32"/>
          <w:szCs w:val="32"/>
          <w:highlight w:val="none"/>
          <w:lang w:val="en-US" w:eastAsia="zh-CN"/>
        </w:rPr>
        <w:t>一般行政管理事务</w:t>
      </w:r>
      <w:r>
        <w:rPr>
          <w:rStyle w:val="18"/>
          <w:rFonts w:hint="eastAsia" w:ascii="仿宋_GB2312" w:hAnsi="仿宋_GB2312" w:eastAsia="仿宋_GB2312" w:cs="仿宋_GB2312"/>
          <w:b w:val="0"/>
          <w:bCs/>
          <w:color w:val="auto"/>
          <w:sz w:val="32"/>
          <w:szCs w:val="32"/>
          <w:highlight w:val="none"/>
        </w:rPr>
        <w:t>（项））</w:t>
      </w:r>
      <w:r>
        <w:rPr>
          <w:rStyle w:val="18"/>
          <w:rFonts w:hint="eastAsia" w:ascii="仿宋_GB2312" w:hAnsi="仿宋_GB2312" w:eastAsia="仿宋_GB2312" w:cs="仿宋_GB2312"/>
          <w:b w:val="0"/>
          <w:bCs/>
          <w:color w:val="000000"/>
          <w:sz w:val="32"/>
          <w:szCs w:val="32"/>
        </w:rPr>
        <w:t>:</w:t>
      </w:r>
      <w:r>
        <w:rPr>
          <w:rStyle w:val="18"/>
          <w:rFonts w:hint="eastAsia" w:ascii="仿宋_GB2312" w:hAnsi="仿宋_GB2312" w:eastAsia="仿宋_GB2312" w:cs="仿宋_GB2312"/>
          <w:b w:val="0"/>
          <w:bCs/>
          <w:color w:val="000000"/>
          <w:sz w:val="32"/>
          <w:szCs w:val="32"/>
          <w:lang w:eastAsia="zh-CN"/>
        </w:rPr>
        <w:t>指一般公共服务支出一般行政管理事务。</w:t>
      </w:r>
    </w:p>
    <w:p>
      <w:pPr>
        <w:ind w:firstLine="640" w:firstLineChars="200"/>
        <w:rPr>
          <w:rStyle w:val="18"/>
          <w:rFonts w:hint="eastAsia" w:ascii="仿宋_GB2312" w:hAnsi="仿宋_GB2312" w:eastAsia="仿宋_GB2312" w:cs="仿宋_GB2312"/>
          <w:b w:val="0"/>
          <w:bCs/>
          <w:color w:val="000000"/>
          <w:sz w:val="32"/>
          <w:szCs w:val="32"/>
          <w:lang w:eastAsia="zh-CN"/>
        </w:rPr>
      </w:pPr>
      <w:r>
        <w:rPr>
          <w:rStyle w:val="18"/>
          <w:rFonts w:hint="eastAsia" w:ascii="仿宋_GB2312" w:hAnsi="仿宋_GB2312" w:eastAsia="仿宋_GB2312" w:cs="仿宋_GB2312"/>
          <w:b w:val="0"/>
          <w:bCs/>
          <w:color w:val="000000"/>
          <w:sz w:val="32"/>
          <w:szCs w:val="32"/>
          <w:lang w:val="en-US" w:eastAsia="zh-CN"/>
        </w:rPr>
        <w:t>11.</w:t>
      </w:r>
      <w:r>
        <w:rPr>
          <w:rStyle w:val="18"/>
          <w:rFonts w:hint="eastAsia" w:ascii="仿宋_GB2312" w:hAnsi="仿宋_GB2312" w:eastAsia="仿宋_GB2312" w:cs="仿宋_GB2312"/>
          <w:b w:val="0"/>
          <w:bCs/>
          <w:color w:val="auto"/>
          <w:sz w:val="32"/>
          <w:szCs w:val="32"/>
          <w:highlight w:val="none"/>
        </w:rPr>
        <w:t>一般公共服务</w:t>
      </w:r>
      <w:r>
        <w:rPr>
          <w:rStyle w:val="18"/>
          <w:rFonts w:hint="eastAsia" w:ascii="仿宋_GB2312" w:hAnsi="仿宋_GB2312" w:eastAsia="仿宋_GB2312" w:cs="仿宋_GB2312"/>
          <w:b w:val="0"/>
          <w:bCs/>
          <w:color w:val="auto"/>
          <w:sz w:val="32"/>
          <w:szCs w:val="32"/>
          <w:highlight w:val="none"/>
          <w:lang w:val="en-US" w:eastAsia="zh-CN"/>
        </w:rPr>
        <w:t>支出</w:t>
      </w:r>
      <w:r>
        <w:rPr>
          <w:rStyle w:val="18"/>
          <w:rFonts w:hint="eastAsia" w:ascii="仿宋_GB2312" w:hAnsi="仿宋_GB2312" w:eastAsia="仿宋_GB2312" w:cs="仿宋_GB2312"/>
          <w:b w:val="0"/>
          <w:bCs/>
          <w:color w:val="auto"/>
          <w:sz w:val="32"/>
          <w:szCs w:val="32"/>
          <w:highlight w:val="none"/>
        </w:rPr>
        <w:t>（类）</w:t>
      </w:r>
      <w:r>
        <w:rPr>
          <w:rStyle w:val="18"/>
          <w:rFonts w:hint="eastAsia" w:ascii="仿宋_GB2312" w:hAnsi="仿宋_GB2312" w:eastAsia="仿宋_GB2312" w:cs="仿宋_GB2312"/>
          <w:b w:val="0"/>
          <w:bCs/>
          <w:color w:val="auto"/>
          <w:sz w:val="32"/>
          <w:szCs w:val="32"/>
          <w:highlight w:val="none"/>
          <w:lang w:val="en-US" w:eastAsia="zh-CN"/>
        </w:rPr>
        <w:t>党委办公厅（室）及相关机构事务</w:t>
      </w:r>
      <w:r>
        <w:rPr>
          <w:rStyle w:val="18"/>
          <w:rFonts w:hint="eastAsia" w:ascii="仿宋_GB2312" w:hAnsi="仿宋_GB2312" w:eastAsia="仿宋_GB2312" w:cs="仿宋_GB2312"/>
          <w:b w:val="0"/>
          <w:bCs/>
          <w:color w:val="auto"/>
          <w:sz w:val="32"/>
          <w:szCs w:val="32"/>
          <w:highlight w:val="none"/>
        </w:rPr>
        <w:t>（款）</w:t>
      </w:r>
      <w:r>
        <w:rPr>
          <w:rStyle w:val="18"/>
          <w:rFonts w:hint="eastAsia" w:ascii="仿宋_GB2312" w:hAnsi="仿宋_GB2312" w:eastAsia="仿宋_GB2312" w:cs="仿宋_GB2312"/>
          <w:b w:val="0"/>
          <w:bCs/>
          <w:color w:val="auto"/>
          <w:sz w:val="32"/>
          <w:szCs w:val="32"/>
          <w:highlight w:val="none"/>
          <w:lang w:val="en-US" w:eastAsia="zh-CN"/>
        </w:rPr>
        <w:t>事业运行</w:t>
      </w:r>
      <w:r>
        <w:rPr>
          <w:rStyle w:val="18"/>
          <w:rFonts w:hint="eastAsia" w:ascii="仿宋_GB2312" w:hAnsi="仿宋_GB2312" w:eastAsia="仿宋_GB2312" w:cs="仿宋_GB2312"/>
          <w:b w:val="0"/>
          <w:bCs/>
          <w:color w:val="auto"/>
          <w:sz w:val="32"/>
          <w:szCs w:val="32"/>
          <w:highlight w:val="none"/>
        </w:rPr>
        <w:t>（项）</w:t>
      </w:r>
      <w:r>
        <w:rPr>
          <w:rStyle w:val="18"/>
          <w:rFonts w:hint="eastAsia" w:ascii="仿宋_GB2312" w:hAnsi="仿宋_GB2312" w:eastAsia="仿宋_GB2312" w:cs="仿宋_GB2312"/>
          <w:b w:val="0"/>
          <w:bCs/>
          <w:color w:val="000000"/>
          <w:sz w:val="32"/>
          <w:szCs w:val="32"/>
        </w:rPr>
        <w:t>:</w:t>
      </w:r>
      <w:r>
        <w:rPr>
          <w:rStyle w:val="18"/>
          <w:rFonts w:hint="eastAsia" w:ascii="仿宋_GB2312" w:hAnsi="仿宋_GB2312" w:eastAsia="仿宋_GB2312" w:cs="仿宋_GB2312"/>
          <w:b w:val="0"/>
          <w:bCs/>
          <w:color w:val="000000"/>
          <w:sz w:val="32"/>
          <w:szCs w:val="32"/>
          <w:lang w:eastAsia="zh-CN"/>
        </w:rPr>
        <w:t>指一般公共服务支出事业运行。</w:t>
      </w:r>
    </w:p>
    <w:p>
      <w:pPr>
        <w:ind w:firstLine="640" w:firstLineChars="200"/>
        <w:rPr>
          <w:rStyle w:val="18"/>
          <w:rFonts w:hint="eastAsia" w:ascii="仿宋_GB2312" w:hAnsi="仿宋_GB2312" w:eastAsia="仿宋_GB2312" w:cs="仿宋_GB2312"/>
          <w:b w:val="0"/>
          <w:bCs/>
          <w:color w:val="000000"/>
          <w:sz w:val="32"/>
          <w:szCs w:val="32"/>
          <w:lang w:eastAsia="zh-CN"/>
        </w:rPr>
      </w:pPr>
      <w:r>
        <w:rPr>
          <w:rStyle w:val="18"/>
          <w:rFonts w:hint="eastAsia" w:ascii="仿宋_GB2312" w:hAnsi="仿宋_GB2312" w:eastAsia="仿宋_GB2312" w:cs="仿宋_GB2312"/>
          <w:b w:val="0"/>
          <w:bCs/>
          <w:color w:val="000000"/>
          <w:sz w:val="32"/>
          <w:szCs w:val="32"/>
          <w:lang w:val="en-US" w:eastAsia="zh-CN"/>
        </w:rPr>
        <w:t>12.</w:t>
      </w:r>
      <w:r>
        <w:rPr>
          <w:rStyle w:val="18"/>
          <w:rFonts w:hint="eastAsia" w:ascii="仿宋_GB2312" w:hAnsi="仿宋_GB2312" w:eastAsia="仿宋_GB2312" w:cs="仿宋_GB2312"/>
          <w:b w:val="0"/>
          <w:bCs/>
          <w:color w:val="auto"/>
          <w:sz w:val="32"/>
          <w:szCs w:val="32"/>
          <w:highlight w:val="none"/>
        </w:rPr>
        <w:t>社会保障和就业</w:t>
      </w:r>
      <w:r>
        <w:rPr>
          <w:rStyle w:val="18"/>
          <w:rFonts w:hint="eastAsia" w:ascii="仿宋_GB2312" w:hAnsi="仿宋_GB2312" w:eastAsia="仿宋_GB2312" w:cs="仿宋_GB2312"/>
          <w:b w:val="0"/>
          <w:bCs/>
          <w:color w:val="auto"/>
          <w:sz w:val="32"/>
          <w:szCs w:val="32"/>
          <w:highlight w:val="none"/>
          <w:lang w:val="en-US" w:eastAsia="zh-CN"/>
        </w:rPr>
        <w:t>支出</w:t>
      </w:r>
      <w:r>
        <w:rPr>
          <w:rStyle w:val="18"/>
          <w:rFonts w:hint="eastAsia" w:ascii="仿宋_GB2312" w:hAnsi="仿宋_GB2312" w:eastAsia="仿宋_GB2312" w:cs="仿宋_GB2312"/>
          <w:b w:val="0"/>
          <w:bCs/>
          <w:color w:val="auto"/>
          <w:sz w:val="32"/>
          <w:szCs w:val="32"/>
          <w:highlight w:val="none"/>
        </w:rPr>
        <w:t>（类）</w:t>
      </w:r>
      <w:r>
        <w:rPr>
          <w:rStyle w:val="18"/>
          <w:rFonts w:hint="eastAsia" w:ascii="仿宋_GB2312" w:hAnsi="仿宋_GB2312" w:eastAsia="仿宋_GB2312" w:cs="仿宋_GB2312"/>
          <w:b w:val="0"/>
          <w:bCs/>
          <w:color w:val="auto"/>
          <w:sz w:val="32"/>
          <w:szCs w:val="32"/>
          <w:highlight w:val="none"/>
          <w:lang w:val="en-US" w:eastAsia="zh-CN"/>
        </w:rPr>
        <w:t>行政事业单位养老支出</w:t>
      </w:r>
      <w:r>
        <w:rPr>
          <w:rStyle w:val="18"/>
          <w:rFonts w:hint="eastAsia" w:ascii="仿宋_GB2312" w:hAnsi="仿宋_GB2312" w:eastAsia="仿宋_GB2312" w:cs="仿宋_GB2312"/>
          <w:b w:val="0"/>
          <w:bCs/>
          <w:color w:val="auto"/>
          <w:sz w:val="32"/>
          <w:szCs w:val="32"/>
          <w:highlight w:val="none"/>
        </w:rPr>
        <w:t>（款）</w:t>
      </w:r>
      <w:r>
        <w:rPr>
          <w:rStyle w:val="18"/>
          <w:rFonts w:hint="eastAsia" w:ascii="仿宋_GB2312" w:hAnsi="仿宋_GB2312" w:eastAsia="仿宋_GB2312" w:cs="仿宋_GB2312"/>
          <w:b w:val="0"/>
          <w:bCs/>
          <w:color w:val="auto"/>
          <w:sz w:val="32"/>
          <w:szCs w:val="32"/>
          <w:highlight w:val="none"/>
          <w:lang w:val="en-US" w:eastAsia="zh-CN"/>
        </w:rPr>
        <w:t>机关事业单位基本养老保险缴费支出</w:t>
      </w:r>
      <w:r>
        <w:rPr>
          <w:rStyle w:val="18"/>
          <w:rFonts w:hint="eastAsia" w:ascii="仿宋_GB2312" w:hAnsi="仿宋_GB2312" w:eastAsia="仿宋_GB2312" w:cs="仿宋_GB2312"/>
          <w:b w:val="0"/>
          <w:bCs/>
          <w:color w:val="auto"/>
          <w:sz w:val="32"/>
          <w:szCs w:val="32"/>
          <w:highlight w:val="none"/>
        </w:rPr>
        <w:t>（项）:</w:t>
      </w:r>
      <w:r>
        <w:rPr>
          <w:rStyle w:val="18"/>
          <w:rFonts w:hint="eastAsia" w:ascii="仿宋_GB2312" w:hAnsi="仿宋_GB2312" w:eastAsia="仿宋_GB2312" w:cs="仿宋_GB2312"/>
          <w:b w:val="0"/>
          <w:bCs/>
          <w:color w:val="000000"/>
          <w:sz w:val="32"/>
          <w:szCs w:val="32"/>
          <w:lang w:eastAsia="zh-CN"/>
        </w:rPr>
        <w:t>指社会保障和就业支出机关事业单位基本养老保险缴费支出。</w:t>
      </w:r>
    </w:p>
    <w:p>
      <w:pPr>
        <w:ind w:firstLine="640" w:firstLineChars="200"/>
        <w:rPr>
          <w:rStyle w:val="18"/>
          <w:rFonts w:hint="eastAsia" w:ascii="仿宋_GB2312" w:hAnsi="仿宋_GB2312" w:eastAsia="仿宋_GB2312" w:cs="仿宋_GB2312"/>
          <w:b w:val="0"/>
          <w:bCs/>
          <w:color w:val="000000"/>
          <w:sz w:val="32"/>
          <w:szCs w:val="32"/>
          <w:lang w:eastAsia="zh-CN"/>
        </w:rPr>
      </w:pPr>
      <w:r>
        <w:rPr>
          <w:rStyle w:val="18"/>
          <w:rFonts w:hint="eastAsia" w:ascii="仿宋_GB2312" w:hAnsi="仿宋_GB2312" w:eastAsia="仿宋_GB2312" w:cs="仿宋_GB2312"/>
          <w:b w:val="0"/>
          <w:bCs/>
          <w:color w:val="000000"/>
          <w:sz w:val="32"/>
          <w:szCs w:val="32"/>
          <w:lang w:val="en-US" w:eastAsia="zh-CN"/>
        </w:rPr>
        <w:t>13.</w:t>
      </w:r>
      <w:r>
        <w:rPr>
          <w:rStyle w:val="18"/>
          <w:rFonts w:hint="eastAsia" w:ascii="仿宋_GB2312" w:hAnsi="仿宋_GB2312" w:eastAsia="仿宋_GB2312" w:cs="仿宋_GB2312"/>
          <w:b w:val="0"/>
          <w:bCs/>
          <w:color w:val="auto"/>
          <w:sz w:val="32"/>
          <w:szCs w:val="32"/>
          <w:highlight w:val="none"/>
        </w:rPr>
        <w:t>社会保障和就业</w:t>
      </w:r>
      <w:r>
        <w:rPr>
          <w:rStyle w:val="18"/>
          <w:rFonts w:hint="eastAsia" w:ascii="仿宋_GB2312" w:hAnsi="仿宋_GB2312" w:eastAsia="仿宋_GB2312" w:cs="仿宋_GB2312"/>
          <w:b w:val="0"/>
          <w:bCs/>
          <w:color w:val="auto"/>
          <w:sz w:val="32"/>
          <w:szCs w:val="32"/>
          <w:highlight w:val="none"/>
          <w:lang w:val="en-US" w:eastAsia="zh-CN"/>
        </w:rPr>
        <w:t>支出</w:t>
      </w:r>
      <w:r>
        <w:rPr>
          <w:rStyle w:val="18"/>
          <w:rFonts w:hint="eastAsia" w:ascii="仿宋_GB2312" w:hAnsi="仿宋_GB2312" w:eastAsia="仿宋_GB2312" w:cs="仿宋_GB2312"/>
          <w:b w:val="0"/>
          <w:bCs/>
          <w:color w:val="auto"/>
          <w:sz w:val="32"/>
          <w:szCs w:val="32"/>
          <w:highlight w:val="none"/>
        </w:rPr>
        <w:t>（类）</w:t>
      </w:r>
      <w:r>
        <w:rPr>
          <w:rStyle w:val="18"/>
          <w:rFonts w:hint="eastAsia" w:ascii="仿宋_GB2312" w:hAnsi="仿宋_GB2312" w:eastAsia="仿宋_GB2312" w:cs="仿宋_GB2312"/>
          <w:b w:val="0"/>
          <w:bCs/>
          <w:color w:val="auto"/>
          <w:sz w:val="32"/>
          <w:szCs w:val="32"/>
          <w:highlight w:val="none"/>
          <w:lang w:val="en-US" w:eastAsia="zh-CN"/>
        </w:rPr>
        <w:t>其他社会保障和就业支出</w:t>
      </w:r>
      <w:r>
        <w:rPr>
          <w:rStyle w:val="18"/>
          <w:rFonts w:hint="eastAsia" w:ascii="仿宋_GB2312" w:hAnsi="仿宋_GB2312" w:eastAsia="仿宋_GB2312" w:cs="仿宋_GB2312"/>
          <w:b w:val="0"/>
          <w:bCs/>
          <w:color w:val="auto"/>
          <w:sz w:val="32"/>
          <w:szCs w:val="32"/>
          <w:highlight w:val="none"/>
        </w:rPr>
        <w:t>（款）</w:t>
      </w:r>
      <w:r>
        <w:rPr>
          <w:rStyle w:val="18"/>
          <w:rFonts w:hint="eastAsia" w:ascii="仿宋_GB2312" w:hAnsi="仿宋_GB2312" w:eastAsia="仿宋_GB2312" w:cs="仿宋_GB2312"/>
          <w:b w:val="0"/>
          <w:bCs/>
          <w:color w:val="auto"/>
          <w:sz w:val="32"/>
          <w:szCs w:val="32"/>
          <w:highlight w:val="none"/>
          <w:lang w:val="en-US" w:eastAsia="zh-CN"/>
        </w:rPr>
        <w:t>其他社会保障和就业支出</w:t>
      </w:r>
      <w:r>
        <w:rPr>
          <w:rStyle w:val="18"/>
          <w:rFonts w:hint="eastAsia" w:ascii="仿宋_GB2312" w:hAnsi="仿宋_GB2312" w:eastAsia="仿宋_GB2312" w:cs="仿宋_GB2312"/>
          <w:b w:val="0"/>
          <w:bCs/>
          <w:color w:val="auto"/>
          <w:sz w:val="32"/>
          <w:szCs w:val="32"/>
          <w:highlight w:val="none"/>
        </w:rPr>
        <w:t>（项）:</w:t>
      </w:r>
      <w:r>
        <w:rPr>
          <w:rStyle w:val="18"/>
          <w:rFonts w:hint="eastAsia" w:ascii="仿宋_GB2312" w:hAnsi="仿宋_GB2312" w:eastAsia="仿宋_GB2312" w:cs="仿宋_GB2312"/>
          <w:b w:val="0"/>
          <w:bCs/>
          <w:color w:val="000000"/>
          <w:sz w:val="32"/>
          <w:szCs w:val="32"/>
          <w:lang w:eastAsia="zh-CN"/>
        </w:rPr>
        <w:t>指社会保障和就业支出其他社会保障和就业支出。</w:t>
      </w:r>
    </w:p>
    <w:p>
      <w:pPr>
        <w:ind w:firstLine="640" w:firstLineChars="200"/>
        <w:rPr>
          <w:rFonts w:hint="eastAsia" w:ascii="仿宋_GB2312" w:hAnsi="仿宋_GB2312" w:eastAsia="仿宋_GB2312" w:cs="仿宋_GB2312"/>
          <w:b w:val="0"/>
          <w:bCs/>
          <w:color w:val="000000"/>
          <w:sz w:val="32"/>
          <w:szCs w:val="32"/>
          <w:lang w:eastAsia="zh-CN"/>
        </w:rPr>
      </w:pPr>
      <w:r>
        <w:rPr>
          <w:rStyle w:val="18"/>
          <w:rFonts w:hint="eastAsia" w:ascii="仿宋_GB2312" w:hAnsi="仿宋_GB2312" w:eastAsia="仿宋_GB2312" w:cs="仿宋_GB2312"/>
          <w:b w:val="0"/>
          <w:bCs/>
          <w:color w:val="000000"/>
          <w:sz w:val="32"/>
          <w:szCs w:val="32"/>
          <w:lang w:val="en-US" w:eastAsia="zh-CN"/>
        </w:rPr>
        <w:t>14.</w:t>
      </w:r>
      <w:r>
        <w:rPr>
          <w:rFonts w:hint="eastAsia" w:ascii="仿宋_GB2312" w:hAnsi="仿宋_GB2312" w:eastAsia="仿宋_GB2312" w:cs="仿宋_GB2312"/>
          <w:b w:val="0"/>
          <w:bCs/>
          <w:color w:val="auto"/>
          <w:sz w:val="32"/>
          <w:szCs w:val="32"/>
          <w:highlight w:val="none"/>
        </w:rPr>
        <w:t>卫生健康</w:t>
      </w:r>
      <w:r>
        <w:rPr>
          <w:rFonts w:hint="eastAsia" w:ascii="仿宋_GB2312" w:hAnsi="仿宋_GB2312" w:eastAsia="仿宋_GB2312" w:cs="仿宋_GB2312"/>
          <w:b w:val="0"/>
          <w:bCs/>
          <w:color w:val="auto"/>
          <w:sz w:val="32"/>
          <w:szCs w:val="32"/>
          <w:highlight w:val="none"/>
          <w:lang w:val="en-US" w:eastAsia="zh-CN"/>
        </w:rPr>
        <w:t>支出</w:t>
      </w:r>
      <w:r>
        <w:rPr>
          <w:rFonts w:hint="eastAsia" w:ascii="仿宋_GB2312" w:hAnsi="仿宋_GB2312" w:eastAsia="仿宋_GB2312" w:cs="仿宋_GB2312"/>
          <w:b w:val="0"/>
          <w:bCs/>
          <w:color w:val="auto"/>
          <w:sz w:val="32"/>
          <w:szCs w:val="32"/>
          <w:highlight w:val="none"/>
        </w:rPr>
        <w:t>（类）</w:t>
      </w:r>
      <w:r>
        <w:rPr>
          <w:rFonts w:hint="eastAsia" w:ascii="仿宋_GB2312" w:hAnsi="仿宋_GB2312" w:eastAsia="仿宋_GB2312" w:cs="仿宋_GB2312"/>
          <w:b w:val="0"/>
          <w:bCs/>
          <w:color w:val="auto"/>
          <w:sz w:val="32"/>
          <w:szCs w:val="32"/>
          <w:highlight w:val="none"/>
          <w:lang w:val="en-US" w:eastAsia="zh-CN"/>
        </w:rPr>
        <w:t>行政事业单位医疗</w:t>
      </w:r>
      <w:r>
        <w:rPr>
          <w:rFonts w:hint="eastAsia" w:ascii="仿宋_GB2312" w:hAnsi="仿宋_GB2312" w:eastAsia="仿宋_GB2312" w:cs="仿宋_GB2312"/>
          <w:b w:val="0"/>
          <w:bCs/>
          <w:color w:val="auto"/>
          <w:sz w:val="32"/>
          <w:szCs w:val="32"/>
          <w:highlight w:val="none"/>
        </w:rPr>
        <w:t>（款）</w:t>
      </w:r>
      <w:r>
        <w:rPr>
          <w:rFonts w:hint="eastAsia" w:ascii="仿宋_GB2312" w:hAnsi="仿宋_GB2312" w:eastAsia="仿宋_GB2312" w:cs="仿宋_GB2312"/>
          <w:b w:val="0"/>
          <w:bCs/>
          <w:color w:val="auto"/>
          <w:sz w:val="32"/>
          <w:szCs w:val="32"/>
          <w:highlight w:val="none"/>
          <w:lang w:val="en-US" w:eastAsia="zh-CN"/>
        </w:rPr>
        <w:t>行政单位医疗</w:t>
      </w:r>
      <w:r>
        <w:rPr>
          <w:rFonts w:hint="eastAsia" w:ascii="仿宋_GB2312" w:hAnsi="仿宋_GB2312" w:eastAsia="仿宋_GB2312" w:cs="仿宋_GB2312"/>
          <w:b w:val="0"/>
          <w:bCs/>
          <w:color w:val="auto"/>
          <w:sz w:val="32"/>
          <w:szCs w:val="32"/>
          <w:highlight w:val="none"/>
        </w:rPr>
        <w:t>（项）:</w:t>
      </w:r>
      <w:r>
        <w:rPr>
          <w:rStyle w:val="18"/>
          <w:rFonts w:hint="eastAsia" w:ascii="仿宋_GB2312" w:hAnsi="仿宋_GB2312" w:eastAsia="仿宋_GB2312" w:cs="仿宋_GB2312"/>
          <w:b w:val="0"/>
          <w:bCs/>
          <w:color w:val="000000"/>
          <w:sz w:val="32"/>
          <w:szCs w:val="32"/>
          <w:lang w:eastAsia="zh-CN"/>
        </w:rPr>
        <w:t>指卫生健康支出行政单位医疗。</w:t>
      </w:r>
    </w:p>
    <w:p>
      <w:pPr>
        <w:ind w:firstLine="640" w:firstLineChars="200"/>
        <w:rPr>
          <w:rFonts w:hint="eastAsia" w:ascii="仿宋_GB2312" w:hAnsi="仿宋_GB2312" w:eastAsia="仿宋_GB2312" w:cs="仿宋_GB2312"/>
          <w:b w:val="0"/>
          <w:bCs/>
          <w:color w:val="000000"/>
          <w:sz w:val="32"/>
          <w:szCs w:val="32"/>
          <w:lang w:eastAsia="zh-CN"/>
        </w:rPr>
      </w:pPr>
      <w:r>
        <w:rPr>
          <w:rStyle w:val="18"/>
          <w:rFonts w:hint="eastAsia" w:ascii="仿宋_GB2312" w:hAnsi="仿宋_GB2312" w:eastAsia="仿宋_GB2312" w:cs="仿宋_GB2312"/>
          <w:b w:val="0"/>
          <w:bCs/>
          <w:color w:val="000000"/>
          <w:sz w:val="32"/>
          <w:szCs w:val="32"/>
          <w:lang w:val="en-US" w:eastAsia="zh-CN"/>
        </w:rPr>
        <w:t>15.</w:t>
      </w:r>
      <w:r>
        <w:rPr>
          <w:rFonts w:hint="eastAsia" w:ascii="仿宋_GB2312" w:hAnsi="仿宋_GB2312" w:eastAsia="仿宋_GB2312" w:cs="仿宋_GB2312"/>
          <w:b w:val="0"/>
          <w:bCs/>
          <w:color w:val="auto"/>
          <w:sz w:val="32"/>
          <w:szCs w:val="32"/>
          <w:highlight w:val="none"/>
        </w:rPr>
        <w:t>卫生健康</w:t>
      </w:r>
      <w:r>
        <w:rPr>
          <w:rFonts w:hint="eastAsia" w:ascii="仿宋_GB2312" w:hAnsi="仿宋_GB2312" w:eastAsia="仿宋_GB2312" w:cs="仿宋_GB2312"/>
          <w:b w:val="0"/>
          <w:bCs/>
          <w:color w:val="auto"/>
          <w:sz w:val="32"/>
          <w:szCs w:val="32"/>
          <w:highlight w:val="none"/>
          <w:lang w:val="en-US" w:eastAsia="zh-CN"/>
        </w:rPr>
        <w:t>支出</w:t>
      </w:r>
      <w:r>
        <w:rPr>
          <w:rFonts w:hint="eastAsia" w:ascii="仿宋_GB2312" w:hAnsi="仿宋_GB2312" w:eastAsia="仿宋_GB2312" w:cs="仿宋_GB2312"/>
          <w:b w:val="0"/>
          <w:bCs/>
          <w:color w:val="auto"/>
          <w:sz w:val="32"/>
          <w:szCs w:val="32"/>
          <w:highlight w:val="none"/>
        </w:rPr>
        <w:t>（类）</w:t>
      </w:r>
      <w:r>
        <w:rPr>
          <w:rFonts w:hint="eastAsia" w:ascii="仿宋_GB2312" w:hAnsi="仿宋_GB2312" w:eastAsia="仿宋_GB2312" w:cs="仿宋_GB2312"/>
          <w:b w:val="0"/>
          <w:bCs/>
          <w:color w:val="auto"/>
          <w:sz w:val="32"/>
          <w:szCs w:val="32"/>
          <w:highlight w:val="none"/>
          <w:lang w:val="en-US" w:eastAsia="zh-CN"/>
        </w:rPr>
        <w:t>行政事业单位医疗</w:t>
      </w:r>
      <w:r>
        <w:rPr>
          <w:rFonts w:hint="eastAsia" w:ascii="仿宋_GB2312" w:hAnsi="仿宋_GB2312" w:eastAsia="仿宋_GB2312" w:cs="仿宋_GB2312"/>
          <w:b w:val="0"/>
          <w:bCs/>
          <w:color w:val="auto"/>
          <w:sz w:val="32"/>
          <w:szCs w:val="32"/>
          <w:highlight w:val="none"/>
        </w:rPr>
        <w:t>（款）</w:t>
      </w:r>
      <w:r>
        <w:rPr>
          <w:rFonts w:hint="eastAsia" w:ascii="仿宋_GB2312" w:hAnsi="仿宋_GB2312" w:eastAsia="仿宋_GB2312" w:cs="仿宋_GB2312"/>
          <w:b w:val="0"/>
          <w:bCs/>
          <w:color w:val="auto"/>
          <w:sz w:val="32"/>
          <w:szCs w:val="32"/>
          <w:highlight w:val="none"/>
          <w:lang w:val="en-US" w:eastAsia="zh-CN"/>
        </w:rPr>
        <w:t>事业单位医疗</w:t>
      </w:r>
      <w:r>
        <w:rPr>
          <w:rFonts w:hint="eastAsia" w:ascii="仿宋_GB2312" w:hAnsi="仿宋_GB2312" w:eastAsia="仿宋_GB2312" w:cs="仿宋_GB2312"/>
          <w:b w:val="0"/>
          <w:bCs/>
          <w:color w:val="auto"/>
          <w:sz w:val="32"/>
          <w:szCs w:val="32"/>
          <w:highlight w:val="none"/>
        </w:rPr>
        <w:t>（项）:</w:t>
      </w:r>
      <w:r>
        <w:rPr>
          <w:rStyle w:val="18"/>
          <w:rFonts w:hint="eastAsia" w:ascii="仿宋_GB2312" w:hAnsi="仿宋_GB2312" w:eastAsia="仿宋_GB2312" w:cs="仿宋_GB2312"/>
          <w:b w:val="0"/>
          <w:bCs/>
          <w:color w:val="000000"/>
          <w:sz w:val="32"/>
          <w:szCs w:val="32"/>
          <w:lang w:eastAsia="zh-CN"/>
        </w:rPr>
        <w:t>指卫生健康支出行政事业医疗。</w:t>
      </w:r>
    </w:p>
    <w:p>
      <w:pPr>
        <w:pStyle w:val="27"/>
        <w:spacing w:line="560" w:lineRule="exact"/>
        <w:ind w:firstLine="640" w:firstLineChars="200"/>
        <w:rPr>
          <w:rStyle w:val="18"/>
          <w:rFonts w:hint="eastAsia" w:ascii="仿宋_GB2312" w:hAnsi="仿宋_GB2312" w:eastAsia="仿宋_GB2312" w:cs="仿宋_GB2312"/>
          <w:b w:val="0"/>
          <w:bCs/>
          <w:color w:val="000000"/>
          <w:sz w:val="32"/>
          <w:szCs w:val="32"/>
          <w:lang w:val="en-US" w:eastAsia="zh-CN"/>
        </w:rPr>
      </w:pPr>
      <w:r>
        <w:rPr>
          <w:rStyle w:val="18"/>
          <w:rFonts w:hint="eastAsia" w:ascii="仿宋_GB2312" w:hAnsi="仿宋_GB2312" w:eastAsia="仿宋_GB2312" w:cs="仿宋_GB2312"/>
          <w:b w:val="0"/>
          <w:bCs/>
          <w:color w:val="000000"/>
          <w:sz w:val="32"/>
          <w:szCs w:val="32"/>
          <w:lang w:val="en-US" w:eastAsia="zh-CN"/>
        </w:rPr>
        <w:t>16.住房保障支出（类）住房改革支出（款）住房公积金（项）：指住房保障支出住房公积金。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9"/>
          <w:rFonts w:hint="eastAsia" w:ascii="黑体" w:hAnsi="黑体" w:eastAsia="黑体"/>
          <w:b w:val="0"/>
          <w:color w:val="auto"/>
          <w:highlight w:val="none"/>
        </w:rPr>
      </w:pPr>
      <w:bookmarkStart w:id="81" w:name="_Toc15377226"/>
      <w:r>
        <w:rPr>
          <w:rFonts w:ascii="宋体"/>
          <w:b/>
          <w:color w:val="auto"/>
          <w:sz w:val="44"/>
          <w:szCs w:val="44"/>
          <w:highlight w:val="none"/>
        </w:rPr>
        <w:br w:type="page"/>
      </w:r>
      <w:bookmarkStart w:id="82" w:name="_Toc15396614"/>
      <w:bookmarkStart w:id="83" w:name="_Toc10681"/>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四部分 附件</w:t>
      </w:r>
      <w:bookmarkEnd w:id="82"/>
      <w:bookmarkEnd w:id="83"/>
    </w:p>
    <w:p>
      <w:pPr>
        <w:pStyle w:val="5"/>
        <w:rPr>
          <w:rFonts w:hint="default" w:eastAsia="黑体"/>
          <w:sz w:val="32"/>
          <w:szCs w:val="32"/>
          <w:lang w:val="en-US" w:eastAsia="zh-CN"/>
        </w:rPr>
      </w:pPr>
      <w:bookmarkStart w:id="84" w:name="_Toc1445"/>
      <w:r>
        <w:rPr>
          <w:rStyle w:val="29"/>
          <w:rFonts w:hint="eastAsia" w:ascii="黑体" w:hAnsi="黑体" w:eastAsia="黑体"/>
          <w:b w:val="0"/>
          <w:color w:val="auto"/>
          <w:sz w:val="32"/>
          <w:szCs w:val="32"/>
          <w:highlight w:val="none"/>
          <w:lang w:eastAsia="zh-CN"/>
        </w:rPr>
        <w:t>附件</w:t>
      </w:r>
      <w:r>
        <w:rPr>
          <w:rStyle w:val="29"/>
          <w:rFonts w:hint="eastAsia" w:ascii="黑体" w:hAnsi="黑体" w:eastAsia="黑体"/>
          <w:b w:val="0"/>
          <w:color w:val="auto"/>
          <w:sz w:val="32"/>
          <w:szCs w:val="32"/>
          <w:highlight w:val="none"/>
          <w:lang w:val="en-US" w:eastAsia="zh-CN"/>
        </w:rPr>
        <w:t>1</w:t>
      </w:r>
      <w:bookmarkEnd w:id="84"/>
    </w:p>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40" w:lineRule="exact"/>
        <w:ind w:firstLine="880" w:firstLineChars="200"/>
        <w:jc w:val="both"/>
        <w:textAlignment w:val="auto"/>
        <w:rPr>
          <w:rFonts w:hint="eastAsia" w:ascii="方正小标宋简体" w:hAnsi="方正小标宋简体" w:eastAsia="方正小标宋简体" w:cs="方正小标宋简体"/>
          <w:sz w:val="44"/>
          <w:szCs w:val="44"/>
          <w:lang w:val="en-US" w:eastAsia="zh-CN"/>
        </w:rPr>
      </w:pPr>
      <w:bookmarkStart w:id="85" w:name="_Toc22396"/>
      <w:r>
        <w:rPr>
          <w:rFonts w:hint="eastAsia" w:ascii="方正小标宋简体" w:hAnsi="方正小标宋简体" w:eastAsia="方正小标宋简体" w:cs="方正小标宋简体"/>
          <w:b w:val="0"/>
          <w:bCs w:val="0"/>
          <w:kern w:val="0"/>
          <w:sz w:val="44"/>
          <w:szCs w:val="44"/>
          <w:lang w:val="en-US" w:eastAsia="zh-CN" w:bidi="ar-SA"/>
        </w:rPr>
        <w:t>2022年度部门整体支出绩效评价报告</w:t>
      </w:r>
      <w:bookmarkEnd w:id="85"/>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仿宋_GB2312" w:hAnsi="仿宋_GB2312" w:eastAsia="仿宋_GB2312" w:cs="仿宋_GB2312"/>
          <w:color w:val="auto"/>
          <w:sz w:val="32"/>
          <w:szCs w:val="32"/>
          <w:highlight w:val="none"/>
          <w:shd w:val="clear" w:color="auto" w:fill="FFFFFF"/>
        </w:rPr>
      </w:pP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zh-CN"/>
        </w:rPr>
        <w:t>部门（单位）基本情况</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Chars="200" w:right="0" w:rightChars="0" w:firstLine="320" w:firstLineChars="100"/>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（一）机构组成</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Chars="0" w:right="0" w:rightChars="0" w:firstLine="640" w:firstLineChars="200"/>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仿宋_GB2312" w:hAnsi="仿宋_GB2312" w:eastAsia="仿宋_GB2312" w:cs="仿宋_GB2312"/>
          <w:sz w:val="32"/>
          <w:szCs w:val="32"/>
          <w:lang w:eastAsia="zh-CN"/>
        </w:rPr>
        <w:t>区委编办</w:t>
      </w:r>
      <w:r>
        <w:rPr>
          <w:rFonts w:hint="eastAsia" w:ascii="仿宋_GB2312" w:hAnsi="仿宋_GB2312" w:eastAsia="仿宋_GB2312" w:cs="仿宋_GB2312"/>
          <w:sz w:val="32"/>
          <w:szCs w:val="32"/>
        </w:rPr>
        <w:t>下属二级单位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个，参照公务员法管理的事业单位</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（区事业单位登记服务中心）</w:t>
      </w:r>
      <w:r>
        <w:rPr>
          <w:rFonts w:hint="eastAsia" w:ascii="仿宋_GB2312" w:hAnsi="仿宋_GB2312" w:eastAsia="仿宋_GB2312" w:cs="仿宋_GB2312"/>
          <w:sz w:val="32"/>
          <w:szCs w:val="32"/>
        </w:rPr>
        <w:t>，其他事业单位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（区机构编制信息中心）</w:t>
      </w:r>
      <w:r>
        <w:rPr>
          <w:rFonts w:hint="eastAsia" w:ascii="仿宋_GB2312" w:hAnsi="仿宋_GB2312" w:eastAsia="仿宋_GB2312" w:cs="仿宋_GB2312"/>
          <w:sz w:val="32"/>
          <w:szCs w:val="32"/>
        </w:rPr>
        <w:t>。</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rPr>
        <w:t>内设机构</w:t>
      </w:r>
      <w:r>
        <w:rPr>
          <w:rFonts w:hint="eastAsia" w:ascii="仿宋_GB2312" w:hAnsi="仿宋_GB2312" w:eastAsia="仿宋_GB2312" w:cs="仿宋_GB2312"/>
          <w:i w:val="0"/>
          <w:caps w:val="0"/>
          <w:color w:val="auto"/>
          <w:spacing w:val="0"/>
          <w:sz w:val="32"/>
          <w:szCs w:val="32"/>
          <w:u w:val="none"/>
          <w:shd w:val="clear" w:color="auto" w:fill="FFFFFF"/>
          <w:lang w:val="en-US" w:eastAsia="zh-CN"/>
        </w:rPr>
        <w:t>4</w:t>
      </w:r>
      <w:r>
        <w:rPr>
          <w:rFonts w:hint="eastAsia" w:ascii="仿宋_GB2312" w:hAnsi="仿宋_GB2312" w:eastAsia="仿宋_GB2312" w:cs="仿宋_GB2312"/>
          <w:i w:val="0"/>
          <w:caps w:val="0"/>
          <w:color w:val="auto"/>
          <w:spacing w:val="0"/>
          <w:sz w:val="32"/>
          <w:szCs w:val="32"/>
          <w:u w:val="none"/>
          <w:shd w:val="clear" w:color="auto" w:fill="FFFFFF"/>
        </w:rPr>
        <w:t>个：</w:t>
      </w:r>
      <w:r>
        <w:rPr>
          <w:rFonts w:hint="eastAsia" w:ascii="仿宋_GB2312" w:hAnsi="仿宋_GB2312" w:eastAsia="仿宋_GB2312" w:cs="仿宋_GB2312"/>
          <w:i w:val="0"/>
          <w:caps w:val="0"/>
          <w:color w:val="auto"/>
          <w:spacing w:val="0"/>
          <w:sz w:val="32"/>
          <w:szCs w:val="32"/>
          <w:u w:val="none"/>
          <w:shd w:val="clear" w:color="auto" w:fill="FFFFFF"/>
          <w:lang w:eastAsia="zh-CN"/>
        </w:rPr>
        <w:t>综合股、机构编制股、监督检查股</w:t>
      </w:r>
      <w:r>
        <w:rPr>
          <w:rFonts w:hint="eastAsia" w:ascii="仿宋_GB2312" w:hAnsi="仿宋_GB2312" w:eastAsia="仿宋_GB2312" w:cs="仿宋_GB2312"/>
          <w:i w:val="0"/>
          <w:caps w:val="0"/>
          <w:color w:val="auto"/>
          <w:spacing w:val="0"/>
          <w:sz w:val="32"/>
          <w:szCs w:val="32"/>
          <w:u w:val="none"/>
          <w:shd w:val="clear" w:color="auto" w:fill="FFFFFF"/>
        </w:rPr>
        <w:t>（</w:t>
      </w:r>
      <w:r>
        <w:rPr>
          <w:rFonts w:hint="eastAsia" w:ascii="仿宋_GB2312" w:hAnsi="仿宋_GB2312" w:eastAsia="仿宋_GB2312" w:cs="仿宋_GB2312"/>
          <w:i w:val="0"/>
          <w:caps w:val="0"/>
          <w:color w:val="auto"/>
          <w:spacing w:val="0"/>
          <w:sz w:val="32"/>
          <w:szCs w:val="32"/>
          <w:u w:val="none"/>
          <w:shd w:val="clear" w:color="auto" w:fill="FFFFFF"/>
          <w:lang w:eastAsia="zh-CN"/>
        </w:rPr>
        <w:t>政策法规股</w:t>
      </w:r>
      <w:r>
        <w:rPr>
          <w:rFonts w:hint="eastAsia" w:ascii="仿宋_GB2312" w:hAnsi="仿宋_GB2312" w:eastAsia="仿宋_GB2312" w:cs="仿宋_GB2312"/>
          <w:i w:val="0"/>
          <w:caps w:val="0"/>
          <w:color w:val="auto"/>
          <w:spacing w:val="0"/>
          <w:sz w:val="32"/>
          <w:szCs w:val="32"/>
          <w:u w:val="none"/>
          <w:shd w:val="clear" w:color="auto" w:fill="FFFFFF"/>
        </w:rPr>
        <w:t>）、事业单位登记管理</w:t>
      </w:r>
      <w:r>
        <w:rPr>
          <w:rFonts w:hint="eastAsia" w:ascii="仿宋_GB2312" w:hAnsi="仿宋_GB2312" w:eastAsia="仿宋_GB2312" w:cs="仿宋_GB2312"/>
          <w:i w:val="0"/>
          <w:caps w:val="0"/>
          <w:color w:val="auto"/>
          <w:spacing w:val="0"/>
          <w:sz w:val="32"/>
          <w:szCs w:val="32"/>
          <w:u w:val="none"/>
          <w:shd w:val="clear" w:color="auto" w:fill="FFFFFF"/>
          <w:lang w:eastAsia="zh-CN"/>
        </w:rPr>
        <w:t>股（区事业单位登记管理局）</w:t>
      </w:r>
      <w:r>
        <w:rPr>
          <w:rFonts w:hint="eastAsia" w:ascii="仿宋_GB2312" w:hAnsi="仿宋_GB2312" w:eastAsia="仿宋_GB2312" w:cs="仿宋_GB2312"/>
          <w:i w:val="0"/>
          <w:caps w:val="0"/>
          <w:color w:val="auto"/>
          <w:spacing w:val="0"/>
          <w:sz w:val="32"/>
          <w:szCs w:val="32"/>
          <w:u w:val="none"/>
          <w:shd w:val="clear" w:color="auto" w:fill="FFFFFF"/>
        </w:rPr>
        <w:t>。</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Chars="200" w:firstLine="320" w:firstLineChars="1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机构职能和人员概况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left="0" w:leftChars="0" w:right="0" w:firstLine="640" w:firstLineChars="200"/>
        <w:jc w:val="left"/>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1.贯彻执行党和国家关于行政管理体制、机构改革及机构编制工作的方针、政策和法规，拟定全区行政管理体制改革、机构改革及机构编制工作的有关管理办法和措施，统一管理全区各级党政机关和人大、政协、法院、检察院机关以及各民主党派、人民团体机关的机构编制工作，检查监督各级行政管理体制政策和机构改革方案以及机构编制执行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left="0" w:leftChars="0" w:right="0" w:firstLine="640" w:firstLineChars="200"/>
        <w:jc w:val="left"/>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2.研究拟定全区行政管理体制改革与机构改革方案及有关规定；审核区直各部门和乡镇办事处党政机构改革方案；指导、协调区直各部门和乡镇办事处行政管理体制改革、机构改革以及机构编制管理工作。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left="0" w:leftChars="0" w:right="0" w:firstLine="640" w:firstLineChars="200"/>
        <w:jc w:val="left"/>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3.协调区委、区政府各部门的职能配置及职能调整；协调区委、区政府各部门之间以及部门与乡镇办事处之间的职责分工和事权划分。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left="0" w:leftChars="0" w:right="0" w:firstLine="640" w:firstLineChars="200"/>
        <w:jc w:val="left"/>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4.负责区委、区政府各部门和乡镇办事处的职能职责、机构设置、人员编制的审核和股级职数的审批；协同区委组织部提出区直各部门领导班子职数配备的建议；审批区直党政群机构的内设股室机构设置，拟定区直党政群机关、乡镇办事处机关行政编制和省、市下达的专项编制分配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left="0" w:leftChars="0" w:right="0" w:firstLine="640" w:firstLineChars="200"/>
        <w:jc w:val="left"/>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5.审核区人大、区政协机关、区中级人民法院、区人民检察院机关和民主党派、人民团体机关的内设机构、人员编制和领导职数。</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6.</w:t>
      </w:r>
      <w:r>
        <w:rPr>
          <w:rFonts w:hint="eastAsia" w:ascii="仿宋_GB2312" w:hAnsi="仿宋_GB2312" w:eastAsia="仿宋_GB2312" w:cs="仿宋_GB2312"/>
          <w:i w:val="0"/>
          <w:caps w:val="0"/>
          <w:color w:val="auto"/>
          <w:spacing w:val="0"/>
          <w:sz w:val="32"/>
          <w:szCs w:val="32"/>
          <w:u w:val="none"/>
          <w:shd w:val="clear" w:color="auto" w:fill="FFFFFF"/>
        </w:rPr>
        <w:t>研究拟定全区事业单位管理体制和机构改革方案，负责事业单位机构编制管理工作；负责区直各部门所属事业单位的职能职责、机构设置、人员编制的审核和股级职数的审批；协同区委组织部提出区管科级事业单位领导班子职数配备的建议；审批区直科级事业机构的内设股室和区直独立设置的股级事业机构；根据中央、省、市有关规定，拟定全区性事业单位编制配备标准，分配由区统一核定的全区性事业编制；指导、协调各级各类事业单位管理体制改革和机构编制管理工作。负责事业单位登记管理的行政复议、行政诉</w:t>
      </w:r>
      <w:r>
        <w:rPr>
          <w:rFonts w:hint="eastAsia" w:ascii="仿宋_GB2312" w:hAnsi="仿宋_GB2312" w:eastAsia="仿宋_GB2312" w:cs="仿宋_GB2312"/>
          <w:i w:val="0"/>
          <w:caps w:val="0"/>
          <w:color w:val="auto"/>
          <w:spacing w:val="-10"/>
          <w:sz w:val="32"/>
          <w:szCs w:val="32"/>
          <w:u w:val="none"/>
          <w:shd w:val="clear" w:color="auto" w:fill="FFFFFF"/>
        </w:rPr>
        <w:t>讼应诉工作，检查监督和指导协调全区事业单位登记管理工作。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left="0" w:leftChars="0" w:right="0" w:firstLine="640" w:firstLineChars="200"/>
        <w:jc w:val="left"/>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7.研究提出区直机关、事业单位年度增人控编计划意见，并配合有关部门组织实施；负责区直财政年度预算人员编制和区直财政工资统发单位的人员编制审核工作。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6" w:lineRule="exact"/>
        <w:ind w:left="0" w:leftChars="0" w:right="0" w:firstLine="640" w:firstLineChars="200"/>
        <w:jc w:val="left"/>
        <w:textAlignment w:val="auto"/>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8.负责机构改革和机构编制管理有关信息采集和情况综合，负责机构编制统计工作。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napToGrid w:val="0"/>
          <w:spacing w:val="0"/>
          <w:kern w:val="0"/>
          <w:sz w:val="32"/>
          <w:szCs w:val="32"/>
          <w:shd w:val="clear" w:color="auto" w:fill="FFFFFF"/>
          <w:lang w:val="en-US" w:eastAsia="zh-CN"/>
        </w:rPr>
      </w:pPr>
      <w:r>
        <w:rPr>
          <w:rFonts w:hint="eastAsia" w:ascii="仿宋_GB2312" w:hAnsi="仿宋_GB2312" w:eastAsia="仿宋_GB2312" w:cs="仿宋_GB2312"/>
          <w:snapToGrid w:val="0"/>
          <w:color w:val="000000"/>
          <w:spacing w:val="0"/>
          <w:kern w:val="0"/>
          <w:sz w:val="32"/>
          <w:szCs w:val="32"/>
          <w:shd w:val="clear" w:color="auto" w:fill="FFFFFF"/>
          <w:lang w:eastAsia="zh-CN"/>
        </w:rPr>
        <w:t>人员概况：核定编制</w:t>
      </w:r>
      <w:r>
        <w:rPr>
          <w:rFonts w:hint="eastAsia" w:ascii="仿宋_GB2312" w:hAnsi="仿宋_GB2312" w:eastAsia="仿宋_GB2312" w:cs="仿宋_GB2312"/>
          <w:snapToGrid w:val="0"/>
          <w:color w:val="000000"/>
          <w:spacing w:val="0"/>
          <w:kern w:val="0"/>
          <w:sz w:val="32"/>
          <w:szCs w:val="32"/>
          <w:shd w:val="clear" w:color="auto" w:fill="FFFFFF"/>
          <w:lang w:val="en-US" w:eastAsia="zh-CN"/>
        </w:rPr>
        <w:t>16名，其中机关行政编制5名，参公编制5名，机关工勤编制1名，事业编制5人。</w:t>
      </w:r>
      <w:r>
        <w:rPr>
          <w:rFonts w:hint="eastAsia" w:ascii="仿宋_GB2312" w:hAnsi="仿宋_GB2312" w:eastAsia="仿宋_GB2312" w:cs="仿宋_GB2312"/>
          <w:snapToGrid w:val="0"/>
          <w:spacing w:val="0"/>
          <w:kern w:val="0"/>
          <w:sz w:val="32"/>
          <w:szCs w:val="32"/>
          <w:shd w:val="clear" w:color="auto" w:fill="FFFFFF"/>
          <w:lang w:val="en-US" w:eastAsia="zh-CN"/>
        </w:rPr>
        <w:t>2022年末，在编人员14人（其中，行政8人含参公人员、机关工勤1人，事业5人），</w:t>
      </w:r>
      <w:r>
        <w:rPr>
          <w:rFonts w:hint="eastAsia" w:ascii="仿宋_GB2312" w:hAnsi="仿宋_GB2312" w:eastAsia="仿宋_GB2312" w:cs="仿宋_GB2312"/>
          <w:snapToGrid w:val="0"/>
          <w:spacing w:val="0"/>
          <w:kern w:val="0"/>
          <w:sz w:val="32"/>
          <w:szCs w:val="32"/>
          <w:shd w:val="clear" w:color="auto" w:fill="FFFFFF"/>
          <w:lang w:eastAsia="zh-CN"/>
        </w:rPr>
        <w:t>其中在编人员</w:t>
      </w:r>
      <w:r>
        <w:rPr>
          <w:rFonts w:hint="eastAsia" w:ascii="仿宋_GB2312" w:hAnsi="仿宋_GB2312" w:eastAsia="仿宋_GB2312" w:cs="仿宋_GB2312"/>
          <w:snapToGrid w:val="0"/>
          <w:spacing w:val="0"/>
          <w:kern w:val="0"/>
          <w:sz w:val="32"/>
          <w:szCs w:val="32"/>
          <w:shd w:val="clear" w:color="auto" w:fill="FFFFFF"/>
          <w:lang w:val="en-US" w:eastAsia="zh-CN"/>
        </w:rPr>
        <w:t>1人抽调至区委重点督导组，1人（机关工勤）因公务用车改革抽调至外事和公务服务中心；</w:t>
      </w:r>
      <w:r>
        <w:rPr>
          <w:rFonts w:hint="eastAsia" w:ascii="仿宋_GB2312" w:hAnsi="仿宋_GB2312" w:eastAsia="仿宋_GB2312" w:cs="仿宋_GB2312"/>
          <w:snapToGrid w:val="0"/>
          <w:spacing w:val="0"/>
          <w:kern w:val="0"/>
          <w:sz w:val="32"/>
          <w:szCs w:val="32"/>
          <w:shd w:val="clear" w:color="auto" w:fill="FFFFFF"/>
          <w:lang w:eastAsia="zh-CN"/>
        </w:rPr>
        <w:t>为做好两项改革后半篇文章及体制改革工作</w:t>
      </w:r>
      <w:r>
        <w:rPr>
          <w:rFonts w:hint="eastAsia" w:ascii="仿宋_GB2312" w:hAnsi="仿宋_GB2312" w:eastAsia="仿宋_GB2312" w:cs="仿宋_GB2312"/>
          <w:snapToGrid w:val="0"/>
          <w:spacing w:val="0"/>
          <w:kern w:val="0"/>
          <w:sz w:val="32"/>
          <w:szCs w:val="32"/>
          <w:shd w:val="clear" w:color="auto" w:fill="FFFFFF"/>
          <w:lang w:val="en-US" w:eastAsia="zh-CN"/>
        </w:rPr>
        <w:t>，抽调1人充实到我办。</w:t>
      </w:r>
      <w:r>
        <w:rPr>
          <w:rFonts w:hint="eastAsia" w:ascii="仿宋_GB2312" w:hAnsi="仿宋_GB2312" w:eastAsia="仿宋_GB2312" w:cs="仿宋_GB2312"/>
          <w:snapToGrid w:val="0"/>
          <w:spacing w:val="0"/>
          <w:kern w:val="0"/>
          <w:sz w:val="32"/>
          <w:szCs w:val="32"/>
          <w:shd w:val="clear" w:color="auto" w:fill="FFFFFF"/>
          <w:lang w:eastAsia="zh-CN"/>
        </w:rPr>
        <w:t>从年龄结构看，</w:t>
      </w:r>
      <w:r>
        <w:rPr>
          <w:rFonts w:hint="eastAsia" w:ascii="仿宋_GB2312" w:hAnsi="仿宋_GB2312" w:eastAsia="仿宋_GB2312" w:cs="仿宋_GB2312"/>
          <w:snapToGrid w:val="0"/>
          <w:spacing w:val="0"/>
          <w:kern w:val="0"/>
          <w:sz w:val="32"/>
          <w:szCs w:val="32"/>
          <w:shd w:val="clear" w:color="auto" w:fill="FFFFFF"/>
          <w:lang w:val="en-US" w:eastAsia="zh-CN"/>
        </w:rPr>
        <w:t>50岁以上3人，35岁到50岁</w:t>
      </w:r>
      <w:r>
        <w:rPr>
          <w:rFonts w:hint="eastAsia" w:ascii="仿宋_GB2312" w:hAnsi="仿宋_GB2312" w:eastAsia="仿宋_GB2312" w:cs="仿宋_GB2312"/>
          <w:snapToGrid w:val="0"/>
          <w:spacing w:val="-11"/>
          <w:kern w:val="0"/>
          <w:sz w:val="32"/>
          <w:szCs w:val="32"/>
          <w:shd w:val="clear" w:color="auto" w:fill="FFFFFF"/>
          <w:lang w:val="en-US" w:eastAsia="zh-CN"/>
        </w:rPr>
        <w:t>9人，35岁以下2人；从学历看，</w:t>
      </w:r>
      <w:r>
        <w:rPr>
          <w:rFonts w:hint="eastAsia" w:ascii="仿宋_GB2312" w:hAnsi="仿宋_GB2312" w:eastAsia="仿宋_GB2312" w:cs="仿宋_GB2312"/>
          <w:snapToGrid w:val="0"/>
          <w:spacing w:val="-11"/>
          <w:kern w:val="0"/>
          <w:sz w:val="32"/>
          <w:szCs w:val="32"/>
          <w:shd w:val="clear" w:color="auto" w:fill="FFFFFF"/>
          <w:lang w:eastAsia="zh-CN"/>
        </w:rPr>
        <w:t>本科学历</w:t>
      </w:r>
      <w:r>
        <w:rPr>
          <w:rFonts w:hint="eastAsia" w:ascii="仿宋_GB2312" w:hAnsi="仿宋_GB2312" w:eastAsia="仿宋_GB2312" w:cs="仿宋_GB2312"/>
          <w:snapToGrid w:val="0"/>
          <w:spacing w:val="-11"/>
          <w:kern w:val="0"/>
          <w:sz w:val="32"/>
          <w:szCs w:val="32"/>
          <w:shd w:val="clear" w:color="auto" w:fill="FFFFFF"/>
          <w:lang w:val="en-US" w:eastAsia="zh-CN"/>
        </w:rPr>
        <w:t>10人，大专学历4人。</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420" w:leftChars="200" w:firstLine="320" w:firstLineChars="1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年度主要工作任务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强化政治引领</w:t>
      </w:r>
      <w:r>
        <w:rPr>
          <w:rFonts w:hint="eastAsia" w:ascii="仿宋_GB2312" w:hAnsi="仿宋_GB2312" w:eastAsia="仿宋_GB2312" w:cs="仿宋_GB2312"/>
          <w:sz w:val="32"/>
          <w:szCs w:val="32"/>
          <w:lang w:eastAsia="zh-CN"/>
        </w:rPr>
        <w:t>，深入贯彻执行</w:t>
      </w:r>
      <w:r>
        <w:rPr>
          <w:rFonts w:hint="eastAsia" w:ascii="仿宋_GB2312" w:hAnsi="仿宋_GB2312" w:eastAsia="仿宋_GB2312" w:cs="仿宋_GB2312"/>
          <w:sz w:val="32"/>
          <w:szCs w:val="32"/>
        </w:rPr>
        <w:t>党管机构编制</w:t>
      </w:r>
      <w:r>
        <w:rPr>
          <w:rFonts w:hint="eastAsia" w:ascii="仿宋_GB2312" w:hAnsi="仿宋_GB2312" w:eastAsia="仿宋_GB2312" w:cs="仿宋_GB2312"/>
          <w:sz w:val="32"/>
          <w:szCs w:val="32"/>
          <w:lang w:eastAsia="zh-CN"/>
        </w:rPr>
        <w:t>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坚决拥护“两个确立”和坚定践行“两个维护”。</w:t>
      </w:r>
      <w:r>
        <w:rPr>
          <w:rFonts w:hint="eastAsia" w:ascii="仿宋_GB2312" w:hAnsi="仿宋_GB2312" w:eastAsia="仿宋_GB2312" w:cs="仿宋_GB2312"/>
          <w:sz w:val="32"/>
          <w:szCs w:val="32"/>
          <w:lang w:eastAsia="zh-CN"/>
        </w:rPr>
        <w:t>坚持把学习贯彻</w:t>
      </w:r>
      <w:r>
        <w:rPr>
          <w:rFonts w:hint="eastAsia" w:ascii="仿宋_GB2312" w:hAnsi="仿宋_GB2312" w:eastAsia="仿宋_GB2312" w:cs="仿宋_GB2312"/>
          <w:sz w:val="32"/>
          <w:szCs w:val="32"/>
        </w:rPr>
        <w:t>习近平新时代中国特色社会主义思想</w:t>
      </w:r>
      <w:r>
        <w:rPr>
          <w:rFonts w:hint="eastAsia" w:ascii="仿宋_GB2312" w:hAnsi="仿宋_GB2312" w:eastAsia="仿宋_GB2312" w:cs="仿宋_GB2312"/>
          <w:sz w:val="32"/>
          <w:szCs w:val="32"/>
          <w:lang w:eastAsia="zh-CN"/>
        </w:rPr>
        <w:t>为重大政治任务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深刻</w:t>
      </w:r>
      <w:r>
        <w:rPr>
          <w:rFonts w:hint="eastAsia" w:ascii="仿宋_GB2312" w:hAnsi="仿宋_GB2312" w:eastAsia="仿宋_GB2312" w:cs="仿宋_GB2312"/>
          <w:sz w:val="32"/>
          <w:szCs w:val="32"/>
        </w:rPr>
        <w:t>领悟思想内涵、精神实质和核心要义，</w:t>
      </w:r>
      <w:r>
        <w:rPr>
          <w:rFonts w:hint="eastAsia" w:ascii="仿宋_GB2312" w:hAnsi="仿宋_GB2312" w:eastAsia="仿宋_GB2312" w:cs="仿宋_GB2312"/>
          <w:sz w:val="32"/>
          <w:szCs w:val="32"/>
          <w:lang w:eastAsia="zh-CN"/>
        </w:rPr>
        <w:t>着力转化为践行</w:t>
      </w:r>
      <w:r>
        <w:rPr>
          <w:rFonts w:hint="eastAsia" w:ascii="仿宋_GB2312" w:hAnsi="仿宋_GB2312" w:eastAsia="仿宋_GB2312" w:cs="仿宋_GB2312"/>
          <w:sz w:val="32"/>
          <w:szCs w:val="32"/>
        </w:rPr>
        <w:t>“两个维护”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拥护“两个确立”</w:t>
      </w:r>
      <w:r>
        <w:rPr>
          <w:rFonts w:hint="eastAsia" w:ascii="仿宋_GB2312" w:hAnsi="仿宋_GB2312" w:eastAsia="仿宋_GB2312" w:cs="仿宋_GB2312"/>
          <w:sz w:val="32"/>
          <w:szCs w:val="32"/>
          <w:lang w:eastAsia="zh-CN"/>
        </w:rPr>
        <w:t>的思想自觉和行动自觉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lang w:eastAsia="zh-CN"/>
        </w:rPr>
        <w:t>）坚决</w:t>
      </w:r>
      <w:r>
        <w:rPr>
          <w:rFonts w:hint="eastAsia" w:ascii="楷体_GB2312" w:hAnsi="楷体_GB2312" w:eastAsia="楷体_GB2312" w:cs="楷体_GB2312"/>
          <w:sz w:val="32"/>
          <w:szCs w:val="32"/>
        </w:rPr>
        <w:t>贯彻落实习近平总书记关于机构编制工作系列重要论述精神。</w:t>
      </w:r>
      <w:r>
        <w:rPr>
          <w:rFonts w:hint="eastAsia" w:ascii="仿宋_GB2312" w:hAnsi="仿宋_GB2312" w:eastAsia="仿宋_GB2312" w:cs="仿宋_GB2312"/>
          <w:sz w:val="32"/>
          <w:szCs w:val="32"/>
        </w:rPr>
        <w:t>持续</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学习习近平总书记关于机构编制工作的重要讲话精神，准确把握新时代机构编制工作的战略定位、目标使命、原则导向和任务要求</w:t>
      </w:r>
      <w:r>
        <w:rPr>
          <w:rFonts w:hint="eastAsia" w:ascii="仿宋_GB2312" w:hAnsi="仿宋_GB2312" w:eastAsia="仿宋_GB2312" w:cs="仿宋_GB2312"/>
          <w:sz w:val="32"/>
          <w:szCs w:val="32"/>
          <w:lang w:eastAsia="zh-CN"/>
        </w:rPr>
        <w:t>。强化政治意识和全局观念，增强使命意识和责任担当，努力把总书记提出的新理念新要求新方法，融入到工作谋划中，落实到工作推进中，不断提升政治站位和工作站位。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）坚决将党的集中统一领导贯穿到机构编制工作各方面全过程。</w:t>
      </w:r>
      <w:r>
        <w:rPr>
          <w:rFonts w:hint="eastAsia" w:ascii="仿宋_GB2312" w:hAnsi="仿宋_GB2312" w:eastAsia="仿宋_GB2312" w:cs="仿宋_GB2312"/>
          <w:sz w:val="32"/>
          <w:szCs w:val="32"/>
          <w:lang w:eastAsia="zh-CN"/>
        </w:rPr>
        <w:t>深入贯彻新时代党的政治路线、组织路线，强化机构编制部门政治属性，严格执行党管机构编制的组织制度、运行方式和审批程序。党的二十大和省第十二次党代会召开后，深入学习贯彻会议精神，进一步理清工作思路、把准工作方向、推动工作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中心大局，充分发挥机构编制服务保障作用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lang w:eastAsia="zh-CN"/>
        </w:rPr>
        <w:t>）推动完善</w:t>
      </w:r>
      <w:r>
        <w:rPr>
          <w:rFonts w:hint="eastAsia" w:ascii="楷体_GB2312" w:hAnsi="楷体_GB2312" w:eastAsia="楷体_GB2312" w:cs="楷体_GB2312"/>
          <w:sz w:val="32"/>
          <w:szCs w:val="32"/>
        </w:rPr>
        <w:t>加强党的全面领导的制度安排。</w:t>
      </w:r>
      <w:r>
        <w:rPr>
          <w:rFonts w:hint="eastAsia" w:ascii="仿宋_GB2312" w:hAnsi="仿宋_GB2312" w:eastAsia="仿宋_GB2312" w:cs="仿宋_GB2312"/>
          <w:sz w:val="32"/>
          <w:szCs w:val="32"/>
        </w:rPr>
        <w:t>围绕坚持和加强党的全面领导，</w:t>
      </w:r>
      <w:r>
        <w:rPr>
          <w:rFonts w:hint="eastAsia" w:ascii="仿宋_GB2312" w:hAnsi="仿宋_GB2312" w:eastAsia="仿宋_GB2312" w:cs="仿宋_GB2312"/>
          <w:sz w:val="32"/>
          <w:szCs w:val="32"/>
          <w:lang w:eastAsia="zh-CN"/>
        </w:rPr>
        <w:t>聚焦党中央、省委、市委、区委战略部署，</w:t>
      </w:r>
      <w:r>
        <w:rPr>
          <w:rFonts w:hint="eastAsia" w:ascii="仿宋_GB2312" w:hAnsi="仿宋_GB2312" w:eastAsia="仿宋_GB2312" w:cs="仿宋_GB2312"/>
          <w:sz w:val="32"/>
          <w:szCs w:val="32"/>
        </w:rPr>
        <w:t>优化党政群机关机构设置和人员力量配置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级议事协调机构办事机构设置和运行机制。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服务保障</w:t>
      </w:r>
      <w:r>
        <w:rPr>
          <w:rFonts w:hint="eastAsia" w:ascii="楷体_GB2312" w:hAnsi="楷体_GB2312" w:eastAsia="楷体_GB2312" w:cs="楷体_GB2312"/>
          <w:sz w:val="32"/>
          <w:szCs w:val="32"/>
          <w:lang w:eastAsia="zh-CN"/>
        </w:rPr>
        <w:t>区委全会</w:t>
      </w:r>
      <w:r>
        <w:rPr>
          <w:rFonts w:hint="eastAsia" w:ascii="楷体_GB2312" w:hAnsi="楷体_GB2312" w:eastAsia="楷体_GB2312" w:cs="楷体_GB2312"/>
          <w:sz w:val="32"/>
          <w:szCs w:val="32"/>
        </w:rPr>
        <w:t>决策部署。</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区委八届三次全会</w:t>
      </w:r>
      <w:r>
        <w:rPr>
          <w:rFonts w:hint="eastAsia" w:ascii="仿宋_GB2312" w:hAnsi="仿宋_GB2312" w:eastAsia="仿宋_GB2312" w:cs="仿宋_GB2312"/>
          <w:sz w:val="32"/>
          <w:szCs w:val="32"/>
        </w:rPr>
        <w:t>确定的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1234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战略谋划，</w:t>
      </w:r>
      <w:r>
        <w:rPr>
          <w:rFonts w:hint="eastAsia" w:ascii="仿宋_GB2312" w:hAnsi="仿宋_GB2312" w:eastAsia="仿宋_GB2312" w:cs="仿宋_GB2312"/>
          <w:sz w:val="32"/>
          <w:szCs w:val="32"/>
          <w:lang w:eastAsia="zh-CN"/>
        </w:rPr>
        <w:t>聚力服务</w:t>
      </w:r>
      <w:r>
        <w:rPr>
          <w:rFonts w:hint="eastAsia" w:ascii="仿宋_GB2312" w:hAnsi="仿宋_GB2312" w:eastAsia="仿宋_GB2312" w:cs="仿宋_GB2312"/>
          <w:sz w:val="32"/>
          <w:szCs w:val="32"/>
        </w:rPr>
        <w:t>生态</w:t>
      </w:r>
      <w:r>
        <w:rPr>
          <w:rFonts w:hint="eastAsia" w:ascii="仿宋_GB2312" w:hAnsi="仿宋_GB2312" w:eastAsia="仿宋_GB2312" w:cs="仿宋_GB2312"/>
          <w:sz w:val="32"/>
          <w:szCs w:val="32"/>
          <w:lang w:eastAsia="zh-CN"/>
        </w:rPr>
        <w:t>、文旅、物流、民营“四大经济”，聚焦保障人口聚集、教育提质、</w:t>
      </w:r>
      <w:r>
        <w:rPr>
          <w:rFonts w:hint="eastAsia" w:ascii="仿宋_GB2312" w:hAnsi="仿宋_GB2312" w:eastAsia="仿宋_GB2312" w:cs="仿宋_GB2312"/>
          <w:sz w:val="32"/>
          <w:szCs w:val="32"/>
        </w:rPr>
        <w:t>健康守护</w:t>
      </w:r>
      <w:r>
        <w:rPr>
          <w:rFonts w:hint="eastAsia" w:ascii="仿宋_GB2312" w:hAnsi="仿宋_GB2312" w:eastAsia="仿宋_GB2312" w:cs="仿宋_GB2312"/>
          <w:sz w:val="32"/>
          <w:szCs w:val="32"/>
          <w:lang w:eastAsia="zh-CN"/>
        </w:rPr>
        <w:t>、环境优化“四大工程”，</w:t>
      </w:r>
      <w:r>
        <w:rPr>
          <w:rFonts w:hint="eastAsia" w:ascii="仿宋_GB2312" w:hAnsi="仿宋_GB2312" w:eastAsia="仿宋_GB2312" w:cs="仿宋_GB2312"/>
          <w:sz w:val="32"/>
          <w:szCs w:val="32"/>
        </w:rPr>
        <w:t>统筹推进机构设置、科学配置职能职责、用好用活编制资源。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持续抓好“三定”规定制定修订和组织实施工作。</w:t>
      </w:r>
      <w:r>
        <w:rPr>
          <w:rFonts w:hint="eastAsia" w:ascii="仿宋_GB2312" w:hAnsi="仿宋_GB2312" w:eastAsia="仿宋_GB2312" w:cs="仿宋_GB2312"/>
          <w:sz w:val="32"/>
          <w:szCs w:val="32"/>
        </w:rPr>
        <w:t>跟踪了解部门（单位）“三定”规定执行情况，督促落实到位。适时制定</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乡村振兴局</w:t>
      </w:r>
      <w:r>
        <w:rPr>
          <w:rFonts w:hint="eastAsia" w:ascii="仿宋_GB2312" w:hAnsi="仿宋_GB2312" w:eastAsia="仿宋_GB2312" w:cs="仿宋_GB2312"/>
          <w:sz w:val="32"/>
          <w:szCs w:val="32"/>
          <w:lang w:eastAsia="zh-CN"/>
        </w:rPr>
        <w:t>、区金融事务中心</w:t>
      </w:r>
      <w:r>
        <w:rPr>
          <w:rFonts w:hint="eastAsia" w:ascii="仿宋_GB2312" w:hAnsi="仿宋_GB2312" w:eastAsia="仿宋_GB2312" w:cs="仿宋_GB2312"/>
          <w:sz w:val="32"/>
          <w:szCs w:val="32"/>
        </w:rPr>
        <w:t>等“三定”规定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直部门“三定”修订情况，对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级部门职责任务发生</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大调整的“三定”规定予以修订。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扎实开展机构编制基础性前瞻性研究。</w:t>
      </w:r>
      <w:r>
        <w:rPr>
          <w:rFonts w:hint="eastAsia" w:ascii="仿宋_GB2312" w:hAnsi="仿宋_GB2312" w:eastAsia="仿宋_GB2312" w:cs="仿宋_GB2312"/>
          <w:sz w:val="32"/>
          <w:szCs w:val="32"/>
        </w:rPr>
        <w:t>聚焦</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委中心大局和反映强烈的民生领域背后体制机制问题</w:t>
      </w:r>
      <w:r>
        <w:rPr>
          <w:rFonts w:hint="eastAsia" w:ascii="仿宋_GB2312" w:hAnsi="仿宋_GB2312" w:eastAsia="仿宋_GB2312" w:cs="仿宋_GB2312"/>
          <w:sz w:val="32"/>
          <w:szCs w:val="32"/>
          <w:lang w:eastAsia="zh-CN"/>
        </w:rPr>
        <w:t>，深入开展专题调研</w:t>
      </w:r>
      <w:r>
        <w:rPr>
          <w:rFonts w:hint="eastAsia" w:ascii="仿宋_GB2312" w:hAnsi="仿宋_GB2312" w:eastAsia="仿宋_GB2312" w:cs="仿宋_GB2312"/>
          <w:sz w:val="32"/>
          <w:szCs w:val="32"/>
        </w:rPr>
        <w:t>，认真收集第一手资料，</w:t>
      </w:r>
      <w:r>
        <w:rPr>
          <w:rFonts w:hint="eastAsia" w:ascii="仿宋_GB2312" w:hAnsi="仿宋_GB2312" w:eastAsia="仿宋_GB2312" w:cs="仿宋_GB2312"/>
          <w:sz w:val="32"/>
          <w:szCs w:val="32"/>
          <w:lang w:eastAsia="zh-CN"/>
        </w:rPr>
        <w:t>为区委决策提供参阅</w:t>
      </w:r>
      <w:r>
        <w:rPr>
          <w:rFonts w:hint="eastAsia" w:ascii="仿宋_GB2312" w:hAnsi="仿宋_GB2312" w:eastAsia="仿宋_GB2312" w:cs="仿宋_GB2312"/>
          <w:sz w:val="32"/>
          <w:szCs w:val="32"/>
        </w:rPr>
        <w:t>。围绕分类推进有关重要领域体制机制基础性前瞻性研究，深入研究机构设置职责运行、人员编制规模、领导职数等问题，形成一批高质量、可推广的研究成果和创新案例。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创新管理体制</w:t>
      </w:r>
      <w:r>
        <w:rPr>
          <w:rFonts w:hint="eastAsia" w:ascii="仿宋_GB2312" w:hAnsi="仿宋_GB2312" w:eastAsia="仿宋_GB2312" w:cs="仿宋_GB2312"/>
          <w:sz w:val="32"/>
          <w:szCs w:val="32"/>
        </w:rPr>
        <w:t>，推进治理体系和治理能力现代化建设</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持续做好两项改革“后半篇”文章机构编制保障工作。</w:t>
      </w:r>
      <w:r>
        <w:rPr>
          <w:rFonts w:hint="eastAsia" w:ascii="仿宋_GB2312" w:hAnsi="仿宋_GB2312" w:eastAsia="仿宋_GB2312" w:cs="仿宋_GB2312"/>
          <w:sz w:val="32"/>
          <w:szCs w:val="32"/>
        </w:rPr>
        <w:t>围绕国土空间规划调整，</w:t>
      </w:r>
      <w:r>
        <w:rPr>
          <w:rFonts w:hint="eastAsia" w:ascii="仿宋_GB2312" w:hAnsi="仿宋_GB2312" w:eastAsia="仿宋_GB2312" w:cs="仿宋_GB2312"/>
          <w:sz w:val="32"/>
          <w:szCs w:val="32"/>
          <w:lang w:eastAsia="zh-CN"/>
        </w:rPr>
        <w:t>加快</w:t>
      </w:r>
      <w:r>
        <w:rPr>
          <w:rFonts w:hint="eastAsia" w:ascii="仿宋_GB2312" w:hAnsi="仿宋_GB2312" w:eastAsia="仿宋_GB2312" w:cs="仿宋_GB2312"/>
          <w:sz w:val="32"/>
          <w:szCs w:val="32"/>
        </w:rPr>
        <w:t>建立与片区经济发展相匹配的编制资源动态调整体系，全面推动编制资源向中心镇聚集。深化基层管理体制创新，持续巩固</w:t>
      </w:r>
      <w:r>
        <w:rPr>
          <w:rFonts w:hint="eastAsia" w:ascii="仿宋_GB2312" w:hAnsi="仿宋_GB2312" w:eastAsia="仿宋_GB2312" w:cs="仿宋_GB2312"/>
          <w:sz w:val="32"/>
          <w:szCs w:val="32"/>
          <w:lang w:eastAsia="zh-CN"/>
        </w:rPr>
        <w:t>深化</w:t>
      </w:r>
      <w:r>
        <w:rPr>
          <w:rFonts w:hint="eastAsia" w:ascii="仿宋_GB2312" w:hAnsi="仿宋_GB2312" w:eastAsia="仿宋_GB2312" w:cs="仿宋_GB2312"/>
          <w:sz w:val="32"/>
          <w:szCs w:val="32"/>
          <w:lang w:val="en-US" w:eastAsia="zh-CN"/>
        </w:rPr>
        <w:t>“2办1所4中心”的</w:t>
      </w:r>
      <w:r>
        <w:rPr>
          <w:rFonts w:hint="eastAsia" w:ascii="仿宋_GB2312" w:hAnsi="仿宋_GB2312" w:eastAsia="仿宋_GB2312" w:cs="仿宋_GB2312"/>
          <w:sz w:val="32"/>
          <w:szCs w:val="32"/>
        </w:rPr>
        <w:t>乡镇机构管理“扁平化”试点成果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实现编制分类管理、人员统筹使用</w:t>
      </w:r>
      <w:r>
        <w:rPr>
          <w:rFonts w:hint="eastAsia" w:ascii="仿宋_GB2312" w:hAnsi="仿宋_GB2312" w:eastAsia="仿宋_GB2312" w:cs="仿宋_GB2312"/>
          <w:sz w:val="32"/>
          <w:szCs w:val="32"/>
        </w:rPr>
        <w:t>。进一步理顺区</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部门派驻乡镇机构管理体制，规范公安、司法、市场监管等领域派驻机构设置，</w:t>
      </w:r>
      <w:r>
        <w:rPr>
          <w:rFonts w:hint="eastAsia" w:ascii="仿宋_GB2312" w:hAnsi="仿宋_GB2312" w:eastAsia="仿宋_GB2312" w:cs="仿宋_GB2312"/>
          <w:sz w:val="32"/>
          <w:szCs w:val="32"/>
          <w:lang w:eastAsia="zh-CN"/>
        </w:rPr>
        <w:t>逐步</w:t>
      </w:r>
      <w:r>
        <w:rPr>
          <w:rFonts w:hint="eastAsia" w:ascii="仿宋_GB2312" w:hAnsi="仿宋_GB2312" w:eastAsia="仿宋_GB2312" w:cs="仿宋_GB2312"/>
          <w:sz w:val="32"/>
          <w:szCs w:val="32"/>
        </w:rPr>
        <w:t>完善“五权”下放</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lang w:val="en-US" w:eastAsia="zh-CN"/>
        </w:rPr>
        <w:t>双重领导、双方协同、双向考核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具体举措落地落实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按要求</w:t>
      </w:r>
      <w:r>
        <w:rPr>
          <w:rFonts w:hint="eastAsia" w:ascii="仿宋_GB2312" w:hAnsi="仿宋_GB2312" w:eastAsia="仿宋_GB2312" w:cs="仿宋_GB2312"/>
          <w:sz w:val="32"/>
          <w:szCs w:val="32"/>
        </w:rPr>
        <w:t>开展街道管理体制改革</w:t>
      </w:r>
      <w:r>
        <w:rPr>
          <w:rFonts w:hint="eastAsia" w:ascii="仿宋_GB2312" w:hAnsi="仿宋_GB2312" w:eastAsia="仿宋_GB2312" w:cs="仿宋_GB2312"/>
          <w:sz w:val="32"/>
          <w:szCs w:val="32"/>
          <w:lang w:eastAsia="zh-CN"/>
        </w:rPr>
        <w:t>探索和</w:t>
      </w:r>
      <w:r>
        <w:rPr>
          <w:rFonts w:hint="eastAsia" w:ascii="仿宋_GB2312" w:hAnsi="仿宋_GB2312" w:eastAsia="仿宋_GB2312" w:cs="仿宋_GB2312"/>
          <w:sz w:val="32"/>
          <w:szCs w:val="32"/>
        </w:rPr>
        <w:t>调研。</w:t>
      </w:r>
    </w:p>
    <w:p>
      <w:p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深化综合行政执法改革。</w:t>
      </w:r>
      <w:r>
        <w:rPr>
          <w:rFonts w:hint="eastAsia" w:ascii="仿宋_GB2312" w:hAnsi="仿宋_GB2312" w:eastAsia="仿宋_GB2312" w:cs="仿宋_GB2312"/>
          <w:sz w:val="32"/>
          <w:szCs w:val="32"/>
        </w:rPr>
        <w:t>继续对行政执法队伍锁定的事业编制严格管理。扎实开展综合行政执法改革后续跟踪调研，进一步推动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综合</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相对集中行使执法权力，健全完善综合执法机构和相关行业管理部门协作配合机制。</w:t>
      </w:r>
      <w:r>
        <w:rPr>
          <w:rFonts w:hint="eastAsia" w:ascii="仿宋_GB2312" w:hAnsi="仿宋_GB2312" w:eastAsia="仿宋_GB2312" w:cs="仿宋_GB2312"/>
          <w:sz w:val="32"/>
          <w:szCs w:val="32"/>
          <w:lang w:eastAsia="zh-CN"/>
        </w:rPr>
        <w:t>深化</w:t>
      </w:r>
      <w:r>
        <w:rPr>
          <w:rFonts w:hint="eastAsia" w:ascii="仿宋_GB2312" w:hAnsi="仿宋_GB2312" w:eastAsia="仿宋_GB2312" w:cs="仿宋_GB2312"/>
          <w:sz w:val="32"/>
          <w:szCs w:val="32"/>
          <w:lang w:val="en-US" w:eastAsia="zh-CN"/>
        </w:rPr>
        <w:t>“1+4+X”的乡镇综合行政执法体系建设，严格执行《</w:t>
      </w:r>
      <w:r>
        <w:rPr>
          <w:rFonts w:hint="eastAsia" w:ascii="仿宋_GB2312" w:hAnsi="仿宋_GB2312" w:eastAsia="仿宋_GB2312" w:cs="仿宋_GB2312"/>
          <w:sz w:val="32"/>
          <w:szCs w:val="32"/>
        </w:rPr>
        <w:t>关于加强</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镇综合</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执法工作的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lang w:val="en-US" w:eastAsia="zh-CN"/>
        </w:rPr>
        <w:t>》要求，推行联席会议制度，完善培训提能、经费投入、</w:t>
      </w:r>
      <w:r>
        <w:rPr>
          <w:rFonts w:hint="eastAsia" w:ascii="仿宋_GB2312" w:hAnsi="仿宋_GB2312" w:cs="仿宋_GB2312"/>
          <w:sz w:val="32"/>
          <w:szCs w:val="32"/>
          <w:lang w:val="en-US" w:eastAsia="zh-CN"/>
        </w:rPr>
        <w:t>创</w:t>
      </w:r>
      <w:r>
        <w:rPr>
          <w:rFonts w:hint="eastAsia" w:ascii="仿宋_GB2312" w:hAnsi="仿宋_GB2312" w:eastAsia="仿宋_GB2312" w:cs="仿宋_GB2312"/>
          <w:sz w:val="32"/>
          <w:szCs w:val="32"/>
          <w:lang w:val="en-US" w:eastAsia="zh-CN"/>
        </w:rPr>
        <w:t>优激励等保障措施，提升乡镇执法水平。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持续深化权责清单制度建设。</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有序承接</w:t>
      </w:r>
      <w:r>
        <w:rPr>
          <w:rFonts w:hint="eastAsia" w:ascii="仿宋_GB2312" w:hAnsi="仿宋_GB2312" w:eastAsia="仿宋_GB2312" w:cs="仿宋_GB2312"/>
          <w:sz w:val="32"/>
          <w:szCs w:val="32"/>
          <w:lang w:eastAsia="zh-CN"/>
        </w:rPr>
        <w:t>《四川省赋予乡镇（街道）县级行政权力事项指导目录（第二批）》。按要求</w:t>
      </w:r>
      <w:r>
        <w:rPr>
          <w:rFonts w:hint="eastAsia" w:ascii="仿宋_GB2312" w:hAnsi="仿宋_GB2312" w:eastAsia="仿宋_GB2312" w:cs="仿宋_GB2312"/>
          <w:sz w:val="32"/>
          <w:szCs w:val="32"/>
        </w:rPr>
        <w:t>推进向区行政审批局和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综合行政执法局赋权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理顺审批监管执法关系。</w:t>
      </w:r>
      <w:r>
        <w:rPr>
          <w:rFonts w:hint="eastAsia" w:ascii="仿宋_GB2312" w:hAnsi="仿宋_GB2312" w:eastAsia="仿宋_GB2312" w:cs="仿宋_GB2312"/>
          <w:sz w:val="32"/>
          <w:szCs w:val="32"/>
          <w:lang w:eastAsia="zh-CN"/>
        </w:rPr>
        <w:t>对应市上</w:t>
      </w:r>
      <w:r>
        <w:rPr>
          <w:rFonts w:hint="eastAsia" w:ascii="仿宋_GB2312" w:hAnsi="仿宋_GB2312" w:eastAsia="仿宋_GB2312" w:cs="仿宋_GB2312"/>
          <w:sz w:val="32"/>
          <w:szCs w:val="32"/>
        </w:rPr>
        <w:t>动态调整</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级部门行政权力事项，并指导相关部门依据行政权力事项制定责任清单，确保权责一致，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推动协同高效</w:t>
      </w:r>
      <w:r>
        <w:rPr>
          <w:rFonts w:hint="eastAsia" w:ascii="仿宋_GB2312" w:hAnsi="仿宋_GB2312" w:eastAsia="仿宋_GB2312" w:cs="仿宋_GB2312"/>
          <w:sz w:val="32"/>
          <w:szCs w:val="32"/>
        </w:rPr>
        <w:t>，深化重点领域和关键环节体制机制改革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稳步推进事业单位改革。</w:t>
      </w:r>
      <w:r>
        <w:rPr>
          <w:rFonts w:hint="eastAsia" w:ascii="仿宋_GB2312" w:hAnsi="仿宋_GB2312" w:eastAsia="仿宋_GB2312" w:cs="仿宋_GB2312"/>
          <w:sz w:val="32"/>
          <w:szCs w:val="32"/>
        </w:rPr>
        <w:t>按照省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统一部署，积极</w:t>
      </w:r>
      <w:r>
        <w:rPr>
          <w:rFonts w:hint="eastAsia" w:ascii="仿宋_GB2312" w:hAnsi="仿宋_GB2312" w:eastAsia="仿宋_GB2312" w:cs="仿宋_GB2312"/>
          <w:sz w:val="32"/>
          <w:szCs w:val="32"/>
          <w:lang w:eastAsia="zh-CN"/>
        </w:rPr>
        <w:t>稳妥深化</w:t>
      </w:r>
      <w:r>
        <w:rPr>
          <w:rFonts w:hint="eastAsia" w:ascii="仿宋_GB2312" w:hAnsi="仿宋_GB2312" w:eastAsia="仿宋_GB2312" w:cs="仿宋_GB2312"/>
          <w:sz w:val="32"/>
          <w:szCs w:val="32"/>
        </w:rPr>
        <w:t>事业单位改革相关工作。聚焦相关行业领域事业单位管理突出问题，推动“行业大块”“用编大户”改革，整合重复设置、职责交叉、职能相近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事业单位，厘清职责边界，强化事业单位公益属性。持续推进事业单位分类改革，积极推进公益二类事业单位政府购买服务改革。做好林长制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融媒体改革等涉及的机构编制调整工作。加大对人才引进编制的统筹保障力度。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深化开发区管理体制改革创新。</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生态立区、</w:t>
      </w:r>
      <w:r>
        <w:rPr>
          <w:rFonts w:hint="eastAsia" w:ascii="仿宋_GB2312" w:hAnsi="仿宋_GB2312" w:eastAsia="仿宋_GB2312" w:cs="仿宋_GB2312"/>
          <w:sz w:val="32"/>
          <w:szCs w:val="32"/>
        </w:rPr>
        <w:t>工业强区、文旅兴区</w:t>
      </w:r>
      <w:r>
        <w:rPr>
          <w:rFonts w:hint="eastAsia" w:ascii="仿宋_GB2312" w:hAnsi="仿宋_GB2312" w:eastAsia="仿宋_GB2312" w:cs="仿宋_GB2312"/>
          <w:sz w:val="32"/>
          <w:szCs w:val="32"/>
          <w:lang w:eastAsia="zh-CN"/>
        </w:rPr>
        <w:t>、协调发展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总体</w:t>
      </w:r>
      <w:r>
        <w:rPr>
          <w:rFonts w:hint="eastAsia" w:ascii="仿宋_GB2312" w:hAnsi="仿宋_GB2312" w:eastAsia="仿宋_GB2312" w:cs="仿宋_GB2312"/>
          <w:sz w:val="32"/>
          <w:szCs w:val="32"/>
        </w:rPr>
        <w:t>思路，进一步调整规范开发区（园区）管理机构设置，</w:t>
      </w:r>
      <w:r>
        <w:rPr>
          <w:rFonts w:hint="eastAsia" w:ascii="仿宋_GB2312" w:hAnsi="仿宋_GB2312" w:eastAsia="仿宋_GB2312" w:cs="仿宋_GB2312"/>
          <w:sz w:val="32"/>
          <w:szCs w:val="32"/>
          <w:lang w:eastAsia="zh-CN"/>
        </w:rPr>
        <w:t>积极为朝天经济开发区管理机构提供体制机制保障</w:t>
      </w:r>
      <w:r>
        <w:rPr>
          <w:rFonts w:hint="eastAsia" w:ascii="仿宋_GB2312" w:hAnsi="仿宋_GB2312" w:eastAsia="仿宋_GB2312" w:cs="仿宋_GB2312"/>
          <w:sz w:val="32"/>
          <w:szCs w:val="32"/>
        </w:rPr>
        <w:t>，持续跟踪了解开发区（园区）管理运行情况；加强景区、农业园区管理体制调研</w:t>
      </w:r>
      <w:r>
        <w:rPr>
          <w:rFonts w:hint="eastAsia" w:ascii="仿宋_GB2312" w:hAnsi="仿宋_GB2312" w:eastAsia="仿宋_GB2312" w:cs="仿宋_GB2312"/>
          <w:sz w:val="32"/>
          <w:szCs w:val="32"/>
          <w:lang w:eastAsia="zh-CN"/>
        </w:rPr>
        <w:t>，配合分类建立管理机构考核标准和管理办法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按要求做好开发区管理机构备案工作，</w:t>
      </w:r>
      <w:r>
        <w:rPr>
          <w:rFonts w:hint="eastAsia" w:ascii="仿宋_GB2312" w:hAnsi="仿宋_GB2312" w:eastAsia="仿宋_GB2312" w:cs="仿宋_GB2312"/>
          <w:sz w:val="32"/>
          <w:szCs w:val="32"/>
        </w:rPr>
        <w:t>清理规范开发区管理机构，推动各类开发区管理机构设置规范、编制配备合理、职能职责清晰、体制机制顺畅。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13</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深化重点行业领域体制机制改革。</w:t>
      </w:r>
      <w:r>
        <w:rPr>
          <w:rFonts w:hint="eastAsia" w:ascii="仿宋_GB2312" w:hAnsi="仿宋_GB2312" w:eastAsia="仿宋_GB2312" w:cs="仿宋_GB2312"/>
          <w:sz w:val="32"/>
          <w:szCs w:val="32"/>
        </w:rPr>
        <w:t>持续深化纪检监察派出（驻）机构、巡察工作机构、公安机关、</w:t>
      </w:r>
      <w:r>
        <w:rPr>
          <w:rFonts w:hint="eastAsia" w:ascii="仿宋_GB2312" w:hAnsi="仿宋_GB2312" w:eastAsia="仿宋_GB2312" w:cs="仿宋_GB2312"/>
          <w:sz w:val="32"/>
          <w:szCs w:val="32"/>
          <w:u w:val="none"/>
        </w:rPr>
        <w:t>国家安全、国防动员、</w:t>
      </w:r>
      <w:r>
        <w:rPr>
          <w:rFonts w:hint="eastAsia" w:ascii="仿宋_GB2312" w:hAnsi="仿宋_GB2312" w:eastAsia="仿宋_GB2312" w:cs="仿宋_GB2312"/>
          <w:sz w:val="32"/>
          <w:szCs w:val="32"/>
        </w:rPr>
        <w:t>疾病预防控制体系体制改革。做好</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行政复议体制改革机构编制保障工作。不断完善应急管理、安全生产等领域职责分工，厘清与重点领域、新行业、新业态有关的部门安全监管职责边界。加强文物保护机构编制保障。统筹涉网监管部门行政执法资源，加强网络执法机构建设。强化校外培训监管部门行政执法职责和工作力量。</w:t>
      </w:r>
      <w:r>
        <w:rPr>
          <w:rFonts w:hint="eastAsia" w:ascii="仿宋_GB2312" w:hAnsi="仿宋_GB2312" w:eastAsia="仿宋_GB2312" w:cs="仿宋_GB2312"/>
          <w:sz w:val="32"/>
          <w:szCs w:val="32"/>
          <w:lang w:eastAsia="zh-CN"/>
        </w:rPr>
        <w:t>做好职业教育机构改革工作机构编制保障。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优化资源配置，着力实现</w:t>
      </w:r>
      <w:r>
        <w:rPr>
          <w:rFonts w:hint="eastAsia" w:ascii="仿宋_GB2312" w:hAnsi="仿宋_GB2312" w:eastAsia="仿宋_GB2312" w:cs="仿宋_GB2312"/>
          <w:sz w:val="32"/>
          <w:szCs w:val="32"/>
        </w:rPr>
        <w:t>机构编制</w:t>
      </w:r>
      <w:r>
        <w:rPr>
          <w:rFonts w:hint="eastAsia" w:ascii="仿宋_GB2312" w:hAnsi="仿宋_GB2312" w:eastAsia="仿宋_GB2312" w:cs="仿宋_GB2312"/>
          <w:sz w:val="32"/>
          <w:szCs w:val="32"/>
          <w:lang w:eastAsia="zh-CN"/>
        </w:rPr>
        <w:t>管理规范高效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14</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强化</w:t>
      </w:r>
      <w:r>
        <w:rPr>
          <w:rFonts w:hint="eastAsia" w:ascii="楷体_GB2312" w:hAnsi="楷体_GB2312" w:eastAsia="楷体_GB2312" w:cs="楷体_GB2312"/>
          <w:sz w:val="32"/>
          <w:szCs w:val="32"/>
          <w:lang w:eastAsia="zh-CN"/>
        </w:rPr>
        <w:t>机构</w:t>
      </w:r>
      <w:r>
        <w:rPr>
          <w:rFonts w:hint="eastAsia" w:ascii="楷体_GB2312" w:hAnsi="楷体_GB2312" w:eastAsia="楷体_GB2312" w:cs="楷体_GB2312"/>
          <w:sz w:val="32"/>
          <w:szCs w:val="32"/>
        </w:rPr>
        <w:t>编制总量管理。</w:t>
      </w:r>
      <w:r>
        <w:rPr>
          <w:rFonts w:hint="eastAsia" w:ascii="仿宋_GB2312" w:hAnsi="仿宋_GB2312" w:eastAsia="仿宋_GB2312" w:cs="仿宋_GB2312"/>
          <w:sz w:val="32"/>
          <w:szCs w:val="32"/>
        </w:rPr>
        <w:t>继续落实“过紧日子”要求，加大</w:t>
      </w:r>
      <w:r>
        <w:rPr>
          <w:rFonts w:hint="eastAsia" w:ascii="仿宋_GB2312" w:hAnsi="仿宋_GB2312" w:eastAsia="仿宋_GB2312" w:cs="仿宋_GB2312"/>
          <w:sz w:val="32"/>
          <w:szCs w:val="32"/>
          <w:lang w:eastAsia="zh-CN"/>
        </w:rPr>
        <w:t>机构编制</w:t>
      </w:r>
      <w:r>
        <w:rPr>
          <w:rFonts w:hint="eastAsia" w:ascii="仿宋_GB2312" w:hAnsi="仿宋_GB2312" w:eastAsia="仿宋_GB2312" w:cs="仿宋_GB2312"/>
          <w:sz w:val="32"/>
          <w:szCs w:val="32"/>
        </w:rPr>
        <w:t>内部挖潜创新力度，推动</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编制资源集约利用。按照事业发展需要科学配置</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编制资源，围绕创新驱动高质量发展、绿色低碳优势产业发展、重大民生改善和社会安全稳定等重点领域提供编制服务保障。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15</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健全编制动态调整长效机制。</w:t>
      </w:r>
      <w:r>
        <w:rPr>
          <w:rFonts w:hint="eastAsia" w:ascii="仿宋_GB2312" w:hAnsi="仿宋_GB2312" w:eastAsia="仿宋_GB2312" w:cs="仿宋_GB2312"/>
          <w:sz w:val="32"/>
          <w:szCs w:val="32"/>
        </w:rPr>
        <w:t>加强对部门履职情况的监测分析，持续探索统筹使用各类编制资源的有效途径，推动编制资源跨部门、跨层级动态调整。扎实开展</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中小学教职工编制动态调整工作。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16</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深化机构编制管理评估工作。</w:t>
      </w:r>
      <w:r>
        <w:rPr>
          <w:rFonts w:hint="eastAsia" w:ascii="仿宋_GB2312" w:hAnsi="仿宋_GB2312" w:eastAsia="仿宋_GB2312" w:cs="仿宋_GB2312"/>
          <w:sz w:val="32"/>
          <w:szCs w:val="32"/>
        </w:rPr>
        <w:t>探索开展机构编制</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评估试点，合理设置、调整优化符合实际的评估指标体系，完善评估流程和方法步骤，推进机构编制申请事项、执行情况、使用效益评估。持续强化评估结果应用，</w:t>
      </w:r>
      <w:r>
        <w:rPr>
          <w:rFonts w:hint="eastAsia" w:ascii="仿宋_GB2312" w:hAnsi="仿宋_GB2312" w:eastAsia="仿宋_GB2312" w:cs="仿宋_GB2312"/>
          <w:sz w:val="32"/>
          <w:szCs w:val="32"/>
          <w:lang w:eastAsia="zh-CN"/>
        </w:rPr>
        <w:t>将其</w:t>
      </w:r>
      <w:r>
        <w:rPr>
          <w:rFonts w:hint="eastAsia" w:ascii="仿宋_GB2312" w:hAnsi="仿宋_GB2312" w:eastAsia="仿宋_GB2312" w:cs="仿宋_GB2312"/>
          <w:sz w:val="32"/>
          <w:szCs w:val="32"/>
        </w:rPr>
        <w:t>作为改进机构编制管理统筹使用、动态调整编制资源</w:t>
      </w:r>
      <w:r>
        <w:rPr>
          <w:rFonts w:hint="eastAsia" w:ascii="仿宋_GB2312" w:hAnsi="仿宋_GB2312" w:eastAsia="仿宋_GB2312" w:cs="仿宋_GB2312"/>
          <w:sz w:val="32"/>
          <w:szCs w:val="32"/>
          <w:lang w:eastAsia="zh-CN"/>
        </w:rPr>
        <w:t>、领导作出决策的重要依据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17</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加强机构编制实名制管理。</w:t>
      </w:r>
      <w:r>
        <w:rPr>
          <w:rFonts w:hint="eastAsia" w:ascii="仿宋_GB2312" w:hAnsi="仿宋_GB2312" w:eastAsia="仿宋_GB2312" w:cs="仿宋_GB2312"/>
          <w:sz w:val="32"/>
          <w:szCs w:val="32"/>
        </w:rPr>
        <w:t>加强机构编制数字化建设，拓展机构编制大数据应用。完善机构编制实名制管理台账，增强实名制数据运用实效。</w:t>
      </w:r>
      <w:r>
        <w:rPr>
          <w:rFonts w:hint="eastAsia" w:ascii="仿宋_GB2312" w:hAnsi="仿宋_GB2312" w:eastAsia="仿宋_GB2312" w:cs="仿宋_GB2312"/>
          <w:sz w:val="32"/>
          <w:szCs w:val="32"/>
          <w:lang w:eastAsia="zh-CN"/>
        </w:rPr>
        <w:t>探索开展</w:t>
      </w:r>
      <w:r>
        <w:rPr>
          <w:rFonts w:hint="eastAsia" w:ascii="仿宋_GB2312" w:hAnsi="仿宋_GB2312" w:eastAsia="仿宋_GB2312" w:cs="仿宋_GB2312"/>
          <w:sz w:val="32"/>
          <w:szCs w:val="32"/>
        </w:rPr>
        <w:t>上下编“不见面”办理试点工作</w:t>
      </w:r>
      <w:r>
        <w:rPr>
          <w:rFonts w:hint="eastAsia" w:ascii="仿宋_GB2312" w:hAnsi="仿宋_GB2312" w:eastAsia="仿宋_GB2312" w:cs="仿宋_GB2312"/>
          <w:sz w:val="32"/>
          <w:szCs w:val="32"/>
          <w:lang w:eastAsia="zh-CN"/>
        </w:rPr>
        <w:t>，并总结经验成效</w:t>
      </w:r>
      <w:r>
        <w:rPr>
          <w:rFonts w:hint="eastAsia" w:ascii="仿宋_GB2312" w:hAnsi="仿宋_GB2312" w:eastAsia="仿宋_GB2312" w:cs="仿宋_GB2312"/>
          <w:sz w:val="32"/>
          <w:szCs w:val="32"/>
        </w:rPr>
        <w:t>。进一步强化编制使用计划、核编登记等措施，严控财政供养人员增长。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（18）持续优化事业单位登记管理服务。</w:t>
      </w:r>
      <w:r>
        <w:rPr>
          <w:rFonts w:hint="eastAsia" w:ascii="仿宋_GB2312" w:hAnsi="仿宋_GB2312" w:eastAsia="仿宋_GB2312" w:cs="仿宋_GB2312"/>
          <w:sz w:val="32"/>
          <w:szCs w:val="32"/>
          <w:lang w:val="en-US" w:eastAsia="zh-CN"/>
        </w:rPr>
        <w:t>严格实施事业单位法人年度报告公示制度，开展“双随机、一公开”信息抽查工作。完善事业单位事中事后联动监管工作机制。</w:t>
      </w:r>
      <w:r>
        <w:rPr>
          <w:rFonts w:hint="eastAsia" w:ascii="仿宋_GB2312" w:hAnsi="仿宋_GB2312" w:eastAsia="仿宋_GB2312" w:cs="仿宋_GB2312"/>
          <w:sz w:val="32"/>
          <w:szCs w:val="32"/>
        </w:rPr>
        <w:t>持续做好机关事业单位</w:t>
      </w:r>
      <w:r>
        <w:rPr>
          <w:rFonts w:hint="eastAsia" w:ascii="仿宋_GB2312" w:hAnsi="仿宋_GB2312" w:eastAsia="仿宋_GB2312" w:cs="仿宋_GB2312"/>
          <w:sz w:val="32"/>
          <w:szCs w:val="32"/>
          <w:lang w:eastAsia="zh-CN"/>
        </w:rPr>
        <w:t>登记管理、</w:t>
      </w:r>
      <w:r>
        <w:rPr>
          <w:rFonts w:hint="eastAsia" w:ascii="仿宋_GB2312" w:hAnsi="仿宋_GB2312" w:eastAsia="仿宋_GB2312" w:cs="仿宋_GB2312"/>
          <w:sz w:val="32"/>
          <w:szCs w:val="32"/>
        </w:rPr>
        <w:t>中文域名管理和网站挂标清理规范工作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坚持刚性约束，</w:t>
      </w:r>
      <w:r>
        <w:rPr>
          <w:rFonts w:hint="eastAsia" w:ascii="仿宋_GB2312" w:hAnsi="仿宋_GB2312" w:eastAsia="仿宋_GB2312" w:cs="仿宋_GB2312"/>
          <w:sz w:val="32"/>
          <w:szCs w:val="32"/>
          <w:lang w:eastAsia="zh-CN"/>
        </w:rPr>
        <w:t>大力</w:t>
      </w:r>
      <w:r>
        <w:rPr>
          <w:rFonts w:hint="eastAsia" w:ascii="仿宋_GB2312" w:hAnsi="仿宋_GB2312" w:eastAsia="仿宋_GB2312" w:cs="仿宋_GB2312"/>
          <w:sz w:val="32"/>
          <w:szCs w:val="32"/>
        </w:rPr>
        <w:t>推动机构编制</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19</w:t>
      </w:r>
      <w:r>
        <w:rPr>
          <w:rFonts w:hint="eastAsia" w:ascii="楷体_GB2312" w:hAnsi="楷体_GB2312" w:eastAsia="楷体_GB2312" w:cs="楷体_GB2312"/>
          <w:sz w:val="32"/>
          <w:szCs w:val="32"/>
          <w:lang w:eastAsia="zh-CN"/>
        </w:rPr>
        <w:t>）从严执行</w:t>
      </w:r>
      <w:r>
        <w:rPr>
          <w:rFonts w:hint="eastAsia" w:ascii="楷体_GB2312" w:hAnsi="楷体_GB2312" w:eastAsia="楷体_GB2312" w:cs="楷体_GB2312"/>
          <w:sz w:val="32"/>
          <w:szCs w:val="32"/>
        </w:rPr>
        <w:t>机构编制法规制度。</w:t>
      </w:r>
      <w:r>
        <w:rPr>
          <w:rFonts w:hint="eastAsia" w:ascii="仿宋_GB2312" w:hAnsi="仿宋_GB2312" w:eastAsia="仿宋_GB2312" w:cs="仿宋_GB2312"/>
          <w:sz w:val="32"/>
          <w:szCs w:val="32"/>
        </w:rPr>
        <w:t>认真贯彻《中国共产党机构编制工作条例》《四川省贯彻〈条例〉实施办法》</w:t>
      </w:r>
      <w:r>
        <w:rPr>
          <w:rFonts w:hint="eastAsia" w:ascii="仿宋_GB2312" w:hAnsi="仿宋_GB2312" w:eastAsia="仿宋_GB2312" w:cs="仿宋_GB2312"/>
          <w:sz w:val="32"/>
          <w:szCs w:val="32"/>
          <w:lang w:eastAsia="zh-CN"/>
        </w:rPr>
        <w:t>及其系列配套法规制度</w:t>
      </w:r>
      <w:r>
        <w:rPr>
          <w:rFonts w:hint="eastAsia" w:ascii="仿宋_GB2312" w:hAnsi="仿宋_GB2312" w:eastAsia="仿宋_GB2312" w:cs="仿宋_GB2312"/>
          <w:sz w:val="32"/>
          <w:szCs w:val="32"/>
        </w:rPr>
        <w:t>，严格执行机构编制重要事项请示报告制度，强化请示报告主体责任。完善合法合规性审查等工作机制，加强规范性文件前置审核。</w:t>
      </w:r>
      <w:r>
        <w:rPr>
          <w:rFonts w:hint="eastAsia" w:ascii="仿宋_GB2312" w:hAnsi="仿宋_GB2312" w:eastAsia="仿宋_GB2312" w:cs="仿宋_GB2312"/>
          <w:sz w:val="32"/>
          <w:szCs w:val="32"/>
          <w:lang w:eastAsia="zh-CN"/>
        </w:rPr>
        <w:t>严格依法依规依程序办理机构编制事项。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健全完善机构编制法规制度。</w:t>
      </w:r>
      <w:r>
        <w:rPr>
          <w:rFonts w:hint="eastAsia" w:ascii="仿宋_GB2312" w:hAnsi="仿宋_GB2312" w:eastAsia="仿宋_GB2312" w:cs="仿宋_GB2312"/>
          <w:sz w:val="32"/>
          <w:szCs w:val="32"/>
        </w:rPr>
        <w:t>抓好机构编制法规制度体系建设，统筹推进“立改废释”工作。推行机构编制重大决策论证咨询制度，进一步规范重大改革政策出台前社会稳定风险评估流程。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加强机构编制监督检查。</w:t>
      </w:r>
      <w:r>
        <w:rPr>
          <w:rFonts w:hint="eastAsia" w:ascii="仿宋_GB2312" w:hAnsi="仿宋_GB2312" w:eastAsia="仿宋_GB2312" w:cs="仿宋_GB2312"/>
          <w:sz w:val="32"/>
          <w:szCs w:val="32"/>
        </w:rPr>
        <w:t>开展“条条干预”专项整治工作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持续加强议事协调机构监督管理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严控编外聘用人员</w:t>
      </w:r>
      <w:r>
        <w:rPr>
          <w:rFonts w:hint="eastAsia" w:ascii="仿宋_GB2312" w:hAnsi="仿宋_GB2312" w:eastAsia="仿宋_GB2312" w:cs="仿宋_GB2312"/>
          <w:sz w:val="32"/>
          <w:szCs w:val="32"/>
          <w:lang w:eastAsia="zh-CN"/>
        </w:rPr>
        <w:t>总量</w:t>
      </w:r>
      <w:r>
        <w:rPr>
          <w:rFonts w:hint="eastAsia" w:ascii="仿宋_GB2312" w:hAnsi="仿宋_GB2312" w:eastAsia="仿宋_GB2312" w:cs="仿宋_GB2312"/>
          <w:sz w:val="32"/>
          <w:szCs w:val="32"/>
        </w:rPr>
        <w:t>，进一步建立健全相关管理机制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加强和改进机构编制信访工作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常态化做好</w:t>
      </w:r>
      <w:r>
        <w:rPr>
          <w:rFonts w:hint="eastAsia" w:ascii="仿宋_GB2312" w:hAnsi="仿宋_GB2312" w:eastAsia="仿宋_GB2312" w:cs="仿宋_GB2312"/>
          <w:sz w:val="32"/>
          <w:szCs w:val="32"/>
          <w:lang w:eastAsia="zh-CN"/>
        </w:rPr>
        <w:t>机构编制信访</w:t>
      </w:r>
      <w:r>
        <w:rPr>
          <w:rFonts w:hint="eastAsia" w:ascii="仿宋_GB2312" w:hAnsi="仿宋_GB2312" w:eastAsia="仿宋_GB2312" w:cs="仿宋_GB2312"/>
          <w:sz w:val="32"/>
          <w:szCs w:val="32"/>
        </w:rPr>
        <w:t>举报受理工作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强化对机构编制政策法规执行和违纪违规情况的日常监督，探索建立案件调查、约谈、整改等工作机制，切实维护机构编制</w:t>
      </w:r>
      <w:r>
        <w:rPr>
          <w:rFonts w:hint="eastAsia" w:ascii="仿宋_GB2312" w:hAnsi="仿宋_GB2312" w:eastAsia="仿宋_GB2312" w:cs="仿宋_GB2312"/>
          <w:sz w:val="32"/>
          <w:szCs w:val="32"/>
          <w:lang w:eastAsia="zh-CN"/>
        </w:rPr>
        <w:t>法规制度</w:t>
      </w:r>
      <w:r>
        <w:rPr>
          <w:rFonts w:hint="eastAsia" w:ascii="仿宋_GB2312" w:hAnsi="仿宋_GB2312" w:eastAsia="仿宋_GB2312" w:cs="仿宋_GB2312"/>
          <w:sz w:val="32"/>
          <w:szCs w:val="32"/>
        </w:rPr>
        <w:t>的权威性</w:t>
      </w:r>
      <w:r>
        <w:rPr>
          <w:rFonts w:hint="eastAsia" w:ascii="仿宋_GB2312" w:hAnsi="仿宋_GB2312" w:eastAsia="仿宋_GB2312" w:cs="仿宋_GB2312"/>
          <w:sz w:val="32"/>
          <w:szCs w:val="32"/>
          <w:lang w:eastAsia="zh-CN"/>
        </w:rPr>
        <w:t>严肃性</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强化自身建设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打造高素质专业化机构编制队伍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持续</w:t>
      </w:r>
      <w:r>
        <w:rPr>
          <w:rFonts w:hint="eastAsia" w:ascii="楷体_GB2312" w:hAnsi="楷体_GB2312" w:eastAsia="楷体_GB2312" w:cs="楷体_GB2312"/>
          <w:sz w:val="32"/>
          <w:szCs w:val="32"/>
          <w:lang w:eastAsia="zh-CN"/>
        </w:rPr>
        <w:t>深化“党建引领”专项行动</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严格落实归口党委组织</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管理要求，</w:t>
      </w:r>
      <w:r>
        <w:rPr>
          <w:rFonts w:hint="eastAsia" w:ascii="仿宋_GB2312" w:hAnsi="仿宋_GB2312" w:eastAsia="仿宋_GB2312" w:cs="仿宋_GB2312"/>
          <w:sz w:val="32"/>
          <w:szCs w:val="32"/>
          <w:lang w:eastAsia="zh-CN"/>
        </w:rPr>
        <w:t>在党管干部、党管组织的大框架下谋划和推动机构编制工作。严格落实意识形态责任制，持续巩固拓展党史学习教育成果，</w:t>
      </w:r>
      <w:r>
        <w:rPr>
          <w:rFonts w:hint="eastAsia" w:ascii="仿宋_GB2312" w:hAnsi="仿宋_GB2312" w:eastAsia="仿宋_GB2312" w:cs="仿宋_GB2312"/>
          <w:sz w:val="32"/>
          <w:szCs w:val="32"/>
        </w:rPr>
        <w:t>不断提高政治判断力、政治领悟力、政治执行力</w:t>
      </w:r>
      <w:r>
        <w:rPr>
          <w:rFonts w:hint="eastAsia" w:ascii="仿宋_GB2312" w:hAnsi="仿宋_GB2312" w:eastAsia="仿宋_GB2312" w:cs="仿宋_GB2312"/>
          <w:sz w:val="32"/>
          <w:szCs w:val="32"/>
          <w:lang w:eastAsia="zh-CN"/>
        </w:rPr>
        <w:t>。强化机关党支部规范化标准化建设。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23</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持续</w:t>
      </w:r>
      <w:r>
        <w:rPr>
          <w:rFonts w:hint="eastAsia" w:ascii="楷体_GB2312" w:hAnsi="楷体_GB2312" w:eastAsia="楷体_GB2312" w:cs="楷体_GB2312"/>
          <w:sz w:val="32"/>
          <w:szCs w:val="32"/>
          <w:lang w:eastAsia="zh-CN"/>
        </w:rPr>
        <w:t>深化“全员提能”专项行动</w:t>
      </w:r>
      <w:r>
        <w:rPr>
          <w:rFonts w:hint="eastAsia" w:ascii="楷体_GB2312" w:hAnsi="楷体_GB2312" w:eastAsia="楷体_GB2312" w:cs="楷体_GB2312"/>
          <w:sz w:val="32"/>
          <w:szCs w:val="32"/>
        </w:rPr>
        <w:t>。</w:t>
      </w:r>
      <w:r>
        <w:rPr>
          <w:rFonts w:hint="eastAsia" w:ascii="仿宋_GB2312" w:hAnsi="仿宋_GB2312" w:eastAsia="仿宋_GB2312" w:cs="仿宋_GB2312"/>
          <w:b w:val="0"/>
          <w:bCs w:val="0"/>
          <w:color w:val="000000" w:themeColor="text1"/>
          <w:spacing w:val="0"/>
          <w:kern w:val="0"/>
          <w:sz w:val="32"/>
          <w:szCs w:val="32"/>
          <w:u w:val="none"/>
          <w:lang w:eastAsia="zh-CN"/>
          <w14:textFill>
            <w14:solidFill>
              <w14:schemeClr w14:val="tx1"/>
            </w14:solidFill>
          </w14:textFill>
        </w:rPr>
        <w:t>开展“人人上讲台、个个当教员”活动，</w:t>
      </w:r>
      <w:r>
        <w:rPr>
          <w:rFonts w:hint="eastAsia" w:ascii="仿宋_GB2312" w:hAnsi="仿宋_GB2312" w:eastAsia="仿宋_GB2312" w:cs="仿宋_GB2312"/>
          <w:b w:val="0"/>
          <w:bCs w:val="0"/>
          <w:color w:val="000000" w:themeColor="text1"/>
          <w:spacing w:val="0"/>
          <w:kern w:val="0"/>
          <w:sz w:val="32"/>
          <w:szCs w:val="32"/>
          <w:u w:val="none"/>
          <w:lang w:val="en-US" w:eastAsia="zh-CN"/>
          <w14:textFill>
            <w14:solidFill>
              <w14:schemeClr w14:val="tx1"/>
            </w14:solidFill>
          </w14:textFill>
        </w:rPr>
        <w:t>用好学习强国、“朝天机构编制讲堂”等平台载体，</w:t>
      </w:r>
      <w:r>
        <w:rPr>
          <w:rFonts w:hint="eastAsia" w:ascii="仿宋_GB2312" w:hAnsi="仿宋_GB2312" w:eastAsia="仿宋_GB2312" w:cs="仿宋_GB2312"/>
          <w:b w:val="0"/>
          <w:bCs w:val="0"/>
          <w:color w:val="000000" w:themeColor="text1"/>
          <w:spacing w:val="0"/>
          <w:kern w:val="0"/>
          <w:sz w:val="32"/>
          <w:szCs w:val="32"/>
          <w:u w:val="none"/>
          <w:lang w:eastAsia="zh-CN"/>
          <w14:textFill>
            <w14:solidFill>
              <w14:schemeClr w14:val="tx1"/>
            </w14:solidFill>
          </w14:textFill>
        </w:rPr>
        <w:t>持续深化机构编制政策法规学习研究和业务培训，全面提升机关干部统筹思考全局和灵活运用政策的能力。</w:t>
      </w:r>
      <w:r>
        <w:rPr>
          <w:rFonts w:hint="eastAsia" w:ascii="仿宋_GB2312" w:hAnsi="仿宋_GB2312" w:eastAsia="仿宋_GB2312" w:cs="仿宋_GB2312"/>
          <w:sz w:val="32"/>
          <w:szCs w:val="32"/>
          <w:lang w:eastAsia="zh-CN"/>
        </w:rPr>
        <w:t>实行“全员信息、全员宣传”，提升工作影响力。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24</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持续</w:t>
      </w:r>
      <w:r>
        <w:rPr>
          <w:rFonts w:hint="eastAsia" w:ascii="楷体_GB2312" w:hAnsi="楷体_GB2312" w:eastAsia="楷体_GB2312" w:cs="楷体_GB2312"/>
          <w:sz w:val="32"/>
          <w:szCs w:val="32"/>
          <w:lang w:eastAsia="zh-CN"/>
        </w:rPr>
        <w:t>深化“服务提质”专项行动</w:t>
      </w:r>
      <w:r>
        <w:rPr>
          <w:rFonts w:hint="eastAsia" w:ascii="楷体_GB2312" w:hAnsi="楷体_GB2312" w:eastAsia="楷体_GB2312" w:cs="楷体_GB2312"/>
          <w:sz w:val="32"/>
          <w:szCs w:val="32"/>
        </w:rPr>
        <w:t>。</w:t>
      </w:r>
      <w:r>
        <w:rPr>
          <w:rFonts w:hint="eastAsia" w:ascii="仿宋_GB2312" w:hAnsi="仿宋_GB2312" w:eastAsia="仿宋_GB2312" w:cs="仿宋_GB2312"/>
          <w:b w:val="0"/>
          <w:bCs w:val="0"/>
          <w:color w:val="000000" w:themeColor="text1"/>
          <w:spacing w:val="0"/>
          <w:kern w:val="0"/>
          <w:sz w:val="32"/>
          <w:szCs w:val="32"/>
          <w:u w:val="none"/>
          <w:lang w:val="en-US" w:eastAsia="zh-CN"/>
          <w14:textFill>
            <w14:solidFill>
              <w14:schemeClr w14:val="tx1"/>
            </w14:solidFill>
          </w14:textFill>
        </w:rPr>
        <w:t>把落实乡村振兴定点帮扶作为重大政治任务，保障驻村力量，协同省委编办做好红坪村定点帮扶。</w:t>
      </w:r>
      <w:r>
        <w:rPr>
          <w:rFonts w:hint="eastAsia" w:ascii="仿宋_GB2312" w:hAnsi="仿宋_GB2312" w:eastAsia="仿宋_GB2312" w:cs="仿宋_GB2312"/>
          <w:sz w:val="32"/>
          <w:szCs w:val="32"/>
          <w:lang w:eastAsia="zh-CN"/>
        </w:rPr>
        <w:t>深化“我为群众办实事”实践活动，坚持正确的党史观、树立远大的历史观，进一步加强工作的主动性系统性预见性，优化工作流程，提高服务质量，更好对接基层和群众需求。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25</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持续深化</w:t>
      </w:r>
      <w:r>
        <w:rPr>
          <w:rFonts w:hint="eastAsia" w:ascii="楷体_GB2312" w:hAnsi="楷体_GB2312" w:eastAsia="楷体_GB2312" w:cs="楷体_GB2312"/>
          <w:sz w:val="32"/>
          <w:szCs w:val="32"/>
          <w:lang w:eastAsia="zh-CN"/>
        </w:rPr>
        <w:t>“筑堤防腐”专项行动</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压紧压实全面从严治党</w:t>
      </w:r>
      <w:r>
        <w:rPr>
          <w:rFonts w:hint="eastAsia" w:ascii="仿宋_GB2312" w:hAnsi="仿宋_GB2312" w:eastAsia="仿宋_GB2312" w:cs="仿宋_GB2312"/>
          <w:sz w:val="32"/>
          <w:szCs w:val="32"/>
          <w:lang w:eastAsia="zh-CN"/>
        </w:rPr>
        <w:t>政治责任，细化落实</w:t>
      </w:r>
      <w:r>
        <w:rPr>
          <w:rFonts w:hint="eastAsia" w:ascii="仿宋_GB2312" w:hAnsi="仿宋_GB2312" w:eastAsia="仿宋_GB2312" w:cs="仿宋_GB2312"/>
          <w:sz w:val="32"/>
          <w:szCs w:val="32"/>
        </w:rPr>
        <w:t>“三张清单”</w:t>
      </w:r>
      <w:r>
        <w:rPr>
          <w:rFonts w:hint="eastAsia" w:ascii="仿宋_GB2312" w:hAnsi="仿宋_GB2312" w:eastAsia="仿宋_GB2312" w:cs="仿宋_GB2312"/>
          <w:sz w:val="32"/>
          <w:szCs w:val="32"/>
          <w:lang w:eastAsia="zh-CN"/>
        </w:rPr>
        <w:t>，积极配合驻区委组织部纪检监察组开展工作，推动党风廉政建设“四责协同”。扎实开展“纪律作风整顿深化年”活动，认真落实</w:t>
      </w:r>
      <w:r>
        <w:rPr>
          <w:rFonts w:hint="eastAsia" w:ascii="仿宋_GB2312" w:hAnsi="仿宋_GB2312" w:eastAsia="仿宋_GB2312" w:cs="仿宋_GB2312"/>
          <w:sz w:val="32"/>
          <w:szCs w:val="32"/>
        </w:rPr>
        <w:t>“回头看”</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持续巩固发展风清气正的良好政治生态</w:t>
      </w:r>
      <w:r>
        <w:rPr>
          <w:rFonts w:hint="eastAsia" w:ascii="仿宋_GB2312" w:hAnsi="仿宋_GB2312" w:eastAsia="仿宋_GB2312" w:cs="仿宋_GB2312"/>
          <w:sz w:val="32"/>
          <w:szCs w:val="32"/>
          <w:lang w:eastAsia="zh-CN"/>
        </w:rPr>
        <w:t>。</w:t>
      </w:r>
      <w:r>
        <w:rPr>
          <w:rFonts w:hint="eastAsia" w:ascii="仿宋_GB2312" w:eastAsia="仿宋_GB2312"/>
          <w:sz w:val="32"/>
          <w:szCs w:val="32"/>
        </w:rPr>
        <w:t>深化警示教育、纪法教育、廉洁教育和家风政德教育</w:t>
      </w:r>
      <w:r>
        <w:rPr>
          <w:rFonts w:hint="eastAsia" w:ascii="仿宋_GB2312" w:eastAsia="仿宋_GB2312"/>
          <w:sz w:val="32"/>
          <w:szCs w:val="32"/>
          <w:lang w:eastAsia="zh-CN"/>
        </w:rPr>
        <w:t>，</w:t>
      </w:r>
      <w:r>
        <w:rPr>
          <w:rFonts w:hint="eastAsia" w:ascii="仿宋_GB2312" w:eastAsia="仿宋_GB2312"/>
          <w:sz w:val="32"/>
          <w:szCs w:val="32"/>
        </w:rPr>
        <w:t>加强</w:t>
      </w:r>
      <w:r>
        <w:rPr>
          <w:rFonts w:hint="eastAsia" w:ascii="仿宋_GB2312" w:eastAsia="仿宋_GB2312"/>
          <w:sz w:val="32"/>
          <w:szCs w:val="32"/>
          <w:lang w:eastAsia="zh-CN"/>
        </w:rPr>
        <w:t>干部</w:t>
      </w:r>
      <w:r>
        <w:rPr>
          <w:rFonts w:hint="eastAsia" w:ascii="仿宋_GB2312" w:eastAsia="仿宋_GB2312"/>
          <w:sz w:val="32"/>
          <w:szCs w:val="32"/>
        </w:rPr>
        <w:t>日常监督管理</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（四）部门整体支出绩效目标</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napToGrid w:val="0"/>
          <w:spacing w:val="0"/>
          <w:kern w:val="0"/>
          <w:sz w:val="32"/>
          <w:szCs w:val="32"/>
          <w:lang w:eastAsia="zh-CN"/>
        </w:rPr>
      </w:pPr>
      <w:r>
        <w:rPr>
          <w:rFonts w:hint="eastAsia" w:ascii="仿宋_GB2312" w:hAnsi="仿宋_GB2312" w:eastAsia="仿宋_GB2312" w:cs="仿宋_GB2312"/>
          <w:snapToGrid w:val="0"/>
          <w:spacing w:val="0"/>
          <w:kern w:val="0"/>
          <w:sz w:val="32"/>
          <w:szCs w:val="32"/>
        </w:rPr>
        <w:t>20</w:t>
      </w:r>
      <w:r>
        <w:rPr>
          <w:rFonts w:hint="eastAsia" w:ascii="仿宋_GB2312" w:hAnsi="仿宋_GB2312" w:eastAsia="仿宋_GB2312" w:cs="仿宋_GB2312"/>
          <w:snapToGrid w:val="0"/>
          <w:spacing w:val="0"/>
          <w:kern w:val="0"/>
          <w:sz w:val="32"/>
          <w:szCs w:val="32"/>
          <w:lang w:val="en-US" w:eastAsia="zh-CN"/>
        </w:rPr>
        <w:t>22</w:t>
      </w:r>
      <w:r>
        <w:rPr>
          <w:rFonts w:hint="eastAsia" w:ascii="仿宋_GB2312" w:hAnsi="仿宋_GB2312" w:eastAsia="仿宋_GB2312" w:cs="仿宋_GB2312"/>
          <w:snapToGrid w:val="0"/>
          <w:spacing w:val="0"/>
          <w:kern w:val="0"/>
          <w:sz w:val="32"/>
          <w:szCs w:val="32"/>
        </w:rPr>
        <w:t>年预算严格按照财政要求，</w:t>
      </w:r>
      <w:r>
        <w:rPr>
          <w:rFonts w:hint="eastAsia" w:ascii="仿宋_GB2312" w:hAnsi="仿宋_GB2312" w:eastAsia="仿宋_GB2312" w:cs="仿宋_GB2312"/>
          <w:snapToGrid w:val="0"/>
          <w:spacing w:val="0"/>
          <w:kern w:val="0"/>
          <w:sz w:val="32"/>
          <w:szCs w:val="32"/>
          <w:lang w:eastAsia="zh-CN"/>
        </w:rPr>
        <w:t>结合</w:t>
      </w:r>
      <w:r>
        <w:rPr>
          <w:rFonts w:hint="eastAsia" w:ascii="仿宋_GB2312" w:hAnsi="仿宋_GB2312" w:eastAsia="仿宋_GB2312" w:cs="仿宋_GB2312"/>
          <w:snapToGrid w:val="0"/>
          <w:spacing w:val="0"/>
          <w:kern w:val="0"/>
          <w:sz w:val="32"/>
          <w:szCs w:val="32"/>
        </w:rPr>
        <w:t>单位实际，在规定的时间内完成了编制工作。主要分基本支出和项目支出两大版块。基本支出按照单位实有人数和各单项定额标准编制；项目支出主要是根据本单位基本职能和职责要求，为保障完成单位特定的行政工作和社会事业发展目标而编制。整个预算包含了财政资金的安排使用、管理情况等。</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rPr>
        <w:t>部门基本支出预算</w:t>
      </w:r>
      <w:r>
        <w:rPr>
          <w:rFonts w:hint="eastAsia" w:ascii="仿宋_GB2312" w:hAnsi="仿宋_GB2312" w:eastAsia="仿宋_GB2312" w:cs="仿宋_GB2312"/>
          <w:snapToGrid w:val="0"/>
          <w:spacing w:val="0"/>
          <w:kern w:val="0"/>
          <w:sz w:val="32"/>
          <w:szCs w:val="32"/>
          <w:lang w:val="en-US" w:eastAsia="zh-CN"/>
        </w:rPr>
        <w:t>222.64</w:t>
      </w:r>
      <w:r>
        <w:rPr>
          <w:rFonts w:hint="eastAsia" w:ascii="仿宋_GB2312" w:hAnsi="仿宋_GB2312" w:eastAsia="仿宋_GB2312" w:cs="仿宋_GB2312"/>
          <w:snapToGrid w:val="0"/>
          <w:spacing w:val="0"/>
          <w:kern w:val="0"/>
          <w:sz w:val="32"/>
          <w:szCs w:val="32"/>
        </w:rPr>
        <w:t>万元。其中：人员</w:t>
      </w:r>
      <w:r>
        <w:rPr>
          <w:rFonts w:hint="eastAsia" w:ascii="仿宋_GB2312" w:hAnsi="仿宋_GB2312" w:eastAsia="仿宋_GB2312" w:cs="仿宋_GB2312"/>
          <w:snapToGrid w:val="0"/>
          <w:spacing w:val="0"/>
          <w:kern w:val="0"/>
          <w:sz w:val="32"/>
          <w:szCs w:val="32"/>
          <w:lang w:val="en-US" w:eastAsia="zh-CN"/>
        </w:rPr>
        <w:t>类</w:t>
      </w:r>
      <w:r>
        <w:rPr>
          <w:rFonts w:hint="eastAsia" w:ascii="仿宋_GB2312" w:hAnsi="仿宋_GB2312" w:eastAsia="仿宋_GB2312" w:cs="仿宋_GB2312"/>
          <w:snapToGrid w:val="0"/>
          <w:spacing w:val="0"/>
          <w:kern w:val="0"/>
          <w:sz w:val="32"/>
          <w:szCs w:val="32"/>
        </w:rPr>
        <w:t>支出</w:t>
      </w:r>
      <w:r>
        <w:rPr>
          <w:rFonts w:hint="eastAsia" w:ascii="仿宋_GB2312" w:hAnsi="仿宋_GB2312" w:eastAsia="仿宋_GB2312" w:cs="仿宋_GB2312"/>
          <w:snapToGrid w:val="0"/>
          <w:spacing w:val="0"/>
          <w:kern w:val="0"/>
          <w:sz w:val="32"/>
          <w:szCs w:val="32"/>
          <w:lang w:val="en-US" w:eastAsia="zh-CN"/>
        </w:rPr>
        <w:t>201.23</w:t>
      </w:r>
      <w:r>
        <w:rPr>
          <w:rFonts w:hint="eastAsia" w:ascii="仿宋_GB2312" w:hAnsi="仿宋_GB2312" w:eastAsia="仿宋_GB2312" w:cs="仿宋_GB2312"/>
          <w:snapToGrid w:val="0"/>
          <w:spacing w:val="0"/>
          <w:kern w:val="0"/>
          <w:sz w:val="32"/>
          <w:szCs w:val="32"/>
        </w:rPr>
        <w:t>万元，主要包括</w:t>
      </w:r>
      <w:r>
        <w:rPr>
          <w:rFonts w:hint="eastAsia" w:ascii="仿宋_GB2312" w:hAnsi="仿宋_GB2312" w:eastAsia="仿宋_GB2312" w:cs="仿宋_GB2312"/>
          <w:snapToGrid w:val="0"/>
          <w:spacing w:val="0"/>
          <w:kern w:val="0"/>
          <w:sz w:val="32"/>
          <w:szCs w:val="32"/>
          <w:lang w:val="en-US" w:eastAsia="zh-CN"/>
        </w:rPr>
        <w:t>14名单位职工</w:t>
      </w:r>
      <w:r>
        <w:rPr>
          <w:rFonts w:hint="eastAsia" w:ascii="仿宋_GB2312" w:hAnsi="仿宋_GB2312" w:eastAsia="仿宋_GB2312" w:cs="仿宋_GB2312"/>
          <w:snapToGrid w:val="0"/>
          <w:spacing w:val="0"/>
          <w:kern w:val="0"/>
          <w:sz w:val="32"/>
          <w:szCs w:val="32"/>
        </w:rPr>
        <w:t>人员工资、津贴补贴、奖金、</w:t>
      </w:r>
      <w:r>
        <w:rPr>
          <w:rFonts w:hint="eastAsia" w:ascii="仿宋_GB2312" w:hAnsi="仿宋_GB2312" w:eastAsia="仿宋_GB2312" w:cs="仿宋_GB2312"/>
          <w:snapToGrid w:val="0"/>
          <w:spacing w:val="0"/>
          <w:kern w:val="0"/>
          <w:sz w:val="32"/>
          <w:szCs w:val="32"/>
          <w:lang w:eastAsia="zh-CN"/>
        </w:rPr>
        <w:t>各类保险费用缴费、公积金缴费及公务交通补贴</w:t>
      </w:r>
      <w:r>
        <w:rPr>
          <w:rFonts w:hint="eastAsia" w:ascii="仿宋_GB2312" w:hAnsi="仿宋_GB2312" w:eastAsia="仿宋_GB2312" w:cs="仿宋_GB2312"/>
          <w:snapToGrid w:val="0"/>
          <w:spacing w:val="0"/>
          <w:kern w:val="0"/>
          <w:sz w:val="32"/>
          <w:szCs w:val="32"/>
        </w:rPr>
        <w:t>等。公用</w:t>
      </w:r>
      <w:r>
        <w:rPr>
          <w:rFonts w:hint="eastAsia" w:ascii="仿宋_GB2312" w:hAnsi="仿宋_GB2312" w:eastAsia="仿宋_GB2312" w:cs="仿宋_GB2312"/>
          <w:snapToGrid w:val="0"/>
          <w:spacing w:val="0"/>
          <w:kern w:val="0"/>
          <w:sz w:val="32"/>
          <w:szCs w:val="32"/>
          <w:lang w:eastAsia="zh-CN"/>
        </w:rPr>
        <w:t>经费</w:t>
      </w:r>
      <w:r>
        <w:rPr>
          <w:rFonts w:hint="eastAsia" w:ascii="仿宋_GB2312" w:hAnsi="仿宋_GB2312" w:eastAsia="仿宋_GB2312" w:cs="仿宋_GB2312"/>
          <w:snapToGrid w:val="0"/>
          <w:spacing w:val="0"/>
          <w:kern w:val="0"/>
          <w:sz w:val="32"/>
          <w:szCs w:val="32"/>
        </w:rPr>
        <w:t>支出</w:t>
      </w:r>
      <w:r>
        <w:rPr>
          <w:rFonts w:hint="eastAsia" w:ascii="仿宋_GB2312" w:hAnsi="仿宋_GB2312" w:eastAsia="仿宋_GB2312" w:cs="仿宋_GB2312"/>
          <w:snapToGrid w:val="0"/>
          <w:spacing w:val="0"/>
          <w:kern w:val="0"/>
          <w:sz w:val="32"/>
          <w:szCs w:val="32"/>
          <w:lang w:val="en-US" w:eastAsia="zh-CN"/>
        </w:rPr>
        <w:t>21.42</w:t>
      </w:r>
      <w:r>
        <w:rPr>
          <w:rFonts w:hint="eastAsia" w:ascii="仿宋_GB2312" w:hAnsi="仿宋_GB2312" w:eastAsia="仿宋_GB2312" w:cs="仿宋_GB2312"/>
          <w:snapToGrid w:val="0"/>
          <w:spacing w:val="0"/>
          <w:kern w:val="0"/>
          <w:sz w:val="32"/>
          <w:szCs w:val="32"/>
        </w:rPr>
        <w:t>万元，主要包括</w:t>
      </w:r>
      <w:r>
        <w:rPr>
          <w:rFonts w:hint="eastAsia" w:ascii="仿宋_GB2312" w:hAnsi="仿宋_GB2312" w:eastAsia="仿宋_GB2312" w:cs="仿宋_GB2312"/>
          <w:snapToGrid w:val="0"/>
          <w:spacing w:val="0"/>
          <w:kern w:val="0"/>
          <w:sz w:val="32"/>
          <w:szCs w:val="32"/>
          <w:lang w:val="en-US" w:eastAsia="zh-CN"/>
        </w:rPr>
        <w:t>14名职工</w:t>
      </w:r>
      <w:r>
        <w:rPr>
          <w:rFonts w:hint="eastAsia" w:ascii="仿宋_GB2312" w:hAnsi="仿宋_GB2312" w:eastAsia="仿宋_GB2312" w:cs="仿宋_GB2312"/>
          <w:snapToGrid w:val="0"/>
          <w:spacing w:val="0"/>
          <w:kern w:val="0"/>
          <w:sz w:val="32"/>
          <w:szCs w:val="32"/>
        </w:rPr>
        <w:t>日常办公用品采购、水、电、气、差旅费、印刷、公务接待</w:t>
      </w:r>
      <w:r>
        <w:rPr>
          <w:rFonts w:hint="eastAsia" w:ascii="仿宋_GB2312" w:hAnsi="仿宋_GB2312" w:eastAsia="仿宋_GB2312" w:cs="仿宋_GB2312"/>
          <w:snapToGrid w:val="0"/>
          <w:spacing w:val="0"/>
          <w:kern w:val="0"/>
          <w:sz w:val="32"/>
          <w:szCs w:val="32"/>
          <w:lang w:eastAsia="zh-CN"/>
        </w:rPr>
        <w:t>、办公耗材等。按计划执行进度（季度）分别为</w:t>
      </w:r>
      <w:r>
        <w:rPr>
          <w:rFonts w:hint="eastAsia" w:ascii="仿宋_GB2312" w:hAnsi="仿宋_GB2312" w:eastAsia="仿宋_GB2312" w:cs="仿宋_GB2312"/>
          <w:snapToGrid w:val="0"/>
          <w:spacing w:val="0"/>
          <w:kern w:val="0"/>
          <w:sz w:val="32"/>
          <w:szCs w:val="32"/>
          <w:lang w:val="en-US" w:eastAsia="zh-CN"/>
        </w:rPr>
        <w:t>29.98%、53.97%、70.52%、100.00%。完成年度预算100%，年度无资金结余。</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left"/>
        <w:textAlignment w:val="auto"/>
        <w:rPr>
          <w:rFonts w:hint="default"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rPr>
        <w:t>部门项目</w:t>
      </w:r>
      <w:r>
        <w:rPr>
          <w:rFonts w:hint="eastAsia" w:ascii="仿宋_GB2312" w:hAnsi="仿宋_GB2312" w:eastAsia="仿宋_GB2312" w:cs="仿宋_GB2312"/>
          <w:snapToGrid w:val="0"/>
          <w:spacing w:val="0"/>
          <w:kern w:val="0"/>
          <w:sz w:val="32"/>
          <w:szCs w:val="32"/>
          <w:lang w:eastAsia="zh-CN"/>
        </w:rPr>
        <w:t>支出预算</w:t>
      </w:r>
      <w:r>
        <w:rPr>
          <w:rFonts w:hint="eastAsia" w:ascii="仿宋_GB2312" w:hAnsi="仿宋_GB2312" w:eastAsia="仿宋_GB2312" w:cs="仿宋_GB2312"/>
          <w:snapToGrid w:val="0"/>
          <w:spacing w:val="0"/>
          <w:kern w:val="0"/>
          <w:sz w:val="32"/>
          <w:szCs w:val="32"/>
          <w:lang w:val="en-US" w:eastAsia="zh-CN"/>
        </w:rPr>
        <w:t>20.24万元，</w:t>
      </w:r>
      <w:r>
        <w:rPr>
          <w:rFonts w:hint="eastAsia" w:ascii="仿宋_GB2312" w:hAnsi="仿宋_GB2312" w:eastAsia="仿宋_GB2312" w:cs="仿宋_GB2312"/>
          <w:snapToGrid w:val="0"/>
          <w:spacing w:val="0"/>
          <w:kern w:val="0"/>
          <w:sz w:val="32"/>
          <w:szCs w:val="32"/>
        </w:rPr>
        <w:t>其中：</w:t>
      </w:r>
      <w:r>
        <w:rPr>
          <w:rFonts w:hint="eastAsia" w:ascii="仿宋_GB2312" w:hAnsi="仿宋_GB2312" w:eastAsia="仿宋_GB2312" w:cs="仿宋_GB2312"/>
          <w:snapToGrid w:val="0"/>
          <w:spacing w:val="0"/>
          <w:kern w:val="0"/>
          <w:sz w:val="32"/>
          <w:szCs w:val="32"/>
          <w:lang w:val="en-US" w:eastAsia="zh-CN"/>
        </w:rPr>
        <w:t>中英文注册域名运行维护费5万元，主要用于完成全区机关、事业单位进行中文域名管理续费工作，注册政务域名63个，公益域名374个。统一社会信用代码赋码颁证5万元，主要用于保证全区统一社会信用代码赋码颁证工作的及时性，印制《机关群团统一社会信用代码证书》600份，《事业单位法人证书》400份。乡镇机构“扁平化”管理试点10万元，主要用于开展各类调研、印制宣传资料、机构编制实名制手册、机构门牌、公开栏、制度牌流程牌。金财网运行维护费用0.24万元，主要用于保障单位金财网电脑正常运转。</w:t>
      </w:r>
      <w:r>
        <w:rPr>
          <w:rFonts w:hint="eastAsia" w:ascii="仿宋_GB2312" w:hAnsi="仿宋_GB2312" w:eastAsia="仿宋_GB2312" w:cs="仿宋_GB2312"/>
          <w:snapToGrid w:val="0"/>
          <w:spacing w:val="0"/>
          <w:kern w:val="0"/>
          <w:sz w:val="32"/>
          <w:szCs w:val="32"/>
          <w:lang w:eastAsia="zh-CN"/>
        </w:rPr>
        <w:t>按计划执行进度（季度）分别为</w:t>
      </w:r>
      <w:r>
        <w:rPr>
          <w:rFonts w:hint="eastAsia" w:ascii="仿宋_GB2312" w:hAnsi="仿宋_GB2312" w:eastAsia="仿宋_GB2312" w:cs="仿宋_GB2312"/>
          <w:snapToGrid w:val="0"/>
          <w:spacing w:val="0"/>
          <w:kern w:val="0"/>
          <w:sz w:val="32"/>
          <w:szCs w:val="32"/>
          <w:lang w:val="en-US" w:eastAsia="zh-CN"/>
        </w:rPr>
        <w:t>1.19%、12.30%、50.59%、100.00%，主要原因为乡镇机构“扁平化”管理试点项目是年末追加项目。完成年度预算100%，年度无资金结余。</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left"/>
        <w:textAlignment w:val="auto"/>
        <w:rPr>
          <w:rFonts w:hint="eastAsia"/>
          <w:lang w:val="en-US" w:eastAsia="zh-CN"/>
        </w:rPr>
      </w:pPr>
      <w:r>
        <w:rPr>
          <w:rFonts w:hint="eastAsia" w:ascii="仿宋_GB2312" w:hAnsi="仿宋_GB2312" w:eastAsia="仿宋_GB2312" w:cs="仿宋_GB2312"/>
          <w:snapToGrid w:val="0"/>
          <w:spacing w:val="0"/>
          <w:kern w:val="0"/>
          <w:sz w:val="32"/>
          <w:szCs w:val="32"/>
          <w:lang w:eastAsia="zh-CN"/>
        </w:rPr>
        <w:t>项目支出均按照有关规章制度和项目实施完成情况进行支付，我单位严格按照项目预算要求使用和划拨资金、</w:t>
      </w:r>
      <w:r>
        <w:rPr>
          <w:rFonts w:hint="eastAsia" w:ascii="仿宋_GB2312" w:hAnsi="仿宋_GB2312" w:eastAsia="仿宋_GB2312" w:cs="仿宋_GB2312"/>
          <w:snapToGrid w:val="0"/>
          <w:spacing w:val="0"/>
          <w:kern w:val="0"/>
          <w:sz w:val="32"/>
          <w:szCs w:val="32"/>
          <w:lang w:val="en-US" w:eastAsia="zh-CN"/>
        </w:rPr>
        <w:t>规范</w:t>
      </w:r>
      <w:r>
        <w:rPr>
          <w:rFonts w:hint="eastAsia" w:ascii="仿宋_GB2312" w:hAnsi="仿宋_GB2312" w:eastAsia="仿宋_GB2312" w:cs="仿宋_GB2312"/>
          <w:snapToGrid w:val="0"/>
          <w:spacing w:val="0"/>
          <w:kern w:val="0"/>
          <w:sz w:val="32"/>
          <w:szCs w:val="32"/>
          <w:lang w:eastAsia="zh-CN"/>
        </w:rPr>
        <w:t>经费管理，专项资金按照项目内容使用，做到专款专用，使用专项资金时，通过财政专网统一支付。项目过程中严格按照</w:t>
      </w:r>
      <w:r>
        <w:rPr>
          <w:rFonts w:hint="eastAsia" w:ascii="仿宋_GB2312" w:hAnsi="仿宋_GB2312" w:eastAsia="仿宋_GB2312" w:cs="仿宋_GB2312"/>
          <w:snapToGrid w:val="0"/>
          <w:spacing w:val="0"/>
          <w:kern w:val="0"/>
          <w:sz w:val="32"/>
          <w:szCs w:val="32"/>
          <w:lang w:val="en-US" w:eastAsia="zh-CN"/>
        </w:rPr>
        <w:t>管理办法执行，保障支出合法合规，做到了合法、有序，全年无违反规定的行为发生。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（一）部门总体收支情况</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r>
        <w:rPr>
          <w:rFonts w:hint="eastAsia" w:ascii="仿宋_GB2312" w:hAnsi="仿宋_GB2312" w:eastAsia="仿宋_GB2312" w:cs="仿宋_GB2312"/>
          <w:snapToGrid w:val="0"/>
          <w:spacing w:val="0"/>
          <w:kern w:val="0"/>
          <w:sz w:val="32"/>
          <w:szCs w:val="32"/>
        </w:rPr>
        <w:t>202</w:t>
      </w:r>
      <w:r>
        <w:rPr>
          <w:rFonts w:hint="eastAsia" w:ascii="仿宋_GB2312" w:hAnsi="仿宋_GB2312" w:eastAsia="仿宋_GB2312" w:cs="仿宋_GB2312"/>
          <w:snapToGrid w:val="0"/>
          <w:spacing w:val="0"/>
          <w:kern w:val="0"/>
          <w:sz w:val="32"/>
          <w:szCs w:val="32"/>
          <w:lang w:val="en-US" w:eastAsia="zh-CN"/>
        </w:rPr>
        <w:t>2</w:t>
      </w:r>
      <w:r>
        <w:rPr>
          <w:rFonts w:hint="eastAsia" w:ascii="仿宋_GB2312" w:hAnsi="仿宋_GB2312" w:eastAsia="仿宋_GB2312" w:cs="仿宋_GB2312"/>
          <w:snapToGrid w:val="0"/>
          <w:spacing w:val="0"/>
          <w:kern w:val="0"/>
          <w:sz w:val="32"/>
          <w:szCs w:val="32"/>
        </w:rPr>
        <w:t>年，我单位总收入</w:t>
      </w:r>
      <w:r>
        <w:rPr>
          <w:rFonts w:hint="eastAsia" w:ascii="仿宋_GB2312" w:hAnsi="仿宋_GB2312" w:eastAsia="仿宋_GB2312" w:cs="仿宋_GB2312"/>
          <w:snapToGrid w:val="0"/>
          <w:spacing w:val="0"/>
          <w:kern w:val="0"/>
          <w:sz w:val="32"/>
          <w:szCs w:val="32"/>
          <w:lang w:val="en-US" w:eastAsia="zh-CN"/>
        </w:rPr>
        <w:t>242.89</w:t>
      </w:r>
      <w:r>
        <w:rPr>
          <w:rFonts w:hint="eastAsia" w:ascii="仿宋_GB2312" w:hAnsi="仿宋_GB2312" w:eastAsia="仿宋_GB2312" w:cs="仿宋_GB2312"/>
          <w:snapToGrid w:val="0"/>
          <w:spacing w:val="0"/>
          <w:kern w:val="0"/>
          <w:sz w:val="32"/>
          <w:szCs w:val="32"/>
        </w:rPr>
        <w:t>万元，其中：财政拨款收入</w:t>
      </w:r>
      <w:r>
        <w:rPr>
          <w:rFonts w:hint="eastAsia" w:ascii="仿宋_GB2312" w:hAnsi="仿宋_GB2312" w:eastAsia="仿宋_GB2312" w:cs="仿宋_GB2312"/>
          <w:snapToGrid w:val="0"/>
          <w:spacing w:val="0"/>
          <w:kern w:val="0"/>
          <w:sz w:val="32"/>
          <w:szCs w:val="32"/>
          <w:lang w:val="en-US" w:eastAsia="zh-CN"/>
        </w:rPr>
        <w:t>242.87</w:t>
      </w:r>
      <w:r>
        <w:rPr>
          <w:rFonts w:hint="eastAsia" w:ascii="仿宋_GB2312" w:hAnsi="仿宋_GB2312" w:eastAsia="仿宋_GB2312" w:cs="仿宋_GB2312"/>
          <w:snapToGrid w:val="0"/>
          <w:spacing w:val="0"/>
          <w:kern w:val="0"/>
          <w:sz w:val="32"/>
          <w:szCs w:val="32"/>
        </w:rPr>
        <w:t>万元，占总收入99.</w:t>
      </w:r>
      <w:r>
        <w:rPr>
          <w:rFonts w:hint="eastAsia" w:ascii="仿宋_GB2312" w:hAnsi="仿宋_GB2312" w:eastAsia="仿宋_GB2312" w:cs="仿宋_GB2312"/>
          <w:snapToGrid w:val="0"/>
          <w:spacing w:val="0"/>
          <w:kern w:val="0"/>
          <w:sz w:val="32"/>
          <w:szCs w:val="32"/>
          <w:lang w:val="en-US" w:eastAsia="zh-CN"/>
        </w:rPr>
        <w:t>99</w:t>
      </w:r>
      <w:r>
        <w:rPr>
          <w:rFonts w:hint="eastAsia" w:ascii="仿宋_GB2312" w:hAnsi="仿宋_GB2312" w:eastAsia="仿宋_GB2312" w:cs="仿宋_GB2312"/>
          <w:snapToGrid w:val="0"/>
          <w:spacing w:val="0"/>
          <w:kern w:val="0"/>
          <w:sz w:val="32"/>
          <w:szCs w:val="32"/>
        </w:rPr>
        <w:t>%；其他收入</w:t>
      </w:r>
      <w:r>
        <w:rPr>
          <w:rFonts w:hint="eastAsia" w:ascii="仿宋_GB2312" w:hAnsi="仿宋_GB2312" w:eastAsia="仿宋_GB2312" w:cs="仿宋_GB2312"/>
          <w:snapToGrid w:val="0"/>
          <w:spacing w:val="0"/>
          <w:kern w:val="0"/>
          <w:sz w:val="32"/>
          <w:szCs w:val="32"/>
          <w:lang w:val="en-US" w:eastAsia="zh-CN"/>
        </w:rPr>
        <w:t>0.02</w:t>
      </w:r>
      <w:r>
        <w:rPr>
          <w:rFonts w:hint="eastAsia" w:ascii="仿宋_GB2312" w:hAnsi="仿宋_GB2312" w:eastAsia="仿宋_GB2312" w:cs="仿宋_GB2312"/>
          <w:snapToGrid w:val="0"/>
          <w:spacing w:val="0"/>
          <w:kern w:val="0"/>
          <w:sz w:val="32"/>
          <w:szCs w:val="32"/>
        </w:rPr>
        <w:t>万元，占总收入</w:t>
      </w:r>
      <w:r>
        <w:rPr>
          <w:rFonts w:hint="eastAsia" w:ascii="仿宋_GB2312" w:hAnsi="仿宋_GB2312" w:eastAsia="仿宋_GB2312" w:cs="仿宋_GB2312"/>
          <w:snapToGrid w:val="0"/>
          <w:spacing w:val="0"/>
          <w:kern w:val="0"/>
          <w:sz w:val="32"/>
          <w:szCs w:val="32"/>
          <w:lang w:val="en-US" w:eastAsia="zh-CN"/>
        </w:rPr>
        <w:t>0.01</w:t>
      </w:r>
      <w:r>
        <w:rPr>
          <w:rFonts w:hint="eastAsia" w:ascii="仿宋_GB2312" w:hAnsi="仿宋_GB2312" w:eastAsia="仿宋_GB2312" w:cs="仿宋_GB2312"/>
          <w:snapToGrid w:val="0"/>
          <w:spacing w:val="0"/>
          <w:kern w:val="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2.部门总体支出情况。</w:t>
      </w:r>
      <w:r>
        <w:rPr>
          <w:rFonts w:hint="eastAsia" w:ascii="仿宋_GB2312" w:hAnsi="仿宋_GB2312" w:eastAsia="仿宋_GB2312" w:cs="仿宋_GB2312"/>
          <w:snapToGrid w:val="0"/>
          <w:spacing w:val="0"/>
          <w:kern w:val="0"/>
          <w:sz w:val="32"/>
          <w:szCs w:val="32"/>
        </w:rPr>
        <w:t>202</w:t>
      </w:r>
      <w:r>
        <w:rPr>
          <w:rFonts w:hint="eastAsia" w:ascii="仿宋_GB2312" w:hAnsi="仿宋_GB2312" w:eastAsia="仿宋_GB2312" w:cs="仿宋_GB2312"/>
          <w:snapToGrid w:val="0"/>
          <w:spacing w:val="0"/>
          <w:kern w:val="0"/>
          <w:sz w:val="32"/>
          <w:szCs w:val="32"/>
          <w:lang w:val="en-US" w:eastAsia="zh-CN"/>
        </w:rPr>
        <w:t>2</w:t>
      </w:r>
      <w:r>
        <w:rPr>
          <w:rFonts w:hint="eastAsia" w:ascii="仿宋_GB2312" w:hAnsi="仿宋_GB2312" w:eastAsia="仿宋_GB2312" w:cs="仿宋_GB2312"/>
          <w:snapToGrid w:val="0"/>
          <w:spacing w:val="0"/>
          <w:kern w:val="0"/>
          <w:sz w:val="32"/>
          <w:szCs w:val="32"/>
        </w:rPr>
        <w:t>年，我单位总</w:t>
      </w:r>
      <w:r>
        <w:rPr>
          <w:rFonts w:hint="eastAsia" w:ascii="仿宋_GB2312" w:hAnsi="仿宋_GB2312" w:eastAsia="仿宋_GB2312" w:cs="仿宋_GB2312"/>
          <w:snapToGrid w:val="0"/>
          <w:spacing w:val="0"/>
          <w:kern w:val="0"/>
          <w:sz w:val="32"/>
          <w:szCs w:val="32"/>
          <w:lang w:eastAsia="zh-CN"/>
        </w:rPr>
        <w:t>支出</w:t>
      </w:r>
      <w:r>
        <w:rPr>
          <w:rFonts w:hint="eastAsia" w:ascii="仿宋_GB2312" w:hAnsi="仿宋_GB2312" w:eastAsia="仿宋_GB2312" w:cs="仿宋_GB2312"/>
          <w:snapToGrid w:val="0"/>
          <w:spacing w:val="0"/>
          <w:kern w:val="0"/>
          <w:sz w:val="32"/>
          <w:szCs w:val="32"/>
          <w:lang w:val="en-US" w:eastAsia="zh-CN"/>
        </w:rPr>
        <w:t>242.89</w:t>
      </w:r>
      <w:r>
        <w:rPr>
          <w:rFonts w:hint="eastAsia" w:ascii="仿宋_GB2312" w:hAnsi="仿宋_GB2312" w:eastAsia="仿宋_GB2312" w:cs="仿宋_GB2312"/>
          <w:snapToGrid w:val="0"/>
          <w:spacing w:val="0"/>
          <w:kern w:val="0"/>
          <w:sz w:val="32"/>
          <w:szCs w:val="32"/>
        </w:rPr>
        <w:t>万元，其中：</w:t>
      </w:r>
      <w:r>
        <w:rPr>
          <w:rFonts w:hint="eastAsia" w:ascii="仿宋_GB2312" w:hAnsi="仿宋_GB2312" w:eastAsia="仿宋_GB2312" w:cs="仿宋_GB2312"/>
          <w:snapToGrid w:val="0"/>
          <w:spacing w:val="0"/>
          <w:kern w:val="0"/>
          <w:sz w:val="32"/>
          <w:szCs w:val="32"/>
          <w:lang w:eastAsia="zh-CN"/>
        </w:rPr>
        <w:t>按功能分类一般公务服务支出</w:t>
      </w:r>
      <w:r>
        <w:rPr>
          <w:rFonts w:hint="eastAsia" w:ascii="仿宋_GB2312" w:hAnsi="仿宋_GB2312" w:eastAsia="仿宋_GB2312" w:cs="仿宋_GB2312"/>
          <w:snapToGrid w:val="0"/>
          <w:spacing w:val="0"/>
          <w:kern w:val="0"/>
          <w:sz w:val="32"/>
          <w:szCs w:val="32"/>
          <w:lang w:val="en-US" w:eastAsia="zh-CN"/>
        </w:rPr>
        <w:t>199.14万元，占总支出81.99%；社会保障和就业支出17.58万元，占总支出7.24%；卫生健康支出8.33万元，占总支的3.43%，住房保障支出17.82万元，占总支出的7.34%。按支出性质人员经费支出201.23万元，占总支出的82.85%；公用经费支出21.39万元，占总支出的8.81%；项目支出20.24万元，占总支出的8.33%。</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3.部门总体结转结余情况。我单位2022年当年无结转结余。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1.部门财政拨款收入情况。2022年，我单位财政拨款收入242.87万元，占总收入的99.99%；其他收入0.02万元，占总收入的0.01%。</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2.部门财政拨款支出情况。2022年，我单位财政拨款支出242.89万元，其中：基本支出222.65万元，占支出的91.67%；项目支出20.24万元，占支出的8.33%。</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3.部门财政拨款结转结余情况。我单位2022年当年财政拨款无结转结余。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val="0"/>
          <w:bCs w:val="0"/>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keepNext w:val="0"/>
        <w:keepLines w:val="0"/>
        <w:pageBreakBefore w:val="0"/>
        <w:kinsoku/>
        <w:wordWrap/>
        <w:overflowPunct/>
        <w:topLinePunct w:val="0"/>
        <w:bidi w:val="0"/>
        <w:adjustRightInd w:val="0"/>
        <w:snapToGrid w:val="0"/>
        <w:spacing w:line="576" w:lineRule="exact"/>
        <w:ind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highlight w:val="none"/>
          <w:lang w:val="en-US" w:eastAsia="zh-CN" w:bidi="ar-SA"/>
        </w:rPr>
        <w:t>人员类支出201.23万元，主要包括14</w:t>
      </w:r>
      <w:r>
        <w:rPr>
          <w:rFonts w:hint="eastAsia" w:ascii="仿宋_GB2312" w:hAnsi="仿宋_GB2312" w:eastAsia="仿宋_GB2312" w:cs="仿宋_GB2312"/>
          <w:snapToGrid w:val="0"/>
          <w:spacing w:val="0"/>
          <w:kern w:val="0"/>
          <w:sz w:val="32"/>
          <w:szCs w:val="32"/>
          <w:lang w:val="en-US" w:eastAsia="zh-CN"/>
        </w:rPr>
        <w:t>名单位职工</w:t>
      </w:r>
      <w:r>
        <w:rPr>
          <w:rFonts w:hint="eastAsia" w:ascii="仿宋_GB2312" w:hAnsi="仿宋_GB2312" w:eastAsia="仿宋_GB2312" w:cs="仿宋_GB2312"/>
          <w:snapToGrid w:val="0"/>
          <w:spacing w:val="0"/>
          <w:kern w:val="0"/>
          <w:sz w:val="32"/>
          <w:szCs w:val="32"/>
        </w:rPr>
        <w:t>人员工资、津贴补贴、奖金、</w:t>
      </w:r>
      <w:r>
        <w:rPr>
          <w:rFonts w:hint="eastAsia" w:ascii="仿宋_GB2312" w:hAnsi="仿宋_GB2312" w:eastAsia="仿宋_GB2312" w:cs="仿宋_GB2312"/>
          <w:snapToGrid w:val="0"/>
          <w:spacing w:val="0"/>
          <w:kern w:val="0"/>
          <w:sz w:val="32"/>
          <w:szCs w:val="32"/>
          <w:lang w:eastAsia="zh-CN"/>
        </w:rPr>
        <w:t>各类保险费用缴费、公积金缴费及公务交通补贴</w:t>
      </w:r>
      <w:r>
        <w:rPr>
          <w:rFonts w:hint="eastAsia" w:ascii="仿宋_GB2312" w:hAnsi="仿宋_GB2312" w:eastAsia="仿宋_GB2312" w:cs="仿宋_GB2312"/>
          <w:snapToGrid w:val="0"/>
          <w:spacing w:val="0"/>
          <w:kern w:val="0"/>
          <w:sz w:val="32"/>
          <w:szCs w:val="32"/>
        </w:rPr>
        <w:t>等。</w:t>
      </w:r>
      <w:r>
        <w:rPr>
          <w:rFonts w:hint="eastAsia" w:ascii="仿宋_GB2312" w:hAnsi="仿宋_GB2312" w:eastAsia="仿宋_GB2312" w:cs="仿宋_GB2312"/>
          <w:sz w:val="32"/>
          <w:szCs w:val="32"/>
          <w:lang w:val="en-US" w:eastAsia="zh-CN"/>
        </w:rPr>
        <w:t>根据相关规定和标准按时间节点发放干部职工工资、</w:t>
      </w:r>
      <w:r>
        <w:rPr>
          <w:rFonts w:hint="eastAsia" w:ascii="仿宋_GB2312" w:hAnsi="仿宋_GB2312" w:eastAsia="仿宋_GB2312" w:cs="仿宋_GB2312"/>
          <w:color w:val="auto"/>
          <w:sz w:val="32"/>
          <w:szCs w:val="32"/>
          <w:highlight w:val="none"/>
        </w:rPr>
        <w:t>津贴补贴、奖金</w:t>
      </w:r>
      <w:r>
        <w:rPr>
          <w:rFonts w:hint="eastAsia" w:ascii="仿宋_GB2312" w:hAnsi="仿宋_GB2312" w:eastAsia="仿宋_GB2312" w:cs="仿宋_GB2312"/>
          <w:sz w:val="32"/>
          <w:szCs w:val="32"/>
          <w:lang w:val="en-US" w:eastAsia="zh-CN"/>
        </w:rPr>
        <w:t>，并为其足额缴纳各类保险及公积金，保障了干部职工生活水平，确保顺利实现单位工作目标。当年无结转结余，执行率达到100％。</w:t>
      </w:r>
      <w:r>
        <w:rPr>
          <w:rFonts w:hint="eastAsia" w:ascii="仿宋_GB2312" w:hAnsi="仿宋_GB2312" w:eastAsia="仿宋_GB2312" w:cs="仿宋_GB2312"/>
          <w:color w:val="auto"/>
          <w:sz w:val="32"/>
          <w:szCs w:val="32"/>
          <w:lang w:val="en-US" w:eastAsia="zh-CN"/>
        </w:rPr>
        <w:t>全年无违反规定的行为发生。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keepNext w:val="0"/>
        <w:keepLines w:val="0"/>
        <w:pageBreakBefore w:val="0"/>
        <w:kinsoku/>
        <w:wordWrap/>
        <w:overflowPunct/>
        <w:topLinePunct w:val="0"/>
        <w:bidi w:val="0"/>
        <w:adjustRightInd w:val="0"/>
        <w:snapToGrid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spacing w:val="0"/>
          <w:kern w:val="0"/>
          <w:sz w:val="32"/>
          <w:szCs w:val="32"/>
          <w:lang w:eastAsia="zh-CN"/>
        </w:rPr>
        <w:t>运转类项目</w:t>
      </w:r>
      <w:r>
        <w:rPr>
          <w:rFonts w:hint="eastAsia" w:ascii="仿宋_GB2312" w:hAnsi="仿宋_GB2312" w:eastAsia="仿宋_GB2312" w:cs="仿宋_GB2312"/>
          <w:snapToGrid w:val="0"/>
          <w:spacing w:val="0"/>
          <w:kern w:val="0"/>
          <w:sz w:val="32"/>
          <w:szCs w:val="32"/>
        </w:rPr>
        <w:t>支出</w:t>
      </w:r>
      <w:r>
        <w:rPr>
          <w:rFonts w:hint="eastAsia" w:ascii="仿宋_GB2312" w:hAnsi="仿宋_GB2312" w:eastAsia="仿宋_GB2312" w:cs="仿宋_GB2312"/>
          <w:snapToGrid w:val="0"/>
          <w:spacing w:val="0"/>
          <w:kern w:val="0"/>
          <w:sz w:val="32"/>
          <w:szCs w:val="32"/>
          <w:lang w:val="en-US" w:eastAsia="zh-CN"/>
        </w:rPr>
        <w:t>21.42</w:t>
      </w:r>
      <w:r>
        <w:rPr>
          <w:rFonts w:hint="eastAsia" w:ascii="仿宋_GB2312" w:hAnsi="仿宋_GB2312" w:eastAsia="仿宋_GB2312" w:cs="仿宋_GB2312"/>
          <w:snapToGrid w:val="0"/>
          <w:spacing w:val="0"/>
          <w:kern w:val="0"/>
          <w:sz w:val="32"/>
          <w:szCs w:val="32"/>
        </w:rPr>
        <w:t>万元，主要包括</w:t>
      </w:r>
      <w:r>
        <w:rPr>
          <w:rFonts w:hint="eastAsia" w:ascii="仿宋_GB2312" w:hAnsi="仿宋_GB2312" w:eastAsia="仿宋_GB2312" w:cs="仿宋_GB2312"/>
          <w:snapToGrid w:val="0"/>
          <w:spacing w:val="0"/>
          <w:kern w:val="0"/>
          <w:sz w:val="32"/>
          <w:szCs w:val="32"/>
          <w:lang w:val="en-US" w:eastAsia="zh-CN"/>
        </w:rPr>
        <w:t>14名职工</w:t>
      </w:r>
      <w:r>
        <w:rPr>
          <w:rFonts w:hint="eastAsia" w:ascii="仿宋_GB2312" w:hAnsi="仿宋_GB2312" w:eastAsia="仿宋_GB2312" w:cs="仿宋_GB2312"/>
          <w:snapToGrid w:val="0"/>
          <w:spacing w:val="0"/>
          <w:kern w:val="0"/>
          <w:sz w:val="32"/>
          <w:szCs w:val="32"/>
        </w:rPr>
        <w:t>日常办公用品采购、水、电、气、差旅费、印刷、公务接待</w:t>
      </w:r>
      <w:r>
        <w:rPr>
          <w:rFonts w:hint="eastAsia" w:ascii="仿宋_GB2312" w:hAnsi="仿宋_GB2312" w:eastAsia="仿宋_GB2312" w:cs="仿宋_GB2312"/>
          <w:snapToGrid w:val="0"/>
          <w:spacing w:val="0"/>
          <w:kern w:val="0"/>
          <w:sz w:val="32"/>
          <w:szCs w:val="32"/>
          <w:lang w:eastAsia="zh-CN"/>
        </w:rPr>
        <w:t>、耗材等，保障单位正常运转。</w:t>
      </w:r>
      <w:r>
        <w:rPr>
          <w:rFonts w:hint="eastAsia" w:ascii="仿宋_GB2312" w:hAnsi="仿宋_GB2312" w:eastAsia="仿宋_GB2312" w:cs="仿宋_GB2312"/>
          <w:sz w:val="32"/>
          <w:szCs w:val="32"/>
          <w:lang w:val="en-US" w:eastAsia="zh-CN"/>
        </w:rPr>
        <w:t>当年无结转结余，执行率达到100％。</w:t>
      </w:r>
      <w:r>
        <w:rPr>
          <w:rFonts w:hint="eastAsia" w:ascii="仿宋_GB2312" w:hAnsi="仿宋_GB2312" w:eastAsia="仿宋_GB2312" w:cs="仿宋_GB2312"/>
          <w:color w:val="auto"/>
          <w:sz w:val="32"/>
          <w:szCs w:val="32"/>
          <w:lang w:val="en-US" w:eastAsia="zh-CN"/>
        </w:rPr>
        <w:t>全年无违反规定的行为发生。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napToGrid w:val="0"/>
          <w:spacing w:val="0"/>
          <w:kern w:val="0"/>
          <w:sz w:val="32"/>
          <w:szCs w:val="32"/>
          <w:lang w:eastAsia="zh-CN"/>
        </w:rPr>
        <w:t>特定</w:t>
      </w:r>
      <w:r>
        <w:rPr>
          <w:rFonts w:hint="eastAsia" w:ascii="仿宋_GB2312" w:hAnsi="仿宋_GB2312" w:eastAsia="仿宋_GB2312" w:cs="仿宋_GB2312"/>
          <w:snapToGrid w:val="0"/>
          <w:spacing w:val="0"/>
          <w:kern w:val="0"/>
          <w:sz w:val="32"/>
          <w:szCs w:val="32"/>
        </w:rPr>
        <w:t>项目</w:t>
      </w:r>
      <w:r>
        <w:rPr>
          <w:rFonts w:hint="eastAsia" w:ascii="仿宋_GB2312" w:hAnsi="仿宋_GB2312" w:eastAsia="仿宋_GB2312" w:cs="仿宋_GB2312"/>
          <w:snapToGrid w:val="0"/>
          <w:spacing w:val="0"/>
          <w:kern w:val="0"/>
          <w:sz w:val="32"/>
          <w:szCs w:val="32"/>
          <w:lang w:eastAsia="zh-CN"/>
        </w:rPr>
        <w:t>支出</w:t>
      </w:r>
      <w:r>
        <w:rPr>
          <w:rFonts w:hint="eastAsia" w:ascii="仿宋_GB2312" w:hAnsi="仿宋_GB2312" w:eastAsia="仿宋_GB2312" w:cs="仿宋_GB2312"/>
          <w:snapToGrid w:val="0"/>
          <w:spacing w:val="0"/>
          <w:kern w:val="0"/>
          <w:sz w:val="32"/>
          <w:szCs w:val="32"/>
          <w:lang w:val="en-US" w:eastAsia="zh-CN"/>
        </w:rPr>
        <w:t>20.24万元，</w:t>
      </w:r>
      <w:r>
        <w:rPr>
          <w:rFonts w:hint="eastAsia" w:ascii="仿宋_GB2312" w:hAnsi="仿宋_GB2312" w:eastAsia="仿宋_GB2312" w:cs="仿宋_GB2312"/>
          <w:snapToGrid w:val="0"/>
          <w:spacing w:val="0"/>
          <w:kern w:val="0"/>
          <w:sz w:val="32"/>
          <w:szCs w:val="32"/>
        </w:rPr>
        <w:t>其中：</w:t>
      </w:r>
      <w:r>
        <w:rPr>
          <w:rFonts w:hint="eastAsia" w:ascii="仿宋_GB2312" w:hAnsi="仿宋_GB2312" w:eastAsia="仿宋_GB2312" w:cs="仿宋_GB2312"/>
          <w:snapToGrid w:val="0"/>
          <w:spacing w:val="0"/>
          <w:kern w:val="0"/>
          <w:sz w:val="32"/>
          <w:szCs w:val="32"/>
          <w:lang w:val="en-US" w:eastAsia="zh-CN"/>
        </w:rPr>
        <w:t>中英文注册域名运行维护费5万元，主要用于完成全区机关、事业单位进行中文域名管理续费工作，注册政务域名63个，公益域名374个。统一社会信用代码赋码颁证5万元，主要用于保证全区统一社会信用代码赋码颁证工作的及时性，印制《机关群团统一社会信用代码证书》600份，《事业单位法人证书》400份。乡镇机构“扁平化”管理试点10万元，主要用于开展各类调研、印制宣传资料、机构编制实名制手册、机构门牌、公开栏、制度牌流程牌。金财网运行维护费用0.24万元，主要用于保障单位金财网电脑正常运转。</w:t>
      </w:r>
      <w:r>
        <w:rPr>
          <w:rFonts w:hint="eastAsia" w:ascii="仿宋_GB2312" w:hAnsi="仿宋_GB2312" w:eastAsia="仿宋_GB2312" w:cs="仿宋_GB2312"/>
          <w:sz w:val="32"/>
          <w:szCs w:val="32"/>
          <w:lang w:val="en-US" w:eastAsia="zh-CN"/>
        </w:rPr>
        <w:t>特定目标类项目当年无结转结余，执行率达到100％。</w:t>
      </w:r>
      <w:r>
        <w:rPr>
          <w:rFonts w:hint="eastAsia" w:ascii="仿宋_GB2312" w:hAnsi="仿宋_GB2312" w:eastAsia="仿宋_GB2312" w:cs="仿宋_GB2312"/>
          <w:color w:val="auto"/>
          <w:sz w:val="32"/>
          <w:szCs w:val="32"/>
          <w:lang w:val="en-US" w:eastAsia="zh-CN"/>
        </w:rPr>
        <w:t>全年无违反规定的行为发生。</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（二）部门整体履职绩效分析</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w:t>
      </w:r>
      <w:r>
        <w:rPr>
          <w:rFonts w:hint="eastAsia" w:ascii="仿宋_GB2312" w:hAnsi="仿宋_GB2312" w:eastAsia="仿宋_GB2312" w:cs="仿宋_GB2312"/>
          <w:color w:val="000000" w:themeColor="text1"/>
          <w:sz w:val="32"/>
          <w:szCs w:val="32"/>
          <w:lang w:eastAsia="zh-CN"/>
          <w14:textFill>
            <w14:solidFill>
              <w14:schemeClr w14:val="tx1"/>
            </w14:solidFill>
          </w14:textFill>
        </w:rPr>
        <w:t>办</w:t>
      </w:r>
      <w:r>
        <w:rPr>
          <w:rFonts w:hint="eastAsia" w:ascii="仿宋_GB2312" w:hAnsi="仿宋_GB2312" w:eastAsia="仿宋_GB2312" w:cs="仿宋_GB2312"/>
          <w:color w:val="000000" w:themeColor="text1"/>
          <w:sz w:val="32"/>
          <w:szCs w:val="32"/>
          <w14:textFill>
            <w14:solidFill>
              <w14:schemeClr w14:val="tx1"/>
            </w14:solidFill>
          </w14:textFill>
        </w:rPr>
        <w:t>开展的</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部门整体</w:t>
      </w:r>
      <w:r>
        <w:rPr>
          <w:rFonts w:hint="eastAsia" w:ascii="仿宋_GB2312" w:hAnsi="仿宋_GB2312" w:eastAsia="仿宋_GB2312" w:cs="仿宋_GB2312"/>
          <w:color w:val="000000" w:themeColor="text1"/>
          <w:sz w:val="32"/>
          <w:szCs w:val="32"/>
          <w14:textFill>
            <w14:solidFill>
              <w14:schemeClr w14:val="tx1"/>
            </w14:solidFill>
          </w14:textFill>
        </w:rPr>
        <w:t>绩效</w:t>
      </w:r>
      <w:r>
        <w:rPr>
          <w:rFonts w:hint="eastAsia" w:ascii="仿宋_GB2312" w:hAnsi="仿宋_GB2312" w:eastAsia="仿宋_GB2312" w:cs="仿宋_GB2312"/>
          <w:color w:val="000000" w:themeColor="text1"/>
          <w:sz w:val="32"/>
          <w:szCs w:val="32"/>
          <w:lang w:eastAsia="zh-CN"/>
          <w14:textFill>
            <w14:solidFill>
              <w14:schemeClr w14:val="tx1"/>
            </w14:solidFill>
          </w14:textFill>
        </w:rPr>
        <w:t>监控</w:t>
      </w:r>
      <w:r>
        <w:rPr>
          <w:rFonts w:hint="eastAsia" w:ascii="仿宋_GB2312" w:hAnsi="仿宋_GB2312" w:eastAsia="仿宋_GB2312" w:cs="仿宋_GB2312"/>
          <w:color w:val="000000" w:themeColor="text1"/>
          <w:sz w:val="32"/>
          <w:szCs w:val="32"/>
          <w14:textFill>
            <w14:solidFill>
              <w14:schemeClr w14:val="tx1"/>
            </w14:solidFill>
          </w14:textFill>
        </w:rPr>
        <w:t>的项目达到了预期效果，产生了较好的社会效益，对在绩效</w:t>
      </w:r>
      <w:r>
        <w:rPr>
          <w:rFonts w:hint="eastAsia" w:ascii="仿宋_GB2312" w:hAnsi="仿宋_GB2312" w:eastAsia="仿宋_GB2312" w:cs="仿宋_GB2312"/>
          <w:color w:val="000000" w:themeColor="text1"/>
          <w:sz w:val="32"/>
          <w:szCs w:val="32"/>
          <w:lang w:eastAsia="zh-CN"/>
          <w14:textFill>
            <w14:solidFill>
              <w14:schemeClr w14:val="tx1"/>
            </w14:solidFill>
          </w14:textFill>
        </w:rPr>
        <w:t>监控</w:t>
      </w:r>
      <w:r>
        <w:rPr>
          <w:rFonts w:hint="eastAsia" w:ascii="仿宋_GB2312" w:hAnsi="仿宋_GB2312" w:eastAsia="仿宋_GB2312" w:cs="仿宋_GB2312"/>
          <w:color w:val="000000" w:themeColor="text1"/>
          <w:sz w:val="32"/>
          <w:szCs w:val="32"/>
          <w14:textFill>
            <w14:solidFill>
              <w14:schemeClr w14:val="tx1"/>
            </w14:solidFill>
          </w14:textFill>
        </w:rPr>
        <w:t>中发现的问题，单位及时提出</w:t>
      </w:r>
      <w:r>
        <w:rPr>
          <w:rFonts w:hint="eastAsia" w:ascii="仿宋_GB2312" w:hAnsi="仿宋_GB2312" w:eastAsia="仿宋_GB2312" w:cs="仿宋_GB2312"/>
          <w:color w:val="000000" w:themeColor="text1"/>
          <w:sz w:val="32"/>
          <w:szCs w:val="32"/>
          <w:lang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整改意见并限期整改落实。逐步改变了长期以来“重分配轻监管、重使用轻效益”的现象，有效减少和防止盲目用款、无效支出及盲目支出等行为的发生，使财政资金的运行更加合理高效。</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line="576"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hAnsi="仿宋_GB2312" w:eastAsia="仿宋_GB2312" w:cs="仿宋_GB2312"/>
          <w:color w:val="000000" w:themeColor="text1"/>
          <w:sz w:val="32"/>
          <w:szCs w:val="32"/>
          <w:lang w:eastAsia="zh-CN"/>
          <w14:textFill>
            <w14:solidFill>
              <w14:schemeClr w14:val="tx1"/>
            </w14:solidFill>
          </w14:textFill>
        </w:rPr>
        <w:t>从</w:t>
      </w:r>
      <w:r>
        <w:rPr>
          <w:rFonts w:hint="eastAsia" w:ascii="仿宋_GB2312" w:hAnsi="仿宋_GB2312" w:eastAsia="仿宋_GB2312" w:cs="仿宋_GB2312"/>
          <w:color w:val="000000" w:themeColor="text1"/>
          <w:sz w:val="32"/>
          <w:szCs w:val="32"/>
          <w14:textFill>
            <w14:solidFill>
              <w14:schemeClr w14:val="tx1"/>
            </w14:solidFill>
          </w14:textFill>
        </w:rPr>
        <w:t>我</w:t>
      </w:r>
      <w:r>
        <w:rPr>
          <w:rFonts w:hint="eastAsia" w:hAnsi="仿宋_GB2312" w:eastAsia="仿宋_GB2312" w:cs="仿宋_GB2312"/>
          <w:color w:val="000000" w:themeColor="text1"/>
          <w:sz w:val="32"/>
          <w:szCs w:val="32"/>
          <w:lang w:eastAsia="zh-CN"/>
          <w14:textFill>
            <w14:solidFill>
              <w14:schemeClr w14:val="tx1"/>
            </w14:solidFill>
          </w14:textFill>
        </w:rPr>
        <w:t>办</w:t>
      </w:r>
      <w:r>
        <w:rPr>
          <w:rFonts w:hint="eastAsia" w:ascii="仿宋_GB2312" w:hAnsi="仿宋_GB2312" w:eastAsia="仿宋_GB2312" w:cs="仿宋_GB2312"/>
          <w:color w:val="000000" w:themeColor="text1"/>
          <w:sz w:val="32"/>
          <w:szCs w:val="32"/>
          <w14:textFill>
            <w14:solidFill>
              <w14:schemeClr w14:val="tx1"/>
            </w14:solidFill>
          </w14:textFill>
        </w:rPr>
        <w:t>按要求</w:t>
      </w:r>
      <w:r>
        <w:rPr>
          <w:rFonts w:hint="eastAsia" w:hAnsi="仿宋_GB2312" w:eastAsia="仿宋_GB2312" w:cs="仿宋_GB2312"/>
          <w:color w:val="000000" w:themeColor="text1"/>
          <w:sz w:val="32"/>
          <w:szCs w:val="32"/>
          <w:lang w:eastAsia="zh-CN"/>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hAnsi="仿宋_GB2312" w:eastAsia="仿宋_GB2312" w:cs="仿宋_GB2312"/>
          <w:color w:val="000000" w:themeColor="text1"/>
          <w:sz w:val="32"/>
          <w:szCs w:val="32"/>
          <w:lang w:eastAsia="zh-CN"/>
          <w14:textFill>
            <w14:solidFill>
              <w14:schemeClr w14:val="tx1"/>
            </w14:solidFill>
          </w14:textFill>
        </w:rPr>
        <w:t>部门整体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绩效监控</w:t>
      </w:r>
      <w:r>
        <w:rPr>
          <w:rFonts w:hint="eastAsia" w:ascii="仿宋_GB2312" w:hAnsi="仿宋_GB2312" w:eastAsia="仿宋_GB2312" w:cs="仿宋_GB2312"/>
          <w:color w:val="000000" w:themeColor="text1"/>
          <w:sz w:val="32"/>
          <w:szCs w:val="32"/>
          <w14:textFill>
            <w14:solidFill>
              <w14:schemeClr w14:val="tx1"/>
            </w14:solidFill>
          </w14:textFill>
        </w:rPr>
        <w:t>情况来看，项目产出达到了预期的数量、质量、实效和成本指标，提高了社会效益，促进了可持续发展，从</w:t>
      </w:r>
      <w:r>
        <w:rPr>
          <w:rFonts w:hint="eastAsia" w:ascii="仿宋_GB2312" w:hAnsi="仿宋_GB2312" w:eastAsia="仿宋_GB2312" w:cs="仿宋_GB2312"/>
          <w:color w:val="000000" w:themeColor="text1"/>
          <w:sz w:val="32"/>
          <w:szCs w:val="32"/>
          <w:lang w:eastAsia="zh-CN"/>
          <w14:textFill>
            <w14:solidFill>
              <w14:schemeClr w14:val="tx1"/>
            </w14:solidFill>
          </w14:textFill>
        </w:rPr>
        <w:t>监控</w:t>
      </w:r>
      <w:r>
        <w:rPr>
          <w:rFonts w:hint="eastAsia" w:ascii="仿宋_GB2312" w:hAnsi="仿宋_GB2312" w:eastAsia="仿宋_GB2312" w:cs="仿宋_GB2312"/>
          <w:color w:val="000000" w:themeColor="text1"/>
          <w:sz w:val="32"/>
          <w:szCs w:val="32"/>
          <w14:textFill>
            <w14:solidFill>
              <w14:schemeClr w14:val="tx1"/>
            </w14:solidFill>
          </w14:textFill>
        </w:rPr>
        <w:t>情况来看有关项目预算执行及时、有效，绩效目标得到较好实现，绩效管理水平不断提高，绩效指标体系建设逐渐丰富和完善，较为充分地反映了区</w:t>
      </w:r>
      <w:r>
        <w:rPr>
          <w:rFonts w:hint="eastAsia" w:hAnsi="仿宋_GB2312" w:eastAsia="仿宋_GB2312" w:cs="仿宋_GB2312"/>
          <w:color w:val="000000" w:themeColor="text1"/>
          <w:sz w:val="32"/>
          <w:szCs w:val="32"/>
          <w:lang w:eastAsia="zh-CN"/>
          <w14:textFill>
            <w14:solidFill>
              <w14:schemeClr w14:val="tx1"/>
            </w14:solidFill>
          </w14:textFill>
        </w:rPr>
        <w:t>委编办</w:t>
      </w:r>
      <w:r>
        <w:rPr>
          <w:rFonts w:hint="eastAsia" w:ascii="仿宋_GB2312" w:hAnsi="仿宋_GB2312" w:eastAsia="仿宋_GB2312" w:cs="仿宋_GB2312"/>
          <w:color w:val="000000" w:themeColor="text1"/>
          <w:sz w:val="32"/>
          <w:szCs w:val="32"/>
          <w14:textFill>
            <w14:solidFill>
              <w14:schemeClr w14:val="tx1"/>
            </w14:solidFill>
          </w14:textFill>
        </w:rPr>
        <w:t>的工作目标和任务。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（三）结果应用情况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spacing w:val="0"/>
          <w:kern w:val="0"/>
          <w:sz w:val="32"/>
          <w:szCs w:val="32"/>
          <w:highlight w:val="none"/>
          <w:shd w:val="clear" w:color="auto" w:fill="FFFFFF"/>
          <w:lang w:val="zh-CN" w:eastAsia="zh-CN"/>
        </w:rPr>
      </w:pPr>
      <w:r>
        <w:rPr>
          <w:rFonts w:hint="eastAsia" w:ascii="仿宋_GB2312" w:hAnsi="仿宋_GB2312" w:eastAsia="仿宋_GB2312" w:cs="仿宋_GB2312"/>
          <w:spacing w:val="0"/>
          <w:sz w:val="32"/>
          <w:szCs w:val="32"/>
          <w:lang w:eastAsia="zh-CN"/>
        </w:rPr>
        <w:t>我办</w:t>
      </w:r>
      <w:r>
        <w:rPr>
          <w:rFonts w:hint="eastAsia" w:ascii="仿宋_GB2312" w:hAnsi="仿宋_GB2312" w:eastAsia="仿宋_GB2312" w:cs="仿宋_GB2312"/>
          <w:spacing w:val="0"/>
          <w:sz w:val="32"/>
          <w:szCs w:val="32"/>
        </w:rPr>
        <w:t>积极配合财政部门开展的绩效评价工作</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及时提供了准确、真实的相关资料</w:t>
      </w:r>
      <w:r>
        <w:rPr>
          <w:rFonts w:hint="default"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在规定的时限内向财政局报送了部门整体支出绩效评价自评报告。自评报告内容完整，手续齐全，各项评价指标明确。评价结论合理有据、客观公正，如实地体现了单位取得绩效与存在的问题。</w:t>
      </w:r>
      <w:r>
        <w:rPr>
          <w:rFonts w:hint="eastAsia" w:ascii="仿宋_GB2312" w:hAnsi="仿宋_GB2312" w:eastAsia="仿宋_GB2312" w:cs="仿宋_GB2312"/>
          <w:spacing w:val="0"/>
          <w:sz w:val="32"/>
          <w:szCs w:val="32"/>
          <w:lang w:val="en-US" w:eastAsia="zh-CN"/>
        </w:rPr>
        <w:t>按财政要求将相关绩效信息随同决算同步公开</w:t>
      </w:r>
      <w:r>
        <w:rPr>
          <w:rFonts w:hint="default"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针对绩效管理过程中出现的问题，及时进行整改</w:t>
      </w:r>
      <w:r>
        <w:rPr>
          <w:rFonts w:hint="default" w:ascii="仿宋_GB2312" w:hAnsi="仿宋_GB2312" w:eastAsia="仿宋_GB2312" w:cs="仿宋_GB2312"/>
          <w:spacing w:val="0"/>
          <w:sz w:val="32"/>
          <w:szCs w:val="32"/>
          <w:lang w:eastAsia="zh-CN"/>
        </w:rPr>
        <w:t>。同时</w:t>
      </w:r>
      <w:r>
        <w:rPr>
          <w:rFonts w:hint="eastAsia" w:ascii="仿宋_GB2312" w:hAnsi="仿宋_GB2312" w:eastAsia="仿宋_GB2312" w:cs="仿宋_GB2312"/>
          <w:spacing w:val="0"/>
          <w:sz w:val="32"/>
          <w:szCs w:val="32"/>
          <w:lang w:val="en-US" w:eastAsia="zh-CN"/>
        </w:rPr>
        <w:t>在规定时间内向财政部门反馈应用绩效结果报告。</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部门整体支出自评得分96分。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（一）评价结论</w:t>
      </w:r>
    </w:p>
    <w:p>
      <w:pPr>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leftChars="0" w:firstLine="640" w:firstLineChars="200"/>
        <w:contextualSpacing/>
        <w:textAlignment w:val="auto"/>
        <w:rPr>
          <w:rFonts w:hint="eastAsia" w:ascii="楷体_GB2312" w:hAnsi="楷体_GB2312" w:eastAsia="仿宋_GB2312" w:cs="楷体_GB2312"/>
          <w:b w:val="0"/>
          <w:bCs/>
          <w:spacing w:val="-6"/>
          <w:w w:val="99"/>
          <w:sz w:val="32"/>
          <w:szCs w:val="32"/>
          <w:lang w:val="en-US" w:eastAsia="zh-CN"/>
        </w:rPr>
      </w:pPr>
      <w:r>
        <w:rPr>
          <w:rFonts w:hint="eastAsia" w:ascii="仿宋_GB2312" w:hAnsi="仿宋_GB2312" w:eastAsia="仿宋_GB2312" w:cs="仿宋_GB2312"/>
          <w:sz w:val="32"/>
          <w:szCs w:val="32"/>
        </w:rPr>
        <w:t>根据预算绩效管理工作要求及安排，我单位对202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部门整体支出</w:t>
      </w:r>
      <w:r>
        <w:rPr>
          <w:rFonts w:hint="eastAsia" w:ascii="仿宋_GB2312" w:hAnsi="仿宋_GB2312" w:eastAsia="仿宋_GB2312" w:cs="仿宋_GB2312"/>
          <w:sz w:val="32"/>
          <w:szCs w:val="32"/>
        </w:rPr>
        <w:t>绩效管理工作进行了自评考核，基础自评得分9</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分，加分项得分0分，共计9</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7"/>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leftChars="0" w:firstLine="640" w:firstLineChars="200"/>
        <w:contextualSpacing/>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存在问题</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leftChars="0" w:firstLine="640" w:firstLineChars="200"/>
        <w:contextualSpacing/>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1.分析预算执行存在偏差。编制预算时难以精确预计，年中追加了预算，在预算执行中造成预算出现偏差现象。</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leftChars="0" w:firstLine="640" w:firstLineChars="200"/>
        <w:contextualSpacing/>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2.绩效目标设立不够明确、细化和量化。</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leftChars="0" w:firstLine="640" w:firstLineChars="200"/>
        <w:contextualSpacing/>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（三）改进建议</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leftChars="0" w:firstLine="640" w:firstLineChars="200"/>
        <w:contextualSpacing/>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1.进一步健全和完善财务管理制度及内部控制制度，创新管理手段，用新思路、新方法，改进完善财务管理方法。</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2.按照财政支出绩效管理的要求，建立科学的财政资金效益考评制度体系，不断提高财政资金使用管理的水平和效率。</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3.加强新行政单位会计制度和新预算法学习培训。加强新《预算法》《政府会计制度》等制度法规的学习培训，规范部门预算收支核算。一是制定和完善基本支出、项目支出等各项支出标准，严格按照项目和进度执行预算，增强预算的约束力和严肃性。二是落实预算执行分析，及时了解预算执行差异，合理调整、纠正预算执行偏差，切实提高部门预算收支管理水平。</w:t>
      </w:r>
    </w:p>
    <w:p>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spacing w:line="600" w:lineRule="exact"/>
        <w:jc w:val="center"/>
        <w:outlineLvl w:val="9"/>
        <w:rPr>
          <w:rFonts w:hint="eastAsia" w:ascii="黑体" w:hAnsi="黑体" w:eastAsia="黑体"/>
          <w:color w:val="auto"/>
          <w:sz w:val="44"/>
          <w:szCs w:val="44"/>
          <w:highlight w:val="none"/>
        </w:rPr>
      </w:pPr>
      <w:bookmarkStart w:id="86" w:name="_Toc15396618"/>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tbl>
      <w:tblPr>
        <w:tblStyle w:val="16"/>
        <w:tblW w:w="94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4"/>
        <w:gridCol w:w="1037"/>
        <w:gridCol w:w="992"/>
        <w:gridCol w:w="1096"/>
        <w:gridCol w:w="583"/>
        <w:gridCol w:w="750"/>
        <w:gridCol w:w="570"/>
        <w:gridCol w:w="1012"/>
        <w:gridCol w:w="536"/>
        <w:gridCol w:w="616"/>
        <w:gridCol w:w="1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中共广元市朝天区委机构编制 </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 xml:space="preserve">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严格执行相关政策，保障工资及时、足额发放或社保及时、足额缴纳，预算编制科学合理，减少结余资金。</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该项目为人员类项目（年终追加项目）</w:t>
            </w:r>
            <w:r>
              <w:rPr>
                <w:rFonts w:hint="default" w:ascii="宋体" w:hAnsi="宋体" w:eastAsia="宋体" w:cs="宋体"/>
                <w:color w:val="000000"/>
                <w:sz w:val="18"/>
                <w:szCs w:val="18"/>
                <w:lang w:val="en-US" w:eastAsia="zh-CN" w:bidi="ar"/>
              </w:rPr>
              <w:t>，</w:t>
            </w:r>
            <w:r>
              <w:rPr>
                <w:rFonts w:hint="default" w:ascii="宋体" w:hAnsi="宋体" w:cs="宋体"/>
                <w:i w:val="0"/>
                <w:iCs w:val="0"/>
                <w:color w:val="000000"/>
                <w:sz w:val="16"/>
                <w:szCs w:val="16"/>
                <w:u w:val="none"/>
                <w:lang w:val="en-US" w:eastAsia="zh-CN"/>
              </w:rPr>
              <w:t>主要保障</w:t>
            </w:r>
            <w:r>
              <w:rPr>
                <w:rFonts w:hint="eastAsia" w:ascii="宋体" w:hAnsi="宋体" w:cs="宋体"/>
                <w:i w:val="0"/>
                <w:iCs w:val="0"/>
                <w:color w:val="000000"/>
                <w:sz w:val="16"/>
                <w:szCs w:val="16"/>
                <w:u w:val="none"/>
                <w:lang w:val="en-US" w:eastAsia="zh-CN"/>
              </w:rPr>
              <w:t>本</w:t>
            </w:r>
            <w:r>
              <w:rPr>
                <w:rFonts w:hint="default" w:ascii="宋体" w:hAnsi="宋体" w:cs="宋体"/>
                <w:i w:val="0"/>
                <w:iCs w:val="0"/>
                <w:color w:val="000000"/>
                <w:sz w:val="16"/>
                <w:szCs w:val="16"/>
                <w:u w:val="none"/>
                <w:lang w:val="en-US" w:eastAsia="zh-CN"/>
              </w:rPr>
              <w:t>部门</w:t>
            </w:r>
            <w:r>
              <w:rPr>
                <w:rFonts w:hint="eastAsia" w:ascii="宋体" w:hAnsi="宋体" w:cs="宋体"/>
                <w:i w:val="0"/>
                <w:iCs w:val="0"/>
                <w:color w:val="000000"/>
                <w:sz w:val="16"/>
                <w:szCs w:val="16"/>
                <w:u w:val="none"/>
                <w:lang w:val="en-US" w:eastAsia="zh-CN"/>
              </w:rPr>
              <w:t>优秀公务员奖励金，</w:t>
            </w:r>
            <w:r>
              <w:rPr>
                <w:rFonts w:hint="default" w:ascii="宋体" w:hAnsi="宋体" w:cs="宋体"/>
                <w:i w:val="0"/>
                <w:iCs w:val="0"/>
                <w:color w:val="000000"/>
                <w:sz w:val="16"/>
                <w:szCs w:val="16"/>
                <w:u w:val="none"/>
                <w:lang w:val="en-US" w:eastAsia="zh-CN"/>
              </w:rPr>
              <w:t>2022年，</w:t>
            </w:r>
            <w:r>
              <w:rPr>
                <w:rFonts w:hint="eastAsia" w:ascii="宋体" w:hAnsi="宋体" w:cs="宋体"/>
                <w:i w:val="0"/>
                <w:iCs w:val="0"/>
                <w:color w:val="000000"/>
                <w:sz w:val="16"/>
                <w:szCs w:val="16"/>
                <w:u w:val="none"/>
                <w:lang w:val="en-US" w:eastAsia="zh-CN"/>
              </w:rPr>
              <w:t>该项目为年终追加项目</w:t>
            </w:r>
            <w:r>
              <w:rPr>
                <w:rFonts w:hint="default" w:ascii="宋体" w:hAnsi="宋体" w:cs="宋体"/>
                <w:i w:val="0"/>
                <w:iCs w:val="0"/>
                <w:color w:val="000000"/>
                <w:sz w:val="16"/>
                <w:szCs w:val="16"/>
                <w:u w:val="none"/>
                <w:lang w:val="en-US" w:eastAsia="zh-CN"/>
              </w:rPr>
              <w:t>，</w:t>
            </w:r>
            <w:r>
              <w:rPr>
                <w:rFonts w:hint="eastAsia" w:ascii="宋体" w:hAnsi="宋体" w:cs="宋体"/>
                <w:i w:val="0"/>
                <w:iCs w:val="0"/>
                <w:color w:val="000000"/>
                <w:sz w:val="16"/>
                <w:szCs w:val="16"/>
                <w:u w:val="none"/>
                <w:lang w:val="en-US" w:eastAsia="zh-CN"/>
              </w:rPr>
              <w:t>一次性足额支付</w:t>
            </w:r>
            <w:r>
              <w:rPr>
                <w:rFonts w:hint="default" w:ascii="宋体" w:hAnsi="宋体" w:cs="宋体"/>
                <w:i w:val="0"/>
                <w:iCs w:val="0"/>
                <w:color w:val="000000"/>
                <w:sz w:val="16"/>
                <w:szCs w:val="16"/>
                <w:u w:val="none"/>
                <w:lang w:val="en-US" w:eastAsia="zh-CN"/>
              </w:rPr>
              <w:t>，预算执行率100%，年末无资金结余情况。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0.19</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0.19</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0.19</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0.19</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发放（缴纳）覆盖率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60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  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足额保障率（参保率）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7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p>
            <w:pPr>
              <w:rPr>
                <w:rFonts w:hint="eastAsia" w:ascii="宋体" w:hAnsi="宋体" w:eastAsia="宋体" w:cs="宋体"/>
                <w:i w:val="0"/>
                <w:iCs w:val="0"/>
                <w:color w:val="000000"/>
                <w:sz w:val="16"/>
                <w:szCs w:val="16"/>
                <w:u w:val="none"/>
              </w:rPr>
            </w:pPr>
          </w:p>
        </w:tc>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 xml:space="preserve">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严格执行相关政策，保障工资及时发放、足额发放，预算编制科学合理，减少结余资金</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该项目为人员类项目，主要保障部门</w:t>
            </w:r>
            <w:r>
              <w:rPr>
                <w:rFonts w:hint="eastAsia" w:ascii="宋体" w:hAnsi="宋体" w:cs="宋体"/>
                <w:i w:val="0"/>
                <w:iCs w:val="0"/>
                <w:color w:val="000000"/>
                <w:kern w:val="0"/>
                <w:sz w:val="16"/>
                <w:szCs w:val="16"/>
                <w:u w:val="none"/>
                <w:lang w:val="en-US" w:eastAsia="zh-CN" w:bidi="ar"/>
              </w:rPr>
              <w:t>2名公务员和2名事业人员独子费</w:t>
            </w:r>
            <w:r>
              <w:rPr>
                <w:rFonts w:hint="default" w:ascii="宋体" w:hAnsi="宋体" w:eastAsia="宋体" w:cs="宋体"/>
                <w:i w:val="0"/>
                <w:iCs w:val="0"/>
                <w:color w:val="000000"/>
                <w:kern w:val="0"/>
                <w:sz w:val="16"/>
                <w:szCs w:val="16"/>
                <w:u w:val="none"/>
                <w:lang w:val="en-US" w:eastAsia="zh-CN" w:bidi="ar"/>
              </w:rPr>
              <w:t>。2022年，该预算项目资金按月支付，及时足额发放，预算执行率100%，年末无资金结余情况。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0.06</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0.06</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0.06</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0.06</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   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3"/>
                <w:szCs w:val="13"/>
                <w:u w:val="none"/>
                <w:lang w:val="en-US" w:eastAsia="zh-CN" w:bidi="ar"/>
              </w:rPr>
              <w:t>科目调整次数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足额保障率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按时发放率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结余率（计算方法为：结余数/预算数）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严格执行相关政策，保障工资及时发放、足额发放，预算编制科学合理，减少结余资金</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该项目为人员类项目，主要保障部门</w:t>
            </w:r>
            <w:r>
              <w:rPr>
                <w:rFonts w:hint="eastAsia" w:ascii="宋体" w:hAnsi="宋体" w:cs="宋体"/>
                <w:i w:val="0"/>
                <w:iCs w:val="0"/>
                <w:color w:val="000000"/>
                <w:kern w:val="0"/>
                <w:sz w:val="16"/>
                <w:szCs w:val="16"/>
                <w:u w:val="none"/>
                <w:lang w:val="en-US" w:eastAsia="zh-CN" w:bidi="ar"/>
              </w:rPr>
              <w:t>8</w:t>
            </w:r>
            <w:r>
              <w:rPr>
                <w:rFonts w:hint="default" w:ascii="宋体" w:hAnsi="宋体" w:eastAsia="宋体" w:cs="宋体"/>
                <w:i w:val="0"/>
                <w:iCs w:val="0"/>
                <w:color w:val="000000"/>
                <w:kern w:val="0"/>
                <w:sz w:val="16"/>
                <w:szCs w:val="16"/>
                <w:u w:val="none"/>
                <w:lang w:val="en-US" w:eastAsia="zh-CN" w:bidi="ar"/>
              </w:rPr>
              <w:t>名公务员</w:t>
            </w:r>
            <w:r>
              <w:rPr>
                <w:rFonts w:hint="eastAsia" w:ascii="宋体" w:hAnsi="宋体" w:cs="宋体"/>
                <w:i w:val="0"/>
                <w:iCs w:val="0"/>
                <w:color w:val="000000"/>
                <w:kern w:val="0"/>
                <w:sz w:val="16"/>
                <w:szCs w:val="16"/>
                <w:u w:val="none"/>
                <w:lang w:val="en-US" w:eastAsia="zh-CN" w:bidi="ar"/>
              </w:rPr>
              <w:t>和1名行政工勤人员</w:t>
            </w:r>
            <w:r>
              <w:rPr>
                <w:rFonts w:hint="default" w:ascii="宋体" w:hAnsi="宋体" w:eastAsia="宋体" w:cs="宋体"/>
                <w:i w:val="0"/>
                <w:iCs w:val="0"/>
                <w:color w:val="000000"/>
                <w:kern w:val="0"/>
                <w:sz w:val="16"/>
                <w:szCs w:val="16"/>
                <w:u w:val="none"/>
                <w:lang w:val="en-US" w:eastAsia="zh-CN" w:bidi="ar"/>
              </w:rPr>
              <w:t>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28.80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27.44</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27.44</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28.80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27.44</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27.44</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   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足额保障率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3"/>
                <w:szCs w:val="13"/>
                <w:u w:val="none"/>
                <w:lang w:val="en-US" w:eastAsia="zh-CN" w:bidi="ar"/>
              </w:rPr>
              <w:t>科目调整次数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按时发放率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  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结余率（计算方法为：结余数/预算数）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7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严格执行相关政策，保障工资及时发放、足额发放，预算编制科学合理，减少结余资金</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该项目为人员类项目，主要保障部门</w:t>
            </w:r>
            <w:r>
              <w:rPr>
                <w:rFonts w:hint="eastAsia" w:ascii="宋体" w:hAnsi="宋体" w:cs="宋体"/>
                <w:i w:val="0"/>
                <w:iCs w:val="0"/>
                <w:color w:val="000000"/>
                <w:kern w:val="0"/>
                <w:sz w:val="16"/>
                <w:szCs w:val="16"/>
                <w:u w:val="none"/>
                <w:lang w:val="en-US" w:eastAsia="zh-CN" w:bidi="ar"/>
              </w:rPr>
              <w:t>8</w:t>
            </w:r>
            <w:r>
              <w:rPr>
                <w:rFonts w:hint="default" w:ascii="宋体" w:hAnsi="宋体" w:eastAsia="宋体" w:cs="宋体"/>
                <w:i w:val="0"/>
                <w:iCs w:val="0"/>
                <w:color w:val="000000"/>
                <w:kern w:val="0"/>
                <w:sz w:val="16"/>
                <w:szCs w:val="16"/>
                <w:u w:val="none"/>
                <w:lang w:val="en-US" w:eastAsia="zh-CN" w:bidi="ar"/>
              </w:rPr>
              <w:t>名公务员</w:t>
            </w:r>
            <w:r>
              <w:rPr>
                <w:rFonts w:hint="eastAsia" w:ascii="宋体" w:hAnsi="宋体" w:cs="宋体"/>
                <w:i w:val="0"/>
                <w:iCs w:val="0"/>
                <w:color w:val="000000"/>
                <w:kern w:val="0"/>
                <w:sz w:val="16"/>
                <w:szCs w:val="16"/>
                <w:u w:val="none"/>
                <w:lang w:val="en-US" w:eastAsia="zh-CN" w:bidi="ar"/>
              </w:rPr>
              <w:t>和1名行政工勤人员</w:t>
            </w:r>
            <w:r>
              <w:rPr>
                <w:rFonts w:hint="default" w:ascii="宋体" w:hAnsi="宋体" w:eastAsia="宋体" w:cs="宋体"/>
                <w:i w:val="0"/>
                <w:iCs w:val="0"/>
                <w:color w:val="000000"/>
                <w:kern w:val="0"/>
                <w:sz w:val="16"/>
                <w:szCs w:val="16"/>
                <w:u w:val="none"/>
                <w:lang w:val="en-US" w:eastAsia="zh-CN" w:bidi="ar"/>
              </w:rPr>
              <w:t>2022年度车补。2022年，该预算项目资金按季度支付，及时足额发放，预算执行率100%，年末无资金结余情况。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8.66</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8.66</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8.66</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8.66</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  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3"/>
                <w:szCs w:val="13"/>
                <w:u w:val="none"/>
                <w:lang w:val="en-US" w:eastAsia="zh-CN" w:bidi="ar"/>
              </w:rPr>
              <w:t>科目调整次数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足额保障率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按时发放率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结余率（计算方法为：结余数/预算数）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7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left"/>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保障单位日常运转，提高预算编制质量，严格执行预算</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left"/>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该项目为特定目标类项目，主要保障部门金财网专线正常运转。2022年，该预算项目资金年</w:t>
            </w:r>
            <w:r>
              <w:rPr>
                <w:rFonts w:hint="eastAsia" w:ascii="宋体" w:hAnsi="宋体" w:cs="宋体"/>
                <w:i w:val="0"/>
                <w:iCs w:val="0"/>
                <w:color w:val="000000"/>
                <w:kern w:val="0"/>
                <w:sz w:val="16"/>
                <w:szCs w:val="16"/>
                <w:u w:val="none"/>
                <w:lang w:val="en-US" w:eastAsia="zh-CN" w:bidi="ar"/>
              </w:rPr>
              <w:t>终</w:t>
            </w:r>
            <w:r>
              <w:rPr>
                <w:rFonts w:hint="default" w:ascii="宋体" w:hAnsi="宋体" w:eastAsia="宋体" w:cs="宋体"/>
                <w:i w:val="0"/>
                <w:iCs w:val="0"/>
                <w:color w:val="000000"/>
                <w:kern w:val="0"/>
                <w:sz w:val="16"/>
                <w:szCs w:val="16"/>
                <w:u w:val="none"/>
                <w:lang w:val="en-US" w:eastAsia="zh-CN" w:bidi="ar"/>
              </w:rPr>
              <w:t>一次性支付，预算执行率100%，年末无资金结余情况。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0.24</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0.24</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left"/>
              <w:textAlignment w:val="auto"/>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     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0.24</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0.24</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  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科目调整   次数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left"/>
              <w:textAlignment w:val="auto"/>
              <w:rPr>
                <w:rFonts w:hint="eastAsia" w:ascii="宋体" w:hAnsi="宋体" w:eastAsia="宋体" w:cs="宋体"/>
                <w:i w:val="0"/>
                <w:iCs w:val="0"/>
                <w:color w:val="000000"/>
                <w:sz w:val="16"/>
                <w:szCs w:val="16"/>
                <w:u w:val="none"/>
              </w:rPr>
            </w:pPr>
            <w:r>
              <w:rPr>
                <w:rFonts w:hint="eastAsia" w:ascii="宋体" w:hAnsi="宋体" w:eastAsia="宋体" w:cs="宋体"/>
                <w:color w:val="auto"/>
                <w:sz w:val="13"/>
                <w:szCs w:val="13"/>
                <w:highlight w:val="none"/>
                <w:lang w:val="en-US" w:eastAsia="zh-CN"/>
              </w:rPr>
              <w:t>预算编制准确率（计算方法为：∣（执行数-预算数）/预算数∣）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运转保障率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260" w:firstLineChars="200"/>
              <w:jc w:val="left"/>
              <w:textAlignment w:val="auto"/>
              <w:rPr>
                <w:rFonts w:hint="eastAsia" w:ascii="宋体" w:hAnsi="宋体" w:eastAsia="宋体" w:cs="宋体"/>
                <w:i w:val="0"/>
                <w:iCs w:val="0"/>
                <w:color w:val="000000"/>
                <w:sz w:val="16"/>
                <w:szCs w:val="16"/>
                <w:u w:val="none"/>
              </w:rPr>
            </w:pPr>
            <w:r>
              <w:rPr>
                <w:rFonts w:hint="eastAsia" w:ascii="宋体" w:hAnsi="宋体" w:cs="宋体"/>
                <w:color w:val="auto"/>
                <w:sz w:val="13"/>
                <w:szCs w:val="13"/>
                <w:highlight w:val="none"/>
                <w:lang w:val="en-US" w:eastAsia="zh-CN"/>
              </w:rPr>
              <w:t>“三公”经费</w:t>
            </w:r>
            <w:r>
              <w:rPr>
                <w:rFonts w:hint="eastAsia" w:ascii="宋体" w:hAnsi="宋体" w:eastAsia="宋体" w:cs="宋体"/>
                <w:color w:val="auto"/>
                <w:sz w:val="13"/>
                <w:szCs w:val="13"/>
                <w:highlight w:val="none"/>
                <w:lang w:val="en-US" w:eastAsia="zh-CN"/>
              </w:rPr>
              <w:t>控制率[计算方法为：（三公经费实际支出数/预算安排数]×100%）</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auto"/>
                <w:sz w:val="16"/>
                <w:szCs w:val="16"/>
                <w:highlight w:val="none"/>
                <w:lang w:val="en-US" w:eastAsia="zh-CN"/>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7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严格执行相关政策，保障工资及时、足额发放或社保及时、足额缴纳，预算编制科学合理，减少结余资金。</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该项目为人员类项目，主要保障部门</w:t>
            </w:r>
            <w:r>
              <w:rPr>
                <w:rFonts w:hint="eastAsia" w:ascii="宋体" w:hAnsi="宋体" w:cs="宋体"/>
                <w:i w:val="0"/>
                <w:iCs w:val="0"/>
                <w:color w:val="000000"/>
                <w:kern w:val="0"/>
                <w:sz w:val="16"/>
                <w:szCs w:val="16"/>
                <w:u w:val="none"/>
                <w:lang w:val="en-US" w:eastAsia="zh-CN" w:bidi="ar"/>
              </w:rPr>
              <w:t>8</w:t>
            </w:r>
            <w:r>
              <w:rPr>
                <w:rFonts w:hint="default" w:ascii="宋体" w:hAnsi="宋体" w:eastAsia="宋体" w:cs="宋体"/>
                <w:i w:val="0"/>
                <w:iCs w:val="0"/>
                <w:color w:val="000000"/>
                <w:kern w:val="0"/>
                <w:sz w:val="16"/>
                <w:szCs w:val="16"/>
                <w:u w:val="none"/>
                <w:lang w:val="en-US" w:eastAsia="zh-CN" w:bidi="ar"/>
              </w:rPr>
              <w:t>名公务员</w:t>
            </w:r>
            <w:r>
              <w:rPr>
                <w:rFonts w:hint="eastAsia" w:ascii="宋体" w:hAnsi="宋体" w:cs="宋体"/>
                <w:i w:val="0"/>
                <w:iCs w:val="0"/>
                <w:color w:val="000000"/>
                <w:kern w:val="0"/>
                <w:sz w:val="16"/>
                <w:szCs w:val="16"/>
                <w:u w:val="none"/>
                <w:lang w:val="en-US" w:eastAsia="zh-CN" w:bidi="ar"/>
              </w:rPr>
              <w:t>和1名行政工勤人员</w:t>
            </w:r>
            <w:r>
              <w:rPr>
                <w:rFonts w:hint="default" w:ascii="宋体" w:hAnsi="宋体" w:eastAsia="宋体" w:cs="宋体"/>
                <w:i w:val="0"/>
                <w:iCs w:val="0"/>
                <w:color w:val="000000"/>
                <w:kern w:val="0"/>
                <w:sz w:val="16"/>
                <w:szCs w:val="16"/>
                <w:u w:val="none"/>
                <w:lang w:val="en-US" w:eastAsia="zh-CN" w:bidi="ar"/>
              </w:rPr>
              <w:t>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72.74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74.76</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74.7</w:t>
            </w:r>
            <w:r>
              <w:rPr>
                <w:rFonts w:hint="eastAsia" w:ascii="宋体" w:hAnsi="宋体" w:cs="宋体"/>
                <w:i w:val="0"/>
                <w:iCs w:val="0"/>
                <w:color w:val="000000"/>
                <w:kern w:val="0"/>
                <w:sz w:val="16"/>
                <w:szCs w:val="16"/>
                <w:u w:val="none"/>
                <w:lang w:val="en-US" w:eastAsia="zh-CN" w:bidi="ar"/>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72.74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74.76</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74.7</w:t>
            </w:r>
            <w:r>
              <w:rPr>
                <w:rFonts w:hint="eastAsia" w:ascii="宋体" w:hAnsi="宋体" w:cs="宋体"/>
                <w:i w:val="0"/>
                <w:iCs w:val="0"/>
                <w:color w:val="000000"/>
                <w:kern w:val="0"/>
                <w:sz w:val="16"/>
                <w:szCs w:val="16"/>
                <w:u w:val="none"/>
                <w:lang w:val="en-US" w:eastAsia="zh-CN" w:bidi="ar"/>
              </w:rPr>
              <w:t>6</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产出指标</w:t>
            </w:r>
          </w:p>
        </w:tc>
        <w:tc>
          <w:tcPr>
            <w:tcW w:w="1018"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sz w:val="16"/>
                <w:szCs w:val="16"/>
                <w:u w:val="none"/>
                <w:lang w:eastAsia="zh-CN"/>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kern w:val="0"/>
                <w:sz w:val="16"/>
                <w:szCs w:val="16"/>
                <w:u w:val="none"/>
                <w:lang w:val="en-US" w:eastAsia="zh-CN" w:bidi="ar"/>
              </w:rPr>
              <w:t>发放（缴纳）覆盖率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val="en-US" w:eastAsia="zh-CN"/>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val="en-US" w:eastAsia="zh-CN"/>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60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效益指标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6"/>
                <w:szCs w:val="16"/>
                <w:u w:val="none"/>
                <w:lang w:eastAsia="zh-CN"/>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6"/>
                <w:szCs w:val="16"/>
                <w:u w:val="none"/>
                <w:lang w:eastAsia="zh-CN"/>
              </w:rPr>
            </w:pPr>
            <w:r>
              <w:rPr>
                <w:rFonts w:hint="eastAsia" w:ascii="宋体" w:hAnsi="宋体" w:eastAsia="宋体" w:cs="宋体"/>
                <w:i w:val="0"/>
                <w:iCs w:val="0"/>
                <w:color w:val="000000"/>
                <w:kern w:val="0"/>
                <w:sz w:val="16"/>
                <w:szCs w:val="16"/>
                <w:u w:val="none"/>
                <w:lang w:val="en-US" w:eastAsia="zh-CN" w:bidi="ar"/>
              </w:rPr>
              <w:t>足额保障率（参保率）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center" w:pos="251"/>
                <w:tab w:val="left" w:pos="355"/>
              </w:tabs>
              <w:jc w:val="center"/>
              <w:rPr>
                <w:rFonts w:hint="eastAsia" w:ascii="黑体" w:hAnsi="黑体" w:eastAsia="黑体" w:cs="黑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7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p>
            <w:pPr>
              <w:pStyle w:val="5"/>
              <w:rPr>
                <w:rFonts w:hint="eastAsia"/>
              </w:rPr>
            </w:pPr>
          </w:p>
        </w:tc>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严格执行相关政策，保障工资及时、足额发放或社保及时、足额缴纳，预算编制科学合理，减少结余资金。</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该项目为人员类项目，主要保障部门</w:t>
            </w:r>
            <w:r>
              <w:rPr>
                <w:rFonts w:hint="eastAsia" w:ascii="宋体" w:hAnsi="宋体" w:cs="宋体"/>
                <w:i w:val="0"/>
                <w:iCs w:val="0"/>
                <w:color w:val="000000"/>
                <w:kern w:val="0"/>
                <w:sz w:val="16"/>
                <w:szCs w:val="16"/>
                <w:u w:val="none"/>
                <w:lang w:val="en-US" w:eastAsia="zh-CN" w:bidi="ar"/>
              </w:rPr>
              <w:t>5名事业人员</w:t>
            </w:r>
            <w:r>
              <w:rPr>
                <w:rFonts w:hint="default" w:ascii="宋体" w:hAnsi="宋体" w:eastAsia="宋体" w:cs="宋体"/>
                <w:i w:val="0"/>
                <w:iCs w:val="0"/>
                <w:color w:val="000000"/>
                <w:kern w:val="0"/>
                <w:sz w:val="16"/>
                <w:szCs w:val="16"/>
                <w:u w:val="none"/>
                <w:lang w:val="en-US" w:eastAsia="zh-CN" w:bidi="ar"/>
              </w:rPr>
              <w:t>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32.52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34.74</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34.7</w:t>
            </w:r>
            <w:r>
              <w:rPr>
                <w:rFonts w:hint="eastAsia" w:ascii="宋体" w:hAnsi="宋体" w:cs="宋体"/>
                <w:i w:val="0"/>
                <w:iCs w:val="0"/>
                <w:color w:val="000000"/>
                <w:kern w:val="0"/>
                <w:sz w:val="16"/>
                <w:szCs w:val="16"/>
                <w:u w:val="none"/>
                <w:lang w:val="en-US" w:eastAsia="zh-CN" w:bidi="ar"/>
              </w:rPr>
              <w:t>4</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32.52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34.74</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34.7</w:t>
            </w:r>
            <w:r>
              <w:rPr>
                <w:rFonts w:hint="eastAsia" w:ascii="宋体" w:hAnsi="宋体" w:cs="宋体"/>
                <w:i w:val="0"/>
                <w:iCs w:val="0"/>
                <w:color w:val="000000"/>
                <w:kern w:val="0"/>
                <w:sz w:val="16"/>
                <w:szCs w:val="16"/>
                <w:u w:val="none"/>
                <w:lang w:val="en-US" w:eastAsia="zh-CN" w:bidi="ar"/>
              </w:rPr>
              <w:t>4</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发放（缴纳）覆盖率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60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  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足额保障率（参保率）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7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p>
            <w:pPr>
              <w:pStyle w:val="5"/>
              <w:rPr>
                <w:rFonts w:hint="eastAsia"/>
              </w:rPr>
            </w:pPr>
          </w:p>
        </w:tc>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严格执行相关政策，保障工资及时足额发放或各类保险按月足额缴纳，预算编制科学合理，减少结余资金。</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该项目为人员类项目，主要保障部门</w:t>
            </w:r>
            <w:r>
              <w:rPr>
                <w:rFonts w:hint="eastAsia" w:ascii="宋体" w:hAnsi="宋体" w:cs="宋体"/>
                <w:i w:val="0"/>
                <w:iCs w:val="0"/>
                <w:color w:val="000000"/>
                <w:kern w:val="0"/>
                <w:sz w:val="16"/>
                <w:szCs w:val="16"/>
                <w:u w:val="none"/>
                <w:lang w:val="en-US" w:eastAsia="zh-CN" w:bidi="ar"/>
              </w:rPr>
              <w:t>8</w:t>
            </w:r>
            <w:r>
              <w:rPr>
                <w:rFonts w:hint="default" w:ascii="宋体" w:hAnsi="宋体" w:eastAsia="宋体" w:cs="宋体"/>
                <w:i w:val="0"/>
                <w:iCs w:val="0"/>
                <w:color w:val="000000"/>
                <w:kern w:val="0"/>
                <w:sz w:val="16"/>
                <w:szCs w:val="16"/>
                <w:u w:val="none"/>
                <w:lang w:val="en-US" w:eastAsia="zh-CN" w:bidi="ar"/>
              </w:rPr>
              <w:t>名公务员</w:t>
            </w:r>
            <w:r>
              <w:rPr>
                <w:rFonts w:hint="eastAsia" w:ascii="宋体" w:hAnsi="宋体" w:cs="宋体"/>
                <w:i w:val="0"/>
                <w:iCs w:val="0"/>
                <w:color w:val="000000"/>
                <w:kern w:val="0"/>
                <w:sz w:val="16"/>
                <w:szCs w:val="16"/>
                <w:u w:val="none"/>
                <w:lang w:val="en-US" w:eastAsia="zh-CN" w:bidi="ar"/>
              </w:rPr>
              <w:t>和1名机关工勤人员</w:t>
            </w:r>
            <w:r>
              <w:rPr>
                <w:rFonts w:hint="default" w:ascii="宋体" w:hAnsi="宋体" w:eastAsia="宋体" w:cs="宋体"/>
                <w:i w:val="0"/>
                <w:iCs w:val="0"/>
                <w:color w:val="000000"/>
                <w:kern w:val="0"/>
                <w:sz w:val="16"/>
                <w:szCs w:val="16"/>
                <w:u w:val="none"/>
                <w:lang w:val="en-US" w:eastAsia="zh-CN" w:bidi="ar"/>
              </w:rPr>
              <w:t>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11.78</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11.78</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产出指标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发放（缴纳）覆盖率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60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效益指标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社会效益  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足额保障率（参保率）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7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tc>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严格执行相关政策，保障工资及时、足额发放或社保及时、足额缴纳，预算编制科学合理，减少结余资金。</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该项目为人员类项目，主要保障部门</w:t>
            </w:r>
            <w:r>
              <w:rPr>
                <w:rFonts w:hint="eastAsia" w:ascii="宋体" w:hAnsi="宋体" w:cs="宋体"/>
                <w:i w:val="0"/>
                <w:iCs w:val="0"/>
                <w:color w:val="000000"/>
                <w:kern w:val="0"/>
                <w:sz w:val="16"/>
                <w:szCs w:val="16"/>
                <w:u w:val="none"/>
                <w:lang w:val="en-US" w:eastAsia="zh-CN" w:bidi="ar"/>
              </w:rPr>
              <w:t>5名事业人员</w:t>
            </w:r>
            <w:r>
              <w:rPr>
                <w:rFonts w:hint="default" w:ascii="宋体" w:hAnsi="宋体" w:eastAsia="宋体" w:cs="宋体"/>
                <w:i w:val="0"/>
                <w:iCs w:val="0"/>
                <w:color w:val="000000"/>
                <w:kern w:val="0"/>
                <w:sz w:val="16"/>
                <w:szCs w:val="16"/>
                <w:u w:val="none"/>
                <w:lang w:val="en-US" w:eastAsia="zh-CN" w:bidi="ar"/>
              </w:rPr>
              <w:t>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5.23</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5.23</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5.23</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5.23</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发放（缴纳）覆盖率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60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足额保障率（参保率）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7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p>
            <w:pPr>
              <w:pStyle w:val="5"/>
              <w:rPr>
                <w:rFonts w:hint="eastAsia"/>
              </w:rPr>
            </w:pPr>
          </w:p>
        </w:tc>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严格执行相关政策，保障工资及时、足额发放或社保及时、足额缴纳，预算编制科学合理，减少结余资金。</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该项目为人员类项目，主要保障部门</w:t>
            </w:r>
            <w:r>
              <w:rPr>
                <w:rFonts w:hint="eastAsia" w:ascii="宋体" w:hAnsi="宋体" w:cs="宋体"/>
                <w:i w:val="0"/>
                <w:iCs w:val="0"/>
                <w:color w:val="000000"/>
                <w:kern w:val="0"/>
                <w:sz w:val="16"/>
                <w:szCs w:val="16"/>
                <w:u w:val="none"/>
                <w:lang w:val="en-US" w:eastAsia="zh-CN" w:bidi="ar"/>
              </w:rPr>
              <w:t>8</w:t>
            </w:r>
            <w:r>
              <w:rPr>
                <w:rFonts w:hint="default" w:ascii="宋体" w:hAnsi="宋体" w:eastAsia="宋体" w:cs="宋体"/>
                <w:i w:val="0"/>
                <w:iCs w:val="0"/>
                <w:color w:val="000000"/>
                <w:kern w:val="0"/>
                <w:sz w:val="16"/>
                <w:szCs w:val="16"/>
                <w:u w:val="none"/>
                <w:lang w:val="en-US" w:eastAsia="zh-CN" w:bidi="ar"/>
              </w:rPr>
              <w:t>名公务员</w:t>
            </w:r>
            <w:r>
              <w:rPr>
                <w:rFonts w:hint="eastAsia" w:ascii="宋体" w:hAnsi="宋体" w:cs="宋体"/>
                <w:i w:val="0"/>
                <w:iCs w:val="0"/>
                <w:color w:val="000000"/>
                <w:kern w:val="0"/>
                <w:sz w:val="16"/>
                <w:szCs w:val="16"/>
                <w:u w:val="none"/>
                <w:lang w:val="en-US" w:eastAsia="zh-CN" w:bidi="ar"/>
              </w:rPr>
              <w:t>和1名机关工勤人员</w:t>
            </w:r>
            <w:r>
              <w:rPr>
                <w:rFonts w:hint="default" w:ascii="宋体" w:hAnsi="宋体" w:eastAsia="宋体" w:cs="宋体"/>
                <w:i w:val="0"/>
                <w:iCs w:val="0"/>
                <w:color w:val="000000"/>
                <w:kern w:val="0"/>
                <w:sz w:val="16"/>
                <w:szCs w:val="16"/>
                <w:u w:val="none"/>
                <w:lang w:val="en-US" w:eastAsia="zh-CN" w:bidi="ar"/>
              </w:rPr>
              <w:t>2022年度</w:t>
            </w:r>
            <w:r>
              <w:rPr>
                <w:rFonts w:hint="eastAsia" w:ascii="宋体" w:hAnsi="宋体" w:cs="宋体"/>
                <w:i w:val="0"/>
                <w:iCs w:val="0"/>
                <w:color w:val="000000"/>
                <w:kern w:val="0"/>
                <w:sz w:val="16"/>
                <w:szCs w:val="16"/>
                <w:u w:val="none"/>
                <w:lang w:val="en-US" w:eastAsia="zh-CN" w:bidi="ar"/>
              </w:rPr>
              <w:t>医疗</w:t>
            </w:r>
            <w:r>
              <w:rPr>
                <w:rFonts w:hint="default" w:ascii="宋体" w:hAnsi="宋体" w:eastAsia="宋体" w:cs="宋体"/>
                <w:i w:val="0"/>
                <w:iCs w:val="0"/>
                <w:color w:val="000000"/>
                <w:kern w:val="0"/>
                <w:sz w:val="16"/>
                <w:szCs w:val="16"/>
                <w:u w:val="none"/>
                <w:lang w:val="en-US" w:eastAsia="zh-CN" w:bidi="ar"/>
              </w:rPr>
              <w:t>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5.79</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5.79</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5.79</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5.79</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产出指标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发放（缴纳）覆盖率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2"/>
                <w:sz w:val="16"/>
                <w:szCs w:val="16"/>
                <w:u w:val="none"/>
                <w:lang w:val="en-US" w:eastAsia="zh-CN" w:bidi="ar-SA"/>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60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效益指标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足额保障率（参保率）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2"/>
                <w:sz w:val="16"/>
                <w:szCs w:val="16"/>
                <w:u w:val="none"/>
                <w:lang w:val="en-US" w:eastAsia="zh-CN" w:bidi="ar-SA"/>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tc>
        <w:tc>
          <w:tcPr>
            <w:tcW w:w="7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严格执行相关政策，保障工资及时、足额发放或社保及时、足额缴纳，预算编制科学合理，减少结余资金。</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该项目为人员类项目，主要保障部</w:t>
            </w:r>
            <w:r>
              <w:rPr>
                <w:rFonts w:hint="eastAsia" w:ascii="宋体" w:hAnsi="宋体" w:cs="宋体"/>
                <w:i w:val="0"/>
                <w:iCs w:val="0"/>
                <w:color w:val="000000"/>
                <w:kern w:val="0"/>
                <w:sz w:val="16"/>
                <w:szCs w:val="16"/>
                <w:u w:val="none"/>
                <w:lang w:val="en-US" w:eastAsia="zh-CN" w:bidi="ar"/>
              </w:rPr>
              <w:t>本单位</w:t>
            </w:r>
            <w:r>
              <w:rPr>
                <w:rFonts w:hint="default" w:ascii="宋体" w:hAnsi="宋体" w:eastAsia="宋体" w:cs="宋体"/>
                <w:i w:val="0"/>
                <w:iCs w:val="0"/>
                <w:color w:val="000000"/>
                <w:kern w:val="0"/>
                <w:sz w:val="16"/>
                <w:szCs w:val="16"/>
                <w:u w:val="none"/>
                <w:lang w:val="en-US" w:eastAsia="zh-CN" w:bidi="ar"/>
              </w:rPr>
              <w:t>门</w:t>
            </w:r>
            <w:r>
              <w:rPr>
                <w:rFonts w:hint="eastAsia" w:ascii="宋体" w:hAnsi="宋体" w:cs="宋体"/>
                <w:i w:val="0"/>
                <w:iCs w:val="0"/>
                <w:color w:val="000000"/>
                <w:kern w:val="0"/>
                <w:sz w:val="16"/>
                <w:szCs w:val="16"/>
                <w:u w:val="none"/>
                <w:lang w:val="en-US" w:eastAsia="zh-CN" w:bidi="ar"/>
              </w:rPr>
              <w:t>5名事业人员</w:t>
            </w:r>
            <w:r>
              <w:rPr>
                <w:rFonts w:hint="default" w:ascii="宋体" w:hAnsi="宋体" w:eastAsia="宋体" w:cs="宋体"/>
                <w:i w:val="0"/>
                <w:iCs w:val="0"/>
                <w:color w:val="000000"/>
                <w:kern w:val="0"/>
                <w:sz w:val="16"/>
                <w:szCs w:val="16"/>
                <w:u w:val="none"/>
                <w:lang w:val="en-US" w:eastAsia="zh-CN" w:bidi="ar"/>
              </w:rPr>
              <w:t>2022年度</w:t>
            </w:r>
            <w:r>
              <w:rPr>
                <w:rFonts w:hint="eastAsia" w:ascii="宋体" w:hAnsi="宋体" w:cs="宋体"/>
                <w:i w:val="0"/>
                <w:iCs w:val="0"/>
                <w:color w:val="000000"/>
                <w:kern w:val="0"/>
                <w:sz w:val="16"/>
                <w:szCs w:val="16"/>
                <w:u w:val="none"/>
                <w:lang w:val="en-US" w:eastAsia="zh-CN" w:bidi="ar"/>
              </w:rPr>
              <w:t>医疗</w:t>
            </w:r>
            <w:r>
              <w:rPr>
                <w:rFonts w:hint="default" w:ascii="宋体" w:hAnsi="宋体" w:eastAsia="宋体" w:cs="宋体"/>
                <w:i w:val="0"/>
                <w:iCs w:val="0"/>
                <w:color w:val="000000"/>
                <w:kern w:val="0"/>
                <w:sz w:val="16"/>
                <w:szCs w:val="16"/>
                <w:u w:val="none"/>
                <w:lang w:val="en-US" w:eastAsia="zh-CN" w:bidi="ar"/>
              </w:rPr>
              <w:t>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2.73</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2.73</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2.73</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2.73</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发放（缴纳）覆盖率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60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   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足额保障率（参保率）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p>
            <w:pPr>
              <w:pStyle w:val="5"/>
              <w:rPr>
                <w:rFonts w:hint="eastAsia"/>
              </w:rPr>
            </w:pPr>
          </w:p>
        </w:tc>
        <w:tc>
          <w:tcPr>
            <w:tcW w:w="7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严格执行相关政策，保障工资及时、足额发放或</w:t>
            </w:r>
            <w:r>
              <w:rPr>
                <w:rFonts w:hint="eastAsia" w:ascii="宋体" w:hAnsi="宋体" w:cs="宋体"/>
                <w:i w:val="0"/>
                <w:iCs w:val="0"/>
                <w:color w:val="000000"/>
                <w:kern w:val="0"/>
                <w:sz w:val="16"/>
                <w:szCs w:val="16"/>
                <w:u w:val="none"/>
                <w:lang w:val="en-US" w:eastAsia="zh-CN" w:bidi="ar"/>
              </w:rPr>
              <w:t>公积金</w:t>
            </w:r>
            <w:r>
              <w:rPr>
                <w:rFonts w:hint="eastAsia" w:ascii="宋体" w:hAnsi="宋体" w:eastAsia="宋体" w:cs="宋体"/>
                <w:i w:val="0"/>
                <w:iCs w:val="0"/>
                <w:color w:val="000000"/>
                <w:kern w:val="0"/>
                <w:sz w:val="16"/>
                <w:szCs w:val="16"/>
                <w:u w:val="none"/>
                <w:lang w:val="en-US" w:eastAsia="zh-CN" w:bidi="ar"/>
              </w:rPr>
              <w:t>及时、足额缴纳，预算编制科学合理，减少结余资金。</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该项目为人员类项目，主要保障部门</w:t>
            </w:r>
            <w:r>
              <w:rPr>
                <w:rFonts w:hint="eastAsia" w:ascii="宋体" w:hAnsi="宋体" w:cs="宋体"/>
                <w:i w:val="0"/>
                <w:iCs w:val="0"/>
                <w:color w:val="000000"/>
                <w:kern w:val="0"/>
                <w:sz w:val="16"/>
                <w:szCs w:val="16"/>
                <w:u w:val="none"/>
                <w:lang w:val="en-US" w:eastAsia="zh-CN" w:bidi="ar"/>
              </w:rPr>
              <w:t>8</w:t>
            </w:r>
            <w:r>
              <w:rPr>
                <w:rFonts w:hint="default" w:ascii="宋体" w:hAnsi="宋体" w:eastAsia="宋体" w:cs="宋体"/>
                <w:i w:val="0"/>
                <w:iCs w:val="0"/>
                <w:color w:val="000000"/>
                <w:kern w:val="0"/>
                <w:sz w:val="16"/>
                <w:szCs w:val="16"/>
                <w:u w:val="none"/>
                <w:lang w:val="en-US" w:eastAsia="zh-CN" w:bidi="ar"/>
              </w:rPr>
              <w:t>名公务员</w:t>
            </w:r>
            <w:r>
              <w:rPr>
                <w:rFonts w:hint="eastAsia" w:ascii="宋体" w:hAnsi="宋体" w:cs="宋体"/>
                <w:i w:val="0"/>
                <w:iCs w:val="0"/>
                <w:color w:val="000000"/>
                <w:kern w:val="0"/>
                <w:sz w:val="16"/>
                <w:szCs w:val="16"/>
                <w:u w:val="none"/>
                <w:lang w:val="en-US" w:eastAsia="zh-CN" w:bidi="ar"/>
              </w:rPr>
              <w:t>和1名机关工勤人员</w:t>
            </w:r>
            <w:r>
              <w:rPr>
                <w:rFonts w:hint="default" w:ascii="宋体" w:hAnsi="宋体" w:eastAsia="宋体" w:cs="宋体"/>
                <w:i w:val="0"/>
                <w:iCs w:val="0"/>
                <w:color w:val="000000"/>
                <w:kern w:val="0"/>
                <w:sz w:val="16"/>
                <w:szCs w:val="16"/>
                <w:u w:val="none"/>
                <w:lang w:val="en-US" w:eastAsia="zh-CN" w:bidi="ar"/>
              </w:rPr>
              <w:t>2022年度</w:t>
            </w:r>
            <w:r>
              <w:rPr>
                <w:rFonts w:hint="eastAsia" w:ascii="宋体" w:hAnsi="宋体" w:cs="宋体"/>
                <w:i w:val="0"/>
                <w:iCs w:val="0"/>
                <w:color w:val="000000"/>
                <w:kern w:val="0"/>
                <w:sz w:val="16"/>
                <w:szCs w:val="16"/>
                <w:u w:val="none"/>
                <w:lang w:val="en-US" w:eastAsia="zh-CN" w:bidi="ar"/>
              </w:rPr>
              <w:t>住房公积金</w:t>
            </w:r>
            <w:r>
              <w:rPr>
                <w:rFonts w:hint="default" w:ascii="宋体" w:hAnsi="宋体" w:eastAsia="宋体" w:cs="宋体"/>
                <w:i w:val="0"/>
                <w:iCs w:val="0"/>
                <w:color w:val="000000"/>
                <w:kern w:val="0"/>
                <w:sz w:val="16"/>
                <w:szCs w:val="16"/>
                <w:u w:val="none"/>
                <w:lang w:val="en-US" w:eastAsia="zh-CN" w:bidi="ar"/>
              </w:rPr>
              <w:t>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11.38</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11.38</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发放（缴纳）覆盖率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60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足额保障率（参保率）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7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p>
            <w:pPr>
              <w:pStyle w:val="5"/>
              <w:rPr>
                <w:rFonts w:hint="eastAsia"/>
              </w:rPr>
            </w:pPr>
          </w:p>
        </w:tc>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严格执行相关政策，保障工资及时、足额发放或</w:t>
            </w:r>
            <w:r>
              <w:rPr>
                <w:rFonts w:hint="eastAsia" w:ascii="宋体" w:hAnsi="宋体" w:cs="宋体"/>
                <w:i w:val="0"/>
                <w:iCs w:val="0"/>
                <w:color w:val="000000"/>
                <w:kern w:val="0"/>
                <w:sz w:val="16"/>
                <w:szCs w:val="16"/>
                <w:u w:val="none"/>
                <w:lang w:val="en-US" w:eastAsia="zh-CN" w:bidi="ar"/>
              </w:rPr>
              <w:t>公积金</w:t>
            </w:r>
            <w:r>
              <w:rPr>
                <w:rFonts w:hint="eastAsia" w:ascii="宋体" w:hAnsi="宋体" w:eastAsia="宋体" w:cs="宋体"/>
                <w:i w:val="0"/>
                <w:iCs w:val="0"/>
                <w:color w:val="000000"/>
                <w:kern w:val="0"/>
                <w:sz w:val="16"/>
                <w:szCs w:val="16"/>
                <w:u w:val="none"/>
                <w:lang w:val="en-US" w:eastAsia="zh-CN" w:bidi="ar"/>
              </w:rPr>
              <w:t>及时、足额缴纳，预算编制科学合理，减少结余资金。</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该项目为人员类项目，主要保障部门</w:t>
            </w:r>
            <w:r>
              <w:rPr>
                <w:rFonts w:hint="eastAsia" w:ascii="宋体" w:hAnsi="宋体" w:cs="宋体"/>
                <w:i w:val="0"/>
                <w:iCs w:val="0"/>
                <w:color w:val="000000"/>
                <w:kern w:val="0"/>
                <w:sz w:val="16"/>
                <w:szCs w:val="16"/>
                <w:u w:val="none"/>
                <w:lang w:val="en-US" w:eastAsia="zh-CN" w:bidi="ar"/>
              </w:rPr>
              <w:t>5名事业人员</w:t>
            </w:r>
            <w:r>
              <w:rPr>
                <w:rFonts w:hint="default" w:ascii="宋体" w:hAnsi="宋体" w:eastAsia="宋体" w:cs="宋体"/>
                <w:i w:val="0"/>
                <w:iCs w:val="0"/>
                <w:color w:val="000000"/>
                <w:kern w:val="0"/>
                <w:sz w:val="16"/>
                <w:szCs w:val="16"/>
                <w:u w:val="none"/>
                <w:lang w:val="en-US" w:eastAsia="zh-CN" w:bidi="ar"/>
              </w:rPr>
              <w:t>2022年度</w:t>
            </w:r>
            <w:r>
              <w:rPr>
                <w:rFonts w:hint="eastAsia" w:ascii="宋体" w:hAnsi="宋体" w:cs="宋体"/>
                <w:i w:val="0"/>
                <w:iCs w:val="0"/>
                <w:color w:val="000000"/>
                <w:kern w:val="0"/>
                <w:sz w:val="16"/>
                <w:szCs w:val="16"/>
                <w:u w:val="none"/>
                <w:lang w:val="en-US" w:eastAsia="zh-CN" w:bidi="ar"/>
              </w:rPr>
              <w:t>住房公积金</w:t>
            </w:r>
            <w:r>
              <w:rPr>
                <w:rFonts w:hint="default" w:ascii="宋体" w:hAnsi="宋体" w:eastAsia="宋体" w:cs="宋体"/>
                <w:i w:val="0"/>
                <w:iCs w:val="0"/>
                <w:color w:val="000000"/>
                <w:kern w:val="0"/>
                <w:sz w:val="16"/>
                <w:szCs w:val="16"/>
                <w:u w:val="none"/>
                <w:lang w:val="en-US" w:eastAsia="zh-CN" w:bidi="ar"/>
              </w:rPr>
              <w:t>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6.01</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6.01</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发放（缴纳）覆盖率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60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足额保障率（参保率）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p>
            <w:pPr>
              <w:pStyle w:val="5"/>
              <w:rPr>
                <w:rFonts w:hint="eastAsia"/>
              </w:rPr>
            </w:pPr>
          </w:p>
        </w:tc>
        <w:tc>
          <w:tcPr>
            <w:tcW w:w="7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严格执行相关政策，保障工资及时发放、足额发放，预算编制科学合理，减少结余资金</w:t>
            </w:r>
            <w:r>
              <w:rPr>
                <w:rFonts w:hint="eastAsia" w:ascii="宋体" w:hAnsi="宋体" w:cs="宋体"/>
                <w:i w:val="0"/>
                <w:iCs w:val="0"/>
                <w:color w:val="000000"/>
                <w:kern w:val="0"/>
                <w:sz w:val="16"/>
                <w:szCs w:val="16"/>
                <w:u w:val="none"/>
                <w:lang w:val="en-US" w:eastAsia="zh-CN" w:bidi="ar"/>
              </w:rPr>
              <w:t>。</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该项目为人员类项目，主要保障部门</w:t>
            </w:r>
            <w:r>
              <w:rPr>
                <w:rFonts w:hint="eastAsia" w:ascii="宋体" w:hAnsi="宋体" w:cs="宋体"/>
                <w:i w:val="0"/>
                <w:iCs w:val="0"/>
                <w:color w:val="000000"/>
                <w:kern w:val="0"/>
                <w:sz w:val="16"/>
                <w:szCs w:val="16"/>
                <w:u w:val="none"/>
                <w:lang w:val="en-US" w:eastAsia="zh-CN" w:bidi="ar"/>
              </w:rPr>
              <w:t>5名事业人员</w:t>
            </w:r>
            <w:r>
              <w:rPr>
                <w:rFonts w:hint="default" w:ascii="宋体" w:hAnsi="宋体" w:eastAsia="宋体" w:cs="宋体"/>
                <w:i w:val="0"/>
                <w:iCs w:val="0"/>
                <w:color w:val="000000"/>
                <w:kern w:val="0"/>
                <w:sz w:val="16"/>
                <w:szCs w:val="16"/>
                <w:u w:val="none"/>
                <w:lang w:val="en-US" w:eastAsia="zh-CN" w:bidi="ar"/>
              </w:rPr>
              <w:t>2022年度</w:t>
            </w:r>
            <w:r>
              <w:rPr>
                <w:rFonts w:hint="eastAsia" w:ascii="宋体" w:hAnsi="宋体" w:cs="宋体"/>
                <w:i w:val="0"/>
                <w:iCs w:val="0"/>
                <w:color w:val="000000"/>
                <w:kern w:val="0"/>
                <w:sz w:val="16"/>
                <w:szCs w:val="16"/>
                <w:u w:val="none"/>
                <w:lang w:val="en-US" w:eastAsia="zh-CN" w:bidi="ar"/>
              </w:rPr>
              <w:t>目标绩效奖发放</w:t>
            </w:r>
            <w:r>
              <w:rPr>
                <w:rFonts w:hint="default" w:ascii="宋体" w:hAnsi="宋体" w:eastAsia="宋体" w:cs="宋体"/>
                <w:i w:val="0"/>
                <w:iCs w:val="0"/>
                <w:color w:val="000000"/>
                <w:kern w:val="0"/>
                <w:sz w:val="16"/>
                <w:szCs w:val="16"/>
                <w:u w:val="none"/>
                <w:lang w:val="en-US" w:eastAsia="zh-CN" w:bidi="ar"/>
              </w:rPr>
              <w:t>。2022年，该预算项目资金按月支付，及时足额缴纳，预算执行率100%，年末无资金结余情况。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16.46</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16.46</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16.46</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16.46</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科目调整</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次数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足额保障率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按时发放率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结余率（计算方法为：结余数/预算数）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严格执行相关政策，保障工资及时发放、足额发放，预算编制科学合理，减少结余资金</w:t>
            </w:r>
            <w:r>
              <w:rPr>
                <w:rFonts w:hint="eastAsia" w:ascii="宋体" w:hAnsi="宋体" w:cs="宋体"/>
                <w:i w:val="0"/>
                <w:iCs w:val="0"/>
                <w:color w:val="000000"/>
                <w:kern w:val="0"/>
                <w:sz w:val="16"/>
                <w:szCs w:val="16"/>
                <w:u w:val="none"/>
                <w:lang w:val="en-US" w:eastAsia="zh-CN" w:bidi="ar"/>
              </w:rPr>
              <w:t>。</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该项目为人员类项目，主要保障部门</w:t>
            </w:r>
            <w:r>
              <w:rPr>
                <w:rFonts w:hint="eastAsia" w:ascii="宋体" w:hAnsi="宋体" w:cs="宋体"/>
                <w:i w:val="0"/>
                <w:iCs w:val="0"/>
                <w:color w:val="000000"/>
                <w:kern w:val="0"/>
                <w:sz w:val="16"/>
                <w:szCs w:val="16"/>
                <w:u w:val="none"/>
                <w:lang w:val="en-US" w:eastAsia="zh-CN" w:bidi="ar"/>
              </w:rPr>
              <w:t>1名行政工勤人员</w:t>
            </w:r>
            <w:r>
              <w:rPr>
                <w:rFonts w:hint="default" w:ascii="宋体" w:hAnsi="宋体" w:eastAsia="宋体" w:cs="宋体"/>
                <w:i w:val="0"/>
                <w:iCs w:val="0"/>
                <w:color w:val="000000"/>
                <w:kern w:val="0"/>
                <w:sz w:val="16"/>
                <w:szCs w:val="16"/>
                <w:u w:val="none"/>
                <w:lang w:val="en-US" w:eastAsia="zh-CN" w:bidi="ar"/>
              </w:rPr>
              <w:t>2022年度</w:t>
            </w:r>
            <w:r>
              <w:rPr>
                <w:rFonts w:hint="eastAsia" w:ascii="宋体" w:hAnsi="宋体" w:cs="宋体"/>
                <w:i w:val="0"/>
                <w:iCs w:val="0"/>
                <w:color w:val="000000"/>
                <w:kern w:val="0"/>
                <w:sz w:val="16"/>
                <w:szCs w:val="16"/>
                <w:u w:val="none"/>
                <w:lang w:val="en-US" w:eastAsia="zh-CN" w:bidi="ar"/>
              </w:rPr>
              <w:t>目标绩效奖发放</w:t>
            </w:r>
            <w:r>
              <w:rPr>
                <w:rFonts w:hint="default" w:ascii="宋体" w:hAnsi="宋体" w:eastAsia="宋体" w:cs="宋体"/>
                <w:i w:val="0"/>
                <w:iCs w:val="0"/>
                <w:color w:val="000000"/>
                <w:kern w:val="0"/>
                <w:sz w:val="16"/>
                <w:szCs w:val="16"/>
                <w:u w:val="none"/>
                <w:lang w:val="en-US" w:eastAsia="zh-CN" w:bidi="ar"/>
              </w:rPr>
              <w:t>。2022年，该预算项目资金按月支付，及时足额缴纳，预算执行率100%，年末无资金结余情况。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科目调整</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次数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足额保障率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按时发放率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  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结余率（计算方法为：结余数/预算数）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51081222T000005936295-中文域名注册运行维护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left"/>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完成政务域名单位63个，公益域名单位347个。完成全区机关事业单位网上名称管理工作，推进全区机关事业单位中文域名注册共作；完成党政机关网站开办审核、资格复审及网站“挂标”共作；实现到期域名不欠费、不断档，确保域名共作的连续性和稳定性。</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left"/>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left"/>
              <w:textAlignment w:val="auto"/>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kern w:val="0"/>
                <w:sz w:val="16"/>
                <w:szCs w:val="16"/>
                <w:u w:val="none"/>
                <w:lang w:val="en-US" w:eastAsia="zh-CN" w:bidi="ar"/>
              </w:rPr>
              <w:t>该项目为特定目标类项目，主要保障全区机关事业单位网上名称管理工作，推进全区机关事业单位中文域名注册共作；完成党政机关网站开办审核、资格复审及网站“挂标”共作；实现到期域名不欠费、不断档，确保域名共作的连续性和稳定性。</w:t>
            </w:r>
            <w:r>
              <w:rPr>
                <w:rFonts w:hint="default" w:ascii="宋体" w:hAnsi="宋体" w:eastAsia="宋体" w:cs="宋体"/>
                <w:i w:val="0"/>
                <w:iCs w:val="0"/>
                <w:color w:val="000000"/>
                <w:kern w:val="0"/>
                <w:sz w:val="16"/>
                <w:szCs w:val="16"/>
                <w:u w:val="none"/>
                <w:lang w:val="en-US" w:eastAsia="zh-CN" w:bidi="ar"/>
              </w:rPr>
              <w:t>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注册公益域名单位</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374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8</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注册政务域名单位</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63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8</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注册域名准确率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完成时限</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2022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8</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注册公益域名成本</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37400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37400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8</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注册政务域名成本</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12600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8</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 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确保全区域名工作连续性和稳定性</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高中低</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对全区域名工作连续性和稳定性的作用</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高中低</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高</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7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tc>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51081222T000005937039-</w:t>
            </w:r>
            <w:r>
              <w:rPr>
                <w:rFonts w:hint="eastAsia" w:ascii="宋体" w:hAnsi="宋体" w:cs="宋体"/>
                <w:i w:val="0"/>
                <w:iCs w:val="0"/>
                <w:color w:val="000000"/>
                <w:kern w:val="0"/>
                <w:sz w:val="16"/>
                <w:szCs w:val="16"/>
                <w:u w:val="none"/>
                <w:lang w:val="en-US" w:eastAsia="zh-CN" w:bidi="ar"/>
              </w:rPr>
              <w:t>统一社会信用代码</w:t>
            </w:r>
            <w:r>
              <w:rPr>
                <w:rFonts w:hint="eastAsia" w:ascii="宋体" w:hAnsi="宋体" w:eastAsia="宋体" w:cs="宋体"/>
                <w:i w:val="0"/>
                <w:iCs w:val="0"/>
                <w:color w:val="000000"/>
                <w:kern w:val="0"/>
                <w:sz w:val="16"/>
                <w:szCs w:val="16"/>
                <w:u w:val="none"/>
                <w:lang w:val="en-US" w:eastAsia="zh-CN" w:bidi="ar"/>
              </w:rPr>
              <w:t>赋码颁证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印制《机关群团统一社会信用代码证书》600分，《事业单位法人证书》400份。完成机关、群团和事业单位统一社会信用代码证书赋码颁证工作。及时更新信息，保证实名制管理工作顺利开展。</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该项目为特定目标类项目，主要保障</w:t>
            </w:r>
            <w:r>
              <w:rPr>
                <w:rFonts w:hint="eastAsia" w:ascii="宋体" w:hAnsi="宋体" w:eastAsia="宋体" w:cs="宋体"/>
                <w:i w:val="0"/>
                <w:iCs w:val="0"/>
                <w:color w:val="000000"/>
                <w:kern w:val="0"/>
                <w:sz w:val="16"/>
                <w:szCs w:val="16"/>
                <w:u w:val="none"/>
                <w:lang w:val="en-US" w:eastAsia="zh-CN" w:bidi="ar"/>
              </w:rPr>
              <w:t>机关、群团和事业单位统一社会信用代码证书赋码颁证工作。及时更新信息，保证实名制管理工作顺利开展。</w:t>
            </w:r>
            <w:r>
              <w:rPr>
                <w:rFonts w:hint="default" w:ascii="宋体" w:hAnsi="宋体" w:eastAsia="宋体" w:cs="宋体"/>
                <w:i w:val="0"/>
                <w:iCs w:val="0"/>
                <w:color w:val="000000"/>
                <w:kern w:val="0"/>
                <w:sz w:val="16"/>
                <w:szCs w:val="16"/>
                <w:u w:val="none"/>
                <w:lang w:val="en-US" w:eastAsia="zh-CN" w:bidi="ar"/>
              </w:rPr>
              <w:t>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印制《事业单位法人证书》</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份</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400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7</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印制《机关群团统一社会信用代码证书》</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份</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600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7</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赋码颁证合格率、准确率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8</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印制证书准确率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7</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完成时限</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2022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7</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《事业单位法人证书》印制成本</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7</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《机关群团统一社会信用代码证书》印制成本</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7</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  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及时更新信息，保证实名制管理工作顺利开展</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高中低</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对赋码颁证实名制管理工作质量的作用</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高中低</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赋码颁证工作满意度</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高中低</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为单位服务满意度</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高中低</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7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p>
            <w:pPr>
              <w:pStyle w:val="5"/>
              <w:rPr>
                <w:rFonts w:hint="eastAsia" w:ascii="宋体" w:hAnsi="宋体" w:eastAsia="宋体" w:cs="宋体"/>
                <w:i w:val="0"/>
                <w:iCs w:val="0"/>
                <w:color w:val="000000"/>
                <w:sz w:val="16"/>
                <w:szCs w:val="16"/>
                <w:u w:val="none"/>
              </w:rPr>
            </w:pPr>
          </w:p>
        </w:tc>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left"/>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保障单位日常运转，提高预算编制质量，严格执行预算</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left"/>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该项目为运转类项目，主要保障部门</w:t>
            </w:r>
            <w:r>
              <w:rPr>
                <w:rFonts w:hint="eastAsia" w:ascii="宋体" w:hAnsi="宋体" w:cs="宋体"/>
                <w:i w:val="0"/>
                <w:iCs w:val="0"/>
                <w:color w:val="000000"/>
                <w:kern w:val="0"/>
                <w:sz w:val="16"/>
                <w:szCs w:val="16"/>
                <w:u w:val="none"/>
                <w:lang w:val="en-US" w:eastAsia="zh-CN" w:bidi="ar"/>
              </w:rPr>
              <w:t>行政人员</w:t>
            </w:r>
            <w:r>
              <w:rPr>
                <w:rFonts w:hint="default" w:ascii="宋体" w:hAnsi="宋体" w:eastAsia="宋体" w:cs="宋体"/>
                <w:i w:val="0"/>
                <w:iCs w:val="0"/>
                <w:color w:val="000000"/>
                <w:kern w:val="0"/>
                <w:sz w:val="16"/>
                <w:szCs w:val="16"/>
                <w:u w:val="none"/>
                <w:lang w:val="en-US" w:eastAsia="zh-CN" w:bidi="ar"/>
              </w:rPr>
              <w:t>日常公用支出。2022年，该预算项目资金有序支付，预算执行率100%，年末无资金结余情况。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8.21</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left"/>
              <w:textAlignment w:val="auto"/>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8.21</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科目调整  </w:t>
            </w:r>
            <w:r>
              <w:rPr>
                <w:rFonts w:hint="eastAsia" w:ascii="宋体" w:hAnsi="宋体" w:eastAsia="宋体" w:cs="宋体"/>
                <w:i w:val="0"/>
                <w:iCs w:val="0"/>
                <w:color w:val="000000"/>
                <w:sz w:val="16"/>
                <w:szCs w:val="16"/>
                <w:u w:val="none"/>
                <w:lang w:val="en-US" w:eastAsia="zh-CN"/>
              </w:rPr>
              <w:t>次数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预算编制准确率（计算方法为：∣（执行数-预算数）/预算数∣）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运转保障率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“三公”经费</w:t>
            </w:r>
            <w:r>
              <w:rPr>
                <w:rFonts w:hint="eastAsia" w:ascii="宋体" w:hAnsi="宋体" w:eastAsia="宋体" w:cs="宋体"/>
                <w:i w:val="0"/>
                <w:iCs w:val="0"/>
                <w:color w:val="000000"/>
                <w:kern w:val="0"/>
                <w:sz w:val="16"/>
                <w:szCs w:val="16"/>
                <w:u w:val="none"/>
                <w:lang w:val="en-US" w:eastAsia="zh-CN" w:bidi="ar"/>
              </w:rPr>
              <w:t>控制率[计算方法为：（三公经费实际支出数/预算安排数]×100%）</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7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保障单位日常运转，提高预算编制质量，严格执行预算</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该项目为运转类项目，主要保障部门</w:t>
            </w:r>
            <w:r>
              <w:rPr>
                <w:rFonts w:hint="eastAsia" w:ascii="宋体" w:hAnsi="宋体" w:cs="宋体"/>
                <w:i w:val="0"/>
                <w:iCs w:val="0"/>
                <w:color w:val="000000"/>
                <w:kern w:val="0"/>
                <w:sz w:val="16"/>
                <w:szCs w:val="16"/>
                <w:u w:val="none"/>
                <w:lang w:val="en-US" w:eastAsia="zh-CN" w:bidi="ar"/>
              </w:rPr>
              <w:t>事业人员</w:t>
            </w:r>
            <w:r>
              <w:rPr>
                <w:rFonts w:hint="default" w:ascii="宋体" w:hAnsi="宋体" w:eastAsia="宋体" w:cs="宋体"/>
                <w:i w:val="0"/>
                <w:iCs w:val="0"/>
                <w:color w:val="000000"/>
                <w:kern w:val="0"/>
                <w:sz w:val="16"/>
                <w:szCs w:val="16"/>
                <w:u w:val="none"/>
                <w:lang w:val="en-US" w:eastAsia="zh-CN" w:bidi="ar"/>
              </w:rPr>
              <w:t>日常公用支出。2022年，该预算项目资金有序支付，预算执行率100%，年末无资金结余情况。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科目调整  次数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预算编制准确率（计算方法为：∣（执行数-预算数）/预算数∣）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  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运转保障率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“三公”经费</w:t>
            </w:r>
            <w:r>
              <w:rPr>
                <w:rFonts w:hint="eastAsia" w:ascii="宋体" w:hAnsi="宋体" w:eastAsia="宋体" w:cs="宋体"/>
                <w:i w:val="0"/>
                <w:iCs w:val="0"/>
                <w:color w:val="000000"/>
                <w:kern w:val="0"/>
                <w:sz w:val="16"/>
                <w:szCs w:val="16"/>
                <w:u w:val="none"/>
                <w:lang w:val="en-US" w:eastAsia="zh-CN" w:bidi="ar"/>
              </w:rPr>
              <w:t>控制率[计算方法为：（三公经费实际支出数/预算安排数]×100%）</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保障单位日常运转，提高预算编制质量，严格执行预算</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default" w:ascii="宋体" w:hAnsi="宋体" w:eastAsia="宋体" w:cs="宋体"/>
                <w:i w:val="0"/>
                <w:iCs w:val="0"/>
                <w:color w:val="000000"/>
                <w:kern w:val="0"/>
                <w:sz w:val="16"/>
                <w:szCs w:val="16"/>
                <w:u w:val="none"/>
                <w:lang w:val="en-US" w:eastAsia="zh-CN" w:bidi="ar"/>
              </w:rPr>
              <w:t>该项目为运转类项目，主要保障部门</w:t>
            </w:r>
            <w:r>
              <w:rPr>
                <w:rFonts w:hint="eastAsia" w:ascii="宋体" w:hAnsi="宋体" w:cs="宋体"/>
                <w:i w:val="0"/>
                <w:iCs w:val="0"/>
                <w:color w:val="000000"/>
                <w:kern w:val="0"/>
                <w:sz w:val="16"/>
                <w:szCs w:val="16"/>
                <w:u w:val="none"/>
                <w:lang w:val="en-US" w:eastAsia="zh-CN" w:bidi="ar"/>
              </w:rPr>
              <w:t>驻村队员日常</w:t>
            </w:r>
            <w:r>
              <w:rPr>
                <w:rFonts w:hint="default" w:ascii="宋体" w:hAnsi="宋体" w:eastAsia="宋体" w:cs="宋体"/>
                <w:i w:val="0"/>
                <w:iCs w:val="0"/>
                <w:color w:val="000000"/>
                <w:kern w:val="0"/>
                <w:sz w:val="16"/>
                <w:szCs w:val="16"/>
                <w:u w:val="none"/>
                <w:lang w:val="en-US" w:eastAsia="zh-CN" w:bidi="ar"/>
              </w:rPr>
              <w:t>支出。2022年，该预算项目资金有序支付，预算执行率100%，年末无资金结余情况。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w:t>
            </w:r>
            <w:r>
              <w:rPr>
                <w:rFonts w:hint="eastAsia" w:ascii="宋体" w:hAnsi="宋体" w:eastAsia="宋体" w:cs="宋体"/>
                <w:i w:val="0"/>
                <w:iCs w:val="0"/>
                <w:color w:val="000000"/>
                <w:sz w:val="16"/>
                <w:szCs w:val="16"/>
                <w:u w:val="none"/>
                <w:lang w:val="en-US" w:eastAsia="zh-CN"/>
              </w:rPr>
              <w:t>预算</w:t>
            </w:r>
            <w:r>
              <w:rPr>
                <w:rFonts w:hint="eastAsia" w:ascii="宋体" w:hAnsi="宋体" w:eastAsia="宋体" w:cs="宋体"/>
                <w:i w:val="0"/>
                <w:iCs w:val="0"/>
                <w:color w:val="000000"/>
                <w:kern w:val="0"/>
                <w:sz w:val="16"/>
                <w:szCs w:val="16"/>
                <w:u w:val="none"/>
                <w:lang w:val="en-US" w:eastAsia="zh-CN" w:bidi="ar"/>
              </w:rPr>
              <w:t>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科目调整</w:t>
            </w:r>
            <w:r>
              <w:rPr>
                <w:rFonts w:hint="eastAsia" w:ascii="宋体" w:hAnsi="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次数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预算编制准确率（计算方法为：∣（执行数-预算数）/预算数∣）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  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运转保障率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“三公”经费</w:t>
            </w:r>
            <w:r>
              <w:rPr>
                <w:rFonts w:hint="eastAsia" w:ascii="宋体" w:hAnsi="宋体" w:eastAsia="宋体" w:cs="宋体"/>
                <w:i w:val="0"/>
                <w:iCs w:val="0"/>
                <w:color w:val="000000"/>
                <w:kern w:val="0"/>
                <w:sz w:val="16"/>
                <w:szCs w:val="16"/>
                <w:u w:val="none"/>
                <w:lang w:val="en-US" w:eastAsia="zh-CN" w:bidi="ar"/>
              </w:rPr>
              <w:t>控制率[计算方法为：（三公经费实际支出数/预算安排数]×100%）</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22.5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7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方正小标宋简体" w:hAnsi="方正小标宋简体" w:eastAsia="方正小标宋简体" w:cs="方正小标宋简体"/>
                <w:b w:val="0"/>
                <w:bCs w:val="0"/>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51081223T000008777950-2022乡镇机构扁平化管理试点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中共广元市朝天区委机构编制委员会办公室部门</w:t>
            </w:r>
          </w:p>
        </w:tc>
        <w:tc>
          <w:tcPr>
            <w:tcW w:w="102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26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中共广元市朝天区委机构编制         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left"/>
              <w:textAlignment w:val="auto"/>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 xml:space="preserve"> 一是搭建扁平化管理模块，二是实行全员定岗定责，三是优化服务机制。开展各类调研17余次，印制宣传资料1000份、机构编制</w:t>
            </w:r>
            <w:r>
              <w:rPr>
                <w:rFonts w:hint="eastAsia" w:ascii="宋体" w:hAnsi="宋体" w:eastAsia="宋体" w:cs="宋体"/>
                <w:i w:val="0"/>
                <w:iCs w:val="0"/>
                <w:color w:val="000000"/>
                <w:kern w:val="0"/>
                <w:sz w:val="16"/>
                <w:szCs w:val="16"/>
                <w:u w:val="none"/>
                <w:lang w:val="en-US" w:eastAsia="zh-CN" w:bidi="ar"/>
              </w:rPr>
              <w:t>实名制</w:t>
            </w:r>
            <w:r>
              <w:rPr>
                <w:rFonts w:hint="eastAsia" w:ascii="宋体" w:hAnsi="宋体" w:eastAsia="宋体" w:cs="宋体"/>
                <w:i w:val="0"/>
                <w:iCs w:val="0"/>
                <w:color w:val="000000"/>
                <w:sz w:val="16"/>
                <w:szCs w:val="16"/>
                <w:u w:val="none"/>
              </w:rPr>
              <w:t>手册500份，机构门牌105个、公开栏12张、制度牌流程牌150张。全面推动全区乡镇机构编制优化工作，确保乡镇机构“扁平化”管理取得实效。</w:t>
            </w:r>
          </w:p>
        </w:tc>
        <w:tc>
          <w:tcPr>
            <w:tcW w:w="37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00" w:lineRule="exact"/>
              <w:jc w:val="left"/>
              <w:textAlignment w:val="auto"/>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该项目为特定目标类项目（年终追加项目），主要为</w:t>
            </w:r>
            <w:r>
              <w:rPr>
                <w:rFonts w:hint="eastAsia" w:ascii="宋体" w:hAnsi="宋体" w:eastAsia="宋体" w:cs="宋体"/>
                <w:i w:val="0"/>
                <w:iCs w:val="0"/>
                <w:color w:val="000000"/>
                <w:sz w:val="16"/>
                <w:szCs w:val="16"/>
                <w:u w:val="none"/>
              </w:rPr>
              <w:t>开展各类调研17余次，印制宣传资料1000份、机构编制</w:t>
            </w:r>
            <w:r>
              <w:rPr>
                <w:rFonts w:hint="eastAsia" w:ascii="宋体" w:hAnsi="宋体" w:eastAsia="宋体" w:cs="宋体"/>
                <w:i w:val="0"/>
                <w:iCs w:val="0"/>
                <w:color w:val="000000"/>
                <w:kern w:val="0"/>
                <w:sz w:val="16"/>
                <w:szCs w:val="16"/>
                <w:u w:val="none"/>
                <w:lang w:val="en-US" w:eastAsia="zh-CN" w:bidi="ar"/>
              </w:rPr>
              <w:t>实名制</w:t>
            </w:r>
            <w:r>
              <w:rPr>
                <w:rFonts w:hint="eastAsia" w:ascii="宋体" w:hAnsi="宋体" w:eastAsia="宋体" w:cs="宋体"/>
                <w:i w:val="0"/>
                <w:iCs w:val="0"/>
                <w:color w:val="000000"/>
                <w:sz w:val="16"/>
                <w:szCs w:val="16"/>
                <w:u w:val="none"/>
              </w:rPr>
              <w:t>手册500份，机构门牌105个、公开栏12张、制度牌流程牌150张。全面推动全区乡镇机构编制优化工作，确保乡镇机构“扁平化”管理取得实效。</w:t>
            </w:r>
            <w:r>
              <w:rPr>
                <w:rFonts w:hint="default" w:ascii="宋体" w:hAnsi="宋体" w:eastAsia="宋体" w:cs="宋体"/>
                <w:i w:val="0"/>
                <w:iCs w:val="0"/>
                <w:color w:val="000000"/>
                <w:kern w:val="0"/>
                <w:sz w:val="16"/>
                <w:szCs w:val="16"/>
                <w:u w:val="none"/>
                <w:lang w:val="en-US" w:eastAsia="zh-CN" w:bidi="ar"/>
              </w:rPr>
              <w:t>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    预算数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度量单位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产出指标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时效指标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2022年内</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default" w:ascii="Arial" w:hAnsi="Arial" w:eastAsia="宋体" w:cs="Arial"/>
                <w:i w:val="0"/>
                <w:iCs w:val="0"/>
                <w:color w:val="000000"/>
                <w:sz w:val="16"/>
                <w:szCs w:val="16"/>
                <w:u w:val="none"/>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2022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年</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2022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质量指标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优化乡镇机构编制资源配置</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定性</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优化</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优</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数量指标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成本数</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default" w:ascii="Arial" w:hAnsi="Arial" w:eastAsia="宋体" w:cs="Arial"/>
                <w:i w:val="0"/>
                <w:iCs w:val="0"/>
                <w:color w:val="000000"/>
                <w:sz w:val="16"/>
                <w:szCs w:val="16"/>
                <w:u w:val="none"/>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100000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元</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eastAsia="zh-CN"/>
              </w:rPr>
              <w:t>效益指标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社会效益</w:t>
            </w:r>
            <w:r>
              <w:rPr>
                <w:rFonts w:hint="eastAsia" w:ascii="宋体" w:hAnsi="宋体" w:cs="宋体"/>
                <w:i w:val="0"/>
                <w:iCs w:val="0"/>
                <w:color w:val="000000"/>
                <w:sz w:val="16"/>
                <w:szCs w:val="16"/>
                <w:u w:val="none"/>
                <w:lang w:val="en-US" w:eastAsia="zh-CN"/>
              </w:rPr>
              <w:t xml:space="preserve">  </w:t>
            </w:r>
            <w:r>
              <w:rPr>
                <w:rFonts w:hint="eastAsia" w:ascii="宋体" w:hAnsi="宋体" w:cs="宋体"/>
                <w:i w:val="0"/>
                <w:iCs w:val="0"/>
                <w:color w:val="000000"/>
                <w:sz w:val="16"/>
                <w:szCs w:val="16"/>
                <w:u w:val="none"/>
                <w:lang w:eastAsia="zh-CN"/>
              </w:rPr>
              <w:t>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优化乡镇机构编制资源配置，完善基层治理体系。</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定性</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完善</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完善</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满意度指标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服务对象满意度指标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乡镇满意</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default" w:ascii="Arial" w:hAnsi="Arial" w:eastAsia="宋体" w:cs="Arial"/>
                <w:i w:val="0"/>
                <w:iCs w:val="0"/>
                <w:color w:val="000000"/>
                <w:sz w:val="16"/>
                <w:szCs w:val="16"/>
                <w:u w:val="none"/>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98</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成本指标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社会成本</w:t>
            </w:r>
            <w:r>
              <w:rPr>
                <w:rFonts w:hint="eastAsia" w:ascii="宋体" w:hAnsi="宋体" w:cs="宋体"/>
                <w:i w:val="0"/>
                <w:iCs w:val="0"/>
                <w:color w:val="000000"/>
                <w:sz w:val="16"/>
                <w:szCs w:val="16"/>
                <w:u w:val="none"/>
                <w:lang w:val="en-US" w:eastAsia="zh-CN"/>
              </w:rPr>
              <w:t xml:space="preserve">  </w:t>
            </w:r>
            <w:r>
              <w:rPr>
                <w:rFonts w:hint="eastAsia" w:ascii="宋体" w:hAnsi="宋体" w:cs="宋体"/>
                <w:i w:val="0"/>
                <w:iCs w:val="0"/>
                <w:color w:val="000000"/>
                <w:sz w:val="16"/>
                <w:szCs w:val="16"/>
                <w:u w:val="none"/>
                <w:lang w:eastAsia="zh-CN"/>
              </w:rPr>
              <w:t>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投入成本</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default" w:ascii="Arial" w:hAnsi="Arial" w:eastAsia="宋体" w:cs="Arial"/>
                <w:i w:val="0"/>
                <w:iCs w:val="0"/>
                <w:color w:val="000000"/>
                <w:sz w:val="16"/>
                <w:szCs w:val="16"/>
                <w:u w:val="none"/>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100000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元</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项目实施达到了预期的经济效益、社会效益，绩效目标完全实现，为我单位在下一年工作推进和预算安排上提供了对比数据。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882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刘安文</w:t>
            </w:r>
          </w:p>
        </w:tc>
        <w:tc>
          <w:tcPr>
            <w:tcW w:w="5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杨见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7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0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5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1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94"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1、报表说明:该报表查询项目信息、绩效目标信息、预算及执行情况，用于预算单位查询导出开展项目自评。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94"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94"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适用地区：全省范围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94"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适用用户：部门用户、单位用户</w:t>
            </w:r>
          </w:p>
        </w:tc>
      </w:tr>
    </w:tbl>
    <w:p>
      <w:pPr>
        <w:spacing w:line="600" w:lineRule="exact"/>
        <w:jc w:val="left"/>
        <w:outlineLvl w:val="9"/>
        <w:rPr>
          <w:rFonts w:hint="eastAsia" w:ascii="黑体" w:hAnsi="黑体" w:eastAsia="黑体"/>
          <w:b w:val="0"/>
          <w:bCs w:val="0"/>
          <w:color w:val="auto"/>
          <w:sz w:val="32"/>
          <w:szCs w:val="32"/>
          <w:highlight w:val="none"/>
          <w:lang w:eastAsia="zh-CN"/>
        </w:rPr>
      </w:pPr>
    </w:p>
    <w:p>
      <w:pPr>
        <w:spacing w:line="600" w:lineRule="exact"/>
        <w:jc w:val="left"/>
        <w:outlineLvl w:val="9"/>
        <w:rPr>
          <w:rFonts w:hint="eastAsia" w:ascii="黑体" w:hAnsi="黑体" w:eastAsia="黑体"/>
          <w:b w:val="0"/>
          <w:bCs w:val="0"/>
          <w:color w:val="auto"/>
          <w:sz w:val="32"/>
          <w:szCs w:val="32"/>
          <w:highlight w:val="none"/>
          <w:lang w:eastAsia="zh-CN"/>
        </w:rPr>
      </w:pPr>
    </w:p>
    <w:p>
      <w:pPr>
        <w:spacing w:line="600" w:lineRule="exact"/>
        <w:jc w:val="left"/>
        <w:outlineLvl w:val="9"/>
        <w:rPr>
          <w:rFonts w:hint="eastAsia" w:ascii="黑体" w:hAnsi="黑体" w:eastAsia="黑体"/>
          <w:b w:val="0"/>
          <w:bCs w:val="0"/>
          <w:color w:val="auto"/>
          <w:sz w:val="32"/>
          <w:szCs w:val="32"/>
          <w:highlight w:val="none"/>
          <w:lang w:eastAsia="zh-CN"/>
        </w:rPr>
      </w:pPr>
    </w:p>
    <w:p>
      <w:pPr>
        <w:spacing w:line="600" w:lineRule="exact"/>
        <w:jc w:val="left"/>
        <w:outlineLvl w:val="9"/>
        <w:rPr>
          <w:rFonts w:hint="eastAsia" w:ascii="黑体" w:hAnsi="黑体" w:eastAsia="黑体"/>
          <w:b w:val="0"/>
          <w:bCs w:val="0"/>
          <w:color w:val="auto"/>
          <w:sz w:val="32"/>
          <w:szCs w:val="32"/>
          <w:highlight w:val="none"/>
          <w:lang w:eastAsia="zh-CN"/>
        </w:rPr>
      </w:pPr>
    </w:p>
    <w:p>
      <w:pPr>
        <w:spacing w:line="600" w:lineRule="exact"/>
        <w:jc w:val="left"/>
        <w:outlineLvl w:val="9"/>
        <w:rPr>
          <w:rFonts w:hint="eastAsia" w:ascii="黑体" w:hAnsi="黑体" w:eastAsia="黑体"/>
          <w:b w:val="0"/>
          <w:bCs w:val="0"/>
          <w:color w:val="auto"/>
          <w:sz w:val="32"/>
          <w:szCs w:val="32"/>
          <w:highlight w:val="none"/>
          <w:lang w:eastAsia="zh-CN"/>
        </w:rPr>
      </w:pPr>
    </w:p>
    <w:p>
      <w:pPr>
        <w:spacing w:line="600" w:lineRule="exact"/>
        <w:jc w:val="left"/>
        <w:outlineLvl w:val="9"/>
        <w:rPr>
          <w:rFonts w:hint="eastAsia" w:ascii="黑体" w:hAnsi="黑体" w:eastAsia="黑体"/>
          <w:b w:val="0"/>
          <w:bCs w:val="0"/>
          <w:color w:val="auto"/>
          <w:sz w:val="32"/>
          <w:szCs w:val="32"/>
          <w:highlight w:val="none"/>
          <w:lang w:eastAsia="zh-CN"/>
        </w:rPr>
      </w:pPr>
    </w:p>
    <w:p>
      <w:pPr>
        <w:spacing w:line="600" w:lineRule="exact"/>
        <w:jc w:val="left"/>
        <w:outlineLvl w:val="9"/>
        <w:rPr>
          <w:rFonts w:hint="eastAsia" w:ascii="黑体" w:hAnsi="黑体" w:eastAsia="黑体"/>
          <w:b w:val="0"/>
          <w:bCs w:val="0"/>
          <w:color w:val="auto"/>
          <w:sz w:val="32"/>
          <w:szCs w:val="32"/>
          <w:highlight w:val="none"/>
          <w:lang w:eastAsia="zh-CN"/>
        </w:rPr>
      </w:pPr>
    </w:p>
    <w:p>
      <w:pPr>
        <w:spacing w:line="600" w:lineRule="exact"/>
        <w:jc w:val="left"/>
        <w:outlineLvl w:val="9"/>
        <w:rPr>
          <w:rFonts w:hint="eastAsia" w:ascii="黑体" w:hAnsi="黑体" w:eastAsia="黑体"/>
          <w:b w:val="0"/>
          <w:bCs w:val="0"/>
          <w:color w:val="auto"/>
          <w:sz w:val="32"/>
          <w:szCs w:val="32"/>
          <w:highlight w:val="none"/>
          <w:lang w:eastAsia="zh-CN"/>
        </w:rPr>
      </w:pPr>
    </w:p>
    <w:p>
      <w:pPr>
        <w:spacing w:line="600" w:lineRule="exact"/>
        <w:jc w:val="left"/>
        <w:outlineLvl w:val="9"/>
        <w:rPr>
          <w:rFonts w:hint="eastAsia" w:ascii="黑体" w:hAnsi="黑体" w:eastAsia="黑体"/>
          <w:b w:val="0"/>
          <w:bCs w:val="0"/>
          <w:color w:val="auto"/>
          <w:sz w:val="32"/>
          <w:szCs w:val="32"/>
          <w:highlight w:val="none"/>
          <w:lang w:eastAsia="zh-CN"/>
        </w:rPr>
      </w:pPr>
    </w:p>
    <w:p>
      <w:pPr>
        <w:spacing w:line="600" w:lineRule="exact"/>
        <w:jc w:val="left"/>
        <w:outlineLvl w:val="9"/>
        <w:rPr>
          <w:rFonts w:hint="eastAsia" w:ascii="黑体" w:hAnsi="黑体" w:eastAsia="黑体"/>
          <w:b w:val="0"/>
          <w:bCs w:val="0"/>
          <w:color w:val="auto"/>
          <w:sz w:val="32"/>
          <w:szCs w:val="32"/>
          <w:highlight w:val="none"/>
          <w:lang w:eastAsia="zh-CN"/>
        </w:rPr>
      </w:pPr>
    </w:p>
    <w:p>
      <w:pPr>
        <w:spacing w:line="600" w:lineRule="exact"/>
        <w:jc w:val="left"/>
        <w:outlineLvl w:val="9"/>
        <w:rPr>
          <w:rFonts w:hint="eastAsia" w:ascii="黑体" w:hAnsi="黑体" w:eastAsia="黑体"/>
          <w:b w:val="0"/>
          <w:bCs w:val="0"/>
          <w:color w:val="auto"/>
          <w:sz w:val="32"/>
          <w:szCs w:val="32"/>
          <w:highlight w:val="none"/>
          <w:lang w:eastAsia="zh-CN"/>
        </w:rPr>
      </w:pPr>
    </w:p>
    <w:p>
      <w:pPr>
        <w:spacing w:line="600" w:lineRule="exact"/>
        <w:jc w:val="left"/>
        <w:outlineLvl w:val="9"/>
        <w:rPr>
          <w:rFonts w:hint="eastAsia" w:ascii="黑体" w:hAnsi="黑体" w:eastAsia="黑体"/>
          <w:b w:val="0"/>
          <w:bCs w:val="0"/>
          <w:color w:val="auto"/>
          <w:sz w:val="32"/>
          <w:szCs w:val="32"/>
          <w:highlight w:val="none"/>
          <w:lang w:eastAsia="zh-CN"/>
        </w:rPr>
      </w:pPr>
    </w:p>
    <w:p>
      <w:pPr>
        <w:spacing w:line="600" w:lineRule="exact"/>
        <w:jc w:val="left"/>
        <w:outlineLvl w:val="9"/>
        <w:rPr>
          <w:rFonts w:hint="eastAsia" w:ascii="黑体" w:hAnsi="黑体" w:eastAsia="黑体"/>
          <w:b w:val="0"/>
          <w:bCs w:val="0"/>
          <w:color w:val="auto"/>
          <w:sz w:val="32"/>
          <w:szCs w:val="32"/>
          <w:highlight w:val="none"/>
          <w:lang w:eastAsia="zh-CN"/>
        </w:rPr>
      </w:pPr>
    </w:p>
    <w:p>
      <w:pPr>
        <w:spacing w:line="600" w:lineRule="exact"/>
        <w:jc w:val="left"/>
        <w:outlineLvl w:val="9"/>
        <w:rPr>
          <w:rFonts w:hint="eastAsia" w:ascii="黑体" w:hAnsi="黑体" w:eastAsia="黑体"/>
          <w:b w:val="0"/>
          <w:bCs w:val="0"/>
          <w:color w:val="auto"/>
          <w:sz w:val="32"/>
          <w:szCs w:val="32"/>
          <w:highlight w:val="none"/>
          <w:lang w:eastAsia="zh-CN"/>
        </w:rPr>
      </w:pPr>
    </w:p>
    <w:p>
      <w:pPr>
        <w:spacing w:line="600" w:lineRule="exact"/>
        <w:jc w:val="left"/>
        <w:outlineLvl w:val="0"/>
        <w:rPr>
          <w:rFonts w:hint="eastAsia" w:ascii="黑体" w:hAnsi="黑体" w:eastAsia="黑体"/>
          <w:b w:val="0"/>
          <w:bCs w:val="0"/>
          <w:color w:val="auto"/>
          <w:sz w:val="32"/>
          <w:szCs w:val="32"/>
          <w:highlight w:val="none"/>
          <w:lang w:val="en-US" w:eastAsia="zh-CN"/>
        </w:rPr>
      </w:pPr>
      <w:bookmarkStart w:id="87" w:name="_Toc5139"/>
      <w:r>
        <w:rPr>
          <w:rFonts w:hint="eastAsia" w:ascii="黑体" w:hAnsi="黑体" w:eastAsia="黑体"/>
          <w:b w:val="0"/>
          <w:bCs w:val="0"/>
          <w:color w:val="auto"/>
          <w:sz w:val="32"/>
          <w:szCs w:val="32"/>
          <w:highlight w:val="none"/>
          <w:lang w:eastAsia="zh-CN"/>
        </w:rPr>
        <w:t>附件</w:t>
      </w:r>
      <w:r>
        <w:rPr>
          <w:rFonts w:hint="eastAsia" w:ascii="黑体" w:hAnsi="黑体" w:eastAsia="黑体"/>
          <w:b w:val="0"/>
          <w:bCs w:val="0"/>
          <w:color w:val="auto"/>
          <w:sz w:val="32"/>
          <w:szCs w:val="32"/>
          <w:highlight w:val="none"/>
          <w:lang w:val="en-US" w:eastAsia="zh-CN"/>
        </w:rPr>
        <w:t>2:</w:t>
      </w:r>
      <w:bookmarkEnd w:id="87"/>
    </w:p>
    <w:p>
      <w:pPr>
        <w:pStyle w:val="5"/>
        <w:rPr>
          <w:rFonts w:hint="default"/>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中文域名注册运行维护</w:t>
      </w:r>
      <w:r>
        <w:rPr>
          <w:rFonts w:hint="eastAsia" w:ascii="方正小标宋简体" w:hAnsi="方正小标宋简体" w:eastAsia="方正小标宋简体" w:cs="方正小标宋简体"/>
          <w:b w:val="0"/>
          <w:bCs w:val="0"/>
          <w:color w:val="000000"/>
          <w:kern w:val="0"/>
          <w:sz w:val="44"/>
          <w:szCs w:val="44"/>
        </w:rPr>
        <w:t>项目支出绩效</w:t>
      </w:r>
      <w:r>
        <w:rPr>
          <w:rFonts w:hint="eastAsia" w:ascii="方正小标宋简体" w:hAnsi="方正小标宋简体" w:eastAsia="方正小标宋简体" w:cs="方正小标宋简体"/>
          <w:b w:val="0"/>
          <w:bCs w:val="0"/>
          <w:color w:val="000000"/>
          <w:kern w:val="0"/>
          <w:sz w:val="44"/>
          <w:szCs w:val="44"/>
          <w:lang w:eastAsia="zh-CN"/>
        </w:rPr>
        <w:t>自评报告</w:t>
      </w:r>
    </w:p>
    <w:p>
      <w:pPr>
        <w:spacing w:line="600" w:lineRule="exact"/>
        <w:jc w:val="center"/>
        <w:outlineLvl w:val="9"/>
        <w:rPr>
          <w:rFonts w:hint="eastAsia" w:ascii="黑体" w:hAnsi="黑体" w:eastAsia="黑体"/>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rPr>
          <w:rFonts w:hint="eastAsia" w:ascii="黑体" w:hAnsi="宋体" w:eastAsia="黑体"/>
          <w:color w:val="auto"/>
          <w:sz w:val="32"/>
          <w:szCs w:val="32"/>
          <w:highlight w:val="none"/>
          <w:lang w:val="en-US" w:eastAsia="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r>
        <w:rPr>
          <w:rFonts w:hint="eastAsia" w:ascii="黑体" w:hAnsi="宋体" w:eastAsia="黑体"/>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（一）项目基本情况。</w:t>
      </w: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sz w:val="32"/>
          <w:szCs w:val="32"/>
          <w:lang w:eastAsia="zh-CN"/>
        </w:rPr>
        <w:t>中文域名注册运行维护是党政群机关和事业单位在互联网上的专用中文域名管理平台，是规范和加强党政群机关及事业单位网上名称管理的重要平台和手段。</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Chars="200"/>
        <w:textAlignment w:val="auto"/>
        <w:rPr>
          <w:rFonts w:hint="eastAsia" w:ascii="楷体_GB2312" w:hAnsi="楷体_GB2312" w:eastAsia="楷体_GB2312" w:cs="楷体_GB2312"/>
          <w:b w:val="0"/>
          <w:bCs/>
          <w:color w:val="auto"/>
          <w:sz w:val="32"/>
          <w:szCs w:val="32"/>
          <w:highlight w:val="none"/>
          <w:u w:val="none"/>
          <w:lang w:val="zh-CN"/>
        </w:rPr>
      </w:pPr>
      <w:r>
        <w:rPr>
          <w:rFonts w:hint="eastAsia" w:ascii="楷体_GB2312" w:hAnsi="楷体_GB2312" w:eastAsia="楷体_GB2312" w:cs="楷体_GB2312"/>
          <w:b w:val="0"/>
          <w:bCs/>
          <w:color w:val="auto"/>
          <w:sz w:val="32"/>
          <w:szCs w:val="32"/>
          <w:highlight w:val="none"/>
          <w:u w:val="none"/>
          <w:lang w:val="zh-CN"/>
        </w:rPr>
        <w:t>（二）项目绩效目标。</w:t>
      </w:r>
    </w:p>
    <w:p>
      <w:pPr>
        <w:keepNext w:val="0"/>
        <w:keepLines w:val="0"/>
        <w:pageBreakBefore w:val="0"/>
        <w:kinsoku/>
        <w:wordWrap/>
        <w:overflowPunct/>
        <w:topLinePunct w:val="0"/>
        <w:autoSpaceDE w:val="0"/>
        <w:autoSpaceDN/>
        <w:bidi w:val="0"/>
        <w:adjustRightInd w:val="0"/>
        <w:snapToGrid w:val="0"/>
        <w:spacing w:line="576" w:lineRule="exact"/>
        <w:ind w:firstLine="616" w:firstLineChars="200"/>
        <w:textAlignment w:val="auto"/>
        <w:rPr>
          <w:rFonts w:hint="eastAsia" w:ascii="仿宋_GB2312" w:hAnsi="Times New Roman" w:eastAsia="仿宋_GB2312" w:cs="Times New Roman"/>
          <w:b w:val="0"/>
          <w:bCs w:val="0"/>
          <w:color w:val="auto"/>
          <w:spacing w:val="-6"/>
          <w:sz w:val="32"/>
          <w:szCs w:val="32"/>
          <w:lang w:val="zh-CN" w:eastAsia="zh-CN"/>
        </w:rPr>
      </w:pPr>
      <w:r>
        <w:rPr>
          <w:rFonts w:hint="eastAsia" w:ascii="仿宋_GB2312" w:hAnsi="Times New Roman" w:eastAsia="仿宋_GB2312" w:cs="Times New Roman"/>
          <w:b w:val="0"/>
          <w:bCs w:val="0"/>
          <w:color w:val="auto"/>
          <w:spacing w:val="-6"/>
          <w:sz w:val="32"/>
          <w:szCs w:val="32"/>
          <w:lang w:val="en-US" w:eastAsia="zh-CN"/>
        </w:rPr>
        <w:t>1.</w:t>
      </w:r>
      <w:r>
        <w:rPr>
          <w:rFonts w:hint="eastAsia" w:ascii="仿宋_GB2312" w:hAnsi="Times New Roman" w:eastAsia="仿宋_GB2312" w:cs="Times New Roman"/>
          <w:b w:val="0"/>
          <w:bCs w:val="0"/>
          <w:color w:val="auto"/>
          <w:spacing w:val="-6"/>
          <w:sz w:val="32"/>
          <w:szCs w:val="32"/>
          <w:lang w:val="zh-CN" w:eastAsia="zh-CN"/>
        </w:rPr>
        <w:t>中文域名注册运行维护项目费用主要内容为：全区党政群机关及事业单位机关政务（公益）域名的注册、使用和维护，这是一种信息化、科学化的管理手段，提升了全区党政群机关及事业单位机关管理和服务水平，促进科学决策，避免上下脱节。</w:t>
      </w:r>
    </w:p>
    <w:p>
      <w:pPr>
        <w:keepNext w:val="0"/>
        <w:keepLines w:val="0"/>
        <w:pageBreakBefore w:val="0"/>
        <w:widowControl w:val="0"/>
        <w:kinsoku/>
        <w:wordWrap/>
        <w:overflowPunct/>
        <w:topLinePunct w:val="0"/>
        <w:autoSpaceDE w:val="0"/>
        <w:autoSpaceDN/>
        <w:bidi w:val="0"/>
        <w:adjustRightInd w:val="0"/>
        <w:snapToGrid w:val="0"/>
        <w:spacing w:line="576" w:lineRule="exact"/>
        <w:ind w:leftChars="0" w:firstLine="616" w:firstLineChars="200"/>
        <w:textAlignment w:val="auto"/>
        <w:rPr>
          <w:rFonts w:hint="eastAsia" w:ascii="仿宋_GB2312" w:hAnsi="Times New Roman" w:eastAsia="仿宋_GB2312" w:cs="Times New Roman"/>
          <w:b w:val="0"/>
          <w:bCs w:val="0"/>
          <w:color w:val="auto"/>
          <w:spacing w:val="-6"/>
          <w:sz w:val="32"/>
          <w:szCs w:val="32"/>
          <w:lang w:val="en-US" w:eastAsia="zh-CN"/>
        </w:rPr>
      </w:pPr>
      <w:r>
        <w:rPr>
          <w:rFonts w:hint="eastAsia" w:ascii="仿宋_GB2312" w:hAnsi="Times New Roman" w:eastAsia="仿宋_GB2312" w:cs="Times New Roman"/>
          <w:b w:val="0"/>
          <w:bCs w:val="0"/>
          <w:color w:val="auto"/>
          <w:spacing w:val="-6"/>
          <w:sz w:val="32"/>
          <w:szCs w:val="32"/>
          <w:lang w:val="en-US" w:eastAsia="zh-CN"/>
        </w:rPr>
        <w:t>2.2022年中文域名运行维护项目主要绩效目标为注册政务域名63个，注册公益域名374个。项目于7月支付3.4万元，完成项目进度68%，于9月支付1.6万，完成项目进度100%。保障了我区机关事业单位政务（公益）域名服务各项工作的正常、有序开展，确保了政务网络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32" w:firstLineChars="200"/>
        <w:textAlignment w:val="auto"/>
        <w:rPr>
          <w:rFonts w:hint="eastAsia" w:ascii="楷体_GB2312" w:hAnsi="宋体" w:eastAsia="楷体_GB2312"/>
          <w:b w:val="0"/>
          <w:bCs/>
          <w:color w:val="auto"/>
          <w:sz w:val="32"/>
          <w:szCs w:val="32"/>
          <w:highlight w:val="none"/>
          <w:u w:val="none"/>
          <w:lang w:val="zh-CN"/>
        </w:rPr>
      </w:pPr>
      <w:r>
        <w:rPr>
          <w:rFonts w:hint="eastAsia" w:ascii="仿宋_GB2312" w:hAnsi="宋体" w:eastAsia="仿宋_GB2312" w:cs="Times New Roman"/>
          <w:w w:val="99"/>
          <w:sz w:val="32"/>
          <w:szCs w:val="32"/>
        </w:rPr>
        <w:t>3．</w:t>
      </w:r>
      <w:r>
        <w:rPr>
          <w:rFonts w:hint="eastAsia" w:ascii="仿宋_GB2312" w:hAnsi="仿宋_GB2312" w:eastAsia="仿宋_GB2312" w:cs="仿宋_GB2312"/>
          <w:bCs/>
          <w:spacing w:val="-6"/>
          <w:sz w:val="32"/>
          <w:szCs w:val="32"/>
          <w:lang w:eastAsia="zh-CN"/>
        </w:rPr>
        <w:t>中文域名注册运行维护</w:t>
      </w:r>
      <w:r>
        <w:rPr>
          <w:rFonts w:hint="eastAsia" w:ascii="仿宋_GB2312" w:hAnsi="仿宋_GB2312" w:eastAsia="仿宋_GB2312" w:cs="仿宋_GB2312"/>
          <w:color w:val="auto"/>
          <w:sz w:val="32"/>
          <w:szCs w:val="32"/>
          <w:highlight w:val="none"/>
          <w:lang w:val="en-US" w:eastAsia="zh-CN"/>
        </w:rPr>
        <w:t>与年初预算相符，具体实施内容与项目申报内容相符，申报目标合理可行。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val="0"/>
          <w:bCs/>
          <w:color w:val="auto"/>
          <w:w w:val="99"/>
          <w:sz w:val="32"/>
          <w:szCs w:val="32"/>
          <w:lang w:val="en-US" w:eastAsia="zh-CN"/>
        </w:rPr>
      </w:pPr>
      <w:r>
        <w:rPr>
          <w:rFonts w:hint="eastAsia" w:ascii="仿宋_GB2312" w:hAnsi="仿宋_GB2312" w:eastAsia="仿宋_GB2312" w:cs="仿宋_GB2312"/>
          <w:b w:val="0"/>
          <w:bCs/>
          <w:snapToGrid w:val="0"/>
          <w:color w:val="auto"/>
          <w:w w:val="100"/>
          <w:kern w:val="0"/>
          <w:sz w:val="32"/>
          <w:szCs w:val="32"/>
          <w:lang w:val="en-US" w:eastAsia="zh-CN"/>
        </w:rPr>
        <w:t>一是加强领导，成立以单位领导为组长，财务及项目管理人员为成员的自评工作组；二是组织实施，通过查阅资料、审核票据，看有无虚列支出、票据不规范的情况；三是考评结果，通过自评，得出考评分值，并查找问题，分析原因，提出整改意见。</w:t>
      </w:r>
      <w:r>
        <w:rPr>
          <w:rFonts w:hint="eastAsia" w:ascii="楷体_GB2312" w:hAnsi="宋体" w:eastAsia="楷体_GB2312" w:cs="Times New Roman"/>
          <w:b w:val="0"/>
          <w:bCs/>
          <w:color w:val="auto"/>
          <w:w w:val="99"/>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（一）项目资金申报及批复情况。</w:t>
      </w:r>
    </w:p>
    <w:p>
      <w:pPr>
        <w:keepNext w:val="0"/>
        <w:keepLines w:val="0"/>
        <w:pageBreakBefore w:val="0"/>
        <w:kinsoku/>
        <w:wordWrap/>
        <w:overflowPunct/>
        <w:topLinePunct w:val="0"/>
        <w:autoSpaceDE w:val="0"/>
        <w:autoSpaceDN/>
        <w:bidi w:val="0"/>
        <w:adjustRightInd w:val="0"/>
        <w:snapToGrid w:val="0"/>
        <w:spacing w:line="576" w:lineRule="exact"/>
        <w:ind w:firstLine="616" w:firstLineChars="200"/>
        <w:textAlignment w:val="auto"/>
        <w:rPr>
          <w:rFonts w:hint="eastAsia" w:ascii="楷体_GB2312" w:hAnsi="宋体" w:eastAsia="楷体_GB2312"/>
          <w:b w:val="0"/>
          <w:bCs/>
          <w:color w:val="auto"/>
          <w:sz w:val="32"/>
          <w:szCs w:val="32"/>
          <w:highlight w:val="none"/>
          <w:u w:val="none"/>
          <w:lang w:val="zh-CN"/>
        </w:rPr>
      </w:pPr>
      <w:r>
        <w:rPr>
          <w:rFonts w:hint="eastAsia" w:ascii="仿宋_GB2312" w:hAnsi="Times New Roman" w:eastAsia="仿宋_GB2312" w:cs="Times New Roman"/>
          <w:b w:val="0"/>
          <w:bCs w:val="0"/>
          <w:color w:val="auto"/>
          <w:spacing w:val="-6"/>
          <w:sz w:val="32"/>
          <w:szCs w:val="32"/>
          <w:lang w:val="en-US" w:eastAsia="zh-CN"/>
        </w:rPr>
        <w:t>2022年度该项目预算资金为5万元，项目执行预算为5万元。项目测算在区委区政府的决策部署下，由我办根据前期工作情况测算项目标准。2022年度，我办该项目年初预算为5万元，年终无追加，项目执行预算为5万元。</w:t>
      </w:r>
    </w:p>
    <w:p>
      <w:pPr>
        <w:keepNext w:val="0"/>
        <w:keepLines w:val="0"/>
        <w:pageBreakBefore w:val="0"/>
        <w:numPr>
          <w:ilvl w:val="0"/>
          <w:numId w:val="7"/>
        </w:numPr>
        <w:kinsoku/>
        <w:wordWrap/>
        <w:overflowPunct/>
        <w:topLinePunct w:val="0"/>
        <w:autoSpaceDE/>
        <w:autoSpaceDN/>
        <w:bidi w:val="0"/>
        <w:adjustRightInd w:val="0"/>
        <w:snapToGrid w:val="0"/>
        <w:spacing w:line="578" w:lineRule="exact"/>
        <w:ind w:left="0" w:leftChars="0" w:firstLine="640" w:firstLineChars="20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资金计划、到位及使用情况。</w:t>
      </w:r>
    </w:p>
    <w:p>
      <w:pPr>
        <w:keepNext w:val="0"/>
        <w:keepLines w:val="0"/>
        <w:pageBreakBefore w:val="0"/>
        <w:widowControl/>
        <w:kinsoku/>
        <w:wordWrap/>
        <w:overflowPunct/>
        <w:topLinePunct w:val="0"/>
        <w:autoSpaceDE/>
        <w:autoSpaceDN/>
        <w:bidi w:val="0"/>
        <w:adjustRightInd w:val="0"/>
        <w:snapToGrid w:val="0"/>
        <w:spacing w:line="576" w:lineRule="exact"/>
        <w:ind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sz w:val="32"/>
          <w:szCs w:val="32"/>
          <w:lang w:eastAsia="zh-CN"/>
        </w:rPr>
        <w:t>中文域名注册运行维护费于年初随同部门预算一同下达到本单位，我单位根据年度工作任务安排，在预算范围内提前向财政部门申请资金计划，在财政资金计划批复后，单位及时按预算下达，截止</w:t>
      </w:r>
      <w:r>
        <w:rPr>
          <w:rFonts w:hint="eastAsia" w:ascii="仿宋_GB2312" w:hAnsi="仿宋_GB2312" w:eastAsia="仿宋_GB2312" w:cs="仿宋_GB2312"/>
          <w:sz w:val="32"/>
          <w:szCs w:val="32"/>
          <w:lang w:val="en-US" w:eastAsia="zh-CN"/>
        </w:rPr>
        <w:t>2022年12月，5万元中文域名注册运行维护费用全部拨付到位，</w:t>
      </w:r>
      <w:r>
        <w:rPr>
          <w:rFonts w:hint="eastAsia" w:ascii="仿宋_GB2312" w:hAnsi="仿宋_GB2312" w:eastAsia="仿宋_GB2312" w:cs="仿宋_GB2312"/>
          <w:sz w:val="32"/>
          <w:szCs w:val="32"/>
        </w:rPr>
        <w:t>资金到位率100%。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spacing w:val="-6"/>
          <w:sz w:val="32"/>
          <w:szCs w:val="32"/>
        </w:rPr>
        <w:t>2.资金使用。</w:t>
      </w:r>
      <w:r>
        <w:rPr>
          <w:rFonts w:hint="eastAsia" w:ascii="仿宋_GB2312" w:hAnsi="仿宋_GB2312" w:eastAsia="仿宋_GB2312" w:cs="仿宋_GB2312"/>
          <w:sz w:val="32"/>
          <w:szCs w:val="32"/>
        </w:rPr>
        <w:t>本项经费，由财政局年初预算安排</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万元下拨至我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，用于完成全区机关事业单位网上名称管理工作，推进全区机关事业单位中文域名注册工作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注册政务域名单位63个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注册公益域名单位</w:t>
      </w:r>
      <w:r>
        <w:rPr>
          <w:rFonts w:hint="eastAsia" w:ascii="仿宋_GB2312" w:hAnsi="仿宋_GB2312" w:eastAsia="仿宋_GB2312" w:cs="仿宋_GB2312"/>
          <w:sz w:val="32"/>
          <w:szCs w:val="32"/>
          <w:lang w:val="en-US" w:eastAsia="zh-CN"/>
        </w:rPr>
        <w:t>374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12月，已完成</w:t>
      </w:r>
      <w:r>
        <w:rPr>
          <w:rFonts w:hint="eastAsia" w:ascii="仿宋_GB2312" w:hAnsi="仿宋_GB2312" w:eastAsia="仿宋_GB2312" w:cs="仿宋_GB2312"/>
          <w:sz w:val="32"/>
          <w:szCs w:val="32"/>
        </w:rPr>
        <w:t>政务域名单位63个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公益域名单位</w:t>
      </w:r>
      <w:r>
        <w:rPr>
          <w:rFonts w:hint="eastAsia" w:ascii="仿宋_GB2312" w:hAnsi="仿宋_GB2312" w:eastAsia="仿宋_GB2312" w:cs="仿宋_GB2312"/>
          <w:sz w:val="32"/>
          <w:szCs w:val="32"/>
          <w:lang w:val="en-US" w:eastAsia="zh-CN"/>
        </w:rPr>
        <w:t>374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注册运行维护。资金于</w:t>
      </w:r>
      <w:r>
        <w:rPr>
          <w:rFonts w:hint="eastAsia" w:ascii="仿宋_GB2312" w:hAnsi="仿宋_GB2312" w:eastAsia="仿宋_GB2312" w:cs="仿宋_GB2312"/>
          <w:sz w:val="32"/>
          <w:szCs w:val="32"/>
          <w:lang w:val="en-US" w:eastAsia="zh-CN"/>
        </w:rPr>
        <w:t>7月向政务和公益机构域名管理中心支付3.4万，于9月支付残保金等费用1.6万元。</w:t>
      </w:r>
      <w:r>
        <w:rPr>
          <w:rFonts w:hint="eastAsia" w:ascii="仿宋_GB2312" w:hAnsi="仿宋_GB2312" w:eastAsia="仿宋_GB2312" w:cs="仿宋_GB2312"/>
          <w:sz w:val="32"/>
          <w:szCs w:val="32"/>
        </w:rPr>
        <w:t>项目资金无调整</w:t>
      </w:r>
      <w:r>
        <w:rPr>
          <w:rFonts w:hint="eastAsia" w:ascii="仿宋_GB2312" w:hAnsi="仿宋_GB2312" w:eastAsia="仿宋_GB2312" w:cs="仿宋_GB2312"/>
          <w:sz w:val="32"/>
          <w:szCs w:val="32"/>
          <w:lang w:eastAsia="zh-CN"/>
        </w:rPr>
        <w:t>，资金支付依据合规合法与预算相符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（三）项目财务管理情况。</w:t>
      </w: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中文域名注册运行维护费用作为区委编办必需的项目经费，为机关事业单位政务（公益）域名服务管理工作提供有力的资金保障，管好用好机关事业单位政务（公益）域名服务费也尤为重要。因此，本单位将机关事业单位政务（公益）域名服务费纳入单位财政集中统一管理，严格按照本单位年初制定的财务管理制度要求执行，做到先有预算后有支出，落实机关事业单位政务（公益）域名服务费使用的制度化、规范化、程序化要求，财务处理及时规范，会计核算准确无误。</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autoSpaceDE w:val="0"/>
        <w:adjustRightInd w:val="0"/>
        <w:snapToGrid w:val="0"/>
        <w:spacing w:line="576" w:lineRule="exact"/>
        <w:ind w:firstLine="720"/>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（一）项目组织架构及实施流程。</w:t>
      </w: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为加强项目的监督、管理，切实将维护项目任务落到实处，我办实行经办人签字、分管领导审核签字、主要领导同意签字的程序流程，全面监督项目实施，确保项目资金及时拨付。</w:t>
      </w:r>
    </w:p>
    <w:p>
      <w:pPr>
        <w:numPr>
          <w:ilvl w:val="0"/>
          <w:numId w:val="8"/>
        </w:numPr>
        <w:autoSpaceDE w:val="0"/>
        <w:spacing w:line="576" w:lineRule="exact"/>
        <w:ind w:firstLine="640" w:firstLineChars="200"/>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项目管理情况。</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该项目为保障性经费支出项目，其项目管理制度合并在我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财务管理制度、内控管理制度等规范性财务制度之下，未单独建立项目管理制度。</w:t>
      </w:r>
    </w:p>
    <w:p>
      <w:pPr>
        <w:keepNext w:val="0"/>
        <w:keepLines w:val="0"/>
        <w:pageBreakBefore w:val="0"/>
        <w:numPr>
          <w:ilvl w:val="0"/>
          <w:numId w:val="8"/>
        </w:numPr>
        <w:kinsoku/>
        <w:wordWrap/>
        <w:overflowPunct/>
        <w:topLinePunct w:val="0"/>
        <w:autoSpaceDE/>
        <w:autoSpaceDN/>
        <w:bidi w:val="0"/>
        <w:adjustRightInd w:val="0"/>
        <w:snapToGrid w:val="0"/>
        <w:spacing w:line="578" w:lineRule="exact"/>
        <w:ind w:left="0" w:leftChars="0" w:firstLine="640" w:firstLineChars="20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项目监管情况。</w:t>
      </w:r>
    </w:p>
    <w:p>
      <w:pPr>
        <w:pStyle w:val="5"/>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sz w:val="32"/>
          <w:szCs w:val="32"/>
        </w:rPr>
        <w:t>项目资金使用方案由全体干部职工大会讨论决定，由</w:t>
      </w:r>
      <w:r>
        <w:rPr>
          <w:rFonts w:hint="eastAsia" w:hAnsi="仿宋_GB2312" w:cs="仿宋_GB2312"/>
          <w:sz w:val="32"/>
          <w:szCs w:val="32"/>
          <w:lang w:eastAsia="zh-CN"/>
        </w:rPr>
        <w:t>分管</w:t>
      </w:r>
      <w:r>
        <w:rPr>
          <w:rFonts w:hint="eastAsia" w:ascii="仿宋_GB2312" w:hAnsi="仿宋_GB2312" w:eastAsia="仿宋_GB2312" w:cs="仿宋_GB2312"/>
          <w:sz w:val="32"/>
          <w:szCs w:val="32"/>
        </w:rPr>
        <w:t>副主任牵头负责，</w:t>
      </w:r>
      <w:r>
        <w:rPr>
          <w:rFonts w:hint="eastAsia" w:hAnsi="仿宋_GB2312" w:cs="仿宋_GB2312"/>
          <w:sz w:val="32"/>
          <w:szCs w:val="32"/>
          <w:lang w:eastAsia="zh-CN"/>
        </w:rPr>
        <w:t>综合股</w:t>
      </w:r>
      <w:r>
        <w:rPr>
          <w:rFonts w:hint="eastAsia" w:ascii="仿宋_GB2312" w:hAnsi="仿宋_GB2312" w:eastAsia="仿宋_GB2312" w:cs="仿宋_GB2312"/>
          <w:sz w:val="32"/>
          <w:szCs w:val="32"/>
        </w:rPr>
        <w:t>负责日常业务及跟踪项目实施全过程，对实施效果进行客观评价。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（一）项目完成情况。</w:t>
      </w: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中文域名注册运行维护项目预算</w:t>
      </w:r>
      <w:r>
        <w:rPr>
          <w:rFonts w:hint="eastAsia" w:ascii="仿宋_GB2312" w:hAnsi="仿宋_GB2312" w:eastAsia="仿宋_GB2312" w:cs="仿宋_GB2312"/>
          <w:sz w:val="32"/>
          <w:szCs w:val="32"/>
          <w:lang w:val="en-US" w:eastAsia="zh-CN"/>
        </w:rPr>
        <w:t>5万元，完成率100%</w:t>
      </w:r>
      <w:r>
        <w:rPr>
          <w:rFonts w:hint="eastAsia" w:ascii="仿宋_GB2312" w:hAnsi="仿宋_GB2312" w:eastAsia="仿宋_GB2312" w:cs="仿宋_GB2312"/>
          <w:sz w:val="32"/>
          <w:szCs w:val="32"/>
          <w:lang w:val="zh-CN" w:eastAsia="zh-CN"/>
        </w:rPr>
        <w:t>。主要为注册政务域名单位</w:t>
      </w:r>
      <w:r>
        <w:rPr>
          <w:rFonts w:hint="eastAsia" w:ascii="仿宋_GB2312" w:hAnsi="仿宋_GB2312" w:eastAsia="仿宋_GB2312" w:cs="仿宋_GB2312"/>
          <w:sz w:val="32"/>
          <w:szCs w:val="32"/>
          <w:lang w:val="en-US" w:eastAsia="zh-CN"/>
        </w:rPr>
        <w:t>63个、注册公益域名单位374个，实现到期域名不欠费、不断档，确保域名工作的连续性和稳定性。项目支出</w:t>
      </w:r>
      <w:r>
        <w:rPr>
          <w:rFonts w:hint="eastAsia" w:ascii="仿宋_GB2312" w:hAnsi="仿宋_GB2312" w:eastAsia="仿宋_GB2312" w:cs="仿宋_GB2312"/>
          <w:sz w:val="32"/>
          <w:szCs w:val="32"/>
          <w:lang w:val="zh-CN" w:eastAsia="zh-CN"/>
        </w:rPr>
        <w:t>一是用于支付中央编办“政府和公益</w:t>
      </w:r>
      <w:r>
        <w:rPr>
          <w:rFonts w:hint="eastAsia" w:ascii="仿宋_GB2312" w:hAnsi="仿宋_GB2312" w:eastAsia="仿宋_GB2312" w:cs="仿宋_GB2312"/>
          <w:spacing w:val="-11"/>
          <w:sz w:val="32"/>
          <w:szCs w:val="32"/>
          <w:lang w:val="zh-CN" w:eastAsia="zh-CN"/>
        </w:rPr>
        <w:t>机构域名注册管理中心”运行服务费</w:t>
      </w:r>
      <w:r>
        <w:rPr>
          <w:rFonts w:hint="eastAsia" w:ascii="仿宋_GB2312" w:hAnsi="仿宋_GB2312" w:eastAsia="仿宋_GB2312" w:cs="仿宋_GB2312"/>
          <w:spacing w:val="-11"/>
          <w:sz w:val="32"/>
          <w:szCs w:val="32"/>
          <w:lang w:val="en-US" w:eastAsia="zh-CN"/>
        </w:rPr>
        <w:t>3.4万元，保证了网络域名的正常运行；二是2022年度我单位残保金1.6万元。严格按照规定完成了目标任务，项目实施效果达到预期目标，资金使用安全有效。</w:t>
      </w:r>
    </w:p>
    <w:p>
      <w:pPr>
        <w:keepNext w:val="0"/>
        <w:keepLines w:val="0"/>
        <w:pageBreakBefore w:val="0"/>
        <w:numPr>
          <w:ilvl w:val="0"/>
          <w:numId w:val="9"/>
        </w:numPr>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项目效益情况。</w:t>
      </w: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楷体_GB2312" w:hAnsi="宋体" w:eastAsia="楷体_GB2312"/>
          <w:b w:val="0"/>
          <w:bCs/>
          <w:color w:val="auto"/>
          <w:sz w:val="32"/>
          <w:szCs w:val="32"/>
          <w:highlight w:val="none"/>
          <w:u w:val="none"/>
          <w:lang w:val="zh-CN"/>
        </w:rPr>
      </w:pPr>
      <w:r>
        <w:rPr>
          <w:rFonts w:hint="eastAsia" w:ascii="仿宋_GB2312" w:hAnsi="仿宋_GB2312" w:eastAsia="仿宋_GB2312" w:cs="仿宋_GB2312"/>
          <w:sz w:val="32"/>
          <w:szCs w:val="32"/>
          <w:lang w:val="en-US" w:eastAsia="zh-CN"/>
        </w:rPr>
        <w:t>2022年中文域名运行维护项目进一步推动了机关、事业单位域名工作延续性、稳定性；服务单位对象满意度达90%；项目实施科学合理，组织实施有序，监管有力到位，责任分工明确，确保了项目正常拨付，发挥了项目资金最大利益化，最大效益化，自评分为97分</w:t>
      </w:r>
      <w:r>
        <w:rPr>
          <w:rFonts w:hint="eastAsia" w:ascii="仿宋_GB2312" w:hAnsi="仿宋_GB2312" w:eastAsia="仿宋_GB2312" w:cs="仿宋_GB2312"/>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（一）评价结论。</w:t>
      </w:r>
    </w:p>
    <w:p>
      <w:pPr>
        <w:keepNext w:val="0"/>
        <w:keepLines w:val="0"/>
        <w:pageBreakBefore w:val="0"/>
        <w:kinsoku/>
        <w:wordWrap/>
        <w:overflowPunct/>
        <w:topLinePunct w:val="0"/>
        <w:autoSpaceDN/>
        <w:bidi w:val="0"/>
        <w:adjustRightInd w:val="0"/>
        <w:snapToGrid w:val="0"/>
        <w:spacing w:line="576" w:lineRule="exact"/>
        <w:ind w:firstLine="720"/>
        <w:textAlignment w:val="auto"/>
        <w:rPr>
          <w:rFonts w:hint="eastAsia" w:ascii="仿宋_GB2312" w:hAnsi="仿宋_GB2312" w:eastAsia="仿宋_GB2312" w:cs="仿宋_GB2312"/>
          <w:color w:val="FF0000"/>
          <w:sz w:val="32"/>
          <w:szCs w:val="32"/>
          <w:lang w:val="en-US" w:eastAsia="zh-CN"/>
        </w:rPr>
      </w:pPr>
      <w:r>
        <w:rPr>
          <w:rFonts w:hint="eastAsia" w:ascii="仿宋_GB2312" w:hAnsi="宋体" w:eastAsia="仿宋_GB2312" w:cs="Times New Roman"/>
          <w:w w:val="99"/>
          <w:sz w:val="32"/>
          <w:szCs w:val="32"/>
          <w:lang w:val="zh-CN" w:eastAsia="zh-CN"/>
        </w:rPr>
        <w:t>全区机关事业单位对中文域名项目注册管理工作满意度较高，满意率达</w:t>
      </w:r>
      <w:r>
        <w:rPr>
          <w:rFonts w:hint="eastAsia" w:ascii="仿宋_GB2312" w:hAnsi="宋体" w:eastAsia="仿宋_GB2312" w:cs="Times New Roman"/>
          <w:w w:val="99"/>
          <w:sz w:val="32"/>
          <w:szCs w:val="32"/>
          <w:lang w:val="en-US" w:eastAsia="zh-CN"/>
        </w:rPr>
        <w:t>90%以上，自评优。</w:t>
      </w:r>
    </w:p>
    <w:p>
      <w:pPr>
        <w:keepNext w:val="0"/>
        <w:keepLines w:val="0"/>
        <w:pageBreakBefore w:val="0"/>
        <w:numPr>
          <w:ilvl w:val="0"/>
          <w:numId w:val="10"/>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存在的问题。</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仿宋_GB2312" w:hAnsi="宋体" w:eastAsia="仿宋_GB2312" w:cs="Times New Roman"/>
          <w:w w:val="99"/>
          <w:sz w:val="32"/>
          <w:szCs w:val="32"/>
        </w:rPr>
        <w:t>结</w:t>
      </w:r>
      <w:r>
        <w:rPr>
          <w:rFonts w:hint="eastAsia" w:ascii="仿宋_GB2312" w:hAnsi="宋体" w:eastAsia="仿宋_GB2312" w:cs="Times New Roman"/>
          <w:w w:val="99"/>
          <w:sz w:val="32"/>
          <w:szCs w:val="32"/>
          <w:lang w:eastAsia="zh-CN"/>
        </w:rPr>
        <w:t>合</w:t>
      </w:r>
      <w:r>
        <w:rPr>
          <w:rFonts w:hint="eastAsia" w:ascii="仿宋_GB2312" w:hAnsi="仿宋_GB2312" w:eastAsia="仿宋_GB2312" w:cs="仿宋_GB2312"/>
          <w:sz w:val="32"/>
          <w:szCs w:val="32"/>
          <w:lang w:val="zh-CN" w:eastAsia="zh-CN"/>
        </w:rPr>
        <w:t>在对机关事业单位政务（公益）域名服务费项目实施过程中，部分单位和人员存在对机关事业单位政务（公益）域名重要性认识不够的问题，个别单位简单的认为就是一项所谓的“任务”，没有看懂中文域名可以带来的巨大效益和作用。</w:t>
      </w:r>
    </w:p>
    <w:p>
      <w:pPr>
        <w:keepNext w:val="0"/>
        <w:keepLines w:val="0"/>
        <w:pageBreakBefore w:val="0"/>
        <w:numPr>
          <w:ilvl w:val="0"/>
          <w:numId w:val="10"/>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相关建议。</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是大力宣传，提高认知。对全区机关事业单位中文域名注册管理工作进一步加大宣传，让广大干部了解政务域名和公益域名注册的目的、意义和作用。二是加强管理，持续推进为了保持中文域名工作的持续性规范管理操作人员，使其工作具有连续性。</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720" w:leftChars="0"/>
        <w:textAlignment w:val="auto"/>
        <w:rPr>
          <w:rFonts w:hint="eastAsia" w:ascii="楷体_GB2312" w:hAnsi="宋体" w:eastAsia="楷体_GB2312"/>
          <w:b w:val="0"/>
          <w:bCs/>
          <w:color w:val="auto"/>
          <w:sz w:val="32"/>
          <w:szCs w:val="32"/>
          <w:highlight w:val="none"/>
          <w:u w:val="none"/>
          <w:lang w:val="zh-CN"/>
        </w:rPr>
      </w:pPr>
    </w:p>
    <w:p>
      <w:pPr>
        <w:keepNext w:val="0"/>
        <w:keepLines w:val="0"/>
        <w:pageBreakBefore w:val="0"/>
        <w:numPr>
          <w:ilvl w:val="0"/>
          <w:numId w:val="0"/>
        </w:numPr>
        <w:kinsoku/>
        <w:wordWrap/>
        <w:overflowPunct/>
        <w:topLinePunct w:val="0"/>
        <w:autoSpaceDE/>
        <w:autoSpaceDN/>
        <w:bidi w:val="0"/>
        <w:adjustRightInd w:val="0"/>
        <w:snapToGrid w:val="0"/>
        <w:spacing w:line="578" w:lineRule="exact"/>
        <w:textAlignment w:val="auto"/>
        <w:rPr>
          <w:rFonts w:hint="eastAsia" w:ascii="楷体_GB2312" w:hAnsi="宋体" w:eastAsia="楷体_GB2312"/>
          <w:b w:val="0"/>
          <w:bCs/>
          <w:color w:val="auto"/>
          <w:sz w:val="32"/>
          <w:szCs w:val="32"/>
          <w:highlight w:val="none"/>
          <w:u w:val="none"/>
          <w:lang w:val="zh-CN"/>
        </w:rPr>
      </w:pPr>
    </w:p>
    <w:p>
      <w:pPr>
        <w:pStyle w:val="5"/>
        <w:rPr>
          <w:rFonts w:hint="eastAsia"/>
          <w:b w:val="0"/>
          <w:bCs/>
          <w:lang w:val="zh-CN"/>
        </w:rPr>
      </w:pPr>
    </w:p>
    <w:p>
      <w:pPr>
        <w:pStyle w:val="5"/>
        <w:rPr>
          <w:rFonts w:hint="default" w:ascii="黑体" w:hAnsi="黑体" w:eastAsia="黑体"/>
          <w:color w:val="auto"/>
          <w:sz w:val="44"/>
          <w:szCs w:val="44"/>
          <w:highlight w:val="none"/>
          <w:lang w:val="en-US" w:eastAsia="zh-CN"/>
        </w:rPr>
      </w:pPr>
    </w:p>
    <w:p>
      <w:pPr>
        <w:pStyle w:val="5"/>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keepNext w:val="0"/>
        <w:keepLines w:val="0"/>
        <w:pageBreakBefore w:val="0"/>
        <w:kinsoku/>
        <w:wordWrap/>
        <w:overflowPunct/>
        <w:topLinePunct w:val="0"/>
        <w:autoSpaceDE w:val="0"/>
        <w:autoSpaceDN/>
        <w:bidi w:val="0"/>
        <w:adjustRightInd w:val="0"/>
        <w:snapToGrid w:val="0"/>
        <w:spacing w:line="576"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统一社会信用代码赋码颁证</w:t>
      </w:r>
      <w:r>
        <w:rPr>
          <w:rFonts w:hint="eastAsia" w:ascii="方正小标宋简体" w:hAnsi="方正小标宋简体" w:eastAsia="方正小标宋简体" w:cs="方正小标宋简体"/>
          <w:b w:val="0"/>
          <w:bCs w:val="0"/>
          <w:color w:val="000000"/>
          <w:kern w:val="0"/>
          <w:sz w:val="44"/>
          <w:szCs w:val="44"/>
        </w:rPr>
        <w:t>项目支出</w:t>
      </w:r>
    </w:p>
    <w:p>
      <w:pPr>
        <w:keepNext w:val="0"/>
        <w:keepLines w:val="0"/>
        <w:pageBreakBefore w:val="0"/>
        <w:kinsoku/>
        <w:wordWrap/>
        <w:overflowPunct/>
        <w:topLinePunct w:val="0"/>
        <w:autoSpaceDE w:val="0"/>
        <w:autoSpaceDN/>
        <w:bidi w:val="0"/>
        <w:adjustRightInd w:val="0"/>
        <w:snapToGrid w:val="0"/>
        <w:spacing w:line="576" w:lineRule="exact"/>
        <w:jc w:val="center"/>
        <w:textAlignment w:val="auto"/>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绩效</w:t>
      </w:r>
      <w:r>
        <w:rPr>
          <w:rFonts w:hint="eastAsia" w:ascii="方正小标宋简体" w:hAnsi="方正小标宋简体" w:eastAsia="方正小标宋简体" w:cs="方正小标宋简体"/>
          <w:b w:val="0"/>
          <w:bCs w:val="0"/>
          <w:color w:val="000000"/>
          <w:kern w:val="0"/>
          <w:sz w:val="44"/>
          <w:szCs w:val="44"/>
          <w:lang w:eastAsia="zh-CN"/>
        </w:rPr>
        <w:t>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color w:val="auto"/>
          <w:sz w:val="32"/>
          <w:szCs w:val="32"/>
          <w:highlight w:val="none"/>
          <w:lang w:val="en-US" w:eastAsia="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r>
        <w:rPr>
          <w:rFonts w:hint="eastAsia" w:ascii="黑体" w:hAnsi="宋体" w:eastAsia="黑体"/>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（一）项目基本情况。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仿宋_GB2312" w:hAnsi="Times New Roman" w:eastAsia="仿宋_GB2312" w:cs="Times New Roman"/>
          <w:b w:val="0"/>
          <w:bCs w:val="0"/>
          <w:color w:val="auto"/>
          <w:spacing w:val="-6"/>
          <w:sz w:val="32"/>
          <w:szCs w:val="32"/>
          <w:lang w:val="en-US" w:eastAsia="zh-CN"/>
        </w:rPr>
        <w:t>社会信用代码指用于法人和其他组织身份识别的代码。</w:t>
      </w:r>
      <w:r>
        <w:rPr>
          <w:rFonts w:hint="eastAsia" w:ascii="仿宋_GB2312" w:hAnsi="Times New Roman" w:eastAsia="仿宋_GB2312" w:cs="Times New Roman"/>
          <w:b w:val="0"/>
          <w:bCs w:val="0"/>
          <w:color w:val="auto"/>
          <w:spacing w:val="-6"/>
          <w:sz w:val="32"/>
          <w:szCs w:val="32"/>
          <w:lang w:val="en-US" w:eastAsia="zh-CN"/>
        </w:rPr>
        <w:fldChar w:fldCharType="begin"/>
      </w:r>
      <w:r>
        <w:rPr>
          <w:rFonts w:hint="eastAsia" w:ascii="仿宋_GB2312" w:hAnsi="Times New Roman" w:eastAsia="仿宋_GB2312" w:cs="Times New Roman"/>
          <w:b w:val="0"/>
          <w:bCs w:val="0"/>
          <w:color w:val="auto"/>
          <w:spacing w:val="-6"/>
          <w:sz w:val="32"/>
          <w:szCs w:val="32"/>
          <w:lang w:val="en-US" w:eastAsia="zh-CN"/>
        </w:rPr>
        <w:instrText xml:space="preserve"> HYPERLINK "https://baike.baidu.com/item/%E6%B3%95%E4%BA%BA/60843" \t "https://baike.baidu.com/item/%E6%B3%95%E4%BA%BA%E5%92%8C%E5%85%B6%E4%BB%96%E7%BB%84%E7%BB%87%E7%BB%9F%E4%B8%80%E7%A4%BE%E4%BC%9A%E4%BF%A1%E7%94%A8%E4%BB%A3%E7%A0%81/_blank" </w:instrText>
      </w:r>
      <w:r>
        <w:rPr>
          <w:rFonts w:hint="eastAsia" w:ascii="仿宋_GB2312" w:hAnsi="Times New Roman" w:eastAsia="仿宋_GB2312" w:cs="Times New Roman"/>
          <w:b w:val="0"/>
          <w:bCs w:val="0"/>
          <w:color w:val="auto"/>
          <w:spacing w:val="-6"/>
          <w:sz w:val="32"/>
          <w:szCs w:val="32"/>
          <w:lang w:val="en-US" w:eastAsia="zh-CN"/>
        </w:rPr>
        <w:fldChar w:fldCharType="separate"/>
      </w:r>
      <w:r>
        <w:rPr>
          <w:rFonts w:hint="eastAsia" w:ascii="仿宋_GB2312" w:hAnsi="Times New Roman" w:eastAsia="仿宋_GB2312" w:cs="Times New Roman"/>
          <w:b w:val="0"/>
          <w:bCs w:val="0"/>
          <w:color w:val="auto"/>
          <w:spacing w:val="-6"/>
          <w:sz w:val="32"/>
          <w:szCs w:val="32"/>
          <w:lang w:val="en-US" w:eastAsia="zh-CN"/>
        </w:rPr>
        <w:t>法人</w:t>
      </w:r>
      <w:r>
        <w:rPr>
          <w:rFonts w:hint="eastAsia" w:ascii="仿宋_GB2312" w:hAnsi="Times New Roman" w:eastAsia="仿宋_GB2312" w:cs="Times New Roman"/>
          <w:b w:val="0"/>
          <w:bCs w:val="0"/>
          <w:color w:val="auto"/>
          <w:spacing w:val="-6"/>
          <w:sz w:val="32"/>
          <w:szCs w:val="32"/>
          <w:lang w:val="en-US" w:eastAsia="zh-CN"/>
        </w:rPr>
        <w:fldChar w:fldCharType="end"/>
      </w:r>
      <w:r>
        <w:rPr>
          <w:rFonts w:hint="eastAsia" w:ascii="仿宋_GB2312" w:hAnsi="Times New Roman" w:eastAsia="仿宋_GB2312" w:cs="Times New Roman"/>
          <w:b w:val="0"/>
          <w:bCs w:val="0"/>
          <w:color w:val="auto"/>
          <w:spacing w:val="-6"/>
          <w:sz w:val="32"/>
          <w:szCs w:val="32"/>
          <w:lang w:val="en-US" w:eastAsia="zh-CN"/>
        </w:rPr>
        <w:t>和其他组织</w:t>
      </w:r>
      <w:r>
        <w:rPr>
          <w:rFonts w:hint="eastAsia" w:ascii="仿宋_GB2312" w:hAnsi="Times New Roman" w:eastAsia="仿宋_GB2312" w:cs="Times New Roman"/>
          <w:b w:val="0"/>
          <w:bCs w:val="0"/>
          <w:color w:val="auto"/>
          <w:spacing w:val="-6"/>
          <w:sz w:val="32"/>
          <w:szCs w:val="32"/>
          <w:lang w:val="en-US" w:eastAsia="zh-CN"/>
        </w:rPr>
        <w:fldChar w:fldCharType="begin"/>
      </w:r>
      <w:r>
        <w:rPr>
          <w:rFonts w:hint="eastAsia" w:ascii="仿宋_GB2312" w:hAnsi="Times New Roman" w:eastAsia="仿宋_GB2312" w:cs="Times New Roman"/>
          <w:b w:val="0"/>
          <w:bCs w:val="0"/>
          <w:color w:val="auto"/>
          <w:spacing w:val="-6"/>
          <w:sz w:val="32"/>
          <w:szCs w:val="32"/>
          <w:lang w:val="en-US" w:eastAsia="zh-CN"/>
        </w:rPr>
        <w:instrText xml:space="preserve"> HYPERLINK "https://baike.baidu.com/item/%E7%BB%9F%E4%B8%80%E7%A4%BE%E4%BC%9A%E4%BF%A1%E7%94%A8%E4%BB%A3%E7%A0%81/18754790" \t "https://baike.baidu.com/item/%E6%B3%95%E4%BA%BA%E5%92%8C%E5%85%B6%E4%BB%96%E7%BB%84%E7%BB%87%E7%BB%9F%E4%B8%80%E7%A4%BE%E4%BC%9A%E4%BF%A1%E7%94%A8%E4%BB%A3%E7%A0%81/_blank" </w:instrText>
      </w:r>
      <w:r>
        <w:rPr>
          <w:rFonts w:hint="eastAsia" w:ascii="仿宋_GB2312" w:hAnsi="Times New Roman" w:eastAsia="仿宋_GB2312" w:cs="Times New Roman"/>
          <w:b w:val="0"/>
          <w:bCs w:val="0"/>
          <w:color w:val="auto"/>
          <w:spacing w:val="-6"/>
          <w:sz w:val="32"/>
          <w:szCs w:val="32"/>
          <w:lang w:val="en-US" w:eastAsia="zh-CN"/>
        </w:rPr>
        <w:fldChar w:fldCharType="separate"/>
      </w:r>
      <w:r>
        <w:rPr>
          <w:rFonts w:hint="eastAsia" w:ascii="仿宋_GB2312" w:hAnsi="Times New Roman" w:eastAsia="仿宋_GB2312" w:cs="Times New Roman"/>
          <w:b w:val="0"/>
          <w:bCs w:val="0"/>
          <w:color w:val="auto"/>
          <w:spacing w:val="-6"/>
          <w:sz w:val="32"/>
          <w:szCs w:val="32"/>
          <w:lang w:val="en-US" w:eastAsia="zh-CN"/>
        </w:rPr>
        <w:t>统一社会信用代码</w:t>
      </w:r>
      <w:r>
        <w:rPr>
          <w:rFonts w:hint="eastAsia" w:ascii="仿宋_GB2312" w:hAnsi="Times New Roman" w:eastAsia="仿宋_GB2312" w:cs="Times New Roman"/>
          <w:b w:val="0"/>
          <w:bCs w:val="0"/>
          <w:color w:val="auto"/>
          <w:spacing w:val="-6"/>
          <w:sz w:val="32"/>
          <w:szCs w:val="32"/>
          <w:lang w:val="en-US" w:eastAsia="zh-CN"/>
        </w:rPr>
        <w:fldChar w:fldCharType="end"/>
      </w:r>
      <w:r>
        <w:rPr>
          <w:rFonts w:hint="eastAsia" w:ascii="仿宋_GB2312" w:hAnsi="Times New Roman" w:eastAsia="仿宋_GB2312" w:cs="Times New Roman"/>
          <w:b w:val="0"/>
          <w:bCs w:val="0"/>
          <w:color w:val="auto"/>
          <w:spacing w:val="-6"/>
          <w:sz w:val="32"/>
          <w:szCs w:val="32"/>
          <w:lang w:val="en-US" w:eastAsia="zh-CN"/>
        </w:rPr>
        <w:t>相当于让法人和其他组织拥有了一个全国统一的“身份证号”，是推动</w:t>
      </w:r>
      <w:r>
        <w:rPr>
          <w:rFonts w:hint="eastAsia" w:ascii="仿宋_GB2312" w:hAnsi="Times New Roman" w:eastAsia="仿宋_GB2312" w:cs="Times New Roman"/>
          <w:b w:val="0"/>
          <w:bCs w:val="0"/>
          <w:color w:val="auto"/>
          <w:spacing w:val="-6"/>
          <w:sz w:val="32"/>
          <w:szCs w:val="32"/>
          <w:lang w:val="en-US" w:eastAsia="zh-CN"/>
        </w:rPr>
        <w:fldChar w:fldCharType="begin"/>
      </w:r>
      <w:r>
        <w:rPr>
          <w:rFonts w:hint="eastAsia" w:ascii="仿宋_GB2312" w:hAnsi="Times New Roman" w:eastAsia="仿宋_GB2312" w:cs="Times New Roman"/>
          <w:b w:val="0"/>
          <w:bCs w:val="0"/>
          <w:color w:val="auto"/>
          <w:spacing w:val="-6"/>
          <w:sz w:val="32"/>
          <w:szCs w:val="32"/>
          <w:lang w:val="en-US" w:eastAsia="zh-CN"/>
        </w:rPr>
        <w:instrText xml:space="preserve"> HYPERLINK "https://baike.baidu.com/item/%E7%A4%BE%E4%BC%9A%E4%BF%A1%E7%94%A8%E4%BD%93%E7%B3%BB/1057379" \t "https://baike.baidu.com/item/%E6%B3%95%E4%BA%BA%E5%92%8C%E5%85%B6%E4%BB%96%E7%BB%84%E7%BB%87%E7%BB%9F%E4%B8%80%E7%A4%BE%E4%BC%9A%E4%BF%A1%E7%94%A8%E4%BB%A3%E7%A0%81/_blank" </w:instrText>
      </w:r>
      <w:r>
        <w:rPr>
          <w:rFonts w:hint="eastAsia" w:ascii="仿宋_GB2312" w:hAnsi="Times New Roman" w:eastAsia="仿宋_GB2312" w:cs="Times New Roman"/>
          <w:b w:val="0"/>
          <w:bCs w:val="0"/>
          <w:color w:val="auto"/>
          <w:spacing w:val="-6"/>
          <w:sz w:val="32"/>
          <w:szCs w:val="32"/>
          <w:lang w:val="en-US" w:eastAsia="zh-CN"/>
        </w:rPr>
        <w:fldChar w:fldCharType="separate"/>
      </w:r>
      <w:r>
        <w:rPr>
          <w:rFonts w:hint="eastAsia" w:ascii="仿宋_GB2312" w:hAnsi="Times New Roman" w:eastAsia="仿宋_GB2312" w:cs="Times New Roman"/>
          <w:b w:val="0"/>
          <w:bCs w:val="0"/>
          <w:color w:val="auto"/>
          <w:spacing w:val="-6"/>
          <w:sz w:val="32"/>
          <w:szCs w:val="32"/>
          <w:lang w:val="en-US" w:eastAsia="zh-CN"/>
        </w:rPr>
        <w:t>社会信用体系</w:t>
      </w:r>
      <w:r>
        <w:rPr>
          <w:rFonts w:hint="eastAsia" w:ascii="仿宋_GB2312" w:hAnsi="Times New Roman" w:eastAsia="仿宋_GB2312" w:cs="Times New Roman"/>
          <w:b w:val="0"/>
          <w:bCs w:val="0"/>
          <w:color w:val="auto"/>
          <w:spacing w:val="-6"/>
          <w:sz w:val="32"/>
          <w:szCs w:val="32"/>
          <w:lang w:val="en-US" w:eastAsia="zh-CN"/>
        </w:rPr>
        <w:fldChar w:fldCharType="end"/>
      </w:r>
      <w:r>
        <w:rPr>
          <w:rFonts w:hint="eastAsia" w:ascii="仿宋_GB2312" w:hAnsi="Times New Roman" w:eastAsia="仿宋_GB2312" w:cs="Times New Roman"/>
          <w:b w:val="0"/>
          <w:bCs w:val="0"/>
          <w:color w:val="auto"/>
          <w:spacing w:val="-6"/>
          <w:sz w:val="32"/>
          <w:szCs w:val="32"/>
          <w:lang w:val="en-US" w:eastAsia="zh-CN"/>
        </w:rPr>
        <w:t>建设的一项重要改革措施。</w:t>
      </w:r>
    </w:p>
    <w:p>
      <w:pPr>
        <w:keepNext w:val="0"/>
        <w:keepLines w:val="0"/>
        <w:pageBreakBefore w:val="0"/>
        <w:numPr>
          <w:ilvl w:val="0"/>
          <w:numId w:val="11"/>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项目绩效目标。</w:t>
      </w:r>
    </w:p>
    <w:p>
      <w:pPr>
        <w:keepNext w:val="0"/>
        <w:keepLines w:val="0"/>
        <w:pageBreakBefore w:val="0"/>
        <w:kinsoku/>
        <w:wordWrap/>
        <w:overflowPunct/>
        <w:topLinePunct w:val="0"/>
        <w:autoSpaceDE w:val="0"/>
        <w:autoSpaceDN/>
        <w:bidi w:val="0"/>
        <w:adjustRightInd w:val="0"/>
        <w:snapToGrid w:val="0"/>
        <w:spacing w:line="576" w:lineRule="exact"/>
        <w:ind w:firstLine="616" w:firstLineChars="200"/>
        <w:textAlignment w:val="auto"/>
        <w:rPr>
          <w:rFonts w:hint="eastAsia" w:ascii="仿宋_GB2312" w:hAnsi="Times New Roman" w:eastAsia="仿宋_GB2312" w:cs="Times New Roman"/>
          <w:b w:val="0"/>
          <w:bCs w:val="0"/>
          <w:color w:val="auto"/>
          <w:spacing w:val="-6"/>
          <w:sz w:val="32"/>
          <w:szCs w:val="32"/>
          <w:lang w:val="zh-CN" w:eastAsia="zh-CN"/>
        </w:rPr>
      </w:pPr>
      <w:r>
        <w:rPr>
          <w:rFonts w:hint="eastAsia" w:ascii="仿宋_GB2312" w:hAnsi="Times New Roman" w:eastAsia="仿宋_GB2312" w:cs="Times New Roman"/>
          <w:b w:val="0"/>
          <w:bCs w:val="0"/>
          <w:color w:val="auto"/>
          <w:spacing w:val="-6"/>
          <w:sz w:val="32"/>
          <w:szCs w:val="32"/>
          <w:lang w:val="en-US" w:eastAsia="zh-CN"/>
        </w:rPr>
        <w:t>1.</w:t>
      </w:r>
      <w:r>
        <w:rPr>
          <w:rFonts w:hint="eastAsia" w:ascii="仿宋_GB2312" w:hAnsi="Times New Roman" w:eastAsia="仿宋_GB2312" w:cs="Times New Roman"/>
          <w:b w:val="0"/>
          <w:bCs w:val="0"/>
          <w:color w:val="auto"/>
          <w:spacing w:val="-6"/>
          <w:sz w:val="32"/>
          <w:szCs w:val="32"/>
          <w:lang w:val="zh-CN" w:eastAsia="zh-CN"/>
        </w:rPr>
        <w:t>机关事业单位</w:t>
      </w:r>
      <w:r>
        <w:rPr>
          <w:rFonts w:hint="eastAsia" w:ascii="仿宋_GB2312" w:eastAsia="仿宋_GB2312" w:cs="Times New Roman"/>
          <w:b w:val="0"/>
          <w:bCs w:val="0"/>
          <w:color w:val="auto"/>
          <w:spacing w:val="-6"/>
          <w:sz w:val="32"/>
          <w:szCs w:val="32"/>
          <w:lang w:val="zh-CN" w:eastAsia="zh-CN"/>
        </w:rPr>
        <w:t>统一社会信用代码</w:t>
      </w:r>
      <w:r>
        <w:rPr>
          <w:rFonts w:hint="eastAsia" w:ascii="仿宋_GB2312" w:hAnsi="Times New Roman" w:eastAsia="仿宋_GB2312" w:cs="Times New Roman"/>
          <w:b w:val="0"/>
          <w:bCs w:val="0"/>
          <w:color w:val="auto"/>
          <w:spacing w:val="-6"/>
          <w:sz w:val="32"/>
          <w:szCs w:val="32"/>
          <w:lang w:val="zh-CN" w:eastAsia="zh-CN"/>
        </w:rPr>
        <w:t>赋码颁证工作经费主要用于：机关群团（主要包括各级党委、政府所属办公厅（室）、组成（工作）部门、直属特设机构、直属机构、办事机构，人大和政协机关，审判、检察机关，群众团体，各民主党派机关和工商联机构；部门管理机构和行政机关下属的独立行政机构等）统一社会信用代码初领、变更、补换领、撤销工作。</w:t>
      </w:r>
    </w:p>
    <w:p>
      <w:pPr>
        <w:keepNext w:val="0"/>
        <w:keepLines w:val="0"/>
        <w:pageBreakBefore w:val="0"/>
        <w:kinsoku/>
        <w:wordWrap/>
        <w:overflowPunct/>
        <w:topLinePunct w:val="0"/>
        <w:autoSpaceDE w:val="0"/>
        <w:autoSpaceDN/>
        <w:bidi w:val="0"/>
        <w:adjustRightInd w:val="0"/>
        <w:snapToGrid w:val="0"/>
        <w:spacing w:line="576" w:lineRule="exact"/>
        <w:ind w:firstLine="616" w:firstLineChars="200"/>
        <w:textAlignment w:val="auto"/>
        <w:rPr>
          <w:rFonts w:hint="eastAsia" w:ascii="仿宋_GB2312" w:hAnsi="Times New Roman" w:eastAsia="仿宋_GB2312" w:cs="Times New Roman"/>
          <w:b w:val="0"/>
          <w:bCs w:val="0"/>
          <w:color w:val="auto"/>
          <w:spacing w:val="-6"/>
          <w:sz w:val="32"/>
          <w:szCs w:val="32"/>
          <w:lang w:val="en-US" w:eastAsia="zh-CN"/>
        </w:rPr>
      </w:pPr>
      <w:r>
        <w:rPr>
          <w:rFonts w:hint="eastAsia" w:ascii="仿宋_GB2312" w:hAnsi="Times New Roman" w:eastAsia="仿宋_GB2312" w:cs="Times New Roman"/>
          <w:b w:val="0"/>
          <w:bCs w:val="0"/>
          <w:color w:val="auto"/>
          <w:spacing w:val="-6"/>
          <w:sz w:val="32"/>
          <w:szCs w:val="32"/>
          <w:lang w:val="en-US" w:eastAsia="zh-CN"/>
        </w:rPr>
        <w:t>2.2022年</w:t>
      </w:r>
      <w:r>
        <w:rPr>
          <w:rFonts w:hint="eastAsia" w:ascii="仿宋_GB2312" w:hAnsi="Times New Roman" w:eastAsia="仿宋_GB2312" w:cs="Times New Roman"/>
          <w:b w:val="0"/>
          <w:bCs w:val="0"/>
          <w:color w:val="auto"/>
          <w:spacing w:val="-6"/>
          <w:sz w:val="32"/>
          <w:szCs w:val="32"/>
          <w:lang w:val="zh-CN" w:eastAsia="zh-CN"/>
        </w:rPr>
        <w:t>机关事业单位</w:t>
      </w:r>
      <w:r>
        <w:rPr>
          <w:rFonts w:hint="eastAsia" w:ascii="仿宋_GB2312" w:eastAsia="仿宋_GB2312" w:cs="Times New Roman"/>
          <w:b w:val="0"/>
          <w:bCs w:val="0"/>
          <w:color w:val="auto"/>
          <w:spacing w:val="-6"/>
          <w:sz w:val="32"/>
          <w:szCs w:val="32"/>
          <w:lang w:val="zh-CN" w:eastAsia="zh-CN"/>
        </w:rPr>
        <w:t>统一社会信用代码</w:t>
      </w:r>
      <w:r>
        <w:rPr>
          <w:rFonts w:hint="eastAsia" w:ascii="仿宋_GB2312" w:hAnsi="Times New Roman" w:eastAsia="仿宋_GB2312" w:cs="Times New Roman"/>
          <w:b w:val="0"/>
          <w:bCs w:val="0"/>
          <w:color w:val="auto"/>
          <w:spacing w:val="-6"/>
          <w:sz w:val="32"/>
          <w:szCs w:val="32"/>
          <w:lang w:val="zh-CN" w:eastAsia="zh-CN"/>
        </w:rPr>
        <w:t>赋码颁证工作主要绩效目标为印制《机关群团统一社会信用代码证书》</w:t>
      </w:r>
      <w:r>
        <w:rPr>
          <w:rFonts w:hint="eastAsia" w:ascii="仿宋_GB2312" w:hAnsi="Times New Roman" w:eastAsia="仿宋_GB2312" w:cs="Times New Roman"/>
          <w:b w:val="0"/>
          <w:bCs w:val="0"/>
          <w:color w:val="auto"/>
          <w:spacing w:val="-6"/>
          <w:sz w:val="32"/>
          <w:szCs w:val="32"/>
          <w:lang w:val="en-US" w:eastAsia="zh-CN"/>
        </w:rPr>
        <w:t>600份、印制《事业单位法人证书》400份。该项目于6月支付2.25万元，完成项目进度45%；于8月支付2.75万元，完成项目进度100%。</w:t>
      </w:r>
      <w:r>
        <w:rPr>
          <w:rFonts w:hint="eastAsia" w:ascii="仿宋_GB2312" w:hAnsi="Times New Roman" w:eastAsia="仿宋_GB2312" w:cs="Times New Roman"/>
          <w:b w:val="0"/>
          <w:bCs w:val="0"/>
          <w:color w:val="auto"/>
          <w:spacing w:val="-6"/>
          <w:sz w:val="32"/>
          <w:szCs w:val="32"/>
          <w:lang w:val="zh-CN" w:eastAsia="zh-CN"/>
        </w:rPr>
        <w:t>经费</w:t>
      </w:r>
      <w:r>
        <w:rPr>
          <w:rFonts w:hint="eastAsia" w:ascii="仿宋_GB2312" w:hAnsi="Times New Roman" w:eastAsia="仿宋_GB2312" w:cs="Times New Roman"/>
          <w:b w:val="0"/>
          <w:bCs w:val="0"/>
          <w:color w:val="auto"/>
          <w:spacing w:val="-6"/>
          <w:sz w:val="32"/>
          <w:szCs w:val="32"/>
          <w:lang w:val="en-US" w:eastAsia="zh-CN"/>
        </w:rPr>
        <w:t>保障了我区机关事业单位机关、群团和事业单位统一社会信用代码证书赋码颁证工作。本年度机关事业单位</w:t>
      </w:r>
      <w:r>
        <w:rPr>
          <w:rFonts w:hint="eastAsia" w:ascii="仿宋_GB2312" w:eastAsia="仿宋_GB2312" w:cs="Times New Roman"/>
          <w:b w:val="0"/>
          <w:bCs w:val="0"/>
          <w:color w:val="auto"/>
          <w:spacing w:val="-6"/>
          <w:sz w:val="32"/>
          <w:szCs w:val="32"/>
          <w:lang w:val="zh-CN" w:eastAsia="zh-CN"/>
        </w:rPr>
        <w:t>统一社会信用代码</w:t>
      </w:r>
      <w:r>
        <w:rPr>
          <w:rFonts w:hint="eastAsia" w:ascii="仿宋_GB2312" w:hAnsi="Times New Roman" w:eastAsia="仿宋_GB2312" w:cs="Times New Roman"/>
          <w:b w:val="0"/>
          <w:bCs w:val="0"/>
          <w:color w:val="auto"/>
          <w:spacing w:val="-6"/>
          <w:sz w:val="32"/>
          <w:szCs w:val="32"/>
          <w:lang w:val="zh-CN" w:eastAsia="zh-CN"/>
        </w:rPr>
        <w:t>赋码颁证工作经费</w:t>
      </w:r>
      <w:r>
        <w:rPr>
          <w:rFonts w:hint="eastAsia" w:ascii="仿宋_GB2312" w:hAnsi="Times New Roman" w:eastAsia="仿宋_GB2312" w:cs="Times New Roman"/>
          <w:b w:val="0"/>
          <w:bCs w:val="0"/>
          <w:color w:val="auto"/>
          <w:spacing w:val="-6"/>
          <w:sz w:val="32"/>
          <w:szCs w:val="32"/>
          <w:lang w:val="en-US" w:eastAsia="zh-CN"/>
        </w:rPr>
        <w:t>按计划全部实施到位，完成率100%。</w:t>
      </w:r>
    </w:p>
    <w:p>
      <w:pPr>
        <w:keepNext w:val="0"/>
        <w:keepLines w:val="0"/>
        <w:pageBreakBefore w:val="0"/>
        <w:kinsoku/>
        <w:wordWrap/>
        <w:overflowPunct/>
        <w:topLinePunct w:val="0"/>
        <w:autoSpaceDE w:val="0"/>
        <w:autoSpaceDN/>
        <w:bidi w:val="0"/>
        <w:adjustRightInd w:val="0"/>
        <w:snapToGrid w:val="0"/>
        <w:spacing w:line="576" w:lineRule="exact"/>
        <w:ind w:firstLine="632" w:firstLineChars="200"/>
        <w:textAlignment w:val="auto"/>
        <w:rPr>
          <w:rFonts w:hint="eastAsia" w:eastAsia="仿宋_GB2312"/>
          <w:lang w:val="en-US" w:eastAsia="zh-CN"/>
        </w:rPr>
      </w:pPr>
      <w:r>
        <w:rPr>
          <w:rFonts w:hint="eastAsia" w:ascii="仿宋_GB2312" w:hAnsi="宋体" w:eastAsia="仿宋_GB2312" w:cs="Times New Roman"/>
          <w:w w:val="99"/>
          <w:sz w:val="32"/>
          <w:szCs w:val="32"/>
        </w:rPr>
        <w:t>3．</w:t>
      </w:r>
      <w:r>
        <w:rPr>
          <w:rFonts w:hint="eastAsia" w:ascii="仿宋_GB2312" w:hAnsi="仿宋_GB2312" w:eastAsia="仿宋_GB2312" w:cs="仿宋_GB2312"/>
          <w:bCs/>
          <w:spacing w:val="-6"/>
          <w:sz w:val="32"/>
          <w:szCs w:val="32"/>
          <w:lang w:eastAsia="zh-CN"/>
        </w:rPr>
        <w:t>统一社会信用代码赋码颁证</w:t>
      </w:r>
      <w:r>
        <w:rPr>
          <w:rFonts w:hint="eastAsia" w:ascii="仿宋_GB2312" w:hAnsi="仿宋_GB2312" w:eastAsia="仿宋_GB2312" w:cs="仿宋_GB2312"/>
          <w:color w:val="auto"/>
          <w:sz w:val="32"/>
          <w:szCs w:val="32"/>
          <w:highlight w:val="none"/>
          <w:lang w:val="en-US" w:eastAsia="zh-CN"/>
        </w:rPr>
        <w:t>与年初预算相符，具体实施内容与项目申报内容相符，申报目标合理可行。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仿宋_GB2312" w:hAnsi="仿宋_GB2312" w:eastAsia="仿宋_GB2312" w:cs="仿宋_GB2312"/>
          <w:b w:val="0"/>
          <w:bCs/>
          <w:snapToGrid w:val="0"/>
          <w:color w:val="auto"/>
          <w:w w:val="100"/>
          <w:kern w:val="0"/>
          <w:sz w:val="32"/>
          <w:szCs w:val="32"/>
          <w:lang w:val="en-US" w:eastAsia="zh-CN"/>
        </w:rPr>
        <w:t>一是加强领导，成立以单位领导为组长，财务及项目管理人员为成员的自评工作组；二是组织实施，通过查阅资料、审核票据，看有无虚列支出、票据不规范的情况；三是考评结果，通过自评，得出考评分值，并查找问题，分析原因，提出整改意见。</w:t>
      </w:r>
      <w:r>
        <w:rPr>
          <w:rFonts w:hint="eastAsia" w:ascii="楷体_GB2312" w:hAnsi="宋体" w:eastAsia="楷体_GB2312" w:cs="Times New Roman"/>
          <w:b w:val="0"/>
          <w:bCs/>
          <w:color w:val="auto"/>
          <w:w w:val="99"/>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（一）项目资金申报及批复情况。</w:t>
      </w:r>
    </w:p>
    <w:p>
      <w:pPr>
        <w:keepNext w:val="0"/>
        <w:keepLines w:val="0"/>
        <w:pageBreakBefore w:val="0"/>
        <w:kinsoku/>
        <w:wordWrap/>
        <w:overflowPunct/>
        <w:topLinePunct w:val="0"/>
        <w:autoSpaceDE w:val="0"/>
        <w:autoSpaceDN/>
        <w:bidi w:val="0"/>
        <w:adjustRightInd w:val="0"/>
        <w:snapToGrid w:val="0"/>
        <w:spacing w:line="576" w:lineRule="exact"/>
        <w:ind w:firstLine="616" w:firstLineChars="200"/>
        <w:textAlignment w:val="auto"/>
        <w:rPr>
          <w:rFonts w:hint="default" w:eastAsia="仿宋_GB2312"/>
          <w:b w:val="0"/>
          <w:bCs w:val="0"/>
          <w:sz w:val="32"/>
          <w:szCs w:val="32"/>
          <w:lang w:val="en-US" w:eastAsia="zh-CN"/>
        </w:rPr>
      </w:pPr>
      <w:r>
        <w:rPr>
          <w:rFonts w:hint="eastAsia" w:ascii="仿宋_GB2312" w:hAnsi="Times New Roman" w:eastAsia="仿宋_GB2312" w:cs="Times New Roman"/>
          <w:b w:val="0"/>
          <w:bCs w:val="0"/>
          <w:color w:val="auto"/>
          <w:spacing w:val="-6"/>
          <w:sz w:val="32"/>
          <w:szCs w:val="32"/>
          <w:lang w:val="en-US" w:eastAsia="zh-CN"/>
        </w:rPr>
        <w:t>2022年度该项目预算资金为5万元，项目执行预算为5万元。项目测算在区委区政府的决策部署下，由我办根据前期工作情况测算项目标准。2022年度，我办该项目年初预算为5万元，年终无追加，项目执行预算为5万元。</w:t>
      </w:r>
    </w:p>
    <w:p>
      <w:pPr>
        <w:keepNext w:val="0"/>
        <w:keepLines w:val="0"/>
        <w:pageBreakBefore w:val="0"/>
        <w:numPr>
          <w:ilvl w:val="0"/>
          <w:numId w:val="12"/>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资金计划、到位及使用情况。</w:t>
      </w:r>
    </w:p>
    <w:p>
      <w:pPr>
        <w:keepNext w:val="0"/>
        <w:keepLines w:val="0"/>
        <w:pageBreakBefore w:val="0"/>
        <w:widowControl/>
        <w:kinsoku/>
        <w:wordWrap/>
        <w:overflowPunct/>
        <w:topLinePunct w:val="0"/>
        <w:autoSpaceDE/>
        <w:autoSpaceDN/>
        <w:bidi w:val="0"/>
        <w:adjustRightInd w:val="0"/>
        <w:snapToGrid w:val="0"/>
        <w:spacing w:line="576" w:lineRule="exact"/>
        <w:ind w:left="0"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bCs/>
          <w:spacing w:val="-6"/>
          <w:sz w:val="32"/>
          <w:szCs w:val="32"/>
          <w:lang w:eastAsia="zh-CN"/>
        </w:rPr>
        <w:t>统一社会信用代码赋码颁证</w:t>
      </w:r>
      <w:r>
        <w:rPr>
          <w:rFonts w:hint="eastAsia" w:ascii="仿宋_GB2312" w:hAnsi="仿宋_GB2312" w:eastAsia="仿宋_GB2312" w:cs="仿宋_GB2312"/>
          <w:sz w:val="32"/>
          <w:szCs w:val="32"/>
          <w:lang w:eastAsia="zh-CN"/>
        </w:rPr>
        <w:t>费用于年初随同部门预算一同下达到本单位，我单位根据年度工作任务安排，在预算范围内提前向财政部门申请资金计划，在财政资金计划批复后，单位及时按预算下达，截止</w:t>
      </w:r>
      <w:r>
        <w:rPr>
          <w:rFonts w:hint="eastAsia" w:ascii="仿宋_GB2312" w:hAnsi="仿宋_GB2312" w:eastAsia="仿宋_GB2312" w:cs="仿宋_GB2312"/>
          <w:sz w:val="32"/>
          <w:szCs w:val="32"/>
          <w:lang w:val="en-US" w:eastAsia="zh-CN"/>
        </w:rPr>
        <w:t>2022年12月，5万元统一社会信用代码赋码颁证费用全部拨付到位。</w:t>
      </w:r>
      <w:r>
        <w:rPr>
          <w:rFonts w:hint="eastAsia" w:ascii="仿宋_GB2312" w:hAnsi="仿宋_GB2312" w:eastAsia="仿宋_GB2312" w:cs="仿宋_GB2312"/>
          <w:sz w:val="32"/>
          <w:szCs w:val="32"/>
        </w:rPr>
        <w:t>资金到位率100%。</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left="0" w:leftChars="0" w:firstLine="616" w:firstLineChars="200"/>
        <w:textAlignment w:val="auto"/>
        <w:rPr>
          <w:rFonts w:hint="eastAsia" w:ascii="楷体_GB2312" w:hAnsi="宋体" w:eastAsia="楷体_GB2312"/>
          <w:b w:val="0"/>
          <w:bCs/>
          <w:color w:val="auto"/>
          <w:sz w:val="32"/>
          <w:szCs w:val="32"/>
          <w:highlight w:val="none"/>
          <w:u w:val="none"/>
          <w:lang w:val="zh-CN"/>
        </w:rPr>
      </w:pPr>
      <w:r>
        <w:rPr>
          <w:rFonts w:hint="eastAsia" w:ascii="仿宋_GB2312" w:hAnsi="Times New Roman" w:eastAsia="仿宋_GB2312" w:cs="Times New Roman"/>
          <w:spacing w:val="-6"/>
          <w:sz w:val="32"/>
          <w:szCs w:val="32"/>
        </w:rPr>
        <w:t>2.资金使用。</w:t>
      </w:r>
      <w:r>
        <w:rPr>
          <w:rFonts w:hint="eastAsia" w:ascii="仿宋_GB2312" w:hAnsi="仿宋_GB2312" w:eastAsia="仿宋_GB2312" w:cs="仿宋_GB2312"/>
          <w:sz w:val="32"/>
          <w:szCs w:val="32"/>
        </w:rPr>
        <w:t>本项经费，由财政局年初预算安排</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万元下拨至我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，用于</w:t>
      </w:r>
      <w:r>
        <w:rPr>
          <w:rFonts w:hint="eastAsia" w:ascii="仿宋_GB2312" w:hAnsi="Times New Roman" w:eastAsia="仿宋_GB2312" w:cs="Times New Roman"/>
          <w:b w:val="0"/>
          <w:bCs w:val="0"/>
          <w:color w:val="auto"/>
          <w:spacing w:val="-6"/>
          <w:sz w:val="32"/>
          <w:szCs w:val="32"/>
          <w:lang w:val="en-US" w:eastAsia="zh-CN"/>
        </w:rPr>
        <w:t>我区机关事业单位机关、群团和事业单位统一社会信用代码证书赋码颁证工作。印制《机关群团统一社会信用代码证书》600份、印制《事业单位法人证书》400份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12月，已完成</w:t>
      </w:r>
      <w:r>
        <w:rPr>
          <w:rFonts w:hint="eastAsia" w:ascii="仿宋_GB2312" w:hAnsi="Times New Roman" w:eastAsia="仿宋_GB2312" w:cs="Times New Roman"/>
          <w:b w:val="0"/>
          <w:bCs w:val="0"/>
          <w:color w:val="auto"/>
          <w:spacing w:val="-6"/>
          <w:sz w:val="32"/>
          <w:szCs w:val="32"/>
          <w:lang w:val="en-US" w:eastAsia="zh-CN"/>
        </w:rPr>
        <w:t>《机关群团统一社会信用代码证书》《事业单位法人证书》印制工作</w:t>
      </w:r>
      <w:r>
        <w:rPr>
          <w:rFonts w:hint="eastAsia" w:ascii="仿宋_GB2312" w:hAnsi="仿宋_GB2312" w:eastAsia="仿宋_GB2312" w:cs="仿宋_GB2312"/>
          <w:sz w:val="32"/>
          <w:szCs w:val="32"/>
          <w:lang w:eastAsia="zh-CN"/>
        </w:rPr>
        <w:t>。资金分别于</w:t>
      </w:r>
      <w:r>
        <w:rPr>
          <w:rFonts w:hint="eastAsia" w:ascii="仿宋_GB2312" w:hAnsi="仿宋_GB2312" w:eastAsia="仿宋_GB2312" w:cs="仿宋_GB2312"/>
          <w:sz w:val="32"/>
          <w:szCs w:val="32"/>
          <w:lang w:val="en-US" w:eastAsia="zh-CN"/>
        </w:rPr>
        <w:t>6月、8月分两次累计向印刷公司支付5万。</w:t>
      </w:r>
      <w:r>
        <w:rPr>
          <w:rFonts w:hint="eastAsia" w:ascii="仿宋_GB2312" w:hAnsi="仿宋_GB2312" w:eastAsia="仿宋_GB2312" w:cs="仿宋_GB2312"/>
          <w:sz w:val="32"/>
          <w:szCs w:val="32"/>
        </w:rPr>
        <w:t>项目资金无调整</w:t>
      </w:r>
      <w:r>
        <w:rPr>
          <w:rFonts w:hint="eastAsia" w:ascii="仿宋_GB2312" w:hAnsi="仿宋_GB2312" w:eastAsia="仿宋_GB2312" w:cs="仿宋_GB2312"/>
          <w:sz w:val="32"/>
          <w:szCs w:val="32"/>
          <w:lang w:eastAsia="zh-CN"/>
        </w:rPr>
        <w:t>，资金支付依据合规合法与预算相符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（三）项目财务管理情况。</w:t>
      </w:r>
    </w:p>
    <w:p>
      <w:pPr>
        <w:keepNext w:val="0"/>
        <w:keepLines w:val="0"/>
        <w:pageBreakBefore w:val="0"/>
        <w:kinsoku/>
        <w:wordWrap/>
        <w:overflowPunct/>
        <w:topLinePunct w:val="0"/>
        <w:autoSpaceDE w:val="0"/>
        <w:autoSpaceDN/>
        <w:bidi w:val="0"/>
        <w:adjustRightInd w:val="0"/>
        <w:snapToGrid w:val="0"/>
        <w:spacing w:line="576" w:lineRule="exact"/>
        <w:ind w:firstLine="616" w:firstLineChars="200"/>
        <w:textAlignment w:val="auto"/>
        <w:rPr>
          <w:rFonts w:hint="eastAsia" w:ascii="仿宋_GB2312" w:hAnsi="Times New Roman" w:eastAsia="仿宋_GB2312" w:cs="Times New Roman"/>
          <w:b w:val="0"/>
          <w:bCs w:val="0"/>
          <w:color w:val="auto"/>
          <w:spacing w:val="-6"/>
          <w:sz w:val="32"/>
          <w:szCs w:val="32"/>
          <w:lang w:val="zh-CN" w:eastAsia="zh-CN"/>
        </w:rPr>
      </w:pPr>
      <w:r>
        <w:rPr>
          <w:rFonts w:hint="eastAsia" w:ascii="仿宋_GB2312" w:eastAsia="仿宋_GB2312" w:cs="Times New Roman"/>
          <w:b w:val="0"/>
          <w:bCs w:val="0"/>
          <w:color w:val="auto"/>
          <w:spacing w:val="-6"/>
          <w:sz w:val="32"/>
          <w:szCs w:val="32"/>
          <w:lang w:val="zh-CN" w:eastAsia="zh-CN"/>
        </w:rPr>
        <w:t>统一社会信用代码</w:t>
      </w:r>
      <w:r>
        <w:rPr>
          <w:rFonts w:hint="eastAsia" w:ascii="仿宋_GB2312" w:hAnsi="Times New Roman" w:eastAsia="仿宋_GB2312" w:cs="Times New Roman"/>
          <w:b w:val="0"/>
          <w:bCs w:val="0"/>
          <w:color w:val="auto"/>
          <w:spacing w:val="-6"/>
          <w:sz w:val="32"/>
          <w:szCs w:val="32"/>
          <w:lang w:val="zh-CN" w:eastAsia="zh-CN"/>
        </w:rPr>
        <w:t>赋码颁证工作经费作为区委编办必需的项目经费，为机关事业单位</w:t>
      </w:r>
      <w:r>
        <w:rPr>
          <w:rFonts w:hint="eastAsia" w:ascii="仿宋_GB2312" w:eastAsia="仿宋_GB2312" w:cs="Times New Roman"/>
          <w:b w:val="0"/>
          <w:bCs w:val="0"/>
          <w:color w:val="auto"/>
          <w:spacing w:val="-6"/>
          <w:sz w:val="32"/>
          <w:szCs w:val="32"/>
          <w:lang w:val="zh-CN" w:eastAsia="zh-CN"/>
        </w:rPr>
        <w:t>统一社会信用代码</w:t>
      </w:r>
      <w:r>
        <w:rPr>
          <w:rFonts w:hint="eastAsia" w:ascii="仿宋_GB2312" w:hAnsi="Times New Roman" w:eastAsia="仿宋_GB2312" w:cs="Times New Roman"/>
          <w:b w:val="0"/>
          <w:bCs w:val="0"/>
          <w:color w:val="auto"/>
          <w:spacing w:val="-6"/>
          <w:sz w:val="32"/>
          <w:szCs w:val="32"/>
          <w:lang w:val="zh-CN" w:eastAsia="zh-CN"/>
        </w:rPr>
        <w:t>赋码颁证工作提供有力的资金保障，管好用好机关事业单位</w:t>
      </w:r>
      <w:r>
        <w:rPr>
          <w:rFonts w:hint="eastAsia" w:ascii="仿宋_GB2312" w:eastAsia="仿宋_GB2312" w:cs="Times New Roman"/>
          <w:b w:val="0"/>
          <w:bCs w:val="0"/>
          <w:color w:val="auto"/>
          <w:spacing w:val="-6"/>
          <w:sz w:val="32"/>
          <w:szCs w:val="32"/>
          <w:lang w:val="zh-CN" w:eastAsia="zh-CN"/>
        </w:rPr>
        <w:t>统一社会信用代码</w:t>
      </w:r>
      <w:r>
        <w:rPr>
          <w:rFonts w:hint="eastAsia" w:ascii="仿宋_GB2312" w:hAnsi="Times New Roman" w:eastAsia="仿宋_GB2312" w:cs="Times New Roman"/>
          <w:b w:val="0"/>
          <w:bCs w:val="0"/>
          <w:color w:val="auto"/>
          <w:spacing w:val="-6"/>
          <w:sz w:val="32"/>
          <w:szCs w:val="32"/>
          <w:lang w:val="zh-CN" w:eastAsia="zh-CN"/>
        </w:rPr>
        <w:t>赋码颁证工作经费也尤为重要。因此，本单位将机关事业单位</w:t>
      </w:r>
      <w:r>
        <w:rPr>
          <w:rFonts w:hint="eastAsia" w:ascii="仿宋_GB2312" w:eastAsia="仿宋_GB2312" w:cs="Times New Roman"/>
          <w:b w:val="0"/>
          <w:bCs w:val="0"/>
          <w:color w:val="auto"/>
          <w:spacing w:val="-6"/>
          <w:sz w:val="32"/>
          <w:szCs w:val="32"/>
          <w:lang w:val="zh-CN" w:eastAsia="zh-CN"/>
        </w:rPr>
        <w:t>统一社会信用代码</w:t>
      </w:r>
      <w:r>
        <w:rPr>
          <w:rFonts w:hint="eastAsia" w:ascii="仿宋_GB2312" w:hAnsi="Times New Roman" w:eastAsia="仿宋_GB2312" w:cs="Times New Roman"/>
          <w:b w:val="0"/>
          <w:bCs w:val="0"/>
          <w:color w:val="auto"/>
          <w:spacing w:val="-6"/>
          <w:sz w:val="32"/>
          <w:szCs w:val="32"/>
          <w:lang w:val="zh-CN" w:eastAsia="zh-CN"/>
        </w:rPr>
        <w:t>赋码颁证工作经费纳入单位财政集中统一管理，严格按照本单位年初制定的财务管理制度要求执行，做到先有预算后有支出，落实机关事业单位</w:t>
      </w:r>
      <w:r>
        <w:rPr>
          <w:rFonts w:hint="eastAsia" w:ascii="仿宋_GB2312" w:eastAsia="仿宋_GB2312" w:cs="Times New Roman"/>
          <w:b w:val="0"/>
          <w:bCs w:val="0"/>
          <w:color w:val="auto"/>
          <w:spacing w:val="-6"/>
          <w:sz w:val="32"/>
          <w:szCs w:val="32"/>
          <w:lang w:val="zh-CN" w:eastAsia="zh-CN"/>
        </w:rPr>
        <w:t>统一社会信用代码</w:t>
      </w:r>
      <w:r>
        <w:rPr>
          <w:rFonts w:hint="eastAsia" w:ascii="仿宋_GB2312" w:hAnsi="Times New Roman" w:eastAsia="仿宋_GB2312" w:cs="Times New Roman"/>
          <w:b w:val="0"/>
          <w:bCs w:val="0"/>
          <w:color w:val="auto"/>
          <w:spacing w:val="-6"/>
          <w:sz w:val="32"/>
          <w:szCs w:val="32"/>
          <w:lang w:val="zh-CN" w:eastAsia="zh-CN"/>
        </w:rPr>
        <w:t>赋码颁证工作经费使用的制度化、规范化、程序化要求，财务处理及时规范，会计核算准确无误。</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autoSpaceDE w:val="0"/>
        <w:adjustRightInd w:val="0"/>
        <w:snapToGrid w:val="0"/>
        <w:spacing w:line="576" w:lineRule="exact"/>
        <w:ind w:firstLine="720"/>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（一）项目组织架构及实施流程。</w:t>
      </w:r>
    </w:p>
    <w:p>
      <w:pPr>
        <w:autoSpaceDE w:val="0"/>
        <w:adjustRightInd w:val="0"/>
        <w:snapToGrid w:val="0"/>
        <w:spacing w:line="576" w:lineRule="exact"/>
        <w:ind w:firstLine="720"/>
        <w:rPr>
          <w:rFonts w:hint="eastAsia" w:ascii="楷体_GB2312" w:hAnsi="宋体" w:eastAsia="楷体_GB2312"/>
          <w:b w:val="0"/>
          <w:bCs/>
          <w:color w:val="auto"/>
          <w:sz w:val="32"/>
          <w:szCs w:val="32"/>
          <w:highlight w:val="none"/>
          <w:u w:val="none"/>
          <w:lang w:val="zh-CN"/>
        </w:rPr>
      </w:pPr>
      <w:r>
        <w:rPr>
          <w:rFonts w:hint="eastAsia" w:ascii="仿宋_GB2312" w:hAnsi="仿宋_GB2312" w:eastAsia="仿宋_GB2312" w:cs="仿宋_GB2312"/>
          <w:sz w:val="32"/>
          <w:szCs w:val="32"/>
          <w:lang w:val="zh-CN" w:eastAsia="zh-CN"/>
        </w:rPr>
        <w:t>为加强项目的监督、管理，切实将维护项目任务落到实处，我办实行经办人签字、分管领导审核签字、主要领导同意签字的程序流程，全面监督项目实施，确保项目资金及时拨付。</w:t>
      </w:r>
    </w:p>
    <w:p>
      <w:pPr>
        <w:numPr>
          <w:ilvl w:val="0"/>
          <w:numId w:val="13"/>
        </w:numPr>
        <w:autoSpaceDE w:val="0"/>
        <w:spacing w:line="576" w:lineRule="exact"/>
        <w:ind w:left="0" w:leftChars="0" w:firstLine="720" w:firstLineChars="0"/>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项目管理情况。</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该项目为保障性经费支出项目，其项目管理制度合并在我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财务管理制度、内控管理制度等规范性财务制度之下，未单独建立项目管理制度。</w:t>
      </w:r>
    </w:p>
    <w:p>
      <w:pPr>
        <w:keepNext w:val="0"/>
        <w:keepLines w:val="0"/>
        <w:pageBreakBefore w:val="0"/>
        <w:numPr>
          <w:ilvl w:val="0"/>
          <w:numId w:val="13"/>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项目监管情况。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0" w:leftChars="0" w:firstLine="640" w:firstLineChars="200"/>
        <w:textAlignment w:val="auto"/>
        <w:rPr>
          <w:rFonts w:hint="eastAsia" w:ascii="楷体_GB2312" w:hAnsi="宋体" w:eastAsia="楷体_GB2312"/>
          <w:b w:val="0"/>
          <w:bCs/>
          <w:color w:val="auto"/>
          <w:sz w:val="32"/>
          <w:szCs w:val="32"/>
          <w:highlight w:val="none"/>
          <w:u w:val="none"/>
          <w:lang w:val="zh-CN"/>
        </w:rPr>
      </w:pPr>
      <w:r>
        <w:rPr>
          <w:rFonts w:hint="eastAsia" w:ascii="仿宋_GB2312" w:hAnsi="仿宋_GB2312" w:eastAsia="仿宋_GB2312" w:cs="仿宋_GB2312"/>
          <w:sz w:val="32"/>
          <w:szCs w:val="32"/>
        </w:rPr>
        <w:t>项目资金使用方案由全体干部职工大会讨论决定，由</w:t>
      </w:r>
      <w:r>
        <w:rPr>
          <w:rFonts w:hint="eastAsia" w:hAnsi="仿宋_GB2312" w:cs="仿宋_GB2312"/>
          <w:sz w:val="32"/>
          <w:szCs w:val="32"/>
          <w:lang w:eastAsia="zh-CN"/>
        </w:rPr>
        <w:t>分管</w:t>
      </w:r>
      <w:r>
        <w:rPr>
          <w:rFonts w:hint="eastAsia" w:ascii="仿宋_GB2312" w:hAnsi="仿宋_GB2312" w:eastAsia="仿宋_GB2312" w:cs="仿宋_GB2312"/>
          <w:sz w:val="32"/>
          <w:szCs w:val="32"/>
        </w:rPr>
        <w:t>副主任牵头负责，</w:t>
      </w:r>
      <w:r>
        <w:rPr>
          <w:rFonts w:hint="eastAsia" w:hAnsi="仿宋_GB2312" w:cs="仿宋_GB2312"/>
          <w:sz w:val="32"/>
          <w:szCs w:val="32"/>
          <w:lang w:eastAsia="zh-CN"/>
        </w:rPr>
        <w:t>综合股</w:t>
      </w:r>
      <w:r>
        <w:rPr>
          <w:rFonts w:hint="eastAsia" w:ascii="仿宋_GB2312" w:hAnsi="仿宋_GB2312" w:eastAsia="仿宋_GB2312" w:cs="仿宋_GB2312"/>
          <w:sz w:val="32"/>
          <w:szCs w:val="32"/>
        </w:rPr>
        <w:t>负责日常业务及跟踪项目实施全过程，对实施效果进行客观评价。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（一）项目完成情况。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仿宋_GB2312" w:hAnsi="仿宋_GB2312" w:eastAsia="仿宋_GB2312" w:cs="仿宋_GB2312"/>
          <w:sz w:val="32"/>
          <w:szCs w:val="32"/>
          <w:lang w:val="zh-CN" w:eastAsia="zh-CN"/>
        </w:rPr>
        <w:t>统一社会信用代码赋码颁证项目预算</w:t>
      </w:r>
      <w:r>
        <w:rPr>
          <w:rFonts w:hint="eastAsia" w:ascii="仿宋_GB2312" w:hAnsi="仿宋_GB2312" w:eastAsia="仿宋_GB2312" w:cs="仿宋_GB2312"/>
          <w:sz w:val="32"/>
          <w:szCs w:val="32"/>
          <w:lang w:val="en-US" w:eastAsia="zh-CN"/>
        </w:rPr>
        <w:t>5万元，完成率100%</w:t>
      </w:r>
      <w:r>
        <w:rPr>
          <w:rFonts w:hint="eastAsia" w:ascii="仿宋_GB2312" w:hAnsi="仿宋_GB2312" w:eastAsia="仿宋_GB2312" w:cs="仿宋_GB2312"/>
          <w:sz w:val="32"/>
          <w:szCs w:val="32"/>
          <w:lang w:val="zh-CN" w:eastAsia="zh-CN"/>
        </w:rPr>
        <w:t>。主要为印制《机关群团统一社会信用代码证书》</w:t>
      </w:r>
      <w:r>
        <w:rPr>
          <w:rFonts w:hint="eastAsia" w:ascii="仿宋_GB2312" w:hAnsi="仿宋_GB2312" w:eastAsia="仿宋_GB2312" w:cs="仿宋_GB2312"/>
          <w:sz w:val="32"/>
          <w:szCs w:val="32"/>
          <w:lang w:val="en-US" w:eastAsia="zh-CN"/>
        </w:rPr>
        <w:t>600份、《事业单位法人证书》400份，确保机关、群团和事业单位统一社会信用代码赋码颁证工作正常有序开展。项目支出</w:t>
      </w:r>
      <w:r>
        <w:rPr>
          <w:rFonts w:hint="eastAsia" w:ascii="仿宋_GB2312" w:hAnsi="仿宋_GB2312" w:eastAsia="仿宋_GB2312" w:cs="仿宋_GB2312"/>
          <w:sz w:val="32"/>
          <w:szCs w:val="32"/>
          <w:lang w:val="zh-CN" w:eastAsia="zh-CN"/>
        </w:rPr>
        <w:t>用于支付印制</w:t>
      </w:r>
      <w:r>
        <w:rPr>
          <w:rFonts w:hint="eastAsia" w:ascii="仿宋_GB2312" w:hAnsi="Times New Roman" w:eastAsia="仿宋_GB2312" w:cs="Times New Roman"/>
          <w:b w:val="0"/>
          <w:bCs w:val="0"/>
          <w:color w:val="auto"/>
          <w:spacing w:val="-6"/>
          <w:sz w:val="32"/>
          <w:szCs w:val="32"/>
          <w:lang w:val="en-US" w:eastAsia="zh-CN"/>
        </w:rPr>
        <w:t>《机关群团统一社会信用代码证书》《事业单位法人证书》等证书及相关资料费用，共计支付5万元</w:t>
      </w:r>
      <w:r>
        <w:rPr>
          <w:rFonts w:hint="eastAsia" w:ascii="仿宋_GB2312" w:hAnsi="仿宋_GB2312" w:eastAsia="仿宋_GB2312" w:cs="仿宋_GB2312"/>
          <w:sz w:val="32"/>
          <w:szCs w:val="32"/>
          <w:lang w:val="en-US" w:eastAsia="zh-CN"/>
        </w:rPr>
        <w:t>。我办严格按照法规定完成了目标任务，项目实施效果达到预期目标，资金使用安全有效。</w:t>
      </w:r>
    </w:p>
    <w:p>
      <w:pPr>
        <w:keepNext w:val="0"/>
        <w:keepLines w:val="0"/>
        <w:pageBreakBefore w:val="0"/>
        <w:numPr>
          <w:ilvl w:val="0"/>
          <w:numId w:val="14"/>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项目效益情况。</w:t>
      </w: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楷体_GB2312" w:hAnsi="宋体" w:eastAsia="楷体_GB2312"/>
          <w:b w:val="0"/>
          <w:bCs/>
          <w:color w:val="auto"/>
          <w:sz w:val="32"/>
          <w:szCs w:val="32"/>
          <w:highlight w:val="none"/>
          <w:u w:val="none"/>
          <w:lang w:val="zh-CN"/>
        </w:rPr>
      </w:pPr>
      <w:r>
        <w:rPr>
          <w:rFonts w:hint="eastAsia" w:ascii="仿宋_GB2312" w:hAnsi="仿宋_GB2312" w:eastAsia="仿宋_GB2312" w:cs="仿宋_GB2312"/>
          <w:sz w:val="32"/>
          <w:szCs w:val="32"/>
          <w:lang w:val="en-US" w:eastAsia="zh-CN"/>
        </w:rPr>
        <w:t>2022年统一社会信用代码赋码颁证项目保障了全区机关、群团和事业单位统一社会信用代码证书赋码颁证的顺利开展，受服务对象、单位满意度达90%；项目实施科学合理，组织实施有序，监管有力到位，责任分工明确，确保了项目正常拨付，发挥了项目资金最大利益化，最大效益化，自评分为97分</w:t>
      </w:r>
      <w:r>
        <w:rPr>
          <w:rFonts w:hint="eastAsia" w:ascii="仿宋_GB2312" w:hAnsi="仿宋_GB2312" w:eastAsia="仿宋_GB2312" w:cs="仿宋_GB2312"/>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（一）评价结论。</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仿宋_GB2312" w:hAnsi="宋体" w:eastAsia="仿宋_GB2312" w:cs="Times New Roman"/>
          <w:w w:val="99"/>
          <w:sz w:val="32"/>
          <w:szCs w:val="32"/>
          <w:lang w:val="zh-CN" w:eastAsia="zh-CN"/>
        </w:rPr>
        <w:t>全区机关事业单位对社会统一信息代码赋码颁证管理工作满意度较高，满意率达</w:t>
      </w:r>
      <w:r>
        <w:rPr>
          <w:rFonts w:hint="eastAsia" w:ascii="仿宋_GB2312" w:hAnsi="宋体" w:eastAsia="仿宋_GB2312" w:cs="Times New Roman"/>
          <w:w w:val="99"/>
          <w:sz w:val="32"/>
          <w:szCs w:val="32"/>
          <w:lang w:val="en-US" w:eastAsia="zh-CN"/>
        </w:rPr>
        <w:t>90%以上，自评优。</w:t>
      </w:r>
    </w:p>
    <w:p>
      <w:pPr>
        <w:keepNext w:val="0"/>
        <w:keepLines w:val="0"/>
        <w:pageBreakBefore w:val="0"/>
        <w:numPr>
          <w:ilvl w:val="0"/>
          <w:numId w:val="15"/>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存在的问题。</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在对机关事业单位统一社会信用代码赋码颁证工作经费项目实施过程中，存在对机关事业单位统一社会信用代码赋码颁证工作重要性认识不够、后期工作落实不到位的问题。从业人员的业务素质还需进一步加强培训和提升。</w:t>
      </w:r>
    </w:p>
    <w:p>
      <w:pPr>
        <w:keepNext w:val="0"/>
        <w:keepLines w:val="0"/>
        <w:pageBreakBefore w:val="0"/>
        <w:numPr>
          <w:ilvl w:val="0"/>
          <w:numId w:val="15"/>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相关建议。</w:t>
      </w: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鉴于存在的问题，建议加强对统一社会信用代码赋码颁证工作重要性的宣传，正确规范使用统一社会信用代码证书。同时要加强对财务人员的培训，提升财务人员的业务能力。进一步加强管理，把项目资金用在刀刃上，发挥其应有的效用。</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720" w:leftChars="0"/>
        <w:textAlignment w:val="auto"/>
        <w:rPr>
          <w:rFonts w:hint="eastAsia" w:ascii="楷体_GB2312" w:hAnsi="宋体" w:eastAsia="楷体_GB2312"/>
          <w:b w:val="0"/>
          <w:bCs/>
          <w:color w:val="auto"/>
          <w:sz w:val="32"/>
          <w:szCs w:val="32"/>
          <w:highlight w:val="none"/>
          <w:u w:val="none"/>
          <w:lang w:val="zh-CN"/>
        </w:rPr>
      </w:pPr>
    </w:p>
    <w:p>
      <w:pPr>
        <w:pStyle w:val="5"/>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keepNext w:val="0"/>
        <w:keepLines w:val="0"/>
        <w:pageBreakBefore w:val="0"/>
        <w:kinsoku/>
        <w:wordWrap/>
        <w:overflowPunct/>
        <w:topLinePunct w:val="0"/>
        <w:autoSpaceDE w:val="0"/>
        <w:autoSpaceDN/>
        <w:bidi w:val="0"/>
        <w:adjustRightInd w:val="0"/>
        <w:snapToGrid w:val="0"/>
        <w:spacing w:line="576"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乡镇机构“扁平化”管理试点</w:t>
      </w:r>
      <w:r>
        <w:rPr>
          <w:rFonts w:hint="eastAsia" w:ascii="方正小标宋简体" w:hAnsi="方正小标宋简体" w:eastAsia="方正小标宋简体" w:cs="方正小标宋简体"/>
          <w:b w:val="0"/>
          <w:bCs w:val="0"/>
          <w:color w:val="000000"/>
          <w:kern w:val="0"/>
          <w:sz w:val="44"/>
          <w:szCs w:val="44"/>
        </w:rPr>
        <w:t>项目支出</w:t>
      </w:r>
    </w:p>
    <w:p>
      <w:pPr>
        <w:keepNext w:val="0"/>
        <w:keepLines w:val="0"/>
        <w:pageBreakBefore w:val="0"/>
        <w:kinsoku/>
        <w:wordWrap/>
        <w:overflowPunct/>
        <w:topLinePunct w:val="0"/>
        <w:autoSpaceDE w:val="0"/>
        <w:autoSpaceDN/>
        <w:bidi w:val="0"/>
        <w:adjustRightInd w:val="0"/>
        <w:snapToGrid w:val="0"/>
        <w:spacing w:line="576" w:lineRule="exact"/>
        <w:jc w:val="center"/>
        <w:textAlignment w:val="auto"/>
        <w:rPr>
          <w:rFonts w:ascii="方正小标宋简体" w:hAnsi="宋体" w:eastAsia="宋体" w:cs="Times New Roman"/>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绩效</w:t>
      </w:r>
      <w:r>
        <w:rPr>
          <w:rFonts w:hint="eastAsia" w:ascii="方正小标宋简体" w:hAnsi="方正小标宋简体" w:eastAsia="方正小标宋简体" w:cs="方正小标宋简体"/>
          <w:b w:val="0"/>
          <w:bCs w:val="0"/>
          <w:color w:val="000000"/>
          <w:kern w:val="0"/>
          <w:sz w:val="44"/>
          <w:szCs w:val="44"/>
          <w:lang w:eastAsia="zh-CN"/>
        </w:rPr>
        <w:t>自评报告</w:t>
      </w:r>
    </w:p>
    <w:p>
      <w:pPr>
        <w:pStyle w:val="5"/>
        <w:rPr>
          <w:rFonts w:hint="eastAsia" w:ascii="黑体" w:hAnsi="黑体" w:eastAsia="黑体"/>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color w:val="auto"/>
          <w:sz w:val="32"/>
          <w:szCs w:val="32"/>
          <w:highlight w:val="none"/>
          <w:lang w:val="en-US" w:eastAsia="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r>
        <w:rPr>
          <w:rFonts w:hint="eastAsia" w:ascii="黑体" w:hAnsi="宋体" w:eastAsia="黑体"/>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（一）项目基本情况。</w:t>
      </w:r>
    </w:p>
    <w:p>
      <w:pPr>
        <w:keepNext w:val="0"/>
        <w:keepLines w:val="0"/>
        <w:pageBreakBefore w:val="0"/>
        <w:kinsoku/>
        <w:wordWrap/>
        <w:overflowPunct/>
        <w:topLinePunct w:val="0"/>
        <w:autoSpaceDE w:val="0"/>
        <w:autoSpaceDN/>
        <w:bidi w:val="0"/>
        <w:adjustRightInd w:val="0"/>
        <w:snapToGrid w:val="0"/>
        <w:spacing w:line="576" w:lineRule="exact"/>
        <w:ind w:firstLine="616" w:firstLineChars="200"/>
        <w:textAlignment w:val="auto"/>
        <w:rPr>
          <w:rFonts w:hint="eastAsia" w:ascii="仿宋_GB2312" w:hAnsi="Times New Roman" w:eastAsia="仿宋_GB2312" w:cs="Times New Roman"/>
          <w:b w:val="0"/>
          <w:bCs w:val="0"/>
          <w:color w:val="auto"/>
          <w:spacing w:val="-6"/>
          <w:sz w:val="32"/>
          <w:szCs w:val="32"/>
          <w:lang w:val="en-US" w:eastAsia="zh-CN"/>
        </w:rPr>
      </w:pPr>
      <w:r>
        <w:rPr>
          <w:rFonts w:hint="eastAsia" w:ascii="仿宋_GB2312" w:hAnsi="Times New Roman" w:eastAsia="仿宋_GB2312" w:cs="Times New Roman"/>
          <w:b w:val="0"/>
          <w:bCs w:val="0"/>
          <w:color w:val="auto"/>
          <w:spacing w:val="-6"/>
          <w:sz w:val="32"/>
          <w:szCs w:val="32"/>
          <w:lang w:val="en-US" w:eastAsia="zh-CN"/>
        </w:rPr>
        <w:t>乡镇机构“扁平化”管理试点项目一是搭建扁平化管理模块。在现行的“9办5中心”和“7办4中心”机构设置模式基础上，构建党政综合、行政执法、财政管理、经济发展、社会事务、基层治理、便民服务在内的“2+1+4”等7个运行模块，升级改造阵地。二是实行全员定岗定责。统筹调配相关人员到各岗位开展工作，为3个试点乡镇统一规范制作人员岗位公开栏。打造乡镇综合执法指挥中心和信息平台，有效加强乡镇执法力量。三是优化服务机制。全面梳理形成乡镇政府承担的行政审批和便民服务事项工作清单，对1000余项行政权力进行了动态调整，推动实现“一枚印章管审批（服务）”“一个平台办业务”的便民服务运行机制。</w:t>
      </w:r>
    </w:p>
    <w:p>
      <w:pPr>
        <w:keepNext w:val="0"/>
        <w:keepLines w:val="0"/>
        <w:pageBreakBefore w:val="0"/>
        <w:numPr>
          <w:ilvl w:val="0"/>
          <w:numId w:val="16"/>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项目绩效目标。</w:t>
      </w:r>
    </w:p>
    <w:p>
      <w:pPr>
        <w:keepNext w:val="0"/>
        <w:keepLines w:val="0"/>
        <w:pageBreakBefore w:val="0"/>
        <w:kinsoku/>
        <w:wordWrap/>
        <w:overflowPunct/>
        <w:topLinePunct w:val="0"/>
        <w:autoSpaceDE w:val="0"/>
        <w:autoSpaceDN/>
        <w:bidi w:val="0"/>
        <w:adjustRightInd w:val="0"/>
        <w:snapToGrid w:val="0"/>
        <w:spacing w:line="576" w:lineRule="exact"/>
        <w:ind w:firstLine="616" w:firstLineChars="200"/>
        <w:textAlignment w:val="auto"/>
        <w:rPr>
          <w:rFonts w:hint="eastAsia" w:ascii="仿宋_GB2312" w:hAnsi="Times New Roman" w:eastAsia="仿宋_GB2312" w:cs="Times New Roman"/>
          <w:b w:val="0"/>
          <w:bCs w:val="0"/>
          <w:color w:val="auto"/>
          <w:spacing w:val="-6"/>
          <w:sz w:val="32"/>
          <w:szCs w:val="32"/>
          <w:lang w:val="zh-CN" w:eastAsia="zh-CN"/>
        </w:rPr>
      </w:pPr>
      <w:r>
        <w:rPr>
          <w:rFonts w:hint="eastAsia" w:ascii="仿宋_GB2312" w:hAnsi="Times New Roman" w:eastAsia="仿宋_GB2312" w:cs="Times New Roman"/>
          <w:b w:val="0"/>
          <w:bCs w:val="0"/>
          <w:color w:val="auto"/>
          <w:spacing w:val="-6"/>
          <w:sz w:val="32"/>
          <w:szCs w:val="32"/>
          <w:lang w:val="en-US" w:eastAsia="zh-CN"/>
        </w:rPr>
        <w:t>1.</w:t>
      </w:r>
      <w:r>
        <w:rPr>
          <w:rFonts w:hint="eastAsia" w:ascii="仿宋_GB2312" w:hAnsi="Times New Roman" w:eastAsia="仿宋_GB2312" w:cs="Times New Roman"/>
          <w:b w:val="0"/>
          <w:bCs w:val="0"/>
          <w:color w:val="auto"/>
          <w:spacing w:val="-6"/>
          <w:sz w:val="32"/>
          <w:szCs w:val="32"/>
          <w:lang w:val="zh-CN" w:eastAsia="zh-CN"/>
        </w:rPr>
        <w:t>乡镇机构“扁平化”管理试点项目经费主要用于：深入各乡镇开展调研12场次，组织乡镇人员到兄弟县区开展综合行政执法、“扁平化”管理学习调研5场次，到省委编办、市委编办对接汇报工作11次，组织乡镇、有关区级部门相关人员开展座谈、业务培训3场次。打造试点乡镇综合执法指挥中心3个，统一制作内设机构门牌105个、公开栏12张，制作并上墙制度牌、工作流程牌150张。印制宣传资料1000份、机构编制实名制手册500份。</w:t>
      </w:r>
    </w:p>
    <w:p>
      <w:pPr>
        <w:keepNext w:val="0"/>
        <w:keepLines w:val="0"/>
        <w:pageBreakBefore w:val="0"/>
        <w:kinsoku/>
        <w:wordWrap/>
        <w:overflowPunct/>
        <w:topLinePunct w:val="0"/>
        <w:autoSpaceDE w:val="0"/>
        <w:autoSpaceDN/>
        <w:bidi w:val="0"/>
        <w:adjustRightInd w:val="0"/>
        <w:snapToGrid w:val="0"/>
        <w:spacing w:line="576" w:lineRule="exact"/>
        <w:ind w:firstLine="616" w:firstLineChars="200"/>
        <w:textAlignment w:val="auto"/>
        <w:rPr>
          <w:rFonts w:hint="eastAsia" w:ascii="仿宋_GB2312" w:hAnsi="Times New Roman" w:eastAsia="仿宋_GB2312" w:cs="Times New Roman"/>
          <w:b w:val="0"/>
          <w:bCs w:val="0"/>
          <w:color w:val="auto"/>
          <w:spacing w:val="-6"/>
          <w:sz w:val="32"/>
          <w:szCs w:val="32"/>
          <w:lang w:val="en-US" w:eastAsia="zh-CN"/>
        </w:rPr>
      </w:pPr>
      <w:r>
        <w:rPr>
          <w:rFonts w:hint="eastAsia" w:ascii="仿宋_GB2312" w:hAnsi="Times New Roman" w:eastAsia="仿宋_GB2312" w:cs="Times New Roman"/>
          <w:b w:val="0"/>
          <w:bCs w:val="0"/>
          <w:color w:val="auto"/>
          <w:spacing w:val="-6"/>
          <w:sz w:val="32"/>
          <w:szCs w:val="32"/>
          <w:lang w:val="en-US" w:eastAsia="zh-CN"/>
        </w:rPr>
        <w:t>2.2022年</w:t>
      </w:r>
      <w:r>
        <w:rPr>
          <w:rFonts w:hint="eastAsia" w:ascii="仿宋_GB2312" w:hAnsi="Times New Roman" w:eastAsia="仿宋_GB2312" w:cs="Times New Roman"/>
          <w:b w:val="0"/>
          <w:bCs w:val="0"/>
          <w:color w:val="auto"/>
          <w:spacing w:val="-6"/>
          <w:sz w:val="32"/>
          <w:szCs w:val="32"/>
          <w:lang w:val="zh-CN" w:eastAsia="zh-CN"/>
        </w:rPr>
        <w:t>乡镇机构“扁平化”管理试点工作主要绩效目标为开展各类调研17余次，印制宣传资料1000份、机构编制实名制手册500份，机构门牌105个、公开栏12张、制度牌流程牌150张。</w:t>
      </w:r>
      <w:r>
        <w:rPr>
          <w:rFonts w:hint="eastAsia" w:ascii="仿宋_GB2312" w:hAnsi="Times New Roman" w:eastAsia="仿宋_GB2312" w:cs="Times New Roman"/>
          <w:b w:val="0"/>
          <w:bCs w:val="0"/>
          <w:color w:val="auto"/>
          <w:spacing w:val="-6"/>
          <w:sz w:val="32"/>
          <w:szCs w:val="32"/>
          <w:lang w:val="en-US" w:eastAsia="zh-CN"/>
        </w:rPr>
        <w:t>该项目为年末追加预算项目，于12月支付10万元，完成项目进度100%。</w:t>
      </w:r>
      <w:r>
        <w:rPr>
          <w:rFonts w:hint="eastAsia" w:ascii="仿宋_GB2312" w:hAnsi="Times New Roman" w:eastAsia="仿宋_GB2312" w:cs="Times New Roman"/>
          <w:b w:val="0"/>
          <w:bCs w:val="0"/>
          <w:color w:val="auto"/>
          <w:spacing w:val="-6"/>
          <w:sz w:val="32"/>
          <w:szCs w:val="32"/>
          <w:lang w:val="zh-CN" w:eastAsia="zh-CN"/>
        </w:rPr>
        <w:t>经费</w:t>
      </w:r>
      <w:r>
        <w:rPr>
          <w:rFonts w:hint="eastAsia" w:ascii="仿宋_GB2312" w:hAnsi="Times New Roman" w:eastAsia="仿宋_GB2312" w:cs="Times New Roman"/>
          <w:b w:val="0"/>
          <w:bCs w:val="0"/>
          <w:color w:val="auto"/>
          <w:spacing w:val="-6"/>
          <w:sz w:val="32"/>
          <w:szCs w:val="32"/>
          <w:lang w:val="en-US" w:eastAsia="zh-CN"/>
        </w:rPr>
        <w:t>有效有力推进试点乡镇“扁平化”管理，全面推动全区乡镇机构编制优化工作，确保乡镇机构“扁平化”管理取得实效。</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720" w:leftChars="0"/>
        <w:textAlignment w:val="auto"/>
        <w:rPr>
          <w:rFonts w:hint="eastAsia" w:ascii="楷体_GB2312" w:hAnsi="宋体" w:eastAsia="楷体_GB2312"/>
          <w:b w:val="0"/>
          <w:bCs/>
          <w:color w:val="auto"/>
          <w:sz w:val="32"/>
          <w:szCs w:val="32"/>
          <w:highlight w:val="none"/>
          <w:u w:val="none"/>
          <w:lang w:val="zh-CN"/>
        </w:rPr>
      </w:pPr>
      <w:r>
        <w:rPr>
          <w:rFonts w:hint="eastAsia" w:ascii="仿宋_GB2312" w:hAnsi="宋体" w:eastAsia="仿宋_GB2312" w:cs="Times New Roman"/>
          <w:w w:val="99"/>
          <w:sz w:val="32"/>
          <w:szCs w:val="32"/>
        </w:rPr>
        <w:t>3．</w:t>
      </w:r>
      <w:r>
        <w:rPr>
          <w:rFonts w:hint="eastAsia" w:ascii="仿宋_GB2312" w:hAnsi="仿宋_GB2312" w:eastAsia="仿宋_GB2312" w:cs="仿宋_GB2312"/>
          <w:bCs/>
          <w:spacing w:val="-6"/>
          <w:sz w:val="32"/>
          <w:szCs w:val="32"/>
          <w:lang w:eastAsia="zh-CN"/>
        </w:rPr>
        <w:t>乡镇机构“扁平化”管理试点项目</w:t>
      </w:r>
      <w:r>
        <w:rPr>
          <w:rFonts w:hint="eastAsia" w:ascii="仿宋_GB2312" w:hAnsi="仿宋_GB2312" w:eastAsia="仿宋_GB2312" w:cs="仿宋_GB2312"/>
          <w:color w:val="auto"/>
          <w:sz w:val="32"/>
          <w:szCs w:val="32"/>
          <w:highlight w:val="none"/>
          <w:lang w:val="en-US" w:eastAsia="zh-CN"/>
        </w:rPr>
        <w:t>与预算相符，具体实施内容与项目申报内容相符，申报目标合理可行。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val="0"/>
          <w:bCs/>
          <w:color w:val="auto"/>
          <w:w w:val="99"/>
          <w:sz w:val="32"/>
          <w:szCs w:val="32"/>
          <w:lang w:val="en-US" w:eastAsia="zh-CN"/>
        </w:rPr>
      </w:pPr>
      <w:r>
        <w:rPr>
          <w:rFonts w:hint="eastAsia" w:ascii="仿宋_GB2312" w:hAnsi="仿宋_GB2312" w:eastAsia="仿宋_GB2312" w:cs="仿宋_GB2312"/>
          <w:b w:val="0"/>
          <w:bCs/>
          <w:snapToGrid w:val="0"/>
          <w:color w:val="auto"/>
          <w:w w:val="100"/>
          <w:kern w:val="0"/>
          <w:sz w:val="32"/>
          <w:szCs w:val="32"/>
          <w:lang w:val="en-US" w:eastAsia="zh-CN"/>
        </w:rPr>
        <w:t>一是加强领导，成立以单位领导为组长，财务及项目管理人员为成员的自评工作组；二是组织实施，通过查阅资料、审核票据，看有无虚列支出、票据不规范的情况；三是考评结果，通过自评，得出考评分值，并查找问题，分析原因，提出整改意见。</w:t>
      </w:r>
      <w:r>
        <w:rPr>
          <w:rFonts w:hint="eastAsia" w:ascii="楷体_GB2312" w:hAnsi="宋体" w:eastAsia="楷体_GB2312" w:cs="Times New Roman"/>
          <w:b w:val="0"/>
          <w:bCs/>
          <w:color w:val="auto"/>
          <w:w w:val="99"/>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（一）项目资金申报及批复情况。</w:t>
      </w:r>
    </w:p>
    <w:p>
      <w:pPr>
        <w:keepNext w:val="0"/>
        <w:keepLines w:val="0"/>
        <w:pageBreakBefore w:val="0"/>
        <w:kinsoku/>
        <w:wordWrap/>
        <w:overflowPunct/>
        <w:topLinePunct w:val="0"/>
        <w:autoSpaceDE w:val="0"/>
        <w:autoSpaceDN/>
        <w:bidi w:val="0"/>
        <w:adjustRightInd w:val="0"/>
        <w:snapToGrid w:val="0"/>
        <w:spacing w:line="576" w:lineRule="exact"/>
        <w:ind w:firstLine="616" w:firstLineChars="200"/>
        <w:textAlignment w:val="auto"/>
        <w:rPr>
          <w:rFonts w:hint="default" w:eastAsia="仿宋_GB2312"/>
          <w:b w:val="0"/>
          <w:bCs w:val="0"/>
          <w:sz w:val="32"/>
          <w:szCs w:val="32"/>
          <w:lang w:val="en-US" w:eastAsia="zh-CN"/>
        </w:rPr>
      </w:pPr>
      <w:r>
        <w:rPr>
          <w:rFonts w:hint="eastAsia" w:ascii="仿宋_GB2312" w:hAnsi="Times New Roman" w:eastAsia="仿宋_GB2312" w:cs="Times New Roman"/>
          <w:b w:val="0"/>
          <w:bCs w:val="0"/>
          <w:color w:val="auto"/>
          <w:spacing w:val="-6"/>
          <w:sz w:val="32"/>
          <w:szCs w:val="32"/>
          <w:lang w:val="en-US" w:eastAsia="zh-CN"/>
        </w:rPr>
        <w:t>2022年度该项目年末追加预算资金为10万元，项目执行预算为10万元。项目测算在区委区政府的决策部署下，由我办根据前期工作情况测算项目标准。2022年度，我办该项目追加预算为10万元，年终无追加，项目执行预算为10万元。</w:t>
      </w:r>
    </w:p>
    <w:p>
      <w:pPr>
        <w:keepNext w:val="0"/>
        <w:keepLines w:val="0"/>
        <w:pageBreakBefore w:val="0"/>
        <w:numPr>
          <w:ilvl w:val="0"/>
          <w:numId w:val="17"/>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资金计划、到位及使用情况。</w:t>
      </w:r>
    </w:p>
    <w:p>
      <w:pPr>
        <w:keepNext w:val="0"/>
        <w:keepLines w:val="0"/>
        <w:pageBreakBefore w:val="0"/>
        <w:widowControl/>
        <w:kinsoku/>
        <w:wordWrap/>
        <w:overflowPunct/>
        <w:topLinePunct w:val="0"/>
        <w:autoSpaceDE/>
        <w:autoSpaceDN/>
        <w:bidi w:val="0"/>
        <w:adjustRightInd w:val="0"/>
        <w:snapToGrid w:val="0"/>
        <w:spacing w:line="576" w:lineRule="exact"/>
        <w:ind w:firstLine="616" w:firstLineChars="200"/>
        <w:jc w:val="left"/>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bCs/>
          <w:spacing w:val="-6"/>
          <w:sz w:val="32"/>
          <w:szCs w:val="32"/>
          <w:lang w:eastAsia="zh-CN"/>
        </w:rPr>
        <w:t>乡镇机构“扁平化”管理试点项目</w:t>
      </w:r>
      <w:r>
        <w:rPr>
          <w:rFonts w:hint="eastAsia" w:ascii="仿宋_GB2312" w:hAnsi="仿宋_GB2312" w:eastAsia="仿宋_GB2312" w:cs="仿宋_GB2312"/>
          <w:sz w:val="32"/>
          <w:szCs w:val="32"/>
          <w:lang w:eastAsia="zh-CN"/>
        </w:rPr>
        <w:t>费用于年末追加部门预算下达到本单位，我单位根据年度工作任务安排，在预算范围内提前向财政部门申请资金计划，在财政资金计划批复后，单位及时按预算下达，截止</w:t>
      </w:r>
      <w:r>
        <w:rPr>
          <w:rFonts w:hint="eastAsia" w:ascii="仿宋_GB2312" w:hAnsi="仿宋_GB2312" w:eastAsia="仿宋_GB2312" w:cs="仿宋_GB2312"/>
          <w:sz w:val="32"/>
          <w:szCs w:val="32"/>
          <w:lang w:val="en-US" w:eastAsia="zh-CN"/>
        </w:rPr>
        <w:t>2022年12月，10万元</w:t>
      </w:r>
      <w:r>
        <w:rPr>
          <w:rFonts w:hint="eastAsia" w:ascii="仿宋_GB2312" w:hAnsi="仿宋_GB2312" w:eastAsia="仿宋_GB2312" w:cs="仿宋_GB2312"/>
          <w:bCs/>
          <w:spacing w:val="-6"/>
          <w:sz w:val="32"/>
          <w:szCs w:val="32"/>
          <w:lang w:eastAsia="zh-CN"/>
        </w:rPr>
        <w:t>乡镇机构“扁平化”管理试点项目</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lang w:val="en-US" w:eastAsia="zh-CN"/>
        </w:rPr>
        <w:t>全部拨付到位。</w:t>
      </w:r>
      <w:r>
        <w:rPr>
          <w:rFonts w:hint="eastAsia" w:ascii="仿宋_GB2312" w:hAnsi="仿宋_GB2312" w:eastAsia="仿宋_GB2312" w:cs="仿宋_GB2312"/>
          <w:sz w:val="32"/>
          <w:szCs w:val="32"/>
        </w:rPr>
        <w:t>资金到位率100%。</w:t>
      </w:r>
    </w:p>
    <w:p>
      <w:pPr>
        <w:keepNext w:val="0"/>
        <w:keepLines w:val="0"/>
        <w:pageBreakBefore w:val="0"/>
        <w:kinsoku/>
        <w:wordWrap/>
        <w:overflowPunct/>
        <w:topLinePunct w:val="0"/>
        <w:autoSpaceDN/>
        <w:bidi w:val="0"/>
        <w:adjustRightInd w:val="0"/>
        <w:snapToGrid w:val="0"/>
        <w:spacing w:line="576" w:lineRule="exact"/>
        <w:ind w:firstLine="640"/>
        <w:textAlignment w:val="auto"/>
        <w:rPr>
          <w:rFonts w:hint="eastAsia" w:ascii="楷体_GB2312" w:hAnsi="宋体" w:eastAsia="楷体_GB2312"/>
          <w:b w:val="0"/>
          <w:bCs/>
          <w:color w:val="auto"/>
          <w:sz w:val="32"/>
          <w:szCs w:val="32"/>
          <w:highlight w:val="none"/>
          <w:u w:val="none"/>
          <w:lang w:val="zh-CN"/>
        </w:rPr>
      </w:pPr>
      <w:r>
        <w:rPr>
          <w:rFonts w:hint="eastAsia" w:ascii="仿宋_GB2312" w:hAnsi="Times New Roman" w:eastAsia="仿宋_GB2312" w:cs="Times New Roman"/>
          <w:spacing w:val="-6"/>
          <w:sz w:val="32"/>
          <w:szCs w:val="32"/>
        </w:rPr>
        <w:t>2.资金使用。</w:t>
      </w:r>
      <w:r>
        <w:rPr>
          <w:rFonts w:hint="eastAsia" w:ascii="仿宋_GB2312" w:hAnsi="仿宋_GB2312" w:eastAsia="仿宋_GB2312" w:cs="仿宋_GB2312"/>
          <w:sz w:val="32"/>
          <w:szCs w:val="32"/>
        </w:rPr>
        <w:t>本项经费，由财政局年</w:t>
      </w:r>
      <w:r>
        <w:rPr>
          <w:rFonts w:hint="eastAsia" w:ascii="仿宋_GB2312" w:hAnsi="仿宋_GB2312" w:eastAsia="仿宋_GB2312" w:cs="仿宋_GB2312"/>
          <w:sz w:val="32"/>
          <w:szCs w:val="32"/>
          <w:lang w:eastAsia="zh-CN"/>
        </w:rPr>
        <w:t>末追加预算</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万元下拨至我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，用于</w:t>
      </w:r>
      <w:r>
        <w:rPr>
          <w:rFonts w:hint="eastAsia" w:ascii="仿宋_GB2312" w:hAnsi="Times New Roman" w:eastAsia="仿宋_GB2312" w:cs="Times New Roman"/>
          <w:b w:val="0"/>
          <w:bCs w:val="0"/>
          <w:color w:val="auto"/>
          <w:spacing w:val="-6"/>
          <w:sz w:val="32"/>
          <w:szCs w:val="32"/>
          <w:lang w:val="en-US" w:eastAsia="zh-CN"/>
        </w:rPr>
        <w:t>搭建扁平化管理模块、实行全员定岗定责、优化服务机制等工作开展。</w:t>
      </w:r>
      <w:r>
        <w:rPr>
          <w:rFonts w:hint="eastAsia" w:ascii="仿宋_GB2312" w:hAnsi="Times New Roman" w:eastAsia="仿宋_GB2312" w:cs="Times New Roman"/>
          <w:b w:val="0"/>
          <w:bCs w:val="0"/>
          <w:color w:val="auto"/>
          <w:spacing w:val="-6"/>
          <w:sz w:val="32"/>
          <w:szCs w:val="32"/>
          <w:lang w:val="zh-CN" w:eastAsia="zh-CN"/>
        </w:rPr>
        <w:t>开展各类调研17余次，印制宣传资料1000份、机构编制实名制手册500份，机构门牌105个、公开栏12张、制度牌流程牌150张。</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12月，已完成各类调研</w:t>
      </w:r>
      <w:r>
        <w:rPr>
          <w:rFonts w:hint="eastAsia" w:ascii="仿宋_GB2312" w:hAnsi="Times New Roman" w:eastAsia="仿宋_GB2312" w:cs="Times New Roman"/>
          <w:b w:val="0"/>
          <w:bCs w:val="0"/>
          <w:color w:val="auto"/>
          <w:spacing w:val="-6"/>
          <w:sz w:val="32"/>
          <w:szCs w:val="32"/>
          <w:lang w:val="en-US" w:eastAsia="zh-CN"/>
        </w:rPr>
        <w:t>工作，印制宣传资料、机构编制实名制手册，机构门牌、公开栏、制度牌流程牌等工作。</w:t>
      </w:r>
      <w:r>
        <w:rPr>
          <w:rFonts w:hint="eastAsia" w:ascii="仿宋_GB2312" w:hAnsi="仿宋_GB2312" w:eastAsia="仿宋_GB2312" w:cs="仿宋_GB2312"/>
          <w:sz w:val="32"/>
          <w:szCs w:val="32"/>
          <w:lang w:eastAsia="zh-CN"/>
        </w:rPr>
        <w:t>资金于</w:t>
      </w:r>
      <w:r>
        <w:rPr>
          <w:rFonts w:hint="eastAsia" w:ascii="仿宋_GB2312" w:hAnsi="仿宋_GB2312" w:eastAsia="仿宋_GB2312" w:cs="仿宋_GB2312"/>
          <w:sz w:val="32"/>
          <w:szCs w:val="32"/>
          <w:lang w:val="en-US" w:eastAsia="zh-CN"/>
        </w:rPr>
        <w:t>12月支付10万元。</w:t>
      </w:r>
      <w:r>
        <w:rPr>
          <w:rFonts w:hint="eastAsia" w:ascii="仿宋_GB2312" w:hAnsi="仿宋_GB2312" w:eastAsia="仿宋_GB2312" w:cs="仿宋_GB2312"/>
          <w:sz w:val="32"/>
          <w:szCs w:val="32"/>
        </w:rPr>
        <w:t>项目资金无调整</w:t>
      </w:r>
      <w:r>
        <w:rPr>
          <w:rFonts w:hint="eastAsia" w:ascii="仿宋_GB2312" w:hAnsi="仿宋_GB2312" w:eastAsia="仿宋_GB2312" w:cs="仿宋_GB2312"/>
          <w:sz w:val="32"/>
          <w:szCs w:val="32"/>
          <w:lang w:eastAsia="zh-CN"/>
        </w:rPr>
        <w:t>，资金支付依据合规合法与预算相符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（三）项目财务管理情况。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仿宋_GB2312" w:hAnsi="仿宋_GB2312" w:eastAsia="仿宋_GB2312" w:cs="仿宋_GB2312"/>
          <w:sz w:val="32"/>
          <w:szCs w:val="32"/>
          <w:lang w:val="zh-CN" w:eastAsia="zh-CN"/>
        </w:rPr>
        <w:t>为加强项目的监督、管理，切实将维护项目任务落到实处，我办实行经办人签字、分管领导审核签字、主要领导同意签字的程序流程，全面监督项目实施，确保项目资金及时拨付</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autoSpaceDE w:val="0"/>
        <w:adjustRightInd w:val="0"/>
        <w:snapToGrid w:val="0"/>
        <w:spacing w:line="576" w:lineRule="exact"/>
        <w:ind w:firstLine="720"/>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（一）项目组织架构及实施流程。</w:t>
      </w:r>
    </w:p>
    <w:p>
      <w:pPr>
        <w:autoSpaceDE w:val="0"/>
        <w:adjustRightInd w:val="0"/>
        <w:snapToGrid w:val="0"/>
        <w:spacing w:line="576" w:lineRule="exact"/>
        <w:ind w:firstLine="720"/>
        <w:rPr>
          <w:rFonts w:hint="eastAsia" w:ascii="楷体_GB2312" w:hAnsi="宋体" w:eastAsia="楷体_GB2312"/>
          <w:b w:val="0"/>
          <w:bCs/>
          <w:color w:val="auto"/>
          <w:sz w:val="32"/>
          <w:szCs w:val="32"/>
          <w:highlight w:val="none"/>
          <w:u w:val="none"/>
          <w:lang w:val="zh-CN"/>
        </w:rPr>
      </w:pPr>
      <w:r>
        <w:rPr>
          <w:rFonts w:hint="eastAsia" w:ascii="仿宋_GB2312" w:hAnsi="仿宋_GB2312" w:eastAsia="仿宋_GB2312" w:cs="仿宋_GB2312"/>
          <w:sz w:val="32"/>
          <w:szCs w:val="32"/>
          <w:lang w:val="zh-CN" w:eastAsia="zh-CN"/>
        </w:rPr>
        <w:t>为加强项目的监督、管理，切实将维护项目任务落到实处，我办实行经办人签字、分管领导审核签字、主要领导同意签字的程序流程，全面监督项目实施，确保项目资金及时拨付。</w:t>
      </w:r>
    </w:p>
    <w:p>
      <w:pPr>
        <w:numPr>
          <w:ilvl w:val="0"/>
          <w:numId w:val="18"/>
        </w:numPr>
        <w:autoSpaceDE w:val="0"/>
        <w:spacing w:line="576" w:lineRule="exact"/>
        <w:ind w:left="0" w:leftChars="0" w:firstLine="720" w:firstLineChars="0"/>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项目管理情况。</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该项目为保障性经费支出项目，其项目管理制度合并在我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财务管理制度、内控管理制度等规范性财务制度之下，未单独建立项目管理制度。</w:t>
      </w:r>
    </w:p>
    <w:p>
      <w:pPr>
        <w:keepNext w:val="0"/>
        <w:keepLines w:val="0"/>
        <w:pageBreakBefore w:val="0"/>
        <w:numPr>
          <w:ilvl w:val="0"/>
          <w:numId w:val="18"/>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项目监管情况。</w:t>
      </w:r>
    </w:p>
    <w:p>
      <w:pPr>
        <w:autoSpaceDE w:val="0"/>
        <w:adjustRightInd w:val="0"/>
        <w:snapToGrid w:val="0"/>
        <w:spacing w:line="576" w:lineRule="exact"/>
        <w:ind w:firstLine="720"/>
        <w:rPr>
          <w:rFonts w:hint="eastAsia" w:ascii="楷体_GB2312" w:hAnsi="宋体" w:eastAsia="楷体_GB2312"/>
          <w:b w:val="0"/>
          <w:bCs/>
          <w:color w:val="auto"/>
          <w:sz w:val="32"/>
          <w:szCs w:val="32"/>
          <w:highlight w:val="none"/>
          <w:u w:val="none"/>
          <w:lang w:val="zh-CN"/>
        </w:rPr>
      </w:pPr>
      <w:r>
        <w:rPr>
          <w:rFonts w:hint="eastAsia" w:ascii="仿宋_GB2312" w:hAnsi="仿宋_GB2312" w:eastAsia="仿宋_GB2312" w:cs="仿宋_GB2312"/>
          <w:sz w:val="32"/>
          <w:szCs w:val="32"/>
        </w:rPr>
        <w:t>项目资金使用方案由全体干部职工大会讨论决定，由</w:t>
      </w:r>
      <w:r>
        <w:rPr>
          <w:rFonts w:hint="eastAsia" w:hAnsi="仿宋_GB2312" w:cs="仿宋_GB2312"/>
          <w:sz w:val="32"/>
          <w:szCs w:val="32"/>
          <w:lang w:eastAsia="zh-CN"/>
        </w:rPr>
        <w:t>分管</w:t>
      </w:r>
      <w:r>
        <w:rPr>
          <w:rFonts w:hint="eastAsia" w:ascii="仿宋_GB2312" w:hAnsi="仿宋_GB2312" w:eastAsia="仿宋_GB2312" w:cs="仿宋_GB2312"/>
          <w:sz w:val="32"/>
          <w:szCs w:val="32"/>
        </w:rPr>
        <w:t>副主任牵头负责，</w:t>
      </w:r>
      <w:r>
        <w:rPr>
          <w:rFonts w:hint="eastAsia" w:hAnsi="仿宋_GB2312" w:cs="仿宋_GB2312"/>
          <w:sz w:val="32"/>
          <w:szCs w:val="32"/>
          <w:lang w:eastAsia="zh-CN"/>
        </w:rPr>
        <w:t>综合股</w:t>
      </w:r>
      <w:r>
        <w:rPr>
          <w:rFonts w:hint="eastAsia" w:ascii="仿宋_GB2312" w:hAnsi="仿宋_GB2312" w:eastAsia="仿宋_GB2312" w:cs="仿宋_GB2312"/>
          <w:sz w:val="32"/>
          <w:szCs w:val="32"/>
        </w:rPr>
        <w:t>负责日常业务及跟踪项目实施全过程，对实施效果进行客观评价。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（一）项目完成情况。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仿宋_GB2312" w:hAnsi="Times New Roman" w:eastAsia="仿宋_GB2312" w:cs="Times New Roman"/>
          <w:b w:val="0"/>
          <w:bCs w:val="0"/>
          <w:color w:val="auto"/>
          <w:spacing w:val="-6"/>
          <w:sz w:val="32"/>
          <w:szCs w:val="32"/>
          <w:lang w:val="zh-CN" w:eastAsia="zh-CN"/>
        </w:rPr>
        <w:t>乡镇机构“扁平化”管理试点工作</w:t>
      </w:r>
      <w:r>
        <w:rPr>
          <w:rFonts w:hint="eastAsia" w:ascii="仿宋_GB2312" w:hAnsi="仿宋_GB2312" w:eastAsia="仿宋_GB2312" w:cs="仿宋_GB2312"/>
          <w:sz w:val="32"/>
          <w:szCs w:val="32"/>
          <w:lang w:val="zh-CN" w:eastAsia="zh-CN"/>
        </w:rPr>
        <w:t>项目预算</w:t>
      </w:r>
      <w:r>
        <w:rPr>
          <w:rFonts w:hint="eastAsia" w:ascii="仿宋_GB2312" w:hAnsi="仿宋_GB2312" w:eastAsia="仿宋_GB2312" w:cs="仿宋_GB2312"/>
          <w:sz w:val="32"/>
          <w:szCs w:val="32"/>
          <w:lang w:val="en-US" w:eastAsia="zh-CN"/>
        </w:rPr>
        <w:t>10万元，完成率100%</w:t>
      </w:r>
      <w:r>
        <w:rPr>
          <w:rFonts w:hint="eastAsia" w:ascii="仿宋_GB2312" w:hAnsi="仿宋_GB2312" w:eastAsia="仿宋_GB2312" w:cs="仿宋_GB2312"/>
          <w:sz w:val="32"/>
          <w:szCs w:val="32"/>
          <w:lang w:val="zh-CN" w:eastAsia="zh-CN"/>
        </w:rPr>
        <w:t>。主要为开展</w:t>
      </w:r>
      <w:r>
        <w:rPr>
          <w:rFonts w:hint="eastAsia" w:ascii="仿宋_GB2312" w:hAnsi="仿宋_GB2312" w:eastAsia="仿宋_GB2312" w:cs="仿宋_GB2312"/>
          <w:sz w:val="32"/>
          <w:szCs w:val="32"/>
          <w:lang w:val="en-US" w:eastAsia="zh-CN"/>
        </w:rPr>
        <w:t>各类调研</w:t>
      </w:r>
      <w:r>
        <w:rPr>
          <w:rFonts w:hint="eastAsia" w:ascii="仿宋_GB2312" w:hAnsi="Times New Roman" w:eastAsia="仿宋_GB2312" w:cs="Times New Roman"/>
          <w:b w:val="0"/>
          <w:bCs w:val="0"/>
          <w:color w:val="auto"/>
          <w:spacing w:val="-6"/>
          <w:sz w:val="32"/>
          <w:szCs w:val="32"/>
          <w:lang w:val="en-US" w:eastAsia="zh-CN"/>
        </w:rPr>
        <w:t>工作，印制宣传资料、机构编制实名制手册，机构门牌、公开栏、制度牌流程牌等工作</w:t>
      </w:r>
      <w:r>
        <w:rPr>
          <w:rFonts w:hint="eastAsia" w:ascii="仿宋_GB2312" w:hAnsi="仿宋_GB2312" w:eastAsia="仿宋_GB2312" w:cs="仿宋_GB2312"/>
          <w:sz w:val="32"/>
          <w:szCs w:val="32"/>
          <w:lang w:val="en-US" w:eastAsia="zh-CN"/>
        </w:rPr>
        <w:t>。项目支出</w:t>
      </w:r>
      <w:r>
        <w:rPr>
          <w:rFonts w:hint="eastAsia" w:ascii="仿宋_GB2312" w:hAnsi="仿宋_GB2312" w:eastAsia="仿宋_GB2312" w:cs="仿宋_GB2312"/>
          <w:sz w:val="32"/>
          <w:szCs w:val="32"/>
          <w:lang w:val="zh-CN" w:eastAsia="zh-CN"/>
        </w:rPr>
        <w:t>用于支付</w:t>
      </w:r>
      <w:r>
        <w:rPr>
          <w:rFonts w:hint="eastAsia" w:ascii="仿宋_GB2312" w:hAnsi="仿宋_GB2312" w:eastAsia="仿宋_GB2312" w:cs="仿宋_GB2312"/>
          <w:sz w:val="32"/>
          <w:szCs w:val="32"/>
          <w:lang w:val="en-US" w:eastAsia="zh-CN"/>
        </w:rPr>
        <w:t>各类调研</w:t>
      </w:r>
      <w:r>
        <w:rPr>
          <w:rFonts w:hint="eastAsia" w:ascii="仿宋_GB2312" w:hAnsi="Times New Roman" w:eastAsia="仿宋_GB2312" w:cs="Times New Roman"/>
          <w:b w:val="0"/>
          <w:bCs w:val="0"/>
          <w:color w:val="auto"/>
          <w:spacing w:val="-6"/>
          <w:sz w:val="32"/>
          <w:szCs w:val="32"/>
          <w:lang w:val="en-US" w:eastAsia="zh-CN"/>
        </w:rPr>
        <w:t>工作，印制宣传资料、机构编制实名制手册，机构门牌、公开栏、制度牌流程牌等费用，共计支付10万元</w:t>
      </w:r>
      <w:r>
        <w:rPr>
          <w:rFonts w:hint="eastAsia" w:ascii="仿宋_GB2312" w:hAnsi="仿宋_GB2312" w:eastAsia="仿宋_GB2312" w:cs="仿宋_GB2312"/>
          <w:sz w:val="32"/>
          <w:szCs w:val="32"/>
          <w:lang w:val="en-US" w:eastAsia="zh-CN"/>
        </w:rPr>
        <w:t>。我办严格按照法规定完成了目标任务，项目实施效果达到预期目标，资金使用安全有效。</w:t>
      </w:r>
    </w:p>
    <w:p>
      <w:pPr>
        <w:keepNext w:val="0"/>
        <w:keepLines w:val="0"/>
        <w:pageBreakBefore w:val="0"/>
        <w:numPr>
          <w:ilvl w:val="0"/>
          <w:numId w:val="19"/>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项目效益情况。</w:t>
      </w:r>
    </w:p>
    <w:p>
      <w:pPr>
        <w:keepNext w:val="0"/>
        <w:keepLines w:val="0"/>
        <w:pageBreakBefore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2022年乡镇机构“扁平化”管理试点项目有效有力推进试点乡镇“扁平化”管理，全面推动全区乡镇机构编制优化工作，受服务对象、单位满意度达90%；项目实施科学合理，组织实施有序，监管有力到位，责任分工明确，确保了项目正常拨付，发挥了项目资金最大利益化，最大效益化，自评分为97分</w:t>
      </w:r>
      <w:r>
        <w:rPr>
          <w:rFonts w:hint="eastAsia" w:ascii="仿宋_GB2312" w:hAnsi="仿宋_GB2312" w:eastAsia="仿宋_GB2312" w:cs="仿宋_GB2312"/>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（一）评价结论。</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仿宋_GB2312" w:hAnsi="宋体" w:eastAsia="仿宋_GB2312" w:cs="Times New Roman"/>
          <w:w w:val="99"/>
          <w:sz w:val="32"/>
          <w:szCs w:val="32"/>
          <w:lang w:val="zh-CN" w:eastAsia="zh-CN"/>
        </w:rPr>
        <w:t>乡镇机构“扁平化”管理实现项目工作满意度较高，满意率达</w:t>
      </w:r>
      <w:r>
        <w:rPr>
          <w:rFonts w:hint="eastAsia" w:ascii="仿宋_GB2312" w:hAnsi="宋体" w:eastAsia="仿宋_GB2312" w:cs="Times New Roman"/>
          <w:w w:val="99"/>
          <w:sz w:val="32"/>
          <w:szCs w:val="32"/>
          <w:lang w:val="en-US" w:eastAsia="zh-CN"/>
        </w:rPr>
        <w:t>90%以上，自评优。</w:t>
      </w:r>
    </w:p>
    <w:p>
      <w:pPr>
        <w:keepNext w:val="0"/>
        <w:keepLines w:val="0"/>
        <w:pageBreakBefore w:val="0"/>
        <w:numPr>
          <w:ilvl w:val="0"/>
          <w:numId w:val="20"/>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存在的问题。</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b w:val="0"/>
          <w:bCs/>
          <w:color w:val="auto"/>
          <w:sz w:val="32"/>
          <w:szCs w:val="32"/>
          <w:highlight w:val="none"/>
          <w:u w:val="none"/>
          <w:lang w:val="zh-CN"/>
        </w:rPr>
      </w:pPr>
      <w:r>
        <w:rPr>
          <w:rFonts w:hint="eastAsia" w:ascii="仿宋_GB2312" w:hAnsi="仿宋_GB2312" w:eastAsia="仿宋_GB2312" w:cs="仿宋_GB2312"/>
          <w:sz w:val="32"/>
          <w:szCs w:val="32"/>
          <w:lang w:val="en-US" w:eastAsia="zh-CN"/>
        </w:rPr>
        <w:t>在服务保障片区一体化发展，</w:t>
      </w:r>
      <w:r>
        <w:rPr>
          <w:rFonts w:hint="eastAsia" w:ascii="仿宋_GB2312" w:hAnsi="仿宋_GB2312" w:eastAsia="仿宋_GB2312" w:cs="仿宋_GB2312"/>
          <w:sz w:val="32"/>
          <w:szCs w:val="32"/>
        </w:rPr>
        <w:t>助力农业农村现代化和新型城镇化</w:t>
      </w:r>
      <w:r>
        <w:rPr>
          <w:rFonts w:hint="eastAsia" w:ascii="仿宋_GB2312" w:hAnsi="仿宋_GB2312" w:eastAsia="仿宋_GB2312" w:cs="仿宋_GB2312"/>
          <w:sz w:val="32"/>
          <w:szCs w:val="32"/>
          <w:lang w:eastAsia="zh-CN"/>
        </w:rPr>
        <w:t>建设等方面还有完善空间，机构编制部门要更为严谨的审视新形势下的矛盾，创新管理模式、健全协调机制、细化边界职责，</w:t>
      </w:r>
      <w:r>
        <w:rPr>
          <w:rFonts w:hint="eastAsia" w:ascii="仿宋_GB2312" w:hAnsi="仿宋_GB2312" w:eastAsia="仿宋_GB2312" w:cs="仿宋_GB2312"/>
          <w:sz w:val="32"/>
          <w:szCs w:val="32"/>
        </w:rPr>
        <w:t>为加快建设繁荣和谐美丽幸福</w:t>
      </w:r>
      <w:r>
        <w:rPr>
          <w:rFonts w:hint="eastAsia" w:ascii="仿宋_GB2312" w:hAnsi="仿宋_GB2312" w:eastAsia="仿宋_GB2312" w:cs="仿宋_GB2312"/>
          <w:sz w:val="32"/>
          <w:szCs w:val="32"/>
          <w:lang w:eastAsia="zh-CN"/>
        </w:rPr>
        <w:t>现代化</w:t>
      </w:r>
      <w:r>
        <w:rPr>
          <w:rFonts w:hint="eastAsia" w:ascii="仿宋_GB2312" w:hAnsi="仿宋_GB2312" w:eastAsia="仿宋_GB2312" w:cs="仿宋_GB2312"/>
          <w:sz w:val="32"/>
          <w:szCs w:val="32"/>
        </w:rPr>
        <w:t>朝天</w:t>
      </w:r>
      <w:r>
        <w:rPr>
          <w:rFonts w:hint="eastAsia" w:ascii="仿宋_GB2312" w:hAnsi="仿宋_GB2312" w:eastAsia="仿宋_GB2312" w:cs="仿宋_GB2312"/>
          <w:sz w:val="32"/>
          <w:szCs w:val="32"/>
          <w:lang w:eastAsia="zh-CN"/>
        </w:rPr>
        <w:t>提供坚实有力地体制机制保障。</w:t>
      </w:r>
    </w:p>
    <w:p>
      <w:pPr>
        <w:keepNext w:val="0"/>
        <w:keepLines w:val="0"/>
        <w:pageBreakBefore w:val="0"/>
        <w:numPr>
          <w:ilvl w:val="0"/>
          <w:numId w:val="20"/>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楷体_GB2312" w:hAnsi="宋体" w:eastAsia="楷体_GB2312"/>
          <w:b w:val="0"/>
          <w:bCs/>
          <w:color w:val="auto"/>
          <w:sz w:val="32"/>
          <w:szCs w:val="32"/>
          <w:highlight w:val="none"/>
          <w:u w:val="none"/>
          <w:lang w:val="zh-CN"/>
        </w:rPr>
      </w:pPr>
      <w:r>
        <w:rPr>
          <w:rFonts w:hint="eastAsia" w:ascii="楷体_GB2312" w:hAnsi="宋体" w:eastAsia="楷体_GB2312"/>
          <w:b w:val="0"/>
          <w:bCs/>
          <w:color w:val="auto"/>
          <w:sz w:val="32"/>
          <w:szCs w:val="32"/>
          <w:highlight w:val="none"/>
          <w:u w:val="none"/>
          <w:lang w:val="zh-CN"/>
        </w:rPr>
        <w:t>相关建议。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2" w:firstLineChars="200"/>
        <w:textAlignment w:val="auto"/>
        <w:rPr>
          <w:rFonts w:hint="eastAsia" w:ascii="楷体_GB2312" w:hAnsi="宋体" w:eastAsia="楷体_GB2312"/>
          <w:b w:val="0"/>
          <w:bCs/>
          <w:color w:val="auto"/>
          <w:sz w:val="32"/>
          <w:szCs w:val="32"/>
          <w:highlight w:val="none"/>
          <w:u w:val="none"/>
          <w:lang w:val="zh-CN"/>
        </w:rPr>
      </w:pPr>
      <w:r>
        <w:rPr>
          <w:rFonts w:hint="eastAsia" w:ascii="仿宋_GB2312" w:hAnsi="仿宋_GB2312" w:eastAsia="仿宋_GB2312" w:cs="仿宋_GB2312"/>
          <w:b w:val="0"/>
          <w:bCs/>
          <w:w w:val="99"/>
          <w:sz w:val="32"/>
          <w:szCs w:val="32"/>
          <w:lang w:eastAsia="zh-CN"/>
        </w:rPr>
        <w:t>一是</w:t>
      </w:r>
      <w:r>
        <w:rPr>
          <w:rFonts w:hint="eastAsia" w:ascii="仿宋_GB2312" w:hAnsi="仿宋_GB2312" w:eastAsia="仿宋_GB2312" w:cs="仿宋_GB2312"/>
          <w:sz w:val="32"/>
          <w:szCs w:val="32"/>
          <w:lang w:eastAsia="zh-CN"/>
        </w:rPr>
        <w:t>立足优势，实现管理由粗犷向精细的转变，二是</w:t>
      </w:r>
      <w:r>
        <w:rPr>
          <w:rFonts w:hint="eastAsia" w:ascii="仿宋_GB2312" w:hAnsi="仿宋_GB2312" w:eastAsia="仿宋_GB2312" w:cs="仿宋_GB2312"/>
          <w:sz w:val="32"/>
          <w:szCs w:val="32"/>
          <w:lang w:val="en-US" w:eastAsia="zh-CN"/>
        </w:rPr>
        <w:t>强化联动，实现协调由配合到融合的转变，三是减负增效，实现考评由单一向复合的转变。</w:t>
      </w:r>
    </w:p>
    <w:p>
      <w:pPr>
        <w:pStyle w:val="5"/>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bookmarkStart w:id="88" w:name="_Toc24361"/>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 xml:space="preserve">五部分 </w:t>
      </w:r>
      <w:r>
        <w:rPr>
          <w:rStyle w:val="29"/>
          <w:rFonts w:hint="eastAsia" w:ascii="黑体" w:hAnsi="黑体" w:eastAsia="黑体"/>
          <w:b w:val="0"/>
          <w:color w:val="auto"/>
          <w:highlight w:val="none"/>
          <w:lang w:val="en-US" w:eastAsia="zh-CN"/>
        </w:rPr>
        <w:t xml:space="preserve"> </w:t>
      </w:r>
      <w:r>
        <w:rPr>
          <w:rStyle w:val="29"/>
          <w:rFonts w:hint="eastAsia" w:ascii="黑体" w:hAnsi="黑体" w:eastAsia="黑体"/>
          <w:b w:val="0"/>
          <w:color w:val="auto"/>
          <w:highlight w:val="none"/>
        </w:rPr>
        <w:t>附表</w:t>
      </w:r>
      <w:bookmarkEnd w:id="81"/>
      <w:bookmarkEnd w:id="86"/>
      <w:bookmarkEnd w:id="88"/>
      <w:bookmarkStart w:id="89" w:name="_Toc15396619"/>
    </w:p>
    <w:p>
      <w:pPr>
        <w:pStyle w:val="3"/>
        <w:rPr>
          <w:rFonts w:ascii="仿宋" w:hAnsi="仿宋" w:eastAsia="仿宋"/>
          <w:color w:val="auto"/>
          <w:highlight w:val="none"/>
        </w:rPr>
      </w:pPr>
      <w:bookmarkStart w:id="90" w:name="_Toc30149"/>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89"/>
      <w:bookmarkEnd w:id="90"/>
    </w:p>
    <w:p>
      <w:pPr>
        <w:pStyle w:val="3"/>
        <w:rPr>
          <w:rFonts w:ascii="仿宋" w:hAnsi="仿宋" w:eastAsia="仿宋"/>
          <w:color w:val="auto"/>
          <w:highlight w:val="none"/>
        </w:rPr>
      </w:pPr>
      <w:bookmarkStart w:id="91" w:name="_Toc6924"/>
      <w:bookmarkStart w:id="92" w:name="_Toc15396620"/>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91"/>
      <w:bookmarkEnd w:id="92"/>
    </w:p>
    <w:p>
      <w:pPr>
        <w:pStyle w:val="3"/>
        <w:rPr>
          <w:rFonts w:ascii="仿宋" w:hAnsi="仿宋" w:eastAsia="仿宋"/>
          <w:color w:val="auto"/>
          <w:highlight w:val="none"/>
        </w:rPr>
      </w:pPr>
      <w:bookmarkStart w:id="93" w:name="_Toc15829"/>
      <w:bookmarkStart w:id="94" w:name="_Toc15396621"/>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93"/>
      <w:bookmarkEnd w:id="94"/>
    </w:p>
    <w:p>
      <w:pPr>
        <w:pStyle w:val="3"/>
        <w:rPr>
          <w:rFonts w:ascii="仿宋" w:hAnsi="仿宋" w:eastAsia="仿宋"/>
          <w:b w:val="0"/>
          <w:color w:val="auto"/>
          <w:highlight w:val="none"/>
        </w:rPr>
      </w:pPr>
      <w:bookmarkStart w:id="95" w:name="_Toc29643"/>
      <w:bookmarkStart w:id="96" w:name="_Toc15396622"/>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95"/>
      <w:bookmarkEnd w:id="96"/>
    </w:p>
    <w:p>
      <w:pPr>
        <w:pStyle w:val="3"/>
        <w:rPr>
          <w:rStyle w:val="30"/>
          <w:rFonts w:ascii="仿宋" w:hAnsi="仿宋" w:eastAsia="仿宋"/>
          <w:b w:val="0"/>
          <w:bCs w:val="0"/>
          <w:color w:val="auto"/>
          <w:highlight w:val="none"/>
        </w:rPr>
      </w:pPr>
      <w:bookmarkStart w:id="97" w:name="_Toc15396623"/>
      <w:bookmarkStart w:id="98" w:name="_Toc13415"/>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97"/>
      <w:bookmarkEnd w:id="98"/>
      <w:bookmarkStart w:id="99" w:name="_Toc15396624"/>
    </w:p>
    <w:p>
      <w:pPr>
        <w:pStyle w:val="3"/>
        <w:rPr>
          <w:rFonts w:ascii="仿宋" w:hAnsi="仿宋" w:eastAsia="仿宋"/>
          <w:color w:val="auto"/>
          <w:highlight w:val="none"/>
        </w:rPr>
      </w:pPr>
      <w:bookmarkStart w:id="100" w:name="_Toc21194"/>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99"/>
      <w:bookmarkEnd w:id="100"/>
    </w:p>
    <w:p>
      <w:pPr>
        <w:pStyle w:val="3"/>
        <w:rPr>
          <w:rFonts w:ascii="仿宋" w:hAnsi="仿宋" w:eastAsia="仿宋"/>
          <w:color w:val="auto"/>
          <w:highlight w:val="none"/>
        </w:rPr>
      </w:pPr>
      <w:bookmarkStart w:id="101" w:name="_Toc15396625"/>
      <w:bookmarkStart w:id="102" w:name="_Toc32750"/>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101"/>
      <w:bookmarkEnd w:id="102"/>
    </w:p>
    <w:p>
      <w:pPr>
        <w:pStyle w:val="3"/>
        <w:rPr>
          <w:rFonts w:ascii="仿宋" w:hAnsi="仿宋" w:eastAsia="仿宋"/>
          <w:color w:val="auto"/>
          <w:highlight w:val="none"/>
        </w:rPr>
      </w:pPr>
      <w:bookmarkStart w:id="103" w:name="_Toc15396626"/>
      <w:bookmarkStart w:id="104" w:name="_Toc9412"/>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103"/>
      <w:bookmarkEnd w:id="104"/>
    </w:p>
    <w:p>
      <w:pPr>
        <w:pStyle w:val="3"/>
        <w:rPr>
          <w:rFonts w:ascii="仿宋" w:hAnsi="仿宋" w:eastAsia="仿宋"/>
          <w:color w:val="auto"/>
          <w:highlight w:val="none"/>
        </w:rPr>
      </w:pPr>
      <w:bookmarkStart w:id="105" w:name="_Toc15396627"/>
      <w:bookmarkStart w:id="106" w:name="_Toc8688"/>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105"/>
      <w:bookmarkEnd w:id="106"/>
    </w:p>
    <w:p>
      <w:pPr>
        <w:pStyle w:val="3"/>
        <w:rPr>
          <w:rFonts w:ascii="仿宋" w:hAnsi="仿宋" w:eastAsia="仿宋"/>
          <w:color w:val="auto"/>
          <w:highlight w:val="none"/>
        </w:rPr>
      </w:pPr>
      <w:bookmarkStart w:id="107" w:name="_Toc15396628"/>
      <w:bookmarkStart w:id="108" w:name="_Toc22040"/>
      <w:r>
        <w:rPr>
          <w:rStyle w:val="30"/>
          <w:rFonts w:hint="eastAsia" w:ascii="仿宋" w:hAnsi="仿宋" w:eastAsia="仿宋"/>
          <w:b w:val="0"/>
          <w:bCs w:val="0"/>
          <w:color w:val="auto"/>
          <w:highlight w:val="none"/>
        </w:rPr>
        <w:t>十、</w:t>
      </w:r>
      <w:bookmarkEnd w:id="107"/>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bookmarkEnd w:id="108"/>
    </w:p>
    <w:p>
      <w:pPr>
        <w:pStyle w:val="3"/>
        <w:rPr>
          <w:rFonts w:ascii="仿宋" w:hAnsi="仿宋" w:eastAsia="仿宋"/>
          <w:color w:val="auto"/>
          <w:highlight w:val="none"/>
        </w:rPr>
      </w:pPr>
      <w:bookmarkStart w:id="109" w:name="_Toc15396629"/>
      <w:bookmarkStart w:id="110" w:name="_Toc10892"/>
      <w:r>
        <w:rPr>
          <w:rStyle w:val="30"/>
          <w:rFonts w:hint="eastAsia" w:ascii="仿宋" w:hAnsi="仿宋" w:eastAsia="仿宋"/>
          <w:b w:val="0"/>
          <w:bCs w:val="0"/>
          <w:color w:val="auto"/>
          <w:highlight w:val="none"/>
        </w:rPr>
        <w:t>十一、</w:t>
      </w:r>
      <w:bookmarkEnd w:id="109"/>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bookmarkEnd w:id="110"/>
    </w:p>
    <w:p>
      <w:pPr>
        <w:pStyle w:val="3"/>
        <w:rPr>
          <w:rFonts w:ascii="仿宋" w:hAnsi="仿宋" w:eastAsia="仿宋"/>
          <w:color w:val="auto"/>
          <w:highlight w:val="none"/>
        </w:rPr>
      </w:pPr>
      <w:bookmarkStart w:id="111" w:name="_Toc15396630"/>
      <w:bookmarkStart w:id="112" w:name="_Toc16030"/>
      <w:r>
        <w:rPr>
          <w:rStyle w:val="30"/>
          <w:rFonts w:hint="eastAsia" w:ascii="仿宋" w:hAnsi="仿宋" w:eastAsia="仿宋"/>
          <w:b w:val="0"/>
          <w:bCs w:val="0"/>
          <w:color w:val="auto"/>
          <w:highlight w:val="none"/>
        </w:rPr>
        <w:t>十二、</w:t>
      </w:r>
      <w:bookmarkEnd w:id="111"/>
      <w:r>
        <w:rPr>
          <w:rStyle w:val="30"/>
          <w:rFonts w:hint="eastAsia" w:ascii="仿宋" w:hAnsi="仿宋" w:eastAsia="仿宋"/>
          <w:b w:val="0"/>
          <w:bCs w:val="0"/>
          <w:color w:val="auto"/>
          <w:highlight w:val="none"/>
          <w:lang w:eastAsia="zh-CN"/>
        </w:rPr>
        <w:t>国有资本经营预算财政拨款支出决算表</w:t>
      </w:r>
      <w:bookmarkEnd w:id="112"/>
    </w:p>
    <w:p>
      <w:pPr>
        <w:pStyle w:val="3"/>
        <w:rPr>
          <w:rFonts w:hint="eastAsia" w:eastAsia="仿宋"/>
          <w:color w:val="auto"/>
          <w:highlight w:val="none"/>
          <w:lang w:eastAsia="zh-CN"/>
        </w:rPr>
      </w:pPr>
      <w:bookmarkStart w:id="113" w:name="_Toc15396631"/>
      <w:bookmarkStart w:id="114" w:name="_Toc24973"/>
      <w:r>
        <w:rPr>
          <w:rStyle w:val="30"/>
          <w:rFonts w:hint="eastAsia" w:ascii="仿宋" w:hAnsi="仿宋" w:eastAsia="仿宋"/>
          <w:b w:val="0"/>
          <w:bCs w:val="0"/>
          <w:color w:val="auto"/>
          <w:highlight w:val="none"/>
        </w:rPr>
        <w:t>十三、</w:t>
      </w:r>
      <w:bookmarkEnd w:id="113"/>
      <w:r>
        <w:rPr>
          <w:rStyle w:val="30"/>
          <w:rFonts w:hint="eastAsia" w:ascii="仿宋" w:hAnsi="仿宋" w:eastAsia="仿宋"/>
          <w:b w:val="0"/>
          <w:bCs w:val="0"/>
          <w:color w:val="auto"/>
          <w:highlight w:val="none"/>
          <w:lang w:eastAsia="zh-CN"/>
        </w:rPr>
        <w:t>财政拨款“三公”经费支出决算表</w:t>
      </w:r>
      <w:bookmarkEnd w:id="114"/>
    </w:p>
    <w:sectPr>
      <w:headerReference r:id="rId3" w:type="default"/>
      <w:footerReference r:id="rId4" w:type="default"/>
      <w:pgSz w:w="11906" w:h="16838"/>
      <w:pgMar w:top="2098" w:right="1474" w:bottom="1984" w:left="158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Comic Sans MS">
    <w:panose1 w:val="030F0702030302020204"/>
    <w:charset w:val="00"/>
    <w:family w:val="auto"/>
    <w:pitch w:val="default"/>
    <w:sig w:usb0="00000287" w:usb1="00000000" w:usb2="00000000" w:usb3="00000000" w:csb0="2000009F"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5D2AA"/>
    <w:multiLevelType w:val="singleLevel"/>
    <w:tmpl w:val="9D25D2AA"/>
    <w:lvl w:ilvl="0" w:tentative="0">
      <w:start w:val="2"/>
      <w:numFmt w:val="chineseCounting"/>
      <w:suff w:val="nothing"/>
      <w:lvlText w:val="（%1）"/>
      <w:lvlJc w:val="left"/>
      <w:rPr>
        <w:rFonts w:hint="eastAsia"/>
      </w:rPr>
    </w:lvl>
  </w:abstractNum>
  <w:abstractNum w:abstractNumId="1">
    <w:nsid w:val="9EA5EFD2"/>
    <w:multiLevelType w:val="singleLevel"/>
    <w:tmpl w:val="9EA5EFD2"/>
    <w:lvl w:ilvl="0" w:tentative="0">
      <w:start w:val="2"/>
      <w:numFmt w:val="chineseCounting"/>
      <w:suff w:val="nothing"/>
      <w:lvlText w:val="（%1）"/>
      <w:lvlJc w:val="left"/>
      <w:rPr>
        <w:rFonts w:hint="eastAsia"/>
      </w:rPr>
    </w:lvl>
  </w:abstractNum>
  <w:abstractNum w:abstractNumId="2">
    <w:nsid w:val="9FA21D9C"/>
    <w:multiLevelType w:val="singleLevel"/>
    <w:tmpl w:val="9FA21D9C"/>
    <w:lvl w:ilvl="0" w:tentative="0">
      <w:start w:val="2"/>
      <w:numFmt w:val="chineseCounting"/>
      <w:suff w:val="nothing"/>
      <w:lvlText w:val="（%1）"/>
      <w:lvlJc w:val="left"/>
      <w:rPr>
        <w:rFonts w:hint="eastAsia"/>
      </w:rPr>
    </w:lvl>
  </w:abstractNum>
  <w:abstractNum w:abstractNumId="3">
    <w:nsid w:val="A16BEBD1"/>
    <w:multiLevelType w:val="singleLevel"/>
    <w:tmpl w:val="A16BEBD1"/>
    <w:lvl w:ilvl="0" w:tentative="0">
      <w:start w:val="2"/>
      <w:numFmt w:val="chineseCounting"/>
      <w:suff w:val="nothing"/>
      <w:lvlText w:val="（%1）"/>
      <w:lvlJc w:val="left"/>
      <w:rPr>
        <w:rFonts w:hint="eastAsia"/>
      </w:rPr>
    </w:lvl>
  </w:abstractNum>
  <w:abstractNum w:abstractNumId="4">
    <w:nsid w:val="B4D15C43"/>
    <w:multiLevelType w:val="singleLevel"/>
    <w:tmpl w:val="B4D15C43"/>
    <w:lvl w:ilvl="0" w:tentative="0">
      <w:start w:val="2"/>
      <w:numFmt w:val="chineseCounting"/>
      <w:suff w:val="nothing"/>
      <w:lvlText w:val="（%1）"/>
      <w:lvlJc w:val="left"/>
      <w:rPr>
        <w:rFonts w:hint="eastAsia"/>
      </w:rPr>
    </w:lvl>
  </w:abstractNum>
  <w:abstractNum w:abstractNumId="5">
    <w:nsid w:val="B59B32D5"/>
    <w:multiLevelType w:val="singleLevel"/>
    <w:tmpl w:val="B59B32D5"/>
    <w:lvl w:ilvl="0" w:tentative="0">
      <w:start w:val="2"/>
      <w:numFmt w:val="chineseCounting"/>
      <w:suff w:val="nothing"/>
      <w:lvlText w:val="（%1）"/>
      <w:lvlJc w:val="left"/>
      <w:rPr>
        <w:rFonts w:hint="eastAsia"/>
      </w:rPr>
    </w:lvl>
  </w:abstractNum>
  <w:abstractNum w:abstractNumId="6">
    <w:nsid w:val="CF652CEC"/>
    <w:multiLevelType w:val="singleLevel"/>
    <w:tmpl w:val="CF652CEC"/>
    <w:lvl w:ilvl="0" w:tentative="0">
      <w:start w:val="9"/>
      <w:numFmt w:val="chineseCounting"/>
      <w:suff w:val="nothing"/>
      <w:lvlText w:val="%1、"/>
      <w:lvlJc w:val="left"/>
      <w:rPr>
        <w:rFonts w:hint="eastAsia"/>
      </w:rPr>
    </w:lvl>
  </w:abstractNum>
  <w:abstractNum w:abstractNumId="7">
    <w:nsid w:val="DC672A0B"/>
    <w:multiLevelType w:val="singleLevel"/>
    <w:tmpl w:val="DC672A0B"/>
    <w:lvl w:ilvl="0" w:tentative="0">
      <w:start w:val="2"/>
      <w:numFmt w:val="chineseCounting"/>
      <w:suff w:val="nothing"/>
      <w:lvlText w:val="（%1）"/>
      <w:lvlJc w:val="left"/>
      <w:rPr>
        <w:rFonts w:hint="eastAsia"/>
      </w:rPr>
    </w:lvl>
  </w:abstractNum>
  <w:abstractNum w:abstractNumId="8">
    <w:nsid w:val="DEBEF323"/>
    <w:multiLevelType w:val="singleLevel"/>
    <w:tmpl w:val="DEBEF323"/>
    <w:lvl w:ilvl="0" w:tentative="0">
      <w:start w:val="4"/>
      <w:numFmt w:val="chineseCounting"/>
      <w:suff w:val="nothing"/>
      <w:lvlText w:val="（%1）"/>
      <w:lvlJc w:val="left"/>
      <w:rPr>
        <w:rFonts w:hint="eastAsia"/>
      </w:rPr>
    </w:lvl>
  </w:abstractNum>
  <w:abstractNum w:abstractNumId="9">
    <w:nsid w:val="E2FA047D"/>
    <w:multiLevelType w:val="singleLevel"/>
    <w:tmpl w:val="E2FA047D"/>
    <w:lvl w:ilvl="0" w:tentative="0">
      <w:start w:val="3"/>
      <w:numFmt w:val="chineseCounting"/>
      <w:suff w:val="space"/>
      <w:lvlText w:val="第%1部分"/>
      <w:lvlJc w:val="left"/>
      <w:rPr>
        <w:rFonts w:hint="eastAsia"/>
      </w:rPr>
    </w:lvl>
  </w:abstractNum>
  <w:abstractNum w:abstractNumId="10">
    <w:nsid w:val="EAFF6D38"/>
    <w:multiLevelType w:val="singleLevel"/>
    <w:tmpl w:val="EAFF6D38"/>
    <w:lvl w:ilvl="0" w:tentative="0">
      <w:start w:val="2"/>
      <w:numFmt w:val="chineseCounting"/>
      <w:suff w:val="nothing"/>
      <w:lvlText w:val="（%1）"/>
      <w:lvlJc w:val="left"/>
      <w:rPr>
        <w:rFonts w:hint="eastAsia"/>
      </w:rPr>
    </w:lvl>
  </w:abstractNum>
  <w:abstractNum w:abstractNumId="11">
    <w:nsid w:val="F8AEAEB0"/>
    <w:multiLevelType w:val="singleLevel"/>
    <w:tmpl w:val="F8AEAEB0"/>
    <w:lvl w:ilvl="0" w:tentative="0">
      <w:start w:val="2"/>
      <w:numFmt w:val="chineseCounting"/>
      <w:suff w:val="nothing"/>
      <w:lvlText w:val="（%1）"/>
      <w:lvlJc w:val="left"/>
      <w:rPr>
        <w:rFonts w:hint="eastAsia"/>
      </w:rPr>
    </w:lvl>
  </w:abstractNum>
  <w:abstractNum w:abstractNumId="12">
    <w:nsid w:val="FFF674BC"/>
    <w:multiLevelType w:val="singleLevel"/>
    <w:tmpl w:val="FFF674BC"/>
    <w:lvl w:ilvl="0" w:tentative="0">
      <w:start w:val="1"/>
      <w:numFmt w:val="chineseCounting"/>
      <w:suff w:val="nothing"/>
      <w:lvlText w:val="%1、"/>
      <w:lvlJc w:val="left"/>
      <w:rPr>
        <w:rFonts w:hint="eastAsia"/>
      </w:rPr>
    </w:lvl>
  </w:abstractNum>
  <w:abstractNum w:abstractNumId="13">
    <w:nsid w:val="00D02D7B"/>
    <w:multiLevelType w:val="singleLevel"/>
    <w:tmpl w:val="00D02D7B"/>
    <w:lvl w:ilvl="0" w:tentative="0">
      <w:start w:val="2"/>
      <w:numFmt w:val="chineseCounting"/>
      <w:suff w:val="nothing"/>
      <w:lvlText w:val="（%1）"/>
      <w:lvlJc w:val="left"/>
      <w:rPr>
        <w:rFonts w:hint="eastAsia"/>
      </w:rPr>
    </w:lvl>
  </w:abstractNum>
  <w:abstractNum w:abstractNumId="1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5">
    <w:nsid w:val="3A8349FF"/>
    <w:multiLevelType w:val="singleLevel"/>
    <w:tmpl w:val="3A8349FF"/>
    <w:lvl w:ilvl="0" w:tentative="0">
      <w:start w:val="2"/>
      <w:numFmt w:val="chineseCounting"/>
      <w:suff w:val="nothing"/>
      <w:lvlText w:val="（%1）"/>
      <w:lvlJc w:val="left"/>
      <w:rPr>
        <w:rFonts w:hint="eastAsia"/>
      </w:rPr>
    </w:lvl>
  </w:abstractNum>
  <w:abstractNum w:abstractNumId="16">
    <w:nsid w:val="3E9A7066"/>
    <w:multiLevelType w:val="singleLevel"/>
    <w:tmpl w:val="3E9A7066"/>
    <w:lvl w:ilvl="0" w:tentative="0">
      <w:start w:val="2"/>
      <w:numFmt w:val="chineseCounting"/>
      <w:suff w:val="nothing"/>
      <w:lvlText w:val="（%1）"/>
      <w:lvlJc w:val="left"/>
      <w:rPr>
        <w:rFonts w:hint="eastAsia"/>
      </w:rPr>
    </w:lvl>
  </w:abstractNum>
  <w:abstractNum w:abstractNumId="17">
    <w:nsid w:val="48C9B38E"/>
    <w:multiLevelType w:val="singleLevel"/>
    <w:tmpl w:val="48C9B38E"/>
    <w:lvl w:ilvl="0" w:tentative="0">
      <w:start w:val="2"/>
      <w:numFmt w:val="chineseCounting"/>
      <w:suff w:val="nothing"/>
      <w:lvlText w:val="（%1）"/>
      <w:lvlJc w:val="left"/>
      <w:rPr>
        <w:rFonts w:hint="eastAsia"/>
      </w:rPr>
    </w:lvl>
  </w:abstractNum>
  <w:abstractNum w:abstractNumId="18">
    <w:nsid w:val="4B02A5C3"/>
    <w:multiLevelType w:val="singleLevel"/>
    <w:tmpl w:val="4B02A5C3"/>
    <w:lvl w:ilvl="0" w:tentative="0">
      <w:start w:val="2"/>
      <w:numFmt w:val="chineseCounting"/>
      <w:suff w:val="nothing"/>
      <w:lvlText w:val="（%1）"/>
      <w:lvlJc w:val="left"/>
      <w:rPr>
        <w:rFonts w:hint="eastAsia"/>
      </w:rPr>
    </w:lvl>
  </w:abstractNum>
  <w:abstractNum w:abstractNumId="19">
    <w:nsid w:val="70CC4A5E"/>
    <w:multiLevelType w:val="singleLevel"/>
    <w:tmpl w:val="70CC4A5E"/>
    <w:lvl w:ilvl="0" w:tentative="0">
      <w:start w:val="2"/>
      <w:numFmt w:val="chineseCounting"/>
      <w:suff w:val="nothing"/>
      <w:lvlText w:val="（%1）"/>
      <w:lvlJc w:val="left"/>
      <w:rPr>
        <w:rFonts w:hint="eastAsia"/>
      </w:rPr>
    </w:lvl>
  </w:abstractNum>
  <w:num w:numId="1">
    <w:abstractNumId w:val="14"/>
  </w:num>
  <w:num w:numId="2">
    <w:abstractNumId w:val="6"/>
  </w:num>
  <w:num w:numId="3">
    <w:abstractNumId w:val="9"/>
  </w:num>
  <w:num w:numId="4">
    <w:abstractNumId w:val="12"/>
  </w:num>
  <w:num w:numId="5">
    <w:abstractNumId w:val="5"/>
  </w:num>
  <w:num w:numId="6">
    <w:abstractNumId w:val="8"/>
  </w:num>
  <w:num w:numId="7">
    <w:abstractNumId w:val="0"/>
  </w:num>
  <w:num w:numId="8">
    <w:abstractNumId w:val="1"/>
  </w:num>
  <w:num w:numId="9">
    <w:abstractNumId w:val="7"/>
  </w:num>
  <w:num w:numId="10">
    <w:abstractNumId w:val="13"/>
  </w:num>
  <w:num w:numId="11">
    <w:abstractNumId w:val="11"/>
  </w:num>
  <w:num w:numId="12">
    <w:abstractNumId w:val="19"/>
  </w:num>
  <w:num w:numId="13">
    <w:abstractNumId w:val="4"/>
  </w:num>
  <w:num w:numId="14">
    <w:abstractNumId w:val="18"/>
  </w:num>
  <w:num w:numId="15">
    <w:abstractNumId w:val="15"/>
  </w:num>
  <w:num w:numId="16">
    <w:abstractNumId w:val="10"/>
  </w:num>
  <w:num w:numId="17">
    <w:abstractNumId w:val="16"/>
  </w:num>
  <w:num w:numId="18">
    <w:abstractNumId w:val="17"/>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6CE1DB6"/>
    <w:rsid w:val="07996F6E"/>
    <w:rsid w:val="08147C9D"/>
    <w:rsid w:val="0A2032A3"/>
    <w:rsid w:val="0B50723E"/>
    <w:rsid w:val="0C041EBB"/>
    <w:rsid w:val="0C193AD3"/>
    <w:rsid w:val="0DB02216"/>
    <w:rsid w:val="0E963B01"/>
    <w:rsid w:val="0F98263C"/>
    <w:rsid w:val="101860EC"/>
    <w:rsid w:val="10BC5375"/>
    <w:rsid w:val="10C055FF"/>
    <w:rsid w:val="114E06C3"/>
    <w:rsid w:val="117D6EAB"/>
    <w:rsid w:val="118107EC"/>
    <w:rsid w:val="13D50BC4"/>
    <w:rsid w:val="16BB723D"/>
    <w:rsid w:val="172A4DE7"/>
    <w:rsid w:val="1A654388"/>
    <w:rsid w:val="1BA64C58"/>
    <w:rsid w:val="1BE8440E"/>
    <w:rsid w:val="1D155CEE"/>
    <w:rsid w:val="1E91399D"/>
    <w:rsid w:val="1FEB5BA5"/>
    <w:rsid w:val="1FF35744"/>
    <w:rsid w:val="20E35366"/>
    <w:rsid w:val="23860B96"/>
    <w:rsid w:val="23DA1943"/>
    <w:rsid w:val="240371BF"/>
    <w:rsid w:val="255A71DF"/>
    <w:rsid w:val="28EC2844"/>
    <w:rsid w:val="29FD04D3"/>
    <w:rsid w:val="2BFFDBDC"/>
    <w:rsid w:val="2C2220D9"/>
    <w:rsid w:val="2C8A61B5"/>
    <w:rsid w:val="2DF04E50"/>
    <w:rsid w:val="2F040D46"/>
    <w:rsid w:val="319F7F4E"/>
    <w:rsid w:val="3304709D"/>
    <w:rsid w:val="342D5ABF"/>
    <w:rsid w:val="35E46651"/>
    <w:rsid w:val="36AA5135"/>
    <w:rsid w:val="376D39B2"/>
    <w:rsid w:val="37C30C14"/>
    <w:rsid w:val="37E16F03"/>
    <w:rsid w:val="38D469F0"/>
    <w:rsid w:val="3BC10678"/>
    <w:rsid w:val="3BD0624B"/>
    <w:rsid w:val="3D98207C"/>
    <w:rsid w:val="3DD26374"/>
    <w:rsid w:val="3E78745D"/>
    <w:rsid w:val="409E2E1A"/>
    <w:rsid w:val="423B4EB4"/>
    <w:rsid w:val="44E268DA"/>
    <w:rsid w:val="45311741"/>
    <w:rsid w:val="45C85647"/>
    <w:rsid w:val="47CE22DB"/>
    <w:rsid w:val="48272928"/>
    <w:rsid w:val="48C540C0"/>
    <w:rsid w:val="4A627F82"/>
    <w:rsid w:val="4AA743C5"/>
    <w:rsid w:val="4B0E749A"/>
    <w:rsid w:val="4B386DCB"/>
    <w:rsid w:val="4B4F25DA"/>
    <w:rsid w:val="4BDA2D54"/>
    <w:rsid w:val="4BE068DB"/>
    <w:rsid w:val="4D577224"/>
    <w:rsid w:val="4EAB630A"/>
    <w:rsid w:val="4ECE2238"/>
    <w:rsid w:val="4FF260E2"/>
    <w:rsid w:val="52923265"/>
    <w:rsid w:val="537E6D0A"/>
    <w:rsid w:val="539A1508"/>
    <w:rsid w:val="5AF92295"/>
    <w:rsid w:val="5C6914DA"/>
    <w:rsid w:val="5CD71FC4"/>
    <w:rsid w:val="5F13572D"/>
    <w:rsid w:val="5F495770"/>
    <w:rsid w:val="622F287E"/>
    <w:rsid w:val="625D535B"/>
    <w:rsid w:val="6C4A05C8"/>
    <w:rsid w:val="6E7E3605"/>
    <w:rsid w:val="6EEE775B"/>
    <w:rsid w:val="6FF5CC65"/>
    <w:rsid w:val="715C0E4B"/>
    <w:rsid w:val="72734D90"/>
    <w:rsid w:val="73AD73D5"/>
    <w:rsid w:val="73B6EB34"/>
    <w:rsid w:val="744731E5"/>
    <w:rsid w:val="76041EC3"/>
    <w:rsid w:val="76E3355F"/>
    <w:rsid w:val="778769C8"/>
    <w:rsid w:val="79EE5BA4"/>
    <w:rsid w:val="7A894339"/>
    <w:rsid w:val="7CC83BA3"/>
    <w:rsid w:val="7EEF11D3"/>
    <w:rsid w:val="7F4B57D8"/>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next w:val="1"/>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able of figures"/>
    <w:basedOn w:val="1"/>
    <w:next w:val="1"/>
    <w:semiHidden/>
    <w:qFormat/>
    <w:uiPriority w:val="0"/>
    <w:pPr>
      <w:ind w:leftChars="200" w:hanging="200" w:hangingChars="200"/>
    </w:p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2"/>
    <w:qFormat/>
    <w:uiPriority w:val="9"/>
    <w:rPr>
      <w:rFonts w:ascii="Times New Roman" w:hAnsi="Times New Roman"/>
      <w:b/>
      <w:bCs/>
      <w:kern w:val="44"/>
      <w:sz w:val="44"/>
      <w:szCs w:val="44"/>
    </w:rPr>
  </w:style>
  <w:style w:type="character" w:customStyle="1" w:styleId="30">
    <w:name w:val="标题 2 Char"/>
    <w:basedOn w:val="17"/>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4"/>
    <w:qFormat/>
    <w:uiPriority w:val="9"/>
    <w:rPr>
      <w:rFonts w:ascii="Times New Roman" w:hAnsi="Times New Roman"/>
      <w:b/>
      <w:bCs/>
      <w:kern w:val="2"/>
      <w:sz w:val="32"/>
      <w:szCs w:val="32"/>
    </w:rPr>
  </w:style>
  <w:style w:type="paragraph" w:customStyle="1" w:styleId="3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 w:type="paragraph" w:customStyle="1" w:styleId="37">
    <w:name w:val="WPSOffice手动目录 2"/>
    <w:qFormat/>
    <w:uiPriority w:val="0"/>
    <w:pPr>
      <w:ind w:leftChars="200"/>
    </w:pPr>
    <w:rPr>
      <w:rFonts w:asciiTheme="minorHAnsi" w:hAnsiTheme="minorHAnsi" w:eastAsiaTheme="minorEastAsia" w:cstheme="minorBidi"/>
      <w:sz w:val="20"/>
      <w:szCs w:val="20"/>
    </w:rPr>
  </w:style>
  <w:style w:type="paragraph" w:customStyle="1" w:styleId="38">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收入支出决算总体情况说明图</a:t>
            </a:r>
            <a:r>
              <a:rPr lang="en-US" altLang="zh-CN"/>
              <a:t>                </a:t>
            </a:r>
            <a:r>
              <a:t>（单位：万元）</a:t>
            </a:r>
          </a:p>
        </c:rich>
      </c:tx>
      <c:layout>
        <c:manualLayout>
          <c:xMode val="edge"/>
          <c:yMode val="edge"/>
          <c:x val="0.221171307506053"/>
          <c:y val="0.0262636273538157"/>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2021年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财政预算收入</c:v>
                </c:pt>
                <c:pt idx="1">
                  <c:v>其他收入</c:v>
                </c:pt>
                <c:pt idx="2">
                  <c:v>合计</c:v>
                </c:pt>
              </c:strCache>
            </c:strRef>
          </c:cat>
          <c:val>
            <c:numRef>
              <c:f>Sheet1!$B$2:$B$5</c:f>
              <c:numCache>
                <c:formatCode>General</c:formatCode>
                <c:ptCount val="4"/>
                <c:pt idx="0">
                  <c:v>211.25</c:v>
                </c:pt>
                <c:pt idx="1">
                  <c:v>0</c:v>
                </c:pt>
                <c:pt idx="2">
                  <c:v>211.25</c:v>
                </c:pt>
              </c:numCache>
            </c:numRef>
          </c:val>
        </c:ser>
        <c:ser>
          <c:idx val="1"/>
          <c:order val="1"/>
          <c:tx>
            <c:strRef>
              <c:f>Sheet1!$C$1</c:f>
              <c:strCache>
                <c:ptCount val="1"/>
                <c:pt idx="0">
                  <c:v>2022年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财政预算收入</c:v>
                </c:pt>
                <c:pt idx="1">
                  <c:v>其他收入</c:v>
                </c:pt>
                <c:pt idx="2">
                  <c:v>合计</c:v>
                </c:pt>
              </c:strCache>
            </c:strRef>
          </c:cat>
          <c:val>
            <c:numRef>
              <c:f>Sheet1!$C$2:$C$5</c:f>
              <c:numCache>
                <c:formatCode>General</c:formatCode>
                <c:ptCount val="4"/>
                <c:pt idx="0">
                  <c:v>242.87</c:v>
                </c:pt>
                <c:pt idx="1">
                  <c:v>0.02</c:v>
                </c:pt>
                <c:pt idx="2">
                  <c:v>242.89</c:v>
                </c:pt>
              </c:numCache>
            </c:numRef>
          </c:val>
        </c:ser>
        <c:ser>
          <c:idx val="2"/>
          <c:order val="2"/>
          <c:tx>
            <c:strRef>
              <c:f>Sheet1!$D$1</c:f>
              <c:strCache>
                <c:ptCount val="1"/>
                <c:pt idx="0">
                  <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财政预算收入</c:v>
                </c:pt>
                <c:pt idx="1">
                  <c:v>其他收入</c:v>
                </c:pt>
                <c:pt idx="2">
                  <c:v>合计</c:v>
                </c:pt>
              </c:strCache>
            </c:strRef>
          </c:cat>
          <c:val>
            <c:numRef>
              <c:f>Sheet1!$D$2:$D$5</c:f>
              <c:numCache>
                <c:formatCode>General</c:formatCode>
                <c:ptCount val="4"/>
              </c:numCache>
            </c:numRef>
          </c:val>
        </c:ser>
        <c:dLbls>
          <c:showLegendKey val="false"/>
          <c:showVal val="true"/>
          <c:showCatName val="false"/>
          <c:showSerName val="false"/>
          <c:showPercent val="false"/>
          <c:showBubbleSize val="false"/>
        </c:dLbls>
        <c:gapWidth val="219"/>
        <c:overlap val="-27"/>
        <c:axId val="661542622"/>
        <c:axId val="585056913"/>
      </c:barChart>
      <c:catAx>
        <c:axId val="66154262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85056913"/>
        <c:crosses val="autoZero"/>
        <c:auto val="true"/>
        <c:lblAlgn val="ctr"/>
        <c:lblOffset val="100"/>
        <c:noMultiLvlLbl val="false"/>
      </c:catAx>
      <c:valAx>
        <c:axId val="58505691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61542622"/>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2022年收入决算情况说明图（单位：万元）</a:t>
            </a:r>
          </a:p>
        </c:rich>
      </c:tx>
      <c:layout/>
      <c:overlay val="false"/>
      <c:spPr>
        <a:noFill/>
        <a:ln>
          <a:noFill/>
        </a:ln>
        <a:effectLst/>
      </c:spPr>
    </c:title>
    <c:autoTitleDeleted val="false"/>
    <c:plotArea>
      <c:layout/>
      <c:pieChart>
        <c:varyColors val="true"/>
        <c:ser>
          <c:idx val="0"/>
          <c:order val="0"/>
          <c:tx>
            <c:strRef>
              <c:f>Sheet1!$B$1</c:f>
              <c:strCache>
                <c:ptCount val="1"/>
                <c:pt idx="0">
                  <c:v>2022年支出决算情况说明图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Lbl>
              <c:idx val="2"/>
              <c:delete val="true"/>
            </c:dLbl>
            <c:dLbl>
              <c:idx val="3"/>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一般公共预算财政拨款收入242.87万元，占99.99%。</c:v>
                </c:pt>
                <c:pt idx="1">
                  <c:v>其他收入0.02万元，占0.01％</c:v>
                </c:pt>
              </c:strCache>
            </c:strRef>
          </c:cat>
          <c:val>
            <c:numRef>
              <c:f>Sheet1!$B$2:$B$5</c:f>
              <c:numCache>
                <c:formatCode>General</c:formatCode>
                <c:ptCount val="4"/>
                <c:pt idx="0">
                  <c:v>242.87</c:v>
                </c:pt>
                <c:pt idx="1">
                  <c:v>0.02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2"/>
        <c:delete val="true"/>
      </c:legendEntry>
      <c:legendEntry>
        <c:idx val="3"/>
        <c:delete val="true"/>
      </c:legendEntry>
      <c:layout>
        <c:manualLayout>
          <c:xMode val="edge"/>
          <c:yMode val="edge"/>
          <c:x val="0.283396667641041"/>
          <c:y val="0.757185559898827"/>
          <c:w val="0.433352820812628"/>
          <c:h val="0.23591630259829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2022年支出决算情况说明图（单位：万元）</a:t>
            </a:r>
          </a:p>
        </c:rich>
      </c:tx>
      <c:layout/>
      <c:overlay val="false"/>
      <c:spPr>
        <a:noFill/>
        <a:ln>
          <a:noFill/>
        </a:ln>
        <a:effectLst/>
      </c:spPr>
    </c:title>
    <c:autoTitleDeleted val="false"/>
    <c:plotArea>
      <c:layout/>
      <c:pieChart>
        <c:varyColors val="true"/>
        <c:ser>
          <c:idx val="0"/>
          <c:order val="0"/>
          <c:tx>
            <c:strRef>
              <c:f>Sheet1!$B$1</c:f>
              <c:strCache>
                <c:ptCount val="1"/>
                <c:pt idx="0">
                  <c:v>2022年支出决算情况说明图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Lbl>
              <c:idx val="2"/>
              <c:delete val="true"/>
            </c:dLbl>
            <c:dLbl>
              <c:idx val="3"/>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基本支出91.67％</c:v>
                </c:pt>
                <c:pt idx="1">
                  <c:v>项目支出8.33％</c:v>
                </c:pt>
              </c:strCache>
            </c:strRef>
          </c:cat>
          <c:val>
            <c:numRef>
              <c:f>Sheet1!$B$2:$B$5</c:f>
              <c:numCache>
                <c:formatCode>General</c:formatCode>
                <c:ptCount val="4"/>
                <c:pt idx="0">
                  <c:v>222.65</c:v>
                </c:pt>
                <c:pt idx="1">
                  <c:v>20.24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2"/>
        <c:delete val="true"/>
      </c:legendEntry>
      <c:legendEntry>
        <c:idx val="3"/>
        <c:delete val="true"/>
      </c:legendEntry>
      <c:layout>
        <c:manualLayout>
          <c:xMode val="edge"/>
          <c:yMode val="edge"/>
          <c:x val="0.283396667641041"/>
          <c:y val="0.757185559898827"/>
          <c:w val="0.433352820812628"/>
          <c:h val="0.23591630259829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财政拨款收入支出决算总体情况说明图</a:t>
            </a:r>
            <a:r>
              <a:rPr lang="en-US" altLang="zh-CN"/>
              <a:t>   </a:t>
            </a:r>
            <a:r>
              <a:rPr altLang="zh-CN"/>
              <a:t>（单位：万元）</a:t>
            </a:r>
            <a:endParaRPr altLang="zh-CN"/>
          </a:p>
        </c:rich>
      </c:tx>
      <c:layout/>
      <c:overlay val="false"/>
      <c:spPr>
        <a:noFill/>
        <a:ln>
          <a:noFill/>
        </a:ln>
        <a:effectLst/>
      </c:spPr>
    </c:title>
    <c:autoTitleDeleted val="false"/>
    <c:plotArea>
      <c:layout/>
      <c:barChart>
        <c:barDir val="col"/>
        <c:grouping val="stacked"/>
        <c:varyColors val="false"/>
        <c:ser>
          <c:idx val="0"/>
          <c:order val="0"/>
          <c:tx>
            <c:strRef>
              <c:f>Sheet1!$B$1</c:f>
              <c:strCache>
                <c:ptCount val="1"/>
                <c:pt idx="0">
                  <c:v/>
                </c:pt>
              </c:strCache>
            </c:strRef>
          </c:tx>
          <c:spPr>
            <a:solidFill>
              <a:schemeClr val="accent1"/>
            </a:solidFill>
            <a:ln>
              <a:noFill/>
            </a:ln>
            <a:effectLst/>
          </c:spPr>
          <c:invertIfNegative val="false"/>
          <c:dPt>
            <c:idx val="0"/>
            <c:invertIfNegative val="false"/>
            <c:bubble3D val="false"/>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Sheet1!$A$2:$A$5</c:f>
              <c:strCache>
                <c:ptCount val="4"/>
                <c:pt idx="0">
                  <c:v>2021年</c:v>
                </c:pt>
                <c:pt idx="1">
                  <c:v>2022年</c:v>
                </c:pt>
              </c:strCache>
            </c:strRef>
          </c:cat>
          <c:val>
            <c:numRef>
              <c:f>Sheet1!$B$2:$B$5</c:f>
              <c:numCache>
                <c:formatCode>General</c:formatCode>
                <c:ptCount val="4"/>
                <c:pt idx="0">
                  <c:v>211.25</c:v>
                </c:pt>
                <c:pt idx="1">
                  <c:v>242.87</c:v>
                </c:pt>
              </c:numCache>
            </c:numRef>
          </c:val>
        </c:ser>
        <c:dLbls>
          <c:showLegendKey val="false"/>
          <c:showVal val="true"/>
          <c:showCatName val="false"/>
          <c:showSerName val="false"/>
          <c:showPercent val="false"/>
          <c:showBubbleSize val="false"/>
        </c:dLbls>
        <c:gapWidth val="150"/>
        <c:overlap val="100"/>
        <c:axId val="166254464"/>
        <c:axId val="166256000"/>
      </c:barChart>
      <c:catAx>
        <c:axId val="166254464"/>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6256000"/>
        <c:crosses val="autoZero"/>
        <c:auto val="true"/>
        <c:lblAlgn val="ctr"/>
        <c:lblOffset val="100"/>
        <c:noMultiLvlLbl val="false"/>
      </c:catAx>
      <c:valAx>
        <c:axId val="16625600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6254464"/>
        <c:crosses val="autoZero"/>
        <c:crossBetween val="between"/>
      </c:valAx>
      <c:spPr>
        <a:noFill/>
        <a:ln>
          <a:noFill/>
        </a:ln>
        <a:effectLst/>
      </c:spPr>
    </c:plotArea>
    <c:legend>
      <c:legendPos val="b"/>
      <c:legendEntry>
        <c:idx val="2"/>
        <c:delete val="true"/>
      </c:legendEntry>
      <c:legendEntry>
        <c:idx val="3"/>
        <c:delete val="true"/>
      </c:legendEntry>
      <c:layout>
        <c:manualLayout>
          <c:xMode val="edge"/>
          <c:yMode val="edge"/>
          <c:x val="0.192967160709096"/>
          <c:y val="0.867642478978511"/>
          <c:w val="0.489537925021796"/>
          <c:h val="0.104328869511056"/>
        </c:manualLayout>
      </c:layout>
      <c:overlay val="false"/>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110"/>
    </mc:Choice>
    <mc:Fallback>
      <c:style val="10010"/>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rPr b="0"/>
              <a:t>一般公共预算财政拨款支出决算说明图（单位：万元）</a:t>
            </a:r>
            <a:endParaRPr b="0"/>
          </a:p>
        </c:rich>
      </c:tx>
      <c:layout/>
      <c:overlay val="false"/>
      <c:spPr>
        <a:noFill/>
        <a:ln>
          <a:noFill/>
        </a:ln>
        <a:effectLst/>
      </c:spPr>
    </c:title>
    <c:autoTitleDeleted val="false"/>
    <c:plotArea>
      <c:layout/>
      <c:barChart>
        <c:barDir val="col"/>
        <c:grouping val="stacked"/>
        <c:varyColors val="false"/>
        <c:ser>
          <c:idx val="0"/>
          <c:order val="0"/>
          <c:tx>
            <c:strRef>
              <c:f>Sheet1!$B$1</c:f>
              <c:strCache>
                <c:ptCount val="1"/>
                <c:pt idx="0">
                  <c:v>2022年一般公共预算财政拨款支出242.87万元，占99.99％</c:v>
                </c:pt>
              </c:strCache>
            </c:strRef>
          </c:tx>
          <c:spPr>
            <a:solidFill>
              <a:schemeClr val="accent1"/>
            </a:solidFill>
            <a:ln>
              <a:solidFill>
                <a:schemeClr val="bg1"/>
              </a:solidFill>
            </a:ln>
            <a:effectLst/>
          </c:spPr>
          <c:invertIfNegative val="false"/>
          <c:dPt>
            <c:idx val="0"/>
            <c:invertIfNegative val="false"/>
            <c:bubble3D val="false"/>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2021年</c:v>
                </c:pt>
                <c:pt idx="1">
                  <c:v>2022年</c:v>
                </c:pt>
              </c:strCache>
            </c:strRef>
          </c:cat>
          <c:val>
            <c:numRef>
              <c:f>Sheet1!$B$2:$B$5</c:f>
              <c:numCache>
                <c:formatCode>General</c:formatCode>
                <c:ptCount val="4"/>
                <c:pt idx="0">
                  <c:v>211.25</c:v>
                </c:pt>
                <c:pt idx="1">
                  <c:v>242.87</c:v>
                </c:pt>
              </c:numCache>
            </c:numRef>
          </c:val>
        </c:ser>
        <c:dLbls>
          <c:showLegendKey val="false"/>
          <c:showVal val="true"/>
          <c:showCatName val="false"/>
          <c:showSerName val="false"/>
          <c:showPercent val="false"/>
          <c:showBubbleSize val="false"/>
        </c:dLbls>
        <c:gapWidth val="246"/>
        <c:overlap val="100"/>
        <c:axId val="175888256"/>
        <c:axId val="175890432"/>
      </c:barChart>
      <c:catAx>
        <c:axId val="175888256"/>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75890432"/>
        <c:crosses val="autoZero"/>
        <c:auto val="true"/>
        <c:lblAlgn val="ctr"/>
        <c:lblOffset val="100"/>
        <c:noMultiLvlLbl val="false"/>
      </c:catAx>
      <c:valAx>
        <c:axId val="175890432"/>
        <c:scaling>
          <c:orientation val="minMax"/>
        </c:scaling>
        <c:delete val="false"/>
        <c:axPos val="l"/>
        <c:majorGridlines>
          <c:spPr>
            <a:ln w="9525" cap="flat" cmpd="sng" algn="ctr">
              <a:solidFill>
                <a:schemeClr val="bg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75888256"/>
        <c:crosses val="autoZero"/>
        <c:crossBetween val="between"/>
      </c:valAx>
      <c:spPr>
        <a:noFill/>
        <a:ln>
          <a:noFill/>
        </a:ln>
        <a:effectLst/>
      </c:spPr>
    </c:plotArea>
    <c:legend>
      <c:legendPos val="b"/>
      <c:legendEntry>
        <c:idx val="2"/>
        <c:delete val="true"/>
      </c:legendEntry>
      <c:legendEntry>
        <c:idx val="3"/>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一般公共预算财政拨款支出决算结构图（单位：万元）</a:t>
            </a:r>
          </a:p>
        </c:rich>
      </c:tx>
      <c:layout/>
      <c:overlay val="false"/>
      <c:spPr>
        <a:noFill/>
        <a:ln>
          <a:noFill/>
        </a:ln>
        <a:effectLst/>
      </c:spPr>
    </c:title>
    <c:autoTitleDeleted val="false"/>
    <c:plotArea>
      <c:layout/>
      <c:pieChart>
        <c:varyColors val="true"/>
        <c:ser>
          <c:idx val="0"/>
          <c:order val="0"/>
          <c:tx>
            <c:strRef>
              <c:f>Sheet1!$B$1</c:f>
              <c:strCache>
                <c:ptCount val="1"/>
                <c:pt idx="0">
                  <c:v>一般公共预算财政拨款支出决算结构图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一般公共服务支出81.99％</c:v>
                </c:pt>
                <c:pt idx="1">
                  <c:v>社会保障和就业支出7.24％</c:v>
                </c:pt>
                <c:pt idx="2">
                  <c:v>卫生健康支出3.43％</c:v>
                </c:pt>
                <c:pt idx="3">
                  <c:v>住房保障支出7.34％</c:v>
                </c:pt>
              </c:strCache>
            </c:strRef>
          </c:cat>
          <c:val>
            <c:numRef>
              <c:f>Sheet1!$B$2:$B$5</c:f>
              <c:numCache>
                <c:formatCode>General</c:formatCode>
                <c:ptCount val="4"/>
                <c:pt idx="0">
                  <c:v>199.14</c:v>
                </c:pt>
                <c:pt idx="1">
                  <c:v>17.58</c:v>
                </c:pt>
                <c:pt idx="2">
                  <c:v>8.33</c:v>
                </c:pt>
                <c:pt idx="3">
                  <c:v>17.82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年三公经费财政拨款支出结构说明图（单位：万元）</a:t>
            </a:r>
            <a:endParaRPr altLang="en-US"/>
          </a:p>
        </c:rich>
      </c:tx>
      <c:layout/>
      <c:overlay val="false"/>
      <c:spPr>
        <a:noFill/>
        <a:ln>
          <a:noFill/>
        </a:ln>
        <a:effectLst/>
      </c:spPr>
    </c:title>
    <c:autoTitleDeleted val="false"/>
    <c:plotArea>
      <c:layout/>
      <c:pieChart>
        <c:varyColors val="true"/>
        <c:ser>
          <c:idx val="0"/>
          <c:order val="0"/>
          <c:tx>
            <c:strRef>
              <c:f>Sheet1!$B$1</c:f>
              <c:strCache>
                <c:ptCount val="1"/>
                <c:pt idx="0">
                  <c:v>2022年三公经费财政拨款支出结构说明图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Lbl>
              <c:idx val="1"/>
              <c:delete val="true"/>
            </c:dLbl>
            <c:dLbl>
              <c:idx val="2"/>
              <c:delete val="true"/>
            </c:dLbl>
            <c:dLbl>
              <c:idx val="3"/>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2022年公务接待支出0.8万元占100％</c:v>
                </c:pt>
              </c:strCache>
            </c:strRef>
          </c:cat>
          <c:val>
            <c:numRef>
              <c:f>Sheet1!$B$2:$B$5</c:f>
              <c:numCache>
                <c:formatCode>General</c:formatCode>
                <c:ptCount val="4"/>
                <c:pt idx="0">
                  <c:v>0.8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1"/>
        <c:delete val="true"/>
      </c:legendEntry>
      <c:legendEntry>
        <c:idx val="2"/>
        <c:delete val="true"/>
      </c:legendEntry>
      <c:legendEntry>
        <c:idx val="3"/>
        <c:delete val="true"/>
      </c:legendEntry>
      <c:layout>
        <c:manualLayout>
          <c:xMode val="edge"/>
          <c:yMode val="edge"/>
          <c:x val="0.250151240169389"/>
          <c:y val="0.855436447166922"/>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1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73</Pages>
  <Words>32631</Words>
  <Characters>36330</Characters>
  <Lines>61</Lines>
  <Paragraphs>17</Paragraphs>
  <TotalTime>1</TotalTime>
  <ScaleCrop>false</ScaleCrop>
  <LinksUpToDate>false</LinksUpToDate>
  <CharactersWithSpaces>36753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2023-10-24T10:34:00Z</cp:lastPrinted>
  <dcterms:modified xsi:type="dcterms:W3CDTF">2025-01-09T09:33:00Z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0A4FD5D7DCE342F6BE28E1617C17AE6F_12</vt:lpwstr>
  </property>
</Properties>
</file>