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73" w:name="_GoBack"/>
      <w:bookmarkEnd w:id="73"/>
      <w:bookmarkStart w:id="0" w:name="_Toc15377425"/>
      <w:bookmarkStart w:id="1" w:name="_Toc15396597"/>
      <w:bookmarkStart w:id="2" w:name="_Toc15396475"/>
      <w:bookmarkStart w:id="3" w:name="_Toc15378441"/>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426"/>
      <w:bookmarkStart w:id="8" w:name="_Toc15396476"/>
      <w:bookmarkStart w:id="9" w:name="_Toc15306268"/>
      <w:bookmarkStart w:id="10" w:name="_Toc15377194"/>
      <w:bookmarkStart w:id="11" w:name="_Toc15378442"/>
      <w:r>
        <w:rPr>
          <w:rFonts w:hint="eastAsia" w:ascii="方正小标宋简体" w:hAnsi="方正小标宋简体" w:eastAsia="方正小标宋简体" w:cs="方正小标宋简体"/>
          <w:sz w:val="72"/>
          <w:szCs w:val="72"/>
        </w:rPr>
        <w:t>广元市朝天区妇女联合会部门决算</w:t>
      </w:r>
      <w:bookmarkEnd w:id="6"/>
      <w:bookmarkEnd w:id="7"/>
      <w:bookmarkEnd w:id="8"/>
      <w:bookmarkEnd w:id="9"/>
      <w:bookmarkEnd w:id="10"/>
      <w:bookmarkEnd w:id="11"/>
    </w:p>
    <w:p>
      <w:pPr>
        <w:widowControl/>
        <w:jc w:val="center"/>
        <w:rPr>
          <w:rFonts w:ascii="黑体" w:hAnsi="黑体" w:eastAsia="黑体" w:cstheme="minorBidi"/>
          <w:sz w:val="28"/>
          <w:szCs w:val="2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1"/>
        <w:rPr>
          <w:rFonts w:ascii="Times New Roman" w:hAnsi="Times New Roman" w:eastAsia="Times New Roman"/>
          <w:sz w:val="21"/>
          <w:szCs w:val="24"/>
          <w:lang w:val="zh-CN"/>
        </w:rPr>
      </w:pPr>
      <w:r>
        <w:rPr>
          <w:rFonts w:hint="eastAsia"/>
        </w:rPr>
        <w:t>公开时间：2023年</w:t>
      </w:r>
      <w:r>
        <w:t>10</w:t>
      </w:r>
      <w:r>
        <w:rPr>
          <w:rFonts w:hint="eastAsia"/>
        </w:rPr>
        <w:t>月</w:t>
      </w:r>
      <w:r>
        <w:rPr>
          <w:rFonts w:hint="eastAsia"/>
          <w:lang w:val="en-US" w:eastAsia="zh-CN"/>
        </w:rPr>
        <w:t>28</w:t>
      </w:r>
      <w:r>
        <w:rPr>
          <w:rFonts w:hint="eastAsia"/>
        </w:rPr>
        <w:t>日</w:t>
      </w:r>
      <w:bookmarkStart w:id="12" w:name="_Toc15396599"/>
      <w:bookmarkStart w:id="13" w:name="_Toc15377196"/>
    </w:p>
    <w:p>
      <w:pPr>
        <w:pStyle w:val="35"/>
        <w:tabs>
          <w:tab w:val="right" w:leader="dot" w:pos="8306"/>
        </w:tabs>
        <w:rPr>
          <w:rFonts w:hint="default" w:ascii="黑体" w:hAnsi="黑体" w:eastAsia="黑体"/>
          <w:sz w:val="24"/>
          <w:szCs w:val="24"/>
        </w:rPr>
      </w:pPr>
      <w:r>
        <w:fldChar w:fldCharType="begin"/>
      </w:r>
      <w:r>
        <w:instrText xml:space="preserve"> HYPERLINK \l "_Toc20756" </w:instrText>
      </w:r>
      <w:r>
        <w:fldChar w:fldCharType="separate"/>
      </w:r>
      <w:r>
        <w:rPr>
          <w:rFonts w:ascii="黑体" w:hAnsi="黑体" w:eastAsia="黑体"/>
          <w:sz w:val="24"/>
          <w:szCs w:val="24"/>
        </w:rPr>
        <w:t>第一部分 部门概况</w:t>
      </w:r>
      <w:r>
        <w:rPr>
          <w:rFonts w:ascii="黑体" w:hAnsi="黑体" w:eastAsia="黑体"/>
          <w:sz w:val="24"/>
          <w:szCs w:val="24"/>
        </w:rPr>
        <w:tab/>
      </w:r>
      <w:r>
        <w:rPr>
          <w:rFonts w:ascii="黑体" w:hAnsi="黑体" w:eastAsia="黑体"/>
          <w:sz w:val="24"/>
          <w:szCs w:val="24"/>
        </w:rPr>
        <w:t>3</w:t>
      </w:r>
      <w:r>
        <w:rPr>
          <w:rFonts w:ascii="黑体" w:hAnsi="黑体" w:eastAsia="黑体"/>
          <w:sz w:val="24"/>
          <w:szCs w:val="24"/>
        </w:rPr>
        <w:fldChar w:fldCharType="end"/>
      </w:r>
    </w:p>
    <w:p>
      <w:pPr>
        <w:pStyle w:val="36"/>
        <w:tabs>
          <w:tab w:val="right" w:leader="dot" w:pos="8306"/>
        </w:tabs>
        <w:ind w:left="420"/>
        <w:rPr>
          <w:rFonts w:hint="default" w:ascii="黑体" w:hAnsi="黑体" w:eastAsia="黑体"/>
          <w:sz w:val="24"/>
          <w:szCs w:val="24"/>
        </w:rPr>
      </w:pPr>
      <w:r>
        <w:fldChar w:fldCharType="begin"/>
      </w:r>
      <w:r>
        <w:instrText xml:space="preserve"> HYPERLINK \l "_Toc7830" </w:instrText>
      </w:r>
      <w:r>
        <w:fldChar w:fldCharType="separate"/>
      </w:r>
      <w:r>
        <w:rPr>
          <w:rFonts w:ascii="黑体" w:hAnsi="黑体" w:eastAsia="黑体"/>
          <w:sz w:val="24"/>
          <w:szCs w:val="24"/>
        </w:rPr>
        <w:t>一、基本职能及主要工作</w:t>
      </w:r>
      <w:r>
        <w:rPr>
          <w:rFonts w:ascii="黑体" w:hAnsi="黑体" w:eastAsia="黑体"/>
          <w:sz w:val="24"/>
          <w:szCs w:val="24"/>
        </w:rPr>
        <w:tab/>
      </w:r>
      <w:r>
        <w:rPr>
          <w:rFonts w:ascii="黑体" w:hAnsi="黑体" w:eastAsia="黑体"/>
          <w:sz w:val="24"/>
          <w:szCs w:val="24"/>
        </w:rPr>
        <w:t>3</w:t>
      </w:r>
      <w:r>
        <w:rPr>
          <w:rFonts w:ascii="黑体" w:hAnsi="黑体" w:eastAsia="黑体"/>
          <w:sz w:val="24"/>
          <w:szCs w:val="24"/>
        </w:rPr>
        <w:fldChar w:fldCharType="end"/>
      </w:r>
    </w:p>
    <w:p>
      <w:pPr>
        <w:pStyle w:val="36"/>
        <w:tabs>
          <w:tab w:val="right" w:leader="dot" w:pos="8306"/>
        </w:tabs>
        <w:ind w:left="420"/>
        <w:rPr>
          <w:rFonts w:hint="default" w:ascii="黑体" w:hAnsi="黑体" w:eastAsia="黑体"/>
          <w:sz w:val="24"/>
          <w:szCs w:val="24"/>
        </w:rPr>
      </w:pPr>
      <w:r>
        <w:fldChar w:fldCharType="begin"/>
      </w:r>
      <w:r>
        <w:instrText xml:space="preserve"> HYPERLINK \l "_Toc32588" </w:instrText>
      </w:r>
      <w:r>
        <w:fldChar w:fldCharType="separate"/>
      </w:r>
      <w:r>
        <w:rPr>
          <w:rFonts w:ascii="黑体" w:hAnsi="黑体" w:eastAsia="黑体"/>
          <w:sz w:val="24"/>
          <w:szCs w:val="24"/>
        </w:rPr>
        <w:t>二、机构设置</w:t>
      </w:r>
      <w:r>
        <w:rPr>
          <w:rFonts w:ascii="黑体" w:hAnsi="黑体" w:eastAsia="黑体"/>
          <w:sz w:val="24"/>
          <w:szCs w:val="24"/>
        </w:rPr>
        <w:tab/>
      </w:r>
      <w:r>
        <w:rPr>
          <w:rFonts w:ascii="黑体" w:hAnsi="黑体" w:eastAsia="黑体"/>
          <w:sz w:val="24"/>
          <w:szCs w:val="24"/>
        </w:rPr>
        <w:t>4</w:t>
      </w:r>
      <w:r>
        <w:rPr>
          <w:rFonts w:ascii="黑体" w:hAnsi="黑体" w:eastAsia="黑体"/>
          <w:sz w:val="24"/>
          <w:szCs w:val="24"/>
        </w:rPr>
        <w:fldChar w:fldCharType="end"/>
      </w:r>
    </w:p>
    <w:p>
      <w:pPr>
        <w:pStyle w:val="35"/>
        <w:tabs>
          <w:tab w:val="right" w:leader="dot" w:pos="8306"/>
        </w:tabs>
        <w:rPr>
          <w:rFonts w:hint="default" w:ascii="黑体" w:hAnsi="黑体" w:eastAsia="黑体"/>
          <w:sz w:val="24"/>
          <w:szCs w:val="24"/>
        </w:rPr>
      </w:pPr>
      <w:r>
        <w:fldChar w:fldCharType="begin"/>
      </w:r>
      <w:r>
        <w:instrText xml:space="preserve"> HYPERLINK \l "_Toc11405" </w:instrText>
      </w:r>
      <w:r>
        <w:fldChar w:fldCharType="separate"/>
      </w:r>
      <w:r>
        <w:rPr>
          <w:rFonts w:ascii="黑体" w:hAnsi="黑体" w:eastAsia="黑体"/>
          <w:sz w:val="24"/>
          <w:szCs w:val="24"/>
        </w:rPr>
        <w:t>第二部分 2021年度部门决算情况说明</w:t>
      </w:r>
      <w:r>
        <w:rPr>
          <w:rFonts w:ascii="黑体" w:hAnsi="黑体" w:eastAsia="黑体"/>
          <w:sz w:val="24"/>
          <w:szCs w:val="24"/>
        </w:rPr>
        <w:tab/>
      </w:r>
      <w:r>
        <w:rPr>
          <w:rFonts w:ascii="黑体" w:hAnsi="黑体" w:eastAsia="黑体"/>
          <w:sz w:val="24"/>
          <w:szCs w:val="24"/>
        </w:rPr>
        <w:t>5</w:t>
      </w:r>
      <w:r>
        <w:rPr>
          <w:rFonts w:ascii="黑体" w:hAnsi="黑体" w:eastAsia="黑体"/>
          <w:sz w:val="24"/>
          <w:szCs w:val="24"/>
        </w:rPr>
        <w:fldChar w:fldCharType="end"/>
      </w:r>
    </w:p>
    <w:p>
      <w:pPr>
        <w:pStyle w:val="36"/>
        <w:tabs>
          <w:tab w:val="right" w:leader="dot" w:pos="8306"/>
        </w:tabs>
        <w:ind w:left="420"/>
        <w:rPr>
          <w:rFonts w:hint="default" w:ascii="黑体" w:hAnsi="黑体" w:eastAsia="黑体"/>
          <w:sz w:val="24"/>
          <w:szCs w:val="24"/>
        </w:rPr>
      </w:pPr>
      <w:r>
        <w:fldChar w:fldCharType="begin"/>
      </w:r>
      <w:r>
        <w:instrText xml:space="preserve"> HYPERLINK \l "_Toc28588" </w:instrText>
      </w:r>
      <w:r>
        <w:fldChar w:fldCharType="separate"/>
      </w:r>
      <w:r>
        <w:rPr>
          <w:rFonts w:ascii="黑体" w:hAnsi="黑体" w:eastAsia="黑体"/>
          <w:sz w:val="24"/>
          <w:szCs w:val="24"/>
        </w:rPr>
        <w:t>一、 收入支出决算总体情况说明</w:t>
      </w:r>
      <w:r>
        <w:rPr>
          <w:rFonts w:ascii="黑体" w:hAnsi="黑体" w:eastAsia="黑体"/>
          <w:sz w:val="24"/>
          <w:szCs w:val="24"/>
        </w:rPr>
        <w:tab/>
      </w:r>
      <w:r>
        <w:rPr>
          <w:rFonts w:ascii="黑体" w:hAnsi="黑体" w:eastAsia="黑体"/>
          <w:sz w:val="24"/>
          <w:szCs w:val="24"/>
        </w:rPr>
        <w:t>5</w:t>
      </w:r>
      <w:r>
        <w:rPr>
          <w:rFonts w:ascii="黑体" w:hAnsi="黑体" w:eastAsia="黑体"/>
          <w:sz w:val="24"/>
          <w:szCs w:val="24"/>
        </w:rPr>
        <w:fldChar w:fldCharType="end"/>
      </w:r>
    </w:p>
    <w:p>
      <w:pPr>
        <w:pStyle w:val="36"/>
        <w:tabs>
          <w:tab w:val="right" w:leader="dot" w:pos="8306"/>
        </w:tabs>
        <w:ind w:left="420"/>
        <w:rPr>
          <w:rFonts w:hint="default" w:ascii="黑体" w:hAnsi="黑体" w:eastAsia="黑体"/>
          <w:sz w:val="24"/>
          <w:szCs w:val="24"/>
        </w:rPr>
      </w:pPr>
      <w:r>
        <w:fldChar w:fldCharType="begin"/>
      </w:r>
      <w:r>
        <w:instrText xml:space="preserve"> HYPERLINK \l "_Toc3537" </w:instrText>
      </w:r>
      <w:r>
        <w:fldChar w:fldCharType="separate"/>
      </w:r>
      <w:r>
        <w:rPr>
          <w:rFonts w:ascii="黑体" w:hAnsi="黑体" w:eastAsia="黑体"/>
          <w:sz w:val="24"/>
          <w:szCs w:val="24"/>
        </w:rPr>
        <w:t>二、 收入决算情况说明</w:t>
      </w:r>
      <w:r>
        <w:rPr>
          <w:rFonts w:ascii="黑体" w:hAnsi="黑体" w:eastAsia="黑体"/>
          <w:sz w:val="24"/>
          <w:szCs w:val="24"/>
        </w:rPr>
        <w:tab/>
      </w:r>
      <w:r>
        <w:rPr>
          <w:rFonts w:ascii="黑体" w:hAnsi="黑体" w:eastAsia="黑体"/>
          <w:sz w:val="24"/>
          <w:szCs w:val="24"/>
        </w:rPr>
        <w:t>6</w:t>
      </w:r>
      <w:r>
        <w:rPr>
          <w:rFonts w:ascii="黑体" w:hAnsi="黑体" w:eastAsia="黑体"/>
          <w:sz w:val="24"/>
          <w:szCs w:val="24"/>
        </w:rPr>
        <w:fldChar w:fldCharType="end"/>
      </w:r>
    </w:p>
    <w:p>
      <w:pPr>
        <w:pStyle w:val="36"/>
        <w:tabs>
          <w:tab w:val="right" w:leader="dot" w:pos="8306"/>
        </w:tabs>
        <w:ind w:left="420"/>
        <w:rPr>
          <w:rFonts w:hint="default" w:ascii="黑体" w:hAnsi="黑体" w:eastAsia="黑体"/>
          <w:sz w:val="24"/>
          <w:szCs w:val="24"/>
        </w:rPr>
      </w:pPr>
      <w:r>
        <w:fldChar w:fldCharType="begin"/>
      </w:r>
      <w:r>
        <w:instrText xml:space="preserve"> HYPERLINK \l "_Toc31202" </w:instrText>
      </w:r>
      <w:r>
        <w:fldChar w:fldCharType="separate"/>
      </w:r>
      <w:r>
        <w:rPr>
          <w:rFonts w:ascii="黑体" w:hAnsi="黑体" w:eastAsia="黑体"/>
          <w:sz w:val="24"/>
          <w:szCs w:val="24"/>
        </w:rPr>
        <w:t>三、 支出决算情况说明</w:t>
      </w:r>
      <w:r>
        <w:rPr>
          <w:rFonts w:ascii="黑体" w:hAnsi="黑体" w:eastAsia="黑体"/>
          <w:sz w:val="24"/>
          <w:szCs w:val="24"/>
        </w:rPr>
        <w:tab/>
      </w:r>
      <w:r>
        <w:rPr>
          <w:rFonts w:ascii="黑体" w:hAnsi="黑体" w:eastAsia="黑体"/>
          <w:sz w:val="24"/>
          <w:szCs w:val="24"/>
        </w:rPr>
        <w:t>6</w:t>
      </w:r>
      <w:r>
        <w:rPr>
          <w:rFonts w:ascii="黑体" w:hAnsi="黑体" w:eastAsia="黑体"/>
          <w:sz w:val="24"/>
          <w:szCs w:val="24"/>
        </w:rPr>
        <w:fldChar w:fldCharType="end"/>
      </w:r>
    </w:p>
    <w:p>
      <w:pPr>
        <w:pStyle w:val="36"/>
        <w:tabs>
          <w:tab w:val="right" w:leader="dot" w:pos="8306"/>
        </w:tabs>
        <w:ind w:left="420"/>
        <w:rPr>
          <w:rFonts w:hint="default" w:ascii="黑体" w:hAnsi="黑体" w:eastAsia="黑体"/>
          <w:sz w:val="24"/>
          <w:szCs w:val="24"/>
        </w:rPr>
      </w:pPr>
      <w:r>
        <w:fldChar w:fldCharType="begin"/>
      </w:r>
      <w:r>
        <w:instrText xml:space="preserve"> HYPERLINK \l "_Toc26309" </w:instrText>
      </w:r>
      <w:r>
        <w:fldChar w:fldCharType="separate"/>
      </w:r>
      <w:r>
        <w:rPr>
          <w:rFonts w:ascii="黑体" w:hAnsi="黑体" w:eastAsia="黑体"/>
          <w:sz w:val="24"/>
          <w:szCs w:val="24"/>
        </w:rPr>
        <w:t>四、财政拨款收入支出决算总体情况说明</w:t>
      </w:r>
      <w:r>
        <w:rPr>
          <w:rFonts w:ascii="黑体" w:hAnsi="黑体" w:eastAsia="黑体"/>
          <w:sz w:val="24"/>
          <w:szCs w:val="24"/>
        </w:rPr>
        <w:tab/>
      </w:r>
      <w:r>
        <w:rPr>
          <w:rFonts w:ascii="黑体" w:hAnsi="黑体" w:eastAsia="黑体"/>
          <w:sz w:val="24"/>
          <w:szCs w:val="24"/>
        </w:rPr>
        <w:t>6</w:t>
      </w:r>
      <w:r>
        <w:rPr>
          <w:rFonts w:ascii="黑体" w:hAnsi="黑体" w:eastAsia="黑体"/>
          <w:sz w:val="24"/>
          <w:szCs w:val="24"/>
        </w:rPr>
        <w:fldChar w:fldCharType="end"/>
      </w:r>
    </w:p>
    <w:p>
      <w:pPr>
        <w:pStyle w:val="36"/>
        <w:tabs>
          <w:tab w:val="right" w:leader="dot" w:pos="8306"/>
        </w:tabs>
        <w:ind w:left="420"/>
        <w:rPr>
          <w:rFonts w:hint="default" w:ascii="黑体" w:hAnsi="黑体" w:eastAsia="黑体"/>
          <w:sz w:val="24"/>
          <w:szCs w:val="24"/>
        </w:rPr>
      </w:pPr>
      <w:r>
        <w:fldChar w:fldCharType="begin"/>
      </w:r>
      <w:r>
        <w:instrText xml:space="preserve"> HYPERLINK \l "_Toc12968" </w:instrText>
      </w:r>
      <w:r>
        <w:fldChar w:fldCharType="separate"/>
      </w:r>
      <w:r>
        <w:rPr>
          <w:rFonts w:ascii="黑体" w:hAnsi="黑体" w:eastAsia="黑体"/>
          <w:sz w:val="24"/>
          <w:szCs w:val="24"/>
        </w:rPr>
        <w:t>五、一般公共预算财政拨款支出决算情况说明</w:t>
      </w:r>
      <w:r>
        <w:rPr>
          <w:rFonts w:ascii="黑体" w:hAnsi="黑体" w:eastAsia="黑体"/>
          <w:sz w:val="24"/>
          <w:szCs w:val="24"/>
        </w:rPr>
        <w:tab/>
      </w:r>
      <w:r>
        <w:rPr>
          <w:rFonts w:ascii="黑体" w:hAnsi="黑体" w:eastAsia="黑体"/>
          <w:sz w:val="24"/>
          <w:szCs w:val="24"/>
        </w:rPr>
        <w:t>7</w:t>
      </w:r>
      <w:r>
        <w:rPr>
          <w:rFonts w:ascii="黑体" w:hAnsi="黑体" w:eastAsia="黑体"/>
          <w:sz w:val="24"/>
          <w:szCs w:val="24"/>
        </w:rPr>
        <w:fldChar w:fldCharType="end"/>
      </w:r>
    </w:p>
    <w:p>
      <w:pPr>
        <w:pStyle w:val="36"/>
        <w:tabs>
          <w:tab w:val="right" w:leader="dot" w:pos="8306"/>
        </w:tabs>
        <w:ind w:left="420"/>
        <w:rPr>
          <w:rFonts w:hint="default" w:ascii="黑体" w:hAnsi="黑体" w:eastAsia="黑体"/>
          <w:sz w:val="24"/>
          <w:szCs w:val="24"/>
        </w:rPr>
      </w:pPr>
      <w:r>
        <w:fldChar w:fldCharType="begin"/>
      </w:r>
      <w:r>
        <w:instrText xml:space="preserve"> HYPERLINK \l "_Toc19405" </w:instrText>
      </w:r>
      <w:r>
        <w:fldChar w:fldCharType="separate"/>
      </w:r>
      <w:r>
        <w:rPr>
          <w:rFonts w:ascii="黑体" w:hAnsi="黑体" w:eastAsia="黑体"/>
          <w:sz w:val="24"/>
          <w:szCs w:val="24"/>
        </w:rPr>
        <w:t>六、一般公共预算财政拨款基本支出决算情况说明</w:t>
      </w:r>
      <w:r>
        <w:rPr>
          <w:rFonts w:ascii="黑体" w:hAnsi="黑体" w:eastAsia="黑体"/>
          <w:sz w:val="24"/>
          <w:szCs w:val="24"/>
        </w:rPr>
        <w:tab/>
      </w:r>
      <w:r>
        <w:rPr>
          <w:rFonts w:ascii="黑体" w:hAnsi="黑体" w:eastAsia="黑体"/>
          <w:sz w:val="24"/>
          <w:szCs w:val="24"/>
        </w:rPr>
        <w:t>9</w:t>
      </w:r>
      <w:r>
        <w:rPr>
          <w:rFonts w:ascii="黑体" w:hAnsi="黑体" w:eastAsia="黑体"/>
          <w:sz w:val="24"/>
          <w:szCs w:val="24"/>
        </w:rPr>
        <w:fldChar w:fldCharType="end"/>
      </w:r>
    </w:p>
    <w:p>
      <w:pPr>
        <w:pStyle w:val="36"/>
        <w:tabs>
          <w:tab w:val="right" w:leader="dot" w:pos="8306"/>
        </w:tabs>
        <w:ind w:left="420"/>
        <w:rPr>
          <w:rFonts w:hint="default" w:ascii="黑体" w:hAnsi="黑体" w:eastAsia="黑体"/>
          <w:sz w:val="24"/>
          <w:szCs w:val="24"/>
        </w:rPr>
      </w:pPr>
      <w:r>
        <w:fldChar w:fldCharType="begin"/>
      </w:r>
      <w:r>
        <w:instrText xml:space="preserve"> HYPERLINK \l "_Toc3493" </w:instrText>
      </w:r>
      <w:r>
        <w:fldChar w:fldCharType="separate"/>
      </w:r>
      <w:r>
        <w:rPr>
          <w:rFonts w:ascii="黑体" w:hAnsi="黑体" w:eastAsia="黑体"/>
          <w:sz w:val="24"/>
          <w:szCs w:val="24"/>
        </w:rPr>
        <w:t>七、“三公”经费财政拨款支出决算情况说明</w:t>
      </w:r>
      <w:r>
        <w:rPr>
          <w:rFonts w:ascii="黑体" w:hAnsi="黑体" w:eastAsia="黑体"/>
          <w:sz w:val="24"/>
          <w:szCs w:val="24"/>
        </w:rPr>
        <w:tab/>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t>0</w:t>
      </w:r>
    </w:p>
    <w:p>
      <w:pPr>
        <w:pStyle w:val="36"/>
        <w:tabs>
          <w:tab w:val="right" w:leader="dot" w:pos="8306"/>
        </w:tabs>
        <w:ind w:left="420"/>
        <w:rPr>
          <w:rFonts w:hint="default" w:ascii="黑体" w:hAnsi="黑体" w:eastAsia="黑体"/>
          <w:sz w:val="24"/>
          <w:szCs w:val="24"/>
        </w:rPr>
      </w:pPr>
      <w:r>
        <w:fldChar w:fldCharType="begin"/>
      </w:r>
      <w:r>
        <w:instrText xml:space="preserve"> HYPERLINK \l "_Toc21811" </w:instrText>
      </w:r>
      <w:r>
        <w:fldChar w:fldCharType="separate"/>
      </w:r>
      <w:r>
        <w:rPr>
          <w:rFonts w:ascii="黑体" w:hAnsi="黑体" w:eastAsia="黑体"/>
          <w:sz w:val="24"/>
          <w:szCs w:val="24"/>
        </w:rPr>
        <w:t>八、政府性基金预算支出决算情况说明</w:t>
      </w:r>
      <w:r>
        <w:rPr>
          <w:rFonts w:ascii="黑体" w:hAnsi="黑体" w:eastAsia="黑体"/>
          <w:sz w:val="24"/>
          <w:szCs w:val="24"/>
        </w:rPr>
        <w:tab/>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t>2</w:t>
      </w:r>
    </w:p>
    <w:p>
      <w:pPr>
        <w:pStyle w:val="36"/>
        <w:tabs>
          <w:tab w:val="right" w:leader="dot" w:pos="8306"/>
        </w:tabs>
        <w:ind w:left="420"/>
        <w:rPr>
          <w:rFonts w:hint="default" w:ascii="黑体" w:hAnsi="黑体" w:eastAsia="黑体"/>
          <w:sz w:val="24"/>
          <w:szCs w:val="24"/>
        </w:rPr>
      </w:pPr>
      <w:r>
        <w:fldChar w:fldCharType="begin"/>
      </w:r>
      <w:r>
        <w:instrText xml:space="preserve"> HYPERLINK \l "_Toc30839" </w:instrText>
      </w:r>
      <w:r>
        <w:fldChar w:fldCharType="separate"/>
      </w:r>
      <w:r>
        <w:rPr>
          <w:rFonts w:ascii="黑体" w:hAnsi="黑体" w:eastAsia="黑体"/>
          <w:sz w:val="24"/>
          <w:szCs w:val="24"/>
        </w:rPr>
        <w:t>九、 国有资本经营预算支出决算情况说明</w:t>
      </w:r>
      <w:r>
        <w:rPr>
          <w:rFonts w:ascii="黑体" w:hAnsi="黑体" w:eastAsia="黑体"/>
          <w:sz w:val="24"/>
          <w:szCs w:val="24"/>
        </w:rPr>
        <w:tab/>
      </w:r>
      <w:r>
        <w:rPr>
          <w:rFonts w:ascii="黑体" w:hAnsi="黑体" w:eastAsia="黑体"/>
          <w:sz w:val="24"/>
          <w:szCs w:val="24"/>
        </w:rPr>
        <w:t>9</w:t>
      </w:r>
      <w:r>
        <w:rPr>
          <w:rFonts w:ascii="黑体" w:hAnsi="黑体" w:eastAsia="黑体"/>
          <w:sz w:val="24"/>
          <w:szCs w:val="24"/>
        </w:rPr>
        <w:fldChar w:fldCharType="end"/>
      </w:r>
    </w:p>
    <w:p>
      <w:pPr>
        <w:pStyle w:val="36"/>
        <w:tabs>
          <w:tab w:val="right" w:leader="dot" w:pos="8306"/>
        </w:tabs>
        <w:ind w:left="420"/>
        <w:rPr>
          <w:rFonts w:hint="default" w:ascii="黑体" w:hAnsi="黑体" w:eastAsia="黑体"/>
          <w:sz w:val="24"/>
          <w:szCs w:val="24"/>
        </w:rPr>
      </w:pPr>
      <w:r>
        <w:fldChar w:fldCharType="begin"/>
      </w:r>
      <w:r>
        <w:instrText xml:space="preserve"> HYPERLINK \l "_Toc32086" </w:instrText>
      </w:r>
      <w:r>
        <w:fldChar w:fldCharType="separate"/>
      </w:r>
      <w:r>
        <w:rPr>
          <w:rFonts w:ascii="黑体" w:hAnsi="黑体" w:eastAsia="黑体"/>
          <w:sz w:val="24"/>
          <w:szCs w:val="24"/>
        </w:rPr>
        <w:t>十、 预算绩效管理情况</w:t>
      </w:r>
      <w:r>
        <w:rPr>
          <w:rFonts w:ascii="黑体" w:hAnsi="黑体" w:eastAsia="黑体"/>
          <w:sz w:val="24"/>
          <w:szCs w:val="24"/>
        </w:rPr>
        <w:tab/>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t>2</w:t>
      </w:r>
    </w:p>
    <w:p>
      <w:pPr>
        <w:pStyle w:val="36"/>
        <w:tabs>
          <w:tab w:val="right" w:leader="dot" w:pos="8306"/>
        </w:tabs>
        <w:ind w:left="420"/>
        <w:rPr>
          <w:rFonts w:hint="default" w:ascii="黑体" w:hAnsi="黑体" w:eastAsia="黑体"/>
          <w:sz w:val="24"/>
          <w:szCs w:val="24"/>
        </w:rPr>
      </w:pPr>
      <w:r>
        <w:fldChar w:fldCharType="begin"/>
      </w:r>
      <w:r>
        <w:instrText xml:space="preserve"> HYPERLINK \l "_Toc19816" </w:instrText>
      </w:r>
      <w:r>
        <w:fldChar w:fldCharType="separate"/>
      </w:r>
      <w:r>
        <w:rPr>
          <w:rFonts w:ascii="黑体" w:hAnsi="黑体" w:eastAsia="黑体"/>
          <w:sz w:val="24"/>
          <w:szCs w:val="24"/>
        </w:rPr>
        <w:t>十一、 其他重要事项的情况说明</w:t>
      </w:r>
      <w:r>
        <w:rPr>
          <w:rFonts w:ascii="黑体" w:hAnsi="黑体" w:eastAsia="黑体"/>
          <w:sz w:val="24"/>
          <w:szCs w:val="24"/>
        </w:rPr>
        <w:tab/>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t>2</w:t>
      </w:r>
    </w:p>
    <w:p>
      <w:pPr>
        <w:pStyle w:val="35"/>
        <w:tabs>
          <w:tab w:val="right" w:leader="dot" w:pos="8306"/>
        </w:tabs>
        <w:rPr>
          <w:rFonts w:hint="default" w:ascii="黑体" w:hAnsi="黑体" w:eastAsia="黑体"/>
          <w:sz w:val="24"/>
          <w:szCs w:val="24"/>
        </w:rPr>
      </w:pPr>
      <w:r>
        <w:fldChar w:fldCharType="begin"/>
      </w:r>
      <w:r>
        <w:instrText xml:space="preserve"> HYPERLINK \l "_Toc276" </w:instrText>
      </w:r>
      <w:r>
        <w:fldChar w:fldCharType="separate"/>
      </w:r>
      <w:r>
        <w:rPr>
          <w:rFonts w:ascii="黑体" w:hAnsi="黑体" w:eastAsia="黑体"/>
          <w:sz w:val="24"/>
          <w:szCs w:val="24"/>
        </w:rPr>
        <w:t>第三部分 名词解释</w:t>
      </w:r>
      <w:r>
        <w:rPr>
          <w:rFonts w:ascii="黑体" w:hAnsi="黑体" w:eastAsia="黑体"/>
          <w:sz w:val="24"/>
          <w:szCs w:val="24"/>
        </w:rPr>
        <w:tab/>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t>3</w:t>
      </w:r>
    </w:p>
    <w:p>
      <w:pPr>
        <w:pStyle w:val="35"/>
        <w:tabs>
          <w:tab w:val="right" w:leader="dot" w:pos="8306"/>
        </w:tabs>
        <w:rPr>
          <w:rFonts w:hint="default" w:ascii="宋体" w:eastAsia="宋体"/>
          <w:sz w:val="24"/>
          <w:szCs w:val="24"/>
        </w:rPr>
      </w:pPr>
      <w:r>
        <w:fldChar w:fldCharType="begin"/>
      </w:r>
      <w:r>
        <w:instrText xml:space="preserve"> HYPERLINK \l "_Toc19521" </w:instrText>
      </w:r>
      <w:r>
        <w:fldChar w:fldCharType="separate"/>
      </w:r>
      <w:r>
        <w:rPr>
          <w:rFonts w:ascii="黑体" w:hAnsi="黑体" w:eastAsia="黑体"/>
          <w:sz w:val="24"/>
          <w:szCs w:val="24"/>
        </w:rPr>
        <w:t>第四部分 附件</w:t>
      </w:r>
      <w:r>
        <w:rPr>
          <w:rFonts w:ascii="黑体" w:hAnsi="黑体" w:eastAsia="黑体"/>
          <w:sz w:val="24"/>
          <w:szCs w:val="24"/>
        </w:rPr>
        <w:tab/>
      </w:r>
      <w:r>
        <w:rPr>
          <w:rFonts w:ascii="黑体" w:hAnsi="黑体" w:eastAsia="黑体"/>
          <w:sz w:val="24"/>
          <w:szCs w:val="24"/>
        </w:rPr>
        <w:fldChar w:fldCharType="end"/>
      </w:r>
      <w:r>
        <w:rPr>
          <w:rFonts w:ascii="黑体" w:hAnsi="黑体" w:eastAsia="黑体"/>
          <w:sz w:val="24"/>
          <w:szCs w:val="24"/>
        </w:rPr>
        <w:t>16</w:t>
      </w:r>
    </w:p>
    <w:p>
      <w:pPr>
        <w:pStyle w:val="12"/>
        <w:snapToGrid w:val="0"/>
        <w:spacing w:line="400" w:lineRule="exact"/>
        <w:rPr>
          <w:rFonts w:ascii="黑体" w:hAnsi="黑体" w:eastAsia="黑体"/>
          <w:sz w:val="24"/>
        </w:rPr>
      </w:pPr>
      <w:r>
        <w:fldChar w:fldCharType="begin"/>
      </w:r>
      <w:r>
        <w:instrText xml:space="preserve"> HYPERLINK \l "_Toc23922" </w:instrText>
      </w:r>
      <w:r>
        <w:fldChar w:fldCharType="separate"/>
      </w:r>
      <w:r>
        <w:rPr>
          <w:rFonts w:hint="eastAsia" w:ascii="黑体" w:hAnsi="黑体" w:eastAsia="黑体"/>
          <w:sz w:val="24"/>
          <w:lang w:val="zh-CN"/>
        </w:rPr>
        <w:t>附件</w:t>
      </w:r>
      <w:r>
        <w:rPr>
          <w:rFonts w:hint="eastAsia" w:ascii="黑体" w:hAnsi="黑体" w:eastAsia="黑体"/>
          <w:sz w:val="24"/>
        </w:rPr>
        <w:tab/>
      </w:r>
      <w:r>
        <w:rPr>
          <w:rFonts w:hint="eastAsia" w:ascii="黑体" w:hAnsi="黑体" w:eastAsia="黑体"/>
          <w:sz w:val="24"/>
        </w:rPr>
        <w:fldChar w:fldCharType="end"/>
      </w:r>
      <w:r>
        <w:rPr>
          <w:rFonts w:hint="eastAsia" w:ascii="黑体" w:hAnsi="黑体" w:eastAsia="黑体"/>
          <w:sz w:val="24"/>
        </w:rPr>
        <w:t>20</w:t>
      </w:r>
    </w:p>
    <w:p>
      <w:pPr>
        <w:pStyle w:val="35"/>
        <w:tabs>
          <w:tab w:val="right" w:leader="dot" w:pos="8306"/>
        </w:tabs>
        <w:rPr>
          <w:rFonts w:hint="default" w:ascii="宋体" w:eastAsia="黑体"/>
          <w:sz w:val="24"/>
          <w:szCs w:val="24"/>
          <w:lang w:val="en-US" w:eastAsia="zh-CN"/>
        </w:rPr>
      </w:pPr>
      <w:r>
        <w:fldChar w:fldCharType="begin"/>
      </w:r>
      <w:r>
        <w:instrText xml:space="preserve"> HYPERLINK \l "_Toc7236" </w:instrText>
      </w:r>
      <w:r>
        <w:fldChar w:fldCharType="separate"/>
      </w:r>
      <w:r>
        <w:rPr>
          <w:rFonts w:ascii="黑体" w:hAnsi="黑体" w:eastAsia="黑体"/>
          <w:sz w:val="24"/>
          <w:szCs w:val="24"/>
        </w:rPr>
        <w:t>第五部分 附表</w:t>
      </w:r>
      <w:r>
        <w:rPr>
          <w:rFonts w:ascii="黑体" w:hAnsi="黑体" w:eastAsia="黑体"/>
          <w:sz w:val="24"/>
          <w:szCs w:val="24"/>
        </w:rPr>
        <w:tab/>
      </w:r>
      <w:r>
        <w:rPr>
          <w:rFonts w:ascii="黑体" w:hAnsi="黑体" w:eastAsia="黑体"/>
          <w:sz w:val="24"/>
          <w:szCs w:val="24"/>
        </w:rPr>
        <w:fldChar w:fldCharType="end"/>
      </w:r>
      <w:r>
        <w:rPr>
          <w:rFonts w:hint="eastAsia" w:ascii="黑体" w:hAnsi="黑体" w:eastAsia="黑体"/>
          <w:sz w:val="24"/>
          <w:szCs w:val="24"/>
          <w:lang w:val="en-US" w:eastAsia="zh-CN"/>
        </w:rPr>
        <w:t>71</w:t>
      </w:r>
    </w:p>
    <w:p>
      <w:pPr>
        <w:pStyle w:val="12"/>
        <w:snapToGrid w:val="0"/>
        <w:spacing w:line="400" w:lineRule="exact"/>
        <w:rPr>
          <w:rFonts w:hint="default" w:ascii="黑体" w:hAnsi="黑体" w:eastAsia="黑体"/>
          <w:sz w:val="24"/>
          <w:lang w:val="en-US" w:eastAsia="zh-CN"/>
        </w:rPr>
      </w:pPr>
      <w:r>
        <w:fldChar w:fldCharType="begin"/>
      </w:r>
      <w:r>
        <w:instrText xml:space="preserve"> HYPERLINK \l "_Toc12992" </w:instrText>
      </w:r>
      <w:r>
        <w:fldChar w:fldCharType="separate"/>
      </w:r>
      <w:r>
        <w:rPr>
          <w:rFonts w:hint="eastAsia" w:ascii="黑体" w:hAnsi="黑体" w:eastAsia="黑体"/>
          <w:sz w:val="24"/>
        </w:rPr>
        <w:t>一、收入支出决算总表</w:t>
      </w:r>
      <w:r>
        <w:rPr>
          <w:rFonts w:hint="eastAsia" w:ascii="黑体" w:hAnsi="黑体" w:eastAsia="黑体"/>
          <w:sz w:val="24"/>
        </w:rPr>
        <w:tab/>
      </w:r>
      <w:r>
        <w:rPr>
          <w:rFonts w:hint="eastAsia" w:ascii="黑体" w:hAnsi="黑体" w:eastAsia="黑体"/>
          <w:sz w:val="24"/>
        </w:rPr>
        <w:fldChar w:fldCharType="end"/>
      </w:r>
      <w:r>
        <w:rPr>
          <w:rFonts w:hint="eastAsia" w:ascii="黑体" w:hAnsi="黑体" w:eastAsia="黑体"/>
          <w:sz w:val="24"/>
          <w:lang w:val="en-US" w:eastAsia="zh-CN"/>
        </w:rPr>
        <w:t>71</w:t>
      </w:r>
    </w:p>
    <w:p>
      <w:pPr>
        <w:pStyle w:val="12"/>
        <w:snapToGrid w:val="0"/>
        <w:spacing w:line="400" w:lineRule="exact"/>
        <w:rPr>
          <w:rFonts w:hint="default" w:ascii="黑体" w:hAnsi="黑体" w:eastAsia="黑体"/>
          <w:sz w:val="24"/>
          <w:lang w:val="en-US" w:eastAsia="zh-CN"/>
        </w:rPr>
      </w:pPr>
      <w:r>
        <w:fldChar w:fldCharType="begin"/>
      </w:r>
      <w:r>
        <w:instrText xml:space="preserve"> HYPERLINK \l "_Toc30868" </w:instrText>
      </w:r>
      <w:r>
        <w:fldChar w:fldCharType="separate"/>
      </w:r>
      <w:r>
        <w:rPr>
          <w:rFonts w:hint="eastAsia" w:ascii="黑体" w:hAnsi="黑体" w:eastAsia="黑体"/>
          <w:sz w:val="24"/>
        </w:rPr>
        <w:t>二、收入决算表</w:t>
      </w:r>
      <w:r>
        <w:rPr>
          <w:rFonts w:hint="eastAsia" w:ascii="黑体" w:hAnsi="黑体" w:eastAsia="黑体"/>
          <w:sz w:val="24"/>
        </w:rPr>
        <w:tab/>
      </w:r>
      <w:r>
        <w:rPr>
          <w:rFonts w:hint="eastAsia" w:ascii="黑体" w:hAnsi="黑体" w:eastAsia="黑体"/>
          <w:sz w:val="24"/>
        </w:rPr>
        <w:fldChar w:fldCharType="end"/>
      </w:r>
      <w:r>
        <w:rPr>
          <w:rFonts w:hint="eastAsia" w:ascii="黑体" w:hAnsi="黑体" w:eastAsia="黑体"/>
          <w:sz w:val="24"/>
          <w:lang w:val="en-US" w:eastAsia="zh-CN"/>
        </w:rPr>
        <w:t>71</w:t>
      </w:r>
    </w:p>
    <w:p>
      <w:pPr>
        <w:pStyle w:val="12"/>
        <w:snapToGrid w:val="0"/>
        <w:spacing w:line="400" w:lineRule="exact"/>
        <w:rPr>
          <w:rFonts w:hint="default" w:ascii="黑体" w:hAnsi="黑体" w:eastAsia="黑体"/>
          <w:sz w:val="24"/>
          <w:lang w:val="en-US" w:eastAsia="zh-CN"/>
        </w:rPr>
      </w:pPr>
      <w:r>
        <w:fldChar w:fldCharType="begin"/>
      </w:r>
      <w:r>
        <w:instrText xml:space="preserve"> HYPERLINK \l "_Toc5040" </w:instrText>
      </w:r>
      <w:r>
        <w:fldChar w:fldCharType="separate"/>
      </w:r>
      <w:r>
        <w:rPr>
          <w:rFonts w:hint="eastAsia" w:ascii="黑体" w:hAnsi="黑体" w:eastAsia="黑体"/>
          <w:sz w:val="24"/>
        </w:rPr>
        <w:t>三、支出决算表</w:t>
      </w:r>
      <w:r>
        <w:rPr>
          <w:rFonts w:hint="eastAsia" w:ascii="黑体" w:hAnsi="黑体" w:eastAsia="黑体"/>
          <w:sz w:val="24"/>
        </w:rPr>
        <w:tab/>
      </w:r>
      <w:r>
        <w:rPr>
          <w:rFonts w:hint="eastAsia" w:ascii="黑体" w:hAnsi="黑体" w:eastAsia="黑体"/>
          <w:sz w:val="24"/>
        </w:rPr>
        <w:fldChar w:fldCharType="end"/>
      </w:r>
      <w:r>
        <w:rPr>
          <w:rFonts w:hint="eastAsia" w:ascii="黑体" w:hAnsi="黑体" w:eastAsia="黑体"/>
          <w:sz w:val="24"/>
          <w:lang w:val="en-US" w:eastAsia="zh-CN"/>
        </w:rPr>
        <w:t>71</w:t>
      </w:r>
    </w:p>
    <w:p>
      <w:pPr>
        <w:pStyle w:val="12"/>
        <w:snapToGrid w:val="0"/>
        <w:spacing w:line="400" w:lineRule="exact"/>
        <w:rPr>
          <w:rFonts w:hint="default" w:ascii="黑体" w:hAnsi="黑体" w:eastAsia="黑体"/>
          <w:sz w:val="24"/>
          <w:lang w:val="en-US" w:eastAsia="zh-CN"/>
        </w:rPr>
      </w:pPr>
      <w:r>
        <w:fldChar w:fldCharType="begin"/>
      </w:r>
      <w:r>
        <w:instrText xml:space="preserve"> HYPERLINK \l "_Toc9023" </w:instrText>
      </w:r>
      <w:r>
        <w:fldChar w:fldCharType="separate"/>
      </w:r>
      <w:r>
        <w:rPr>
          <w:rFonts w:hint="eastAsia" w:ascii="黑体" w:hAnsi="黑体" w:eastAsia="黑体"/>
          <w:sz w:val="24"/>
        </w:rPr>
        <w:t>四、财政拨款收入支出决算总表</w:t>
      </w:r>
      <w:r>
        <w:rPr>
          <w:rFonts w:hint="eastAsia" w:ascii="黑体" w:hAnsi="黑体" w:eastAsia="黑体"/>
          <w:sz w:val="24"/>
        </w:rPr>
        <w:tab/>
      </w:r>
      <w:r>
        <w:rPr>
          <w:rFonts w:hint="eastAsia" w:ascii="黑体" w:hAnsi="黑体" w:eastAsia="黑体"/>
          <w:sz w:val="24"/>
        </w:rPr>
        <w:fldChar w:fldCharType="end"/>
      </w:r>
      <w:r>
        <w:rPr>
          <w:rFonts w:hint="eastAsia" w:ascii="黑体" w:hAnsi="黑体" w:eastAsia="黑体"/>
          <w:sz w:val="24"/>
          <w:lang w:val="en-US" w:eastAsia="zh-CN"/>
        </w:rPr>
        <w:t>71</w:t>
      </w:r>
    </w:p>
    <w:p>
      <w:pPr>
        <w:pStyle w:val="12"/>
        <w:snapToGrid w:val="0"/>
        <w:spacing w:line="400" w:lineRule="exact"/>
        <w:rPr>
          <w:rFonts w:hint="default" w:ascii="黑体" w:hAnsi="黑体" w:eastAsia="黑体"/>
          <w:sz w:val="24"/>
          <w:lang w:val="en-US" w:eastAsia="zh-CN"/>
        </w:rPr>
      </w:pPr>
      <w:r>
        <w:fldChar w:fldCharType="begin"/>
      </w:r>
      <w:r>
        <w:instrText xml:space="preserve"> HYPERLINK \l "_Toc7645" </w:instrText>
      </w:r>
      <w:r>
        <w:fldChar w:fldCharType="separate"/>
      </w:r>
      <w:r>
        <w:rPr>
          <w:rFonts w:hint="eastAsia" w:ascii="黑体" w:hAnsi="黑体" w:eastAsia="黑体"/>
          <w:sz w:val="24"/>
        </w:rPr>
        <w:t>五、财政拨款支出决算明细表</w:t>
      </w:r>
      <w:r>
        <w:rPr>
          <w:rFonts w:hint="eastAsia" w:ascii="黑体" w:hAnsi="黑体" w:eastAsia="黑体"/>
          <w:sz w:val="24"/>
        </w:rPr>
        <w:tab/>
      </w:r>
      <w:r>
        <w:rPr>
          <w:rFonts w:hint="eastAsia" w:ascii="黑体" w:hAnsi="黑体" w:eastAsia="黑体"/>
          <w:sz w:val="24"/>
        </w:rPr>
        <w:fldChar w:fldCharType="end"/>
      </w:r>
      <w:r>
        <w:rPr>
          <w:rFonts w:hint="eastAsia" w:ascii="黑体" w:hAnsi="黑体" w:eastAsia="黑体"/>
          <w:sz w:val="24"/>
          <w:lang w:val="en-US" w:eastAsia="zh-CN"/>
        </w:rPr>
        <w:t>71</w:t>
      </w:r>
    </w:p>
    <w:p>
      <w:pPr>
        <w:pStyle w:val="12"/>
        <w:snapToGrid w:val="0"/>
        <w:spacing w:line="400" w:lineRule="exact"/>
        <w:rPr>
          <w:rFonts w:hint="default" w:ascii="黑体" w:hAnsi="黑体" w:eastAsia="黑体"/>
          <w:sz w:val="24"/>
          <w:lang w:val="en-US" w:eastAsia="zh-CN"/>
        </w:rPr>
      </w:pPr>
      <w:r>
        <w:fldChar w:fldCharType="begin"/>
      </w:r>
      <w:r>
        <w:instrText xml:space="preserve"> HYPERLINK \l "_Toc3670" </w:instrText>
      </w:r>
      <w:r>
        <w:fldChar w:fldCharType="separate"/>
      </w:r>
      <w:r>
        <w:rPr>
          <w:rFonts w:hint="eastAsia" w:ascii="黑体" w:hAnsi="黑体" w:eastAsia="黑体"/>
          <w:sz w:val="24"/>
        </w:rPr>
        <w:t>六、一般公共预算财政拨款支出决算表</w:t>
      </w:r>
      <w:r>
        <w:rPr>
          <w:rFonts w:hint="eastAsia" w:ascii="黑体" w:hAnsi="黑体" w:eastAsia="黑体"/>
          <w:sz w:val="24"/>
        </w:rPr>
        <w:tab/>
      </w:r>
      <w:r>
        <w:rPr>
          <w:rFonts w:hint="eastAsia" w:ascii="黑体" w:hAnsi="黑体" w:eastAsia="黑体"/>
          <w:sz w:val="24"/>
        </w:rPr>
        <w:fldChar w:fldCharType="end"/>
      </w:r>
      <w:r>
        <w:rPr>
          <w:rFonts w:hint="eastAsia" w:ascii="黑体" w:hAnsi="黑体" w:eastAsia="黑体"/>
          <w:sz w:val="24"/>
          <w:lang w:val="en-US" w:eastAsia="zh-CN"/>
        </w:rPr>
        <w:t>71</w:t>
      </w:r>
    </w:p>
    <w:p>
      <w:pPr>
        <w:pStyle w:val="12"/>
        <w:snapToGrid w:val="0"/>
        <w:spacing w:line="400" w:lineRule="exact"/>
        <w:rPr>
          <w:rFonts w:hint="default" w:ascii="黑体" w:hAnsi="黑体" w:eastAsia="黑体"/>
          <w:sz w:val="24"/>
          <w:lang w:val="en-US" w:eastAsia="zh-CN"/>
        </w:rPr>
      </w:pPr>
      <w:r>
        <w:fldChar w:fldCharType="begin"/>
      </w:r>
      <w:r>
        <w:instrText xml:space="preserve"> HYPERLINK \l "_Toc18271" </w:instrText>
      </w:r>
      <w:r>
        <w:fldChar w:fldCharType="separate"/>
      </w:r>
      <w:r>
        <w:rPr>
          <w:rFonts w:hint="eastAsia" w:ascii="黑体" w:hAnsi="黑体" w:eastAsia="黑体"/>
          <w:sz w:val="24"/>
        </w:rPr>
        <w:t>七、一般公共预算财政拨款支出决算明细表</w:t>
      </w:r>
      <w:r>
        <w:rPr>
          <w:rFonts w:hint="eastAsia" w:ascii="黑体" w:hAnsi="黑体" w:eastAsia="黑体"/>
          <w:sz w:val="24"/>
        </w:rPr>
        <w:tab/>
      </w:r>
      <w:r>
        <w:rPr>
          <w:rFonts w:hint="eastAsia" w:ascii="黑体" w:hAnsi="黑体" w:eastAsia="黑体"/>
          <w:sz w:val="24"/>
        </w:rPr>
        <w:fldChar w:fldCharType="end"/>
      </w:r>
      <w:r>
        <w:rPr>
          <w:rFonts w:hint="eastAsia" w:ascii="黑体" w:hAnsi="黑体" w:eastAsia="黑体"/>
          <w:sz w:val="24"/>
          <w:lang w:val="en-US" w:eastAsia="zh-CN"/>
        </w:rPr>
        <w:t>71</w:t>
      </w:r>
    </w:p>
    <w:p>
      <w:pPr>
        <w:pStyle w:val="12"/>
        <w:snapToGrid w:val="0"/>
        <w:spacing w:line="400" w:lineRule="exact"/>
        <w:rPr>
          <w:rFonts w:hint="default" w:ascii="黑体" w:hAnsi="黑体" w:eastAsia="黑体"/>
          <w:sz w:val="24"/>
          <w:lang w:val="en-US" w:eastAsia="zh-CN"/>
        </w:rPr>
      </w:pPr>
      <w:r>
        <w:fldChar w:fldCharType="begin"/>
      </w:r>
      <w:r>
        <w:instrText xml:space="preserve"> HYPERLINK \l "_Toc15000" </w:instrText>
      </w:r>
      <w:r>
        <w:fldChar w:fldCharType="separate"/>
      </w:r>
      <w:r>
        <w:rPr>
          <w:rFonts w:hint="eastAsia" w:ascii="黑体" w:hAnsi="黑体" w:eastAsia="黑体"/>
          <w:sz w:val="24"/>
        </w:rPr>
        <w:t>八、一般公共预算财政拨款基本支出决算明细表</w:t>
      </w:r>
      <w:r>
        <w:rPr>
          <w:rFonts w:hint="eastAsia" w:ascii="黑体" w:hAnsi="黑体" w:eastAsia="黑体"/>
          <w:sz w:val="24"/>
        </w:rPr>
        <w:tab/>
      </w:r>
      <w:r>
        <w:rPr>
          <w:rFonts w:hint="eastAsia" w:ascii="黑体" w:hAnsi="黑体" w:eastAsia="黑体"/>
          <w:sz w:val="24"/>
        </w:rPr>
        <w:fldChar w:fldCharType="end"/>
      </w:r>
      <w:r>
        <w:rPr>
          <w:rFonts w:hint="eastAsia" w:ascii="黑体" w:hAnsi="黑体" w:eastAsia="黑体"/>
          <w:sz w:val="24"/>
          <w:lang w:val="en-US" w:eastAsia="zh-CN"/>
        </w:rPr>
        <w:t>71</w:t>
      </w:r>
    </w:p>
    <w:p>
      <w:pPr>
        <w:pStyle w:val="12"/>
        <w:snapToGrid w:val="0"/>
        <w:spacing w:line="400" w:lineRule="exact"/>
        <w:rPr>
          <w:rFonts w:hint="default" w:ascii="黑体" w:hAnsi="黑体" w:eastAsia="黑体"/>
          <w:sz w:val="24"/>
          <w:lang w:val="en-US" w:eastAsia="zh-CN"/>
        </w:rPr>
      </w:pPr>
      <w:r>
        <w:fldChar w:fldCharType="begin"/>
      </w:r>
      <w:r>
        <w:instrText xml:space="preserve"> HYPERLINK \l "_Toc3293" </w:instrText>
      </w:r>
      <w:r>
        <w:fldChar w:fldCharType="separate"/>
      </w:r>
      <w:r>
        <w:rPr>
          <w:rFonts w:hint="eastAsia" w:ascii="黑体" w:hAnsi="黑体" w:eastAsia="黑体"/>
          <w:sz w:val="24"/>
        </w:rPr>
        <w:t>九、一般公共预算财政拨款项目支出决算表</w:t>
      </w:r>
      <w:r>
        <w:rPr>
          <w:rFonts w:hint="eastAsia" w:ascii="黑体" w:hAnsi="黑体" w:eastAsia="黑体"/>
          <w:sz w:val="24"/>
        </w:rPr>
        <w:tab/>
      </w:r>
      <w:r>
        <w:rPr>
          <w:rFonts w:hint="eastAsia" w:ascii="黑体" w:hAnsi="黑体" w:eastAsia="黑体"/>
          <w:sz w:val="24"/>
        </w:rPr>
        <w:fldChar w:fldCharType="end"/>
      </w:r>
      <w:r>
        <w:rPr>
          <w:rFonts w:hint="eastAsia" w:ascii="黑体" w:hAnsi="黑体" w:eastAsia="黑体"/>
          <w:sz w:val="24"/>
          <w:lang w:val="en-US" w:eastAsia="zh-CN"/>
        </w:rPr>
        <w:t>71</w:t>
      </w:r>
    </w:p>
    <w:p>
      <w:pPr>
        <w:pStyle w:val="12"/>
        <w:snapToGrid w:val="0"/>
        <w:spacing w:line="400" w:lineRule="exact"/>
        <w:rPr>
          <w:rFonts w:hint="default" w:ascii="黑体" w:hAnsi="黑体" w:eastAsia="黑体"/>
          <w:sz w:val="24"/>
          <w:lang w:val="en-US" w:eastAsia="zh-CN"/>
        </w:rPr>
      </w:pPr>
      <w:r>
        <w:fldChar w:fldCharType="begin"/>
      </w:r>
      <w:r>
        <w:instrText xml:space="preserve"> HYPERLINK \l "_Toc15723" </w:instrText>
      </w:r>
      <w:r>
        <w:fldChar w:fldCharType="separate"/>
      </w:r>
      <w:r>
        <w:rPr>
          <w:rFonts w:hint="eastAsia" w:ascii="黑体" w:hAnsi="黑体" w:eastAsia="黑体"/>
          <w:sz w:val="24"/>
        </w:rPr>
        <w:t>十、政府性基金预算财政拨款收入支出决算表</w:t>
      </w:r>
      <w:r>
        <w:rPr>
          <w:rFonts w:hint="eastAsia" w:ascii="黑体" w:hAnsi="黑体" w:eastAsia="黑体"/>
          <w:sz w:val="24"/>
        </w:rPr>
        <w:tab/>
      </w:r>
      <w:r>
        <w:rPr>
          <w:rFonts w:hint="eastAsia" w:ascii="黑体" w:hAnsi="黑体" w:eastAsia="黑体"/>
          <w:sz w:val="24"/>
        </w:rPr>
        <w:fldChar w:fldCharType="end"/>
      </w:r>
      <w:r>
        <w:rPr>
          <w:rFonts w:hint="eastAsia" w:ascii="黑体" w:hAnsi="黑体" w:eastAsia="黑体"/>
          <w:sz w:val="24"/>
          <w:lang w:val="en-US" w:eastAsia="zh-CN"/>
        </w:rPr>
        <w:t>71</w:t>
      </w:r>
    </w:p>
    <w:p>
      <w:pPr>
        <w:pStyle w:val="12"/>
        <w:snapToGrid w:val="0"/>
        <w:spacing w:line="400" w:lineRule="exact"/>
        <w:rPr>
          <w:rFonts w:hint="default" w:ascii="黑体" w:hAnsi="黑体" w:eastAsia="黑体"/>
          <w:sz w:val="24"/>
          <w:lang w:val="en-US" w:eastAsia="zh-CN"/>
        </w:rPr>
      </w:pPr>
      <w:r>
        <w:fldChar w:fldCharType="begin"/>
      </w:r>
      <w:r>
        <w:instrText xml:space="preserve"> HYPERLINK \l "_Toc29724" </w:instrText>
      </w:r>
      <w:r>
        <w:fldChar w:fldCharType="separate"/>
      </w:r>
      <w:r>
        <w:rPr>
          <w:rFonts w:hint="eastAsia" w:ascii="黑体" w:hAnsi="黑体" w:eastAsia="黑体"/>
          <w:sz w:val="24"/>
        </w:rPr>
        <w:t>十一、国有资本经营预算财政拨款收入支出决算表</w:t>
      </w:r>
      <w:r>
        <w:rPr>
          <w:rFonts w:hint="eastAsia" w:ascii="黑体" w:hAnsi="黑体" w:eastAsia="黑体"/>
          <w:sz w:val="24"/>
        </w:rPr>
        <w:tab/>
      </w:r>
      <w:r>
        <w:rPr>
          <w:rFonts w:hint="eastAsia" w:ascii="黑体" w:hAnsi="黑体" w:eastAsia="黑体"/>
          <w:sz w:val="24"/>
        </w:rPr>
        <w:fldChar w:fldCharType="end"/>
      </w:r>
      <w:r>
        <w:rPr>
          <w:rFonts w:hint="eastAsia" w:ascii="黑体" w:hAnsi="黑体" w:eastAsia="黑体"/>
          <w:sz w:val="24"/>
          <w:lang w:val="en-US" w:eastAsia="zh-CN"/>
        </w:rPr>
        <w:t>71</w:t>
      </w:r>
    </w:p>
    <w:p>
      <w:pPr>
        <w:pStyle w:val="12"/>
        <w:snapToGrid w:val="0"/>
        <w:spacing w:line="400" w:lineRule="exact"/>
        <w:rPr>
          <w:rFonts w:hint="default" w:ascii="黑体" w:hAnsi="黑体" w:eastAsia="黑体"/>
          <w:sz w:val="24"/>
          <w:lang w:val="en-US" w:eastAsia="zh-CN"/>
        </w:rPr>
      </w:pPr>
      <w:r>
        <w:fldChar w:fldCharType="begin"/>
      </w:r>
      <w:r>
        <w:instrText xml:space="preserve"> HYPERLINK \l "_Toc31661" </w:instrText>
      </w:r>
      <w:r>
        <w:fldChar w:fldCharType="separate"/>
      </w:r>
      <w:r>
        <w:rPr>
          <w:rFonts w:hint="eastAsia" w:ascii="黑体" w:hAnsi="黑体" w:eastAsia="黑体"/>
          <w:sz w:val="24"/>
        </w:rPr>
        <w:t>十二、国有资本经营预算财政拨款支出决算表</w:t>
      </w:r>
      <w:r>
        <w:rPr>
          <w:rFonts w:hint="eastAsia" w:ascii="黑体" w:hAnsi="黑体" w:eastAsia="黑体"/>
          <w:sz w:val="24"/>
        </w:rPr>
        <w:tab/>
      </w:r>
      <w:r>
        <w:rPr>
          <w:rFonts w:hint="eastAsia" w:ascii="黑体" w:hAnsi="黑体" w:eastAsia="黑体"/>
          <w:sz w:val="24"/>
        </w:rPr>
        <w:fldChar w:fldCharType="end"/>
      </w:r>
      <w:r>
        <w:rPr>
          <w:rFonts w:hint="eastAsia" w:ascii="黑体" w:hAnsi="黑体" w:eastAsia="黑体"/>
          <w:sz w:val="24"/>
          <w:lang w:val="en-US" w:eastAsia="zh-CN"/>
        </w:rPr>
        <w:t>71</w:t>
      </w:r>
    </w:p>
    <w:p>
      <w:pPr>
        <w:pStyle w:val="12"/>
        <w:snapToGrid w:val="0"/>
        <w:spacing w:line="400" w:lineRule="exact"/>
        <w:rPr>
          <w:rFonts w:hint="default" w:ascii="黑体" w:hAnsi="黑体" w:eastAsia="黑体"/>
          <w:sz w:val="24"/>
          <w:lang w:val="en-US" w:eastAsia="zh-CN"/>
        </w:rPr>
      </w:pPr>
      <w:r>
        <w:fldChar w:fldCharType="begin"/>
      </w:r>
      <w:r>
        <w:instrText xml:space="preserve"> HYPERLINK \l "_Toc5118" </w:instrText>
      </w:r>
      <w:r>
        <w:fldChar w:fldCharType="separate"/>
      </w:r>
      <w:r>
        <w:rPr>
          <w:rFonts w:hint="eastAsia" w:ascii="黑体" w:hAnsi="黑体" w:eastAsia="黑体"/>
          <w:sz w:val="24"/>
        </w:rPr>
        <w:t>十三、财政拨款“三公”经费支出决算表</w:t>
      </w:r>
      <w:r>
        <w:rPr>
          <w:rFonts w:hint="eastAsia" w:ascii="黑体" w:hAnsi="黑体" w:eastAsia="黑体"/>
          <w:sz w:val="24"/>
        </w:rPr>
        <w:tab/>
      </w:r>
      <w:r>
        <w:rPr>
          <w:rFonts w:hint="eastAsia" w:ascii="黑体" w:hAnsi="黑体" w:eastAsia="黑体"/>
          <w:sz w:val="24"/>
        </w:rPr>
        <w:fldChar w:fldCharType="end"/>
      </w:r>
      <w:r>
        <w:rPr>
          <w:rFonts w:hint="eastAsia" w:ascii="黑体" w:hAnsi="黑体" w:eastAsia="黑体"/>
          <w:sz w:val="24"/>
          <w:lang w:val="en-US" w:eastAsia="zh-CN"/>
        </w:rPr>
        <w:t>71</w:t>
      </w:r>
    </w:p>
    <w:p>
      <w:pPr>
        <w:pStyle w:val="2"/>
        <w:jc w:val="center"/>
        <w:rPr>
          <w:rFonts w:ascii="黑体" w:eastAsia="黑体"/>
          <w:sz w:val="32"/>
          <w:szCs w:val="32"/>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pStyle w:val="3"/>
        <w:numPr>
          <w:ilvl w:val="0"/>
          <w:numId w:val="1"/>
        </w:numPr>
        <w:rPr>
          <w:rFonts w:ascii="黑体" w:hAnsi="黑体" w:eastAsia="黑体"/>
          <w:b w:val="0"/>
        </w:rPr>
      </w:pPr>
      <w:r>
        <w:rPr>
          <w:rFonts w:hint="eastAsia" w:ascii="黑体" w:hAnsi="黑体" w:eastAsia="黑体"/>
          <w:b w:val="0"/>
        </w:rPr>
        <w:t>部门职责</w:t>
      </w:r>
    </w:p>
    <w:p>
      <w:pPr>
        <w:pStyle w:val="5"/>
        <w:adjustRightInd w:val="0"/>
        <w:snapToGrid w:val="0"/>
        <w:spacing w:before="93" w:line="600" w:lineRule="exact"/>
        <w:ind w:firstLine="672" w:firstLineChars="210"/>
        <w:outlineLvl w:val="2"/>
        <w:rPr>
          <w:rFonts w:ascii="仿宋" w:hAnsi="仿宋" w:eastAsia="仿宋"/>
          <w:bCs/>
          <w:sz w:val="32"/>
          <w:szCs w:val="32"/>
        </w:rPr>
      </w:pPr>
      <w:bookmarkStart w:id="14" w:name="_Toc15378445"/>
      <w:bookmarkStart w:id="15" w:name="_Toc15377198"/>
      <w:r>
        <w:rPr>
          <w:rFonts w:hint="eastAsia" w:ascii="仿宋" w:hAnsi="仿宋" w:eastAsia="仿宋"/>
          <w:bCs/>
          <w:sz w:val="32"/>
          <w:szCs w:val="32"/>
        </w:rPr>
        <w:t>（一）主要职能。</w:t>
      </w:r>
      <w:bookmarkEnd w:id="14"/>
      <w:bookmarkEnd w:id="15"/>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1、宣传、贯彻党的路线、方针、政策，教育、引导妇女增强自尊、自信、自立、自强的精神，成为有理想、有文化、有纪律的社会主义新女性。 </w:t>
      </w:r>
    </w:p>
    <w:p>
      <w:pPr>
        <w:ind w:firstLine="640" w:firstLineChars="200"/>
        <w:rPr>
          <w:rFonts w:ascii="仿宋" w:hAnsi="仿宋" w:eastAsia="仿宋" w:cs="仿宋"/>
          <w:sz w:val="32"/>
          <w:szCs w:val="32"/>
        </w:rPr>
      </w:pPr>
      <w:r>
        <w:rPr>
          <w:rFonts w:hint="eastAsia" w:ascii="仿宋" w:hAnsi="仿宋" w:eastAsia="仿宋" w:cs="仿宋"/>
          <w:sz w:val="32"/>
          <w:szCs w:val="32"/>
        </w:rPr>
        <w:t>2、代表妇女参与国家和社会事务的管理和监督;研究涉及妇女切身利益的热点和难点问题，及时向区委、区政府和市妇联反映社情民意，提出对策建议;推动实施《妇女权益保障法》、《妇女发展规划》、《儿童发展规划》，切实维护妇女儿童的合法权益，推荐、输送妇女人才，促进妇女参政。</w:t>
      </w:r>
    </w:p>
    <w:p>
      <w:pPr>
        <w:ind w:firstLine="640" w:firstLineChars="200"/>
        <w:rPr>
          <w:rFonts w:ascii="仿宋" w:hAnsi="仿宋" w:eastAsia="仿宋" w:cs="仿宋"/>
          <w:sz w:val="32"/>
          <w:szCs w:val="32"/>
        </w:rPr>
      </w:pPr>
      <w:r>
        <w:rPr>
          <w:rFonts w:hint="eastAsia" w:ascii="仿宋" w:hAnsi="仿宋" w:eastAsia="仿宋" w:cs="仿宋"/>
          <w:sz w:val="32"/>
          <w:szCs w:val="32"/>
        </w:rPr>
        <w:t>3、根据党和政府的中心任务，组织和动员全区各级妇女投身改革开放和现代化建设，为维护改革发展稳定大局服务。开展“巾帼建功”、“最美家庭”寻访等活动，推动全区文化建设和服务业的建设，提高妇女思想道德素质、科技文化素质、法制素质，弘扬社会公德、职业道德和家庭美德。</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4、维护妇女儿童权益，积极开展婚姻家庭矛盾纠纷化解；宣传相关法规政策，为妇女儿童提供法律援助和救助，参与有关妇女儿童合法权益保障相关法规的制定。 </w:t>
      </w:r>
    </w:p>
    <w:p>
      <w:pPr>
        <w:ind w:firstLine="640" w:firstLineChars="200"/>
        <w:rPr>
          <w:rFonts w:ascii="仿宋" w:hAnsi="仿宋" w:eastAsia="仿宋" w:cs="仿宋"/>
          <w:sz w:val="32"/>
          <w:szCs w:val="32"/>
        </w:rPr>
      </w:pPr>
      <w:r>
        <w:rPr>
          <w:rFonts w:hint="eastAsia" w:ascii="仿宋" w:hAnsi="仿宋" w:eastAsia="仿宋" w:cs="仿宋"/>
          <w:sz w:val="32"/>
          <w:szCs w:val="32"/>
        </w:rPr>
        <w:t>5、建立和完善学习培训、工作会议、评比表彰等工作制度，做好培养、推荐基层后备女干部工作。</w:t>
      </w:r>
    </w:p>
    <w:p>
      <w:pPr>
        <w:ind w:firstLine="640" w:firstLineChars="200"/>
        <w:rPr>
          <w:rFonts w:ascii="仿宋" w:hAnsi="仿宋" w:eastAsia="仿宋" w:cs="仿宋"/>
          <w:sz w:val="32"/>
          <w:szCs w:val="32"/>
        </w:rPr>
      </w:pPr>
      <w:r>
        <w:rPr>
          <w:rFonts w:hint="eastAsia" w:ascii="仿宋" w:hAnsi="仿宋" w:eastAsia="仿宋" w:cs="仿宋"/>
          <w:sz w:val="32"/>
          <w:szCs w:val="32"/>
        </w:rPr>
        <w:t>6、指导各级妇女组织依据妇联章程和妇女代表大会的任务，开展妇女儿童工作;加强与社会各界的联系，协调和推动社会各界为妇女儿童办实事、办好事。</w:t>
      </w:r>
    </w:p>
    <w:p>
      <w:pPr>
        <w:ind w:firstLine="640" w:firstLineChars="200"/>
        <w:rPr>
          <w:rFonts w:ascii="仿宋" w:hAnsi="仿宋" w:eastAsia="仿宋" w:cs="仿宋"/>
          <w:sz w:val="32"/>
          <w:szCs w:val="32"/>
        </w:rPr>
      </w:pPr>
      <w:r>
        <w:rPr>
          <w:rFonts w:hint="eastAsia" w:ascii="仿宋" w:hAnsi="仿宋" w:eastAsia="仿宋" w:cs="仿宋"/>
          <w:sz w:val="32"/>
          <w:szCs w:val="32"/>
        </w:rPr>
        <w:t>7、承担妇女儿童工作委员会办公室的工作。</w:t>
      </w:r>
    </w:p>
    <w:p>
      <w:pPr>
        <w:widowControl/>
        <w:autoSpaceDE w:val="0"/>
        <w:adjustRightInd w:val="0"/>
        <w:snapToGrid w:val="0"/>
        <w:spacing w:line="500" w:lineRule="exact"/>
        <w:ind w:firstLine="640" w:firstLineChars="200"/>
        <w:contextualSpacing/>
        <w:jc w:val="left"/>
      </w:pPr>
      <w:r>
        <w:rPr>
          <w:rFonts w:hint="eastAsia" w:ascii="仿宋" w:hAnsi="仿宋" w:eastAsia="仿宋" w:cs="仿宋"/>
          <w:sz w:val="32"/>
          <w:szCs w:val="32"/>
        </w:rPr>
        <w:t>8、承担上级有关部门交办的其他任务。</w:t>
      </w:r>
    </w:p>
    <w:p>
      <w:pPr>
        <w:pStyle w:val="3"/>
        <w:rPr>
          <w:rStyle w:val="29"/>
          <w:b w:val="0"/>
          <w:bCs w:val="0"/>
        </w:rPr>
      </w:pPr>
      <w:bookmarkStart w:id="16" w:name="_Toc15396601"/>
      <w:bookmarkStart w:id="17" w:name="_Toc15377200"/>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6"/>
      <w:bookmarkEnd w:id="17"/>
    </w:p>
    <w:p>
      <w:pPr>
        <w:pStyle w:val="5"/>
        <w:adjustRightInd w:val="0"/>
        <w:snapToGrid w:val="0"/>
        <w:spacing w:before="93" w:line="600" w:lineRule="exact"/>
        <w:ind w:firstLine="640" w:firstLineChars="200"/>
        <w:rPr>
          <w:rFonts w:ascii="仿宋" w:hAnsi="仿宋" w:eastAsia="仿宋" w:cs="仿宋"/>
          <w:sz w:val="32"/>
          <w:szCs w:val="32"/>
        </w:rPr>
      </w:pPr>
      <w:r>
        <w:rPr>
          <w:rFonts w:hint="eastAsia" w:ascii="仿宋" w:hAnsi="仿宋" w:eastAsia="仿宋" w:cs="仿宋"/>
          <w:sz w:val="32"/>
          <w:szCs w:val="32"/>
        </w:rPr>
        <w:t>本部门是参照公务员法管理单位，属一级财政预算单位，受区委区政府领导，岗位设置为主席、副主席、办公室和妇女儿童权益办公室。</w:t>
      </w: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rPr>
          <w:rStyle w:val="28"/>
          <w:rFonts w:ascii="黑体" w:hAnsi="黑体" w:eastAsia="黑体"/>
          <w:b w:val="0"/>
          <w:bCs/>
        </w:rPr>
      </w:pPr>
      <w:bookmarkStart w:id="18" w:name="_Toc15396602"/>
      <w:bookmarkStart w:id="19" w:name="_Toc15377204"/>
      <w:r>
        <w:rPr>
          <w:rFonts w:hint="eastAsia" w:ascii="黑体" w:hAnsi="黑体" w:eastAsia="黑体"/>
          <w:b w:val="0"/>
        </w:rPr>
        <w:t>第二部分 2022年度</w:t>
      </w:r>
      <w:r>
        <w:rPr>
          <w:rStyle w:val="28"/>
          <w:rFonts w:hint="eastAsia" w:ascii="黑体" w:hAnsi="黑体" w:eastAsia="黑体"/>
          <w:b w:val="0"/>
          <w:bCs/>
        </w:rPr>
        <w:t>部门决算情况说明</w:t>
      </w:r>
      <w:bookmarkEnd w:id="18"/>
      <w:bookmarkEnd w:id="19"/>
    </w:p>
    <w:p/>
    <w:p>
      <w:pPr>
        <w:pStyle w:val="27"/>
        <w:numPr>
          <w:ilvl w:val="0"/>
          <w:numId w:val="2"/>
        </w:numPr>
        <w:spacing w:line="600" w:lineRule="exact"/>
        <w:ind w:firstLineChars="0"/>
        <w:outlineLvl w:val="1"/>
        <w:rPr>
          <w:rStyle w:val="29"/>
          <w:rFonts w:ascii="黑体" w:hAnsi="黑体" w:eastAsia="黑体"/>
          <w:b w:val="0"/>
        </w:rPr>
      </w:pPr>
      <w:bookmarkStart w:id="20" w:name="_Toc15377205"/>
      <w:bookmarkStart w:id="21"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20"/>
      <w:bookmarkEnd w:id="21"/>
    </w:p>
    <w:p>
      <w:pPr>
        <w:snapToGrid w:val="0"/>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rPr>
        <w:t>2022本年度总收入</w:t>
      </w:r>
      <w:r>
        <w:rPr>
          <w:rFonts w:hint="eastAsia" w:ascii="仿宋_GB2312" w:hAnsi="仿宋" w:eastAsia="仿宋_GB2312"/>
          <w:color w:val="000000"/>
          <w:sz w:val="32"/>
          <w:szCs w:val="32"/>
        </w:rPr>
        <w:t>99.22万元。其中：其他收入7万元，一般公共财政拨款收入91.40，年初结转和结余0.82万元，与上年对比，减少139.42万元，减少13.34%，减少原因2021年底妇女儿童活动中心项目已实施完工。</w:t>
      </w:r>
    </w:p>
    <w:p>
      <w:pPr>
        <w:pStyle w:val="5"/>
        <w:spacing w:before="93"/>
      </w:pPr>
      <w:r>
        <w:drawing>
          <wp:inline distT="0" distB="0" distL="114300" distR="114300">
            <wp:extent cx="5146675" cy="2743200"/>
            <wp:effectExtent l="4445" t="4445" r="15240" b="10795"/>
            <wp:docPr id="1" name="图表 1"/>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7"/>
        <w:numPr>
          <w:ilvl w:val="0"/>
          <w:numId w:val="2"/>
        </w:numPr>
        <w:spacing w:line="600" w:lineRule="exact"/>
        <w:ind w:firstLineChars="0"/>
        <w:outlineLvl w:val="1"/>
        <w:rPr>
          <w:rStyle w:val="29"/>
          <w:rFonts w:ascii="黑体" w:hAnsi="黑体" w:eastAsia="黑体"/>
          <w:b w:val="0"/>
        </w:rPr>
      </w:pPr>
      <w:bookmarkStart w:id="22" w:name="_Toc15396604"/>
      <w:bookmarkStart w:id="23" w:name="_Toc15377206"/>
      <w:r>
        <w:rPr>
          <w:rFonts w:hint="eastAsia" w:ascii="黑体" w:hAnsi="黑体" w:eastAsia="黑体"/>
          <w:sz w:val="32"/>
          <w:szCs w:val="32"/>
        </w:rPr>
        <w:t>收</w:t>
      </w:r>
      <w:r>
        <w:rPr>
          <w:rStyle w:val="29"/>
          <w:rFonts w:hint="eastAsia" w:ascii="黑体" w:hAnsi="黑体" w:eastAsia="黑体"/>
          <w:b w:val="0"/>
        </w:rPr>
        <w:t>入决算情况说明</w:t>
      </w:r>
      <w:bookmarkEnd w:id="22"/>
      <w:bookmarkEnd w:id="23"/>
    </w:p>
    <w:p>
      <w:pPr>
        <w:snapToGrid w:val="0"/>
        <w:spacing w:before="93" w:beforeLines="30" w:after="100" w:afterAutospacing="1" w:line="600" w:lineRule="exact"/>
        <w:ind w:firstLine="672" w:firstLineChars="210"/>
        <w:outlineLvl w:val="2"/>
        <w:rPr>
          <w:rFonts w:ascii="仿宋" w:hAnsi="仿宋" w:eastAsia="仿宋" w:cs="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_GB2312" w:hAnsi="仿宋" w:eastAsia="仿宋_GB2312"/>
          <w:color w:val="000000"/>
          <w:sz w:val="32"/>
          <w:szCs w:val="32"/>
        </w:rPr>
        <w:t>99.22</w:t>
      </w:r>
      <w:r>
        <w:rPr>
          <w:rFonts w:hint="eastAsia" w:ascii="仿宋" w:hAnsi="仿宋" w:eastAsia="仿宋"/>
          <w:sz w:val="32"/>
          <w:szCs w:val="32"/>
        </w:rPr>
        <w:t>万元，</w:t>
      </w:r>
      <w:r>
        <w:rPr>
          <w:rFonts w:hint="eastAsia" w:ascii="仿宋_GB2312" w:hAnsi="仿宋" w:eastAsia="仿宋_GB2312"/>
          <w:color w:val="000000"/>
          <w:sz w:val="32"/>
          <w:szCs w:val="32"/>
        </w:rPr>
        <w:t>其</w:t>
      </w:r>
      <w:r>
        <w:rPr>
          <w:rFonts w:hint="eastAsia" w:ascii="仿宋_GB2312" w:hAnsi="仿宋" w:eastAsia="仿宋_GB2312"/>
          <w:color w:val="000000" w:themeColor="text1"/>
          <w:sz w:val="32"/>
          <w:szCs w:val="32"/>
          <w14:textFill>
            <w14:solidFill>
              <w14:schemeClr w14:val="tx1"/>
            </w14:solidFill>
          </w14:textFill>
        </w:rPr>
        <w:t>中：</w:t>
      </w:r>
      <w:r>
        <w:rPr>
          <w:rFonts w:hint="eastAsia" w:ascii="仿宋" w:hAnsi="仿宋" w:eastAsia="仿宋" w:cs="仿宋"/>
          <w:sz w:val="32"/>
          <w:szCs w:val="32"/>
          <w:lang w:val="zh-CN"/>
        </w:rPr>
        <w:t>一般公共预算：财政拨款收入</w:t>
      </w:r>
      <w:r>
        <w:rPr>
          <w:rFonts w:hint="eastAsia" w:ascii="仿宋" w:hAnsi="仿宋" w:eastAsia="仿宋" w:cs="仿宋"/>
          <w:sz w:val="32"/>
          <w:szCs w:val="32"/>
        </w:rPr>
        <w:t>91.4</w:t>
      </w:r>
      <w:r>
        <w:rPr>
          <w:rFonts w:hint="eastAsia" w:ascii="仿宋" w:hAnsi="仿宋" w:eastAsia="仿宋" w:cs="仿宋"/>
          <w:sz w:val="32"/>
          <w:szCs w:val="32"/>
          <w:lang w:val="zh-CN"/>
        </w:rPr>
        <w:t>万元，占</w:t>
      </w:r>
      <w:r>
        <w:rPr>
          <w:rFonts w:hint="eastAsia" w:ascii="仿宋" w:hAnsi="仿宋" w:eastAsia="仿宋" w:cs="仿宋"/>
          <w:sz w:val="32"/>
          <w:szCs w:val="32"/>
        </w:rPr>
        <w:t>92.1</w:t>
      </w:r>
      <w:r>
        <w:rPr>
          <w:rFonts w:hint="eastAsia" w:ascii="仿宋" w:hAnsi="仿宋" w:eastAsia="仿宋" w:cs="仿宋"/>
          <w:sz w:val="32"/>
          <w:szCs w:val="32"/>
          <w:lang w:val="zh-CN"/>
        </w:rPr>
        <w:t>%，</w:t>
      </w:r>
      <w:r>
        <w:rPr>
          <w:rFonts w:hint="eastAsia" w:ascii="仿宋" w:hAnsi="仿宋" w:eastAsia="仿宋" w:cs="仿宋"/>
          <w:sz w:val="32"/>
          <w:szCs w:val="32"/>
        </w:rPr>
        <w:t>其他收入7万元，</w:t>
      </w:r>
      <w:r>
        <w:rPr>
          <w:rFonts w:hint="eastAsia" w:ascii="仿宋" w:hAnsi="仿宋" w:eastAsia="仿宋" w:cs="仿宋"/>
          <w:sz w:val="32"/>
          <w:szCs w:val="32"/>
          <w:lang w:val="zh-CN"/>
        </w:rPr>
        <w:t>占</w:t>
      </w:r>
      <w:r>
        <w:rPr>
          <w:rFonts w:hint="eastAsia" w:ascii="仿宋" w:hAnsi="仿宋" w:eastAsia="仿宋" w:cs="仿宋"/>
          <w:sz w:val="32"/>
          <w:szCs w:val="32"/>
        </w:rPr>
        <w:t>7.1</w:t>
      </w:r>
      <w:r>
        <w:rPr>
          <w:rFonts w:hint="eastAsia" w:ascii="仿宋" w:hAnsi="仿宋" w:eastAsia="仿宋" w:cs="仿宋"/>
          <w:sz w:val="32"/>
          <w:szCs w:val="32"/>
          <w:lang w:val="zh-CN"/>
        </w:rPr>
        <w:t>%；</w:t>
      </w:r>
      <w:r>
        <w:rPr>
          <w:rFonts w:hint="eastAsia" w:ascii="仿宋" w:hAnsi="仿宋" w:eastAsia="仿宋" w:cs="仿宋"/>
          <w:sz w:val="32"/>
          <w:szCs w:val="32"/>
        </w:rPr>
        <w:t>年初结转和结余0.82万元，</w:t>
      </w:r>
      <w:r>
        <w:rPr>
          <w:rFonts w:hint="eastAsia" w:ascii="仿宋" w:hAnsi="仿宋" w:eastAsia="仿宋" w:cs="仿宋"/>
          <w:sz w:val="32"/>
          <w:szCs w:val="32"/>
          <w:lang w:val="zh-CN"/>
        </w:rPr>
        <w:t>占</w:t>
      </w:r>
      <w:r>
        <w:rPr>
          <w:rFonts w:hint="eastAsia" w:ascii="仿宋" w:hAnsi="仿宋" w:eastAsia="仿宋" w:cs="仿宋"/>
          <w:sz w:val="32"/>
          <w:szCs w:val="32"/>
        </w:rPr>
        <w:t>0.8</w:t>
      </w:r>
      <w:r>
        <w:rPr>
          <w:rFonts w:hint="eastAsia" w:ascii="仿宋" w:hAnsi="仿宋" w:eastAsia="仿宋" w:cs="仿宋"/>
          <w:sz w:val="32"/>
          <w:szCs w:val="32"/>
          <w:lang w:val="zh-CN"/>
        </w:rPr>
        <w:t>%</w:t>
      </w:r>
    </w:p>
    <w:p>
      <w:pPr>
        <w:pStyle w:val="5"/>
        <w:spacing w:before="93"/>
      </w:pPr>
    </w:p>
    <w:p>
      <w:pPr>
        <w:rPr>
          <w:rFonts w:ascii="仿宋_GB2312" w:eastAsia="仿宋_GB2312"/>
          <w:sz w:val="32"/>
          <w:szCs w:val="32"/>
        </w:rPr>
      </w:pPr>
      <w:r>
        <w:rPr>
          <w:rFonts w:ascii="仿宋_GB2312" w:hAnsi="仿宋_GB2312" w:eastAsia="仿宋_GB2312" w:cs="仿宋_GB2312"/>
          <w:sz w:val="32"/>
          <w:szCs w:val="32"/>
        </w:rPr>
        <w:object>
          <v:shape id="_x0000_i1025" o:spt="75" type="#_x0000_t75" style="height:186.75pt;width:363.75pt;" o:ole="t" filled="f" o:preferrelative="t" stroked="f" coordsize="21600,21600">
            <v:path/>
            <v:fill on="f" focussize="0,0"/>
            <v:stroke on="f" joinstyle="miter"/>
            <v:imagedata r:id="rId8" o:title=""/>
            <o:lock v:ext="edit" aspectratio="t"/>
            <w10:wrap type="none"/>
            <w10:anchorlock/>
          </v:shape>
          <o:OLEObject Type="Embed" ProgID="Excel.Chart.8" ShapeID="_x0000_i1025" DrawAspect="Content" ObjectID="_1468075725" r:id="rId7">
            <o:LockedField>false</o:LockedField>
          </o:OLEObject>
        </w:object>
      </w:r>
    </w:p>
    <w:p>
      <w:pPr>
        <w:pStyle w:val="27"/>
        <w:numPr>
          <w:ilvl w:val="0"/>
          <w:numId w:val="2"/>
        </w:numPr>
        <w:spacing w:line="600" w:lineRule="exact"/>
        <w:ind w:firstLineChars="0"/>
        <w:outlineLvl w:val="1"/>
        <w:rPr>
          <w:rStyle w:val="29"/>
          <w:rFonts w:ascii="黑体" w:hAnsi="黑体" w:eastAsia="黑体"/>
          <w:b w:val="0"/>
        </w:rPr>
      </w:pPr>
      <w:bookmarkStart w:id="24" w:name="_Toc15396605"/>
      <w:bookmarkStart w:id="25" w:name="_Toc15377207"/>
      <w:r>
        <w:rPr>
          <w:rFonts w:hint="eastAsia" w:ascii="黑体" w:hAnsi="黑体" w:eastAsia="黑体"/>
          <w:sz w:val="32"/>
          <w:szCs w:val="32"/>
        </w:rPr>
        <w:t>支</w:t>
      </w:r>
      <w:r>
        <w:rPr>
          <w:rStyle w:val="29"/>
          <w:rFonts w:hint="eastAsia" w:ascii="黑体" w:hAnsi="黑体" w:eastAsia="黑体"/>
          <w:b w:val="0"/>
        </w:rPr>
        <w:t>出决算情况说明</w:t>
      </w:r>
      <w:bookmarkEnd w:id="24"/>
      <w:bookmarkEnd w:id="25"/>
    </w:p>
    <w:p>
      <w:pPr>
        <w:pStyle w:val="5"/>
        <w:spacing w:before="93"/>
        <w:rPr>
          <w:sz w:val="32"/>
          <w:lang w:val="zh-CN"/>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22年本年支出合计</w:t>
      </w:r>
      <w:r>
        <w:rPr>
          <w:rFonts w:hint="eastAsia" w:hAnsi="仿宋"/>
          <w:color w:val="000000" w:themeColor="text1"/>
          <w:sz w:val="32"/>
          <w:szCs w:val="32"/>
          <w14:textFill>
            <w14:solidFill>
              <w14:schemeClr w14:val="tx1"/>
            </w14:solidFill>
          </w14:textFill>
        </w:rPr>
        <w:t>99.22</w:t>
      </w:r>
      <w:r>
        <w:rPr>
          <w:rFonts w:hint="eastAsia" w:ascii="仿宋" w:hAnsi="仿宋" w:eastAsia="仿宋"/>
          <w:color w:val="000000" w:themeColor="text1"/>
          <w:sz w:val="32"/>
          <w:szCs w:val="32"/>
          <w14:textFill>
            <w14:solidFill>
              <w14:schemeClr w14:val="tx1"/>
            </w14:solidFill>
          </w14:textFill>
        </w:rPr>
        <w:t>万元，</w:t>
      </w:r>
      <w:r>
        <w:rPr>
          <w:rFonts w:hint="eastAsia"/>
          <w:color w:val="000000" w:themeColor="text1"/>
          <w:sz w:val="32"/>
          <w:lang w:val="zh-CN"/>
          <w14:textFill>
            <w14:solidFill>
              <w14:schemeClr w14:val="tx1"/>
            </w14:solidFill>
          </w14:textFill>
        </w:rPr>
        <w:t>其中：</w:t>
      </w:r>
      <w:r>
        <w:rPr>
          <w:rFonts w:hint="eastAsia"/>
          <w:sz w:val="32"/>
          <w:lang w:val="zh-CN"/>
        </w:rPr>
        <w:t>基本支出</w:t>
      </w:r>
      <w:r>
        <w:rPr>
          <w:rFonts w:hint="eastAsia"/>
          <w:sz w:val="32"/>
        </w:rPr>
        <w:t>65.01</w:t>
      </w:r>
      <w:r>
        <w:rPr>
          <w:rFonts w:hint="eastAsia"/>
          <w:sz w:val="32"/>
          <w:lang w:val="zh-CN"/>
        </w:rPr>
        <w:t>万元，占</w:t>
      </w:r>
      <w:r>
        <w:rPr>
          <w:rFonts w:hint="eastAsia"/>
          <w:sz w:val="32"/>
        </w:rPr>
        <w:t>65.5</w:t>
      </w:r>
      <w:r>
        <w:rPr>
          <w:rFonts w:hint="eastAsia"/>
          <w:sz w:val="32"/>
          <w:lang w:val="zh-CN"/>
        </w:rPr>
        <w:t>%；项目支出</w:t>
      </w:r>
      <w:r>
        <w:rPr>
          <w:rFonts w:hint="eastAsia"/>
          <w:sz w:val="32"/>
        </w:rPr>
        <w:t>34.21</w:t>
      </w:r>
      <w:r>
        <w:rPr>
          <w:rFonts w:hint="eastAsia"/>
          <w:sz w:val="32"/>
          <w:lang w:val="zh-CN"/>
        </w:rPr>
        <w:t>万元，占</w:t>
      </w:r>
      <w:r>
        <w:rPr>
          <w:rFonts w:hint="eastAsia"/>
          <w:sz w:val="32"/>
        </w:rPr>
        <w:t>34.5</w:t>
      </w:r>
      <w:r>
        <w:rPr>
          <w:rFonts w:hint="eastAsia"/>
          <w:sz w:val="32"/>
          <w:lang w:val="zh-CN"/>
        </w:rPr>
        <w:t>%</w:t>
      </w:r>
      <w:r>
        <w:rPr>
          <w:rFonts w:hAnsi="仿宋"/>
          <w:sz w:val="32"/>
          <w:szCs w:val="32"/>
        </w:rPr>
        <w:pict>
          <v:shape id="Object 6" o:spid="_x0000_s1026" o:spt="75" type="#_x0000_t75" style="position:absolute;left:0pt;margin-left:47.15pt;margin-top:83.5pt;height:242.4pt;width:313.2pt;z-index:251660288;mso-width-relative:page;mso-height-relative:page;" o:ole="t" filled="f" o:preferrelative="t" stroked="f" coordsize="21600,21600">
            <v:path/>
            <v:fill on="f" focussize="0,0"/>
            <v:stroke on="f" joinstyle="miter"/>
            <v:imagedata r:id="rId10" o:title=""/>
            <o:lock v:ext="edit" aspectratio="t"/>
          </v:shape>
          <o:OLEObject Type="Embed" ProgID="Excel.Chart.8" ShapeID="Object 6" DrawAspect="Content" ObjectID="_1468075726" r:id="rId9">
            <o:LockedField>false</o:LockedField>
          </o:OLEObject>
        </w:pict>
      </w:r>
    </w:p>
    <w:p>
      <w:pPr>
        <w:pStyle w:val="5"/>
        <w:spacing w:before="93"/>
        <w:rPr>
          <w:sz w:val="32"/>
          <w:lang w:val="zh-CN"/>
        </w:rPr>
      </w:pPr>
    </w:p>
    <w:p>
      <w:pPr>
        <w:pStyle w:val="5"/>
        <w:spacing w:before="93"/>
        <w:rPr>
          <w:sz w:val="32"/>
          <w:lang w:val="zh-CN"/>
        </w:rPr>
      </w:pPr>
    </w:p>
    <w:p>
      <w:pPr>
        <w:pStyle w:val="5"/>
        <w:spacing w:before="93"/>
        <w:rPr>
          <w:sz w:val="32"/>
          <w:lang w:val="zh-CN"/>
        </w:rPr>
      </w:pPr>
    </w:p>
    <w:p>
      <w:pPr>
        <w:pStyle w:val="5"/>
        <w:spacing w:before="93"/>
        <w:rPr>
          <w:sz w:val="32"/>
          <w:lang w:val="zh-CN"/>
        </w:rPr>
      </w:pPr>
    </w:p>
    <w:p>
      <w:pPr>
        <w:pStyle w:val="5"/>
        <w:spacing w:before="93"/>
        <w:rPr>
          <w:sz w:val="32"/>
          <w:lang w:val="zh-CN"/>
        </w:rPr>
      </w:pPr>
    </w:p>
    <w:p>
      <w:pPr>
        <w:pStyle w:val="5"/>
        <w:spacing w:before="93"/>
        <w:rPr>
          <w:sz w:val="32"/>
          <w:lang w:val="zh-CN"/>
        </w:rPr>
      </w:pPr>
    </w:p>
    <w:p>
      <w:pPr>
        <w:pStyle w:val="5"/>
        <w:spacing w:before="93"/>
        <w:rPr>
          <w:sz w:val="32"/>
          <w:lang w:val="zh-CN"/>
        </w:rPr>
      </w:pPr>
    </w:p>
    <w:p>
      <w:pPr>
        <w:pStyle w:val="5"/>
        <w:spacing w:before="93"/>
        <w:rPr>
          <w:sz w:val="32"/>
          <w:szCs w:val="32"/>
        </w:rPr>
      </w:pPr>
      <w:r>
        <w:rPr>
          <w:rFonts w:hint="eastAsia" w:ascii="黑体" w:hAnsi="黑体" w:eastAsia="黑体"/>
          <w:sz w:val="32"/>
        </w:rPr>
        <w:t xml:space="preserve">  </w:t>
      </w:r>
      <w:r>
        <w:rPr>
          <w:rFonts w:hint="eastAsia" w:ascii="仿宋" w:hAnsi="仿宋" w:eastAsia="仿宋"/>
          <w:sz w:val="32"/>
          <w:szCs w:val="32"/>
        </w:rPr>
        <w:t>（图3：支出决算结构图）（饼状图）</w:t>
      </w:r>
    </w:p>
    <w:p>
      <w:pPr>
        <w:spacing w:line="600" w:lineRule="exact"/>
        <w:ind w:firstLine="640" w:firstLineChars="200"/>
        <w:outlineLvl w:val="1"/>
        <w:rPr>
          <w:rStyle w:val="29"/>
          <w:rFonts w:ascii="黑体" w:hAnsi="黑体" w:eastAsia="黑体"/>
          <w:b w:val="0"/>
        </w:rPr>
      </w:pPr>
      <w:bookmarkStart w:id="26" w:name="_Toc15396606"/>
      <w:bookmarkStart w:id="27"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6"/>
      <w:bookmarkEnd w:id="27"/>
    </w:p>
    <w:p>
      <w:pPr>
        <w:snapToGrid w:val="0"/>
        <w:spacing w:line="520" w:lineRule="exact"/>
        <w:ind w:firstLine="640" w:firstLineChars="200"/>
        <w:rPr>
          <w:rFonts w:ascii="仿宋_GB2312" w:hAnsi="仿宋" w:eastAsia="仿宋_GB2312"/>
          <w:color w:val="000000"/>
          <w:sz w:val="32"/>
          <w:szCs w:val="32"/>
        </w:rPr>
      </w:pPr>
      <w:r>
        <w:rPr>
          <w:rFonts w:ascii="仿宋" w:hAnsi="仿宋" w:eastAsia="仿宋"/>
          <w:sz w:val="32"/>
          <w:szCs w:val="32"/>
        </w:rPr>
        <w:t>20</w:t>
      </w:r>
      <w:r>
        <w:rPr>
          <w:rFonts w:hint="eastAsia" w:ascii="仿宋" w:hAnsi="仿宋" w:eastAsia="仿宋"/>
          <w:sz w:val="32"/>
          <w:szCs w:val="32"/>
        </w:rPr>
        <w:t>22年财政拨款收、支总计99.22万元。与</w:t>
      </w:r>
      <w:r>
        <w:rPr>
          <w:rFonts w:ascii="仿宋" w:hAnsi="仿宋" w:eastAsia="仿宋"/>
          <w:sz w:val="32"/>
          <w:szCs w:val="32"/>
        </w:rPr>
        <w:t>20</w:t>
      </w:r>
      <w:r>
        <w:rPr>
          <w:rFonts w:hint="eastAsia" w:ascii="仿宋" w:hAnsi="仿宋" w:eastAsia="仿宋"/>
          <w:sz w:val="32"/>
          <w:szCs w:val="32"/>
        </w:rPr>
        <w:t>21年相比，财政拨款收、支总计各减少</w:t>
      </w:r>
      <w:r>
        <w:rPr>
          <w:rFonts w:hint="eastAsia" w:ascii="仿宋_GB2312" w:hAnsi="仿宋" w:eastAsia="仿宋_GB2312"/>
          <w:color w:val="000000"/>
          <w:sz w:val="32"/>
          <w:szCs w:val="32"/>
        </w:rPr>
        <w:t>139.42</w:t>
      </w:r>
      <w:r>
        <w:rPr>
          <w:rFonts w:hint="eastAsia" w:ascii="仿宋" w:hAnsi="仿宋" w:eastAsia="仿宋"/>
          <w:sz w:val="32"/>
          <w:szCs w:val="32"/>
        </w:rPr>
        <w:t>万元，下降</w:t>
      </w:r>
      <w:r>
        <w:rPr>
          <w:rFonts w:hint="eastAsia" w:ascii="仿宋_GB2312" w:hAnsi="仿宋" w:eastAsia="仿宋_GB2312"/>
          <w:color w:val="000000"/>
          <w:sz w:val="32"/>
          <w:szCs w:val="32"/>
        </w:rPr>
        <w:t>48%，减少原因202</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年妇女儿童活动中心项目已实施完工。</w:t>
      </w:r>
    </w:p>
    <w:p>
      <w:pPr>
        <w:pStyle w:val="5"/>
        <w:spacing w:before="93"/>
        <w:rPr>
          <w:rFonts w:ascii="仿宋" w:hAnsi="仿宋" w:eastAsia="仿宋"/>
          <w:sz w:val="32"/>
          <w:szCs w:val="32"/>
        </w:rPr>
      </w:pPr>
      <w:r>
        <w:drawing>
          <wp:inline distT="0" distB="0" distL="114300" distR="114300">
            <wp:extent cx="5146675" cy="2743200"/>
            <wp:effectExtent l="4445" t="4445" r="15240" b="10795"/>
            <wp:docPr id="3" name="图表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29"/>
          <w:rFonts w:ascii="黑体" w:hAnsi="黑体" w:eastAsia="黑体"/>
          <w:b w:val="0"/>
        </w:rPr>
      </w:pPr>
      <w:bookmarkStart w:id="28" w:name="_Toc15377209"/>
      <w:bookmarkStart w:id="29"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8"/>
      <w:bookmarkEnd w:id="29"/>
    </w:p>
    <w:p>
      <w:pPr>
        <w:spacing w:line="600" w:lineRule="exact"/>
        <w:ind w:firstLine="642"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pPr>
        <w:snapToGrid w:val="0"/>
        <w:spacing w:line="52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22年一般公共预算财政拨款支出99.22万元，占本年支出合计的100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_GB2312" w:hAnsi="仿宋" w:eastAsia="仿宋_GB2312"/>
          <w:color w:val="000000"/>
          <w:sz w:val="32"/>
          <w:szCs w:val="32"/>
        </w:rPr>
        <w:t>139.42</w:t>
      </w:r>
      <w:r>
        <w:rPr>
          <w:rFonts w:hint="eastAsia" w:ascii="仿宋" w:hAnsi="仿宋" w:eastAsia="仿宋"/>
          <w:sz w:val="32"/>
          <w:szCs w:val="32"/>
        </w:rPr>
        <w:t>万元，下降</w:t>
      </w:r>
      <w:r>
        <w:rPr>
          <w:rFonts w:hint="eastAsia" w:ascii="仿宋_GB2312" w:hAnsi="仿宋" w:eastAsia="仿宋_GB2312"/>
          <w:color w:val="000000"/>
          <w:sz w:val="32"/>
          <w:szCs w:val="32"/>
        </w:rPr>
        <w:t>48%，减少原因:2022年妇女儿童活动中心项目已实施完工。</w:t>
      </w:r>
    </w:p>
    <w:p>
      <w:pPr>
        <w:spacing w:line="600" w:lineRule="exact"/>
        <w:ind w:firstLine="640" w:firstLineChars="200"/>
        <w:rPr>
          <w:rFonts w:ascii="仿宋" w:hAnsi="仿宋" w:eastAsia="仿宋"/>
          <w:sz w:val="32"/>
          <w:szCs w:val="32"/>
        </w:rPr>
      </w:pPr>
      <w:r>
        <w:rPr>
          <w:rFonts w:ascii="仿宋" w:hAnsi="仿宋" w:eastAsia="仿宋"/>
          <w:color w:val="FF0000"/>
          <w:sz w:val="32"/>
          <w:szCs w:val="32"/>
        </w:rPr>
        <w:drawing>
          <wp:anchor distT="0" distB="0" distL="0" distR="0" simplePos="0" relativeHeight="251659264" behindDoc="0" locked="0" layoutInCell="1" allowOverlap="1">
            <wp:simplePos x="0" y="0"/>
            <wp:positionH relativeFrom="column">
              <wp:posOffset>514985</wp:posOffset>
            </wp:positionH>
            <wp:positionV relativeFrom="paragraph">
              <wp:posOffset>133985</wp:posOffset>
            </wp:positionV>
            <wp:extent cx="4606290" cy="2426335"/>
            <wp:effectExtent l="4445" t="4445" r="6985" b="762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outlineLvl w:val="2"/>
        <w:rPr>
          <w:rFonts w:ascii="仿宋" w:hAnsi="仿宋" w:eastAsia="仿宋"/>
          <w:b/>
          <w:sz w:val="32"/>
          <w:szCs w:val="32"/>
        </w:rPr>
      </w:pPr>
      <w:bookmarkStart w:id="31" w:name="_Toc15377211"/>
    </w:p>
    <w:p>
      <w:pPr>
        <w:spacing w:line="600" w:lineRule="exact"/>
        <w:ind w:left="638" w:leftChars="304"/>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31"/>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22年一般公共预算财政拨款支出92.22.万元，主要用于以下方面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color w:val="000000" w:themeColor="text1"/>
          <w:sz w:val="32"/>
          <w:szCs w:val="32"/>
          <w14:textFill>
            <w14:solidFill>
              <w14:schemeClr w14:val="tx1"/>
            </w14:solidFill>
          </w14:textFill>
        </w:rPr>
        <w:t>78.25万元，占85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14:textFill>
            <w14:solidFill>
              <w14:schemeClr w14:val="tx1"/>
            </w14:solidFill>
          </w14:textFill>
        </w:rPr>
        <w:t>4.15万元，占4.5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2.31万元，占2.5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14:textFill>
            <w14:solidFill>
              <w14:schemeClr w14:val="tx1"/>
            </w14:solidFill>
          </w14:textFill>
        </w:rPr>
        <w:t>4.51万元，占4.9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农林水支出</w:t>
      </w:r>
      <w:r>
        <w:rPr>
          <w:rFonts w:hint="eastAsia" w:ascii="仿宋" w:hAnsi="仿宋" w:eastAsia="仿宋"/>
          <w:color w:val="000000" w:themeColor="text1"/>
          <w:sz w:val="32"/>
          <w:szCs w:val="32"/>
          <w14:textFill>
            <w14:solidFill>
              <w14:schemeClr w14:val="tx1"/>
            </w14:solidFill>
          </w14:textFill>
        </w:rPr>
        <w:t>3万元，占3.1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rPr>
          <w:rFonts w:ascii="仿宋" w:hAnsi="仿宋" w:eastAsia="仿宋"/>
          <w:sz w:val="32"/>
          <w:szCs w:val="32"/>
        </w:rPr>
      </w:pPr>
      <w:r>
        <w:rPr>
          <w:rFonts w:ascii="仿宋" w:hAnsi="仿宋" w:eastAsia="仿宋"/>
          <w:color w:val="FF0000"/>
          <w:sz w:val="32"/>
          <w:szCs w:val="32"/>
        </w:rPr>
        <w:drawing>
          <wp:anchor distT="0" distB="0" distL="0" distR="0" simplePos="0" relativeHeight="251661312" behindDoc="0" locked="0" layoutInCell="1" allowOverlap="1">
            <wp:simplePos x="0" y="0"/>
            <wp:positionH relativeFrom="column">
              <wp:posOffset>126365</wp:posOffset>
            </wp:positionH>
            <wp:positionV relativeFrom="paragraph">
              <wp:posOffset>189865</wp:posOffset>
            </wp:positionV>
            <wp:extent cx="5072380" cy="2662555"/>
            <wp:effectExtent l="4445" t="4445" r="13335" b="1524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2"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pPr>
        <w:spacing w:line="600" w:lineRule="exact"/>
        <w:ind w:firstLine="642" w:firstLineChars="200"/>
        <w:outlineLvl w:val="2"/>
        <w:rPr>
          <w:rFonts w:ascii="仿宋" w:hAnsi="仿宋" w:eastAsia="仿宋"/>
          <w:sz w:val="32"/>
          <w:szCs w:val="32"/>
        </w:rPr>
      </w:pPr>
      <w:bookmarkStart w:id="33" w:name="_Toc15378460"/>
      <w:bookmarkStart w:id="34" w:name="_Toc15377444"/>
      <w:bookmarkStart w:id="35" w:name="_Toc15377213"/>
      <w:r>
        <w:rPr>
          <w:rFonts w:hint="eastAsia" w:ascii="仿宋" w:hAnsi="仿宋" w:eastAsia="仿宋"/>
          <w:b/>
          <w:sz w:val="32"/>
          <w:szCs w:val="32"/>
        </w:rPr>
        <w:t>2022年一般公共预算支出决算数为92.22</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3"/>
      <w:bookmarkEnd w:id="34"/>
      <w:bookmarkEnd w:id="35"/>
    </w:p>
    <w:p>
      <w:pPr>
        <w:numPr>
          <w:ilvl w:val="0"/>
          <w:numId w:val="3"/>
        </w:numPr>
        <w:spacing w:line="600" w:lineRule="exact"/>
        <w:ind w:firstLine="642"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一般公共服务（类）群众团体事务（款）行政运行（项）</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支出决算为54.04万元，完成预算</w:t>
      </w:r>
      <w:r>
        <w:rPr>
          <w:rStyle w:val="17"/>
          <w:rFonts w:hint="eastAsia" w:ascii="仿宋" w:hAnsi="仿宋" w:eastAsia="仿宋"/>
          <w:b w:val="0"/>
          <w:bCs/>
          <w:color w:val="000000" w:themeColor="text1"/>
          <w:sz w:val="32"/>
          <w:szCs w:val="32"/>
          <w:lang w:val="en-US" w:eastAsia="zh-CN"/>
          <w14:textFill>
            <w14:solidFill>
              <w14:schemeClr w14:val="tx1"/>
            </w14:solidFill>
          </w14:textFill>
        </w:rPr>
        <w:t>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pPr>
        <w:numPr>
          <w:ilvl w:val="0"/>
          <w:numId w:val="3"/>
        </w:numPr>
        <w:spacing w:line="600" w:lineRule="exact"/>
        <w:ind w:firstLine="642" w:firstLineChars="200"/>
        <w:rPr>
          <w:color w:val="000000" w:themeColor="text1"/>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一般公共服务（类）群众团体事务（款）  一般行政管理事务（项）</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支出决算为20.23万元，完成预算</w:t>
      </w:r>
      <w:r>
        <w:rPr>
          <w:rStyle w:val="17"/>
          <w:rFonts w:hint="eastAsia" w:ascii="仿宋" w:hAnsi="仿宋" w:eastAsia="仿宋"/>
          <w:b w:val="0"/>
          <w:bCs/>
          <w:color w:val="000000" w:themeColor="text1"/>
          <w:sz w:val="32"/>
          <w:szCs w:val="32"/>
          <w:lang w:val="en-US" w:eastAsia="zh-CN"/>
          <w14:textFill>
            <w14:solidFill>
              <w14:schemeClr w14:val="tx1"/>
            </w14:solidFill>
          </w14:textFill>
        </w:rPr>
        <w:t>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pPr>
        <w:spacing w:line="600" w:lineRule="exact"/>
        <w:ind w:firstLine="642" w:firstLineChars="200"/>
        <w:rPr>
          <w:color w:val="000000" w:themeColor="text1"/>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3.一般公共服务（类）群众团体事务（款）其他群众团体事务支出（项）</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支出决算为3.98万元，完成预算</w:t>
      </w:r>
      <w:r>
        <w:rPr>
          <w:rStyle w:val="17"/>
          <w:rFonts w:hint="eastAsia" w:ascii="仿宋" w:hAnsi="仿宋" w:eastAsia="仿宋"/>
          <w:b w:val="0"/>
          <w:bCs/>
          <w:color w:val="000000" w:themeColor="text1"/>
          <w:sz w:val="32"/>
          <w:szCs w:val="32"/>
          <w:lang w:val="en-US" w:eastAsia="zh-CN"/>
          <w14:textFill>
            <w14:solidFill>
              <w14:schemeClr w14:val="tx1"/>
            </w14:solidFill>
          </w14:textFill>
        </w:rPr>
        <w:t>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，决算数于预算数。</w:t>
      </w:r>
    </w:p>
    <w:p>
      <w:pPr>
        <w:spacing w:line="600" w:lineRule="exact"/>
        <w:ind w:firstLine="642" w:firstLineChars="200"/>
        <w:rPr>
          <w:rStyle w:val="17"/>
          <w:rFonts w:ascii="仿宋" w:hAnsi="仿宋" w:eastAsia="仿宋" w:cstheme="minorBidi"/>
          <w:b w:val="0"/>
          <w:bCs/>
          <w:color w:val="000000" w:themeColor="text1"/>
          <w:sz w:val="32"/>
          <w:szCs w:val="32"/>
          <w14:textFill>
            <w14:solidFill>
              <w14:schemeClr w14:val="tx1"/>
            </w14:solidFill>
          </w14:textFill>
        </w:rPr>
      </w:pPr>
      <w:r>
        <w:rPr>
          <w:rStyle w:val="17"/>
          <w:rFonts w:hint="eastAsia" w:ascii="仿宋" w:hAnsi="仿宋" w:eastAsia="仿宋" w:cstheme="minorBidi"/>
          <w:bCs/>
          <w:color w:val="000000" w:themeColor="text1"/>
          <w:sz w:val="32"/>
          <w:szCs w:val="32"/>
          <w14:textFill>
            <w14:solidFill>
              <w14:schemeClr w14:val="tx1"/>
            </w14:solidFill>
          </w14:textFill>
        </w:rPr>
        <w:t xml:space="preserve">4.社会保障和就业（类）行政事业单位养老支出（款）  机关事业单位基本养老保险缴费支出（项）: </w:t>
      </w:r>
      <w:r>
        <w:rPr>
          <w:rStyle w:val="17"/>
          <w:rFonts w:hint="eastAsia" w:ascii="仿宋" w:hAnsi="仿宋" w:eastAsia="仿宋" w:cstheme="minorBidi"/>
          <w:b w:val="0"/>
          <w:bCs/>
          <w:color w:val="000000" w:themeColor="text1"/>
          <w:sz w:val="32"/>
          <w:szCs w:val="32"/>
          <w14:textFill>
            <w14:solidFill>
              <w14:schemeClr w14:val="tx1"/>
            </w14:solidFill>
          </w14:textFill>
        </w:rPr>
        <w:t>支出决算为4.15万元，完成预算</w:t>
      </w:r>
      <w:r>
        <w:rPr>
          <w:rStyle w:val="17"/>
          <w:rFonts w:hint="eastAsia" w:ascii="仿宋" w:hAnsi="仿宋" w:eastAsia="仿宋" w:cstheme="minorBidi"/>
          <w:b w:val="0"/>
          <w:bCs/>
          <w:color w:val="000000" w:themeColor="text1"/>
          <w:sz w:val="32"/>
          <w:szCs w:val="32"/>
          <w:lang w:val="en-US" w:eastAsia="zh-CN"/>
          <w14:textFill>
            <w14:solidFill>
              <w14:schemeClr w14:val="tx1"/>
            </w14:solidFill>
          </w14:textFill>
        </w:rPr>
        <w:t>100</w:t>
      </w:r>
      <w:r>
        <w:rPr>
          <w:rStyle w:val="17"/>
          <w:rFonts w:hint="eastAsia" w:ascii="仿宋" w:hAnsi="仿宋" w:eastAsia="仿宋" w:cstheme="minorBidi"/>
          <w:b w:val="0"/>
          <w:bCs/>
          <w:color w:val="000000" w:themeColor="text1"/>
          <w:sz w:val="32"/>
          <w:szCs w:val="32"/>
          <w14:textFill>
            <w14:solidFill>
              <w14:schemeClr w14:val="tx1"/>
            </w14:solidFill>
          </w14:textFill>
        </w:rPr>
        <w:t>%，决算数等于预算数。</w:t>
      </w:r>
    </w:p>
    <w:p>
      <w:pPr>
        <w:spacing w:line="600" w:lineRule="exact"/>
        <w:ind w:firstLine="642" w:firstLineChars="200"/>
        <w:rPr>
          <w:rStyle w:val="17"/>
          <w:rFonts w:ascii="仿宋" w:hAnsi="仿宋" w:eastAsia="仿宋" w:cstheme="minorBidi"/>
          <w:b w:val="0"/>
          <w:bCs/>
          <w:color w:val="000000" w:themeColor="text1"/>
          <w:sz w:val="32"/>
          <w:szCs w:val="32"/>
          <w14:textFill>
            <w14:solidFill>
              <w14:schemeClr w14:val="tx1"/>
            </w14:solidFill>
          </w14:textFill>
        </w:rPr>
      </w:pPr>
      <w:r>
        <w:rPr>
          <w:rStyle w:val="17"/>
          <w:rFonts w:hint="eastAsia" w:ascii="仿宋" w:hAnsi="仿宋" w:eastAsia="仿宋" w:cstheme="minorBidi"/>
          <w:bCs/>
          <w:color w:val="000000" w:themeColor="text1"/>
          <w:sz w:val="32"/>
          <w:szCs w:val="32"/>
          <w14:textFill>
            <w14:solidFill>
              <w14:schemeClr w14:val="tx1"/>
            </w14:solidFill>
          </w14:textFill>
        </w:rPr>
        <w:t>5.卫生健康（类）行政事业单位医疗（款）行政单位医疗（项）:支出决算为2.31万元，完成预算</w:t>
      </w:r>
      <w:r>
        <w:rPr>
          <w:rStyle w:val="17"/>
          <w:rFonts w:hint="eastAsia" w:ascii="仿宋" w:hAnsi="仿宋" w:eastAsia="仿宋" w:cstheme="minorBidi"/>
          <w:bCs/>
          <w:color w:val="000000" w:themeColor="text1"/>
          <w:sz w:val="32"/>
          <w:szCs w:val="32"/>
          <w:lang w:val="en-US" w:eastAsia="zh-CN"/>
          <w14:textFill>
            <w14:solidFill>
              <w14:schemeClr w14:val="tx1"/>
            </w14:solidFill>
          </w14:textFill>
        </w:rPr>
        <w:t>100</w:t>
      </w:r>
      <w:r>
        <w:rPr>
          <w:rStyle w:val="17"/>
          <w:rFonts w:hint="eastAsia" w:ascii="仿宋" w:hAnsi="仿宋" w:eastAsia="仿宋" w:cstheme="minorBidi"/>
          <w:bCs/>
          <w:color w:val="000000" w:themeColor="text1"/>
          <w:sz w:val="32"/>
          <w:szCs w:val="32"/>
          <w14:textFill>
            <w14:solidFill>
              <w14:schemeClr w14:val="tx1"/>
            </w14:solidFill>
          </w14:textFill>
        </w:rPr>
        <w:t>%，</w:t>
      </w:r>
      <w:r>
        <w:rPr>
          <w:rStyle w:val="17"/>
          <w:rFonts w:hint="eastAsia" w:ascii="仿宋" w:hAnsi="仿宋" w:eastAsia="仿宋" w:cstheme="minorBidi"/>
          <w:b w:val="0"/>
          <w:bCs/>
          <w:color w:val="000000" w:themeColor="text1"/>
          <w:sz w:val="32"/>
          <w:szCs w:val="32"/>
          <w14:textFill>
            <w14:solidFill>
              <w14:schemeClr w14:val="tx1"/>
            </w14:solidFill>
          </w14:textFill>
        </w:rPr>
        <w:t>决算数等于预算数。</w:t>
      </w:r>
    </w:p>
    <w:p>
      <w:pPr>
        <w:spacing w:line="600" w:lineRule="exact"/>
        <w:ind w:firstLine="642" w:firstLineChars="200"/>
        <w:rPr>
          <w:rStyle w:val="17"/>
          <w:rFonts w:ascii="仿宋" w:hAnsi="仿宋" w:eastAsia="仿宋" w:cstheme="minorBidi"/>
          <w:b w:val="0"/>
          <w:bCs/>
          <w:color w:val="000000" w:themeColor="text1"/>
          <w:sz w:val="32"/>
          <w:szCs w:val="32"/>
          <w14:textFill>
            <w14:solidFill>
              <w14:schemeClr w14:val="tx1"/>
            </w14:solidFill>
          </w14:textFill>
        </w:rPr>
      </w:pPr>
      <w:r>
        <w:rPr>
          <w:rStyle w:val="17"/>
          <w:rFonts w:hint="eastAsia" w:ascii="仿宋" w:hAnsi="仿宋" w:eastAsia="仿宋" w:cstheme="minorBidi"/>
          <w:bCs/>
          <w:color w:val="000000" w:themeColor="text1"/>
          <w:sz w:val="32"/>
          <w:szCs w:val="32"/>
          <w14:textFill>
            <w14:solidFill>
              <w14:schemeClr w14:val="tx1"/>
            </w14:solidFill>
          </w14:textFill>
        </w:rPr>
        <w:t>6.农林水支出（类）巩固脱贫衔接乡村振兴（款）其他巩固脱贫衔接乡村振兴支出（项）:</w:t>
      </w:r>
      <w:r>
        <w:rPr>
          <w:rStyle w:val="17"/>
          <w:rFonts w:hint="eastAsia" w:ascii="仿宋" w:hAnsi="仿宋" w:eastAsia="仿宋" w:cstheme="minorBidi"/>
          <w:b w:val="0"/>
          <w:bCs/>
          <w:color w:val="000000" w:themeColor="text1"/>
          <w:sz w:val="32"/>
          <w:szCs w:val="32"/>
          <w14:textFill>
            <w14:solidFill>
              <w14:schemeClr w14:val="tx1"/>
            </w14:solidFill>
          </w14:textFill>
        </w:rPr>
        <w:t xml:space="preserve"> 支出决算为3万元，完成预算</w:t>
      </w:r>
      <w:r>
        <w:rPr>
          <w:rStyle w:val="17"/>
          <w:rFonts w:hint="eastAsia" w:ascii="仿宋" w:hAnsi="仿宋" w:eastAsia="仿宋" w:cstheme="minorBidi"/>
          <w:b w:val="0"/>
          <w:bCs/>
          <w:color w:val="000000" w:themeColor="text1"/>
          <w:sz w:val="32"/>
          <w:szCs w:val="32"/>
          <w:lang w:val="en-US" w:eastAsia="zh-CN"/>
          <w14:textFill>
            <w14:solidFill>
              <w14:schemeClr w14:val="tx1"/>
            </w14:solidFill>
          </w14:textFill>
        </w:rPr>
        <w:t>100</w:t>
      </w:r>
      <w:r>
        <w:rPr>
          <w:rStyle w:val="17"/>
          <w:rFonts w:hint="eastAsia" w:ascii="仿宋" w:hAnsi="仿宋" w:eastAsia="仿宋" w:cstheme="minorBidi"/>
          <w:b w:val="0"/>
          <w:bCs/>
          <w:color w:val="000000" w:themeColor="text1"/>
          <w:sz w:val="32"/>
          <w:szCs w:val="32"/>
          <w14:textFill>
            <w14:solidFill>
              <w14:schemeClr w14:val="tx1"/>
            </w14:solidFill>
          </w14:textFill>
        </w:rPr>
        <w:t>%，决算数等于预算数。</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7</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住房保障支出（类）住房改革支出（款）住房公积金（项）</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支出决算为4.51万元，完成预算</w:t>
      </w:r>
      <w:r>
        <w:rPr>
          <w:rStyle w:val="17"/>
          <w:rFonts w:hint="eastAsia" w:ascii="仿宋" w:hAnsi="仿宋" w:eastAsia="仿宋"/>
          <w:b w:val="0"/>
          <w:bCs/>
          <w:color w:val="000000" w:themeColor="text1"/>
          <w:sz w:val="32"/>
          <w:szCs w:val="32"/>
          <w:lang w:val="en-US" w:eastAsia="zh-CN"/>
          <w14:textFill>
            <w14:solidFill>
              <w14:schemeClr w14:val="tx1"/>
            </w14:solidFill>
          </w14:textFill>
        </w:rPr>
        <w:t>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pPr>
        <w:tabs>
          <w:tab w:val="right" w:pos="8306"/>
        </w:tabs>
        <w:spacing w:line="600" w:lineRule="exact"/>
        <w:ind w:firstLine="640"/>
        <w:outlineLvl w:val="1"/>
        <w:rPr>
          <w:rStyle w:val="29"/>
        </w:rPr>
      </w:pPr>
      <w:bookmarkStart w:id="36" w:name="_Toc15396608"/>
      <w:bookmarkStart w:id="3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6"/>
      <w:bookmarkEnd w:id="37"/>
      <w:r>
        <w:rPr>
          <w:rStyle w:val="2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22年一般公共预算财政拨款基本支出65.01万元，其中：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人员经费56.94万元，主要包括：基本工资、津贴补贴、奖金、伙食补助费、绩效工资、机关事业单位基本养老保险缴费、职业年金缴费、其他社会保障缴费、其他工资福利支医疗费补助、奖励金、住房公积金等。</w:t>
      </w:r>
    </w:p>
    <w:p>
      <w:pPr>
        <w:spacing w:line="600" w:lineRule="exact"/>
        <w:ind w:firstLine="645"/>
        <w:rPr>
          <w:rFonts w:ascii="仿宋" w:hAnsi="仿宋" w:eastAsia="仿宋"/>
          <w:b/>
          <w:sz w:val="32"/>
          <w:szCs w:val="32"/>
        </w:rPr>
      </w:pPr>
      <w:r>
        <w:rPr>
          <w:rFonts w:hint="eastAsia" w:ascii="仿宋" w:hAnsi="仿宋" w:eastAsia="仿宋"/>
          <w:sz w:val="32"/>
          <w:szCs w:val="32"/>
        </w:rPr>
        <w:t>公用经费8.05万元，主要包括：办公费、印刷费</w:t>
      </w:r>
      <w:r>
        <w:rPr>
          <w:rFonts w:hint="eastAsia" w:ascii="仿宋" w:hAnsi="仿宋" w:eastAsia="仿宋"/>
          <w:sz w:val="32"/>
          <w:szCs w:val="32"/>
          <w:lang w:eastAsia="zh-CN"/>
        </w:rPr>
        <w:t>、</w:t>
      </w:r>
      <w:r>
        <w:rPr>
          <w:rFonts w:hint="eastAsia" w:ascii="仿宋" w:hAnsi="仿宋" w:eastAsia="仿宋"/>
          <w:sz w:val="32"/>
          <w:szCs w:val="32"/>
        </w:rPr>
        <w:t>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黑体" w:hAnsi="黑体" w:eastAsia="黑体"/>
          <w:b w:val="0"/>
        </w:rPr>
      </w:pPr>
      <w:bookmarkStart w:id="38" w:name="_Toc15377215"/>
      <w:bookmarkStart w:id="39"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8"/>
      <w:bookmarkEnd w:id="39"/>
    </w:p>
    <w:p>
      <w:pPr>
        <w:spacing w:line="60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_GB2312" w:hAnsi="仿宋" w:eastAsia="仿宋_GB2312"/>
          <w:color w:val="000000" w:themeColor="text1"/>
          <w:sz w:val="32"/>
          <w:szCs w:val="32"/>
          <w14:textFill>
            <w14:solidFill>
              <w14:schemeClr w14:val="tx1"/>
            </w14:solidFill>
          </w14:textFill>
        </w:rPr>
        <w:t>0.71万元，主要是公务接待费用，</w:t>
      </w:r>
      <w:r>
        <w:rPr>
          <w:rFonts w:hint="eastAsia" w:ascii="仿宋_GB2312" w:hAnsi="仿宋" w:eastAsia="仿宋_GB2312"/>
          <w:color w:val="000000" w:themeColor="text1"/>
          <w:sz w:val="32"/>
          <w:szCs w:val="32"/>
          <w:lang w:val="en-US" w:eastAsia="zh-CN"/>
          <w14:textFill>
            <w14:solidFill>
              <w14:schemeClr w14:val="tx1"/>
            </w14:solidFill>
          </w14:textFill>
        </w:rPr>
        <w:t>与</w:t>
      </w:r>
      <w:r>
        <w:rPr>
          <w:rFonts w:hint="eastAsia" w:ascii="仿宋_GB2312" w:hAnsi="仿宋" w:eastAsia="仿宋_GB2312"/>
          <w:color w:val="000000" w:themeColor="text1"/>
          <w:sz w:val="32"/>
          <w:szCs w:val="32"/>
          <w14:textFill>
            <w14:solidFill>
              <w14:schemeClr w14:val="tx1"/>
            </w14:solidFill>
          </w14:textFill>
        </w:rPr>
        <w:t>2021年度</w:t>
      </w:r>
      <w:r>
        <w:rPr>
          <w:rFonts w:hint="eastAsia" w:ascii="仿宋_GB2312" w:hAnsi="仿宋" w:eastAsia="仿宋_GB2312"/>
          <w:color w:val="000000" w:themeColor="text1"/>
          <w:sz w:val="32"/>
          <w:szCs w:val="32"/>
          <w:lang w:val="en-US" w:eastAsia="zh-CN"/>
          <w14:textFill>
            <w14:solidFill>
              <w14:schemeClr w14:val="tx1"/>
            </w14:solidFill>
          </w14:textFill>
        </w:rPr>
        <w:t>决算持平；</w:t>
      </w:r>
      <w:r>
        <w:rPr>
          <w:rFonts w:hint="eastAsia" w:ascii="仿宋" w:hAnsi="仿宋" w:eastAsia="仿宋"/>
          <w:color w:val="000000" w:themeColor="text1"/>
          <w:sz w:val="32"/>
          <w:szCs w:val="32"/>
          <w14:textFill>
            <w14:solidFill>
              <w14:schemeClr w14:val="tx1"/>
            </w14:solidFill>
          </w14:textFill>
        </w:rPr>
        <w:t>决算数等于预算数。</w:t>
      </w:r>
    </w:p>
    <w:p>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；公务接待费支出决算0.71万元，占100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ascii="仿宋" w:hAnsi="仿宋" w:eastAsia="仿宋"/>
          <w:sz w:val="32"/>
          <w:szCs w:val="32"/>
        </w:rPr>
        <w:drawing>
          <wp:anchor distT="0" distB="0" distL="0" distR="0" simplePos="0" relativeHeight="251662336" behindDoc="0" locked="0" layoutInCell="1" allowOverlap="1">
            <wp:simplePos x="0" y="0"/>
            <wp:positionH relativeFrom="column">
              <wp:posOffset>571500</wp:posOffset>
            </wp:positionH>
            <wp:positionV relativeFrom="paragraph">
              <wp:posOffset>84455</wp:posOffset>
            </wp:positionV>
            <wp:extent cx="4452620" cy="2605405"/>
            <wp:effectExtent l="4445" t="4445" r="8255" b="1143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5"/>
        <w:spacing w:before="93"/>
        <w:rPr>
          <w:rFonts w:ascii="仿宋" w:hAnsi="仿宋" w:eastAsia="仿宋"/>
          <w:sz w:val="32"/>
          <w:szCs w:val="32"/>
        </w:rPr>
      </w:pPr>
    </w:p>
    <w:p>
      <w:pPr>
        <w:pStyle w:val="5"/>
        <w:spacing w:before="93"/>
        <w:rPr>
          <w:rFonts w:ascii="仿宋" w:hAnsi="仿宋" w:eastAsia="仿宋"/>
          <w:sz w:val="32"/>
          <w:szCs w:val="32"/>
        </w:rPr>
      </w:pPr>
    </w:p>
    <w:p>
      <w:pPr>
        <w:pStyle w:val="5"/>
        <w:spacing w:before="93"/>
        <w:rPr>
          <w:rFonts w:ascii="仿宋" w:hAnsi="仿宋" w:eastAsia="仿宋"/>
          <w:sz w:val="32"/>
          <w:szCs w:val="32"/>
        </w:rPr>
      </w:pPr>
    </w:p>
    <w:p>
      <w:pPr>
        <w:spacing w:line="600" w:lineRule="exact"/>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rPr>
          <w:rFonts w:ascii="仿宋_GB2312" w:eastAsia="仿宋_GB2312"/>
          <w:b/>
          <w:sz w:val="32"/>
          <w:szCs w:val="32"/>
        </w:rPr>
      </w:pPr>
    </w:p>
    <w:p>
      <w:pPr>
        <w:spacing w:line="600" w:lineRule="exact"/>
        <w:ind w:firstLine="64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1.</w:t>
      </w:r>
      <w:r>
        <w:rPr>
          <w:rFonts w:hint="eastAsia" w:ascii="仿宋_GB2312" w:eastAsia="仿宋_GB2312"/>
          <w:b/>
          <w:color w:val="000000" w:themeColor="text1"/>
          <w:sz w:val="32"/>
          <w:szCs w:val="32"/>
          <w14:textFill>
            <w14:solidFill>
              <w14:schemeClr w14:val="tx1"/>
            </w14:solidFill>
          </w14:textFill>
        </w:rPr>
        <w:t>因公出国（境）经费支出0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ind w:firstLine="640"/>
        <w:rPr>
          <w:rFonts w:ascii="仿宋_GB2312" w:eastAsia="仿宋_GB2312"/>
          <w:b/>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2.</w:t>
      </w:r>
      <w:r>
        <w:rPr>
          <w:rFonts w:hint="eastAsia" w:ascii="仿宋_GB2312" w:eastAsia="仿宋_GB2312"/>
          <w:b/>
          <w:color w:val="000000" w:themeColor="text1"/>
          <w:sz w:val="32"/>
          <w:szCs w:val="32"/>
          <w14:textFill>
            <w14:solidFill>
              <w14:schemeClr w14:val="tx1"/>
            </w14:solidFill>
          </w14:textFill>
        </w:rPr>
        <w:t>公务用车购置及运行维护费支出</w:t>
      </w:r>
      <w:r>
        <w:rPr>
          <w:rFonts w:hint="eastAsia" w:ascii="仿宋_GB2312" w:eastAsia="仿宋_GB2312"/>
          <w:color w:val="000000" w:themeColor="text1"/>
          <w:sz w:val="32"/>
          <w:szCs w:val="32"/>
          <w14:textFill>
            <w14:solidFill>
              <w14:schemeClr w14:val="tx1"/>
            </w14:solidFill>
          </w14:textFill>
        </w:rPr>
        <w:t>0万元。</w:t>
      </w:r>
    </w:p>
    <w:p>
      <w:pPr>
        <w:spacing w:line="600" w:lineRule="exact"/>
        <w:ind w:firstLine="642"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公务用车购置支出</w:t>
      </w:r>
      <w:r>
        <w:rPr>
          <w:rFonts w:hint="eastAsia" w:ascii="仿宋_GB2312" w:eastAsia="仿宋_GB2312"/>
          <w:color w:val="000000" w:themeColor="text1"/>
          <w:sz w:val="32"/>
          <w:szCs w:val="32"/>
          <w14:textFill>
            <w14:solidFill>
              <w14:schemeClr w14:val="tx1"/>
            </w14:solidFill>
          </w14:textFill>
        </w:rPr>
        <w:t>0万元。</w:t>
      </w:r>
    </w:p>
    <w:p>
      <w:pPr>
        <w:spacing w:line="600" w:lineRule="exact"/>
        <w:ind w:firstLine="64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公务用车运行维护费支出</w:t>
      </w:r>
      <w:r>
        <w:rPr>
          <w:rFonts w:hint="eastAsia" w:ascii="仿宋_GB2312" w:eastAsia="仿宋_GB2312"/>
          <w:color w:val="000000" w:themeColor="text1"/>
          <w:sz w:val="32"/>
          <w:szCs w:val="32"/>
          <w14:textFill>
            <w14:solidFill>
              <w14:schemeClr w14:val="tx1"/>
            </w14:solidFill>
          </w14:textFill>
        </w:rPr>
        <w:t>0万元。</w:t>
      </w:r>
    </w:p>
    <w:p>
      <w:pPr>
        <w:spacing w:line="600" w:lineRule="exact"/>
        <w:ind w:firstLine="640"/>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3.</w:t>
      </w:r>
      <w:r>
        <w:rPr>
          <w:rFonts w:hint="eastAsia" w:ascii="仿宋_GB2312" w:eastAsia="仿宋_GB2312"/>
          <w:b/>
          <w:color w:val="000000" w:themeColor="text1"/>
          <w:sz w:val="32"/>
          <w:szCs w:val="32"/>
          <w14:textFill>
            <w14:solidFill>
              <w14:schemeClr w14:val="tx1"/>
            </w14:solidFill>
          </w14:textFill>
        </w:rPr>
        <w:t>公务接待费支出</w:t>
      </w:r>
      <w:r>
        <w:rPr>
          <w:rFonts w:hint="eastAsia" w:ascii="仿宋_GB2312" w:eastAsia="仿宋_GB2312"/>
          <w:color w:val="000000" w:themeColor="text1"/>
          <w:sz w:val="32"/>
          <w:szCs w:val="32"/>
          <w14:textFill>
            <w14:solidFill>
              <w14:schemeClr w14:val="tx1"/>
            </w14:solidFill>
          </w14:textFill>
        </w:rPr>
        <w:t>0.71万元，</w:t>
      </w:r>
      <w:r>
        <w:rPr>
          <w:rStyle w:val="17"/>
          <w:rFonts w:hint="eastAsia" w:ascii="仿宋" w:hAnsi="仿宋" w:eastAsia="仿宋"/>
          <w:b w:val="0"/>
          <w:bCs/>
          <w:color w:val="000000" w:themeColor="text1"/>
          <w:sz w:val="32"/>
          <w:szCs w:val="32"/>
          <w14:textFill>
            <w14:solidFill>
              <w14:schemeClr w14:val="tx1"/>
            </w14:solidFill>
          </w14:textFill>
        </w:rPr>
        <w:t>完成预算0.77</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公务接待费支出决算比</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21年</w:t>
      </w:r>
      <w:r>
        <w:rPr>
          <w:rFonts w:hint="eastAsia" w:ascii="仿宋_GB2312" w:eastAsia="仿宋_GB2312"/>
          <w:color w:val="000000" w:themeColor="text1"/>
          <w:sz w:val="32"/>
          <w:szCs w:val="32"/>
          <w:lang w:val="en-US" w:eastAsia="zh-CN"/>
          <w14:textFill>
            <w14:solidFill>
              <w14:schemeClr w14:val="tx1"/>
            </w14:solidFill>
          </w14:textFill>
        </w:rPr>
        <w:t>决算持平</w:t>
      </w:r>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国内公务接待支出</w:t>
      </w:r>
      <w:r>
        <w:rPr>
          <w:rFonts w:hint="eastAsia" w:ascii="仿宋" w:hAnsi="仿宋" w:eastAsia="仿宋"/>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外事接待支出</w:t>
      </w:r>
      <w:r>
        <w:rPr>
          <w:rFonts w:hint="eastAsia" w:ascii="仿宋" w:hAnsi="仿宋" w:eastAsia="仿宋"/>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p>
    <w:p>
      <w:pPr>
        <w:spacing w:line="600" w:lineRule="exact"/>
        <w:ind w:firstLine="640"/>
        <w:outlineLvl w:val="1"/>
        <w:rPr>
          <w:rFonts w:ascii="黑体" w:eastAsia="黑体"/>
          <w:sz w:val="32"/>
          <w:szCs w:val="32"/>
        </w:rPr>
      </w:pPr>
      <w:bookmarkStart w:id="42" w:name="_Toc15377218"/>
      <w:bookmarkStart w:id="43" w:name="_Toc15396610"/>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22年无政府性基金预算财政拨款支出。</w:t>
      </w:r>
    </w:p>
    <w:p>
      <w:pPr>
        <w:spacing w:line="600" w:lineRule="exact"/>
        <w:rPr>
          <w:rFonts w:ascii="仿宋_GB2312" w:eastAsia="仿宋_GB2312"/>
          <w:sz w:val="32"/>
          <w:szCs w:val="32"/>
        </w:rPr>
      </w:pPr>
    </w:p>
    <w:p>
      <w:pPr>
        <w:numPr>
          <w:ilvl w:val="0"/>
          <w:numId w:val="4"/>
        </w:numPr>
        <w:spacing w:line="600" w:lineRule="exact"/>
        <w:ind w:firstLine="640"/>
        <w:outlineLvl w:val="1"/>
        <w:rPr>
          <w:rStyle w:val="29"/>
          <w:rFonts w:ascii="黑体" w:hAnsi="黑体" w:eastAsia="黑体"/>
          <w:b w:val="0"/>
        </w:rPr>
      </w:pPr>
      <w:bookmarkStart w:id="44" w:name="_Toc15396611"/>
      <w:bookmarkStart w:id="45" w:name="_Toc15377219"/>
      <w:r>
        <w:rPr>
          <w:rStyle w:val="29"/>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22年无国有资本经营预算财政拨款支出。</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29"/>
          <w:rFonts w:ascii="黑体" w:hAnsi="黑体" w:eastAsia="黑体"/>
          <w:b w:val="0"/>
        </w:rPr>
      </w:pPr>
      <w:bookmarkStart w:id="46" w:name="_Toc15396612"/>
      <w:bookmarkStart w:id="47" w:name="_Toc15377221"/>
      <w:r>
        <w:rPr>
          <w:rStyle w:val="29"/>
          <w:rFonts w:hint="eastAsia" w:ascii="黑体" w:hAnsi="黑体" w:eastAsia="黑体"/>
          <w:b w:val="0"/>
        </w:rPr>
        <w:t>其他重要事项的情况说明</w:t>
      </w:r>
      <w:bookmarkEnd w:id="46"/>
      <w:bookmarkEnd w:id="47"/>
    </w:p>
    <w:p>
      <w:pPr>
        <w:spacing w:line="600" w:lineRule="exact"/>
        <w:ind w:firstLine="642"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22年，机关运行经费支出8.05万元，比</w:t>
      </w:r>
      <w:r>
        <w:rPr>
          <w:rFonts w:ascii="仿宋_GB2312" w:eastAsia="仿宋_GB2312"/>
          <w:sz w:val="32"/>
          <w:szCs w:val="32"/>
        </w:rPr>
        <w:t>20</w:t>
      </w:r>
      <w:r>
        <w:rPr>
          <w:rFonts w:hint="eastAsia" w:ascii="仿宋_GB2312" w:eastAsia="仿宋_GB2312"/>
          <w:sz w:val="32"/>
          <w:szCs w:val="32"/>
        </w:rPr>
        <w:t>21年增加</w:t>
      </w:r>
      <w:r>
        <w:rPr>
          <w:rFonts w:hint="eastAsia" w:ascii="仿宋_GB2312" w:eastAsia="仿宋_GB2312"/>
          <w:color w:val="000000" w:themeColor="text1"/>
          <w:sz w:val="32"/>
          <w:szCs w:val="32"/>
          <w14:textFill>
            <w14:solidFill>
              <w14:schemeClr w14:val="tx1"/>
            </w14:solidFill>
          </w14:textFill>
        </w:rPr>
        <w:t>0.45万元，增长5.6</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，主要原因是人员增加。</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22年，我单位无政府采购支出。</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日，我单位共有车辆0辆，其中：主要领导干部用车0辆、机要通信用车0辆、应急保障用车0辆、其他用车0辆，单价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rPr>
      </w:pPr>
      <w:r>
        <w:rPr>
          <w:rFonts w:hint="eastAsia" w:ascii="仿宋_GB2312" w:hAnsi="仿宋_GB2312" w:eastAsia="仿宋_GB2312" w:cs="仿宋_GB2312"/>
          <w:sz w:val="32"/>
          <w:szCs w:val="32"/>
        </w:rPr>
        <w:t>根据预算绩效管理要求，本部门在2022年度预算编制阶段，组对8个项目编制了绩效目标，预算执行过程中，选取3个项目开展绩效监控。</w:t>
      </w:r>
      <w:r>
        <w:rPr>
          <w:rFonts w:hint="eastAsia" w:ascii="仿宋_GB2312" w:eastAsia="仿宋_GB2312"/>
          <w:sz w:val="32"/>
        </w:rPr>
        <w:t>绩效自评表详见第四部分附件。</w:t>
      </w:r>
    </w:p>
    <w:p>
      <w:pPr>
        <w:pStyle w:val="5"/>
        <w:spacing w:before="93"/>
      </w:pPr>
    </w:p>
    <w:p>
      <w:pPr>
        <w:pStyle w:val="5"/>
        <w:spacing w:before="93"/>
      </w:pPr>
    </w:p>
    <w:p>
      <w:pPr>
        <w:pStyle w:val="5"/>
        <w:spacing w:before="93"/>
      </w:pPr>
    </w:p>
    <w:p>
      <w:pPr>
        <w:pStyle w:val="5"/>
        <w:spacing w:before="93"/>
      </w:pPr>
    </w:p>
    <w:p>
      <w:pPr>
        <w:pStyle w:val="5"/>
        <w:spacing w:before="93"/>
      </w:pPr>
    </w:p>
    <w:p>
      <w:pPr>
        <w:pStyle w:val="5"/>
        <w:spacing w:before="93"/>
      </w:pPr>
    </w:p>
    <w:p>
      <w:pPr>
        <w:pStyle w:val="5"/>
        <w:spacing w:before="93"/>
      </w:pPr>
    </w:p>
    <w:p>
      <w:pPr>
        <w:pStyle w:val="5"/>
        <w:spacing w:before="93"/>
      </w:pPr>
    </w:p>
    <w:p>
      <w:pPr>
        <w:pStyle w:val="5"/>
        <w:spacing w:before="93"/>
      </w:pPr>
    </w:p>
    <w:p>
      <w:pPr>
        <w:pStyle w:val="5"/>
        <w:spacing w:before="93"/>
      </w:pPr>
    </w:p>
    <w:p>
      <w:pPr>
        <w:pStyle w:val="5"/>
        <w:spacing w:before="93"/>
      </w:pPr>
    </w:p>
    <w:p>
      <w:pPr>
        <w:pStyle w:val="5"/>
        <w:spacing w:before="93"/>
      </w:pPr>
    </w:p>
    <w:p>
      <w:pPr>
        <w:pStyle w:val="5"/>
        <w:spacing w:before="93"/>
      </w:pPr>
    </w:p>
    <w:p>
      <w:pPr>
        <w:pStyle w:val="5"/>
        <w:spacing w:before="93"/>
      </w:pPr>
    </w:p>
    <w:p>
      <w:pPr>
        <w:pStyle w:val="5"/>
        <w:spacing w:before="93"/>
        <w:rPr>
          <w:rFonts w:hint="eastAsia"/>
        </w:rPr>
      </w:pPr>
    </w:p>
    <w:p>
      <w:pPr>
        <w:numPr>
          <w:ilvl w:val="0"/>
          <w:numId w:val="5"/>
        </w:numPr>
        <w:spacing w:line="600" w:lineRule="exact"/>
        <w:ind w:firstLine="660" w:firstLineChars="150"/>
        <w:jc w:val="center"/>
        <w:outlineLvl w:val="0"/>
        <w:rPr>
          <w:rStyle w:val="28"/>
          <w:rFonts w:ascii="黑体" w:hAnsi="黑体" w:eastAsia="黑体"/>
          <w:b w:val="0"/>
        </w:rPr>
      </w:pPr>
      <w:bookmarkStart w:id="51" w:name="_Toc15377225"/>
      <w:bookmarkStart w:id="52" w:name="_Toc15396613"/>
      <w:r>
        <w:rPr>
          <w:rFonts w:hint="eastAsia" w:ascii="黑体" w:hAnsi="黑体" w:eastAsia="黑体"/>
          <w:sz w:val="44"/>
          <w:szCs w:val="44"/>
        </w:rPr>
        <w:t>名</w:t>
      </w:r>
      <w:r>
        <w:rPr>
          <w:rStyle w:val="28"/>
          <w:rFonts w:hint="eastAsia" w:ascii="黑体" w:hAnsi="黑体" w:eastAsia="黑体"/>
          <w:b w:val="0"/>
        </w:rPr>
        <w:t>词解释</w:t>
      </w:r>
      <w:bookmarkEnd w:id="51"/>
      <w:bookmarkEnd w:id="52"/>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.年末结转和结余：指单位按有关规定结转到下年或以后年度继续使用的资金。</w:t>
      </w:r>
    </w:p>
    <w:p>
      <w:pPr>
        <w:pStyle w:val="5"/>
        <w:spacing w:before="93"/>
        <w:ind w:firstLine="640" w:firstLineChars="200"/>
        <w:rPr>
          <w:rFonts w:hint="eastAsia"/>
          <w:kern w:val="2"/>
          <w:sz w:val="32"/>
          <w:szCs w:val="32"/>
        </w:rPr>
      </w:pPr>
      <w:r>
        <w:rPr>
          <w:rFonts w:hint="eastAsia"/>
          <w:kern w:val="2"/>
          <w:sz w:val="32"/>
          <w:szCs w:val="32"/>
          <w:lang w:val="en-US" w:eastAsia="zh-CN"/>
        </w:rPr>
        <w:t>4</w:t>
      </w:r>
      <w:r>
        <w:rPr>
          <w:kern w:val="2"/>
          <w:sz w:val="32"/>
          <w:szCs w:val="32"/>
        </w:rPr>
        <w:t>.</w:t>
      </w:r>
      <w:r>
        <w:rPr>
          <w:rFonts w:hint="eastAsia"/>
          <w:kern w:val="2"/>
          <w:sz w:val="32"/>
          <w:szCs w:val="32"/>
        </w:rPr>
        <w:t>一般公共服务（类）群众团体事务（款）行政运行（项）</w:t>
      </w:r>
      <w:bookmarkStart w:id="53" w:name="_Hlk148622254"/>
      <w:r>
        <w:rPr>
          <w:rFonts w:hint="eastAsia"/>
          <w:kern w:val="2"/>
          <w:sz w:val="32"/>
          <w:szCs w:val="32"/>
        </w:rPr>
        <w:t>指：</w:t>
      </w:r>
      <w:bookmarkEnd w:id="53"/>
      <w:r>
        <w:rPr>
          <w:rFonts w:hint="eastAsia"/>
          <w:kern w:val="2"/>
          <w:sz w:val="32"/>
          <w:szCs w:val="32"/>
        </w:rPr>
        <w:t>反映行政单位（包括实行公务员管理的事业单位）的基本支出。</w:t>
      </w:r>
    </w:p>
    <w:p>
      <w:pPr>
        <w:pStyle w:val="5"/>
        <w:spacing w:before="93"/>
        <w:ind w:firstLine="640" w:firstLineChars="200"/>
        <w:rPr>
          <w:rFonts w:hint="eastAsia"/>
          <w:kern w:val="2"/>
          <w:sz w:val="32"/>
          <w:szCs w:val="32"/>
        </w:rPr>
      </w:pPr>
      <w:r>
        <w:rPr>
          <w:rFonts w:hint="eastAsia"/>
          <w:kern w:val="2"/>
          <w:sz w:val="32"/>
          <w:szCs w:val="32"/>
          <w:lang w:val="en-US" w:eastAsia="zh-CN"/>
        </w:rPr>
        <w:t>5.</w:t>
      </w:r>
      <w:r>
        <w:rPr>
          <w:rFonts w:hint="eastAsia"/>
          <w:kern w:val="2"/>
          <w:sz w:val="32"/>
          <w:szCs w:val="32"/>
        </w:rPr>
        <w:t>一般公共服务（类）群众团体事务（款）  一般行政管理事务（项）指：反映行政单位（包括实行公务员管理的事业）未单独设置项级科目的其他项目支出。</w:t>
      </w:r>
    </w:p>
    <w:p>
      <w:pPr>
        <w:pStyle w:val="5"/>
        <w:spacing w:before="93"/>
        <w:ind w:firstLine="640" w:firstLineChars="200"/>
        <w:rPr>
          <w:rFonts w:hint="eastAsia"/>
          <w:kern w:val="2"/>
          <w:sz w:val="32"/>
          <w:szCs w:val="32"/>
        </w:rPr>
      </w:pPr>
      <w:r>
        <w:rPr>
          <w:rFonts w:hint="eastAsia"/>
          <w:kern w:val="2"/>
          <w:sz w:val="32"/>
          <w:szCs w:val="32"/>
          <w:lang w:val="en-US" w:eastAsia="zh-CN"/>
        </w:rPr>
        <w:t>6</w:t>
      </w:r>
      <w:r>
        <w:rPr>
          <w:kern w:val="2"/>
          <w:sz w:val="32"/>
          <w:szCs w:val="32"/>
        </w:rPr>
        <w:t>.</w:t>
      </w:r>
      <w:r>
        <w:rPr>
          <w:rFonts w:hint="eastAsia"/>
          <w:kern w:val="2"/>
          <w:sz w:val="32"/>
          <w:szCs w:val="32"/>
        </w:rPr>
        <w:t>一般公共服务（类）群众团体事务（款）其他群众团体事务支出（项）指：反映除上诉项目以外其他群众团体事务方面的支出。</w:t>
      </w:r>
    </w:p>
    <w:p>
      <w:pPr>
        <w:pStyle w:val="5"/>
        <w:spacing w:before="93"/>
        <w:ind w:firstLine="640" w:firstLineChars="200"/>
        <w:rPr>
          <w:rFonts w:hint="eastAsia"/>
          <w:kern w:val="2"/>
          <w:sz w:val="32"/>
          <w:szCs w:val="32"/>
        </w:rPr>
      </w:pPr>
      <w:r>
        <w:rPr>
          <w:rFonts w:hint="eastAsia"/>
          <w:kern w:val="2"/>
          <w:sz w:val="32"/>
          <w:szCs w:val="32"/>
          <w:lang w:val="en-US" w:eastAsia="zh-CN"/>
        </w:rPr>
        <w:t>7</w:t>
      </w:r>
      <w:r>
        <w:rPr>
          <w:kern w:val="2"/>
          <w:sz w:val="32"/>
          <w:szCs w:val="32"/>
        </w:rPr>
        <w:t>.</w:t>
      </w:r>
      <w:r>
        <w:rPr>
          <w:rFonts w:hint="eastAsia"/>
          <w:kern w:val="2"/>
          <w:sz w:val="32"/>
          <w:szCs w:val="32"/>
        </w:rPr>
        <w:t>社会保障和就业（类）行政事业单位养老支出（款）  机关事业单位基本养老保险缴费支出（项）指：反映机关事业单位实施养老保险制度由单位缴纳的基本养老保险费用支出。</w:t>
      </w:r>
    </w:p>
    <w:p>
      <w:pPr>
        <w:pStyle w:val="5"/>
        <w:spacing w:before="93"/>
        <w:ind w:firstLine="640" w:firstLineChars="200"/>
        <w:rPr>
          <w:rFonts w:hint="eastAsia"/>
          <w:kern w:val="2"/>
          <w:sz w:val="32"/>
          <w:szCs w:val="32"/>
        </w:rPr>
      </w:pPr>
      <w:r>
        <w:rPr>
          <w:rFonts w:hint="eastAsia"/>
          <w:kern w:val="2"/>
          <w:sz w:val="32"/>
          <w:szCs w:val="32"/>
          <w:lang w:val="en-US" w:eastAsia="zh-CN"/>
        </w:rPr>
        <w:t>8</w:t>
      </w:r>
      <w:r>
        <w:rPr>
          <w:kern w:val="2"/>
          <w:sz w:val="32"/>
          <w:szCs w:val="32"/>
        </w:rPr>
        <w:t>.</w:t>
      </w:r>
      <w:r>
        <w:rPr>
          <w:rFonts w:hint="eastAsia"/>
          <w:kern w:val="2"/>
          <w:sz w:val="32"/>
          <w:szCs w:val="32"/>
        </w:rPr>
        <w:t>卫生健康（类）行政事业单位医疗（款）行政单位医疗（项）指：反映财政部门安排的行政单位（包括实行公务员管理的事业单位，下同）基本医疗保险缴费经费，未参加医疗保险的行政单位的公费医疗经费，按国家规定享受离休人员、红军老战士待遇人员的医疗经费。</w:t>
      </w:r>
    </w:p>
    <w:p>
      <w:pPr>
        <w:pStyle w:val="5"/>
        <w:spacing w:before="93"/>
        <w:ind w:firstLine="640" w:firstLineChars="200"/>
        <w:rPr>
          <w:rFonts w:hint="eastAsia"/>
          <w:kern w:val="2"/>
          <w:sz w:val="32"/>
          <w:szCs w:val="32"/>
        </w:rPr>
      </w:pPr>
      <w:r>
        <w:rPr>
          <w:rFonts w:hint="eastAsia"/>
          <w:kern w:val="2"/>
          <w:sz w:val="32"/>
          <w:szCs w:val="32"/>
          <w:lang w:val="en-US" w:eastAsia="zh-CN"/>
        </w:rPr>
        <w:t>9</w:t>
      </w:r>
      <w:r>
        <w:rPr>
          <w:kern w:val="2"/>
          <w:sz w:val="32"/>
          <w:szCs w:val="32"/>
        </w:rPr>
        <w:t>.</w:t>
      </w:r>
      <w:r>
        <w:rPr>
          <w:rFonts w:hint="eastAsia"/>
          <w:kern w:val="2"/>
          <w:sz w:val="32"/>
          <w:szCs w:val="32"/>
        </w:rPr>
        <w:t>农林水支出（类）巩固脱贫衔接乡村振兴（款）其他</w:t>
      </w:r>
      <w:bookmarkStart w:id="54" w:name="_Hlk148622718"/>
      <w:r>
        <w:rPr>
          <w:rFonts w:hint="eastAsia"/>
          <w:kern w:val="2"/>
          <w:sz w:val="32"/>
          <w:szCs w:val="32"/>
        </w:rPr>
        <w:t>巩固脱贫衔接乡村振兴</w:t>
      </w:r>
      <w:bookmarkEnd w:id="54"/>
      <w:r>
        <w:rPr>
          <w:rFonts w:hint="eastAsia"/>
          <w:kern w:val="2"/>
          <w:sz w:val="32"/>
          <w:szCs w:val="32"/>
        </w:rPr>
        <w:t>支出（项）指：反映除上诉项目以外其他用于巩固拓展脱贫攻坚成果同乡村振兴有效衔接方面的支出。</w:t>
      </w:r>
    </w:p>
    <w:p>
      <w:pPr>
        <w:pStyle w:val="5"/>
        <w:spacing w:before="93"/>
        <w:ind w:firstLine="640" w:firstLineChars="200"/>
        <w:rPr>
          <w:rFonts w:hint="eastAsia"/>
          <w:kern w:val="2"/>
          <w:sz w:val="32"/>
          <w:szCs w:val="32"/>
        </w:rPr>
      </w:pPr>
      <w:r>
        <w:rPr>
          <w:rFonts w:hint="eastAsia"/>
          <w:kern w:val="2"/>
          <w:sz w:val="32"/>
          <w:szCs w:val="32"/>
          <w:lang w:val="en-US" w:eastAsia="zh-CN"/>
        </w:rPr>
        <w:t>10</w:t>
      </w:r>
      <w:r>
        <w:rPr>
          <w:kern w:val="2"/>
          <w:sz w:val="32"/>
          <w:szCs w:val="32"/>
        </w:rPr>
        <w:t>.</w:t>
      </w:r>
      <w:r>
        <w:rPr>
          <w:rFonts w:hint="eastAsia"/>
          <w:kern w:val="2"/>
          <w:sz w:val="32"/>
          <w:szCs w:val="32"/>
        </w:rPr>
        <w:t>住房保障支出（类）住房改革支出（款）住房公积金（项）指：反映行政事业单位按人力资源和社会保障部、财政部规定的基本工资和津贴补贴以及规定比例为职工缴纳的住房公积金。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hint="eastAsia" w:ascii="黑体" w:hAnsi="黑体" w:eastAsia="黑体"/>
          <w:b w:val="0"/>
          <w:lang w:val="en-US" w:eastAsia="zh-CN"/>
        </w:rPr>
      </w:pPr>
      <w:bookmarkStart w:id="55" w:name="_Toc15377226"/>
      <w:r>
        <w:rPr>
          <w:rFonts w:hint="eastAsia" w:ascii="宋体"/>
          <w:b/>
          <w:sz w:val="44"/>
          <w:szCs w:val="44"/>
        </w:rPr>
        <w:t xml:space="preserve">                                                                                                                                                                                                                                                                                                                                                              </w:t>
      </w:r>
      <w:r>
        <w:rPr>
          <w:rFonts w:ascii="宋体"/>
          <w:b/>
          <w:sz w:val="44"/>
          <w:szCs w:val="44"/>
        </w:rPr>
        <w:br w:type="page"/>
      </w:r>
      <w:bookmarkStart w:id="56" w:name="_Toc15396614"/>
      <w:r>
        <w:rPr>
          <w:rFonts w:hint="eastAsia" w:ascii="黑体" w:hAnsi="黑体" w:eastAsia="黑体"/>
          <w:sz w:val="44"/>
          <w:szCs w:val="44"/>
        </w:rPr>
        <w:t>第</w:t>
      </w:r>
      <w:r>
        <w:rPr>
          <w:rStyle w:val="28"/>
          <w:rFonts w:hint="eastAsia" w:ascii="黑体" w:hAnsi="黑体" w:eastAsia="黑体"/>
          <w:b w:val="0"/>
        </w:rPr>
        <w:t>四部分 附件</w:t>
      </w:r>
      <w:bookmarkEnd w:id="56"/>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2022年部门整体绩效评价报告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6"/>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部门基本情况</w:t>
      </w:r>
    </w:p>
    <w:p>
      <w:pPr>
        <w:widowControl/>
        <w:numPr>
          <w:ilvl w:val="0"/>
          <w:numId w:val="7"/>
        </w:numPr>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pStyle w:val="5"/>
        <w:spacing w:before="93"/>
        <w:ind w:firstLine="960" w:firstLineChars="3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本部门是参照公务员法管理单位，属一级财政预算单位，受区委区政府领导，岗位设置为主席、副主席、办公室和妇女儿童权益办公室。</w:t>
      </w:r>
    </w:p>
    <w:p>
      <w:pPr>
        <w:widowControl/>
        <w:numPr>
          <w:ilvl w:val="0"/>
          <w:numId w:val="7"/>
        </w:numPr>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1、宣传、贯彻党的路线、方针、政策，教育、引导妇女增强自尊、自信、自立、自强的精神，成为有理想、有文化、有纪律的社会主义新女性。 </w:t>
      </w:r>
    </w:p>
    <w:p>
      <w:pPr>
        <w:ind w:firstLine="640" w:firstLineChars="200"/>
        <w:rPr>
          <w:rFonts w:ascii="楷体_GB2312" w:hAnsi="楷体_GB2312" w:eastAsia="仿宋" w:cs="楷体_GB2312"/>
          <w:b/>
          <w:bCs/>
          <w:kern w:val="0"/>
          <w:sz w:val="32"/>
          <w:szCs w:val="32"/>
          <w:shd w:val="clear" w:color="auto" w:fill="FFFFFF"/>
        </w:rPr>
      </w:pPr>
      <w:r>
        <w:rPr>
          <w:rFonts w:hint="eastAsia" w:ascii="仿宋" w:hAnsi="仿宋" w:eastAsia="仿宋" w:cs="仿宋"/>
          <w:sz w:val="32"/>
          <w:szCs w:val="32"/>
        </w:rPr>
        <w:t>2、代表妇女参与国家和社会事务的管理和监督;研究涉及妇女切身利益的热点和难点问题，及时向区委、区政府和市妇联反映社情民意，提出对策建议;推动实施《妇女权益保障法》、《妇女发展规划》、《儿童发展规划》，切实维护妇女儿童的合法权益，推荐、输送妇女人才，促进妇女参政。2022年年末实际人数3人。</w:t>
      </w:r>
    </w:p>
    <w:p>
      <w:pPr>
        <w:widowControl/>
        <w:adjustRightInd w:val="0"/>
        <w:snapToGrid w:val="0"/>
        <w:spacing w:line="560" w:lineRule="exact"/>
        <w:ind w:left="420" w:leftChars="200" w:firstLine="321" w:firstLineChars="1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（三）年度主要工作任务。</w:t>
      </w:r>
    </w:p>
    <w:p>
      <w:pPr>
        <w:ind w:firstLine="640" w:firstLineChars="200"/>
        <w:rPr>
          <w:rFonts w:ascii="仿宋" w:hAnsi="仿宋" w:eastAsia="仿宋" w:cs="仿宋"/>
          <w:sz w:val="32"/>
          <w:szCs w:val="32"/>
        </w:rPr>
      </w:pPr>
      <w:r>
        <w:rPr>
          <w:rFonts w:hint="eastAsia" w:ascii="仿宋" w:hAnsi="仿宋" w:eastAsia="仿宋" w:cs="仿宋"/>
          <w:sz w:val="32"/>
          <w:szCs w:val="32"/>
        </w:rPr>
        <w:t>1、指导各级妇女组织依据妇联章程和妇女代表大会的任务，开展妇女儿童工作;加强与社会各界的联系，协调和推动社会各界为妇女儿童办实事、办好事。</w:t>
      </w:r>
    </w:p>
    <w:p>
      <w:pPr>
        <w:ind w:firstLine="640" w:firstLineChars="200"/>
        <w:rPr>
          <w:rFonts w:ascii="仿宋" w:hAnsi="仿宋" w:eastAsia="仿宋" w:cs="仿宋"/>
          <w:sz w:val="32"/>
          <w:szCs w:val="32"/>
        </w:rPr>
      </w:pPr>
      <w:r>
        <w:rPr>
          <w:rFonts w:hint="eastAsia" w:ascii="仿宋" w:hAnsi="仿宋" w:eastAsia="仿宋" w:cs="仿宋"/>
          <w:sz w:val="32"/>
          <w:szCs w:val="32"/>
        </w:rPr>
        <w:t>2、承担妇女儿童工作委员会办公室的工作。</w:t>
      </w:r>
    </w:p>
    <w:p>
      <w:pPr>
        <w:widowControl/>
        <w:autoSpaceDE w:val="0"/>
        <w:adjustRightInd w:val="0"/>
        <w:snapToGrid w:val="0"/>
        <w:spacing w:line="500" w:lineRule="exact"/>
        <w:ind w:firstLine="640" w:firstLineChars="200"/>
        <w:contextualSpacing/>
        <w:jc w:val="left"/>
        <w:rPr>
          <w:b/>
          <w:bCs/>
          <w:lang w:val="zh-CN"/>
        </w:rPr>
      </w:pPr>
      <w:r>
        <w:rPr>
          <w:rFonts w:hint="eastAsia" w:ascii="仿宋" w:hAnsi="仿宋" w:eastAsia="仿宋" w:cs="仿宋"/>
          <w:sz w:val="32"/>
          <w:szCs w:val="32"/>
        </w:rPr>
        <w:t>3、承担上级有关部门交办的其他任务。</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1.部门总体收入情况：本年度收入99.22万元。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2.部门总体支出情况：本年度支出99.22万元。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3.部门总体结转结余情况：本年度无结转结余。</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1.部门财政拨款收入情况：本年度收入99.22万元。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2.部门财政拨款支出情况：本年度收入99.22万元。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3.部门财政拨款结转结余情况：本年度无结转结余。</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2"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2023年末，区妇联实有在职人员3人。</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年末支付56.95万元，完成对家庭和个人的补助、人员工资福利支出，在职人员社会保障缴纳、在职人员社会保障及公积金等基本支出。</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年末支付</w:t>
      </w:r>
      <w:r>
        <w:rPr>
          <w:rFonts w:hint="eastAsia" w:ascii="仿宋_GB2312" w:hAnsi="仿宋_GB2312" w:eastAsia="仿宋_GB2312" w:cs="仿宋_GB2312"/>
          <w:kern w:val="0"/>
          <w:sz w:val="32"/>
          <w:szCs w:val="32"/>
          <w:shd w:val="clear" w:color="auto" w:fill="FFFFFF"/>
        </w:rPr>
        <w:t>8.05万元，完成本单位</w:t>
      </w:r>
      <w:r>
        <w:rPr>
          <w:rFonts w:hint="eastAsia" w:ascii="仿宋" w:hAnsi="仿宋" w:eastAsia="仿宋"/>
          <w:sz w:val="32"/>
          <w:szCs w:val="32"/>
        </w:rPr>
        <w:t>办公费、印刷费、水费、电费、邮电费、取暖费、物业管理费、差旅费、公务接待费等支出。</w:t>
      </w:r>
    </w:p>
    <w:p>
      <w:pPr>
        <w:pStyle w:val="5"/>
        <w:numPr>
          <w:ilvl w:val="0"/>
          <w:numId w:val="8"/>
        </w:numPr>
        <w:spacing w:before="93"/>
        <w:rPr>
          <w:rFonts w:hAnsi="仿宋_GB2312" w:cs="仿宋_GB2312"/>
          <w:sz w:val="32"/>
          <w:szCs w:val="32"/>
          <w:shd w:val="clear" w:color="auto" w:fill="FFFFFF"/>
        </w:rPr>
      </w:pPr>
      <w:r>
        <w:rPr>
          <w:rFonts w:hint="eastAsia" w:hAnsi="仿宋_GB2312" w:cs="仿宋_GB2312"/>
          <w:sz w:val="32"/>
          <w:szCs w:val="32"/>
          <w:shd w:val="clear" w:color="auto" w:fill="FFFFFF"/>
        </w:rPr>
        <w:t>特定目标类绩效分析</w:t>
      </w:r>
    </w:p>
    <w:p>
      <w:pPr>
        <w:widowControl/>
        <w:adjustRightInd w:val="0"/>
        <w:snapToGrid w:val="0"/>
        <w:spacing w:line="560" w:lineRule="exact"/>
        <w:ind w:firstLine="640" w:firstLineChars="200"/>
        <w:contextualSpacing/>
        <w:jc w:val="left"/>
        <w:rPr>
          <w:rFonts w:eastAsia="楷体_GB2312"/>
        </w:rPr>
      </w:pPr>
      <w:r>
        <w:rPr>
          <w:rFonts w:hint="eastAsia" w:ascii="仿宋_GB2312" w:hAnsi="仿宋_GB2312" w:eastAsia="仿宋_GB2312" w:cs="仿宋_GB2312"/>
          <w:kern w:val="0"/>
          <w:sz w:val="32"/>
          <w:szCs w:val="32"/>
          <w:shd w:val="clear" w:color="auto" w:fill="FFFFFF"/>
          <w:lang w:val="zh-CN"/>
        </w:rPr>
        <w:t>年末支付</w:t>
      </w:r>
      <w:r>
        <w:rPr>
          <w:rFonts w:hint="eastAsia" w:ascii="仿宋_GB2312" w:hAnsi="仿宋_GB2312" w:eastAsia="仿宋_GB2312" w:cs="仿宋_GB2312"/>
          <w:kern w:val="0"/>
          <w:sz w:val="32"/>
          <w:szCs w:val="32"/>
          <w:shd w:val="clear" w:color="auto" w:fill="FFFFFF"/>
        </w:rPr>
        <w:t>34.21万元，完成对妇儿专项经费、妇女儿童活动中心经费、婚姻家庭工作经费、三八节及其他节日活动经费、两癌项目经费、朝天新《两纲》编制工作经费、“乡村振兴巾帼行动”现场会经费、春节关爱活动慰问活动等支出。</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pStyle w:val="5"/>
        <w:spacing w:before="93"/>
        <w:ind w:firstLine="640" w:firstLineChars="200"/>
        <w:jc w:val="left"/>
        <w:rPr>
          <w:rFonts w:ascii="仿宋" w:hAnsi="仿宋" w:eastAsia="仿宋" w:cs="仿宋"/>
          <w:kern w:val="2"/>
          <w:sz w:val="32"/>
          <w:szCs w:val="32"/>
        </w:rPr>
      </w:pPr>
      <w:r>
        <w:rPr>
          <w:rFonts w:hint="eastAsia" w:ascii="仿宋" w:hAnsi="仿宋" w:eastAsia="仿宋" w:cs="仿宋"/>
          <w:kern w:val="2"/>
          <w:sz w:val="32"/>
          <w:szCs w:val="32"/>
        </w:rPr>
        <w:t>1、严格按区财政局部门要求，按时按质标志我会部门预算，并报送对口业务股室、</w:t>
      </w:r>
    </w:p>
    <w:p>
      <w:pPr>
        <w:pStyle w:val="5"/>
        <w:spacing w:before="93"/>
        <w:ind w:firstLine="640" w:firstLineChars="200"/>
        <w:jc w:val="left"/>
        <w:rPr>
          <w:rFonts w:ascii="仿宋" w:hAnsi="仿宋" w:eastAsia="仿宋" w:cs="仿宋"/>
          <w:kern w:val="2"/>
          <w:sz w:val="32"/>
          <w:szCs w:val="32"/>
        </w:rPr>
      </w:pPr>
      <w:r>
        <w:rPr>
          <w:rFonts w:hint="eastAsia" w:ascii="仿宋" w:hAnsi="仿宋" w:eastAsia="仿宋" w:cs="仿宋"/>
          <w:kern w:val="2"/>
          <w:sz w:val="32"/>
          <w:szCs w:val="32"/>
        </w:rPr>
        <w:t>2、部门整体绩效目标编制完整、合理，预算安排的基本支出保障了正常工作运转。</w:t>
      </w:r>
    </w:p>
    <w:p>
      <w:pPr>
        <w:pStyle w:val="5"/>
        <w:spacing w:before="93"/>
        <w:ind w:firstLine="640" w:firstLineChars="200"/>
        <w:jc w:val="left"/>
        <w:rPr>
          <w:rFonts w:ascii="仿宋" w:hAnsi="仿宋" w:eastAsia="仿宋" w:cs="仿宋"/>
          <w:kern w:val="2"/>
          <w:sz w:val="32"/>
          <w:szCs w:val="32"/>
        </w:rPr>
      </w:pPr>
      <w:r>
        <w:rPr>
          <w:rFonts w:hint="eastAsia" w:ascii="仿宋" w:hAnsi="仿宋" w:eastAsia="仿宋" w:cs="仿宋"/>
          <w:kern w:val="2"/>
          <w:sz w:val="32"/>
          <w:szCs w:val="32"/>
        </w:rPr>
        <w:t>3、严格控制行政经费，压缩公务开支，严格控制“三公”金飞，资产配置严格政府采购，按照预算科目和项目资金规定使用财政资金，保证部门整体支出规范化、制度化。</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从项目完成、项目效益、满意度等方面绩效指标，综合反映了项目预期完成的数量、成本、时效、质量，预期达到了社会效益指标、经济效益指标、可持续影响及服务对象满意度等情况。</w:t>
      </w:r>
    </w:p>
    <w:p>
      <w:pPr>
        <w:widowControl/>
        <w:numPr>
          <w:ilvl w:val="0"/>
          <w:numId w:val="9"/>
        </w:numPr>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按照《广元市朝天区财政局关于开展2023年部门、政策和项目支出绩效评价工作的通知》（广朝财发〔2023〕19号）文件要求，认真组织开展了2022年度项目支出绩效自评工作,</w:t>
      </w:r>
      <w:r>
        <w:rPr>
          <w:rFonts w:hint="eastAsia" w:ascii="仿宋_GB2312" w:hAnsi="仿宋_GB2312" w:eastAsia="仿宋_GB2312" w:cs="仿宋_GB2312"/>
          <w:kern w:val="0"/>
          <w:sz w:val="32"/>
          <w:szCs w:val="32"/>
          <w:shd w:val="clear" w:color="auto" w:fill="FFFFFF"/>
        </w:rPr>
        <w:t>包括评价部门整体自评准确情况。</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adjustRightInd w:val="0"/>
        <w:snapToGrid w:val="0"/>
        <w:spacing w:line="578" w:lineRule="exact"/>
        <w:ind w:firstLine="720"/>
        <w:rPr>
          <w:lang w:val="zh-CN"/>
        </w:rPr>
      </w:pPr>
      <w:r>
        <w:rPr>
          <w:rFonts w:hint="eastAsia" w:ascii="仿宋_GB2312" w:hAnsi="仿宋_GB2312" w:eastAsia="仿宋_GB2312" w:cs="仿宋_GB2312"/>
          <w:kern w:val="0"/>
          <w:sz w:val="32"/>
          <w:szCs w:val="32"/>
          <w:shd w:val="clear" w:color="auto" w:fill="FFFFFF"/>
          <w:lang w:val="zh-CN"/>
        </w:rPr>
        <w:t>通过对单位项目自评评分，评价结果</w:t>
      </w:r>
      <w:r>
        <w:rPr>
          <w:rFonts w:ascii="仿宋_GB2312" w:hAnsi="仿宋_GB2312" w:eastAsia="仿宋_GB2312" w:cs="仿宋_GB2312"/>
          <w:kern w:val="0"/>
          <w:sz w:val="32"/>
          <w:szCs w:val="32"/>
          <w:shd w:val="clear" w:color="auto" w:fill="FFFFFF"/>
          <w:lang w:val="zh-CN"/>
        </w:rPr>
        <w:t>95</w:t>
      </w:r>
      <w:r>
        <w:rPr>
          <w:rFonts w:hint="eastAsia" w:ascii="仿宋_GB2312" w:hAnsi="仿宋_GB2312" w:eastAsia="仿宋_GB2312" w:cs="仿宋_GB2312"/>
          <w:kern w:val="0"/>
          <w:sz w:val="32"/>
          <w:szCs w:val="32"/>
          <w:shd w:val="clear" w:color="auto" w:fill="FFFFFF"/>
          <w:lang w:val="zh-CN"/>
        </w:rPr>
        <w:t>分。</w:t>
      </w:r>
    </w:p>
    <w:p>
      <w:pPr>
        <w:widowControl/>
        <w:numPr>
          <w:ilvl w:val="0"/>
          <w:numId w:val="10"/>
        </w:numPr>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存在问题。</w:t>
      </w:r>
    </w:p>
    <w:p>
      <w:pPr>
        <w:pStyle w:val="5"/>
        <w:spacing w:before="93"/>
        <w:ind w:firstLine="960" w:firstLineChars="3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目前本单位的整体支出绩效还有细化的空间，需要加以改进。</w:t>
      </w:r>
    </w:p>
    <w:p>
      <w:pPr>
        <w:widowControl/>
        <w:numPr>
          <w:ilvl w:val="0"/>
          <w:numId w:val="10"/>
        </w:numPr>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改进建议。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pStyle w:val="5"/>
        <w:spacing w:before="93"/>
        <w:rPr>
          <w:lang w:val="zh-CN"/>
        </w:rPr>
      </w:pPr>
    </w:p>
    <w:p>
      <w:pPr>
        <w:pStyle w:val="14"/>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附表</w:t>
      </w:r>
      <w:r>
        <w:rPr>
          <w:rFonts w:hint="eastAsia" w:hAnsi="仿宋_GB2312" w:eastAsia="仿宋_GB2312" w:cs="仿宋_GB2312"/>
          <w:sz w:val="32"/>
        </w:rPr>
        <w:t>:</w:t>
      </w:r>
      <w:r>
        <w:rPr>
          <w:rFonts w:hint="eastAsia" w:hAnsi="仿宋_GB2312" w:eastAsia="仿宋_GB2312" w:cs="仿宋_GB2312"/>
          <w:kern w:val="0"/>
          <w:sz w:val="32"/>
          <w:shd w:val="clear" w:color="auto" w:fill="FFFFFF"/>
        </w:rPr>
        <w:t>部门预算项目支出绩效自评表（2022年度）</w:t>
      </w:r>
    </w:p>
    <w:p>
      <w:pPr>
        <w:pStyle w:val="5"/>
        <w:spacing w:before="93"/>
        <w:rPr>
          <w:rFonts w:hAnsi="宋体" w:cs="宋体"/>
          <w:sz w:val="32"/>
          <w:szCs w:val="32"/>
          <w:shd w:val="clear" w:color="auto" w:fill="FFFFFF"/>
          <w:lang w:val="zh-CN"/>
        </w:rPr>
      </w:pPr>
    </w:p>
    <w:p>
      <w:pPr>
        <w:pStyle w:val="5"/>
        <w:spacing w:before="93"/>
        <w:rPr>
          <w:rFonts w:hAnsi="宋体" w:cs="宋体"/>
          <w:sz w:val="32"/>
          <w:szCs w:val="32"/>
          <w:shd w:val="clear" w:color="auto" w:fill="FFFFFF"/>
          <w:lang w:val="zh-CN"/>
        </w:rPr>
      </w:pPr>
    </w:p>
    <w:p>
      <w:pPr>
        <w:pStyle w:val="5"/>
        <w:spacing w:before="93"/>
        <w:rPr>
          <w:rFonts w:hAnsi="宋体" w:cs="宋体"/>
          <w:sz w:val="32"/>
          <w:szCs w:val="32"/>
          <w:shd w:val="clear" w:color="auto" w:fill="FFFFFF"/>
          <w:lang w:val="zh-CN"/>
        </w:rPr>
      </w:pPr>
    </w:p>
    <w:p>
      <w:pPr>
        <w:pStyle w:val="5"/>
        <w:spacing w:before="93"/>
        <w:rPr>
          <w:rFonts w:hAnsi="宋体" w:cs="宋体"/>
          <w:sz w:val="32"/>
          <w:szCs w:val="32"/>
          <w:shd w:val="clear" w:color="auto" w:fill="FFFFFF"/>
          <w:lang w:val="zh-CN"/>
        </w:rPr>
      </w:pPr>
    </w:p>
    <w:p>
      <w:pPr>
        <w:pStyle w:val="5"/>
        <w:spacing w:before="93"/>
        <w:rPr>
          <w:rFonts w:hAnsi="宋体" w:cs="宋体"/>
          <w:sz w:val="32"/>
          <w:szCs w:val="32"/>
          <w:shd w:val="clear" w:color="auto" w:fill="FFFFFF"/>
          <w:lang w:val="zh-CN"/>
        </w:rPr>
      </w:pPr>
    </w:p>
    <w:p>
      <w:pPr>
        <w:pStyle w:val="5"/>
        <w:spacing w:before="93"/>
        <w:rPr>
          <w:rFonts w:hAnsi="宋体" w:cs="宋体"/>
          <w:sz w:val="32"/>
          <w:szCs w:val="32"/>
          <w:shd w:val="clear" w:color="auto" w:fill="FFFFFF"/>
          <w:lang w:val="zh-CN"/>
        </w:rPr>
      </w:pPr>
    </w:p>
    <w:p>
      <w:pPr>
        <w:pStyle w:val="5"/>
        <w:spacing w:before="93"/>
        <w:rPr>
          <w:rFonts w:hAnsi="宋体" w:cs="宋体"/>
          <w:sz w:val="32"/>
          <w:szCs w:val="32"/>
          <w:shd w:val="clear" w:color="auto" w:fill="FFFFFF"/>
          <w:lang w:val="zh-CN"/>
        </w:rPr>
      </w:pPr>
    </w:p>
    <w:p>
      <w:pPr>
        <w:pStyle w:val="5"/>
        <w:spacing w:before="93"/>
        <w:rPr>
          <w:rFonts w:hAnsi="宋体" w:cs="宋体"/>
          <w:sz w:val="32"/>
          <w:szCs w:val="32"/>
          <w:shd w:val="clear" w:color="auto" w:fill="FFFFFF"/>
          <w:lang w:val="zh-CN"/>
        </w:rPr>
      </w:pPr>
    </w:p>
    <w:p>
      <w:pPr>
        <w:pStyle w:val="5"/>
        <w:spacing w:before="93"/>
        <w:rPr>
          <w:rFonts w:hAnsi="宋体" w:cs="宋体"/>
          <w:sz w:val="32"/>
          <w:szCs w:val="32"/>
          <w:shd w:val="clear" w:color="auto" w:fill="FFFFFF"/>
          <w:lang w:val="zh-CN"/>
        </w:rPr>
      </w:pPr>
    </w:p>
    <w:p>
      <w:pPr>
        <w:pStyle w:val="5"/>
        <w:spacing w:before="93"/>
        <w:rPr>
          <w:rFonts w:hAnsi="宋体" w:cs="宋体"/>
          <w:sz w:val="32"/>
          <w:szCs w:val="32"/>
          <w:shd w:val="clear" w:color="auto" w:fill="FFFFFF"/>
          <w:lang w:val="zh-CN"/>
        </w:rPr>
      </w:pPr>
    </w:p>
    <w:tbl>
      <w:tblPr>
        <w:tblStyle w:val="15"/>
        <w:tblW w:w="10680" w:type="dxa"/>
        <w:tblInd w:w="-9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057"/>
        <w:gridCol w:w="768"/>
        <w:gridCol w:w="1321"/>
        <w:gridCol w:w="540"/>
        <w:gridCol w:w="558"/>
        <w:gridCol w:w="540"/>
        <w:gridCol w:w="1086"/>
        <w:gridCol w:w="585"/>
        <w:gridCol w:w="585"/>
        <w:gridCol w:w="2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8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9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9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项目自评100分，保障单位日常运转。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项目负责人：杨筱芳</w:t>
            </w:r>
          </w:p>
        </w:tc>
        <w:tc>
          <w:tcPr>
            <w:tcW w:w="60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财务负责人：何娇</w:t>
            </w:r>
          </w:p>
        </w:tc>
      </w:tr>
    </w:tbl>
    <w:p>
      <w:pPr>
        <w:ind w:right="420" w:rightChars="200"/>
        <w:jc w:val="both"/>
        <w:rPr>
          <w:rFonts w:hint="default" w:ascii="仿宋_GB2312" w:hAnsi="仿宋_GB2312" w:eastAsia="仿宋_GB2312" w:cs="仿宋_GB2312"/>
          <w:sz w:val="36"/>
          <w:szCs w:val="36"/>
          <w:lang w:val="en-US" w:eastAsia="zh-CN"/>
        </w:rPr>
      </w:pPr>
    </w:p>
    <w:tbl>
      <w:tblPr>
        <w:tblStyle w:val="15"/>
        <w:tblW w:w="10574" w:type="dxa"/>
        <w:tblInd w:w="-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2"/>
        <w:gridCol w:w="1117"/>
        <w:gridCol w:w="855"/>
        <w:gridCol w:w="1477"/>
        <w:gridCol w:w="558"/>
        <w:gridCol w:w="567"/>
        <w:gridCol w:w="558"/>
        <w:gridCol w:w="1053"/>
        <w:gridCol w:w="586"/>
        <w:gridCol w:w="586"/>
        <w:gridCol w:w="2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5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5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6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项目自评198分，保障单位日常运转。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6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6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项目负责人：杨筱芳</w:t>
            </w:r>
          </w:p>
        </w:tc>
        <w:tc>
          <w:tcPr>
            <w:tcW w:w="5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财务负责人：何娇</w:t>
            </w:r>
          </w:p>
        </w:tc>
      </w:tr>
    </w:tbl>
    <w:p>
      <w:pPr>
        <w:ind w:right="420" w:rightChars="200"/>
        <w:jc w:val="both"/>
        <w:rPr>
          <w:rFonts w:hint="default" w:ascii="仿宋_GB2312" w:hAnsi="仿宋_GB2312" w:eastAsia="仿宋_GB2312" w:cs="仿宋_GB2312"/>
          <w:sz w:val="36"/>
          <w:szCs w:val="36"/>
          <w:lang w:val="en-US" w:eastAsia="zh-CN"/>
        </w:rPr>
      </w:pPr>
    </w:p>
    <w:tbl>
      <w:tblPr>
        <w:tblStyle w:val="15"/>
        <w:tblW w:w="10533" w:type="dxa"/>
        <w:tblInd w:w="-8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8"/>
        <w:gridCol w:w="1075"/>
        <w:gridCol w:w="941"/>
        <w:gridCol w:w="1233"/>
        <w:gridCol w:w="665"/>
        <w:gridCol w:w="657"/>
        <w:gridCol w:w="665"/>
        <w:gridCol w:w="1096"/>
        <w:gridCol w:w="517"/>
        <w:gridCol w:w="516"/>
        <w:gridCol w:w="2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6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项目自评100分，保障单位日常运转。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6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6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项目负责人：杨筱芳</w:t>
            </w:r>
          </w:p>
        </w:tc>
        <w:tc>
          <w:tcPr>
            <w:tcW w:w="60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财务负责人：何娇</w:t>
            </w:r>
          </w:p>
        </w:tc>
      </w:tr>
    </w:tbl>
    <w:p>
      <w:pPr>
        <w:ind w:right="420" w:rightChars="200"/>
        <w:jc w:val="both"/>
        <w:rPr>
          <w:rFonts w:hint="default" w:ascii="仿宋_GB2312" w:hAnsi="仿宋_GB2312" w:eastAsia="仿宋_GB2312" w:cs="仿宋_GB2312"/>
          <w:sz w:val="36"/>
          <w:szCs w:val="36"/>
          <w:lang w:val="en-US" w:eastAsia="zh-CN"/>
        </w:rPr>
      </w:pPr>
    </w:p>
    <w:p>
      <w:pPr>
        <w:ind w:right="420" w:rightChars="200"/>
        <w:jc w:val="both"/>
        <w:rPr>
          <w:rFonts w:hint="default" w:ascii="仿宋_GB2312" w:hAnsi="仿宋_GB2312" w:eastAsia="仿宋_GB2312" w:cs="仿宋_GB2312"/>
          <w:sz w:val="36"/>
          <w:szCs w:val="36"/>
          <w:lang w:val="en-US" w:eastAsia="zh-CN"/>
        </w:rPr>
      </w:pPr>
    </w:p>
    <w:p>
      <w:pPr>
        <w:ind w:right="420" w:rightChars="200"/>
        <w:jc w:val="both"/>
        <w:rPr>
          <w:rFonts w:hint="default" w:ascii="仿宋_GB2312" w:hAnsi="仿宋_GB2312" w:eastAsia="仿宋_GB2312" w:cs="仿宋_GB2312"/>
          <w:sz w:val="36"/>
          <w:szCs w:val="36"/>
          <w:lang w:val="en-US" w:eastAsia="zh-CN"/>
        </w:rPr>
      </w:pPr>
    </w:p>
    <w:p>
      <w:pPr>
        <w:ind w:right="420" w:rightChars="200"/>
        <w:jc w:val="both"/>
        <w:rPr>
          <w:rFonts w:hint="default" w:ascii="仿宋_GB2312" w:hAnsi="仿宋_GB2312" w:eastAsia="仿宋_GB2312" w:cs="仿宋_GB2312"/>
          <w:sz w:val="36"/>
          <w:szCs w:val="36"/>
          <w:lang w:val="en-US" w:eastAsia="zh-CN"/>
        </w:rPr>
      </w:pPr>
    </w:p>
    <w:tbl>
      <w:tblPr>
        <w:tblStyle w:val="15"/>
        <w:tblW w:w="10640" w:type="dxa"/>
        <w:tblInd w:w="-9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7"/>
        <w:gridCol w:w="1062"/>
        <w:gridCol w:w="706"/>
        <w:gridCol w:w="2202"/>
        <w:gridCol w:w="542"/>
        <w:gridCol w:w="559"/>
        <w:gridCol w:w="542"/>
        <w:gridCol w:w="1089"/>
        <w:gridCol w:w="577"/>
        <w:gridCol w:w="577"/>
        <w:gridCol w:w="1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2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spacing w:val="-20"/>
                <w:kern w:val="0"/>
                <w:sz w:val="18"/>
                <w:szCs w:val="18"/>
                <w:u w:val="none"/>
                <w:lang w:val="en-US" w:eastAsia="zh-CN" w:bidi="ar"/>
              </w:rPr>
              <w:t>“三公”经费</w:t>
            </w:r>
            <w:r>
              <w:rPr>
                <w:rFonts w:ascii="宋体" w:hAnsi="宋体" w:eastAsia="宋体" w:cs="宋体"/>
                <w:i w:val="0"/>
                <w:iCs w:val="0"/>
                <w:color w:val="000000"/>
                <w:spacing w:val="-20"/>
                <w:kern w:val="0"/>
                <w:sz w:val="18"/>
                <w:szCs w:val="18"/>
                <w:u w:val="none"/>
                <w:lang w:val="en-US" w:eastAsia="zh-CN" w:bidi="ar"/>
              </w:rPr>
              <w:t>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项目自评100分，保障单位日常运转。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项目负责人：杨筱芳</w:t>
            </w:r>
          </w:p>
        </w:tc>
        <w:tc>
          <w:tcPr>
            <w:tcW w:w="50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财务负责人：何娇</w:t>
            </w:r>
          </w:p>
        </w:tc>
      </w:tr>
    </w:tbl>
    <w:p>
      <w:pPr>
        <w:ind w:right="420" w:rightChars="200"/>
        <w:jc w:val="both"/>
        <w:rPr>
          <w:rFonts w:hint="default" w:ascii="仿宋_GB2312" w:hAnsi="仿宋_GB2312" w:eastAsia="仿宋_GB2312" w:cs="仿宋_GB2312"/>
          <w:sz w:val="36"/>
          <w:szCs w:val="36"/>
          <w:lang w:val="en-US" w:eastAsia="zh-CN"/>
        </w:rPr>
      </w:pPr>
    </w:p>
    <w:tbl>
      <w:tblPr>
        <w:tblStyle w:val="15"/>
        <w:tblW w:w="10626" w:type="dxa"/>
        <w:tblInd w:w="-9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1074"/>
        <w:gridCol w:w="1005"/>
        <w:gridCol w:w="1296"/>
        <w:gridCol w:w="664"/>
        <w:gridCol w:w="657"/>
        <w:gridCol w:w="664"/>
        <w:gridCol w:w="1030"/>
        <w:gridCol w:w="516"/>
        <w:gridCol w:w="516"/>
        <w:gridCol w:w="2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6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33.14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33.14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项目自评100分，保障单位日常运转。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项目负责人：杨筱芳</w:t>
            </w:r>
          </w:p>
        </w:tc>
        <w:tc>
          <w:tcPr>
            <w:tcW w:w="6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财务负责人：何娇</w:t>
            </w:r>
          </w:p>
        </w:tc>
      </w:tr>
    </w:tbl>
    <w:p>
      <w:pPr>
        <w:ind w:right="420" w:rightChars="200"/>
        <w:jc w:val="both"/>
        <w:rPr>
          <w:rFonts w:hint="default" w:ascii="仿宋_GB2312" w:hAnsi="仿宋_GB2312" w:eastAsia="仿宋_GB2312" w:cs="仿宋_GB2312"/>
          <w:sz w:val="36"/>
          <w:szCs w:val="36"/>
          <w:lang w:val="en-US" w:eastAsia="zh-CN"/>
        </w:rPr>
      </w:pPr>
    </w:p>
    <w:p>
      <w:pPr>
        <w:ind w:right="420" w:rightChars="200"/>
        <w:jc w:val="both"/>
        <w:rPr>
          <w:rFonts w:hint="default" w:ascii="仿宋_GB2312" w:hAnsi="仿宋_GB2312" w:eastAsia="仿宋_GB2312" w:cs="仿宋_GB2312"/>
          <w:sz w:val="36"/>
          <w:szCs w:val="36"/>
          <w:lang w:val="en-US" w:eastAsia="zh-CN"/>
        </w:rPr>
      </w:pPr>
    </w:p>
    <w:p>
      <w:pPr>
        <w:ind w:right="420" w:rightChars="200"/>
        <w:jc w:val="both"/>
        <w:rPr>
          <w:rFonts w:hint="default" w:ascii="仿宋_GB2312" w:hAnsi="仿宋_GB2312" w:eastAsia="仿宋_GB2312" w:cs="仿宋_GB2312"/>
          <w:sz w:val="36"/>
          <w:szCs w:val="36"/>
          <w:lang w:val="en-US" w:eastAsia="zh-CN"/>
        </w:rPr>
      </w:pPr>
    </w:p>
    <w:tbl>
      <w:tblPr>
        <w:tblStyle w:val="15"/>
        <w:tblW w:w="10547" w:type="dxa"/>
        <w:tblInd w:w="-8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2"/>
        <w:gridCol w:w="1116"/>
        <w:gridCol w:w="971"/>
        <w:gridCol w:w="1287"/>
        <w:gridCol w:w="687"/>
        <w:gridCol w:w="671"/>
        <w:gridCol w:w="687"/>
        <w:gridCol w:w="1053"/>
        <w:gridCol w:w="450"/>
        <w:gridCol w:w="450"/>
        <w:gridCol w:w="2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6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项目自评90分，保障单位日常运转。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6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6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项目负责人：杨筱芳</w:t>
            </w:r>
          </w:p>
        </w:tc>
        <w:tc>
          <w:tcPr>
            <w:tcW w:w="59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财务负责人：何娇</w:t>
            </w:r>
          </w:p>
        </w:tc>
      </w:tr>
    </w:tbl>
    <w:p>
      <w:pPr>
        <w:ind w:right="420" w:rightChars="200"/>
        <w:jc w:val="both"/>
        <w:rPr>
          <w:rFonts w:hint="default" w:ascii="仿宋_GB2312" w:hAnsi="仿宋_GB2312" w:eastAsia="仿宋_GB2312" w:cs="仿宋_GB2312"/>
          <w:sz w:val="36"/>
          <w:szCs w:val="36"/>
          <w:lang w:val="en-US" w:eastAsia="zh-CN"/>
        </w:rPr>
      </w:pPr>
    </w:p>
    <w:p>
      <w:pPr>
        <w:ind w:right="420" w:rightChars="200"/>
        <w:jc w:val="both"/>
        <w:rPr>
          <w:rFonts w:hint="default" w:ascii="仿宋_GB2312" w:hAnsi="仿宋_GB2312" w:eastAsia="仿宋_GB2312" w:cs="仿宋_GB2312"/>
          <w:sz w:val="36"/>
          <w:szCs w:val="36"/>
          <w:lang w:val="en-US" w:eastAsia="zh-CN"/>
        </w:rPr>
      </w:pPr>
    </w:p>
    <w:p>
      <w:pPr>
        <w:ind w:right="420" w:rightChars="200"/>
        <w:jc w:val="both"/>
        <w:rPr>
          <w:rFonts w:hint="default" w:ascii="仿宋_GB2312" w:hAnsi="仿宋_GB2312" w:eastAsia="仿宋_GB2312" w:cs="仿宋_GB2312"/>
          <w:sz w:val="36"/>
          <w:szCs w:val="36"/>
          <w:lang w:val="en-US" w:eastAsia="zh-CN"/>
        </w:rPr>
      </w:pPr>
    </w:p>
    <w:tbl>
      <w:tblPr>
        <w:tblStyle w:val="15"/>
        <w:tblW w:w="10534" w:type="dxa"/>
        <w:tblInd w:w="-8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7"/>
        <w:gridCol w:w="1099"/>
        <w:gridCol w:w="958"/>
        <w:gridCol w:w="1264"/>
        <w:gridCol w:w="678"/>
        <w:gridCol w:w="665"/>
        <w:gridCol w:w="678"/>
        <w:gridCol w:w="1043"/>
        <w:gridCol w:w="515"/>
        <w:gridCol w:w="451"/>
        <w:gridCol w:w="2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6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项目自评98分，保障单位日常运转。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6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6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项目负责人：杨筱芳</w:t>
            </w:r>
          </w:p>
        </w:tc>
        <w:tc>
          <w:tcPr>
            <w:tcW w:w="5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财务负责人：何娇</w:t>
            </w:r>
          </w:p>
        </w:tc>
      </w:tr>
    </w:tbl>
    <w:p>
      <w:pPr>
        <w:ind w:right="420" w:rightChars="200"/>
        <w:jc w:val="both"/>
        <w:rPr>
          <w:rFonts w:hint="default" w:ascii="仿宋_GB2312" w:hAnsi="仿宋_GB2312" w:eastAsia="仿宋_GB2312" w:cs="仿宋_GB2312"/>
          <w:sz w:val="36"/>
          <w:szCs w:val="36"/>
          <w:lang w:val="en-US" w:eastAsia="zh-CN"/>
        </w:rPr>
      </w:pPr>
    </w:p>
    <w:p>
      <w:pPr>
        <w:ind w:right="420" w:rightChars="200"/>
        <w:jc w:val="both"/>
        <w:rPr>
          <w:rFonts w:hint="default" w:ascii="仿宋_GB2312" w:hAnsi="仿宋_GB2312" w:eastAsia="仿宋_GB2312" w:cs="仿宋_GB2312"/>
          <w:sz w:val="36"/>
          <w:szCs w:val="36"/>
          <w:lang w:val="en-US" w:eastAsia="zh-CN"/>
        </w:rPr>
      </w:pPr>
    </w:p>
    <w:p>
      <w:pPr>
        <w:ind w:right="420" w:rightChars="200"/>
        <w:jc w:val="both"/>
        <w:rPr>
          <w:rFonts w:hint="default" w:ascii="仿宋_GB2312" w:hAnsi="仿宋_GB2312" w:eastAsia="仿宋_GB2312" w:cs="仿宋_GB2312"/>
          <w:sz w:val="36"/>
          <w:szCs w:val="36"/>
          <w:lang w:val="en-US" w:eastAsia="zh-CN"/>
        </w:rPr>
      </w:pPr>
    </w:p>
    <w:tbl>
      <w:tblPr>
        <w:tblStyle w:val="15"/>
        <w:tblW w:w="10440" w:type="dxa"/>
        <w:tblInd w:w="-9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3"/>
        <w:gridCol w:w="1106"/>
        <w:gridCol w:w="963"/>
        <w:gridCol w:w="1273"/>
        <w:gridCol w:w="682"/>
        <w:gridCol w:w="668"/>
        <w:gridCol w:w="682"/>
        <w:gridCol w:w="1047"/>
        <w:gridCol w:w="516"/>
        <w:gridCol w:w="452"/>
        <w:gridCol w:w="2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4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5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5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项目自评95分，保障单位日常运转。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项目负责人：杨筱芳</w:t>
            </w:r>
          </w:p>
        </w:tc>
        <w:tc>
          <w:tcPr>
            <w:tcW w:w="5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财务负责人：何娇</w:t>
            </w:r>
          </w:p>
        </w:tc>
      </w:tr>
    </w:tbl>
    <w:p>
      <w:pPr>
        <w:ind w:right="420" w:rightChars="200"/>
        <w:jc w:val="both"/>
        <w:rPr>
          <w:rFonts w:hint="default" w:ascii="仿宋_GB2312" w:hAnsi="仿宋_GB2312" w:eastAsia="仿宋_GB2312" w:cs="仿宋_GB2312"/>
          <w:sz w:val="36"/>
          <w:szCs w:val="36"/>
          <w:lang w:val="en-US" w:eastAsia="zh-CN"/>
        </w:rPr>
      </w:pPr>
    </w:p>
    <w:p>
      <w:pPr>
        <w:ind w:right="420" w:rightChars="200"/>
        <w:jc w:val="both"/>
        <w:rPr>
          <w:rFonts w:hint="default" w:ascii="仿宋_GB2312" w:hAnsi="仿宋_GB2312" w:eastAsia="仿宋_GB2312" w:cs="仿宋_GB2312"/>
          <w:sz w:val="36"/>
          <w:szCs w:val="36"/>
          <w:lang w:val="en-US" w:eastAsia="zh-CN"/>
        </w:rPr>
      </w:pPr>
    </w:p>
    <w:p>
      <w:pPr>
        <w:ind w:right="420" w:rightChars="200"/>
        <w:jc w:val="both"/>
        <w:rPr>
          <w:rFonts w:hint="default" w:ascii="仿宋_GB2312" w:hAnsi="仿宋_GB2312" w:eastAsia="仿宋_GB2312" w:cs="仿宋_GB2312"/>
          <w:sz w:val="36"/>
          <w:szCs w:val="36"/>
          <w:lang w:val="en-US" w:eastAsia="zh-CN"/>
        </w:rPr>
      </w:pPr>
    </w:p>
    <w:tbl>
      <w:tblPr>
        <w:tblStyle w:val="15"/>
        <w:tblW w:w="10426" w:type="dxa"/>
        <w:tblInd w:w="-8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
        <w:gridCol w:w="741"/>
        <w:gridCol w:w="76"/>
        <w:gridCol w:w="606"/>
        <w:gridCol w:w="472"/>
        <w:gridCol w:w="599"/>
        <w:gridCol w:w="178"/>
        <w:gridCol w:w="1642"/>
        <w:gridCol w:w="599"/>
        <w:gridCol w:w="38"/>
        <w:gridCol w:w="509"/>
        <w:gridCol w:w="263"/>
        <w:gridCol w:w="298"/>
        <w:gridCol w:w="339"/>
        <w:gridCol w:w="208"/>
        <w:gridCol w:w="694"/>
        <w:gridCol w:w="338"/>
        <w:gridCol w:w="186"/>
        <w:gridCol w:w="325"/>
        <w:gridCol w:w="199"/>
        <w:gridCol w:w="247"/>
        <w:gridCol w:w="1683"/>
        <w:gridCol w:w="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42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35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广元市朝天区妇女联合会部门</w:t>
            </w:r>
          </w:p>
        </w:tc>
        <w:tc>
          <w:tcPr>
            <w:tcW w:w="1032"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广元市朝天区妇女联合会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6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35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4.67</w:t>
            </w:r>
          </w:p>
        </w:tc>
        <w:tc>
          <w:tcPr>
            <w:tcW w:w="1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90.30%</w:t>
            </w:r>
          </w:p>
        </w:tc>
        <w:tc>
          <w:tcPr>
            <w:tcW w:w="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6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4.67</w:t>
            </w:r>
          </w:p>
        </w:tc>
        <w:tc>
          <w:tcPr>
            <w:tcW w:w="1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90.30%</w:t>
            </w:r>
          </w:p>
        </w:tc>
        <w:tc>
          <w:tcPr>
            <w:tcW w:w="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20"/>
                <w:kern w:val="0"/>
                <w:sz w:val="18"/>
                <w:szCs w:val="18"/>
                <w:u w:val="none"/>
                <w:lang w:val="en-US" w:eastAsia="zh-CN" w:bidi="ar"/>
              </w:rPr>
              <w:t>经济效益指标</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spacing w:val="-20"/>
                <w:kern w:val="0"/>
                <w:sz w:val="18"/>
                <w:szCs w:val="18"/>
                <w:u w:val="none"/>
                <w:lang w:val="en-US" w:eastAsia="zh-CN" w:bidi="ar"/>
              </w:rPr>
              <w:t>“三公”经费</w:t>
            </w:r>
            <w:r>
              <w:rPr>
                <w:rFonts w:ascii="宋体" w:hAnsi="宋体" w:eastAsia="宋体" w:cs="宋体"/>
                <w:i w:val="0"/>
                <w:iCs w:val="0"/>
                <w:color w:val="000000"/>
                <w:spacing w:val="-20"/>
                <w:kern w:val="0"/>
                <w:sz w:val="18"/>
                <w:szCs w:val="18"/>
                <w:u w:val="none"/>
                <w:lang w:val="en-US" w:eastAsia="zh-CN" w:bidi="ar"/>
              </w:rPr>
              <w:t>控制率[计算方法为：（三公经费实际支出数/预算安排数]×100%）</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77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36"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项目自评90分，保障单位日常运转。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36"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36"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项目负责人：杨筱芳</w:t>
            </w:r>
          </w:p>
        </w:tc>
        <w:tc>
          <w:tcPr>
            <w:tcW w:w="479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904" w:hRule="atLeast"/>
        </w:trPr>
        <w:tc>
          <w:tcPr>
            <w:tcW w:w="102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 w:leftChars="-200" w:hanging="418" w:hangingChars="139"/>
              <w:jc w:val="center"/>
              <w:textAlignment w:val="center"/>
              <w:rPr>
                <w:rFonts w:ascii="黑体" w:hAnsi="宋体" w:eastAsia="黑体" w:cs="黑体"/>
                <w:b/>
                <w:bCs/>
                <w:color w:val="000000"/>
                <w:sz w:val="30"/>
                <w:szCs w:val="30"/>
              </w:rPr>
            </w:pPr>
            <w:bookmarkStart w:id="57" w:name="_Hlk148620437"/>
            <w:r>
              <w:rPr>
                <w:rFonts w:hint="eastAsia" w:ascii="黑体" w:hAnsi="宋体" w:eastAsia="黑体" w:cs="黑体"/>
                <w:b/>
                <w:bCs/>
                <w:color w:val="000000"/>
                <w:kern w:val="0"/>
                <w:sz w:val="30"/>
                <w:szCs w:val="30"/>
                <w:lang w:bidi="ar"/>
              </w:rPr>
              <w:t>部门预算项目支出绩效自评表（2022年度）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73" w:type="dxa"/>
          <w:wAfter w:w="13" w:type="dxa"/>
          <w:trHeight w:val="286" w:hRule="atLeast"/>
        </w:trPr>
        <w:tc>
          <w:tcPr>
            <w:tcW w:w="1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项目名称</w:t>
            </w:r>
          </w:p>
        </w:tc>
        <w:tc>
          <w:tcPr>
            <w:tcW w:w="88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妇儿专项经费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512" w:hRule="atLeast"/>
        </w:trPr>
        <w:tc>
          <w:tcPr>
            <w:tcW w:w="1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主管部门</w:t>
            </w:r>
          </w:p>
        </w:tc>
        <w:tc>
          <w:tcPr>
            <w:tcW w:w="4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广元市朝天区妇女联合会部门</w:t>
            </w:r>
          </w:p>
        </w:tc>
        <w:tc>
          <w:tcPr>
            <w:tcW w:w="902" w:type="dxa"/>
            <w:gridSpan w:val="2"/>
            <w:tcBorders>
              <w:top w:val="nil"/>
              <w:left w:val="nil"/>
              <w:bottom w:val="nil"/>
              <w:right w:val="nil"/>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实施单位 （盖章）</w:t>
            </w:r>
          </w:p>
        </w:tc>
        <w:tc>
          <w:tcPr>
            <w:tcW w:w="29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广元市朝天区妇女联合会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286"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项目基本情况</w:t>
            </w:r>
          </w:p>
        </w:tc>
        <w:tc>
          <w:tcPr>
            <w:tcW w:w="6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1.项目年度目标完成情况</w:t>
            </w:r>
          </w:p>
        </w:tc>
        <w:tc>
          <w:tcPr>
            <w:tcW w:w="4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项目年度目标</w:t>
            </w:r>
          </w:p>
        </w:tc>
        <w:tc>
          <w:tcPr>
            <w:tcW w:w="38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年度目标完成情况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378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6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49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spacing w:val="-20"/>
                <w:kern w:val="0"/>
                <w:sz w:val="20"/>
                <w:szCs w:val="20"/>
                <w:lang w:bidi="ar"/>
              </w:rPr>
              <w:t>开展巾帼文明岗命名、基层优秀妇联干部培训（2场次），培育妇女居家灵活就业示范带头人（2人）等工作；开展“幸福家庭大讲堂”进乡村20场次；全区范围内评选“最美家庭”20户，开展家庭教育指导服务、留守儿童关爱服务、“农民工回家行动”等；在重要节点开展普法宣传活动6次，（含宪法、禁毒、防艾防邪、安全、扫黑除恶、反家暴法等），同时接待调处来信来访案件；开展“性别平等进课堂”示范试点工作；实施“十四五”关爱青少年心理健康项目；贫困母亲救助；两癌工作。“两纲”培训会5次；印制宣传资料；宣传活动4次；救助贫困妇女、贫困儿童。</w:t>
            </w:r>
          </w:p>
        </w:tc>
        <w:tc>
          <w:tcPr>
            <w:tcW w:w="38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spacing w:val="-20"/>
                <w:kern w:val="0"/>
                <w:sz w:val="20"/>
                <w:szCs w:val="20"/>
                <w:lang w:bidi="ar"/>
              </w:rPr>
              <w:t>已完成</w:t>
            </w:r>
            <w:r>
              <w:rPr>
                <w:rFonts w:ascii="宋体" w:hAnsi="宋体" w:cs="宋体"/>
                <w:color w:val="000000"/>
                <w:spacing w:val="-20"/>
                <w:kern w:val="0"/>
                <w:sz w:val="20"/>
                <w:szCs w:val="20"/>
                <w:lang w:bidi="ar"/>
              </w:rPr>
              <w:t>巾帼文明岗命名、基层优秀妇联干部培训（2场次），培育妇女居家灵活就业示范带头人（2人）等工作；开展“幸福家庭大讲堂”进乡村20场次；全区范围内评选“最美家庭”20户，开展家庭教育指导服务、留守儿童关爱服务、“农民工回家行动”等；在重要节点开展普法宣传活动6次，（含宪法、禁毒、防艾防邪、安全、扫黑除恶、反家暴法等），同时接待调处来信来访案件；开展“性别平等进课堂”示范试点工作；实施“十四五”关爱青少年心理健康项目；贫困母亲救助；两癌工作。“两纲”培训会5次；印制宣传资料；宣传活动4次；救助贫困妇女、贫困儿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93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20"/>
                <w:kern w:val="0"/>
                <w:sz w:val="20"/>
                <w:szCs w:val="20"/>
                <w:lang w:bidi="ar"/>
              </w:rPr>
            </w:pPr>
            <w:r>
              <w:rPr>
                <w:rFonts w:ascii="宋体" w:hAnsi="宋体" w:cs="宋体"/>
                <w:color w:val="000000"/>
                <w:spacing w:val="-20"/>
                <w:kern w:val="0"/>
                <w:sz w:val="20"/>
                <w:szCs w:val="20"/>
                <w:lang w:bidi="ar"/>
              </w:rPr>
              <w:t>2.项目实施内容及过程概述</w:t>
            </w:r>
          </w:p>
        </w:tc>
        <w:tc>
          <w:tcPr>
            <w:tcW w:w="88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int="eastAsia" w:ascii="宋体" w:hAnsi="宋体" w:cs="宋体"/>
                <w:color w:val="000000"/>
                <w:kern w:val="0"/>
                <w:sz w:val="20"/>
                <w:szCs w:val="20"/>
                <w:lang w:bidi="ar"/>
              </w:rPr>
            </w:pPr>
            <w:r>
              <w:rPr>
                <w:rFonts w:ascii="宋体" w:hAnsi="宋体" w:cs="宋体"/>
                <w:color w:val="000000"/>
                <w:spacing w:val="-20"/>
                <w:kern w:val="0"/>
                <w:sz w:val="20"/>
                <w:szCs w:val="20"/>
                <w:lang w:bidi="ar"/>
              </w:rPr>
              <w:t>开展巾帼文明岗命名、基层优秀妇联干部培训，培育妇女居家灵活就业示范带头人等工作；开展“幸福家庭大讲堂”进乡村20场次；全区范围内评选“最美家庭”20户，开展家庭教育指导服务、留守儿童关爱服务、“农民工回家行动”等</w:t>
            </w:r>
            <w:r>
              <w:rPr>
                <w:rFonts w:hint="eastAsia" w:ascii="宋体" w:hAnsi="宋体" w:cs="宋体"/>
                <w:color w:val="000000"/>
                <w:spacing w:val="-20"/>
                <w:kern w:val="0"/>
                <w:sz w:val="20"/>
                <w:szCs w:val="20"/>
                <w:lang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45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预算执行情况（10分）</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20"/>
                <w:kern w:val="0"/>
                <w:sz w:val="20"/>
                <w:szCs w:val="20"/>
                <w:lang w:bidi="ar"/>
              </w:rPr>
            </w:pPr>
            <w:r>
              <w:rPr>
                <w:rFonts w:ascii="宋体" w:hAnsi="宋体" w:cs="宋体"/>
                <w:color w:val="000000"/>
                <w:spacing w:val="-20"/>
                <w:kern w:val="0"/>
                <w:sz w:val="20"/>
                <w:szCs w:val="20"/>
                <w:lang w:bidi="ar"/>
              </w:rPr>
              <w:t>年度预算数（万元）</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年初预算</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调整后预算数</w:t>
            </w:r>
          </w:p>
        </w:tc>
        <w:tc>
          <w:tcPr>
            <w:tcW w:w="20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预算执行率</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权重</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得分</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原因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90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20"/>
                <w:kern w:val="0"/>
                <w:sz w:val="20"/>
                <w:szCs w:val="20"/>
                <w:lang w:bidi="ar"/>
              </w:rPr>
            </w:pPr>
            <w:r>
              <w:rPr>
                <w:rFonts w:ascii="宋体" w:hAnsi="宋体" w:cs="宋体"/>
                <w:color w:val="000000"/>
                <w:spacing w:val="-20"/>
                <w:kern w:val="0"/>
                <w:sz w:val="20"/>
                <w:szCs w:val="20"/>
                <w:lang w:bidi="ar"/>
              </w:rPr>
              <w:t>总额</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7.16</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7.16</w:t>
            </w:r>
          </w:p>
        </w:tc>
        <w:tc>
          <w:tcPr>
            <w:tcW w:w="20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7.16</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99.90%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0</w:t>
            </w:r>
          </w:p>
        </w:tc>
        <w:tc>
          <w:tcPr>
            <w:tcW w:w="1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已完成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90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20"/>
                <w:kern w:val="0"/>
                <w:sz w:val="20"/>
                <w:szCs w:val="20"/>
                <w:lang w:bidi="ar"/>
              </w:rPr>
            </w:pPr>
            <w:r>
              <w:rPr>
                <w:rFonts w:ascii="宋体" w:hAnsi="宋体" w:cs="宋体"/>
                <w:color w:val="000000"/>
                <w:spacing w:val="-20"/>
                <w:kern w:val="0"/>
                <w:sz w:val="20"/>
                <w:szCs w:val="20"/>
                <w:lang w:bidi="ar"/>
              </w:rPr>
              <w:t>其中：</w:t>
            </w:r>
            <w:r>
              <w:rPr>
                <w:rFonts w:hint="eastAsia" w:ascii="宋体" w:hAnsi="宋体" w:cs="宋体"/>
                <w:color w:val="000000"/>
                <w:spacing w:val="-20"/>
                <w:kern w:val="0"/>
                <w:sz w:val="20"/>
                <w:szCs w:val="20"/>
                <w:lang w:bidi="ar"/>
              </w:rPr>
              <w:t>财政资金</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7.16</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7.16</w:t>
            </w:r>
          </w:p>
        </w:tc>
        <w:tc>
          <w:tcPr>
            <w:tcW w:w="20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7.16</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99.90%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1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90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20"/>
                <w:kern w:val="0"/>
                <w:sz w:val="20"/>
                <w:szCs w:val="20"/>
                <w:lang w:bidi="ar"/>
              </w:rPr>
            </w:pPr>
            <w:r>
              <w:rPr>
                <w:rFonts w:ascii="宋体" w:hAnsi="宋体" w:cs="宋体"/>
                <w:color w:val="000000"/>
                <w:spacing w:val="-20"/>
                <w:kern w:val="0"/>
                <w:sz w:val="20"/>
                <w:szCs w:val="20"/>
                <w:lang w:bidi="ar"/>
              </w:rPr>
              <w:t>财政专户管理资金</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20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1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90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单位资金</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20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1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90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其他资金</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20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1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452"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绩效指标（90分）</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一级指标</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二级指标</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三级指标</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指标性质</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指标值</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度量单位</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完成值</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权重</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得分</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未完成原因分析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45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6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产出指标</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数量指标</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形成编制文件数量</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套</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12</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2</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45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6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质量指标</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按照妇女儿童工作开展</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12</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2</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27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6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时效指标</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2022年</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12</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2</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135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6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成本指标</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spacing w:val="-20"/>
                <w:kern w:val="0"/>
                <w:sz w:val="20"/>
                <w:szCs w:val="20"/>
                <w:lang w:bidi="ar"/>
              </w:rPr>
              <w:t>开展妇女儿童工作，全面培训宣传资料、印制、救助妇女儿童等成本</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7</w:t>
            </w:r>
            <w:r>
              <w:rPr>
                <w:rFonts w:hint="eastAsia" w:ascii="宋体" w:hAnsi="宋体" w:cs="宋体"/>
                <w:color w:val="000000"/>
                <w:kern w:val="0"/>
                <w:sz w:val="20"/>
                <w:szCs w:val="20"/>
                <w:lang w:eastAsia="zh-CN" w:bidi="ar"/>
              </w:rPr>
              <w:t>.</w:t>
            </w:r>
            <w:r>
              <w:rPr>
                <w:rFonts w:ascii="宋体" w:hAnsi="宋体" w:cs="宋体"/>
                <w:color w:val="000000"/>
                <w:kern w:val="0"/>
                <w:sz w:val="20"/>
                <w:szCs w:val="20"/>
                <w:lang w:bidi="ar"/>
              </w:rPr>
              <w:t>16</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万</w:t>
            </w:r>
            <w:r>
              <w:rPr>
                <w:rFonts w:ascii="宋体" w:hAnsi="宋体" w:cs="宋体"/>
                <w:color w:val="000000"/>
                <w:kern w:val="0"/>
                <w:sz w:val="20"/>
                <w:szCs w:val="20"/>
                <w:lang w:bidi="ar"/>
              </w:rPr>
              <w:t>元</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7</w:t>
            </w:r>
            <w:r>
              <w:rPr>
                <w:rFonts w:hint="eastAsia" w:ascii="宋体" w:hAnsi="宋体" w:cs="宋体"/>
                <w:color w:val="000000"/>
                <w:kern w:val="0"/>
                <w:sz w:val="20"/>
                <w:szCs w:val="20"/>
                <w:lang w:val="en-US" w:eastAsia="zh-CN" w:bidi="ar"/>
              </w:rPr>
              <w:t>.</w:t>
            </w:r>
            <w:r>
              <w:rPr>
                <w:rFonts w:ascii="宋体" w:hAnsi="宋体" w:cs="宋体"/>
                <w:color w:val="000000"/>
                <w:kern w:val="0"/>
                <w:sz w:val="20"/>
                <w:szCs w:val="20"/>
                <w:lang w:bidi="ar"/>
              </w:rPr>
              <w:t>16</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14</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4</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675"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6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效益指标</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社会效益指标</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spacing w:val="-23"/>
                <w:kern w:val="0"/>
                <w:sz w:val="20"/>
                <w:szCs w:val="20"/>
                <w:lang w:bidi="ar"/>
              </w:rPr>
              <w:t>陪伴孩子成长，助力家庭发展。</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20"/>
                <w:kern w:val="0"/>
                <w:sz w:val="20"/>
                <w:szCs w:val="20"/>
                <w:lang w:bidi="ar"/>
              </w:rPr>
            </w:pPr>
            <w:r>
              <w:rPr>
                <w:rFonts w:ascii="宋体" w:hAnsi="宋体" w:cs="宋体"/>
                <w:color w:val="000000"/>
                <w:kern w:val="0"/>
                <w:sz w:val="20"/>
                <w:szCs w:val="20"/>
                <w:lang w:bidi="ar"/>
              </w:rPr>
              <w:t>100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5</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1125"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6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可持续影响指标</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spacing w:val="-20"/>
                <w:kern w:val="0"/>
                <w:sz w:val="20"/>
                <w:szCs w:val="20"/>
                <w:lang w:bidi="ar"/>
              </w:rPr>
              <w:t>满足妇女儿童发展需要、维护妇女儿童基本权益</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5</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45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满意度指标</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服务对象满意度指标</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使用方满意度</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95</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95</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0</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286" w:hRule="atLeast"/>
        </w:trPr>
        <w:tc>
          <w:tcPr>
            <w:tcW w:w="726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合计</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00</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60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评价结论</w:t>
            </w:r>
          </w:p>
        </w:tc>
        <w:tc>
          <w:tcPr>
            <w:tcW w:w="94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项目自评总分1</w:t>
            </w:r>
            <w:r>
              <w:rPr>
                <w:rFonts w:ascii="宋体" w:hAnsi="宋体" w:cs="宋体"/>
                <w:color w:val="000000"/>
                <w:kern w:val="0"/>
                <w:sz w:val="20"/>
                <w:szCs w:val="20"/>
                <w:lang w:bidi="ar"/>
              </w:rPr>
              <w:t>00</w:t>
            </w:r>
            <w:r>
              <w:rPr>
                <w:rFonts w:hint="eastAsia" w:ascii="宋体" w:hAnsi="宋体" w:cs="宋体"/>
                <w:color w:val="000000"/>
                <w:kern w:val="0"/>
                <w:sz w:val="20"/>
                <w:szCs w:val="20"/>
                <w:lang w:bidi="ar"/>
              </w:rPr>
              <w:t>，满足妇女儿童发展需要、维护妇女儿童基本权益。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73" w:type="dxa"/>
          <w:wAfter w:w="13" w:type="dxa"/>
          <w:trHeight w:val="572"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存在问题</w:t>
            </w:r>
          </w:p>
        </w:tc>
        <w:tc>
          <w:tcPr>
            <w:tcW w:w="94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63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改进措施</w:t>
            </w:r>
          </w:p>
        </w:tc>
        <w:tc>
          <w:tcPr>
            <w:tcW w:w="94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后续将按照财政项目支出绩效管理的要求，建立科学的财政资金效益考评制度体系，不断提高财政资金的利用效率。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73" w:type="dxa"/>
          <w:wAfter w:w="13" w:type="dxa"/>
          <w:trHeight w:val="286" w:hRule="atLeast"/>
        </w:trPr>
        <w:tc>
          <w:tcPr>
            <w:tcW w:w="49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项目负责人：杨筱芳</w:t>
            </w:r>
          </w:p>
        </w:tc>
        <w:tc>
          <w:tcPr>
            <w:tcW w:w="52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财务负责人：何娇</w:t>
            </w:r>
          </w:p>
        </w:tc>
      </w:tr>
      <w:bookmarkEnd w:id="57"/>
    </w:tbl>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p>
      <w:pPr>
        <w:pStyle w:val="5"/>
        <w:spacing w:before="93"/>
        <w:rPr>
          <w:lang w:val="zh-CN"/>
        </w:rPr>
      </w:pPr>
    </w:p>
    <w:tbl>
      <w:tblPr>
        <w:tblStyle w:val="15"/>
        <w:tblW w:w="10373" w:type="dxa"/>
        <w:tblInd w:w="-872" w:type="dxa"/>
        <w:tblLayout w:type="autofit"/>
        <w:tblCellMar>
          <w:top w:w="0" w:type="dxa"/>
          <w:left w:w="108" w:type="dxa"/>
          <w:bottom w:w="0" w:type="dxa"/>
          <w:right w:w="108" w:type="dxa"/>
        </w:tblCellMar>
      </w:tblPr>
      <w:tblGrid>
        <w:gridCol w:w="790"/>
        <w:gridCol w:w="792"/>
        <w:gridCol w:w="791"/>
        <w:gridCol w:w="1260"/>
        <w:gridCol w:w="416"/>
        <w:gridCol w:w="796"/>
        <w:gridCol w:w="451"/>
        <w:gridCol w:w="1131"/>
        <w:gridCol w:w="785"/>
        <w:gridCol w:w="779"/>
        <w:gridCol w:w="2382"/>
      </w:tblGrid>
      <w:tr>
        <w:tblPrEx>
          <w:tblCellMar>
            <w:top w:w="0" w:type="dxa"/>
            <w:left w:w="108" w:type="dxa"/>
            <w:bottom w:w="0" w:type="dxa"/>
            <w:right w:w="108" w:type="dxa"/>
          </w:tblCellMar>
        </w:tblPrEx>
        <w:trPr>
          <w:trHeight w:val="343" w:hRule="atLeast"/>
        </w:trPr>
        <w:tc>
          <w:tcPr>
            <w:tcW w:w="103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themeColor="text1"/>
                <w:kern w:val="0"/>
                <w:sz w:val="30"/>
                <w:szCs w:val="30"/>
                <w14:textFill>
                  <w14:solidFill>
                    <w14:schemeClr w14:val="tx1"/>
                  </w14:solidFill>
                </w14:textFill>
              </w:rPr>
            </w:pPr>
            <w:r>
              <w:rPr>
                <w:rFonts w:hint="eastAsia" w:ascii="黑体" w:hAnsi="黑体" w:eastAsia="黑体" w:cs="宋体"/>
                <w:b/>
                <w:bCs/>
                <w:color w:val="000000" w:themeColor="text1"/>
                <w:kern w:val="0"/>
                <w:sz w:val="30"/>
                <w:szCs w:val="30"/>
                <w14:textFill>
                  <w14:solidFill>
                    <w14:schemeClr w14:val="tx1"/>
                  </w14:solidFill>
                </w14:textFill>
              </w:rPr>
              <w:t>部门预算项目支出绩效自评表（2022年度）</w:t>
            </w:r>
          </w:p>
        </w:tc>
      </w:tr>
      <w:tr>
        <w:tblPrEx>
          <w:tblCellMar>
            <w:top w:w="0" w:type="dxa"/>
            <w:left w:w="108" w:type="dxa"/>
            <w:bottom w:w="0" w:type="dxa"/>
            <w:right w:w="108" w:type="dxa"/>
          </w:tblCellMar>
        </w:tblPrEx>
        <w:trPr>
          <w:trHeight w:val="237" w:hRule="atLeas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项目名称</w:t>
            </w:r>
          </w:p>
        </w:tc>
        <w:tc>
          <w:tcPr>
            <w:tcW w:w="8791"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婚姻家庭工作经费</w:t>
            </w:r>
          </w:p>
        </w:tc>
      </w:tr>
      <w:tr>
        <w:tblPrEx>
          <w:tblCellMar>
            <w:top w:w="0" w:type="dxa"/>
            <w:left w:w="108" w:type="dxa"/>
            <w:bottom w:w="0" w:type="dxa"/>
            <w:right w:w="108" w:type="dxa"/>
          </w:tblCellMar>
        </w:tblPrEx>
        <w:trPr>
          <w:trHeight w:val="395" w:hRule="atLeas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主管部门</w:t>
            </w:r>
          </w:p>
        </w:tc>
        <w:tc>
          <w:tcPr>
            <w:tcW w:w="3714"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广元市朝天区妇女联合会部门</w:t>
            </w:r>
          </w:p>
        </w:tc>
        <w:tc>
          <w:tcPr>
            <w:tcW w:w="1131" w:type="dxa"/>
            <w:tcBorders>
              <w:top w:val="nil"/>
              <w:left w:val="nil"/>
              <w:bottom w:val="nil"/>
              <w:right w:val="nil"/>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实施单位 （盖章）</w:t>
            </w: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广元市朝天区妇女联合会</w:t>
            </w:r>
          </w:p>
        </w:tc>
      </w:tr>
      <w:tr>
        <w:tblPrEx>
          <w:tblCellMar>
            <w:top w:w="0" w:type="dxa"/>
            <w:left w:w="108" w:type="dxa"/>
            <w:bottom w:w="0" w:type="dxa"/>
            <w:right w:w="108" w:type="dxa"/>
          </w:tblCellMar>
        </w:tblPrEx>
        <w:trPr>
          <w:trHeight w:val="237" w:hRule="atLeast"/>
        </w:trPr>
        <w:tc>
          <w:tcPr>
            <w:tcW w:w="7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项目基本情况</w:t>
            </w:r>
          </w:p>
        </w:tc>
        <w:tc>
          <w:tcPr>
            <w:tcW w:w="7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1.项目年度目标完成情况</w:t>
            </w:r>
          </w:p>
        </w:tc>
        <w:tc>
          <w:tcPr>
            <w:tcW w:w="3714"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项目年度目标</w:t>
            </w:r>
          </w:p>
        </w:tc>
        <w:tc>
          <w:tcPr>
            <w:tcW w:w="5077"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年度目标完成情况</w:t>
            </w:r>
          </w:p>
        </w:tc>
      </w:tr>
      <w:tr>
        <w:tblPrEx>
          <w:tblCellMar>
            <w:top w:w="0" w:type="dxa"/>
            <w:left w:w="108" w:type="dxa"/>
            <w:bottom w:w="0" w:type="dxa"/>
            <w:right w:w="108" w:type="dxa"/>
          </w:tblCellMar>
        </w:tblPrEx>
        <w:trPr>
          <w:trHeight w:val="1003" w:hRule="atLeast"/>
        </w:trPr>
        <w:tc>
          <w:tcPr>
            <w:tcW w:w="790"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2"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3714"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在全区开展妇女婚姻专项工作。                                                                     化解妇女家庭婚姻工作</w:t>
            </w:r>
          </w:p>
        </w:tc>
        <w:tc>
          <w:tcPr>
            <w:tcW w:w="5077"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已完成在全区开展妇女婚姻专项工作。                                                                     化解妇女家庭婚姻工作</w:t>
            </w:r>
          </w:p>
        </w:tc>
      </w:tr>
      <w:tr>
        <w:tblPrEx>
          <w:tblCellMar>
            <w:top w:w="0" w:type="dxa"/>
            <w:left w:w="108" w:type="dxa"/>
            <w:bottom w:w="0" w:type="dxa"/>
            <w:right w:w="108" w:type="dxa"/>
          </w:tblCellMar>
        </w:tblPrEx>
        <w:trPr>
          <w:trHeight w:val="593" w:hRule="atLeast"/>
        </w:trPr>
        <w:tc>
          <w:tcPr>
            <w:tcW w:w="790"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spacing w:val="-20"/>
                <w:kern w:val="0"/>
                <w:sz w:val="20"/>
                <w:szCs w:val="20"/>
                <w:lang w:bidi="ar"/>
              </w:rPr>
              <w:t>2.项目实施内容及过程概述</w:t>
            </w:r>
          </w:p>
        </w:tc>
        <w:tc>
          <w:tcPr>
            <w:tcW w:w="8791"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已完成在全区开展妇女婚姻专项工作。                                                                     化解妇女家庭婚姻工作　</w:t>
            </w:r>
          </w:p>
        </w:tc>
      </w:tr>
      <w:tr>
        <w:tblPrEx>
          <w:tblCellMar>
            <w:top w:w="0" w:type="dxa"/>
            <w:left w:w="108" w:type="dxa"/>
            <w:bottom w:w="0" w:type="dxa"/>
            <w:right w:w="108" w:type="dxa"/>
          </w:tblCellMar>
        </w:tblPrEx>
        <w:trPr>
          <w:trHeight w:val="395" w:hRule="atLeast"/>
        </w:trPr>
        <w:tc>
          <w:tcPr>
            <w:tcW w:w="7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预算执行情况（10分）</w:t>
            </w:r>
          </w:p>
        </w:tc>
        <w:tc>
          <w:tcPr>
            <w:tcW w:w="79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spacing w:val="-20"/>
                <w:kern w:val="0"/>
                <w:sz w:val="20"/>
                <w:szCs w:val="20"/>
                <w:lang w:bidi="ar"/>
              </w:rPr>
              <w:t>年度预算数（万元）</w:t>
            </w:r>
          </w:p>
        </w:tc>
        <w:tc>
          <w:tcPr>
            <w:tcW w:w="79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年初预算</w:t>
            </w:r>
          </w:p>
        </w:tc>
        <w:tc>
          <w:tcPr>
            <w:tcW w:w="1260"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调整后预算数</w:t>
            </w:r>
          </w:p>
        </w:tc>
        <w:tc>
          <w:tcPr>
            <w:tcW w:w="1663"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预算执行数</w:t>
            </w:r>
          </w:p>
        </w:tc>
        <w:tc>
          <w:tcPr>
            <w:tcW w:w="113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预算执行率</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权重</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得分</w:t>
            </w:r>
          </w:p>
        </w:tc>
        <w:tc>
          <w:tcPr>
            <w:tcW w:w="238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原因</w:t>
            </w:r>
          </w:p>
        </w:tc>
      </w:tr>
      <w:tr>
        <w:tblPrEx>
          <w:tblCellMar>
            <w:top w:w="0" w:type="dxa"/>
            <w:left w:w="108" w:type="dxa"/>
            <w:bottom w:w="0" w:type="dxa"/>
            <w:right w:w="108" w:type="dxa"/>
          </w:tblCellMar>
        </w:tblPrEx>
        <w:trPr>
          <w:trHeight w:val="237" w:hRule="atLeast"/>
        </w:trPr>
        <w:tc>
          <w:tcPr>
            <w:tcW w:w="790"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总额</w:t>
            </w:r>
          </w:p>
        </w:tc>
        <w:tc>
          <w:tcPr>
            <w:tcW w:w="79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1260"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0.29</w:t>
            </w:r>
          </w:p>
        </w:tc>
        <w:tc>
          <w:tcPr>
            <w:tcW w:w="1663"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0.28</w:t>
            </w:r>
          </w:p>
        </w:tc>
        <w:tc>
          <w:tcPr>
            <w:tcW w:w="113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97.02%</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　</w:t>
            </w:r>
          </w:p>
        </w:tc>
        <w:tc>
          <w:tcPr>
            <w:tcW w:w="23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预算调整</w:t>
            </w:r>
          </w:p>
        </w:tc>
      </w:tr>
      <w:tr>
        <w:tblPrEx>
          <w:tblCellMar>
            <w:top w:w="0" w:type="dxa"/>
            <w:left w:w="108" w:type="dxa"/>
            <w:bottom w:w="0" w:type="dxa"/>
            <w:right w:w="108" w:type="dxa"/>
          </w:tblCellMar>
        </w:tblPrEx>
        <w:trPr>
          <w:trHeight w:val="395" w:hRule="atLeast"/>
        </w:trPr>
        <w:tc>
          <w:tcPr>
            <w:tcW w:w="790"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spacing w:val="-20"/>
                <w:kern w:val="0"/>
                <w:sz w:val="20"/>
                <w:szCs w:val="20"/>
                <w:lang w:bidi="ar"/>
              </w:rPr>
              <w:t>其中：财政资金</w:t>
            </w:r>
          </w:p>
        </w:tc>
        <w:tc>
          <w:tcPr>
            <w:tcW w:w="79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1260"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0.29</w:t>
            </w:r>
          </w:p>
        </w:tc>
        <w:tc>
          <w:tcPr>
            <w:tcW w:w="1663"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0.28</w:t>
            </w:r>
          </w:p>
        </w:tc>
        <w:tc>
          <w:tcPr>
            <w:tcW w:w="113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97.02%</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2382"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5" w:hRule="atLeast"/>
        </w:trPr>
        <w:tc>
          <w:tcPr>
            <w:tcW w:w="790"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20"/>
                <w:kern w:val="0"/>
                <w:sz w:val="20"/>
                <w:szCs w:val="20"/>
                <w:lang w:bidi="ar"/>
              </w:rPr>
            </w:pPr>
            <w:r>
              <w:rPr>
                <w:rFonts w:hint="eastAsia" w:ascii="宋体" w:hAnsi="宋体" w:cs="宋体"/>
                <w:color w:val="000000"/>
                <w:spacing w:val="-20"/>
                <w:kern w:val="0"/>
                <w:sz w:val="20"/>
                <w:szCs w:val="20"/>
                <w:lang w:bidi="ar"/>
              </w:rPr>
              <w:t>财政专户管理资金</w:t>
            </w:r>
          </w:p>
        </w:tc>
        <w:tc>
          <w:tcPr>
            <w:tcW w:w="79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260"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663"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13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2382"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37" w:hRule="atLeast"/>
        </w:trPr>
        <w:tc>
          <w:tcPr>
            <w:tcW w:w="790"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20"/>
                <w:kern w:val="0"/>
                <w:sz w:val="20"/>
                <w:szCs w:val="20"/>
                <w:lang w:bidi="ar"/>
              </w:rPr>
            </w:pPr>
            <w:r>
              <w:rPr>
                <w:rFonts w:hint="eastAsia" w:ascii="宋体" w:hAnsi="宋体" w:cs="宋体"/>
                <w:color w:val="000000"/>
                <w:spacing w:val="-20"/>
                <w:kern w:val="0"/>
                <w:sz w:val="20"/>
                <w:szCs w:val="20"/>
                <w:lang w:bidi="ar"/>
              </w:rPr>
              <w:t>单位资金</w:t>
            </w:r>
          </w:p>
        </w:tc>
        <w:tc>
          <w:tcPr>
            <w:tcW w:w="79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260"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663"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13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2382"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37" w:hRule="atLeast"/>
        </w:trPr>
        <w:tc>
          <w:tcPr>
            <w:tcW w:w="790"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20"/>
                <w:kern w:val="0"/>
                <w:sz w:val="20"/>
                <w:szCs w:val="20"/>
                <w:lang w:bidi="ar"/>
              </w:rPr>
            </w:pPr>
            <w:r>
              <w:rPr>
                <w:rFonts w:hint="eastAsia" w:ascii="宋体" w:hAnsi="宋体" w:cs="宋体"/>
                <w:color w:val="000000"/>
                <w:spacing w:val="-20"/>
                <w:kern w:val="0"/>
                <w:sz w:val="20"/>
                <w:szCs w:val="20"/>
                <w:lang w:bidi="ar"/>
              </w:rPr>
              <w:t>其他资金</w:t>
            </w:r>
          </w:p>
        </w:tc>
        <w:tc>
          <w:tcPr>
            <w:tcW w:w="79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260"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663"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13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2382"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5" w:hRule="atLeast"/>
        </w:trPr>
        <w:tc>
          <w:tcPr>
            <w:tcW w:w="7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绩效指标（90分）</w:t>
            </w:r>
          </w:p>
        </w:tc>
        <w:tc>
          <w:tcPr>
            <w:tcW w:w="79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一级指标</w:t>
            </w:r>
          </w:p>
        </w:tc>
        <w:tc>
          <w:tcPr>
            <w:tcW w:w="79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二级指标</w:t>
            </w:r>
          </w:p>
        </w:tc>
        <w:tc>
          <w:tcPr>
            <w:tcW w:w="1260"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三级指标</w:t>
            </w:r>
          </w:p>
        </w:tc>
        <w:tc>
          <w:tcPr>
            <w:tcW w:w="4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指标性质</w:t>
            </w:r>
          </w:p>
        </w:tc>
        <w:tc>
          <w:tcPr>
            <w:tcW w:w="7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指标值</w:t>
            </w:r>
          </w:p>
        </w:tc>
        <w:tc>
          <w:tcPr>
            <w:tcW w:w="4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度量单位</w:t>
            </w:r>
          </w:p>
        </w:tc>
        <w:tc>
          <w:tcPr>
            <w:tcW w:w="113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完成值</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权重</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得分</w:t>
            </w:r>
          </w:p>
        </w:tc>
        <w:tc>
          <w:tcPr>
            <w:tcW w:w="238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未完成原因分析</w:t>
            </w:r>
          </w:p>
        </w:tc>
      </w:tr>
      <w:tr>
        <w:tblPrEx>
          <w:tblCellMar>
            <w:top w:w="0" w:type="dxa"/>
            <w:left w:w="108" w:type="dxa"/>
            <w:bottom w:w="0" w:type="dxa"/>
            <w:right w:w="108" w:type="dxa"/>
          </w:tblCellMar>
        </w:tblPrEx>
        <w:trPr>
          <w:trHeight w:val="1832" w:hRule="atLeast"/>
        </w:trPr>
        <w:tc>
          <w:tcPr>
            <w:tcW w:w="790"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产出指标</w:t>
            </w:r>
          </w:p>
        </w:tc>
        <w:tc>
          <w:tcPr>
            <w:tcW w:w="79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数量指标</w:t>
            </w:r>
          </w:p>
        </w:tc>
        <w:tc>
          <w:tcPr>
            <w:tcW w:w="1260"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20"/>
                <w:kern w:val="0"/>
                <w:sz w:val="20"/>
                <w:szCs w:val="20"/>
                <w:lang w:bidi="ar"/>
              </w:rPr>
            </w:pPr>
            <w:r>
              <w:rPr>
                <w:rFonts w:hint="eastAsia" w:ascii="宋体" w:hAnsi="宋体" w:cs="宋体"/>
                <w:color w:val="000000"/>
                <w:spacing w:val="-20"/>
                <w:kern w:val="0"/>
                <w:sz w:val="20"/>
                <w:szCs w:val="20"/>
                <w:lang w:bidi="ar"/>
              </w:rPr>
              <w:t>全年调解婚姻纠纷家庭矛盾纠纷数</w:t>
            </w:r>
          </w:p>
        </w:tc>
        <w:tc>
          <w:tcPr>
            <w:tcW w:w="4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4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件</w:t>
            </w:r>
          </w:p>
        </w:tc>
        <w:tc>
          <w:tcPr>
            <w:tcW w:w="113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2</w:t>
            </w:r>
            <w:r>
              <w:rPr>
                <w:rFonts w:hint="eastAsia" w:ascii="宋体" w:hAnsi="宋体" w:cs="宋体"/>
                <w:color w:val="000000"/>
                <w:kern w:val="0"/>
                <w:sz w:val="20"/>
                <w:szCs w:val="20"/>
                <w:lang w:bidi="ar"/>
              </w:rPr>
              <w:t>　</w:t>
            </w:r>
          </w:p>
        </w:tc>
        <w:tc>
          <w:tcPr>
            <w:tcW w:w="238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771" w:hRule="atLeast"/>
        </w:trPr>
        <w:tc>
          <w:tcPr>
            <w:tcW w:w="790"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2"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质量指标</w:t>
            </w:r>
          </w:p>
        </w:tc>
        <w:tc>
          <w:tcPr>
            <w:tcW w:w="1260"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20"/>
                <w:kern w:val="0"/>
                <w:sz w:val="20"/>
                <w:szCs w:val="20"/>
                <w:lang w:bidi="ar"/>
              </w:rPr>
            </w:pPr>
            <w:r>
              <w:rPr>
                <w:rFonts w:hint="eastAsia" w:ascii="宋体" w:hAnsi="宋体" w:cs="宋体"/>
                <w:color w:val="000000"/>
                <w:spacing w:val="-20"/>
                <w:kern w:val="0"/>
                <w:sz w:val="20"/>
                <w:szCs w:val="20"/>
                <w:lang w:bidi="ar"/>
              </w:rPr>
              <w:t>充分利用社会资源整合的优势，依托社会矛盾纠纷大调解机制网络，将婚姻家庭矛盾纠纷纳入到大调解工作流程，为妇女维权工作的开展提供坚实的社会支柱。</w:t>
            </w:r>
          </w:p>
        </w:tc>
        <w:tc>
          <w:tcPr>
            <w:tcW w:w="4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4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13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2</w:t>
            </w:r>
            <w:r>
              <w:rPr>
                <w:rFonts w:hint="eastAsia" w:ascii="宋体" w:hAnsi="宋体" w:cs="宋体"/>
                <w:color w:val="000000"/>
                <w:kern w:val="0"/>
                <w:sz w:val="20"/>
                <w:szCs w:val="20"/>
                <w:lang w:bidi="ar"/>
              </w:rPr>
              <w:t>　</w:t>
            </w:r>
          </w:p>
        </w:tc>
        <w:tc>
          <w:tcPr>
            <w:tcW w:w="238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37" w:hRule="atLeast"/>
        </w:trPr>
        <w:tc>
          <w:tcPr>
            <w:tcW w:w="790"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2"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时效指标</w:t>
            </w:r>
          </w:p>
        </w:tc>
        <w:tc>
          <w:tcPr>
            <w:tcW w:w="1260"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2022年</w:t>
            </w:r>
          </w:p>
        </w:tc>
        <w:tc>
          <w:tcPr>
            <w:tcW w:w="4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4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13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2</w:t>
            </w:r>
            <w:r>
              <w:rPr>
                <w:rFonts w:hint="eastAsia" w:ascii="宋体" w:hAnsi="宋体" w:cs="宋体"/>
                <w:color w:val="000000"/>
                <w:kern w:val="0"/>
                <w:sz w:val="20"/>
                <w:szCs w:val="20"/>
                <w:lang w:bidi="ar"/>
              </w:rPr>
              <w:t>　</w:t>
            </w:r>
          </w:p>
        </w:tc>
        <w:tc>
          <w:tcPr>
            <w:tcW w:w="238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791" w:hRule="atLeast"/>
        </w:trPr>
        <w:tc>
          <w:tcPr>
            <w:tcW w:w="790"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2"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成本指标</w:t>
            </w:r>
          </w:p>
        </w:tc>
        <w:tc>
          <w:tcPr>
            <w:tcW w:w="1260"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20"/>
                <w:kern w:val="0"/>
                <w:sz w:val="20"/>
                <w:szCs w:val="20"/>
                <w:lang w:bidi="ar"/>
              </w:rPr>
            </w:pPr>
            <w:r>
              <w:rPr>
                <w:rFonts w:hint="eastAsia" w:ascii="宋体" w:hAnsi="宋体" w:cs="宋体"/>
                <w:color w:val="000000"/>
                <w:spacing w:val="-20"/>
                <w:kern w:val="0"/>
                <w:sz w:val="20"/>
                <w:szCs w:val="20"/>
                <w:lang w:bidi="ar"/>
              </w:rPr>
              <w:t>打造维权站2处，支付志愿者误工补助成本</w:t>
            </w:r>
          </w:p>
        </w:tc>
        <w:tc>
          <w:tcPr>
            <w:tcW w:w="4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4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万</w:t>
            </w:r>
            <w:r>
              <w:rPr>
                <w:rFonts w:hint="eastAsia" w:ascii="宋体" w:hAnsi="宋体" w:cs="宋体"/>
                <w:color w:val="000000"/>
                <w:kern w:val="0"/>
                <w:sz w:val="20"/>
                <w:szCs w:val="20"/>
                <w:lang w:bidi="ar"/>
              </w:rPr>
              <w:t>元</w:t>
            </w:r>
          </w:p>
        </w:tc>
        <w:tc>
          <w:tcPr>
            <w:tcW w:w="113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2</w:t>
            </w:r>
            <w:r>
              <w:rPr>
                <w:rFonts w:hint="eastAsia" w:ascii="宋体" w:hAnsi="宋体" w:cs="宋体"/>
                <w:color w:val="000000"/>
                <w:kern w:val="0"/>
                <w:sz w:val="20"/>
                <w:szCs w:val="20"/>
                <w:lang w:bidi="ar"/>
              </w:rPr>
              <w:t>　</w:t>
            </w:r>
          </w:p>
        </w:tc>
        <w:tc>
          <w:tcPr>
            <w:tcW w:w="238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1979" w:hRule="atLeast"/>
        </w:trPr>
        <w:tc>
          <w:tcPr>
            <w:tcW w:w="790"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效益指标</w:t>
            </w:r>
          </w:p>
        </w:tc>
        <w:tc>
          <w:tcPr>
            <w:tcW w:w="79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社会效益指标</w:t>
            </w:r>
          </w:p>
        </w:tc>
        <w:tc>
          <w:tcPr>
            <w:tcW w:w="1260"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20"/>
                <w:kern w:val="0"/>
                <w:sz w:val="20"/>
                <w:szCs w:val="20"/>
                <w:lang w:bidi="ar"/>
              </w:rPr>
            </w:pPr>
            <w:r>
              <w:rPr>
                <w:rFonts w:hint="eastAsia" w:ascii="宋体" w:hAnsi="宋体" w:cs="宋体"/>
                <w:color w:val="000000"/>
                <w:spacing w:val="-20"/>
                <w:kern w:val="0"/>
                <w:sz w:val="20"/>
                <w:szCs w:val="20"/>
                <w:lang w:bidi="ar"/>
              </w:rPr>
              <w:t>对婚姻家庭矛盾行定期排查，及时调解，确保小矛盾不出家门，小纠纷不出村居，力争家庭矛盾得以解决。</w:t>
            </w:r>
          </w:p>
        </w:tc>
        <w:tc>
          <w:tcPr>
            <w:tcW w:w="4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定性</w:t>
            </w:r>
          </w:p>
        </w:tc>
        <w:tc>
          <w:tcPr>
            <w:tcW w:w="7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高中低</w:t>
            </w:r>
          </w:p>
        </w:tc>
        <w:tc>
          <w:tcPr>
            <w:tcW w:w="4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13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5</w:t>
            </w:r>
            <w:r>
              <w:rPr>
                <w:rFonts w:hint="eastAsia" w:ascii="宋体" w:hAnsi="宋体" w:cs="宋体"/>
                <w:color w:val="000000"/>
                <w:kern w:val="0"/>
                <w:sz w:val="20"/>
                <w:szCs w:val="20"/>
                <w:lang w:bidi="ar"/>
              </w:rPr>
              <w:t>　</w:t>
            </w:r>
          </w:p>
        </w:tc>
        <w:tc>
          <w:tcPr>
            <w:tcW w:w="238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791" w:hRule="atLeast"/>
        </w:trPr>
        <w:tc>
          <w:tcPr>
            <w:tcW w:w="790"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2"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可持续影响指标</w:t>
            </w:r>
          </w:p>
        </w:tc>
        <w:tc>
          <w:tcPr>
            <w:tcW w:w="1260"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20"/>
                <w:kern w:val="0"/>
                <w:sz w:val="20"/>
                <w:szCs w:val="20"/>
                <w:lang w:bidi="ar"/>
              </w:rPr>
            </w:pPr>
            <w:r>
              <w:rPr>
                <w:rFonts w:hint="eastAsia" w:ascii="宋体" w:hAnsi="宋体" w:cs="宋体"/>
                <w:color w:val="000000"/>
                <w:spacing w:val="-20"/>
                <w:kern w:val="0"/>
                <w:sz w:val="20"/>
                <w:szCs w:val="20"/>
                <w:lang w:bidi="ar"/>
              </w:rPr>
              <w:t>对妇女婚姻矛盾需要、维护妇女基本权益。</w:t>
            </w:r>
          </w:p>
        </w:tc>
        <w:tc>
          <w:tcPr>
            <w:tcW w:w="4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4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13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5</w:t>
            </w:r>
            <w:r>
              <w:rPr>
                <w:rFonts w:hint="eastAsia" w:ascii="宋体" w:hAnsi="宋体" w:cs="宋体"/>
                <w:color w:val="000000"/>
                <w:kern w:val="0"/>
                <w:sz w:val="20"/>
                <w:szCs w:val="20"/>
                <w:lang w:bidi="ar"/>
              </w:rPr>
              <w:t>　</w:t>
            </w:r>
          </w:p>
        </w:tc>
        <w:tc>
          <w:tcPr>
            <w:tcW w:w="238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395" w:hRule="atLeast"/>
        </w:trPr>
        <w:tc>
          <w:tcPr>
            <w:tcW w:w="790"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9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满意度指标</w:t>
            </w:r>
          </w:p>
        </w:tc>
        <w:tc>
          <w:tcPr>
            <w:tcW w:w="79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服务对象满意度指标</w:t>
            </w:r>
          </w:p>
        </w:tc>
        <w:tc>
          <w:tcPr>
            <w:tcW w:w="1260"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使用方满意度</w:t>
            </w:r>
          </w:p>
        </w:tc>
        <w:tc>
          <w:tcPr>
            <w:tcW w:w="4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95</w:t>
            </w:r>
          </w:p>
        </w:tc>
        <w:tc>
          <w:tcPr>
            <w:tcW w:w="4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13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95</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5</w:t>
            </w:r>
            <w:r>
              <w:rPr>
                <w:rFonts w:hint="eastAsia" w:ascii="宋体" w:hAnsi="宋体" w:cs="宋体"/>
                <w:color w:val="000000"/>
                <w:kern w:val="0"/>
                <w:sz w:val="20"/>
                <w:szCs w:val="20"/>
                <w:lang w:bidi="ar"/>
              </w:rPr>
              <w:t>　</w:t>
            </w:r>
          </w:p>
        </w:tc>
        <w:tc>
          <w:tcPr>
            <w:tcW w:w="238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37" w:hRule="atLeast"/>
        </w:trPr>
        <w:tc>
          <w:tcPr>
            <w:tcW w:w="64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合计</w:t>
            </w:r>
          </w:p>
        </w:tc>
        <w:tc>
          <w:tcPr>
            <w:tcW w:w="78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77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r>
              <w:rPr>
                <w:rFonts w:ascii="宋体" w:hAnsi="宋体" w:cs="宋体"/>
                <w:color w:val="000000"/>
                <w:kern w:val="0"/>
                <w:sz w:val="20"/>
                <w:szCs w:val="20"/>
                <w:lang w:bidi="ar"/>
              </w:rPr>
              <w:t>7</w:t>
            </w:r>
            <w:r>
              <w:rPr>
                <w:rFonts w:hint="eastAsia" w:ascii="宋体" w:hAnsi="宋体" w:cs="宋体"/>
                <w:color w:val="000000"/>
                <w:kern w:val="0"/>
                <w:sz w:val="20"/>
                <w:szCs w:val="20"/>
                <w:lang w:bidi="ar"/>
              </w:rPr>
              <w:t>　</w:t>
            </w:r>
          </w:p>
        </w:tc>
        <w:tc>
          <w:tcPr>
            <w:tcW w:w="2382"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37" w:hRule="atLeast"/>
        </w:trPr>
        <w:tc>
          <w:tcPr>
            <w:tcW w:w="790"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评价结论</w:t>
            </w:r>
          </w:p>
        </w:tc>
        <w:tc>
          <w:tcPr>
            <w:tcW w:w="9583"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18"/>
                <w:szCs w:val="18"/>
                <w:lang w:bidi="ar"/>
              </w:rPr>
            </w:pPr>
            <w:r>
              <w:rPr>
                <w:rFonts w:hint="eastAsia" w:cs="宋体" w:asciiTheme="minorEastAsia" w:hAnsiTheme="minorEastAsia" w:eastAsiaTheme="minorEastAsia"/>
                <w:kern w:val="0"/>
                <w:sz w:val="18"/>
                <w:szCs w:val="18"/>
              </w:rPr>
              <w:t>项目自评总分</w:t>
            </w:r>
            <w:r>
              <w:rPr>
                <w:rFonts w:cs="宋体" w:asciiTheme="minorEastAsia" w:hAnsiTheme="minorEastAsia" w:eastAsiaTheme="minorEastAsia"/>
                <w:kern w:val="0"/>
                <w:sz w:val="18"/>
                <w:szCs w:val="18"/>
              </w:rPr>
              <w:t>97</w:t>
            </w:r>
            <w:r>
              <w:rPr>
                <w:rFonts w:hint="eastAsia" w:cs="宋体" w:asciiTheme="minorEastAsia" w:hAnsiTheme="minorEastAsia" w:eastAsiaTheme="minorEastAsia"/>
                <w:kern w:val="0"/>
                <w:sz w:val="18"/>
                <w:szCs w:val="18"/>
              </w:rPr>
              <w:t>分，对妇女婚姻矛盾需要、维护妇女基本权益。</w:t>
            </w:r>
          </w:p>
        </w:tc>
      </w:tr>
      <w:tr>
        <w:tblPrEx>
          <w:tblCellMar>
            <w:top w:w="0" w:type="dxa"/>
            <w:left w:w="108" w:type="dxa"/>
            <w:bottom w:w="0" w:type="dxa"/>
            <w:right w:w="108" w:type="dxa"/>
          </w:tblCellMar>
        </w:tblPrEx>
        <w:trPr>
          <w:trHeight w:val="237" w:hRule="atLeast"/>
        </w:trPr>
        <w:tc>
          <w:tcPr>
            <w:tcW w:w="790"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存在问题</w:t>
            </w:r>
          </w:p>
        </w:tc>
        <w:tc>
          <w:tcPr>
            <w:tcW w:w="9583"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18"/>
                <w:szCs w:val="18"/>
                <w:lang w:bidi="ar"/>
              </w:rPr>
            </w:pPr>
            <w:r>
              <w:rPr>
                <w:rFonts w:hint="eastAsia" w:cs="宋体" w:asciiTheme="minorEastAsia" w:hAnsiTheme="minorEastAsia" w:eastAsiaTheme="minorEastAsia"/>
                <w:kern w:val="0"/>
                <w:sz w:val="18"/>
                <w:szCs w:val="18"/>
              </w:rPr>
              <w:t>无</w:t>
            </w:r>
          </w:p>
        </w:tc>
      </w:tr>
      <w:tr>
        <w:tblPrEx>
          <w:tblCellMar>
            <w:top w:w="0" w:type="dxa"/>
            <w:left w:w="108" w:type="dxa"/>
            <w:bottom w:w="0" w:type="dxa"/>
            <w:right w:w="108" w:type="dxa"/>
          </w:tblCellMar>
        </w:tblPrEx>
        <w:trPr>
          <w:trHeight w:val="237" w:hRule="atLeast"/>
        </w:trPr>
        <w:tc>
          <w:tcPr>
            <w:tcW w:w="790"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改进措施</w:t>
            </w:r>
          </w:p>
        </w:tc>
        <w:tc>
          <w:tcPr>
            <w:tcW w:w="9583"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18"/>
                <w:szCs w:val="18"/>
                <w:lang w:bidi="ar"/>
              </w:rPr>
            </w:pPr>
            <w:r>
              <w:rPr>
                <w:rFonts w:hint="eastAsia" w:cs="宋体" w:asciiTheme="minorEastAsia" w:hAnsiTheme="minorEastAsia" w:eastAsiaTheme="minorEastAsia"/>
                <w:kern w:val="0"/>
                <w:sz w:val="18"/>
                <w:szCs w:val="18"/>
              </w:rPr>
              <w:t>后续将按照财政项目支出绩效管理要求，建立科学的财政资金效益考评制度体系，不断提高财政资金的利用效率。</w:t>
            </w:r>
          </w:p>
        </w:tc>
      </w:tr>
      <w:tr>
        <w:tblPrEx>
          <w:tblCellMar>
            <w:top w:w="0" w:type="dxa"/>
            <w:left w:w="108" w:type="dxa"/>
            <w:bottom w:w="0" w:type="dxa"/>
            <w:right w:w="108" w:type="dxa"/>
          </w:tblCellMar>
        </w:tblPrEx>
        <w:trPr>
          <w:trHeight w:val="237" w:hRule="atLeast"/>
        </w:trPr>
        <w:tc>
          <w:tcPr>
            <w:tcW w:w="4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项目负责人：杨筱芳</w:t>
            </w:r>
          </w:p>
        </w:tc>
        <w:tc>
          <w:tcPr>
            <w:tcW w:w="6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财务负责人：何娇</w:t>
            </w:r>
          </w:p>
        </w:tc>
      </w:tr>
    </w:tbl>
    <w:p>
      <w:pPr>
        <w:pStyle w:val="34"/>
        <w:spacing w:line="578" w:lineRule="exact"/>
        <w:jc w:val="left"/>
        <w:rPr>
          <w:rFonts w:ascii="仿宋_GB2312" w:hAnsi="仿宋_GB2312" w:eastAsia="仿宋_GB2312" w:cs="仿宋_GB2312"/>
          <w:color w:val="000000" w:themeColor="text1"/>
          <w:sz w:val="32"/>
          <w:szCs w:val="32"/>
          <w:shd w:val="clear" w:color="auto" w:fill="FFFFFF"/>
          <w:lang w:val="en-US"/>
          <w14:textFill>
            <w14:solidFill>
              <w14:schemeClr w14:val="tx1"/>
            </w14:solidFill>
          </w14:textFill>
        </w:rPr>
      </w:pPr>
      <w:bookmarkStart w:id="58" w:name="_Toc15396618"/>
    </w:p>
    <w:p>
      <w:pPr>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p>
    <w:tbl>
      <w:tblPr>
        <w:tblStyle w:val="15"/>
        <w:tblW w:w="10893" w:type="dxa"/>
        <w:tblInd w:w="-1045" w:type="dxa"/>
        <w:tblLayout w:type="fixed"/>
        <w:tblCellMar>
          <w:top w:w="0" w:type="dxa"/>
          <w:left w:w="108" w:type="dxa"/>
          <w:bottom w:w="0" w:type="dxa"/>
          <w:right w:w="108" w:type="dxa"/>
        </w:tblCellMar>
      </w:tblPr>
      <w:tblGrid>
        <w:gridCol w:w="761"/>
        <w:gridCol w:w="1085"/>
        <w:gridCol w:w="1031"/>
        <w:gridCol w:w="1387"/>
        <w:gridCol w:w="462"/>
        <w:gridCol w:w="141"/>
        <w:gridCol w:w="669"/>
        <w:gridCol w:w="462"/>
        <w:gridCol w:w="586"/>
        <w:gridCol w:w="245"/>
        <w:gridCol w:w="588"/>
        <w:gridCol w:w="420"/>
        <w:gridCol w:w="3056"/>
      </w:tblGrid>
      <w:tr>
        <w:tblPrEx>
          <w:tblCellMar>
            <w:top w:w="0" w:type="dxa"/>
            <w:left w:w="108" w:type="dxa"/>
            <w:bottom w:w="0" w:type="dxa"/>
            <w:right w:w="108" w:type="dxa"/>
          </w:tblCellMar>
        </w:tblPrEx>
        <w:trPr>
          <w:trHeight w:val="390" w:hRule="atLeast"/>
        </w:trPr>
        <w:tc>
          <w:tcPr>
            <w:tcW w:w="1089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622" w:rightChars="-296"/>
              <w:jc w:val="center"/>
              <w:textAlignment w:val="center"/>
              <w:rPr>
                <w:rFonts w:ascii="黑体" w:hAnsi="宋体" w:eastAsia="黑体" w:cs="黑体"/>
                <w:b/>
                <w:bCs/>
                <w:color w:val="000000" w:themeColor="text1"/>
                <w:sz w:val="30"/>
                <w:szCs w:val="30"/>
                <w14:textFill>
                  <w14:solidFill>
                    <w14:schemeClr w14:val="tx1"/>
                  </w14:solidFill>
                </w14:textFill>
              </w:rPr>
            </w:pPr>
            <w:r>
              <w:rPr>
                <w:rFonts w:hint="eastAsia" w:ascii="黑体" w:hAnsi="宋体" w:eastAsia="黑体" w:cs="黑体"/>
                <w:b/>
                <w:bCs/>
                <w:color w:val="000000" w:themeColor="text1"/>
                <w:kern w:val="0"/>
                <w:sz w:val="30"/>
                <w:szCs w:val="30"/>
                <w:lang w:bidi="ar"/>
                <w14:textFill>
                  <w14:solidFill>
                    <w14:schemeClr w14:val="tx1"/>
                  </w14:solidFill>
                </w14:textFill>
              </w:rPr>
              <w:t>部门预算项目支出绩效自评表（2022年度）</w:t>
            </w:r>
          </w:p>
        </w:tc>
      </w:tr>
      <w:tr>
        <w:tblPrEx>
          <w:tblCellMar>
            <w:top w:w="0" w:type="dxa"/>
            <w:left w:w="108" w:type="dxa"/>
            <w:bottom w:w="0" w:type="dxa"/>
            <w:right w:w="108" w:type="dxa"/>
          </w:tblCellMar>
        </w:tblPrEx>
        <w:trPr>
          <w:trHeight w:val="270"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项目名称</w:t>
            </w:r>
          </w:p>
        </w:tc>
        <w:tc>
          <w:tcPr>
            <w:tcW w:w="90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三八节等其他节日活动经费</w:t>
            </w:r>
          </w:p>
        </w:tc>
      </w:tr>
      <w:tr>
        <w:tblPrEx>
          <w:tblCellMar>
            <w:top w:w="0" w:type="dxa"/>
            <w:left w:w="108" w:type="dxa"/>
            <w:bottom w:w="0" w:type="dxa"/>
            <w:right w:w="108" w:type="dxa"/>
          </w:tblCellMar>
        </w:tblPrEx>
        <w:trPr>
          <w:trHeight w:val="450"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主管部门</w:t>
            </w:r>
          </w:p>
        </w:tc>
        <w:tc>
          <w:tcPr>
            <w:tcW w:w="47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广元市朝天区妇女联合会部门</w:t>
            </w:r>
          </w:p>
        </w:tc>
        <w:tc>
          <w:tcPr>
            <w:tcW w:w="837" w:type="dxa"/>
            <w:gridSpan w:val="2"/>
            <w:tcBorders>
              <w:top w:val="nil"/>
              <w:left w:val="nil"/>
              <w:bottom w:val="nil"/>
              <w:right w:val="nil"/>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实施单位 （盖章）</w:t>
            </w:r>
          </w:p>
        </w:tc>
        <w:tc>
          <w:tcPr>
            <w:tcW w:w="3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ind w:right="1588" w:rightChars="756"/>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70" w:hRule="atLeast"/>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项目基本情况</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spacing w:val="-20"/>
                <w:kern w:val="0"/>
                <w:sz w:val="20"/>
                <w:szCs w:val="20"/>
                <w:lang w:bidi="ar"/>
              </w:rPr>
              <w:t>1.项目年度目标完成情况</w:t>
            </w:r>
          </w:p>
        </w:tc>
        <w:tc>
          <w:tcPr>
            <w:tcW w:w="47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项目年度目标</w:t>
            </w:r>
          </w:p>
        </w:tc>
        <w:tc>
          <w:tcPr>
            <w:tcW w:w="4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年度目标完成情况</w:t>
            </w:r>
          </w:p>
        </w:tc>
      </w:tr>
      <w:tr>
        <w:tblPrEx>
          <w:tblCellMar>
            <w:top w:w="0" w:type="dxa"/>
            <w:left w:w="108" w:type="dxa"/>
            <w:bottom w:w="0" w:type="dxa"/>
            <w:right w:w="108" w:type="dxa"/>
          </w:tblCellMar>
        </w:tblPrEx>
        <w:trPr>
          <w:trHeight w:val="27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47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spacing w:val="-20"/>
                <w:kern w:val="0"/>
                <w:sz w:val="20"/>
                <w:szCs w:val="20"/>
                <w:lang w:bidi="ar"/>
              </w:rPr>
              <w:t xml:space="preserve">全年慰问贫困母亲、贫困儿童80名，解决“急难愁盼”问题30个，开展各类慰问活动10场，三八期间评选先进、慰问贫困母亲、贫困儿童等困难群体，印发宣传资料、参观学习等；六一期间走访、慰问儿童；女儿节期间配合市上开展好区内庆祝活动，营造全区关心关注妇女儿童发展的社会良好氛围，推动新时代朝天建设。  </w:t>
            </w:r>
          </w:p>
        </w:tc>
        <w:tc>
          <w:tcPr>
            <w:tcW w:w="4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2100"/>
              </w:tabs>
              <w:autoSpaceDE w:val="0"/>
              <w:autoSpaceDN w:val="0"/>
              <w:adjustRightInd w:val="0"/>
              <w:ind w:right="495" w:rightChars="236"/>
              <w:jc w:val="center"/>
              <w:textAlignment w:val="center"/>
              <w:rPr>
                <w:rFonts w:ascii="宋体" w:hAnsi="宋体" w:cs="宋体"/>
                <w:color w:val="000000"/>
                <w:kern w:val="0"/>
                <w:sz w:val="20"/>
                <w:szCs w:val="20"/>
                <w:lang w:bidi="ar"/>
              </w:rPr>
            </w:pPr>
            <w:r>
              <w:rPr>
                <w:rFonts w:hint="eastAsia" w:ascii="宋体" w:hAnsi="宋体" w:cs="宋体"/>
                <w:color w:val="000000"/>
                <w:spacing w:val="-20"/>
                <w:kern w:val="0"/>
                <w:sz w:val="20"/>
                <w:szCs w:val="20"/>
                <w:lang w:bidi="ar"/>
              </w:rPr>
              <w:t>已完成</w:t>
            </w:r>
            <w:r>
              <w:rPr>
                <w:rFonts w:ascii="宋体" w:hAnsi="宋体" w:cs="宋体"/>
                <w:color w:val="000000"/>
                <w:spacing w:val="-20"/>
                <w:kern w:val="0"/>
                <w:sz w:val="20"/>
                <w:szCs w:val="20"/>
                <w:lang w:bidi="ar"/>
              </w:rPr>
              <w:t>全年慰问贫困母亲、贫困儿童80名，解决“急难愁盼”问题30个，开展各类慰问活动10场，三八期间评选先进、慰问贫困母亲、贫困儿童等困难群体，印发宣传资料、参观学习等；六一期间走访、慰问儿童；女儿节期间配合市上开展好区内庆祝活动，营造全区关心关注妇女儿童发展的社会良好氛围，推动新时代朝天建设</w:t>
            </w:r>
            <w:r>
              <w:rPr>
                <w:rFonts w:ascii="宋体" w:hAnsi="宋体" w:cs="宋体"/>
                <w:color w:val="000000"/>
                <w:kern w:val="0"/>
                <w:sz w:val="20"/>
                <w:szCs w:val="20"/>
                <w:lang w:bidi="ar"/>
              </w:rPr>
              <w:t xml:space="preserve">。  </w:t>
            </w:r>
          </w:p>
        </w:tc>
      </w:tr>
      <w:tr>
        <w:tblPrEx>
          <w:tblCellMar>
            <w:top w:w="0" w:type="dxa"/>
            <w:left w:w="108" w:type="dxa"/>
            <w:bottom w:w="0" w:type="dxa"/>
            <w:right w:w="108" w:type="dxa"/>
          </w:tblCellMar>
        </w:tblPrEx>
        <w:trPr>
          <w:trHeight w:val="675"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spacing w:val="-20"/>
                <w:kern w:val="0"/>
                <w:sz w:val="20"/>
                <w:szCs w:val="20"/>
                <w:lang w:bidi="ar"/>
              </w:rPr>
              <w:t>2.项目实施内容及过程概述</w:t>
            </w:r>
          </w:p>
        </w:tc>
        <w:tc>
          <w:tcPr>
            <w:tcW w:w="90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ind w:right="-294" w:rightChars="-14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评选先进、慰问贫困母亲、贫困儿童等困难群体，印发宣传资料、参观学习。</w:t>
            </w:r>
          </w:p>
        </w:tc>
      </w:tr>
      <w:tr>
        <w:tblPrEx>
          <w:tblCellMar>
            <w:top w:w="0" w:type="dxa"/>
            <w:left w:w="108" w:type="dxa"/>
            <w:bottom w:w="0" w:type="dxa"/>
            <w:right w:w="108" w:type="dxa"/>
          </w:tblCellMar>
        </w:tblPrEx>
        <w:trPr>
          <w:trHeight w:val="450" w:hRule="atLeast"/>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预算执行情况（10分）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年度预算数（万元）</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年初预算</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调整后预算数</w:t>
            </w:r>
          </w:p>
        </w:tc>
        <w:tc>
          <w:tcPr>
            <w:tcW w:w="17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预算执行数</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预算执行率</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权重</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得分</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2730"/>
              </w:tabs>
              <w:autoSpaceDE w:val="0"/>
              <w:autoSpaceDN w:val="0"/>
              <w:adjustRightInd w:val="0"/>
              <w:ind w:right="141" w:rightChars="67"/>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原因</w:t>
            </w:r>
          </w:p>
        </w:tc>
      </w:tr>
      <w:tr>
        <w:tblPrEx>
          <w:tblCellMar>
            <w:top w:w="0" w:type="dxa"/>
            <w:left w:w="108" w:type="dxa"/>
            <w:bottom w:w="0" w:type="dxa"/>
            <w:right w:w="108" w:type="dxa"/>
          </w:tblCellMar>
        </w:tblPrEx>
        <w:trPr>
          <w:trHeight w:val="27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总额</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10.00</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10.00</w:t>
            </w:r>
          </w:p>
        </w:tc>
        <w:tc>
          <w:tcPr>
            <w:tcW w:w="17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9.79</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97.91%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5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其中：财政资金</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10.00</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10.00</w:t>
            </w:r>
          </w:p>
        </w:tc>
        <w:tc>
          <w:tcPr>
            <w:tcW w:w="17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9.79</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97.91%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3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5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财政专户管理资金</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17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3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7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单位资金</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17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3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67"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其他资金</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7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3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50" w:hRule="atLeast"/>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绩效指标（90分）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一级指标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二级指标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三级指标</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指标性质</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指标值</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度量单位</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完成值</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权重</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得分</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未完成原因分析</w:t>
            </w:r>
          </w:p>
        </w:tc>
      </w:tr>
      <w:tr>
        <w:tblPrEx>
          <w:tblCellMar>
            <w:top w:w="0" w:type="dxa"/>
            <w:left w:w="108" w:type="dxa"/>
            <w:bottom w:w="0" w:type="dxa"/>
            <w:right w:w="108" w:type="dxa"/>
          </w:tblCellMar>
        </w:tblPrEx>
        <w:trPr>
          <w:trHeight w:val="36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产出指标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数量指标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textAlignment w:val="center"/>
              <w:rPr>
                <w:rFonts w:ascii="宋体" w:hAnsi="宋体" w:cs="宋体"/>
                <w:snapToGrid w:val="0"/>
                <w:color w:val="000000"/>
                <w:spacing w:val="-6"/>
                <w:w w:val="90"/>
                <w:kern w:val="0"/>
                <w:sz w:val="20"/>
                <w:szCs w:val="20"/>
                <w:lang w:bidi="ar"/>
              </w:rPr>
            </w:pPr>
            <w:r>
              <w:rPr>
                <w:rFonts w:ascii="宋体" w:hAnsi="宋体" w:cs="宋体"/>
                <w:color w:val="000000"/>
                <w:spacing w:val="-17"/>
                <w:kern w:val="0"/>
                <w:sz w:val="20"/>
                <w:szCs w:val="20"/>
                <w:lang w:bidi="ar"/>
              </w:rPr>
              <w:t>根据省、市妇联文件要求，聚焦低收入妇女、失业妇女、患病妇女、单亲贫困母亲和留守孤困儿童，常年展开慰问大于50人，协调各方力量，切实解决她们的“急难愁盼”问题大于20个。</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80</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人</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w:t>
            </w:r>
            <w:r>
              <w:rPr>
                <w:rFonts w:ascii="宋体" w:hAnsi="宋体" w:cs="宋体"/>
                <w:color w:val="000000"/>
                <w:kern w:val="0"/>
                <w:sz w:val="20"/>
                <w:szCs w:val="20"/>
                <w:lang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r>
              <w:rPr>
                <w:rFonts w:ascii="宋体" w:hAnsi="宋体" w:cs="宋体"/>
                <w:color w:val="000000"/>
                <w:kern w:val="0"/>
                <w:sz w:val="20"/>
                <w:szCs w:val="20"/>
                <w:lang w:bidi="ar"/>
              </w:rPr>
              <w:t>0</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90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质量指标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spacing w:val="-17"/>
                <w:kern w:val="0"/>
                <w:sz w:val="20"/>
                <w:szCs w:val="20"/>
                <w:lang w:bidi="ar"/>
              </w:rPr>
              <w:t>全面完成三八任务，提升妇女儿童幸福感。</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项</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0</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7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时效指标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2022年</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年</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0</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135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成本指标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ascii="宋体" w:hAnsi="宋体" w:cs="宋体"/>
                <w:color w:val="000000"/>
                <w:spacing w:val="-17"/>
                <w:kern w:val="0"/>
                <w:sz w:val="20"/>
                <w:szCs w:val="20"/>
                <w:lang w:bidi="ar"/>
              </w:rPr>
              <w:t>开展评先述优等宣传，慰问困难群体，女儿节庆祝活动等成本。</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万</w:t>
            </w:r>
            <w:r>
              <w:rPr>
                <w:rFonts w:ascii="宋体" w:hAnsi="宋体" w:cs="宋体"/>
                <w:color w:val="000000"/>
                <w:kern w:val="0"/>
                <w:sz w:val="20"/>
                <w:szCs w:val="20"/>
                <w:lang w:bidi="ar"/>
              </w:rPr>
              <w:t>元</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5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效益指标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社会效益指标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ascii="宋体" w:hAnsi="宋体" w:cs="宋体"/>
                <w:color w:val="000000"/>
                <w:spacing w:val="-17"/>
                <w:kern w:val="0"/>
                <w:sz w:val="20"/>
                <w:szCs w:val="20"/>
                <w:lang w:bidi="ar"/>
              </w:rPr>
              <w:t>对全区带来的影响</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项</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5</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5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可持续影响指标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ascii="宋体" w:hAnsi="宋体" w:cs="宋体"/>
                <w:color w:val="000000"/>
                <w:spacing w:val="-17"/>
                <w:kern w:val="0"/>
                <w:sz w:val="20"/>
                <w:szCs w:val="20"/>
                <w:lang w:bidi="ar"/>
              </w:rPr>
              <w:t>对全区带来的影响</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项</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5</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5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满意度指标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服务对象满意度指标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ascii="宋体" w:hAnsi="宋体" w:cs="宋体"/>
                <w:color w:val="000000"/>
                <w:spacing w:val="-17"/>
                <w:kern w:val="0"/>
                <w:sz w:val="20"/>
                <w:szCs w:val="20"/>
                <w:lang w:bidi="ar"/>
              </w:rPr>
              <w:t>满意度达使用方满意</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95</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r>
              <w:rPr>
                <w:rFonts w:ascii="宋体" w:hAnsi="宋体" w:cs="宋体"/>
                <w:color w:val="000000"/>
                <w:kern w:val="0"/>
                <w:sz w:val="20"/>
                <w:szCs w:val="20"/>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0</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70" w:hRule="atLeast"/>
        </w:trPr>
        <w:tc>
          <w:tcPr>
            <w:tcW w:w="6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合计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r>
              <w:rPr>
                <w:rFonts w:ascii="宋体" w:hAnsi="宋体" w:cs="宋体"/>
                <w:color w:val="000000"/>
                <w:kern w:val="0"/>
                <w:sz w:val="20"/>
                <w:szCs w:val="20"/>
                <w:lang w:bidi="ar"/>
              </w:rPr>
              <w:t>8</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ind w:right="-315" w:rightChars="-15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7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评价结论</w:t>
            </w:r>
          </w:p>
        </w:tc>
        <w:tc>
          <w:tcPr>
            <w:tcW w:w="1012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项目自评总分1</w:t>
            </w:r>
            <w:r>
              <w:rPr>
                <w:rFonts w:ascii="宋体" w:hAnsi="宋体" w:cs="宋体"/>
                <w:color w:val="000000"/>
                <w:kern w:val="0"/>
                <w:sz w:val="20"/>
                <w:szCs w:val="20"/>
                <w:lang w:bidi="ar"/>
              </w:rPr>
              <w:t>00</w:t>
            </w:r>
            <w:r>
              <w:rPr>
                <w:rFonts w:hint="eastAsia" w:ascii="宋体" w:hAnsi="宋体" w:cs="宋体"/>
                <w:color w:val="000000"/>
                <w:kern w:val="0"/>
                <w:sz w:val="20"/>
                <w:szCs w:val="20"/>
                <w:lang w:bidi="ar"/>
              </w:rPr>
              <w:t>，全面完成三八任务，提升妇女儿童幸福感。</w:t>
            </w:r>
          </w:p>
        </w:tc>
      </w:tr>
      <w:tr>
        <w:tblPrEx>
          <w:tblCellMar>
            <w:top w:w="0" w:type="dxa"/>
            <w:left w:w="108" w:type="dxa"/>
            <w:bottom w:w="0" w:type="dxa"/>
            <w:right w:w="108" w:type="dxa"/>
          </w:tblCellMar>
        </w:tblPrEx>
        <w:trPr>
          <w:trHeight w:val="27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存在问题</w:t>
            </w:r>
          </w:p>
        </w:tc>
        <w:tc>
          <w:tcPr>
            <w:tcW w:w="1012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无</w:t>
            </w:r>
          </w:p>
        </w:tc>
      </w:tr>
      <w:tr>
        <w:tblPrEx>
          <w:tblCellMar>
            <w:top w:w="0" w:type="dxa"/>
            <w:left w:w="108" w:type="dxa"/>
            <w:bottom w:w="0" w:type="dxa"/>
            <w:right w:w="108" w:type="dxa"/>
          </w:tblCellMar>
        </w:tblPrEx>
        <w:trPr>
          <w:trHeight w:val="27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改进措施</w:t>
            </w:r>
          </w:p>
        </w:tc>
        <w:tc>
          <w:tcPr>
            <w:tcW w:w="1012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ind w:right="-485" w:rightChars="-231"/>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后续将按照财政项目支出绩效管理的要求，建立科学的财政资金效益考评制度体系，不断提高财政资金的利用效率。</w:t>
            </w:r>
          </w:p>
        </w:tc>
      </w:tr>
      <w:tr>
        <w:tblPrEx>
          <w:tblCellMar>
            <w:top w:w="0" w:type="dxa"/>
            <w:left w:w="108" w:type="dxa"/>
            <w:bottom w:w="0" w:type="dxa"/>
            <w:right w:w="108" w:type="dxa"/>
          </w:tblCellMar>
        </w:tblPrEx>
        <w:trPr>
          <w:trHeight w:val="270" w:hRule="atLeast"/>
        </w:trPr>
        <w:tc>
          <w:tcPr>
            <w:tcW w:w="49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项目负责人：杨筱芳</w:t>
            </w:r>
          </w:p>
        </w:tc>
        <w:tc>
          <w:tcPr>
            <w:tcW w:w="59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财务负责人：何娇</w:t>
            </w:r>
          </w:p>
        </w:tc>
      </w:tr>
    </w:tbl>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hAnsi="仿宋_GB2312" w:cs="仿宋_GB2312"/>
          <w:color w:val="000000" w:themeColor="text1"/>
          <w:sz w:val="32"/>
          <w:szCs w:val="32"/>
          <w:shd w:val="clear" w:color="auto" w:fill="FFFFFF"/>
          <w:lang w:val="zh-CN"/>
          <w14:textFill>
            <w14:solidFill>
              <w14:schemeClr w14:val="tx1"/>
            </w14:solidFill>
          </w14:textFill>
        </w:rPr>
      </w:pPr>
    </w:p>
    <w:p>
      <w:pPr>
        <w:pStyle w:val="5"/>
        <w:spacing w:before="93"/>
        <w:rPr>
          <w:rFonts w:hAnsi="仿宋_GB2312" w:cs="仿宋_GB2312"/>
          <w:color w:val="000000" w:themeColor="text1"/>
          <w:sz w:val="32"/>
          <w:szCs w:val="32"/>
          <w:shd w:val="clear" w:color="auto" w:fill="FFFFFF"/>
          <w:lang w:val="zh-CN"/>
          <w14:textFill>
            <w14:solidFill>
              <w14:schemeClr w14:val="tx1"/>
            </w14:solidFill>
          </w14:textFill>
        </w:rPr>
      </w:pPr>
    </w:p>
    <w:p>
      <w:pPr>
        <w:pStyle w:val="5"/>
        <w:spacing w:before="93"/>
        <w:rPr>
          <w:color w:val="000000" w:themeColor="text1"/>
          <w14:textFill>
            <w14:solidFill>
              <w14:schemeClr w14:val="tx1"/>
            </w14:solidFill>
          </w14:textFill>
        </w:rPr>
      </w:pPr>
    </w:p>
    <w:tbl>
      <w:tblPr>
        <w:tblStyle w:val="15"/>
        <w:tblW w:w="10480" w:type="dxa"/>
        <w:tblInd w:w="-992" w:type="dxa"/>
        <w:tblLayout w:type="autofit"/>
        <w:tblCellMar>
          <w:top w:w="0" w:type="dxa"/>
          <w:left w:w="108" w:type="dxa"/>
          <w:bottom w:w="0" w:type="dxa"/>
          <w:right w:w="108" w:type="dxa"/>
        </w:tblCellMar>
      </w:tblPr>
      <w:tblGrid>
        <w:gridCol w:w="644"/>
        <w:gridCol w:w="1151"/>
        <w:gridCol w:w="1247"/>
        <w:gridCol w:w="1486"/>
        <w:gridCol w:w="436"/>
        <w:gridCol w:w="345"/>
        <w:gridCol w:w="716"/>
        <w:gridCol w:w="754"/>
        <w:gridCol w:w="916"/>
        <w:gridCol w:w="68"/>
        <w:gridCol w:w="705"/>
        <w:gridCol w:w="496"/>
        <w:gridCol w:w="71"/>
        <w:gridCol w:w="1445"/>
      </w:tblGrid>
      <w:tr>
        <w:tblPrEx>
          <w:tblCellMar>
            <w:top w:w="0" w:type="dxa"/>
            <w:left w:w="108" w:type="dxa"/>
            <w:bottom w:w="0" w:type="dxa"/>
            <w:right w:w="108" w:type="dxa"/>
          </w:tblCellMar>
        </w:tblPrEx>
        <w:trPr>
          <w:trHeight w:val="901" w:hRule="atLeast"/>
        </w:trPr>
        <w:tc>
          <w:tcPr>
            <w:tcW w:w="1048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themeColor="text1"/>
                <w:kern w:val="0"/>
                <w:sz w:val="30"/>
                <w:szCs w:val="30"/>
                <w14:textFill>
                  <w14:solidFill>
                    <w14:schemeClr w14:val="tx1"/>
                  </w14:solidFill>
                </w14:textFill>
              </w:rPr>
            </w:pPr>
            <w:r>
              <w:rPr>
                <w:rFonts w:hint="eastAsia" w:ascii="黑体" w:hAnsi="黑体" w:eastAsia="黑体" w:cs="宋体"/>
                <w:b/>
                <w:bCs/>
                <w:color w:val="000000" w:themeColor="text1"/>
                <w:kern w:val="0"/>
                <w:sz w:val="30"/>
                <w:szCs w:val="30"/>
                <w14:textFill>
                  <w14:solidFill>
                    <w14:schemeClr w14:val="tx1"/>
                  </w14:solidFill>
                </w14:textFill>
              </w:rPr>
              <w:t>部门预算项目支出绩效自评表（2022年度）</w:t>
            </w:r>
          </w:p>
        </w:tc>
      </w:tr>
      <w:tr>
        <w:tblPrEx>
          <w:tblCellMar>
            <w:top w:w="0" w:type="dxa"/>
            <w:left w:w="108" w:type="dxa"/>
            <w:bottom w:w="0" w:type="dxa"/>
            <w:right w:w="108" w:type="dxa"/>
          </w:tblCellMar>
        </w:tblPrEx>
        <w:trPr>
          <w:trHeight w:val="418" w:hRule="atLeast"/>
        </w:trPr>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项目名称</w:t>
            </w:r>
          </w:p>
        </w:tc>
        <w:tc>
          <w:tcPr>
            <w:tcW w:w="86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朝天新《两纲》编制工作经费</w:t>
            </w:r>
          </w:p>
        </w:tc>
      </w:tr>
      <w:tr>
        <w:tblPrEx>
          <w:tblCellMar>
            <w:top w:w="0" w:type="dxa"/>
            <w:left w:w="108" w:type="dxa"/>
            <w:bottom w:w="0" w:type="dxa"/>
            <w:right w:w="108" w:type="dxa"/>
          </w:tblCellMar>
        </w:tblPrEx>
        <w:trPr>
          <w:trHeight w:val="512" w:hRule="atLeast"/>
        </w:trPr>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主管部门</w:t>
            </w:r>
          </w:p>
        </w:tc>
        <w:tc>
          <w:tcPr>
            <w:tcW w:w="4984" w:type="dxa"/>
            <w:gridSpan w:val="6"/>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广元市朝天区妇女联合会部门</w:t>
            </w:r>
          </w:p>
        </w:tc>
        <w:tc>
          <w:tcPr>
            <w:tcW w:w="916" w:type="dxa"/>
            <w:tcBorders>
              <w:top w:val="nil"/>
              <w:left w:val="nil"/>
              <w:bottom w:val="nil"/>
              <w:right w:val="nil"/>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实施单位 （盖章）</w:t>
            </w:r>
          </w:p>
        </w:tc>
        <w:tc>
          <w:tcPr>
            <w:tcW w:w="2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广元市朝天区妇女联合会</w:t>
            </w:r>
          </w:p>
        </w:tc>
      </w:tr>
      <w:tr>
        <w:tblPrEx>
          <w:tblCellMar>
            <w:top w:w="0" w:type="dxa"/>
            <w:left w:w="108" w:type="dxa"/>
            <w:bottom w:w="0" w:type="dxa"/>
            <w:right w:w="108" w:type="dxa"/>
          </w:tblCellMar>
        </w:tblPrEx>
        <w:trPr>
          <w:trHeight w:val="284" w:hRule="atLeast"/>
        </w:trPr>
        <w:tc>
          <w:tcPr>
            <w:tcW w:w="64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项目基本情况</w:t>
            </w:r>
          </w:p>
        </w:tc>
        <w:tc>
          <w:tcPr>
            <w:tcW w:w="115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spacing w:val="-17"/>
                <w:kern w:val="0"/>
                <w:sz w:val="20"/>
                <w:szCs w:val="20"/>
                <w:lang w:bidi="ar"/>
              </w:rPr>
              <w:t>1.项目年度目标完成情况</w:t>
            </w:r>
          </w:p>
        </w:tc>
        <w:tc>
          <w:tcPr>
            <w:tcW w:w="4984" w:type="dxa"/>
            <w:gridSpan w:val="6"/>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项目年度目标</w:t>
            </w:r>
          </w:p>
        </w:tc>
        <w:tc>
          <w:tcPr>
            <w:tcW w:w="3701" w:type="dxa"/>
            <w:gridSpan w:val="6"/>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年度目标完成情况</w:t>
            </w:r>
          </w:p>
        </w:tc>
      </w:tr>
      <w:tr>
        <w:tblPrEx>
          <w:tblCellMar>
            <w:top w:w="0" w:type="dxa"/>
            <w:left w:w="108" w:type="dxa"/>
            <w:bottom w:w="0" w:type="dxa"/>
            <w:right w:w="108" w:type="dxa"/>
          </w:tblCellMar>
        </w:tblPrEx>
        <w:trPr>
          <w:trHeight w:val="707" w:hRule="atLeast"/>
        </w:trPr>
        <w:tc>
          <w:tcPr>
            <w:tcW w:w="644"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151"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4984" w:type="dxa"/>
            <w:gridSpan w:val="6"/>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完成两纲编制工作</w:t>
            </w:r>
          </w:p>
        </w:tc>
        <w:tc>
          <w:tcPr>
            <w:tcW w:w="3701" w:type="dxa"/>
            <w:gridSpan w:val="6"/>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已完成两纲编制工作</w:t>
            </w:r>
          </w:p>
        </w:tc>
      </w:tr>
      <w:tr>
        <w:tblPrEx>
          <w:tblCellMar>
            <w:top w:w="0" w:type="dxa"/>
            <w:left w:w="108" w:type="dxa"/>
            <w:bottom w:w="0" w:type="dxa"/>
            <w:right w:w="108" w:type="dxa"/>
          </w:tblCellMar>
        </w:tblPrEx>
        <w:trPr>
          <w:trHeight w:val="90" w:hRule="atLeast"/>
        </w:trPr>
        <w:tc>
          <w:tcPr>
            <w:tcW w:w="644"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1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2.项目实施内容及过程概述</w:t>
            </w:r>
          </w:p>
        </w:tc>
        <w:tc>
          <w:tcPr>
            <w:tcW w:w="86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完成两纲编制工作　</w:t>
            </w:r>
          </w:p>
        </w:tc>
      </w:tr>
      <w:tr>
        <w:tblPrEx>
          <w:tblCellMar>
            <w:top w:w="0" w:type="dxa"/>
            <w:left w:w="108" w:type="dxa"/>
            <w:bottom w:w="0" w:type="dxa"/>
            <w:right w:w="108" w:type="dxa"/>
          </w:tblCellMar>
        </w:tblPrEx>
        <w:trPr>
          <w:trHeight w:val="359" w:hRule="atLeast"/>
        </w:trPr>
        <w:tc>
          <w:tcPr>
            <w:tcW w:w="64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预算执行情况（10分）</w:t>
            </w:r>
          </w:p>
        </w:tc>
        <w:tc>
          <w:tcPr>
            <w:tcW w:w="11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年度预算数（万元）</w:t>
            </w:r>
          </w:p>
        </w:tc>
        <w:tc>
          <w:tcPr>
            <w:tcW w:w="124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年初预算</w:t>
            </w:r>
          </w:p>
        </w:tc>
        <w:tc>
          <w:tcPr>
            <w:tcW w:w="148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调整后预算数</w:t>
            </w:r>
          </w:p>
        </w:tc>
        <w:tc>
          <w:tcPr>
            <w:tcW w:w="2251"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预算执行数</w:t>
            </w:r>
          </w:p>
        </w:tc>
        <w:tc>
          <w:tcPr>
            <w:tcW w:w="9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预算执行率</w:t>
            </w:r>
          </w:p>
        </w:tc>
        <w:tc>
          <w:tcPr>
            <w:tcW w:w="773"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权重</w:t>
            </w:r>
          </w:p>
        </w:tc>
        <w:tc>
          <w:tcPr>
            <w:tcW w:w="4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得分</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原因</w:t>
            </w:r>
          </w:p>
        </w:tc>
      </w:tr>
      <w:tr>
        <w:tblPrEx>
          <w:tblCellMar>
            <w:top w:w="0" w:type="dxa"/>
            <w:left w:w="108" w:type="dxa"/>
            <w:bottom w:w="0" w:type="dxa"/>
            <w:right w:w="108" w:type="dxa"/>
          </w:tblCellMar>
        </w:tblPrEx>
        <w:trPr>
          <w:trHeight w:val="386" w:hRule="atLeast"/>
        </w:trPr>
        <w:tc>
          <w:tcPr>
            <w:tcW w:w="644"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1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总额</w:t>
            </w:r>
          </w:p>
        </w:tc>
        <w:tc>
          <w:tcPr>
            <w:tcW w:w="124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8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2.20</w:t>
            </w:r>
          </w:p>
        </w:tc>
        <w:tc>
          <w:tcPr>
            <w:tcW w:w="2251"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2.20</w:t>
            </w:r>
          </w:p>
        </w:tc>
        <w:tc>
          <w:tcPr>
            <w:tcW w:w="9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100.00%</w:t>
            </w:r>
          </w:p>
        </w:tc>
        <w:tc>
          <w:tcPr>
            <w:tcW w:w="773"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4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0</w:t>
            </w:r>
            <w:r>
              <w:rPr>
                <w:rFonts w:hint="eastAsia" w:ascii="宋体" w:hAnsi="宋体" w:cs="宋体"/>
                <w:color w:val="000000"/>
                <w:kern w:val="0"/>
                <w:sz w:val="20"/>
                <w:szCs w:val="20"/>
                <w:lang w:bidi="ar"/>
              </w:rPr>
              <w:t>　</w:t>
            </w:r>
          </w:p>
        </w:tc>
        <w:tc>
          <w:tcPr>
            <w:tcW w:w="151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30" w:hRule="atLeast"/>
        </w:trPr>
        <w:tc>
          <w:tcPr>
            <w:tcW w:w="644"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1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其中：财政资金</w:t>
            </w:r>
          </w:p>
        </w:tc>
        <w:tc>
          <w:tcPr>
            <w:tcW w:w="124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8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2.20</w:t>
            </w:r>
          </w:p>
        </w:tc>
        <w:tc>
          <w:tcPr>
            <w:tcW w:w="2251"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2.20</w:t>
            </w:r>
          </w:p>
        </w:tc>
        <w:tc>
          <w:tcPr>
            <w:tcW w:w="9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100.00%</w:t>
            </w:r>
          </w:p>
        </w:tc>
        <w:tc>
          <w:tcPr>
            <w:tcW w:w="773"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4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516" w:type="dxa"/>
            <w:gridSpan w:val="2"/>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45" w:hRule="atLeast"/>
        </w:trPr>
        <w:tc>
          <w:tcPr>
            <w:tcW w:w="644"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1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财政专户管理资金</w:t>
            </w:r>
          </w:p>
        </w:tc>
        <w:tc>
          <w:tcPr>
            <w:tcW w:w="124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8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2251"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73"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4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516" w:type="dxa"/>
            <w:gridSpan w:val="2"/>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01" w:hRule="atLeast"/>
        </w:trPr>
        <w:tc>
          <w:tcPr>
            <w:tcW w:w="644"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1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单位资金</w:t>
            </w:r>
          </w:p>
        </w:tc>
        <w:tc>
          <w:tcPr>
            <w:tcW w:w="124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8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2251"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73"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4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516" w:type="dxa"/>
            <w:gridSpan w:val="2"/>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78" w:hRule="atLeast"/>
        </w:trPr>
        <w:tc>
          <w:tcPr>
            <w:tcW w:w="644"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1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其他资金</w:t>
            </w:r>
          </w:p>
        </w:tc>
        <w:tc>
          <w:tcPr>
            <w:tcW w:w="124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48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2251"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9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773"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4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516" w:type="dxa"/>
            <w:gridSpan w:val="2"/>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52" w:hRule="atLeast"/>
        </w:trPr>
        <w:tc>
          <w:tcPr>
            <w:tcW w:w="64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绩效指标（90分）</w:t>
            </w:r>
          </w:p>
        </w:tc>
        <w:tc>
          <w:tcPr>
            <w:tcW w:w="1151"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ind w:leftChars="-95" w:hanging="199" w:hangingChars="120"/>
              <w:jc w:val="center"/>
              <w:textAlignment w:val="center"/>
              <w:rPr>
                <w:rFonts w:ascii="宋体" w:hAnsi="宋体" w:cs="宋体"/>
                <w:color w:val="000000"/>
                <w:kern w:val="0"/>
                <w:sz w:val="20"/>
                <w:szCs w:val="20"/>
                <w:lang w:bidi="ar"/>
              </w:rPr>
            </w:pPr>
            <w:r>
              <w:rPr>
                <w:rFonts w:hint="eastAsia" w:ascii="宋体" w:hAnsi="宋体" w:cs="宋体"/>
                <w:color w:val="000000"/>
                <w:spacing w:val="-17"/>
                <w:kern w:val="0"/>
                <w:sz w:val="20"/>
                <w:szCs w:val="20"/>
                <w:lang w:bidi="ar"/>
              </w:rPr>
              <w:t xml:space="preserve">  一级指标</w:t>
            </w:r>
          </w:p>
        </w:tc>
        <w:tc>
          <w:tcPr>
            <w:tcW w:w="124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ind w:firstLine="220" w:firstLineChars="110"/>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二级指标</w:t>
            </w:r>
          </w:p>
        </w:tc>
        <w:tc>
          <w:tcPr>
            <w:tcW w:w="148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ind w:firstLine="200" w:firstLineChars="100"/>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三级指标</w:t>
            </w:r>
          </w:p>
        </w:tc>
        <w:tc>
          <w:tcPr>
            <w:tcW w:w="781"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指标性质</w:t>
            </w:r>
          </w:p>
        </w:tc>
        <w:tc>
          <w:tcPr>
            <w:tcW w:w="7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指标值</w:t>
            </w:r>
          </w:p>
        </w:tc>
        <w:tc>
          <w:tcPr>
            <w:tcW w:w="754"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度量单位</w:t>
            </w:r>
          </w:p>
        </w:tc>
        <w:tc>
          <w:tcPr>
            <w:tcW w:w="9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完成值</w:t>
            </w:r>
          </w:p>
        </w:tc>
        <w:tc>
          <w:tcPr>
            <w:tcW w:w="773"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权重</w:t>
            </w:r>
          </w:p>
        </w:tc>
        <w:tc>
          <w:tcPr>
            <w:tcW w:w="49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得分</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未完成原因分析</w:t>
            </w:r>
          </w:p>
        </w:tc>
      </w:tr>
      <w:tr>
        <w:tblPrEx>
          <w:tblCellMar>
            <w:top w:w="0" w:type="dxa"/>
            <w:left w:w="108" w:type="dxa"/>
            <w:bottom w:w="0" w:type="dxa"/>
            <w:right w:w="108" w:type="dxa"/>
          </w:tblCellMar>
        </w:tblPrEx>
        <w:trPr>
          <w:trHeight w:val="820" w:hRule="atLeast"/>
        </w:trPr>
        <w:tc>
          <w:tcPr>
            <w:tcW w:w="644"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spacing w:val="-17"/>
                <w:kern w:val="0"/>
                <w:sz w:val="20"/>
                <w:szCs w:val="20"/>
                <w:lang w:bidi="ar"/>
              </w:rPr>
              <w:t>产出指标</w:t>
            </w:r>
          </w:p>
        </w:tc>
        <w:tc>
          <w:tcPr>
            <w:tcW w:w="1247" w:type="dxa"/>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数量指标</w:t>
            </w: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为</w:t>
            </w:r>
            <w:r>
              <w:rPr>
                <w:rFonts w:hint="eastAsia" w:ascii="宋体" w:hAnsi="宋体" w:cs="宋体"/>
                <w:color w:val="000000"/>
                <w:spacing w:val="-17"/>
                <w:kern w:val="0"/>
                <w:sz w:val="20"/>
                <w:szCs w:val="20"/>
                <w:lang w:bidi="ar"/>
              </w:rPr>
              <w:t>认真贯彻落实国务院和省、市人民政府关于新一轮（2021-2030）妇女儿童发展纲要编制工作和相关要求</w:t>
            </w:r>
          </w:p>
        </w:tc>
        <w:tc>
          <w:tcPr>
            <w:tcW w:w="7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1</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52" w:hRule="atLeast"/>
        </w:trPr>
        <w:tc>
          <w:tcPr>
            <w:tcW w:w="644"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产出指标</w:t>
            </w:r>
          </w:p>
        </w:tc>
        <w:tc>
          <w:tcPr>
            <w:tcW w:w="124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质量指标</w:t>
            </w:r>
          </w:p>
        </w:tc>
        <w:tc>
          <w:tcPr>
            <w:tcW w:w="148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朝天新“两纲”编制工作经费</w:t>
            </w:r>
          </w:p>
        </w:tc>
        <w:tc>
          <w:tcPr>
            <w:tcW w:w="781"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1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754"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00</w:t>
            </w:r>
            <w:r>
              <w:rPr>
                <w:rFonts w:hint="eastAsia" w:ascii="宋体" w:hAnsi="宋体" w:cs="宋体"/>
                <w:color w:val="000000"/>
                <w:kern w:val="0"/>
                <w:sz w:val="20"/>
                <w:szCs w:val="20"/>
                <w:lang w:bidi="ar"/>
              </w:rPr>
              <w:t>　</w:t>
            </w:r>
          </w:p>
        </w:tc>
        <w:tc>
          <w:tcPr>
            <w:tcW w:w="7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496" w:type="dxa"/>
            <w:tcBorders>
              <w:top w:val="nil"/>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52" w:hRule="atLeast"/>
        </w:trPr>
        <w:tc>
          <w:tcPr>
            <w:tcW w:w="644"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产出指标</w:t>
            </w:r>
          </w:p>
        </w:tc>
        <w:tc>
          <w:tcPr>
            <w:tcW w:w="124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时效指标</w:t>
            </w:r>
          </w:p>
        </w:tc>
        <w:tc>
          <w:tcPr>
            <w:tcW w:w="148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2022年</w:t>
            </w:r>
          </w:p>
        </w:tc>
        <w:tc>
          <w:tcPr>
            <w:tcW w:w="781"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1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754"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00</w:t>
            </w:r>
            <w:r>
              <w:rPr>
                <w:rFonts w:hint="eastAsia" w:ascii="宋体" w:hAnsi="宋体" w:cs="宋体"/>
                <w:color w:val="000000"/>
                <w:kern w:val="0"/>
                <w:sz w:val="20"/>
                <w:szCs w:val="20"/>
                <w:lang w:bidi="ar"/>
              </w:rPr>
              <w:t>　</w:t>
            </w:r>
          </w:p>
        </w:tc>
        <w:tc>
          <w:tcPr>
            <w:tcW w:w="7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496" w:type="dxa"/>
            <w:tcBorders>
              <w:top w:val="nil"/>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837" w:hRule="atLeast"/>
        </w:trPr>
        <w:tc>
          <w:tcPr>
            <w:tcW w:w="644"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效益指标</w:t>
            </w:r>
          </w:p>
        </w:tc>
        <w:tc>
          <w:tcPr>
            <w:tcW w:w="124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社会效益指标</w:t>
            </w:r>
          </w:p>
        </w:tc>
        <w:tc>
          <w:tcPr>
            <w:tcW w:w="148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left"/>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为认真贯彻落实国务院和省、市人民政府关于新一轮（2021-2030）妇女儿童发展纲要编制工作和相关要求</w:t>
            </w:r>
          </w:p>
        </w:tc>
        <w:tc>
          <w:tcPr>
            <w:tcW w:w="781"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定性</w:t>
            </w:r>
          </w:p>
        </w:tc>
        <w:tc>
          <w:tcPr>
            <w:tcW w:w="71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高中低</w:t>
            </w:r>
          </w:p>
        </w:tc>
        <w:tc>
          <w:tcPr>
            <w:tcW w:w="754"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　</w:t>
            </w:r>
          </w:p>
        </w:tc>
        <w:tc>
          <w:tcPr>
            <w:tcW w:w="7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496" w:type="dxa"/>
            <w:tcBorders>
              <w:top w:val="nil"/>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598" w:hRule="atLeast"/>
        </w:trPr>
        <w:tc>
          <w:tcPr>
            <w:tcW w:w="644"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效益指标</w:t>
            </w:r>
          </w:p>
        </w:tc>
        <w:tc>
          <w:tcPr>
            <w:tcW w:w="124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可持续影响指标</w:t>
            </w:r>
          </w:p>
        </w:tc>
        <w:tc>
          <w:tcPr>
            <w:tcW w:w="148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left"/>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满足妇女儿童发展纲要编制工作相关要求</w:t>
            </w:r>
          </w:p>
        </w:tc>
        <w:tc>
          <w:tcPr>
            <w:tcW w:w="781"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定性</w:t>
            </w:r>
          </w:p>
        </w:tc>
        <w:tc>
          <w:tcPr>
            <w:tcW w:w="71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高中低</w:t>
            </w:r>
          </w:p>
        </w:tc>
        <w:tc>
          <w:tcPr>
            <w:tcW w:w="754"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高</w:t>
            </w:r>
          </w:p>
        </w:tc>
        <w:tc>
          <w:tcPr>
            <w:tcW w:w="7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496" w:type="dxa"/>
            <w:tcBorders>
              <w:top w:val="nil"/>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52" w:hRule="atLeast"/>
        </w:trPr>
        <w:tc>
          <w:tcPr>
            <w:tcW w:w="644"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满意度指标</w:t>
            </w:r>
          </w:p>
        </w:tc>
        <w:tc>
          <w:tcPr>
            <w:tcW w:w="124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服务对象满意度指标</w:t>
            </w:r>
          </w:p>
        </w:tc>
        <w:tc>
          <w:tcPr>
            <w:tcW w:w="148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left"/>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使用方满意</w:t>
            </w:r>
          </w:p>
        </w:tc>
        <w:tc>
          <w:tcPr>
            <w:tcW w:w="781"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71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95</w:t>
            </w:r>
          </w:p>
        </w:tc>
        <w:tc>
          <w:tcPr>
            <w:tcW w:w="754"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9</w:t>
            </w:r>
            <w:r>
              <w:rPr>
                <w:rFonts w:ascii="宋体" w:hAnsi="宋体" w:cs="宋体"/>
                <w:color w:val="000000"/>
                <w:kern w:val="0"/>
                <w:sz w:val="20"/>
                <w:szCs w:val="20"/>
                <w:lang w:bidi="ar"/>
              </w:rPr>
              <w:t>5</w:t>
            </w:r>
          </w:p>
        </w:tc>
        <w:tc>
          <w:tcPr>
            <w:tcW w:w="7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496" w:type="dxa"/>
            <w:tcBorders>
              <w:top w:val="nil"/>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1017" w:hRule="atLeast"/>
        </w:trPr>
        <w:tc>
          <w:tcPr>
            <w:tcW w:w="644"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成本指标</w:t>
            </w:r>
          </w:p>
        </w:tc>
        <w:tc>
          <w:tcPr>
            <w:tcW w:w="124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经济成本指标</w:t>
            </w:r>
          </w:p>
        </w:tc>
        <w:tc>
          <w:tcPr>
            <w:tcW w:w="148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left"/>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为认真贯彻落实国务院和省、市人民政府关于新一轮（2021-2030）妇女儿童发展纲要编制工作和相关要求</w:t>
            </w:r>
          </w:p>
        </w:tc>
        <w:tc>
          <w:tcPr>
            <w:tcW w:w="781"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1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2</w:t>
            </w:r>
          </w:p>
        </w:tc>
        <w:tc>
          <w:tcPr>
            <w:tcW w:w="754"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万</w:t>
            </w:r>
            <w:r>
              <w:rPr>
                <w:rFonts w:hint="eastAsia" w:ascii="宋体" w:hAnsi="宋体" w:cs="宋体"/>
                <w:color w:val="000000"/>
                <w:kern w:val="0"/>
                <w:sz w:val="20"/>
                <w:szCs w:val="20"/>
                <w:lang w:bidi="ar"/>
              </w:rPr>
              <w:t>元</w:t>
            </w:r>
          </w:p>
        </w:tc>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2</w:t>
            </w:r>
            <w:r>
              <w:rPr>
                <w:rFonts w:hint="eastAsia" w:ascii="宋体" w:hAnsi="宋体" w:cs="宋体"/>
                <w:color w:val="000000"/>
                <w:kern w:val="0"/>
                <w:sz w:val="20"/>
                <w:szCs w:val="20"/>
                <w:lang w:val="en-US" w:eastAsia="zh-CN" w:bidi="ar"/>
              </w:rPr>
              <w:t>.</w:t>
            </w:r>
            <w:r>
              <w:rPr>
                <w:rFonts w:ascii="宋体" w:hAnsi="宋体" w:cs="宋体"/>
                <w:color w:val="000000"/>
                <w:kern w:val="0"/>
                <w:sz w:val="20"/>
                <w:szCs w:val="20"/>
                <w:lang w:bidi="ar"/>
              </w:rPr>
              <w:t>2</w:t>
            </w:r>
          </w:p>
        </w:tc>
        <w:tc>
          <w:tcPr>
            <w:tcW w:w="7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496" w:type="dxa"/>
            <w:tcBorders>
              <w:top w:val="nil"/>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84" w:hRule="atLeast"/>
        </w:trPr>
        <w:tc>
          <w:tcPr>
            <w:tcW w:w="77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合计</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00</w:t>
            </w:r>
            <w:r>
              <w:rPr>
                <w:rFonts w:hint="eastAsia" w:ascii="宋体" w:hAnsi="宋体" w:cs="宋体"/>
                <w:color w:val="000000"/>
                <w:kern w:val="0"/>
                <w:sz w:val="20"/>
                <w:szCs w:val="20"/>
                <w:lang w:bidi="ar"/>
              </w:rPr>
              <w:t>　</w:t>
            </w:r>
          </w:p>
        </w:tc>
        <w:tc>
          <w:tcPr>
            <w:tcW w:w="144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602"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评价结论</w:t>
            </w:r>
          </w:p>
        </w:tc>
        <w:tc>
          <w:tcPr>
            <w:tcW w:w="983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项目自评总分1</w:t>
            </w:r>
            <w:r>
              <w:rPr>
                <w:rFonts w:ascii="宋体" w:hAnsi="宋体" w:cs="宋体"/>
                <w:color w:val="000000"/>
                <w:kern w:val="0"/>
                <w:sz w:val="20"/>
                <w:szCs w:val="20"/>
                <w:lang w:bidi="ar"/>
              </w:rPr>
              <w:t>00</w:t>
            </w:r>
            <w:r>
              <w:rPr>
                <w:rFonts w:hint="eastAsia" w:ascii="宋体" w:hAnsi="宋体" w:cs="宋体"/>
                <w:color w:val="000000"/>
                <w:kern w:val="0"/>
                <w:sz w:val="20"/>
                <w:szCs w:val="20"/>
                <w:lang w:bidi="ar"/>
              </w:rPr>
              <w:t>，贯彻落实国务院和省、市人民政府关于新一轮（2021-2030）妇女儿童发展纲要编制工作和相关要求。</w:t>
            </w:r>
          </w:p>
        </w:tc>
      </w:tr>
      <w:tr>
        <w:tblPrEx>
          <w:tblCellMar>
            <w:top w:w="0" w:type="dxa"/>
            <w:left w:w="108" w:type="dxa"/>
            <w:bottom w:w="0" w:type="dxa"/>
            <w:right w:w="108" w:type="dxa"/>
          </w:tblCellMar>
        </w:tblPrEx>
        <w:trPr>
          <w:trHeight w:val="572"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存在问题</w:t>
            </w:r>
          </w:p>
        </w:tc>
        <w:tc>
          <w:tcPr>
            <w:tcW w:w="983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无</w:t>
            </w:r>
          </w:p>
        </w:tc>
      </w:tr>
      <w:tr>
        <w:tblPrEx>
          <w:tblCellMar>
            <w:top w:w="0" w:type="dxa"/>
            <w:left w:w="108" w:type="dxa"/>
            <w:bottom w:w="0" w:type="dxa"/>
            <w:right w:w="108" w:type="dxa"/>
          </w:tblCellMar>
        </w:tblPrEx>
        <w:trPr>
          <w:trHeight w:val="632"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改进措施</w:t>
            </w:r>
          </w:p>
        </w:tc>
        <w:tc>
          <w:tcPr>
            <w:tcW w:w="983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后续将按照财政项目支出绩效管理的要求，建立科学的财政资金效益考评制度体系，不断提高财政资金的利用效率。</w:t>
            </w:r>
          </w:p>
        </w:tc>
      </w:tr>
      <w:tr>
        <w:tblPrEx>
          <w:tblCellMar>
            <w:top w:w="0" w:type="dxa"/>
            <w:left w:w="108" w:type="dxa"/>
            <w:bottom w:w="0" w:type="dxa"/>
            <w:right w:w="108" w:type="dxa"/>
          </w:tblCellMar>
        </w:tblPrEx>
        <w:trPr>
          <w:trHeight w:val="284" w:hRule="atLeast"/>
        </w:trPr>
        <w:tc>
          <w:tcPr>
            <w:tcW w:w="49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项目负责人：杨筱芳</w:t>
            </w:r>
          </w:p>
        </w:tc>
        <w:tc>
          <w:tcPr>
            <w:tcW w:w="55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财务负责人：何娇</w:t>
            </w:r>
          </w:p>
        </w:tc>
      </w:tr>
    </w:tbl>
    <w:p>
      <w:pPr>
        <w:pStyle w:val="5"/>
        <w:spacing w:before="93"/>
        <w:rPr>
          <w:color w:val="000000" w:themeColor="text1"/>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tbl>
      <w:tblPr>
        <w:tblStyle w:val="15"/>
        <w:tblW w:w="13309" w:type="dxa"/>
        <w:tblInd w:w="-899" w:type="dxa"/>
        <w:tblLayout w:type="fixed"/>
        <w:tblCellMar>
          <w:top w:w="0" w:type="dxa"/>
          <w:left w:w="108" w:type="dxa"/>
          <w:bottom w:w="0" w:type="dxa"/>
          <w:right w:w="108" w:type="dxa"/>
        </w:tblCellMar>
      </w:tblPr>
      <w:tblGrid>
        <w:gridCol w:w="588"/>
        <w:gridCol w:w="1126"/>
        <w:gridCol w:w="1411"/>
        <w:gridCol w:w="1038"/>
        <w:gridCol w:w="759"/>
        <w:gridCol w:w="399"/>
        <w:gridCol w:w="400"/>
        <w:gridCol w:w="853"/>
        <w:gridCol w:w="487"/>
        <w:gridCol w:w="397"/>
        <w:gridCol w:w="2929"/>
        <w:gridCol w:w="487"/>
        <w:gridCol w:w="487"/>
        <w:gridCol w:w="487"/>
        <w:gridCol w:w="487"/>
        <w:gridCol w:w="487"/>
        <w:gridCol w:w="487"/>
      </w:tblGrid>
      <w:tr>
        <w:tblPrEx>
          <w:tblCellMar>
            <w:top w:w="0" w:type="dxa"/>
            <w:left w:w="108" w:type="dxa"/>
            <w:bottom w:w="0" w:type="dxa"/>
            <w:right w:w="108" w:type="dxa"/>
          </w:tblCellMar>
        </w:tblPrEx>
        <w:trPr>
          <w:gridAfter w:val="6"/>
          <w:wAfter w:w="2922" w:type="dxa"/>
          <w:trHeight w:val="758" w:hRule="atLeast"/>
        </w:trPr>
        <w:tc>
          <w:tcPr>
            <w:tcW w:w="1038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b/>
                <w:bCs/>
                <w:color w:val="000000" w:themeColor="text1"/>
                <w:kern w:val="0"/>
                <w:sz w:val="30"/>
                <w:szCs w:val="30"/>
                <w:lang w:bidi="ar"/>
                <w14:textFill>
                  <w14:solidFill>
                    <w14:schemeClr w14:val="tx1"/>
                  </w14:solidFill>
                </w14:textFill>
              </w:rPr>
            </w:pPr>
          </w:p>
          <w:p>
            <w:pPr>
              <w:widowControl/>
              <w:jc w:val="center"/>
              <w:textAlignment w:val="center"/>
              <w:rPr>
                <w:rFonts w:ascii="黑体" w:hAnsi="宋体" w:eastAsia="黑体" w:cs="黑体"/>
                <w:b/>
                <w:bCs/>
                <w:color w:val="000000" w:themeColor="text1"/>
                <w:sz w:val="30"/>
                <w:szCs w:val="30"/>
                <w14:textFill>
                  <w14:solidFill>
                    <w14:schemeClr w14:val="tx1"/>
                  </w14:solidFill>
                </w14:textFill>
              </w:rPr>
            </w:pPr>
            <w:r>
              <w:rPr>
                <w:rFonts w:hint="eastAsia" w:ascii="黑体" w:hAnsi="宋体" w:eastAsia="黑体" w:cs="黑体"/>
                <w:b/>
                <w:bCs/>
                <w:color w:val="000000" w:themeColor="text1"/>
                <w:kern w:val="0"/>
                <w:sz w:val="30"/>
                <w:szCs w:val="30"/>
                <w:lang w:bidi="ar"/>
                <w14:textFill>
                  <w14:solidFill>
                    <w14:schemeClr w14:val="tx1"/>
                  </w14:solidFill>
                </w14:textFill>
              </w:rPr>
              <w:t>部门预算项目支出绩效自评表（2022年度）</w:t>
            </w:r>
          </w:p>
        </w:tc>
      </w:tr>
      <w:tr>
        <w:tblPrEx>
          <w:tblCellMar>
            <w:top w:w="0" w:type="dxa"/>
            <w:left w:w="108" w:type="dxa"/>
            <w:bottom w:w="0" w:type="dxa"/>
            <w:right w:w="108" w:type="dxa"/>
          </w:tblCellMar>
        </w:tblPrEx>
        <w:trPr>
          <w:gridAfter w:val="6"/>
          <w:wAfter w:w="2922" w:type="dxa"/>
          <w:trHeight w:val="270" w:hRule="atLeast"/>
        </w:trPr>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项目名称</w:t>
            </w:r>
          </w:p>
        </w:tc>
        <w:tc>
          <w:tcPr>
            <w:tcW w:w="86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“乡村振兴巾帼行动”现场会</w:t>
            </w:r>
          </w:p>
        </w:tc>
      </w:tr>
      <w:tr>
        <w:tblPrEx>
          <w:tblCellMar>
            <w:top w:w="0" w:type="dxa"/>
            <w:left w:w="108" w:type="dxa"/>
            <w:bottom w:w="0" w:type="dxa"/>
            <w:right w:w="108" w:type="dxa"/>
          </w:tblCellMar>
        </w:tblPrEx>
        <w:trPr>
          <w:gridAfter w:val="6"/>
          <w:wAfter w:w="2922" w:type="dxa"/>
          <w:trHeight w:val="450" w:hRule="atLeast"/>
        </w:trPr>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主管部门</w:t>
            </w:r>
          </w:p>
        </w:tc>
        <w:tc>
          <w:tcPr>
            <w:tcW w:w="4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广元市朝天区妇女联合会部门</w:t>
            </w:r>
          </w:p>
        </w:tc>
        <w:tc>
          <w:tcPr>
            <w:tcW w:w="853" w:type="dxa"/>
            <w:tcBorders>
              <w:top w:val="nil"/>
              <w:left w:val="nil"/>
              <w:bottom w:val="nil"/>
              <w:right w:val="nil"/>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实施单位 （盖章）</w:t>
            </w:r>
          </w:p>
        </w:tc>
        <w:tc>
          <w:tcPr>
            <w:tcW w:w="3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广元市朝天区妇女联合会</w:t>
            </w:r>
          </w:p>
        </w:tc>
      </w:tr>
      <w:tr>
        <w:trPr>
          <w:gridAfter w:val="6"/>
          <w:wAfter w:w="2922" w:type="dxa"/>
          <w:trHeight w:val="270"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项目基本情况</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1.项目年度目标完成情况</w:t>
            </w:r>
          </w:p>
        </w:tc>
        <w:tc>
          <w:tcPr>
            <w:tcW w:w="4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项目年度目标</w:t>
            </w:r>
          </w:p>
        </w:tc>
        <w:tc>
          <w:tcPr>
            <w:tcW w:w="4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年度目标完成情况</w:t>
            </w:r>
          </w:p>
        </w:tc>
      </w:tr>
      <w:tr>
        <w:tblPrEx>
          <w:tblCellMar>
            <w:top w:w="0" w:type="dxa"/>
            <w:left w:w="108" w:type="dxa"/>
            <w:bottom w:w="0" w:type="dxa"/>
            <w:right w:w="108" w:type="dxa"/>
          </w:tblCellMar>
        </w:tblPrEx>
        <w:trPr>
          <w:gridAfter w:val="6"/>
          <w:wAfter w:w="2922" w:type="dxa"/>
          <w:trHeight w:val="27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c>
          <w:tcPr>
            <w:tcW w:w="4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广元市委同意全省“乡村振兴巾帼行动”现场会在我区召开。</w:t>
            </w:r>
          </w:p>
        </w:tc>
        <w:tc>
          <w:tcPr>
            <w:tcW w:w="4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已完成“乡村振兴巾帼行动”现场会</w:t>
            </w:r>
          </w:p>
        </w:tc>
      </w:tr>
      <w:tr>
        <w:tblPrEx>
          <w:tblCellMar>
            <w:top w:w="0" w:type="dxa"/>
            <w:left w:w="108" w:type="dxa"/>
            <w:bottom w:w="0" w:type="dxa"/>
            <w:right w:w="108" w:type="dxa"/>
          </w:tblCellMar>
        </w:tblPrEx>
        <w:trPr>
          <w:gridAfter w:val="6"/>
          <w:wAfter w:w="2922" w:type="dxa"/>
          <w:trHeight w:val="675"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2.项目实施内容及过程概述</w:t>
            </w:r>
          </w:p>
        </w:tc>
        <w:tc>
          <w:tcPr>
            <w:tcW w:w="86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召开全省“乡村振兴巾帼行动”现场会</w:t>
            </w:r>
          </w:p>
        </w:tc>
      </w:tr>
      <w:tr>
        <w:tblPrEx>
          <w:tblCellMar>
            <w:top w:w="0" w:type="dxa"/>
            <w:left w:w="108" w:type="dxa"/>
            <w:bottom w:w="0" w:type="dxa"/>
            <w:right w:w="108" w:type="dxa"/>
          </w:tblCellMar>
        </w:tblPrEx>
        <w:trPr>
          <w:gridAfter w:val="6"/>
          <w:wAfter w:w="2922" w:type="dxa"/>
          <w:trHeight w:val="450"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预算执行情况（10分）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年度预算数（万元）</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年初预算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调整后预算数</w:t>
            </w:r>
          </w:p>
        </w:tc>
        <w:tc>
          <w:tcPr>
            <w:tcW w:w="1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预算执行数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预算执行率</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权重</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得分</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原因</w:t>
            </w:r>
          </w:p>
        </w:tc>
      </w:tr>
      <w:tr>
        <w:tblPrEx>
          <w:tblCellMar>
            <w:top w:w="0" w:type="dxa"/>
            <w:left w:w="108" w:type="dxa"/>
            <w:bottom w:w="0" w:type="dxa"/>
            <w:right w:w="108" w:type="dxa"/>
          </w:tblCellMar>
        </w:tblPrEx>
        <w:trPr>
          <w:gridAfter w:val="6"/>
          <w:wAfter w:w="2922" w:type="dxa"/>
          <w:trHeight w:val="594"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总额</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3.00</w:t>
            </w:r>
          </w:p>
        </w:tc>
        <w:tc>
          <w:tcPr>
            <w:tcW w:w="1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100.00%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r>
              <w:rPr>
                <w:rFonts w:ascii="宋体" w:hAnsi="宋体" w:cs="宋体"/>
                <w:color w:val="000000" w:themeColor="text1"/>
                <w:kern w:val="0"/>
                <w:sz w:val="18"/>
                <w:szCs w:val="18"/>
                <w:lang w:bidi="ar"/>
                <w14:textFill>
                  <w14:solidFill>
                    <w14:schemeClr w14:val="tx1"/>
                  </w14:solidFill>
                </w14:textFill>
              </w:rPr>
              <w:t>0</w:t>
            </w:r>
          </w:p>
        </w:tc>
        <w:tc>
          <w:tcPr>
            <w:tcW w:w="2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r>
      <w:tr>
        <w:tblPrEx>
          <w:tblCellMar>
            <w:top w:w="0" w:type="dxa"/>
            <w:left w:w="108" w:type="dxa"/>
            <w:bottom w:w="0" w:type="dxa"/>
            <w:right w:w="108" w:type="dxa"/>
          </w:tblCellMar>
        </w:tblPrEx>
        <w:trPr>
          <w:gridAfter w:val="6"/>
          <w:wAfter w:w="2922" w:type="dxa"/>
          <w:trHeight w:val="524"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其中：财政资金</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3.00</w:t>
            </w:r>
          </w:p>
        </w:tc>
        <w:tc>
          <w:tcPr>
            <w:tcW w:w="1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100.00%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r>
      <w:tr>
        <w:trPr>
          <w:gridAfter w:val="6"/>
          <w:wAfter w:w="2922" w:type="dxa"/>
          <w:trHeight w:val="623"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财政专户管理资金</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0.00</w:t>
            </w:r>
          </w:p>
        </w:tc>
        <w:tc>
          <w:tcPr>
            <w:tcW w:w="1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r>
      <w:tr>
        <w:tblPrEx>
          <w:tblCellMar>
            <w:top w:w="0" w:type="dxa"/>
            <w:left w:w="108" w:type="dxa"/>
            <w:bottom w:w="0" w:type="dxa"/>
            <w:right w:w="108" w:type="dxa"/>
          </w:tblCellMar>
        </w:tblPrEx>
        <w:trPr>
          <w:gridAfter w:val="6"/>
          <w:wAfter w:w="2922" w:type="dxa"/>
          <w:trHeight w:val="536"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单位资金</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0.00</w:t>
            </w:r>
          </w:p>
        </w:tc>
        <w:tc>
          <w:tcPr>
            <w:tcW w:w="1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r>
      <w:tr>
        <w:tblPrEx>
          <w:tblCellMar>
            <w:top w:w="0" w:type="dxa"/>
            <w:left w:w="108" w:type="dxa"/>
            <w:bottom w:w="0" w:type="dxa"/>
            <w:right w:w="108" w:type="dxa"/>
          </w:tblCellMar>
        </w:tblPrEx>
        <w:trPr>
          <w:gridAfter w:val="6"/>
          <w:wAfter w:w="2922" w:type="dxa"/>
          <w:trHeight w:val="51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其他资金</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c>
          <w:tcPr>
            <w:tcW w:w="1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r>
      <w:tr>
        <w:tblPrEx>
          <w:tblCellMar>
            <w:top w:w="0" w:type="dxa"/>
            <w:left w:w="108" w:type="dxa"/>
            <w:bottom w:w="0" w:type="dxa"/>
            <w:right w:w="108" w:type="dxa"/>
          </w:tblCellMar>
        </w:tblPrEx>
        <w:trPr>
          <w:gridAfter w:val="6"/>
          <w:wAfter w:w="2922" w:type="dxa"/>
          <w:trHeight w:val="803"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绩效指标（90分）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一级指标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二级指标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三级指标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指标性质</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指标值</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度量单位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完成值</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权重</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得分</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未完成原因分析</w:t>
            </w:r>
          </w:p>
        </w:tc>
      </w:tr>
      <w:tr>
        <w:tblPrEx>
          <w:tblCellMar>
            <w:top w:w="0" w:type="dxa"/>
            <w:left w:w="108" w:type="dxa"/>
            <w:bottom w:w="0" w:type="dxa"/>
            <w:right w:w="108" w:type="dxa"/>
          </w:tblCellMar>
        </w:tblPrEx>
        <w:trPr>
          <w:gridAfter w:val="6"/>
          <w:wAfter w:w="2922" w:type="dxa"/>
          <w:trHeight w:val="1732"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产出指标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数量指标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广元市委同意全省“乡村振兴巾帼行动”现场会在我区召开</w:t>
            </w:r>
            <w:r>
              <w:rPr>
                <w:rFonts w:hint="eastAsia" w:ascii="宋体" w:hAnsi="宋体" w:cs="宋体"/>
                <w:color w:val="000000" w:themeColor="text1"/>
                <w:kern w:val="0"/>
                <w:sz w:val="18"/>
                <w:szCs w:val="18"/>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项</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r>
      <w:tr>
        <w:tblPrEx>
          <w:tblCellMar>
            <w:top w:w="0" w:type="dxa"/>
            <w:left w:w="108" w:type="dxa"/>
            <w:bottom w:w="0" w:type="dxa"/>
            <w:right w:w="108" w:type="dxa"/>
          </w:tblCellMar>
        </w:tblPrEx>
        <w:trPr>
          <w:gridAfter w:val="6"/>
          <w:wAfter w:w="2922" w:type="dxa"/>
          <w:trHeight w:val="4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产出指标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质量指标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全省现场会活动</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100</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r>
              <w:rPr>
                <w:rFonts w:ascii="宋体" w:hAnsi="宋体" w:cs="宋体"/>
                <w:color w:val="000000" w:themeColor="text1"/>
                <w:kern w:val="0"/>
                <w:sz w:val="18"/>
                <w:szCs w:val="18"/>
                <w:lang w:bidi="ar"/>
                <w14:textFill>
                  <w14:solidFill>
                    <w14:schemeClr w14:val="tx1"/>
                  </w14:solidFill>
                </w14:textFill>
              </w:rPr>
              <w:t>00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r>
      <w:tr>
        <w:tblPrEx>
          <w:tblCellMar>
            <w:top w:w="0" w:type="dxa"/>
            <w:left w:w="108" w:type="dxa"/>
            <w:bottom w:w="0" w:type="dxa"/>
            <w:right w:w="108" w:type="dxa"/>
          </w:tblCellMar>
        </w:tblPrEx>
        <w:trPr>
          <w:gridAfter w:val="6"/>
          <w:wAfter w:w="2922" w:type="dxa"/>
          <w:trHeight w:val="27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产出指标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时效指标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2022年</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100</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r>
              <w:rPr>
                <w:rFonts w:ascii="宋体" w:hAnsi="宋体" w:cs="宋体"/>
                <w:color w:val="000000" w:themeColor="text1"/>
                <w:sz w:val="18"/>
                <w:szCs w:val="18"/>
                <w14:textFill>
                  <w14:solidFill>
                    <w14:schemeClr w14:val="tx1"/>
                  </w14:solidFill>
                </w14:textFill>
              </w:rPr>
              <w:t>00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gridAfter w:val="6"/>
          <w:wAfter w:w="2922" w:type="dxa"/>
          <w:trHeight w:val="4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社会效益指标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引导妇女参与乡村振兴</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定性</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高中低</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高</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14</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14</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gridAfter w:val="6"/>
          <w:wAfter w:w="2922" w:type="dxa"/>
          <w:trHeight w:val="675"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可持续发展指标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鼓励妇女参与乡村振兴建功新时代</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定性</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高中低</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18"/>
                <w:szCs w:val="18"/>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高</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gridAfter w:val="6"/>
          <w:wAfter w:w="2922" w:type="dxa"/>
          <w:trHeight w:val="27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满意度指标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服务对象满意度指标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使用方满意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95</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r>
              <w:rPr>
                <w:rFonts w:ascii="宋体" w:hAnsi="宋体" w:cs="宋体"/>
                <w:color w:val="000000" w:themeColor="text1"/>
                <w:sz w:val="18"/>
                <w:szCs w:val="18"/>
                <w14:textFill>
                  <w14:solidFill>
                    <w14:schemeClr w14:val="tx1"/>
                  </w14:solidFill>
                </w14:textFill>
              </w:rPr>
              <w:t>5</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gridAfter w:val="6"/>
          <w:wAfter w:w="2922" w:type="dxa"/>
          <w:trHeight w:val="13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成本指标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经济成本指标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广元市委同意全省“乡村振兴巾帼行动”现场会在我区召开。</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万</w:t>
            </w:r>
            <w:r>
              <w:rPr>
                <w:rFonts w:hint="eastAsia" w:ascii="宋体" w:hAnsi="宋体" w:cs="宋体"/>
                <w:color w:val="000000" w:themeColor="text1"/>
                <w:kern w:val="0"/>
                <w:sz w:val="18"/>
                <w:szCs w:val="18"/>
                <w:lang w:bidi="ar"/>
                <w14:textFill>
                  <w14:solidFill>
                    <w14:schemeClr w14:val="tx1"/>
                  </w14:solidFill>
                </w14:textFill>
              </w:rPr>
              <w:t>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themeColor="text1"/>
                <w:sz w:val="16"/>
                <w:szCs w:val="16"/>
                <w14:textFill>
                  <w14:solidFill>
                    <w14:schemeClr w14:val="tx1"/>
                  </w14:solidFill>
                </w14:textFill>
              </w:rPr>
            </w:pPr>
            <w:r>
              <w:rPr>
                <w:rFonts w:hint="eastAsia" w:ascii="微软雅黑" w:hAnsi="微软雅黑" w:eastAsia="微软雅黑" w:cs="微软雅黑"/>
                <w:i/>
                <w:iCs/>
                <w:color w:val="000000" w:themeColor="text1"/>
                <w:sz w:val="16"/>
                <w:szCs w:val="16"/>
                <w14:textFill>
                  <w14:solidFill>
                    <w14:schemeClr w14:val="tx1"/>
                  </w14:solidFill>
                </w14:textFill>
              </w:rPr>
              <w:t>3</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65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合计</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r>
              <w:rPr>
                <w:rFonts w:ascii="宋体" w:hAnsi="宋体" w:cs="宋体"/>
                <w:color w:val="000000" w:themeColor="text1"/>
                <w:sz w:val="18"/>
                <w:szCs w:val="18"/>
                <w14:textFill>
                  <w14:solidFill>
                    <w14:schemeClr w14:val="tx1"/>
                  </w14:solidFill>
                </w14:textFill>
              </w:rPr>
              <w:t>00</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18"/>
                <w:szCs w:val="18"/>
                <w14:textFill>
                  <w14:solidFill>
                    <w14:schemeClr w14:val="tx1"/>
                  </w14:solidFill>
                </w14:textFill>
              </w:rPr>
            </w:pPr>
          </w:p>
        </w:tc>
        <w:tc>
          <w:tcPr>
            <w:tcW w:w="487" w:type="dxa"/>
          </w:tcPr>
          <w:p>
            <w:pPr>
              <w:widowControl/>
              <w:jc w:val="left"/>
            </w:pPr>
          </w:p>
        </w:tc>
        <w:tc>
          <w:tcPr>
            <w:tcW w:w="487" w:type="dxa"/>
          </w:tcPr>
          <w:p>
            <w:pPr>
              <w:widowControl/>
              <w:jc w:val="left"/>
            </w:pPr>
          </w:p>
        </w:tc>
        <w:tc>
          <w:tcPr>
            <w:tcW w:w="487" w:type="dxa"/>
          </w:tcPr>
          <w:p>
            <w:pPr>
              <w:widowControl/>
              <w:jc w:val="left"/>
            </w:pPr>
          </w:p>
        </w:tc>
        <w:tc>
          <w:tcPr>
            <w:tcW w:w="487" w:type="dxa"/>
          </w:tcPr>
          <w:p>
            <w:pPr>
              <w:widowControl/>
              <w:jc w:val="left"/>
            </w:pPr>
          </w:p>
        </w:tc>
        <w:tc>
          <w:tcPr>
            <w:tcW w:w="487" w:type="dxa"/>
          </w:tcPr>
          <w:p>
            <w:pPr>
              <w:widowControl/>
              <w:jc w:val="left"/>
            </w:pP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pPr>
            <w:r>
              <w:rPr>
                <w:rFonts w:ascii="宋体" w:hAnsi="宋体" w:cs="宋体"/>
                <w:color w:val="000000" w:themeColor="text1"/>
                <w:kern w:val="0"/>
                <w:sz w:val="18"/>
                <w:szCs w:val="18"/>
                <w:lang w:bidi="ar"/>
                <w14:textFill>
                  <w14:solidFill>
                    <w14:schemeClr w14:val="tx1"/>
                  </w14:solidFill>
                </w14:textFill>
              </w:rPr>
              <w:t>100</w:t>
            </w:r>
          </w:p>
        </w:tc>
      </w:tr>
      <w:tr>
        <w:tblPrEx>
          <w:tblCellMar>
            <w:top w:w="0" w:type="dxa"/>
            <w:left w:w="108" w:type="dxa"/>
            <w:bottom w:w="0" w:type="dxa"/>
            <w:right w:w="108" w:type="dxa"/>
          </w:tblCellMar>
        </w:tblPrEx>
        <w:trPr>
          <w:gridAfter w:val="6"/>
          <w:wAfter w:w="2922" w:type="dxa"/>
          <w:trHeight w:val="27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ascii="宋体" w:hAnsi="宋体" w:cs="宋体"/>
                <w:color w:val="000000"/>
                <w:kern w:val="0"/>
                <w:sz w:val="20"/>
                <w:szCs w:val="20"/>
                <w:lang w:bidi="ar"/>
              </w:rPr>
              <w:t>评价结论</w:t>
            </w:r>
          </w:p>
        </w:tc>
        <w:tc>
          <w:tcPr>
            <w:tcW w:w="97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kern w:val="0"/>
                <w:sz w:val="20"/>
                <w:szCs w:val="20"/>
                <w:lang w:bidi="ar"/>
              </w:rPr>
              <w:t>项目自评总分1</w:t>
            </w:r>
            <w:r>
              <w:rPr>
                <w:rFonts w:ascii="宋体" w:hAnsi="宋体" w:cs="宋体"/>
                <w:color w:val="000000"/>
                <w:kern w:val="0"/>
                <w:sz w:val="20"/>
                <w:szCs w:val="20"/>
                <w:lang w:bidi="ar"/>
              </w:rPr>
              <w:t>00</w:t>
            </w:r>
            <w:r>
              <w:rPr>
                <w:rFonts w:hint="eastAsia" w:ascii="宋体" w:hAnsi="宋体" w:cs="宋体"/>
                <w:color w:val="000000"/>
                <w:kern w:val="0"/>
                <w:sz w:val="20"/>
                <w:szCs w:val="20"/>
                <w:lang w:bidi="ar"/>
              </w:rPr>
              <w:t>，圆满召开全省“乡村振兴巾帼行动”现场会。</w:t>
            </w:r>
          </w:p>
        </w:tc>
      </w:tr>
      <w:tr>
        <w:tblPrEx>
          <w:tblCellMar>
            <w:top w:w="0" w:type="dxa"/>
            <w:left w:w="108" w:type="dxa"/>
            <w:bottom w:w="0" w:type="dxa"/>
            <w:right w:w="108" w:type="dxa"/>
          </w:tblCellMar>
        </w:tblPrEx>
        <w:trPr>
          <w:gridAfter w:val="6"/>
          <w:wAfter w:w="2922" w:type="dxa"/>
          <w:trHeight w:val="27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ascii="宋体" w:hAnsi="宋体" w:cs="宋体"/>
                <w:color w:val="000000"/>
                <w:kern w:val="0"/>
                <w:sz w:val="20"/>
                <w:szCs w:val="20"/>
                <w:lang w:bidi="ar"/>
              </w:rPr>
              <w:t>存在问题</w:t>
            </w:r>
          </w:p>
        </w:tc>
        <w:tc>
          <w:tcPr>
            <w:tcW w:w="97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kern w:val="0"/>
                <w:sz w:val="20"/>
                <w:szCs w:val="20"/>
                <w:lang w:bidi="ar"/>
              </w:rPr>
              <w:t>无</w:t>
            </w:r>
          </w:p>
        </w:tc>
      </w:tr>
      <w:tr>
        <w:tblPrEx>
          <w:tblCellMar>
            <w:top w:w="0" w:type="dxa"/>
            <w:left w:w="108" w:type="dxa"/>
            <w:bottom w:w="0" w:type="dxa"/>
            <w:right w:w="108" w:type="dxa"/>
          </w:tblCellMar>
        </w:tblPrEx>
        <w:trPr>
          <w:gridAfter w:val="6"/>
          <w:wAfter w:w="2922" w:type="dxa"/>
          <w:trHeight w:val="27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ascii="宋体" w:hAnsi="宋体" w:cs="宋体"/>
                <w:color w:val="000000"/>
                <w:kern w:val="0"/>
                <w:sz w:val="20"/>
                <w:szCs w:val="20"/>
                <w:lang w:bidi="ar"/>
              </w:rPr>
              <w:t>改进措施</w:t>
            </w:r>
          </w:p>
        </w:tc>
        <w:tc>
          <w:tcPr>
            <w:tcW w:w="97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kern w:val="0"/>
                <w:sz w:val="20"/>
                <w:szCs w:val="20"/>
                <w:lang w:bidi="ar"/>
              </w:rPr>
              <w:t>后续将按照财政项目支出绩效管理的要求，建立科学的财政资金效益考评制度体系，不断提高财政资金的利用效率。</w:t>
            </w:r>
          </w:p>
        </w:tc>
      </w:tr>
      <w:tr>
        <w:trPr>
          <w:gridAfter w:val="6"/>
          <w:wAfter w:w="2922" w:type="dxa"/>
          <w:trHeight w:val="270" w:hRule="atLeast"/>
        </w:trPr>
        <w:tc>
          <w:tcPr>
            <w:tcW w:w="4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kern w:val="0"/>
                <w:sz w:val="20"/>
                <w:szCs w:val="20"/>
                <w:lang w:bidi="ar"/>
              </w:rPr>
              <w:t>项目负责人：杨筱芳</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kern w:val="0"/>
                <w:sz w:val="20"/>
                <w:szCs w:val="20"/>
                <w:lang w:bidi="ar"/>
              </w:rPr>
              <w:t>财务负责人：何娇</w:t>
            </w:r>
          </w:p>
        </w:tc>
      </w:tr>
    </w:tbl>
    <w:p>
      <w:pPr>
        <w:pStyle w:val="5"/>
        <w:spacing w:before="93"/>
        <w:rPr>
          <w:color w:val="000000" w:themeColor="text1"/>
          <w14:textFill>
            <w14:solidFill>
              <w14:schemeClr w14:val="tx1"/>
            </w14:solidFill>
          </w14:textFill>
        </w:rPr>
      </w:pPr>
    </w:p>
    <w:p>
      <w:pPr>
        <w:pStyle w:val="5"/>
        <w:spacing w:before="93"/>
        <w:rPr>
          <w:color w:val="000000" w:themeColor="text1"/>
          <w14:textFill>
            <w14:solidFill>
              <w14:schemeClr w14:val="tx1"/>
            </w14:solidFill>
          </w14:textFill>
        </w:rPr>
      </w:pPr>
    </w:p>
    <w:p>
      <w:pPr>
        <w:pStyle w:val="5"/>
        <w:spacing w:before="93"/>
        <w:rPr>
          <w:color w:val="000000" w:themeColor="text1"/>
          <w14:textFill>
            <w14:solidFill>
              <w14:schemeClr w14:val="tx1"/>
            </w14:solidFill>
          </w14:textFill>
        </w:rPr>
      </w:pPr>
    </w:p>
    <w:p>
      <w:pPr>
        <w:pStyle w:val="5"/>
        <w:spacing w:before="93"/>
        <w:rPr>
          <w:color w:val="000000" w:themeColor="text1"/>
          <w14:textFill>
            <w14:solidFill>
              <w14:schemeClr w14:val="tx1"/>
            </w14:solidFill>
          </w14:textFill>
        </w:rPr>
      </w:pPr>
    </w:p>
    <w:p>
      <w:pPr>
        <w:pStyle w:val="5"/>
        <w:spacing w:before="93"/>
        <w:rPr>
          <w:color w:val="000000" w:themeColor="text1"/>
          <w14:textFill>
            <w14:solidFill>
              <w14:schemeClr w14:val="tx1"/>
            </w14:solidFill>
          </w14:textFill>
        </w:rPr>
      </w:pPr>
    </w:p>
    <w:p>
      <w:pPr>
        <w:pStyle w:val="5"/>
        <w:spacing w:before="93"/>
        <w:rPr>
          <w:color w:val="000000" w:themeColor="text1"/>
          <w14:textFill>
            <w14:solidFill>
              <w14:schemeClr w14:val="tx1"/>
            </w14:solidFill>
          </w14:textFill>
        </w:rPr>
      </w:pPr>
    </w:p>
    <w:p>
      <w:pPr>
        <w:pStyle w:val="5"/>
        <w:spacing w:before="93"/>
        <w:rPr>
          <w:color w:val="000000" w:themeColor="text1"/>
          <w14:textFill>
            <w14:solidFill>
              <w14:schemeClr w14:val="tx1"/>
            </w14:solidFill>
          </w14:textFill>
        </w:rPr>
      </w:pPr>
    </w:p>
    <w:p>
      <w:pPr>
        <w:pStyle w:val="5"/>
        <w:spacing w:before="93"/>
        <w:rPr>
          <w:rFonts w:hint="eastAsia"/>
          <w:color w:val="000000" w:themeColor="text1"/>
          <w14:textFill>
            <w14:solidFill>
              <w14:schemeClr w14:val="tx1"/>
            </w14:solidFill>
          </w14:textFill>
        </w:rPr>
      </w:pPr>
    </w:p>
    <w:tbl>
      <w:tblPr>
        <w:tblStyle w:val="15"/>
        <w:tblW w:w="10280" w:type="dxa"/>
        <w:tblInd w:w="-845" w:type="dxa"/>
        <w:tblLayout w:type="autofit"/>
        <w:tblCellMar>
          <w:top w:w="0" w:type="dxa"/>
          <w:left w:w="108" w:type="dxa"/>
          <w:bottom w:w="0" w:type="dxa"/>
          <w:right w:w="108" w:type="dxa"/>
        </w:tblCellMar>
      </w:tblPr>
      <w:tblGrid>
        <w:gridCol w:w="616"/>
        <w:gridCol w:w="746"/>
        <w:gridCol w:w="1227"/>
        <w:gridCol w:w="2164"/>
        <w:gridCol w:w="545"/>
        <w:gridCol w:w="747"/>
        <w:gridCol w:w="578"/>
        <w:gridCol w:w="916"/>
        <w:gridCol w:w="516"/>
        <w:gridCol w:w="516"/>
        <w:gridCol w:w="1709"/>
      </w:tblGrid>
      <w:tr>
        <w:tblPrEx>
          <w:tblCellMar>
            <w:top w:w="0" w:type="dxa"/>
            <w:left w:w="108" w:type="dxa"/>
            <w:bottom w:w="0" w:type="dxa"/>
            <w:right w:w="108" w:type="dxa"/>
          </w:tblCellMar>
        </w:tblPrEx>
        <w:trPr>
          <w:trHeight w:val="922"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themeColor="text1"/>
                <w:kern w:val="0"/>
                <w:sz w:val="30"/>
                <w:szCs w:val="30"/>
                <w14:textFill>
                  <w14:solidFill>
                    <w14:schemeClr w14:val="tx1"/>
                  </w14:solidFill>
                </w14:textFill>
              </w:rPr>
            </w:pPr>
            <w:r>
              <w:rPr>
                <w:rFonts w:hint="eastAsia" w:ascii="黑体" w:hAnsi="黑体" w:eastAsia="黑体" w:cs="宋体"/>
                <w:b/>
                <w:bCs/>
                <w:color w:val="000000" w:themeColor="text1"/>
                <w:kern w:val="0"/>
                <w:sz w:val="30"/>
                <w:szCs w:val="30"/>
                <w14:textFill>
                  <w14:solidFill>
                    <w14:schemeClr w14:val="tx1"/>
                  </w14:solidFill>
                </w14:textFill>
              </w:rPr>
              <w:t>部门预算项目支出绩效自评表（2022年度）</w:t>
            </w:r>
          </w:p>
        </w:tc>
      </w:tr>
      <w:tr>
        <w:tblPrEx>
          <w:tblCellMar>
            <w:top w:w="0" w:type="dxa"/>
            <w:left w:w="108" w:type="dxa"/>
            <w:bottom w:w="0" w:type="dxa"/>
            <w:right w:w="108" w:type="dxa"/>
          </w:tblCellMar>
        </w:tblPrEx>
        <w:trPr>
          <w:trHeight w:val="290" w:hRule="atLeast"/>
        </w:trPr>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项目名称</w:t>
            </w:r>
          </w:p>
        </w:tc>
        <w:tc>
          <w:tcPr>
            <w:tcW w:w="8918"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省级贫困妇女“两癌”救助专项资金</w:t>
            </w:r>
          </w:p>
        </w:tc>
      </w:tr>
      <w:tr>
        <w:tblPrEx>
          <w:tblCellMar>
            <w:top w:w="0" w:type="dxa"/>
            <w:left w:w="108" w:type="dxa"/>
            <w:bottom w:w="0" w:type="dxa"/>
            <w:right w:w="108" w:type="dxa"/>
          </w:tblCellMar>
        </w:tblPrEx>
        <w:trPr>
          <w:trHeight w:val="524" w:hRule="atLeast"/>
        </w:trPr>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主管部门</w:t>
            </w:r>
          </w:p>
        </w:tc>
        <w:tc>
          <w:tcPr>
            <w:tcW w:w="5261"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广元市朝天区妇女联合会部门</w:t>
            </w:r>
          </w:p>
        </w:tc>
        <w:tc>
          <w:tcPr>
            <w:tcW w:w="916" w:type="dxa"/>
            <w:tcBorders>
              <w:top w:val="nil"/>
              <w:left w:val="nil"/>
              <w:bottom w:val="nil"/>
              <w:right w:val="nil"/>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实施单位 （盖章）</w:t>
            </w:r>
          </w:p>
        </w:tc>
        <w:tc>
          <w:tcPr>
            <w:tcW w:w="2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广元市朝天区妇女联合会</w:t>
            </w:r>
          </w:p>
        </w:tc>
      </w:tr>
      <w:tr>
        <w:tblPrEx>
          <w:tblCellMar>
            <w:top w:w="0" w:type="dxa"/>
            <w:left w:w="108" w:type="dxa"/>
            <w:bottom w:w="0" w:type="dxa"/>
            <w:right w:w="108" w:type="dxa"/>
          </w:tblCellMar>
        </w:tblPrEx>
        <w:trPr>
          <w:trHeight w:val="290" w:hRule="atLeast"/>
        </w:trPr>
        <w:tc>
          <w:tcPr>
            <w:tcW w:w="6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项目基本情况</w:t>
            </w:r>
          </w:p>
        </w:tc>
        <w:tc>
          <w:tcPr>
            <w:tcW w:w="74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spacing w:val="-6"/>
                <w:kern w:val="0"/>
                <w:sz w:val="20"/>
                <w:szCs w:val="20"/>
                <w:lang w:bidi="ar"/>
              </w:rPr>
              <w:t>1.项目年度目标完成情况</w:t>
            </w:r>
          </w:p>
        </w:tc>
        <w:tc>
          <w:tcPr>
            <w:tcW w:w="5261"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项目年度目标</w:t>
            </w:r>
          </w:p>
        </w:tc>
        <w:tc>
          <w:tcPr>
            <w:tcW w:w="3657"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年度目标完成情况</w:t>
            </w:r>
          </w:p>
        </w:tc>
      </w:tr>
      <w:tr>
        <w:tblPrEx>
          <w:tblCellMar>
            <w:top w:w="0" w:type="dxa"/>
            <w:left w:w="108" w:type="dxa"/>
            <w:bottom w:w="0" w:type="dxa"/>
            <w:right w:w="108" w:type="dxa"/>
          </w:tblCellMar>
        </w:tblPrEx>
        <w:trPr>
          <w:trHeight w:val="723"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46"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5261"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减轻农村贫困“两癌”患病妇女负担</w:t>
            </w:r>
          </w:p>
        </w:tc>
        <w:tc>
          <w:tcPr>
            <w:tcW w:w="3657"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已完成减轻农村贫困“两癌”患病妇女负担</w:t>
            </w:r>
          </w:p>
        </w:tc>
      </w:tr>
      <w:tr>
        <w:tblPrEx>
          <w:tblCellMar>
            <w:top w:w="0" w:type="dxa"/>
            <w:left w:w="108" w:type="dxa"/>
            <w:bottom w:w="0" w:type="dxa"/>
            <w:right w:w="108" w:type="dxa"/>
          </w:tblCellMar>
        </w:tblPrEx>
        <w:trPr>
          <w:trHeight w:val="708"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4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2.项目实施内容及过程概述</w:t>
            </w:r>
          </w:p>
        </w:tc>
        <w:tc>
          <w:tcPr>
            <w:tcW w:w="8918"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救助两癌患病妇女1名</w:t>
            </w:r>
          </w:p>
        </w:tc>
      </w:tr>
      <w:tr>
        <w:tblPrEx>
          <w:tblCellMar>
            <w:top w:w="0" w:type="dxa"/>
            <w:left w:w="108" w:type="dxa"/>
            <w:bottom w:w="0" w:type="dxa"/>
            <w:right w:w="108" w:type="dxa"/>
          </w:tblCellMar>
        </w:tblPrEx>
        <w:trPr>
          <w:trHeight w:val="367" w:hRule="atLeast"/>
        </w:trPr>
        <w:tc>
          <w:tcPr>
            <w:tcW w:w="6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预算执行情况（10分）</w:t>
            </w:r>
          </w:p>
        </w:tc>
        <w:tc>
          <w:tcPr>
            <w:tcW w:w="74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年度预算数（万元）</w:t>
            </w:r>
          </w:p>
        </w:tc>
        <w:tc>
          <w:tcPr>
            <w:tcW w:w="122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年初预算</w:t>
            </w:r>
          </w:p>
        </w:tc>
        <w:tc>
          <w:tcPr>
            <w:tcW w:w="2164"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调整后预算数</w:t>
            </w:r>
          </w:p>
        </w:tc>
        <w:tc>
          <w:tcPr>
            <w:tcW w:w="187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预算执行数</w:t>
            </w:r>
          </w:p>
        </w:tc>
        <w:tc>
          <w:tcPr>
            <w:tcW w:w="9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预算执行率</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权重</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得分</w:t>
            </w:r>
          </w:p>
        </w:tc>
        <w:tc>
          <w:tcPr>
            <w:tcW w:w="170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原因</w:t>
            </w:r>
          </w:p>
        </w:tc>
      </w:tr>
      <w:tr>
        <w:tblPrEx>
          <w:tblCellMar>
            <w:top w:w="0" w:type="dxa"/>
            <w:left w:w="108" w:type="dxa"/>
            <w:bottom w:w="0" w:type="dxa"/>
            <w:right w:w="108" w:type="dxa"/>
          </w:tblCellMar>
        </w:tblPrEx>
        <w:trPr>
          <w:trHeight w:val="395"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4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总额</w:t>
            </w:r>
          </w:p>
        </w:tc>
        <w:tc>
          <w:tcPr>
            <w:tcW w:w="122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2164"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187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9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100.00%</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0</w:t>
            </w:r>
            <w:r>
              <w:rPr>
                <w:rFonts w:hint="eastAsia" w:ascii="宋体" w:hAnsi="宋体" w:cs="宋体"/>
                <w:color w:val="000000"/>
                <w:kern w:val="0"/>
                <w:sz w:val="20"/>
                <w:szCs w:val="20"/>
                <w:lang w:bidi="ar"/>
              </w:rPr>
              <w:t>　</w:t>
            </w:r>
          </w:p>
        </w:tc>
        <w:tc>
          <w:tcPr>
            <w:tcW w:w="17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41"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4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其中：财政资金</w:t>
            </w:r>
          </w:p>
        </w:tc>
        <w:tc>
          <w:tcPr>
            <w:tcW w:w="122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2164"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187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9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100.00%</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709"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56"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4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财政专户管理资金</w:t>
            </w:r>
          </w:p>
        </w:tc>
        <w:tc>
          <w:tcPr>
            <w:tcW w:w="122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2164"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7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709"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10"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4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单位资金</w:t>
            </w:r>
          </w:p>
        </w:tc>
        <w:tc>
          <w:tcPr>
            <w:tcW w:w="122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2164"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7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709"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86"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4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其他资金</w:t>
            </w:r>
          </w:p>
        </w:tc>
        <w:tc>
          <w:tcPr>
            <w:tcW w:w="122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2164"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87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9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709"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63" w:hRule="atLeast"/>
        </w:trPr>
        <w:tc>
          <w:tcPr>
            <w:tcW w:w="6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绩效指标（90分）</w:t>
            </w:r>
          </w:p>
        </w:tc>
        <w:tc>
          <w:tcPr>
            <w:tcW w:w="74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一级指标</w:t>
            </w:r>
          </w:p>
        </w:tc>
        <w:tc>
          <w:tcPr>
            <w:tcW w:w="122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二级指标</w:t>
            </w:r>
          </w:p>
        </w:tc>
        <w:tc>
          <w:tcPr>
            <w:tcW w:w="2164"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三级指标</w:t>
            </w:r>
          </w:p>
        </w:tc>
        <w:tc>
          <w:tcPr>
            <w:tcW w:w="545"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指标性质</w:t>
            </w:r>
          </w:p>
        </w:tc>
        <w:tc>
          <w:tcPr>
            <w:tcW w:w="747"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指标值</w:t>
            </w:r>
          </w:p>
        </w:tc>
        <w:tc>
          <w:tcPr>
            <w:tcW w:w="578"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度量单位</w:t>
            </w:r>
          </w:p>
        </w:tc>
        <w:tc>
          <w:tcPr>
            <w:tcW w:w="9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完成值</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权重</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得分</w:t>
            </w:r>
          </w:p>
        </w:tc>
        <w:tc>
          <w:tcPr>
            <w:tcW w:w="170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未完成原因分析</w:t>
            </w:r>
          </w:p>
        </w:tc>
      </w:tr>
      <w:tr>
        <w:tblPrEx>
          <w:tblCellMar>
            <w:top w:w="0" w:type="dxa"/>
            <w:left w:w="108" w:type="dxa"/>
            <w:bottom w:w="0" w:type="dxa"/>
            <w:right w:w="108" w:type="dxa"/>
          </w:tblCellMar>
        </w:tblPrEx>
        <w:trPr>
          <w:trHeight w:val="463"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产出指标</w:t>
            </w:r>
          </w:p>
        </w:tc>
        <w:tc>
          <w:tcPr>
            <w:tcW w:w="1227" w:type="dxa"/>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数量指标</w:t>
            </w:r>
          </w:p>
        </w:tc>
        <w:tc>
          <w:tcPr>
            <w:tcW w:w="2164" w:type="dxa"/>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符合条件救助人数</w:t>
            </w:r>
          </w:p>
        </w:tc>
        <w:tc>
          <w:tcPr>
            <w:tcW w:w="545" w:type="dxa"/>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人数</w:t>
            </w:r>
          </w:p>
        </w:tc>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1</w:t>
            </w:r>
          </w:p>
        </w:tc>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5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5</w:t>
            </w:r>
            <w:r>
              <w:rPr>
                <w:rFonts w:hint="eastAsia" w:ascii="宋体" w:hAnsi="宋体" w:cs="宋体"/>
                <w:color w:val="000000"/>
                <w:kern w:val="0"/>
                <w:sz w:val="20"/>
                <w:szCs w:val="20"/>
                <w:lang w:bidi="ar"/>
              </w:rPr>
              <w:t>　</w:t>
            </w:r>
          </w:p>
        </w:tc>
        <w:tc>
          <w:tcPr>
            <w:tcW w:w="170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463"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46"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产出指标</w:t>
            </w:r>
          </w:p>
        </w:tc>
        <w:tc>
          <w:tcPr>
            <w:tcW w:w="122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质量指标</w:t>
            </w:r>
          </w:p>
        </w:tc>
        <w:tc>
          <w:tcPr>
            <w:tcW w:w="2164"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按标准救助</w:t>
            </w:r>
          </w:p>
        </w:tc>
        <w:tc>
          <w:tcPr>
            <w:tcW w:w="545"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定性</w:t>
            </w:r>
          </w:p>
        </w:tc>
        <w:tc>
          <w:tcPr>
            <w:tcW w:w="74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优良中低差</w:t>
            </w:r>
          </w:p>
        </w:tc>
        <w:tc>
          <w:tcPr>
            <w:tcW w:w="578"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优</w:t>
            </w:r>
          </w:p>
        </w:tc>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5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5</w:t>
            </w:r>
            <w:r>
              <w:rPr>
                <w:rFonts w:hint="eastAsia" w:ascii="宋体" w:hAnsi="宋体" w:cs="宋体"/>
                <w:color w:val="000000"/>
                <w:kern w:val="0"/>
                <w:sz w:val="20"/>
                <w:szCs w:val="20"/>
                <w:lang w:bidi="ar"/>
              </w:rPr>
              <w:t>　</w:t>
            </w:r>
          </w:p>
        </w:tc>
        <w:tc>
          <w:tcPr>
            <w:tcW w:w="170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463"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46"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产出指标</w:t>
            </w:r>
          </w:p>
        </w:tc>
        <w:tc>
          <w:tcPr>
            <w:tcW w:w="122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时效指标</w:t>
            </w:r>
          </w:p>
        </w:tc>
        <w:tc>
          <w:tcPr>
            <w:tcW w:w="2164"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完成时间</w:t>
            </w:r>
          </w:p>
        </w:tc>
        <w:tc>
          <w:tcPr>
            <w:tcW w:w="545"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4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2022</w:t>
            </w:r>
          </w:p>
        </w:tc>
        <w:tc>
          <w:tcPr>
            <w:tcW w:w="578"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期/年</w:t>
            </w:r>
          </w:p>
        </w:tc>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2</w:t>
            </w:r>
            <w:r>
              <w:rPr>
                <w:rFonts w:ascii="宋体" w:hAnsi="宋体" w:cs="宋体"/>
                <w:color w:val="000000"/>
                <w:kern w:val="0"/>
                <w:sz w:val="20"/>
                <w:szCs w:val="20"/>
                <w:lang w:bidi="ar"/>
              </w:rPr>
              <w:t>022</w:t>
            </w:r>
          </w:p>
        </w:tc>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w:t>
            </w:r>
          </w:p>
        </w:tc>
        <w:tc>
          <w:tcPr>
            <w:tcW w:w="5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r>
              <w:rPr>
                <w:rFonts w:ascii="宋体" w:hAnsi="宋体" w:cs="宋体"/>
                <w:color w:val="000000"/>
                <w:kern w:val="0"/>
                <w:sz w:val="20"/>
                <w:szCs w:val="20"/>
                <w:lang w:bidi="ar"/>
              </w:rPr>
              <w:t>0</w:t>
            </w:r>
            <w:r>
              <w:rPr>
                <w:rFonts w:hint="eastAsia" w:ascii="宋体" w:hAnsi="宋体" w:cs="宋体"/>
                <w:color w:val="000000"/>
                <w:kern w:val="0"/>
                <w:sz w:val="20"/>
                <w:szCs w:val="20"/>
                <w:lang w:bidi="ar"/>
              </w:rPr>
              <w:t>　</w:t>
            </w:r>
          </w:p>
        </w:tc>
        <w:tc>
          <w:tcPr>
            <w:tcW w:w="170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463"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46"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效益指标</w:t>
            </w:r>
          </w:p>
        </w:tc>
        <w:tc>
          <w:tcPr>
            <w:tcW w:w="122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社会效益指标</w:t>
            </w:r>
          </w:p>
        </w:tc>
        <w:tc>
          <w:tcPr>
            <w:tcW w:w="2164"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减轻农村贫困“两癌”患病妇女负担</w:t>
            </w:r>
          </w:p>
        </w:tc>
        <w:tc>
          <w:tcPr>
            <w:tcW w:w="545"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4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95</w:t>
            </w:r>
          </w:p>
        </w:tc>
        <w:tc>
          <w:tcPr>
            <w:tcW w:w="578"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9</w:t>
            </w:r>
            <w:r>
              <w:rPr>
                <w:rFonts w:ascii="宋体" w:hAnsi="宋体" w:cs="宋体"/>
                <w:color w:val="000000"/>
                <w:kern w:val="0"/>
                <w:sz w:val="20"/>
                <w:szCs w:val="20"/>
                <w:lang w:bidi="ar"/>
              </w:rPr>
              <w:t>5</w:t>
            </w:r>
          </w:p>
        </w:tc>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w:t>
            </w:r>
          </w:p>
        </w:tc>
        <w:tc>
          <w:tcPr>
            <w:tcW w:w="5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3</w:t>
            </w:r>
            <w:r>
              <w:rPr>
                <w:rFonts w:ascii="宋体" w:hAnsi="宋体" w:cs="宋体"/>
                <w:color w:val="000000"/>
                <w:kern w:val="0"/>
                <w:sz w:val="20"/>
                <w:szCs w:val="20"/>
                <w:lang w:bidi="ar"/>
              </w:rPr>
              <w:t>0</w:t>
            </w:r>
          </w:p>
        </w:tc>
        <w:tc>
          <w:tcPr>
            <w:tcW w:w="170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463"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46"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满意度指标</w:t>
            </w:r>
          </w:p>
        </w:tc>
        <w:tc>
          <w:tcPr>
            <w:tcW w:w="122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服务对象满意度指标</w:t>
            </w:r>
          </w:p>
        </w:tc>
        <w:tc>
          <w:tcPr>
            <w:tcW w:w="2164"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患者及家庭成员满意度</w:t>
            </w:r>
          </w:p>
        </w:tc>
        <w:tc>
          <w:tcPr>
            <w:tcW w:w="545"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4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95</w:t>
            </w:r>
          </w:p>
        </w:tc>
        <w:tc>
          <w:tcPr>
            <w:tcW w:w="578"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9</w:t>
            </w:r>
            <w:r>
              <w:rPr>
                <w:rFonts w:ascii="宋体" w:hAnsi="宋体" w:cs="宋体"/>
                <w:color w:val="000000"/>
                <w:kern w:val="0"/>
                <w:sz w:val="20"/>
                <w:szCs w:val="20"/>
                <w:lang w:bidi="ar"/>
              </w:rPr>
              <w:t>5</w:t>
            </w:r>
          </w:p>
        </w:tc>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5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　</w:t>
            </w:r>
          </w:p>
        </w:tc>
        <w:tc>
          <w:tcPr>
            <w:tcW w:w="170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532"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46"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成本指标</w:t>
            </w:r>
          </w:p>
        </w:tc>
        <w:tc>
          <w:tcPr>
            <w:tcW w:w="122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社会成本指标</w:t>
            </w:r>
          </w:p>
        </w:tc>
        <w:tc>
          <w:tcPr>
            <w:tcW w:w="2164"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完成“两癌”项目工作</w:t>
            </w:r>
          </w:p>
        </w:tc>
        <w:tc>
          <w:tcPr>
            <w:tcW w:w="545"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47"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578" w:type="dxa"/>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val="en-US" w:eastAsia="zh-CN" w:bidi="ar"/>
              </w:rPr>
              <w:t>万</w:t>
            </w:r>
            <w:r>
              <w:rPr>
                <w:rFonts w:hint="eastAsia" w:ascii="宋体" w:hAnsi="宋体" w:cs="宋体"/>
                <w:color w:val="000000"/>
                <w:kern w:val="0"/>
                <w:sz w:val="20"/>
                <w:szCs w:val="20"/>
                <w:lang w:bidi="ar"/>
              </w:rPr>
              <w:t>元</w:t>
            </w:r>
          </w:p>
        </w:tc>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1</w:t>
            </w:r>
          </w:p>
        </w:tc>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516" w:type="dxa"/>
            <w:tcBorders>
              <w:top w:val="nil"/>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170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90" w:hRule="atLeast"/>
        </w:trPr>
        <w:tc>
          <w:tcPr>
            <w:tcW w:w="75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合计</w:t>
            </w:r>
          </w:p>
        </w:tc>
        <w:tc>
          <w:tcPr>
            <w:tcW w:w="516"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516"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00</w:t>
            </w:r>
            <w:r>
              <w:rPr>
                <w:rFonts w:hint="eastAsia" w:ascii="宋体" w:hAnsi="宋体" w:cs="宋体"/>
                <w:color w:val="000000"/>
                <w:kern w:val="0"/>
                <w:sz w:val="20"/>
                <w:szCs w:val="20"/>
                <w:lang w:bidi="ar"/>
              </w:rPr>
              <w:t>　</w:t>
            </w:r>
          </w:p>
        </w:tc>
        <w:tc>
          <w:tcPr>
            <w:tcW w:w="1709" w:type="dxa"/>
            <w:tcBorders>
              <w:top w:val="nil"/>
              <w:left w:val="nil"/>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61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评价结论</w:t>
            </w:r>
          </w:p>
        </w:tc>
        <w:tc>
          <w:tcPr>
            <w:tcW w:w="96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项目自评总分1</w:t>
            </w:r>
            <w:r>
              <w:rPr>
                <w:rFonts w:ascii="宋体" w:hAnsi="宋体" w:cs="宋体"/>
                <w:color w:val="000000"/>
                <w:kern w:val="0"/>
                <w:sz w:val="20"/>
                <w:szCs w:val="20"/>
                <w:lang w:bidi="ar"/>
              </w:rPr>
              <w:t>00</w:t>
            </w:r>
            <w:r>
              <w:rPr>
                <w:rFonts w:hint="eastAsia" w:ascii="宋体" w:hAnsi="宋体" w:cs="宋体"/>
                <w:color w:val="000000"/>
                <w:kern w:val="0"/>
                <w:sz w:val="20"/>
                <w:szCs w:val="20"/>
                <w:lang w:bidi="ar"/>
              </w:rPr>
              <w:t>，救助两癌患病妇女1名。</w:t>
            </w:r>
          </w:p>
        </w:tc>
      </w:tr>
      <w:tr>
        <w:tblPrEx>
          <w:tblCellMar>
            <w:top w:w="0" w:type="dxa"/>
            <w:left w:w="108" w:type="dxa"/>
            <w:bottom w:w="0" w:type="dxa"/>
            <w:right w:w="108" w:type="dxa"/>
          </w:tblCellMar>
        </w:tblPrEx>
        <w:trPr>
          <w:trHeight w:val="58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存在问题</w:t>
            </w:r>
          </w:p>
        </w:tc>
        <w:tc>
          <w:tcPr>
            <w:tcW w:w="96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无</w:t>
            </w:r>
          </w:p>
        </w:tc>
      </w:tr>
      <w:tr>
        <w:tblPrEx>
          <w:tblCellMar>
            <w:top w:w="0" w:type="dxa"/>
            <w:left w:w="108" w:type="dxa"/>
            <w:bottom w:w="0" w:type="dxa"/>
            <w:right w:w="108" w:type="dxa"/>
          </w:tblCellMar>
        </w:tblPrEx>
        <w:trPr>
          <w:trHeight w:val="647"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改进措施</w:t>
            </w:r>
          </w:p>
        </w:tc>
        <w:tc>
          <w:tcPr>
            <w:tcW w:w="96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后续将按照财政项目支出绩效管理的要求，建立科学的财政资金效益考评制度体系，不断提高财政资金的利用效率。</w:t>
            </w:r>
          </w:p>
        </w:tc>
      </w:tr>
      <w:tr>
        <w:tblPrEx>
          <w:tblCellMar>
            <w:top w:w="0" w:type="dxa"/>
            <w:left w:w="108" w:type="dxa"/>
            <w:bottom w:w="0" w:type="dxa"/>
            <w:right w:w="108" w:type="dxa"/>
          </w:tblCellMar>
        </w:tblPrEx>
        <w:trPr>
          <w:trHeight w:val="290" w:hRule="atLeast"/>
        </w:trPr>
        <w:tc>
          <w:tcPr>
            <w:tcW w:w="52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项目负责人：杨筱芳</w:t>
            </w:r>
          </w:p>
        </w:tc>
        <w:tc>
          <w:tcPr>
            <w:tcW w:w="4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财务负责人：何娇</w:t>
            </w:r>
          </w:p>
        </w:tc>
      </w:tr>
    </w:tbl>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int="eastAsia" w:hAnsi="仿宋_GB2312" w:cs="仿宋_GB2312"/>
          <w:color w:val="000000" w:themeColor="text1"/>
          <w:sz w:val="32"/>
          <w:szCs w:val="32"/>
          <w:shd w:val="clear" w:color="auto" w:fill="FFFFFF"/>
          <w14:textFill>
            <w14:solidFill>
              <w14:schemeClr w14:val="tx1"/>
            </w14:solidFill>
          </w14:textFill>
        </w:rPr>
      </w:pPr>
    </w:p>
    <w:p>
      <w:pPr>
        <w:pStyle w:val="5"/>
        <w:spacing w:before="93"/>
        <w:rPr>
          <w:rFonts w:hint="eastAsia"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tbl>
      <w:tblPr>
        <w:tblStyle w:val="15"/>
        <w:tblW w:w="10093" w:type="dxa"/>
        <w:tblInd w:w="-485" w:type="dxa"/>
        <w:tblLayout w:type="fixed"/>
        <w:tblCellMar>
          <w:top w:w="0" w:type="dxa"/>
          <w:left w:w="108" w:type="dxa"/>
          <w:bottom w:w="0" w:type="dxa"/>
          <w:right w:w="108" w:type="dxa"/>
        </w:tblCellMar>
      </w:tblPr>
      <w:tblGrid>
        <w:gridCol w:w="735"/>
        <w:gridCol w:w="838"/>
        <w:gridCol w:w="977"/>
        <w:gridCol w:w="1256"/>
        <w:gridCol w:w="585"/>
        <w:gridCol w:w="756"/>
        <w:gridCol w:w="409"/>
        <w:gridCol w:w="780"/>
        <w:gridCol w:w="488"/>
        <w:gridCol w:w="400"/>
        <w:gridCol w:w="2869"/>
      </w:tblGrid>
      <w:tr>
        <w:tblPrEx>
          <w:tblCellMar>
            <w:top w:w="0" w:type="dxa"/>
            <w:left w:w="108" w:type="dxa"/>
            <w:bottom w:w="0" w:type="dxa"/>
            <w:right w:w="108" w:type="dxa"/>
          </w:tblCellMar>
        </w:tblPrEx>
        <w:trPr>
          <w:trHeight w:val="904" w:hRule="atLeast"/>
        </w:trPr>
        <w:tc>
          <w:tcPr>
            <w:tcW w:w="100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45" w:rightChars="-593"/>
              <w:jc w:val="center"/>
              <w:textAlignment w:val="center"/>
              <w:rPr>
                <w:rFonts w:ascii="黑体" w:hAnsi="宋体" w:eastAsia="黑体" w:cs="黑体"/>
                <w:b/>
                <w:bCs/>
                <w:color w:val="000000" w:themeColor="text1"/>
                <w:sz w:val="30"/>
                <w:szCs w:val="30"/>
                <w14:textFill>
                  <w14:solidFill>
                    <w14:schemeClr w14:val="tx1"/>
                  </w14:solidFill>
                </w14:textFill>
              </w:rPr>
            </w:pPr>
            <w:r>
              <w:rPr>
                <w:rFonts w:hint="eastAsia" w:ascii="黑体" w:hAnsi="宋体" w:eastAsia="黑体" w:cs="黑体"/>
                <w:b/>
                <w:bCs/>
                <w:color w:val="000000" w:themeColor="text1"/>
                <w:kern w:val="0"/>
                <w:sz w:val="30"/>
                <w:szCs w:val="30"/>
                <w:lang w:bidi="ar"/>
                <w14:textFill>
                  <w14:solidFill>
                    <w14:schemeClr w14:val="tx1"/>
                  </w14:solidFill>
                </w14:textFill>
              </w:rPr>
              <w:t>部门预算项目支出绩效自评表（2022年度）</w:t>
            </w:r>
          </w:p>
        </w:tc>
      </w:tr>
      <w:tr>
        <w:tblPrEx>
          <w:tblCellMar>
            <w:top w:w="0" w:type="dxa"/>
            <w:left w:w="108" w:type="dxa"/>
            <w:bottom w:w="0" w:type="dxa"/>
            <w:right w:w="108" w:type="dxa"/>
          </w:tblCellMar>
        </w:tblPrEx>
        <w:trPr>
          <w:trHeight w:val="286" w:hRule="atLeast"/>
        </w:trPr>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项目名称</w:t>
            </w:r>
          </w:p>
        </w:tc>
        <w:tc>
          <w:tcPr>
            <w:tcW w:w="85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春节关爱慰问活动</w:t>
            </w:r>
          </w:p>
        </w:tc>
      </w:tr>
      <w:tr>
        <w:tblPrEx>
          <w:tblCellMar>
            <w:top w:w="0" w:type="dxa"/>
            <w:left w:w="108" w:type="dxa"/>
            <w:bottom w:w="0" w:type="dxa"/>
            <w:right w:w="108" w:type="dxa"/>
          </w:tblCellMar>
        </w:tblPrEx>
        <w:trPr>
          <w:trHeight w:val="512" w:hRule="atLeast"/>
        </w:trPr>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主管部门</w:t>
            </w:r>
          </w:p>
        </w:tc>
        <w:tc>
          <w:tcPr>
            <w:tcW w:w="39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广元市朝天区妇女联合会部门</w:t>
            </w:r>
          </w:p>
        </w:tc>
        <w:tc>
          <w:tcPr>
            <w:tcW w:w="780" w:type="dxa"/>
            <w:tcBorders>
              <w:top w:val="nil"/>
              <w:left w:val="nil"/>
              <w:bottom w:val="nil"/>
              <w:right w:val="nil"/>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实施单位 （盖章）</w:t>
            </w:r>
          </w:p>
        </w:tc>
        <w:tc>
          <w:tcPr>
            <w:tcW w:w="37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广元市朝天区妇女联合会</w:t>
            </w:r>
          </w:p>
        </w:tc>
      </w:tr>
      <w:tr>
        <w:tblPrEx>
          <w:tblCellMar>
            <w:top w:w="0" w:type="dxa"/>
            <w:left w:w="108" w:type="dxa"/>
            <w:bottom w:w="0" w:type="dxa"/>
            <w:right w:w="108" w:type="dxa"/>
          </w:tblCellMar>
        </w:tblPrEx>
        <w:trPr>
          <w:trHeight w:val="286"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项目基本情况</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1.项目年度目标完成情况</w:t>
            </w:r>
          </w:p>
        </w:tc>
        <w:tc>
          <w:tcPr>
            <w:tcW w:w="39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项目年度目标</w:t>
            </w:r>
          </w:p>
        </w:tc>
        <w:tc>
          <w:tcPr>
            <w:tcW w:w="4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年度目标完成情况</w:t>
            </w:r>
          </w:p>
        </w:tc>
      </w:tr>
      <w:tr>
        <w:tblPrEx>
          <w:tblCellMar>
            <w:top w:w="0" w:type="dxa"/>
            <w:left w:w="108" w:type="dxa"/>
            <w:bottom w:w="0" w:type="dxa"/>
            <w:right w:w="108" w:type="dxa"/>
          </w:tblCellMar>
        </w:tblPrEx>
        <w:trPr>
          <w:trHeight w:val="70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39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开展春节走访慰问贫困母亲、贫困儿童，切实把党和政府的关心关爱传递给困难妇女儿童。</w:t>
            </w:r>
          </w:p>
        </w:tc>
        <w:tc>
          <w:tcPr>
            <w:tcW w:w="4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开展春节走访慰问贫困母亲、贫困儿童，切实把党和政府的关心关爱传递给困难妇女儿童。）</w:t>
            </w:r>
          </w:p>
        </w:tc>
      </w:tr>
      <w:tr>
        <w:tblPrEx>
          <w:tblCellMar>
            <w:top w:w="0" w:type="dxa"/>
            <w:left w:w="108" w:type="dxa"/>
            <w:bottom w:w="0" w:type="dxa"/>
            <w:right w:w="108" w:type="dxa"/>
          </w:tblCellMar>
        </w:tblPrEx>
        <w:trPr>
          <w:trHeight w:val="791"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2.项目实施内容及过程概述</w:t>
            </w:r>
          </w:p>
        </w:tc>
        <w:tc>
          <w:tcPr>
            <w:tcW w:w="85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开展春节走访慰问贫困母亲、贫困儿童，切实把党和政府的关心关爱传递给困难妇女儿童。</w:t>
            </w:r>
          </w:p>
        </w:tc>
      </w:tr>
      <w:tr>
        <w:tblPrEx>
          <w:tblCellMar>
            <w:top w:w="0" w:type="dxa"/>
            <w:left w:w="108" w:type="dxa"/>
            <w:bottom w:w="0" w:type="dxa"/>
            <w:right w:w="108" w:type="dxa"/>
          </w:tblCellMar>
        </w:tblPrEx>
        <w:trPr>
          <w:trHeight w:val="707"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预算执行情况（10分）</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textAlignment w:val="center"/>
              <w:rPr>
                <w:rFonts w:ascii="宋体" w:hAnsi="宋体" w:cs="宋体"/>
                <w:color w:val="000000"/>
                <w:spacing w:val="-17"/>
                <w:kern w:val="0"/>
                <w:sz w:val="20"/>
                <w:szCs w:val="20"/>
                <w:lang w:bidi="ar"/>
              </w:rPr>
            </w:pPr>
            <w:r>
              <w:rPr>
                <w:rFonts w:ascii="宋体" w:hAnsi="宋体" w:cs="宋体"/>
                <w:color w:val="000000"/>
                <w:spacing w:val="-17"/>
                <w:kern w:val="0"/>
                <w:sz w:val="20"/>
                <w:szCs w:val="20"/>
                <w:lang w:bidi="ar"/>
              </w:rPr>
              <w:t>年度预算数（万元）</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年初预算</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调整后预算数</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预算执行数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预算执行率</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权重</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得分</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原因</w:t>
            </w:r>
          </w:p>
        </w:tc>
      </w:tr>
      <w:tr>
        <w:tblPrEx>
          <w:tblCellMar>
            <w:top w:w="0" w:type="dxa"/>
            <w:left w:w="108" w:type="dxa"/>
            <w:bottom w:w="0" w:type="dxa"/>
            <w:right w:w="108" w:type="dxa"/>
          </w:tblCellMar>
        </w:tblPrEx>
        <w:trPr>
          <w:trHeight w:val="47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总额</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3.00</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1.78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59.26%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2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年末因一体化系统原因导致未成功支付。</w:t>
            </w:r>
          </w:p>
        </w:tc>
      </w:tr>
      <w:tr>
        <w:tblPrEx>
          <w:tblCellMar>
            <w:top w:w="0" w:type="dxa"/>
            <w:left w:w="108" w:type="dxa"/>
            <w:bottom w:w="0" w:type="dxa"/>
            <w:right w:w="108" w:type="dxa"/>
          </w:tblCellMar>
        </w:tblPrEx>
        <w:trPr>
          <w:trHeight w:val="68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textAlignment w:val="center"/>
              <w:rPr>
                <w:rFonts w:ascii="宋体" w:hAnsi="宋体" w:cs="宋体"/>
                <w:color w:val="000000"/>
                <w:spacing w:val="-17"/>
                <w:kern w:val="0"/>
                <w:sz w:val="20"/>
                <w:szCs w:val="20"/>
                <w:lang w:bidi="ar"/>
              </w:rPr>
            </w:pPr>
            <w:r>
              <w:rPr>
                <w:rFonts w:ascii="宋体" w:hAnsi="宋体" w:cs="宋体"/>
                <w:color w:val="000000"/>
                <w:spacing w:val="-17"/>
                <w:kern w:val="0"/>
                <w:sz w:val="20"/>
                <w:szCs w:val="20"/>
                <w:lang w:bidi="ar"/>
              </w:rPr>
              <w:t>其中：财政资金</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3.00</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1.78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59.26%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2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9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textAlignment w:val="center"/>
              <w:rPr>
                <w:rFonts w:ascii="宋体" w:hAnsi="宋体" w:cs="宋体"/>
                <w:color w:val="000000"/>
                <w:spacing w:val="-17"/>
                <w:kern w:val="0"/>
                <w:sz w:val="20"/>
                <w:szCs w:val="20"/>
                <w:lang w:bidi="ar"/>
              </w:rPr>
            </w:pPr>
            <w:r>
              <w:rPr>
                <w:rFonts w:ascii="宋体" w:hAnsi="宋体" w:cs="宋体"/>
                <w:color w:val="000000"/>
                <w:spacing w:val="-17"/>
                <w:kern w:val="0"/>
                <w:sz w:val="20"/>
                <w:szCs w:val="20"/>
                <w:lang w:bidi="ar"/>
              </w:rPr>
              <w:t>财政专户管理资金</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2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9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textAlignment w:val="center"/>
              <w:rPr>
                <w:rFonts w:ascii="宋体" w:hAnsi="宋体" w:cs="宋体"/>
                <w:color w:val="000000"/>
                <w:spacing w:val="-17"/>
                <w:kern w:val="0"/>
                <w:sz w:val="20"/>
                <w:szCs w:val="20"/>
                <w:lang w:bidi="ar"/>
              </w:rPr>
            </w:pPr>
            <w:r>
              <w:rPr>
                <w:rFonts w:ascii="宋体" w:hAnsi="宋体" w:cs="宋体"/>
                <w:color w:val="000000"/>
                <w:spacing w:val="-17"/>
                <w:kern w:val="0"/>
                <w:sz w:val="20"/>
                <w:szCs w:val="20"/>
                <w:lang w:bidi="ar"/>
              </w:rPr>
              <w:t>单位资金</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0.00%</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2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41"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textAlignment w:val="center"/>
              <w:rPr>
                <w:rFonts w:ascii="宋体" w:hAnsi="宋体" w:cs="宋体"/>
                <w:color w:val="000000"/>
                <w:spacing w:val="-17"/>
                <w:kern w:val="0"/>
                <w:sz w:val="20"/>
                <w:szCs w:val="20"/>
                <w:lang w:bidi="ar"/>
              </w:rPr>
            </w:pPr>
            <w:r>
              <w:rPr>
                <w:rFonts w:ascii="宋体" w:hAnsi="宋体" w:cs="宋体"/>
                <w:color w:val="000000"/>
                <w:spacing w:val="-17"/>
                <w:kern w:val="0"/>
                <w:sz w:val="20"/>
                <w:szCs w:val="20"/>
                <w:lang w:bidi="ar"/>
              </w:rPr>
              <w:t>其他资金</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w:t>
            </w:r>
          </w:p>
        </w:tc>
        <w:tc>
          <w:tcPr>
            <w:tcW w:w="2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5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绩效指标（90分）</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textAlignment w:val="center"/>
              <w:rPr>
                <w:rFonts w:ascii="宋体" w:hAnsi="宋体" w:cs="宋体"/>
                <w:color w:val="000000"/>
                <w:spacing w:val="-17"/>
                <w:kern w:val="0"/>
                <w:sz w:val="20"/>
                <w:szCs w:val="20"/>
                <w:lang w:bidi="ar"/>
              </w:rPr>
            </w:pPr>
            <w:r>
              <w:rPr>
                <w:rFonts w:ascii="宋体" w:hAnsi="宋体" w:cs="宋体"/>
                <w:color w:val="000000"/>
                <w:spacing w:val="-17"/>
                <w:kern w:val="0"/>
                <w:sz w:val="20"/>
                <w:szCs w:val="20"/>
                <w:lang w:bidi="ar"/>
              </w:rPr>
              <w:t>一级指标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textAlignment w:val="center"/>
              <w:rPr>
                <w:rFonts w:ascii="宋体" w:hAnsi="宋体" w:cs="宋体"/>
                <w:color w:val="000000"/>
                <w:spacing w:val="-17"/>
                <w:kern w:val="0"/>
                <w:sz w:val="20"/>
                <w:szCs w:val="20"/>
                <w:lang w:bidi="ar"/>
              </w:rPr>
            </w:pPr>
            <w:r>
              <w:rPr>
                <w:rFonts w:ascii="宋体" w:hAnsi="宋体" w:cs="宋体"/>
                <w:color w:val="000000"/>
                <w:spacing w:val="-17"/>
                <w:kern w:val="0"/>
                <w:sz w:val="20"/>
                <w:szCs w:val="20"/>
                <w:lang w:bidi="ar"/>
              </w:rPr>
              <w:t>二级指标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textAlignment w:val="center"/>
              <w:rPr>
                <w:rFonts w:ascii="宋体" w:hAnsi="宋体" w:cs="宋体"/>
                <w:color w:val="000000"/>
                <w:spacing w:val="-17"/>
                <w:kern w:val="0"/>
                <w:sz w:val="20"/>
                <w:szCs w:val="20"/>
                <w:lang w:bidi="ar"/>
              </w:rPr>
            </w:pPr>
            <w:r>
              <w:rPr>
                <w:rFonts w:ascii="宋体" w:hAnsi="宋体" w:cs="宋体"/>
                <w:color w:val="000000"/>
                <w:spacing w:val="-17"/>
                <w:kern w:val="0"/>
                <w:sz w:val="20"/>
                <w:szCs w:val="20"/>
                <w:lang w:bidi="ar"/>
              </w:rPr>
              <w:t>三级指标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指标值</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度量单位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完成值</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权重</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得分</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未完成原因分析</w:t>
            </w:r>
          </w:p>
        </w:tc>
      </w:tr>
      <w:tr>
        <w:tblPrEx>
          <w:tblCellMar>
            <w:top w:w="0" w:type="dxa"/>
            <w:left w:w="108" w:type="dxa"/>
            <w:bottom w:w="0" w:type="dxa"/>
            <w:right w:w="108" w:type="dxa"/>
          </w:tblCellMar>
        </w:tblPrEx>
        <w:trPr>
          <w:trHeight w:val="781"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产出指标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时效指标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2022年</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5</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9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产出指标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质量指标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spacing w:val="-17"/>
                <w:kern w:val="0"/>
                <w:sz w:val="20"/>
                <w:szCs w:val="20"/>
                <w:lang w:bidi="ar"/>
              </w:rPr>
              <w:t>春节走访慰问贫困母亲、贫困儿童慰问</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r>
              <w:rPr>
                <w:rFonts w:ascii="宋体" w:hAnsi="宋体" w:cs="宋体"/>
                <w:color w:val="000000" w:themeColor="text1"/>
                <w:sz w:val="18"/>
                <w:szCs w:val="18"/>
                <w14:textFill>
                  <w14:solidFill>
                    <w14:schemeClr w14:val="tx1"/>
                  </w14:solidFill>
                </w14:textFill>
              </w:rPr>
              <w:t>5</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8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产出指标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数量指标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开展春节走访慰问贫困母亲、贫困儿童，切实把党和政府的关心关爱传递给困难妇女儿童。</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1</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12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1</w:t>
            </w:r>
            <w:r>
              <w:rPr>
                <w:rFonts w:ascii="宋体" w:hAnsi="宋体" w:cs="宋体"/>
                <w:color w:val="000000"/>
                <w:spacing w:val="-17"/>
                <w:kern w:val="0"/>
                <w:sz w:val="20"/>
                <w:szCs w:val="20"/>
                <w:lang w:bidi="ar"/>
              </w:rPr>
              <w:t>2</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67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效益指标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社会效益指标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陪伴孩子成长，助力家庭发展</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定性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高中低</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高</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14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1</w:t>
            </w:r>
            <w:r>
              <w:rPr>
                <w:rFonts w:ascii="宋体" w:hAnsi="宋体" w:cs="宋体"/>
                <w:color w:val="000000"/>
                <w:spacing w:val="-17"/>
                <w:kern w:val="0"/>
                <w:sz w:val="20"/>
                <w:szCs w:val="20"/>
                <w:lang w:bidi="ar"/>
              </w:rPr>
              <w:t>4</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效益指标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可持续影响指标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满足妇女儿童发展需要</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定性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高中低</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高</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15</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1</w:t>
            </w:r>
            <w:r>
              <w:rPr>
                <w:rFonts w:ascii="宋体" w:hAnsi="宋体" w:cs="宋体"/>
                <w:color w:val="000000"/>
                <w:spacing w:val="-17"/>
                <w:kern w:val="0"/>
                <w:sz w:val="20"/>
                <w:szCs w:val="20"/>
                <w:lang w:bidi="ar"/>
              </w:rPr>
              <w:t>5</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满意度指标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服务对象满意度指标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满意度达使对方满意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95</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95</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9</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9</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8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成本指标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经济成本指标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开展春节走访慰问贫困母亲、贫困儿童，切实把党和政府的关心关爱传递给困难妇女儿童。</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1</w:t>
            </w:r>
            <w:r>
              <w:rPr>
                <w:rFonts w:hint="eastAsia" w:ascii="宋体" w:hAnsi="宋体" w:cs="宋体"/>
                <w:color w:val="000000"/>
                <w:spacing w:val="-17"/>
                <w:kern w:val="0"/>
                <w:sz w:val="20"/>
                <w:szCs w:val="20"/>
                <w:lang w:eastAsia="zh-CN" w:bidi="ar"/>
              </w:rPr>
              <w:t>.</w:t>
            </w:r>
            <w:r>
              <w:rPr>
                <w:rFonts w:hint="eastAsia" w:ascii="宋体" w:hAnsi="宋体" w:cs="宋体"/>
                <w:color w:val="000000"/>
                <w:spacing w:val="-17"/>
                <w:kern w:val="0"/>
                <w:sz w:val="20"/>
                <w:szCs w:val="20"/>
                <w:lang w:bidi="ar"/>
              </w:rPr>
              <w:t>78</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pacing w:val="-17"/>
                <w:kern w:val="0"/>
                <w:sz w:val="20"/>
                <w:szCs w:val="20"/>
                <w:lang w:eastAsia="zh-CN" w:bidi="ar"/>
              </w:rPr>
            </w:pPr>
            <w:r>
              <w:rPr>
                <w:rFonts w:hint="eastAsia" w:ascii="宋体" w:hAnsi="宋体" w:cs="宋体"/>
                <w:color w:val="000000"/>
                <w:spacing w:val="-17"/>
                <w:kern w:val="0"/>
                <w:sz w:val="20"/>
                <w:szCs w:val="20"/>
                <w:lang w:bidi="ar"/>
              </w:rPr>
              <w:t>1</w:t>
            </w:r>
            <w:r>
              <w:rPr>
                <w:rFonts w:hint="eastAsia" w:ascii="宋体" w:hAnsi="宋体" w:cs="宋体"/>
                <w:color w:val="000000"/>
                <w:spacing w:val="-17"/>
                <w:kern w:val="0"/>
                <w:sz w:val="20"/>
                <w:szCs w:val="20"/>
                <w:lang w:eastAsia="zh-CN" w:bidi="ar"/>
              </w:rPr>
              <w:t>.</w:t>
            </w:r>
            <w:r>
              <w:rPr>
                <w:rFonts w:hint="eastAsia" w:ascii="宋体" w:hAnsi="宋体" w:cs="宋体"/>
                <w:color w:val="000000"/>
                <w:spacing w:val="-17"/>
                <w:kern w:val="0"/>
                <w:sz w:val="20"/>
                <w:szCs w:val="20"/>
                <w:lang w:bidi="ar"/>
              </w:rPr>
              <w:t>7</w:t>
            </w:r>
            <w:r>
              <w:rPr>
                <w:rFonts w:hint="eastAsia" w:ascii="宋体" w:hAnsi="宋体" w:cs="宋体"/>
                <w:color w:val="000000"/>
                <w:spacing w:val="-17"/>
                <w:kern w:val="0"/>
                <w:sz w:val="20"/>
                <w:szCs w:val="20"/>
                <w:lang w:val="en-US" w:eastAsia="zh-CN" w:bidi="ar"/>
              </w:rPr>
              <w:t>8</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ascii="宋体" w:hAnsi="宋体" w:cs="宋体"/>
                <w:color w:val="000000"/>
                <w:spacing w:val="-17"/>
                <w:kern w:val="0"/>
                <w:sz w:val="20"/>
                <w:szCs w:val="20"/>
                <w:lang w:bidi="ar"/>
              </w:rPr>
              <w:t>7</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63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合计</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100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spacing w:val="-17"/>
                <w:kern w:val="0"/>
                <w:sz w:val="20"/>
                <w:szCs w:val="20"/>
                <w:lang w:bidi="ar"/>
              </w:rPr>
              <w:t>9</w:t>
            </w:r>
            <w:r>
              <w:rPr>
                <w:rFonts w:ascii="宋体" w:hAnsi="宋体" w:cs="宋体"/>
                <w:color w:val="000000"/>
                <w:spacing w:val="-17"/>
                <w:kern w:val="0"/>
                <w:sz w:val="20"/>
                <w:szCs w:val="20"/>
                <w:lang w:bidi="ar"/>
              </w:rPr>
              <w:t>5</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60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ascii="宋体" w:hAnsi="宋体" w:cs="宋体"/>
                <w:color w:val="000000"/>
                <w:kern w:val="0"/>
                <w:sz w:val="20"/>
                <w:szCs w:val="20"/>
                <w:lang w:bidi="ar"/>
              </w:rPr>
              <w:t>评价结论</w:t>
            </w:r>
          </w:p>
        </w:tc>
        <w:tc>
          <w:tcPr>
            <w:tcW w:w="93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kern w:val="0"/>
                <w:sz w:val="20"/>
                <w:szCs w:val="20"/>
                <w:lang w:bidi="ar"/>
              </w:rPr>
              <w:t>项目自评总分</w:t>
            </w:r>
            <w:r>
              <w:rPr>
                <w:rFonts w:ascii="宋体" w:hAnsi="宋体" w:cs="宋体"/>
                <w:color w:val="000000"/>
                <w:kern w:val="0"/>
                <w:sz w:val="20"/>
                <w:szCs w:val="20"/>
                <w:lang w:bidi="ar"/>
              </w:rPr>
              <w:t>95</w:t>
            </w:r>
            <w:r>
              <w:rPr>
                <w:rFonts w:hint="eastAsia" w:ascii="宋体" w:hAnsi="宋体" w:cs="宋体"/>
                <w:color w:val="000000"/>
                <w:kern w:val="0"/>
                <w:sz w:val="20"/>
                <w:szCs w:val="20"/>
                <w:lang w:bidi="ar"/>
              </w:rPr>
              <w:t>，开展慰问，切实把党和政府的关心关爱传递给困难妇女儿童。</w:t>
            </w:r>
          </w:p>
        </w:tc>
      </w:tr>
      <w:tr>
        <w:tblPrEx>
          <w:tblCellMar>
            <w:top w:w="0" w:type="dxa"/>
            <w:left w:w="108" w:type="dxa"/>
            <w:bottom w:w="0" w:type="dxa"/>
            <w:right w:w="108" w:type="dxa"/>
          </w:tblCellMar>
        </w:tblPrEx>
        <w:trPr>
          <w:trHeight w:val="57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ascii="宋体" w:hAnsi="宋体" w:cs="宋体"/>
                <w:color w:val="000000"/>
                <w:kern w:val="0"/>
                <w:sz w:val="20"/>
                <w:szCs w:val="20"/>
                <w:lang w:bidi="ar"/>
              </w:rPr>
              <w:t>存在问题</w:t>
            </w:r>
          </w:p>
        </w:tc>
        <w:tc>
          <w:tcPr>
            <w:tcW w:w="93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kern w:val="0"/>
                <w:sz w:val="20"/>
                <w:szCs w:val="20"/>
                <w:lang w:bidi="ar"/>
              </w:rPr>
              <w:t>无</w:t>
            </w:r>
          </w:p>
        </w:tc>
      </w:tr>
      <w:tr>
        <w:tblPrEx>
          <w:tblCellMar>
            <w:top w:w="0" w:type="dxa"/>
            <w:left w:w="108" w:type="dxa"/>
            <w:bottom w:w="0" w:type="dxa"/>
            <w:right w:w="108" w:type="dxa"/>
          </w:tblCellMar>
        </w:tblPrEx>
        <w:trPr>
          <w:trHeight w:val="6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ascii="宋体" w:hAnsi="宋体" w:cs="宋体"/>
                <w:color w:val="000000"/>
                <w:kern w:val="0"/>
                <w:sz w:val="20"/>
                <w:szCs w:val="20"/>
                <w:lang w:bidi="ar"/>
              </w:rPr>
              <w:t>改进措施</w:t>
            </w:r>
          </w:p>
        </w:tc>
        <w:tc>
          <w:tcPr>
            <w:tcW w:w="93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kern w:val="0"/>
                <w:sz w:val="20"/>
                <w:szCs w:val="20"/>
                <w:lang w:bidi="ar"/>
              </w:rPr>
              <w:t>后续将按照财政项目支出绩效管理的要求，建立科学的财政资金效益考评制度体系，不断提高财政资金的利用效率。</w:t>
            </w:r>
          </w:p>
        </w:tc>
      </w:tr>
      <w:tr>
        <w:tblPrEx>
          <w:tblCellMar>
            <w:top w:w="0" w:type="dxa"/>
            <w:left w:w="108" w:type="dxa"/>
            <w:bottom w:w="0" w:type="dxa"/>
            <w:right w:w="108" w:type="dxa"/>
          </w:tblCellMar>
        </w:tblPrEx>
        <w:trPr>
          <w:trHeight w:val="286" w:hRule="atLeast"/>
        </w:trPr>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pacing w:val="-17"/>
                <w:kern w:val="0"/>
                <w:sz w:val="20"/>
                <w:szCs w:val="20"/>
                <w:lang w:bidi="ar"/>
              </w:rPr>
            </w:pPr>
            <w:r>
              <w:rPr>
                <w:rFonts w:hint="eastAsia" w:ascii="宋体" w:hAnsi="宋体" w:cs="宋体"/>
                <w:color w:val="000000"/>
                <w:kern w:val="0"/>
                <w:sz w:val="20"/>
                <w:szCs w:val="20"/>
                <w:lang w:bidi="ar"/>
              </w:rPr>
              <w:t>项目负责人：杨筱芳</w:t>
            </w:r>
          </w:p>
        </w:tc>
        <w:tc>
          <w:tcPr>
            <w:tcW w:w="5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themeColor="text1"/>
                <w:sz w:val="18"/>
                <w:szCs w:val="18"/>
                <w14:textFill>
                  <w14:solidFill>
                    <w14:schemeClr w14:val="tx1"/>
                  </w14:solidFill>
                </w14:textFill>
              </w:rPr>
            </w:pPr>
            <w:r>
              <w:rPr>
                <w:rFonts w:hint="eastAsia" w:ascii="宋体" w:hAnsi="宋体" w:cs="宋体"/>
                <w:color w:val="000000"/>
                <w:kern w:val="0"/>
                <w:sz w:val="20"/>
                <w:szCs w:val="20"/>
                <w:lang w:bidi="ar"/>
              </w:rPr>
              <w:t>财务负责人：何娇</w:t>
            </w:r>
          </w:p>
        </w:tc>
      </w:tr>
    </w:tbl>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hint="eastAsia" w:ascii="黑体" w:hAnsi="黑体" w:eastAsia="黑体"/>
          <w:color w:val="000000" w:themeColor="text1"/>
          <w:sz w:val="44"/>
          <w:szCs w:val="44"/>
          <w14:textFill>
            <w14:solidFill>
              <w14:schemeClr w14:val="tx1"/>
            </w14:solidFill>
          </w14:textFill>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（妇儿专项经费）</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．2022年初，审报</w:t>
      </w:r>
      <w:r>
        <w:rPr>
          <w:rFonts w:hint="eastAsia" w:ascii="仿宋_GB2312" w:hAnsi="仿宋_GB2312" w:eastAsia="仿宋_GB2312" w:cs="仿宋_GB2312"/>
          <w:kern w:val="0"/>
          <w:sz w:val="32"/>
          <w:szCs w:val="32"/>
          <w:shd w:val="clear" w:color="auto" w:fill="FFFFFF"/>
        </w:rPr>
        <w:t>区妇联</w:t>
      </w:r>
      <w:r>
        <w:rPr>
          <w:rFonts w:hint="eastAsia" w:ascii="仿宋_GB2312" w:hAnsi="仿宋_GB2312" w:eastAsia="仿宋_GB2312" w:cs="仿宋_GB2312"/>
          <w:kern w:val="0"/>
          <w:sz w:val="32"/>
          <w:szCs w:val="32"/>
          <w:shd w:val="clear" w:color="auto" w:fill="FFFFFF"/>
          <w:lang w:val="zh-CN"/>
        </w:rPr>
        <w:t>妇儿专项经费</w:t>
      </w:r>
      <w:r>
        <w:rPr>
          <w:rFonts w:hint="eastAsia" w:ascii="仿宋_GB2312" w:hAnsi="仿宋_GB2312" w:eastAsia="仿宋_GB2312" w:cs="仿宋_GB2312"/>
          <w:kern w:val="0"/>
          <w:sz w:val="32"/>
          <w:szCs w:val="32"/>
          <w:shd w:val="clear" w:color="auto" w:fill="FFFFFF"/>
        </w:rPr>
        <w:t>7.16</w:t>
      </w:r>
      <w:r>
        <w:rPr>
          <w:rFonts w:hint="eastAsia" w:ascii="仿宋_GB2312" w:hAnsi="仿宋_GB2312" w:eastAsia="仿宋_GB2312" w:cs="仿宋_GB2312"/>
          <w:kern w:val="0"/>
          <w:sz w:val="32"/>
          <w:szCs w:val="32"/>
          <w:shd w:val="clear" w:color="auto" w:fill="FFFFFF"/>
          <w:lang w:val="zh-CN"/>
        </w:rPr>
        <w:t>万元，后经区财政局批复妇儿专项经费</w:t>
      </w:r>
      <w:r>
        <w:rPr>
          <w:rFonts w:hint="eastAsia" w:ascii="仿宋_GB2312" w:hAnsi="仿宋_GB2312" w:eastAsia="仿宋_GB2312" w:cs="仿宋_GB2312"/>
          <w:kern w:val="0"/>
          <w:sz w:val="32"/>
          <w:szCs w:val="32"/>
          <w:shd w:val="clear" w:color="auto" w:fill="FFFFFF"/>
        </w:rPr>
        <w:t>7.16</w:t>
      </w:r>
      <w:r>
        <w:rPr>
          <w:rFonts w:hint="eastAsia" w:ascii="仿宋_GB2312" w:hAnsi="仿宋_GB2312" w:eastAsia="仿宋_GB2312" w:cs="仿宋_GB2312"/>
          <w:kern w:val="0"/>
          <w:sz w:val="32"/>
          <w:szCs w:val="32"/>
          <w:shd w:val="clear" w:color="auto" w:fill="FFFFFF"/>
          <w:lang w:val="zh-CN"/>
        </w:rPr>
        <w:t>万元，年末无预算调整。</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zh-CN"/>
        </w:rPr>
        <w:t>．资金分配按照预算绩效目标分配。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1．项目主要内容：满足妇女儿童发展需要、维护妇女儿童基本权益。</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数量指标：形成编制文件数量1套；</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质量指标：按照妇女儿童工作开展</w:t>
      </w:r>
      <w:r>
        <w:rPr>
          <w:rFonts w:ascii="仿宋_GB2312" w:eastAsia="仿宋_GB2312"/>
          <w:spacing w:val="-6"/>
          <w:sz w:val="32"/>
          <w:szCs w:val="32"/>
        </w:rPr>
        <w:t>；</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时效指标：2022年</w:t>
      </w:r>
      <w:r>
        <w:rPr>
          <w:rFonts w:ascii="仿宋_GB2312" w:eastAsia="仿宋_GB2312"/>
          <w:spacing w:val="-6"/>
          <w:sz w:val="32"/>
          <w:szCs w:val="32"/>
        </w:rPr>
        <w:t>；</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成本指标：开展妇女儿童工作，全面培训宣传资料、印制、救助妇女儿童等成本≤7.16万元；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可持续影响指标：满足妇女儿童发展需要、维护妇女儿童基本权益；</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满意度指标：使用方满意度≥95%；</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3．申报的内容为</w:t>
      </w:r>
      <w:r>
        <w:rPr>
          <w:rFonts w:hint="eastAsia" w:ascii="仿宋_GB2312" w:hAnsi="仿宋_GB2312" w:eastAsia="仿宋_GB2312" w:cs="仿宋_GB2312"/>
          <w:kern w:val="0"/>
          <w:sz w:val="32"/>
          <w:szCs w:val="32"/>
          <w:shd w:val="clear" w:color="auto" w:fill="FFFFFF"/>
        </w:rPr>
        <w:t>区妇联</w:t>
      </w:r>
      <w:r>
        <w:rPr>
          <w:rFonts w:hint="eastAsia" w:ascii="仿宋_GB2312" w:hAnsi="仿宋_GB2312" w:eastAsia="仿宋_GB2312" w:cs="仿宋_GB2312"/>
          <w:kern w:val="0"/>
          <w:sz w:val="32"/>
          <w:szCs w:val="32"/>
          <w:shd w:val="clear" w:color="auto" w:fill="FFFFFF"/>
          <w:lang w:val="zh-CN"/>
        </w:rPr>
        <w:t>日常经营运转所必需</w:t>
      </w:r>
      <w:r>
        <w:rPr>
          <w:rFonts w:hint="eastAsia" w:ascii="仿宋_GB2312" w:hAnsi="仿宋_GB2312" w:eastAsia="仿宋_GB2312" w:cs="仿宋_GB2312"/>
          <w:kern w:val="0"/>
          <w:sz w:val="32"/>
          <w:szCs w:val="32"/>
          <w:shd w:val="clear" w:color="auto" w:fill="FFFFFF"/>
        </w:rPr>
        <w:t>项目</w:t>
      </w:r>
      <w:r>
        <w:rPr>
          <w:rFonts w:hint="eastAsia" w:ascii="仿宋_GB2312" w:hAnsi="仿宋_GB2312" w:eastAsia="仿宋_GB2312" w:cs="仿宋_GB2312"/>
          <w:kern w:val="0"/>
          <w:sz w:val="32"/>
          <w:szCs w:val="32"/>
          <w:shd w:val="clear" w:color="auto" w:fill="FFFFFF"/>
          <w:lang w:val="zh-CN"/>
        </w:rPr>
        <w:t>，申报的内容与实际相符，目标合理。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5"/>
        <w:spacing w:before="93"/>
        <w:ind w:firstLine="640" w:firstLineChars="200"/>
        <w:rPr>
          <w:lang w:val="zh-CN"/>
        </w:rPr>
      </w:pPr>
      <w:r>
        <w:rPr>
          <w:rFonts w:hint="eastAsia" w:hAnsi="仿宋_GB2312" w:cs="仿宋_GB2312"/>
          <w:sz w:val="32"/>
          <w:szCs w:val="32"/>
          <w:shd w:val="clear" w:color="auto" w:fill="FFFFFF"/>
          <w:lang w:val="zh-CN"/>
        </w:rPr>
        <w:t>按照《广元市朝天区财政局关于开展2023年部门、政策和项目支出绩效评价工作的通知》（广朝财发〔2023〕19号）文件要求，认真组织开展了202</w:t>
      </w:r>
      <w:r>
        <w:rPr>
          <w:rFonts w:hAnsi="仿宋_GB2312" w:cs="仿宋_GB2312"/>
          <w:sz w:val="32"/>
          <w:szCs w:val="32"/>
          <w:shd w:val="clear" w:color="auto" w:fill="FFFFFF"/>
          <w:lang w:val="zh-CN"/>
        </w:rPr>
        <w:t>2</w:t>
      </w:r>
      <w:r>
        <w:rPr>
          <w:rFonts w:hint="eastAsia" w:hAnsi="仿宋_GB2312" w:cs="仿宋_GB2312"/>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2022年，审报</w:t>
      </w:r>
      <w:r>
        <w:rPr>
          <w:rFonts w:hint="eastAsia" w:ascii="仿宋_GB2312" w:hAnsi="仿宋_GB2312" w:eastAsia="仿宋_GB2312" w:cs="仿宋_GB2312"/>
          <w:kern w:val="0"/>
          <w:sz w:val="32"/>
          <w:szCs w:val="32"/>
          <w:shd w:val="clear" w:color="auto" w:fill="FFFFFF"/>
        </w:rPr>
        <w:t>区妇联</w:t>
      </w:r>
      <w:r>
        <w:rPr>
          <w:rFonts w:hint="eastAsia" w:ascii="仿宋_GB2312" w:hAnsi="仿宋_GB2312" w:eastAsia="仿宋_GB2312" w:cs="仿宋_GB2312"/>
          <w:kern w:val="0"/>
          <w:sz w:val="32"/>
          <w:szCs w:val="32"/>
          <w:shd w:val="clear" w:color="auto" w:fill="FFFFFF"/>
          <w:lang w:val="zh-CN"/>
        </w:rPr>
        <w:t>妇儿专项经费</w:t>
      </w:r>
      <w:r>
        <w:rPr>
          <w:rFonts w:hint="eastAsia" w:ascii="仿宋_GB2312" w:hAnsi="仿宋_GB2312" w:eastAsia="仿宋_GB2312" w:cs="仿宋_GB2312"/>
          <w:kern w:val="0"/>
          <w:sz w:val="32"/>
          <w:szCs w:val="32"/>
          <w:shd w:val="clear" w:color="auto" w:fill="FFFFFF"/>
        </w:rPr>
        <w:t>7.16</w:t>
      </w:r>
      <w:r>
        <w:rPr>
          <w:rFonts w:hint="eastAsia" w:ascii="仿宋_GB2312" w:hAnsi="仿宋_GB2312" w:eastAsia="仿宋_GB2312" w:cs="仿宋_GB2312"/>
          <w:kern w:val="0"/>
          <w:sz w:val="32"/>
          <w:szCs w:val="32"/>
          <w:shd w:val="clear" w:color="auto" w:fill="FFFFFF"/>
          <w:lang w:val="zh-CN"/>
        </w:rPr>
        <w:t>万元，后经区财政局批复妇儿专项经费</w:t>
      </w:r>
      <w:r>
        <w:rPr>
          <w:rFonts w:hint="eastAsia" w:ascii="仿宋_GB2312" w:hAnsi="仿宋_GB2312" w:eastAsia="仿宋_GB2312" w:cs="仿宋_GB2312"/>
          <w:kern w:val="0"/>
          <w:sz w:val="32"/>
          <w:szCs w:val="32"/>
          <w:shd w:val="clear" w:color="auto" w:fill="FFFFFF"/>
        </w:rPr>
        <w:t>7.16</w:t>
      </w:r>
      <w:r>
        <w:rPr>
          <w:rFonts w:hint="eastAsia" w:ascii="仿宋_GB2312" w:hAnsi="仿宋_GB2312" w:eastAsia="仿宋_GB2312" w:cs="仿宋_GB2312"/>
          <w:kern w:val="0"/>
          <w:sz w:val="32"/>
          <w:szCs w:val="32"/>
          <w:shd w:val="clear" w:color="auto" w:fill="FFFFFF"/>
          <w:lang w:val="zh-CN"/>
        </w:rPr>
        <w:t>万元，年末无预算调整。</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1．资金计划。年初预算</w:t>
      </w:r>
      <w:r>
        <w:rPr>
          <w:rFonts w:hint="eastAsia" w:ascii="仿宋_GB2312" w:hAnsi="仿宋_GB2312" w:eastAsia="仿宋_GB2312" w:cs="仿宋_GB2312"/>
          <w:kern w:val="0"/>
          <w:sz w:val="32"/>
          <w:szCs w:val="32"/>
          <w:shd w:val="clear" w:color="auto" w:fill="FFFFFF"/>
        </w:rPr>
        <w:t>,7.16</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2．资金到位。该资金年初预算</w:t>
      </w:r>
      <w:r>
        <w:rPr>
          <w:rFonts w:hint="eastAsia" w:ascii="仿宋_GB2312" w:hAnsi="仿宋_GB2312" w:eastAsia="仿宋_GB2312" w:cs="仿宋_GB2312"/>
          <w:kern w:val="0"/>
          <w:sz w:val="32"/>
          <w:szCs w:val="32"/>
          <w:shd w:val="clear" w:color="auto" w:fill="FFFFFF"/>
        </w:rPr>
        <w:t>7.16</w:t>
      </w:r>
      <w:r>
        <w:rPr>
          <w:rFonts w:hint="eastAsia" w:ascii="仿宋_GB2312" w:hAnsi="仿宋_GB2312" w:eastAsia="仿宋_GB2312" w:cs="仿宋_GB2312"/>
          <w:kern w:val="0"/>
          <w:sz w:val="32"/>
          <w:szCs w:val="32"/>
          <w:shd w:val="clear" w:color="auto" w:fill="FFFFFF"/>
          <w:lang w:val="zh-CN"/>
        </w:rPr>
        <w:t>万元，截至目前到位</w:t>
      </w:r>
      <w:r>
        <w:rPr>
          <w:rFonts w:hint="eastAsia" w:ascii="仿宋_GB2312" w:hAnsi="仿宋_GB2312" w:eastAsia="仿宋_GB2312" w:cs="仿宋_GB2312"/>
          <w:kern w:val="0"/>
          <w:sz w:val="32"/>
          <w:szCs w:val="32"/>
          <w:shd w:val="clear" w:color="auto" w:fill="FFFFFF"/>
        </w:rPr>
        <w:t>7.16</w:t>
      </w:r>
      <w:r>
        <w:rPr>
          <w:rFonts w:hint="eastAsia" w:ascii="仿宋_GB2312" w:hAnsi="仿宋_GB2312" w:eastAsia="仿宋_GB2312" w:cs="仿宋_GB2312"/>
          <w:kern w:val="0"/>
          <w:sz w:val="32"/>
          <w:szCs w:val="32"/>
          <w:shd w:val="clear" w:color="auto" w:fill="FFFFFF"/>
          <w:lang w:val="zh-CN"/>
        </w:rPr>
        <w:t>万元，到位率100%。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w:t>
      </w:r>
      <w:r>
        <w:rPr>
          <w:rFonts w:hint="eastAsia" w:ascii="仿宋_GB2312" w:hAnsi="仿宋_GB2312" w:eastAsia="仿宋_GB2312" w:cs="仿宋_GB2312"/>
          <w:kern w:val="0"/>
          <w:sz w:val="32"/>
          <w:szCs w:val="32"/>
          <w:shd w:val="clear" w:color="auto" w:fill="FFFFFF"/>
        </w:rPr>
        <w:t>7.16</w:t>
      </w:r>
      <w:r>
        <w:rPr>
          <w:rFonts w:hint="eastAsia" w:ascii="仿宋_GB2312" w:hAnsi="仿宋_GB2312" w:eastAsia="仿宋_GB2312" w:cs="仿宋_GB2312"/>
          <w:kern w:val="0"/>
          <w:sz w:val="32"/>
          <w:szCs w:val="32"/>
          <w:shd w:val="clear" w:color="auto" w:fill="FFFFFF"/>
          <w:lang w:val="zh-CN"/>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bookmarkStart w:id="59" w:name="_Hlk148429888"/>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年度部门项目预算</w:t>
      </w:r>
      <w:r>
        <w:rPr>
          <w:rFonts w:hint="eastAsia" w:ascii="仿宋_GB2312" w:hAnsi="仿宋_GB2312" w:eastAsia="仿宋_GB2312" w:cs="仿宋_GB2312"/>
          <w:kern w:val="0"/>
          <w:sz w:val="32"/>
          <w:szCs w:val="32"/>
          <w:shd w:val="clear" w:color="auto" w:fill="FFFFFF"/>
        </w:rPr>
        <w:t>妇儿专项经</w:t>
      </w:r>
      <w:r>
        <w:rPr>
          <w:rFonts w:hint="eastAsia" w:ascii="仿宋_GB2312" w:hAnsi="仿宋_GB2312" w:eastAsia="仿宋_GB2312" w:cs="仿宋_GB2312"/>
          <w:kern w:val="0"/>
          <w:sz w:val="32"/>
          <w:szCs w:val="32"/>
          <w:shd w:val="clear" w:color="auto" w:fill="FFFFFF"/>
          <w:lang w:val="zh-CN"/>
        </w:rPr>
        <w:t>费项目，严格执行预算规定，符合法律法规。</w:t>
      </w:r>
      <w:bookmarkEnd w:id="59"/>
    </w:p>
    <w:p>
      <w:pPr>
        <w:pStyle w:val="27"/>
        <w:numPr>
          <w:ilvl w:val="0"/>
          <w:numId w:val="11"/>
        </w:numPr>
        <w:adjustRightInd w:val="0"/>
        <w:snapToGrid w:val="0"/>
        <w:spacing w:line="578" w:lineRule="exact"/>
        <w:ind w:firstLineChars="0"/>
        <w:rPr>
          <w:rFonts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pStyle w:val="5"/>
        <w:spacing w:before="93"/>
        <w:ind w:firstLine="640" w:firstLineChars="2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数量指标：形成编制文件数量1套；已完成。</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质量指标：按照妇女儿童工作开展</w:t>
      </w:r>
      <w:r>
        <w:rPr>
          <w:rFonts w:ascii="仿宋_GB2312" w:eastAsia="仿宋_GB2312"/>
          <w:spacing w:val="-6"/>
          <w:sz w:val="32"/>
          <w:szCs w:val="32"/>
        </w:rPr>
        <w:t>；</w:t>
      </w:r>
      <w:r>
        <w:rPr>
          <w:rFonts w:hint="eastAsia" w:ascii="仿宋_GB2312" w:eastAsia="仿宋_GB2312"/>
          <w:spacing w:val="-6"/>
          <w:sz w:val="32"/>
          <w:szCs w:val="32"/>
        </w:rPr>
        <w:t>已完成。</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时效指标：2022年</w:t>
      </w:r>
      <w:r>
        <w:rPr>
          <w:rFonts w:ascii="仿宋_GB2312" w:eastAsia="仿宋_GB2312"/>
          <w:spacing w:val="-6"/>
          <w:sz w:val="32"/>
          <w:szCs w:val="32"/>
        </w:rPr>
        <w:t>；</w:t>
      </w:r>
      <w:r>
        <w:rPr>
          <w:rFonts w:hint="eastAsia" w:ascii="仿宋_GB2312" w:eastAsia="仿宋_GB2312"/>
          <w:spacing w:val="-6"/>
          <w:sz w:val="32"/>
          <w:szCs w:val="32"/>
        </w:rPr>
        <w:t>已完成。</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成本指标：开展妇女儿童工作，全面培训宣传资料、印制、救助妇女儿童等成本≤7.16万元；已完成。</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可持续影响指标：满足妇女儿童发展需要、维护妇女儿童基本权益。</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满意度指标：使用方满意度95%</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通过对单位项目自评评分，评价结果100分。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jc w:val="center"/>
        <w:rPr>
          <w:rFonts w:hint="eastAsia" w:ascii="方正小标宋简体" w:hAnsi="方正小标宋简体" w:eastAsia="方正小标宋简体" w:cs="方正小标宋简体"/>
          <w:sz w:val="44"/>
          <w:szCs w:val="44"/>
          <w:lang w:val="en-US" w:eastAsia="zh-CN"/>
        </w:rPr>
      </w:pPr>
    </w:p>
    <w:p>
      <w:pPr>
        <w:pStyle w:val="5"/>
        <w:rPr>
          <w:rFonts w:hint="eastAsia" w:ascii="方正小标宋简体" w:hAnsi="方正小标宋简体" w:eastAsia="方正小标宋简体" w:cs="方正小标宋简体"/>
          <w:sz w:val="44"/>
          <w:szCs w:val="44"/>
          <w:lang w:val="en-US" w:eastAsia="zh-CN"/>
        </w:rPr>
      </w:pPr>
    </w:p>
    <w:p>
      <w:pPr>
        <w:pStyle w:val="5"/>
        <w:rPr>
          <w:rFonts w:hint="eastAsia" w:ascii="方正小标宋简体" w:hAnsi="方正小标宋简体" w:eastAsia="方正小标宋简体" w:cs="方正小标宋简体"/>
          <w:sz w:val="44"/>
          <w:szCs w:val="44"/>
          <w:lang w:val="en-US" w:eastAsia="zh-CN"/>
        </w:rPr>
      </w:pPr>
    </w:p>
    <w:p>
      <w:pPr>
        <w:pStyle w:val="5"/>
        <w:rPr>
          <w:rFonts w:hint="eastAsia" w:ascii="方正小标宋简体" w:hAnsi="方正小标宋简体" w:eastAsia="方正小标宋简体" w:cs="方正小标宋简体"/>
          <w:sz w:val="44"/>
          <w:szCs w:val="44"/>
          <w:lang w:val="en-US" w:eastAsia="zh-CN"/>
        </w:rPr>
      </w:pPr>
    </w:p>
    <w:p>
      <w:pPr>
        <w:pStyle w:val="5"/>
        <w:rPr>
          <w:rFonts w:hint="eastAsia" w:ascii="方正小标宋简体" w:hAnsi="方正小标宋简体" w:eastAsia="方正小标宋简体" w:cs="方正小标宋简体"/>
          <w:sz w:val="44"/>
          <w:szCs w:val="44"/>
          <w:lang w:val="en-US" w:eastAsia="zh-CN"/>
        </w:rPr>
      </w:pPr>
    </w:p>
    <w:p>
      <w:pPr>
        <w:pStyle w:val="5"/>
        <w:rPr>
          <w:rFonts w:hint="eastAsia" w:ascii="方正小标宋简体" w:hAnsi="方正小标宋简体" w:eastAsia="方正小标宋简体" w:cs="方正小标宋简体"/>
          <w:sz w:val="44"/>
          <w:szCs w:val="44"/>
          <w:lang w:val="en-US" w:eastAsia="zh-CN"/>
        </w:rPr>
      </w:pPr>
    </w:p>
    <w:p>
      <w:pPr>
        <w:pStyle w:val="5"/>
        <w:rPr>
          <w:rFonts w:hint="eastAsia" w:ascii="方正小标宋简体" w:hAnsi="方正小标宋简体" w:eastAsia="方正小标宋简体" w:cs="方正小标宋简体"/>
          <w:sz w:val="44"/>
          <w:szCs w:val="44"/>
          <w:lang w:val="en-US" w:eastAsia="zh-CN"/>
        </w:rPr>
      </w:pPr>
    </w:p>
    <w:p>
      <w:pPr>
        <w:pStyle w:val="5"/>
        <w:rPr>
          <w:rFonts w:hint="eastAsia" w:ascii="方正小标宋简体" w:hAnsi="方正小标宋简体" w:eastAsia="方正小标宋简体" w:cs="方正小标宋简体"/>
          <w:sz w:val="44"/>
          <w:szCs w:val="44"/>
          <w:lang w:val="en-US" w:eastAsia="zh-CN"/>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（婚姻家庭工作经费）</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．2022年初，审报</w:t>
      </w:r>
      <w:r>
        <w:rPr>
          <w:rFonts w:hint="eastAsia" w:ascii="仿宋_GB2312" w:hAnsi="仿宋_GB2312" w:eastAsia="仿宋_GB2312" w:cs="仿宋_GB2312"/>
          <w:kern w:val="0"/>
          <w:sz w:val="32"/>
          <w:szCs w:val="32"/>
          <w:shd w:val="clear" w:color="auto" w:fill="FFFFFF"/>
        </w:rPr>
        <w:t>区妇联</w:t>
      </w:r>
      <w:r>
        <w:rPr>
          <w:rFonts w:hint="eastAsia" w:ascii="仿宋_GB2312" w:hAnsi="仿宋_GB2312" w:eastAsia="仿宋_GB2312" w:cs="仿宋_GB2312"/>
          <w:kern w:val="0"/>
          <w:sz w:val="32"/>
          <w:szCs w:val="32"/>
          <w:shd w:val="clear" w:color="auto" w:fill="FFFFFF"/>
          <w:lang w:val="zh-CN"/>
        </w:rPr>
        <w:t>妇儿专项经费</w:t>
      </w: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万元，后经区财政局批复妇儿专项经费</w:t>
      </w:r>
      <w:r>
        <w:rPr>
          <w:rFonts w:hint="eastAsia" w:ascii="仿宋_GB2312" w:hAnsi="仿宋_GB2312" w:eastAsia="仿宋_GB2312" w:cs="仿宋_GB2312"/>
          <w:kern w:val="0"/>
          <w:sz w:val="32"/>
          <w:szCs w:val="32"/>
          <w:shd w:val="clear" w:color="auto" w:fill="FFFFFF"/>
        </w:rPr>
        <w:t>0.29</w:t>
      </w:r>
      <w:r>
        <w:rPr>
          <w:rFonts w:hint="eastAsia" w:ascii="仿宋_GB2312" w:hAnsi="仿宋_GB2312" w:eastAsia="仿宋_GB2312" w:cs="仿宋_GB2312"/>
          <w:kern w:val="0"/>
          <w:sz w:val="32"/>
          <w:szCs w:val="32"/>
          <w:shd w:val="clear" w:color="auto" w:fill="FFFFFF"/>
          <w:lang w:val="zh-CN"/>
        </w:rPr>
        <w:t>万元，年末无预算调整。</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zh-CN"/>
        </w:rPr>
        <w:t>．资金分配按照预算绩效目标分配。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1．项目主要内容：在全区开展妇女婚姻专项工作。                                                                     化解妇女家庭婚姻工作。</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数量指标：全年调解婚姻纠纷家庭矛盾纠纷数；</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质量指标：充分利用社会资源整合的优势，依托社会矛盾纠纷大调解机制网络，将婚姻家庭矛盾纠纷纳入到大调解工作流程，为妇女维权工作的开展提供坚实的社会支柱</w:t>
      </w:r>
      <w:r>
        <w:rPr>
          <w:rFonts w:ascii="仿宋_GB2312" w:eastAsia="仿宋_GB2312"/>
          <w:spacing w:val="-6"/>
          <w:sz w:val="32"/>
          <w:szCs w:val="32"/>
        </w:rPr>
        <w:t>；</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时效指标：2022年</w:t>
      </w:r>
      <w:r>
        <w:rPr>
          <w:rFonts w:ascii="仿宋_GB2312" w:eastAsia="仿宋_GB2312"/>
          <w:spacing w:val="-6"/>
          <w:sz w:val="32"/>
          <w:szCs w:val="32"/>
        </w:rPr>
        <w:t>；</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成本指标：开打造维权站2处，支付志愿者误工补助成本≤1万元；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可持续影响指标：对妇女婚姻矛盾需要、维护妇女基本权益；</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满意度指标：使用方满意度≥95%；</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3．申报的内容为</w:t>
      </w:r>
      <w:r>
        <w:rPr>
          <w:rFonts w:hint="eastAsia" w:ascii="仿宋_GB2312" w:hAnsi="仿宋_GB2312" w:eastAsia="仿宋_GB2312" w:cs="仿宋_GB2312"/>
          <w:kern w:val="0"/>
          <w:sz w:val="32"/>
          <w:szCs w:val="32"/>
          <w:shd w:val="clear" w:color="auto" w:fill="FFFFFF"/>
        </w:rPr>
        <w:t>区妇联</w:t>
      </w:r>
      <w:r>
        <w:rPr>
          <w:rFonts w:hint="eastAsia" w:ascii="仿宋_GB2312" w:hAnsi="仿宋_GB2312" w:eastAsia="仿宋_GB2312" w:cs="仿宋_GB2312"/>
          <w:kern w:val="0"/>
          <w:sz w:val="32"/>
          <w:szCs w:val="32"/>
          <w:shd w:val="clear" w:color="auto" w:fill="FFFFFF"/>
          <w:lang w:val="zh-CN"/>
        </w:rPr>
        <w:t>日常经营运转所必需</w:t>
      </w:r>
      <w:r>
        <w:rPr>
          <w:rFonts w:hint="eastAsia" w:ascii="仿宋_GB2312" w:hAnsi="仿宋_GB2312" w:eastAsia="仿宋_GB2312" w:cs="仿宋_GB2312"/>
          <w:kern w:val="0"/>
          <w:sz w:val="32"/>
          <w:szCs w:val="32"/>
          <w:shd w:val="clear" w:color="auto" w:fill="FFFFFF"/>
        </w:rPr>
        <w:t>项目</w:t>
      </w:r>
      <w:r>
        <w:rPr>
          <w:rFonts w:hint="eastAsia" w:ascii="仿宋_GB2312" w:hAnsi="仿宋_GB2312" w:eastAsia="仿宋_GB2312" w:cs="仿宋_GB2312"/>
          <w:kern w:val="0"/>
          <w:sz w:val="32"/>
          <w:szCs w:val="32"/>
          <w:shd w:val="clear" w:color="auto" w:fill="FFFFFF"/>
          <w:lang w:val="zh-CN"/>
        </w:rPr>
        <w:t>，申报的内容与实际相符，目标合理。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5"/>
        <w:spacing w:before="93"/>
        <w:ind w:firstLine="640" w:firstLineChars="200"/>
        <w:rPr>
          <w:lang w:val="zh-CN"/>
        </w:rPr>
      </w:pPr>
      <w:r>
        <w:rPr>
          <w:rFonts w:hint="eastAsia" w:hAnsi="仿宋_GB2312" w:cs="仿宋_GB2312"/>
          <w:sz w:val="32"/>
          <w:szCs w:val="32"/>
          <w:shd w:val="clear" w:color="auto" w:fill="FFFFFF"/>
          <w:lang w:val="zh-CN"/>
        </w:rPr>
        <w:t>按照《广元市朝天区财政局关于开展2023年部门、政策和项目支出绩效评价工作的通知》（广朝财发〔2023〕19号）文件要求，认真组织开展了202</w:t>
      </w:r>
      <w:r>
        <w:rPr>
          <w:rFonts w:hAnsi="仿宋_GB2312" w:cs="仿宋_GB2312"/>
          <w:sz w:val="32"/>
          <w:szCs w:val="32"/>
          <w:shd w:val="clear" w:color="auto" w:fill="FFFFFF"/>
          <w:lang w:val="zh-CN"/>
        </w:rPr>
        <w:t>2</w:t>
      </w:r>
      <w:r>
        <w:rPr>
          <w:rFonts w:hint="eastAsia" w:hAnsi="仿宋_GB2312" w:cs="仿宋_GB2312"/>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2022年初，审报</w:t>
      </w:r>
      <w:r>
        <w:rPr>
          <w:rFonts w:hint="eastAsia" w:ascii="仿宋_GB2312" w:hAnsi="仿宋_GB2312" w:eastAsia="仿宋_GB2312" w:cs="仿宋_GB2312"/>
          <w:kern w:val="0"/>
          <w:sz w:val="32"/>
          <w:szCs w:val="32"/>
          <w:shd w:val="clear" w:color="auto" w:fill="FFFFFF"/>
        </w:rPr>
        <w:t>区妇联</w:t>
      </w:r>
      <w:r>
        <w:rPr>
          <w:rFonts w:hint="eastAsia" w:ascii="仿宋_GB2312" w:hAnsi="仿宋_GB2312" w:eastAsia="仿宋_GB2312" w:cs="仿宋_GB2312"/>
          <w:kern w:val="0"/>
          <w:sz w:val="32"/>
          <w:szCs w:val="32"/>
          <w:shd w:val="clear" w:color="auto" w:fill="FFFFFF"/>
          <w:lang w:val="zh-CN"/>
        </w:rPr>
        <w:t>妇儿专项经费</w:t>
      </w: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万元，后经区财政局批复妇儿专项经费</w:t>
      </w:r>
      <w:r>
        <w:rPr>
          <w:rFonts w:hint="eastAsia" w:ascii="仿宋_GB2312" w:hAnsi="仿宋_GB2312" w:eastAsia="仿宋_GB2312" w:cs="仿宋_GB2312"/>
          <w:kern w:val="0"/>
          <w:sz w:val="32"/>
          <w:szCs w:val="32"/>
          <w:shd w:val="clear" w:color="auto" w:fill="FFFFFF"/>
        </w:rPr>
        <w:t>0.29</w:t>
      </w:r>
      <w:r>
        <w:rPr>
          <w:rFonts w:hint="eastAsia" w:ascii="仿宋_GB2312" w:hAnsi="仿宋_GB2312" w:eastAsia="仿宋_GB2312" w:cs="仿宋_GB2312"/>
          <w:kern w:val="0"/>
          <w:sz w:val="32"/>
          <w:szCs w:val="32"/>
          <w:shd w:val="clear" w:color="auto" w:fill="FFFFFF"/>
          <w:lang w:val="zh-CN"/>
        </w:rPr>
        <w:t>万元，年末无预算调整。</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1．资金计划。年初预算</w:t>
      </w: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2．资金到位。该资金年初预算</w:t>
      </w: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万元，截至目前到位</w:t>
      </w:r>
      <w:r>
        <w:rPr>
          <w:rFonts w:hint="eastAsia" w:ascii="仿宋_GB2312" w:hAnsi="仿宋_GB2312" w:eastAsia="仿宋_GB2312" w:cs="仿宋_GB2312"/>
          <w:kern w:val="0"/>
          <w:sz w:val="32"/>
          <w:szCs w:val="32"/>
          <w:shd w:val="clear" w:color="auto" w:fill="FFFFFF"/>
        </w:rPr>
        <w:t>0.29</w:t>
      </w:r>
      <w:r>
        <w:rPr>
          <w:rFonts w:hint="eastAsia" w:ascii="仿宋_GB2312" w:hAnsi="仿宋_GB2312" w:eastAsia="仿宋_GB2312" w:cs="仿宋_GB2312"/>
          <w:kern w:val="0"/>
          <w:sz w:val="32"/>
          <w:szCs w:val="32"/>
          <w:shd w:val="clear" w:color="auto" w:fill="FFFFFF"/>
          <w:lang w:val="zh-CN"/>
        </w:rPr>
        <w:t>万元，到位率</w:t>
      </w:r>
      <w:r>
        <w:rPr>
          <w:rFonts w:hint="eastAsia" w:ascii="仿宋_GB2312" w:hAnsi="仿宋_GB2312" w:eastAsia="仿宋_GB2312" w:cs="仿宋_GB2312"/>
          <w:kern w:val="0"/>
          <w:sz w:val="32"/>
          <w:szCs w:val="32"/>
          <w:shd w:val="clear" w:color="auto" w:fill="FFFFFF"/>
        </w:rPr>
        <w:t>0.29</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w:t>
      </w:r>
      <w:r>
        <w:rPr>
          <w:rFonts w:hint="eastAsia" w:ascii="仿宋_GB2312" w:hAnsi="仿宋_GB2312" w:eastAsia="仿宋_GB2312" w:cs="仿宋_GB2312"/>
          <w:kern w:val="0"/>
          <w:sz w:val="32"/>
          <w:szCs w:val="32"/>
          <w:shd w:val="clear" w:color="auto" w:fill="FFFFFF"/>
        </w:rPr>
        <w:t>0.28</w:t>
      </w:r>
      <w:r>
        <w:rPr>
          <w:rFonts w:hint="eastAsia" w:ascii="仿宋_GB2312" w:hAnsi="仿宋_GB2312" w:eastAsia="仿宋_GB2312" w:cs="仿宋_GB2312"/>
          <w:kern w:val="0"/>
          <w:sz w:val="32"/>
          <w:szCs w:val="32"/>
          <w:shd w:val="clear" w:color="auto" w:fill="FFFFFF"/>
          <w:lang w:val="zh-CN"/>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年度部门项目预算</w:t>
      </w:r>
      <w:r>
        <w:rPr>
          <w:rFonts w:hint="eastAsia" w:ascii="仿宋_GB2312" w:hAnsi="仿宋_GB2312" w:eastAsia="仿宋_GB2312" w:cs="仿宋_GB2312"/>
          <w:sz w:val="32"/>
          <w:szCs w:val="32"/>
          <w:shd w:val="clear" w:color="auto" w:fill="FFFFFF"/>
        </w:rPr>
        <w:t>婚姻家庭工作经费</w:t>
      </w:r>
      <w:r>
        <w:rPr>
          <w:rFonts w:hint="eastAsia" w:ascii="仿宋_GB2312" w:hAnsi="仿宋_GB2312" w:eastAsia="仿宋_GB2312" w:cs="仿宋_GB2312"/>
          <w:kern w:val="0"/>
          <w:sz w:val="32"/>
          <w:szCs w:val="32"/>
          <w:shd w:val="clear" w:color="auto" w:fill="FFFFFF"/>
          <w:lang w:val="zh-CN"/>
        </w:rPr>
        <w:t>项目，严格执行预算规定，符合法律法规。</w:t>
      </w:r>
    </w:p>
    <w:p>
      <w:pPr>
        <w:pStyle w:val="27"/>
        <w:numPr>
          <w:ilvl w:val="0"/>
          <w:numId w:val="11"/>
        </w:numPr>
        <w:adjustRightInd w:val="0"/>
        <w:snapToGrid w:val="0"/>
        <w:spacing w:line="578" w:lineRule="exact"/>
        <w:ind w:firstLineChars="0"/>
        <w:rPr>
          <w:rFonts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pStyle w:val="5"/>
        <w:spacing w:before="93"/>
        <w:ind w:firstLine="640" w:firstLineChars="2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数量指标：全年调解婚姻纠纷家庭矛盾纠纷15件；已完成。</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质量指标：充分利用社会资源整合的优势，依托社会矛盾纠纷大调解机制网络，将婚姻家庭矛盾纠纷纳入到大调解工作流程，为妇女维权工作的开展提供坚实的社会支柱</w:t>
      </w:r>
      <w:r>
        <w:rPr>
          <w:rFonts w:ascii="仿宋_GB2312" w:eastAsia="仿宋_GB2312"/>
          <w:spacing w:val="-6"/>
          <w:sz w:val="32"/>
          <w:szCs w:val="32"/>
        </w:rPr>
        <w:t>；</w:t>
      </w:r>
      <w:r>
        <w:rPr>
          <w:rFonts w:hint="eastAsia" w:ascii="仿宋_GB2312" w:eastAsia="仿宋_GB2312"/>
          <w:spacing w:val="-6"/>
          <w:sz w:val="32"/>
          <w:szCs w:val="32"/>
        </w:rPr>
        <w:t>已完成。</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时效指标：2022年</w:t>
      </w:r>
      <w:r>
        <w:rPr>
          <w:rFonts w:ascii="仿宋_GB2312" w:eastAsia="仿宋_GB2312"/>
          <w:spacing w:val="-6"/>
          <w:sz w:val="32"/>
          <w:szCs w:val="32"/>
        </w:rPr>
        <w:t>；</w:t>
      </w:r>
      <w:r>
        <w:rPr>
          <w:rFonts w:hint="eastAsia" w:ascii="仿宋_GB2312" w:eastAsia="仿宋_GB2312"/>
          <w:spacing w:val="-6"/>
          <w:sz w:val="32"/>
          <w:szCs w:val="32"/>
        </w:rPr>
        <w:t>已完成。</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成本指标：打造维权站2处，支付志愿者误工补助成本≤1万元；已完成。</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可持续影响指标：对妇女婚姻矛盾需要、维护妇女基本权益。</w:t>
      </w:r>
    </w:p>
    <w:p>
      <w:pPr>
        <w:pStyle w:val="5"/>
        <w:spacing w:before="93"/>
        <w:ind w:firstLine="640" w:firstLineChars="200"/>
        <w:rPr>
          <w:rFonts w:hAnsi="仿宋_GB2312" w:cs="仿宋_GB2312"/>
          <w:sz w:val="32"/>
          <w:szCs w:val="32"/>
          <w:shd w:val="clear" w:color="auto" w:fill="FFFFFF"/>
        </w:rPr>
      </w:pPr>
      <w:r>
        <w:rPr>
          <w:rFonts w:hint="eastAsia" w:hAnsi="仿宋_GB2312" w:cs="仿宋_GB2312"/>
          <w:sz w:val="32"/>
          <w:szCs w:val="32"/>
          <w:shd w:val="clear" w:color="auto" w:fill="FFFFFF"/>
        </w:rPr>
        <w:t>社会效益指标：对婚姻家庭矛盾行定期排查，及时调解，确保小矛盾不出家门，小纠纷不出村居，力争家庭矛盾得以解决。</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满意度指标：使用方满意度95%</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w:t>
      </w:r>
      <w:r>
        <w:rPr>
          <w:rFonts w:ascii="仿宋_GB2312" w:hAnsi="仿宋_GB2312" w:eastAsia="仿宋_GB2312" w:cs="仿宋_GB2312"/>
          <w:kern w:val="0"/>
          <w:sz w:val="32"/>
          <w:szCs w:val="32"/>
          <w:shd w:val="clear" w:color="auto" w:fill="FFFFFF"/>
          <w:lang w:val="zh-CN"/>
        </w:rPr>
        <w:t>97</w:t>
      </w:r>
      <w:r>
        <w:rPr>
          <w:rFonts w:hint="eastAsia" w:ascii="仿宋_GB2312" w:hAnsi="仿宋_GB2312" w:eastAsia="仿宋_GB2312" w:cs="仿宋_GB2312"/>
          <w:kern w:val="0"/>
          <w:sz w:val="32"/>
          <w:szCs w:val="32"/>
          <w:shd w:val="clear" w:color="auto" w:fill="FFFFFF"/>
          <w:lang w:val="zh-CN"/>
        </w:rPr>
        <w:t>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pStyle w:val="5"/>
        <w:rPr>
          <w:rFonts w:hint="eastAsia" w:ascii="方正小标宋简体" w:hAnsi="方正小标宋简体" w:eastAsia="方正小标宋简体" w:cs="方正小标宋简体"/>
          <w:sz w:val="44"/>
          <w:szCs w:val="44"/>
          <w:lang w:val="en-US" w:eastAsia="zh-CN"/>
        </w:rPr>
      </w:pPr>
    </w:p>
    <w:p>
      <w:pPr>
        <w:pStyle w:val="5"/>
        <w:rPr>
          <w:rFonts w:hint="eastAsia" w:ascii="方正小标宋简体" w:hAnsi="方正小标宋简体" w:eastAsia="方正小标宋简体" w:cs="方正小标宋简体"/>
          <w:sz w:val="44"/>
          <w:szCs w:val="44"/>
          <w:lang w:val="en-US" w:eastAsia="zh-CN"/>
        </w:rPr>
      </w:pPr>
    </w:p>
    <w:p>
      <w:pPr>
        <w:pStyle w:val="5"/>
        <w:rPr>
          <w:rFonts w:hint="eastAsia" w:ascii="方正小标宋简体" w:hAnsi="方正小标宋简体" w:eastAsia="方正小标宋简体" w:cs="方正小标宋简体"/>
          <w:sz w:val="44"/>
          <w:szCs w:val="44"/>
          <w:lang w:val="en-US" w:eastAsia="zh-CN"/>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（三八节等其他节日活动经费）</w:t>
      </w:r>
    </w:p>
    <w:p>
      <w:pPr>
        <w:adjustRightInd w:val="0"/>
        <w:snapToGrid w:val="0"/>
        <w:spacing w:line="578" w:lineRule="exact"/>
        <w:ind w:firstLine="720"/>
        <w:rPr>
          <w:rFonts w:ascii="黑体" w:hAnsi="宋体" w:eastAsia="黑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一、</w:t>
      </w:r>
      <w:r>
        <w:rPr>
          <w:rFonts w:hint="eastAsia" w:ascii="黑体" w:hAnsi="宋体" w:eastAsia="黑体"/>
          <w:color w:val="000000" w:themeColor="text1"/>
          <w:sz w:val="32"/>
          <w:szCs w:val="32"/>
          <w:lang w:val="zh-CN"/>
          <w14:textFill>
            <w14:solidFill>
              <w14:schemeClr w14:val="tx1"/>
            </w14:solidFill>
          </w14:textFill>
        </w:rPr>
        <w:t>项目概况</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．2022年初，审报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三八节等其他节日活动经费</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10</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万元，后经区财政局批复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三八节等其他节日活动经费10</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万元，年末无预算调整。</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．符合资金管理办法等相关规定</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．资金分配按照预算绩效目标分配。</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1．项目主要内容：全年慰问贫困母亲、贫困儿童80名，解决“急难愁盼”问题30个，开展各类慰问活动10场，三八期间评选先进、慰问贫困母亲、贫困儿童等困难群体，印发宣传资料、参观学习等；六一期间走访、慰问儿童；女儿节期间配合市上开展好区内庆祝活动，营造全区关心关注妇女儿童发展的社会良好氛围，推动新时代朝天建设。</w:t>
      </w:r>
    </w:p>
    <w:p>
      <w:pPr>
        <w:autoSpaceDE w:val="0"/>
        <w:spacing w:line="540" w:lineRule="exact"/>
        <w:ind w:firstLine="640" w:firstLineChars="20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2．具体绩效目标：</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数量指标：根据省、市妇联文件要求，聚焦低收入妇女、失业妇女、患病妇女、单亲贫困母亲和留守孤困儿童，常年展开慰问大于50人，协调各方力量，切实解决她们的“急难愁盼”问题大于20个；</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质量指标：全面完成三八任务，提升妇女儿童幸福感</w:t>
      </w:r>
      <w:r>
        <w:rPr>
          <w:rFonts w:ascii="仿宋_GB2312" w:eastAsia="仿宋_GB2312"/>
          <w:color w:val="000000" w:themeColor="text1"/>
          <w:spacing w:val="-6"/>
          <w:sz w:val="32"/>
          <w:szCs w:val="32"/>
          <w14:textFill>
            <w14:solidFill>
              <w14:schemeClr w14:val="tx1"/>
            </w14:solidFill>
          </w14:textFill>
        </w:rPr>
        <w:t>；</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时效指标：2022年</w:t>
      </w:r>
      <w:r>
        <w:rPr>
          <w:rFonts w:ascii="仿宋_GB2312" w:eastAsia="仿宋_GB2312"/>
          <w:color w:val="000000" w:themeColor="text1"/>
          <w:spacing w:val="-6"/>
          <w:sz w:val="32"/>
          <w:szCs w:val="32"/>
          <w14:textFill>
            <w14:solidFill>
              <w14:schemeClr w14:val="tx1"/>
            </w14:solidFill>
          </w14:textFill>
        </w:rPr>
        <w:t>；</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成本指标：开展评先述优等宣传，慰问困难群体，女儿节庆祝活动等成本≤10万元；</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可持续影响指标：对全区带来的影响；</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满意度指标：使用方满意度≥95%；</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3．申报的内容为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日常经营运转所必需</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项目</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，申报的内容与实际相符，目标合理。</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pStyle w:val="5"/>
        <w:spacing w:before="93"/>
        <w:ind w:firstLine="640" w:firstLineChars="200"/>
        <w:rPr>
          <w:color w:val="000000" w:themeColor="text1"/>
          <w:lang w:val="zh-CN"/>
          <w14:textFill>
            <w14:solidFill>
              <w14:schemeClr w14:val="tx1"/>
            </w14:solidFill>
          </w14:textFill>
        </w:rPr>
      </w:pPr>
      <w:r>
        <w:rPr>
          <w:rFonts w:hint="eastAsia" w:hAnsi="仿宋_GB2312" w:cs="仿宋_GB2312"/>
          <w:color w:val="000000" w:themeColor="text1"/>
          <w:sz w:val="32"/>
          <w:szCs w:val="32"/>
          <w:shd w:val="clear" w:color="auto" w:fill="FFFFFF"/>
          <w:lang w:val="zh-CN"/>
          <w14:textFill>
            <w14:solidFill>
              <w14:schemeClr w14:val="tx1"/>
            </w14:solidFill>
          </w14:textFill>
        </w:rPr>
        <w:t>按照《广元市朝天区财政局关于开展2023年部门、政策和项目支出绩效评价工作的通知》（广朝财发〔2023〕19号）文件要求，认真组织开展了202</w:t>
      </w:r>
      <w:r>
        <w:rPr>
          <w:rFonts w:hAnsi="仿宋_GB2312" w:cs="仿宋_GB2312"/>
          <w:color w:val="000000" w:themeColor="text1"/>
          <w:sz w:val="32"/>
          <w:szCs w:val="32"/>
          <w:shd w:val="clear" w:color="auto" w:fill="FFFFFF"/>
          <w:lang w:val="zh-CN"/>
          <w14:textFill>
            <w14:solidFill>
              <w14:schemeClr w14:val="tx1"/>
            </w14:solidFill>
          </w14:textFill>
        </w:rPr>
        <w:t>2</w:t>
      </w:r>
      <w:r>
        <w:rPr>
          <w:rFonts w:hint="eastAsia" w:hAnsi="仿宋_GB2312" w:cs="仿宋_GB2312"/>
          <w:color w:val="000000" w:themeColor="text1"/>
          <w:sz w:val="32"/>
          <w:szCs w:val="32"/>
          <w:shd w:val="clear" w:color="auto" w:fill="FFFFFF"/>
          <w:lang w:val="zh-CN"/>
          <w14:textFill>
            <w14:solidFill>
              <w14:schemeClr w14:val="tx1"/>
            </w14:solidFill>
          </w14:textFill>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2022年初，审报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三八节等其他节日活动经费</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10</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万元，后经区财政局批复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三八节等其他节日活动经费</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10</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万元，年末无预算调整。</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1．资金计划。年初预算</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10</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2．资金到位。该资金年初预算</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10</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万元，截至目前到位</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10</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万元，到位率</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100</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3．资金使用。年度实际支付</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9.79</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w:t>
      </w:r>
      <w:r>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年度部门项目预算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三八节等其他节日活动经费</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项目，严格执行预算规定，符合法律法规。</w:t>
      </w:r>
    </w:p>
    <w:p>
      <w:pPr>
        <w:pStyle w:val="27"/>
        <w:numPr>
          <w:ilvl w:val="0"/>
          <w:numId w:val="11"/>
        </w:numPr>
        <w:adjustRightInd w:val="0"/>
        <w:snapToGrid w:val="0"/>
        <w:spacing w:line="578" w:lineRule="exact"/>
        <w:ind w:firstLineChars="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项目组织架构及实施流程。</w:t>
      </w:r>
    </w:p>
    <w:p>
      <w:pPr>
        <w:pStyle w:val="5"/>
        <w:spacing w:before="93"/>
        <w:ind w:firstLine="640" w:firstLineChars="200"/>
        <w:rPr>
          <w:rFonts w:hAnsi="仿宋_GB2312" w:cs="仿宋_GB2312"/>
          <w:color w:val="000000" w:themeColor="text1"/>
          <w:sz w:val="32"/>
          <w:szCs w:val="32"/>
          <w:shd w:val="clear" w:color="auto" w:fill="FFFFFF"/>
          <w:lang w:val="zh-CN"/>
          <w14:textFill>
            <w14:solidFill>
              <w14:schemeClr w14:val="tx1"/>
            </w14:solidFill>
          </w14:textFill>
        </w:rPr>
      </w:pPr>
      <w:r>
        <w:rPr>
          <w:rFonts w:hint="eastAsia" w:hAnsi="仿宋_GB2312" w:cs="仿宋_GB2312"/>
          <w:color w:val="000000" w:themeColor="text1"/>
          <w:sz w:val="32"/>
          <w:szCs w:val="32"/>
          <w:shd w:val="clear" w:color="auto" w:fill="FFFFFF"/>
          <w:lang w:val="zh-CN"/>
          <w14:textFill>
            <w14:solidFill>
              <w14:schemeClr w14:val="tx1"/>
            </w14:solidFill>
          </w14:textFill>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（二）项目管理情况。</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（三）项目监管情况。</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四、项目绩效情况</w:t>
      </w:r>
      <w:r>
        <w:rPr>
          <w:rFonts w:hint="eastAsia" w:ascii="仿宋_GB2312" w:hAnsi="宋体"/>
          <w:color w:val="000000" w:themeColor="text1"/>
          <w:sz w:val="32"/>
          <w:szCs w:val="32"/>
          <w:lang w:val="zh-CN"/>
          <w14:textFill>
            <w14:solidFill>
              <w14:schemeClr w14:val="tx1"/>
            </w14:solidFill>
          </w14:textFill>
        </w:rPr>
        <w:tab/>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（一）项目完成情况。</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数量指标：根据省、市妇联文件要求，聚焦低收入妇女、失业妇女、患病妇女、单亲贫困母亲和留守孤困儿童，常年展开慰问大于50人，协调各方力量，切实解决她们的“急难愁盼”问题大于20个，已完成。</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质量指标：全面完成三八任务，提升妇女儿童幸福感</w:t>
      </w:r>
      <w:r>
        <w:rPr>
          <w:rFonts w:ascii="仿宋_GB2312" w:eastAsia="仿宋_GB2312"/>
          <w:color w:val="000000" w:themeColor="text1"/>
          <w:spacing w:val="-6"/>
          <w:sz w:val="32"/>
          <w:szCs w:val="32"/>
          <w14:textFill>
            <w14:solidFill>
              <w14:schemeClr w14:val="tx1"/>
            </w14:solidFill>
          </w14:textFill>
        </w:rPr>
        <w:t>；</w:t>
      </w:r>
      <w:r>
        <w:rPr>
          <w:rFonts w:hint="eastAsia" w:ascii="仿宋_GB2312" w:eastAsia="仿宋_GB2312"/>
          <w:color w:val="000000" w:themeColor="text1"/>
          <w:spacing w:val="-6"/>
          <w:sz w:val="32"/>
          <w:szCs w:val="32"/>
          <w14:textFill>
            <w14:solidFill>
              <w14:schemeClr w14:val="tx1"/>
            </w14:solidFill>
          </w14:textFill>
        </w:rPr>
        <w:t>已完成。</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时效指标：2022年</w:t>
      </w:r>
      <w:r>
        <w:rPr>
          <w:rFonts w:ascii="仿宋_GB2312" w:eastAsia="仿宋_GB2312"/>
          <w:color w:val="000000" w:themeColor="text1"/>
          <w:spacing w:val="-6"/>
          <w:sz w:val="32"/>
          <w:szCs w:val="32"/>
          <w14:textFill>
            <w14:solidFill>
              <w14:schemeClr w14:val="tx1"/>
            </w14:solidFill>
          </w14:textFill>
        </w:rPr>
        <w:t>；</w:t>
      </w:r>
      <w:r>
        <w:rPr>
          <w:rFonts w:hint="eastAsia" w:ascii="仿宋_GB2312" w:eastAsia="仿宋_GB2312"/>
          <w:color w:val="000000" w:themeColor="text1"/>
          <w:spacing w:val="-6"/>
          <w:sz w:val="32"/>
          <w:szCs w:val="32"/>
          <w14:textFill>
            <w14:solidFill>
              <w14:schemeClr w14:val="tx1"/>
            </w14:solidFill>
          </w14:textFill>
        </w:rPr>
        <w:t>已完成。</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成本指标：开展评先述优等宣传，慰问困难群体，女儿节庆祝活动等成本≤10万元；已完成。</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可持续影响指标：对全区带来的影响。</w:t>
      </w:r>
    </w:p>
    <w:p>
      <w:pPr>
        <w:widowControl/>
        <w:adjustRightInd w:val="0"/>
        <w:snapToGrid w:val="0"/>
        <w:spacing w:line="578" w:lineRule="exact"/>
        <w:ind w:firstLine="640" w:firstLineChars="200"/>
        <w:contextualSpacing/>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满意度指标：使用方满意度95%</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五、评价结论及建议</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（一）评价结论。</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通过对单位项目自评评分</w:t>
      </w:r>
      <w:r>
        <w:rPr>
          <w:rFonts w:hint="eastAsia" w:ascii="仿宋_GB2312" w:hAnsi="仿宋_GB2312" w:eastAsia="仿宋_GB2312" w:cs="仿宋_GB2312"/>
          <w:kern w:val="0"/>
          <w:sz w:val="32"/>
          <w:szCs w:val="32"/>
          <w:shd w:val="clear" w:color="auto" w:fill="FFFFFF"/>
          <w:lang w:val="zh-CN"/>
        </w:rPr>
        <w:t>，评价结果</w:t>
      </w:r>
      <w:r>
        <w:rPr>
          <w:rFonts w:ascii="仿宋_GB2312" w:hAnsi="仿宋_GB2312" w:eastAsia="仿宋_GB2312" w:cs="仿宋_GB2312"/>
          <w:kern w:val="0"/>
          <w:sz w:val="32"/>
          <w:szCs w:val="32"/>
          <w:shd w:val="clear" w:color="auto" w:fill="FFFFFF"/>
          <w:lang w:val="zh-CN"/>
        </w:rPr>
        <w:t>98</w:t>
      </w:r>
      <w:r>
        <w:rPr>
          <w:rFonts w:hint="eastAsia" w:ascii="仿宋_GB2312" w:hAnsi="仿宋_GB2312" w:eastAsia="仿宋_GB2312" w:cs="仿宋_GB2312"/>
          <w:kern w:val="0"/>
          <w:sz w:val="32"/>
          <w:szCs w:val="32"/>
          <w:shd w:val="clear" w:color="auto" w:fill="FFFFFF"/>
          <w:lang w:val="zh-CN"/>
        </w:rPr>
        <w:t>分。</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无</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ind w:firstLine="640" w:firstLineChars="20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后续将按照财政项目支出绩效管理的要求，建立科学的财政资金效益考评制度体系，不断提高财政资金的利用效率。</w:t>
      </w:r>
    </w:p>
    <w:p>
      <w:pPr>
        <w:spacing w:line="600" w:lineRule="exact"/>
        <w:jc w:val="center"/>
        <w:outlineLvl w:val="0"/>
        <w:rPr>
          <w:rFonts w:ascii="黑体" w:hAnsi="黑体" w:eastAsia="黑体"/>
          <w:color w:val="000000" w:themeColor="text1"/>
          <w:sz w:val="44"/>
          <w:szCs w:val="44"/>
          <w14:textFill>
            <w14:solidFill>
              <w14:schemeClr w14:val="tx1"/>
            </w14:solidFill>
          </w14:textFill>
        </w:rPr>
      </w:pPr>
    </w:p>
    <w:p>
      <w:pPr>
        <w:spacing w:line="600" w:lineRule="exact"/>
        <w:jc w:val="center"/>
        <w:outlineLvl w:val="0"/>
        <w:rPr>
          <w:rFonts w:ascii="黑体" w:hAnsi="黑体" w:eastAsia="黑体"/>
          <w:color w:val="000000" w:themeColor="text1"/>
          <w:sz w:val="44"/>
          <w:szCs w:val="44"/>
          <w14:textFill>
            <w14:solidFill>
              <w14:schemeClr w14:val="tx1"/>
            </w14:solidFill>
          </w14:textFill>
        </w:rPr>
      </w:pPr>
    </w:p>
    <w:p>
      <w:pPr>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（朝天新《两纲》编制工作经费）</w:t>
      </w:r>
    </w:p>
    <w:p>
      <w:pPr>
        <w:adjustRightInd w:val="0"/>
        <w:snapToGrid w:val="0"/>
        <w:spacing w:line="578" w:lineRule="exact"/>
        <w:ind w:firstLine="720"/>
        <w:rPr>
          <w:rFonts w:ascii="黑体" w:hAnsi="宋体" w:eastAsia="黑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一、</w:t>
      </w:r>
      <w:r>
        <w:rPr>
          <w:rFonts w:hint="eastAsia" w:ascii="黑体" w:hAnsi="宋体" w:eastAsia="黑体"/>
          <w:color w:val="000000" w:themeColor="text1"/>
          <w:sz w:val="32"/>
          <w:szCs w:val="32"/>
          <w:lang w:val="zh-CN"/>
          <w14:textFill>
            <w14:solidFill>
              <w14:schemeClr w14:val="tx1"/>
            </w14:solidFill>
          </w14:textFill>
        </w:rPr>
        <w:t>项目概况</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．2022年初，审报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朝天新《两纲》编制工作经费2.2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万元，后经区财政局批复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朝天新《两纲》编制工作经费2.2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万元，年末无预算调整。</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．符合资金管理办法等相关规定</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．资金分配按照预算绩效目标分配。</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1．项目主要内容：满足妇女儿童发展纲要编制工作相关要求；为认真贯彻落实国务院和省、市人民政府关于新一轮（2021-2030）妇女儿童发展纲要编制工作和相关要求。</w:t>
      </w:r>
    </w:p>
    <w:p>
      <w:pPr>
        <w:autoSpaceDE w:val="0"/>
        <w:spacing w:line="540" w:lineRule="exact"/>
        <w:ind w:firstLine="640" w:firstLineChars="20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2．具体绩效目标：</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数量指标：为认真贯彻落实国务院和省、市人民政府关于新一轮（2021-2030）妇女儿童发展纲要编制工作和相关要求；</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质量指标：朝天新“两纲”编制工作经费</w:t>
      </w:r>
      <w:r>
        <w:rPr>
          <w:rFonts w:ascii="仿宋_GB2312" w:eastAsia="仿宋_GB2312"/>
          <w:color w:val="000000" w:themeColor="text1"/>
          <w:spacing w:val="-6"/>
          <w:sz w:val="32"/>
          <w:szCs w:val="32"/>
          <w14:textFill>
            <w14:solidFill>
              <w14:schemeClr w14:val="tx1"/>
            </w14:solidFill>
          </w14:textFill>
        </w:rPr>
        <w:t>；</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时效指标：2022年</w:t>
      </w:r>
      <w:r>
        <w:rPr>
          <w:rFonts w:ascii="仿宋_GB2312" w:eastAsia="仿宋_GB2312"/>
          <w:color w:val="000000" w:themeColor="text1"/>
          <w:spacing w:val="-6"/>
          <w:sz w:val="32"/>
          <w:szCs w:val="32"/>
          <w14:textFill>
            <w14:solidFill>
              <w14:schemeClr w14:val="tx1"/>
            </w14:solidFill>
          </w14:textFill>
        </w:rPr>
        <w:t>；</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成本指标：为认真贯彻落实国务院和省、市人民政府关于新一轮（2021-2030）妇女儿童发展纲要编制工作和相关要求≤2.2万元；</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可持续影响指标：满足妇女儿童发展纲要编制工作相关要求；</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满意度指标：使用方满意度≥95%；</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3．申报的内容为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日常经营运转所必需</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项目</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，申报的内容与实际相符，目标合理。</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pStyle w:val="5"/>
        <w:spacing w:before="93"/>
        <w:ind w:firstLine="640" w:firstLineChars="200"/>
        <w:rPr>
          <w:color w:val="000000" w:themeColor="text1"/>
          <w:lang w:val="zh-CN"/>
          <w14:textFill>
            <w14:solidFill>
              <w14:schemeClr w14:val="tx1"/>
            </w14:solidFill>
          </w14:textFill>
        </w:rPr>
      </w:pPr>
      <w:r>
        <w:rPr>
          <w:rFonts w:hint="eastAsia" w:hAnsi="仿宋_GB2312" w:cs="仿宋_GB2312"/>
          <w:color w:val="000000" w:themeColor="text1"/>
          <w:sz w:val="32"/>
          <w:szCs w:val="32"/>
          <w:shd w:val="clear" w:color="auto" w:fill="FFFFFF"/>
          <w:lang w:val="zh-CN"/>
          <w14:textFill>
            <w14:solidFill>
              <w14:schemeClr w14:val="tx1"/>
            </w14:solidFill>
          </w14:textFill>
        </w:rPr>
        <w:t>按照《广元市朝天区财政局关于开展2023年部门、政策和项目支出绩效评价工作的通知》（广朝财发〔2023〕19号）文件要求，认真组织开展了202</w:t>
      </w:r>
      <w:r>
        <w:rPr>
          <w:rFonts w:hAnsi="仿宋_GB2312" w:cs="仿宋_GB2312"/>
          <w:color w:val="000000" w:themeColor="text1"/>
          <w:sz w:val="32"/>
          <w:szCs w:val="32"/>
          <w:shd w:val="clear" w:color="auto" w:fill="FFFFFF"/>
          <w:lang w:val="zh-CN"/>
          <w14:textFill>
            <w14:solidFill>
              <w14:schemeClr w14:val="tx1"/>
            </w14:solidFill>
          </w14:textFill>
        </w:rPr>
        <w:t>2</w:t>
      </w:r>
      <w:r>
        <w:rPr>
          <w:rFonts w:hint="eastAsia" w:hAnsi="仿宋_GB2312" w:cs="仿宋_GB2312"/>
          <w:color w:val="000000" w:themeColor="text1"/>
          <w:sz w:val="32"/>
          <w:szCs w:val="32"/>
          <w:shd w:val="clear" w:color="auto" w:fill="FFFFFF"/>
          <w:lang w:val="zh-CN"/>
          <w14:textFill>
            <w14:solidFill>
              <w14:schemeClr w14:val="tx1"/>
            </w14:solidFill>
          </w14:textFill>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2022年初，审报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朝天新《两纲》编制工作经费2.2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万元，后经区财政局批复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朝天新《两纲》编制工作经费2.2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万元，年末无预算调整。</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1．资金计划。年初预算</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2．资金到位。该资金年初预算</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万元，截至目前到位</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万元，到位率</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100</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3．资金使用。年度实际支付</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w:t>
      </w:r>
      <w:r>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年度部门项目预算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朝天新《两纲》编制工作经费</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项目，严格执行预算规定，符合法律法规。</w:t>
      </w:r>
    </w:p>
    <w:p>
      <w:pPr>
        <w:pStyle w:val="27"/>
        <w:numPr>
          <w:ilvl w:val="0"/>
          <w:numId w:val="11"/>
        </w:numPr>
        <w:adjustRightInd w:val="0"/>
        <w:snapToGrid w:val="0"/>
        <w:spacing w:line="578" w:lineRule="exact"/>
        <w:ind w:firstLineChars="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项目组织架构及实施流程。</w:t>
      </w:r>
    </w:p>
    <w:p>
      <w:pPr>
        <w:pStyle w:val="5"/>
        <w:spacing w:before="93"/>
        <w:ind w:firstLine="640" w:firstLineChars="200"/>
        <w:rPr>
          <w:rFonts w:hAnsi="仿宋_GB2312" w:cs="仿宋_GB2312"/>
          <w:color w:val="000000" w:themeColor="text1"/>
          <w:sz w:val="32"/>
          <w:szCs w:val="32"/>
          <w:shd w:val="clear" w:color="auto" w:fill="FFFFFF"/>
          <w:lang w:val="zh-CN"/>
          <w14:textFill>
            <w14:solidFill>
              <w14:schemeClr w14:val="tx1"/>
            </w14:solidFill>
          </w14:textFill>
        </w:rPr>
      </w:pPr>
      <w:r>
        <w:rPr>
          <w:rFonts w:hint="eastAsia" w:hAnsi="仿宋_GB2312" w:cs="仿宋_GB2312"/>
          <w:color w:val="000000" w:themeColor="text1"/>
          <w:sz w:val="32"/>
          <w:szCs w:val="32"/>
          <w:shd w:val="clear" w:color="auto" w:fill="FFFFFF"/>
          <w:lang w:val="zh-CN"/>
          <w14:textFill>
            <w14:solidFill>
              <w14:schemeClr w14:val="tx1"/>
            </w14:solidFill>
          </w14:textFill>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（二）项目管理情况。</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（三）项目监管情况。</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四、项目绩效情况</w:t>
      </w:r>
      <w:r>
        <w:rPr>
          <w:rFonts w:hint="eastAsia" w:ascii="仿宋_GB2312" w:hAnsi="宋体"/>
          <w:color w:val="000000" w:themeColor="text1"/>
          <w:sz w:val="32"/>
          <w:szCs w:val="32"/>
          <w:lang w:val="zh-CN"/>
          <w14:textFill>
            <w14:solidFill>
              <w14:schemeClr w14:val="tx1"/>
            </w14:solidFill>
          </w14:textFill>
        </w:rPr>
        <w:tab/>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（一）项目完成情况。</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数量指标：为认真贯彻落实国务院和省、市人民政府关于新一轮（2021-2030）妇女儿童发展纲要编制工作和相关要求，已完成。</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质量指标：朝天新“两纲”编制工作经费</w:t>
      </w:r>
      <w:r>
        <w:rPr>
          <w:rFonts w:ascii="仿宋_GB2312" w:eastAsia="仿宋_GB2312"/>
          <w:color w:val="000000" w:themeColor="text1"/>
          <w:spacing w:val="-6"/>
          <w:sz w:val="32"/>
          <w:szCs w:val="32"/>
          <w14:textFill>
            <w14:solidFill>
              <w14:schemeClr w14:val="tx1"/>
            </w14:solidFill>
          </w14:textFill>
        </w:rPr>
        <w:t>；</w:t>
      </w:r>
      <w:r>
        <w:rPr>
          <w:rFonts w:hint="eastAsia" w:ascii="仿宋_GB2312" w:eastAsia="仿宋_GB2312"/>
          <w:color w:val="000000" w:themeColor="text1"/>
          <w:spacing w:val="-6"/>
          <w:sz w:val="32"/>
          <w:szCs w:val="32"/>
          <w14:textFill>
            <w14:solidFill>
              <w14:schemeClr w14:val="tx1"/>
            </w14:solidFill>
          </w14:textFill>
        </w:rPr>
        <w:t>已完成。</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时效指标：2022年</w:t>
      </w:r>
      <w:r>
        <w:rPr>
          <w:rFonts w:ascii="仿宋_GB2312" w:eastAsia="仿宋_GB2312"/>
          <w:color w:val="000000" w:themeColor="text1"/>
          <w:spacing w:val="-6"/>
          <w:sz w:val="32"/>
          <w:szCs w:val="32"/>
          <w14:textFill>
            <w14:solidFill>
              <w14:schemeClr w14:val="tx1"/>
            </w14:solidFill>
          </w14:textFill>
        </w:rPr>
        <w:t>；</w:t>
      </w:r>
      <w:r>
        <w:rPr>
          <w:rFonts w:hint="eastAsia" w:ascii="仿宋_GB2312" w:eastAsia="仿宋_GB2312"/>
          <w:color w:val="000000" w:themeColor="text1"/>
          <w:spacing w:val="-6"/>
          <w:sz w:val="32"/>
          <w:szCs w:val="32"/>
          <w14:textFill>
            <w14:solidFill>
              <w14:schemeClr w14:val="tx1"/>
            </w14:solidFill>
          </w14:textFill>
        </w:rPr>
        <w:t>已完成。</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成本指标：按照市人民政府关于新一轮（2021-2030）妇女儿童发展纲要编制工作和相关要求≤2.2万元；已完成。</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可持续影响指标：满足妇女儿童发展纲要编制工作相关要求。</w:t>
      </w:r>
    </w:p>
    <w:p>
      <w:pPr>
        <w:widowControl/>
        <w:adjustRightInd w:val="0"/>
        <w:snapToGrid w:val="0"/>
        <w:spacing w:line="578" w:lineRule="exact"/>
        <w:ind w:firstLine="640" w:firstLineChars="200"/>
        <w:contextualSpacing/>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满意度指标：使用方满意度95%</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五、评价结论及建议</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（一）评价结论。</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通过对单位项目自评评分，评价结果100分。</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无</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ind w:firstLine="640" w:firstLineChars="20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后续将按照财政项目支出绩效管理的要求，建立科学的财政资金效益考评制度体系，不断提高财政资金的利用效率。</w:t>
      </w:r>
    </w:p>
    <w:p>
      <w:pPr>
        <w:pStyle w:val="5"/>
        <w:spacing w:before="93"/>
        <w:rPr>
          <w:rFonts w:ascii="黑体" w:hAnsi="黑体" w:eastAsia="黑体"/>
          <w:color w:val="000000" w:themeColor="text1"/>
          <w:sz w:val="44"/>
          <w:szCs w:val="44"/>
          <w14:textFill>
            <w14:solidFill>
              <w14:schemeClr w14:val="tx1"/>
            </w14:solidFill>
          </w14:textFill>
        </w:rPr>
      </w:pPr>
    </w:p>
    <w:p>
      <w:pPr>
        <w:pStyle w:val="5"/>
        <w:rPr>
          <w:rFonts w:hint="eastAsia" w:ascii="方正小标宋简体" w:hAnsi="方正小标宋简体" w:eastAsia="方正小标宋简体" w:cs="方正小标宋简体"/>
          <w:sz w:val="44"/>
          <w:szCs w:val="44"/>
          <w:lang w:val="en-US" w:eastAsia="zh-CN"/>
        </w:rPr>
      </w:pPr>
    </w:p>
    <w:p>
      <w:pPr>
        <w:pStyle w:val="5"/>
        <w:rPr>
          <w:rFonts w:hint="eastAsia" w:ascii="方正小标宋简体" w:hAnsi="方正小标宋简体" w:eastAsia="方正小标宋简体" w:cs="方正小标宋简体"/>
          <w:sz w:val="44"/>
          <w:szCs w:val="44"/>
          <w:lang w:val="en-US" w:eastAsia="zh-CN"/>
        </w:rPr>
      </w:pPr>
    </w:p>
    <w:p>
      <w:pPr>
        <w:pStyle w:val="5"/>
        <w:rPr>
          <w:rFonts w:hint="eastAsia" w:ascii="方正小标宋简体" w:hAnsi="方正小标宋简体" w:eastAsia="方正小标宋简体" w:cs="方正小标宋简体"/>
          <w:sz w:val="44"/>
          <w:szCs w:val="44"/>
          <w:lang w:val="en-US" w:eastAsia="zh-CN"/>
        </w:rPr>
      </w:pPr>
    </w:p>
    <w:p>
      <w:pPr>
        <w:pStyle w:val="34"/>
        <w:spacing w:line="578" w:lineRule="exact"/>
        <w:jc w:val="both"/>
        <w:rPr>
          <w:rFonts w:hint="eastAsia" w:ascii="方正小标宋简体" w:hAnsi="方正小标宋简体" w:eastAsia="方正小标宋简体" w:cs="方正小标宋简体"/>
          <w:color w:val="000000" w:themeColor="text1"/>
          <w:kern w:val="2"/>
          <w:sz w:val="32"/>
          <w:szCs w:val="32"/>
          <w:lang w:val="en-US"/>
          <w14:textFill>
            <w14:solidFill>
              <w14:schemeClr w14:val="tx1"/>
            </w14:solidFill>
          </w14:textFill>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（“乡村振兴巾帼行动”现场会）</w:t>
      </w:r>
    </w:p>
    <w:p>
      <w:pPr>
        <w:adjustRightInd w:val="0"/>
        <w:snapToGrid w:val="0"/>
        <w:spacing w:line="578" w:lineRule="exact"/>
        <w:ind w:firstLine="720"/>
        <w:rPr>
          <w:rFonts w:ascii="黑体" w:hAnsi="宋体" w:eastAsia="黑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一、</w:t>
      </w:r>
      <w:r>
        <w:rPr>
          <w:rFonts w:hint="eastAsia" w:ascii="黑体" w:hAnsi="宋体" w:eastAsia="黑体"/>
          <w:color w:val="000000" w:themeColor="text1"/>
          <w:sz w:val="32"/>
          <w:szCs w:val="32"/>
          <w:lang w:val="zh-CN"/>
          <w14:textFill>
            <w14:solidFill>
              <w14:schemeClr w14:val="tx1"/>
            </w14:solidFill>
          </w14:textFill>
        </w:rPr>
        <w:t>项目概况</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．2022年</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末</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，审报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“乡村振兴巾帼行动”现场会3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万元，后经区财政局批复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“乡村振兴巾帼行动”现场会3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万元，年末无预算调整。</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．符合资金管理办法等相关规定</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．资金分配按照预算绩效目标分配。</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1．项目主要内容：广元市委同意全省“乡村振兴巾帼行动”现场会在我区召开。</w:t>
      </w:r>
    </w:p>
    <w:p>
      <w:pPr>
        <w:autoSpaceDE w:val="0"/>
        <w:spacing w:line="540" w:lineRule="exact"/>
        <w:ind w:firstLine="640" w:firstLineChars="20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2．具体绩效目标：</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数量指标：</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广元市委同意全省“乡村振兴巾帼行动”现场会在我区召开</w:t>
      </w:r>
      <w:r>
        <w:rPr>
          <w:rFonts w:hint="eastAsia" w:ascii="仿宋_GB2312" w:eastAsia="仿宋_GB2312"/>
          <w:color w:val="000000" w:themeColor="text1"/>
          <w:spacing w:val="-6"/>
          <w:sz w:val="32"/>
          <w:szCs w:val="32"/>
          <w14:textFill>
            <w14:solidFill>
              <w14:schemeClr w14:val="tx1"/>
            </w14:solidFill>
          </w14:textFill>
        </w:rPr>
        <w:t>；</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质量指标：全省现场会活动</w:t>
      </w:r>
      <w:r>
        <w:rPr>
          <w:rFonts w:ascii="仿宋_GB2312" w:eastAsia="仿宋_GB2312"/>
          <w:color w:val="000000" w:themeColor="text1"/>
          <w:spacing w:val="-6"/>
          <w:sz w:val="32"/>
          <w:szCs w:val="32"/>
          <w14:textFill>
            <w14:solidFill>
              <w14:schemeClr w14:val="tx1"/>
            </w14:solidFill>
          </w14:textFill>
        </w:rPr>
        <w:t>；</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时效指标：2022年</w:t>
      </w:r>
      <w:r>
        <w:rPr>
          <w:rFonts w:ascii="仿宋_GB2312" w:eastAsia="仿宋_GB2312"/>
          <w:color w:val="000000" w:themeColor="text1"/>
          <w:spacing w:val="-6"/>
          <w:sz w:val="32"/>
          <w:szCs w:val="32"/>
          <w14:textFill>
            <w14:solidFill>
              <w14:schemeClr w14:val="tx1"/>
            </w14:solidFill>
          </w14:textFill>
        </w:rPr>
        <w:t>；</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成本指标：广元市委同意全省“乡村振兴巾帼行动”现场会在我区召开。≤3万元；</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可持续影响指标：鼓励妇女参与乡村振兴建功新时代</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社会效益指标：引导妇女参与乡村振兴</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满意度指标：使用方满意度≥95%；</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3．申报的内容为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日常经营运转所必需</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项目</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，申报的内容与实际相符，目标合理。</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pStyle w:val="5"/>
        <w:spacing w:before="93"/>
        <w:ind w:firstLine="640" w:firstLineChars="200"/>
        <w:rPr>
          <w:color w:val="000000" w:themeColor="text1"/>
          <w:lang w:val="zh-CN"/>
          <w14:textFill>
            <w14:solidFill>
              <w14:schemeClr w14:val="tx1"/>
            </w14:solidFill>
          </w14:textFill>
        </w:rPr>
      </w:pPr>
      <w:r>
        <w:rPr>
          <w:rFonts w:hint="eastAsia" w:hAnsi="仿宋_GB2312" w:cs="仿宋_GB2312"/>
          <w:color w:val="000000" w:themeColor="text1"/>
          <w:sz w:val="32"/>
          <w:szCs w:val="32"/>
          <w:shd w:val="clear" w:color="auto" w:fill="FFFFFF"/>
          <w:lang w:val="zh-CN"/>
          <w14:textFill>
            <w14:solidFill>
              <w14:schemeClr w14:val="tx1"/>
            </w14:solidFill>
          </w14:textFill>
        </w:rPr>
        <w:t>按照《广元市朝天区财政局关于开展2023年部门、政策和项目支出绩效评价工作的通知》（广朝财发〔2023〕19号）文件要求，认真组织开展了202</w:t>
      </w:r>
      <w:r>
        <w:rPr>
          <w:rFonts w:hAnsi="仿宋_GB2312" w:cs="仿宋_GB2312"/>
          <w:color w:val="000000" w:themeColor="text1"/>
          <w:sz w:val="32"/>
          <w:szCs w:val="32"/>
          <w:shd w:val="clear" w:color="auto" w:fill="FFFFFF"/>
          <w:lang w:val="zh-CN"/>
          <w14:textFill>
            <w14:solidFill>
              <w14:schemeClr w14:val="tx1"/>
            </w14:solidFill>
          </w14:textFill>
        </w:rPr>
        <w:t>2</w:t>
      </w:r>
      <w:r>
        <w:rPr>
          <w:rFonts w:hint="eastAsia" w:hAnsi="仿宋_GB2312" w:cs="仿宋_GB2312"/>
          <w:color w:val="000000" w:themeColor="text1"/>
          <w:sz w:val="32"/>
          <w:szCs w:val="32"/>
          <w:shd w:val="clear" w:color="auto" w:fill="FFFFFF"/>
          <w:lang w:val="zh-CN"/>
          <w14:textFill>
            <w14:solidFill>
              <w14:schemeClr w14:val="tx1"/>
            </w14:solidFill>
          </w14:textFill>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2022年</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末</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，审报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“乡村振兴巾帼行动”现场会3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万元，后经区财政局批复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“乡村振兴巾帼行动”现场会3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万元，年末无预算调整。。</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1．资金计划。年初预算</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2．资金到位。该资金年初预算</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万元，截至目前到位</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万元，到位率</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100</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3．资金使用。年度实际支付</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w:t>
      </w:r>
      <w:r>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年度部门项目预算</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“乡村振兴巾帼行动”现场会</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，严格执行预算规定，符合法律法规。</w:t>
      </w:r>
    </w:p>
    <w:p>
      <w:pPr>
        <w:pStyle w:val="27"/>
        <w:numPr>
          <w:ilvl w:val="0"/>
          <w:numId w:val="11"/>
        </w:numPr>
        <w:adjustRightInd w:val="0"/>
        <w:snapToGrid w:val="0"/>
        <w:spacing w:line="578" w:lineRule="exact"/>
        <w:ind w:firstLineChars="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项目组织架构及实施流程。</w:t>
      </w:r>
    </w:p>
    <w:p>
      <w:pPr>
        <w:pStyle w:val="5"/>
        <w:spacing w:before="93"/>
        <w:ind w:firstLine="640" w:firstLineChars="200"/>
        <w:rPr>
          <w:rFonts w:hAnsi="仿宋_GB2312" w:cs="仿宋_GB2312"/>
          <w:color w:val="000000" w:themeColor="text1"/>
          <w:sz w:val="32"/>
          <w:szCs w:val="32"/>
          <w:shd w:val="clear" w:color="auto" w:fill="FFFFFF"/>
          <w:lang w:val="zh-CN"/>
          <w14:textFill>
            <w14:solidFill>
              <w14:schemeClr w14:val="tx1"/>
            </w14:solidFill>
          </w14:textFill>
        </w:rPr>
      </w:pPr>
      <w:r>
        <w:rPr>
          <w:rFonts w:hint="eastAsia" w:hAnsi="仿宋_GB2312" w:cs="仿宋_GB2312"/>
          <w:color w:val="000000" w:themeColor="text1"/>
          <w:sz w:val="32"/>
          <w:szCs w:val="32"/>
          <w:shd w:val="clear" w:color="auto" w:fill="FFFFFF"/>
          <w:lang w:val="zh-CN"/>
          <w14:textFill>
            <w14:solidFill>
              <w14:schemeClr w14:val="tx1"/>
            </w14:solidFill>
          </w14:textFill>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（二）项目管理情况。</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（三）项目监管情况。</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四、项目绩效情况</w:t>
      </w:r>
      <w:r>
        <w:rPr>
          <w:rFonts w:hint="eastAsia" w:ascii="仿宋_GB2312" w:hAnsi="宋体"/>
          <w:color w:val="000000" w:themeColor="text1"/>
          <w:sz w:val="32"/>
          <w:szCs w:val="32"/>
          <w:lang w:val="zh-CN"/>
          <w14:textFill>
            <w14:solidFill>
              <w14:schemeClr w14:val="tx1"/>
            </w14:solidFill>
          </w14:textFill>
        </w:rPr>
        <w:tab/>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（一）项目完成情况。</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数量指标：为认真贯彻落实国务院和省、市人民政府关于新一轮（2021-2030）妇女儿童发展纲要编制工作和相关要求。</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质量指标全省现场会活动。</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时效指标：2022年</w:t>
      </w:r>
      <w:r>
        <w:rPr>
          <w:rFonts w:ascii="仿宋_GB2312" w:eastAsia="仿宋_GB2312"/>
          <w:color w:val="000000" w:themeColor="text1"/>
          <w:spacing w:val="-6"/>
          <w:sz w:val="32"/>
          <w:szCs w:val="32"/>
          <w14:textFill>
            <w14:solidFill>
              <w14:schemeClr w14:val="tx1"/>
            </w14:solidFill>
          </w14:textFill>
        </w:rPr>
        <w:t>；</w:t>
      </w:r>
      <w:r>
        <w:rPr>
          <w:rFonts w:hint="eastAsia" w:ascii="仿宋_GB2312" w:eastAsia="仿宋_GB2312"/>
          <w:color w:val="000000" w:themeColor="text1"/>
          <w:spacing w:val="-6"/>
          <w:sz w:val="32"/>
          <w:szCs w:val="32"/>
          <w14:textFill>
            <w14:solidFill>
              <w14:schemeClr w14:val="tx1"/>
            </w14:solidFill>
          </w14:textFill>
        </w:rPr>
        <w:t>已完成。</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成本指标：广元市委同意全省“乡村振兴巾帼行动”现场会在我区召开。≤3万元；已完成。</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可持续影响指标：鼓励妇女参与乡村振兴建功新时代。</w:t>
      </w:r>
    </w:p>
    <w:p>
      <w:pPr>
        <w:widowControl/>
        <w:adjustRightInd w:val="0"/>
        <w:snapToGrid w:val="0"/>
        <w:spacing w:line="578" w:lineRule="exact"/>
        <w:ind w:firstLine="640" w:firstLineChars="200"/>
        <w:contextualSpacing/>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社会效益指标：引导妇女参与乡村振兴。</w:t>
      </w:r>
    </w:p>
    <w:p>
      <w:pPr>
        <w:widowControl/>
        <w:adjustRightInd w:val="0"/>
        <w:snapToGrid w:val="0"/>
        <w:spacing w:line="578" w:lineRule="exact"/>
        <w:ind w:firstLine="640" w:firstLineChars="200"/>
        <w:contextualSpacing/>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满意度指标：使用方满意度95%</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五、评价结论及建议</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（一）评价结论。</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通过对单位项目自评评分，评价结果100分。</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无</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ind w:firstLine="640" w:firstLineChars="20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后续将按照财政项目支出绩效管理的要求，建立科学的财政资金效益考评制度体系，不断提高财政资金的利用效率。</w:t>
      </w: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5"/>
        <w:spacing w:before="93"/>
        <w:rPr>
          <w:rFonts w:ascii="黑体" w:hAnsi="黑体" w:eastAsia="黑体"/>
          <w:color w:val="000000" w:themeColor="text1"/>
          <w:sz w:val="44"/>
          <w:szCs w:val="44"/>
          <w14:textFill>
            <w14:solidFill>
              <w14:schemeClr w14:val="tx1"/>
            </w14:solidFill>
          </w14:textFill>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（“两癌”救助专项资金）</w:t>
      </w:r>
    </w:p>
    <w:p>
      <w:pPr>
        <w:adjustRightInd w:val="0"/>
        <w:snapToGrid w:val="0"/>
        <w:spacing w:line="578" w:lineRule="exact"/>
        <w:ind w:firstLine="720"/>
        <w:rPr>
          <w:rFonts w:ascii="黑体" w:hAnsi="宋体" w:eastAsia="黑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一、</w:t>
      </w:r>
      <w:r>
        <w:rPr>
          <w:rFonts w:hint="eastAsia" w:ascii="黑体" w:hAnsi="宋体" w:eastAsia="黑体"/>
          <w:color w:val="000000" w:themeColor="text1"/>
          <w:sz w:val="32"/>
          <w:szCs w:val="32"/>
          <w:lang w:val="zh-CN"/>
          <w14:textFill>
            <w14:solidFill>
              <w14:schemeClr w14:val="tx1"/>
            </w14:solidFill>
          </w14:textFill>
        </w:rPr>
        <w:t>项目概况</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．2022年，审报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“两癌”救助专项资金1</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万元，后经区财政局批复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“两癌”救助专项资1</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万元，年末无预算调整。</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．符合资金管理办法等相关规定</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．资金分配按照预算绩效目标分配。</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1．项目主要内容：</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按文件要求执行；</w:t>
      </w:r>
    </w:p>
    <w:p>
      <w:pPr>
        <w:autoSpaceDE w:val="0"/>
        <w:spacing w:line="540" w:lineRule="exact"/>
        <w:ind w:firstLine="640" w:firstLineChars="20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2．具体绩效目标：</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数量指标：</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符合条件救助人数</w:t>
      </w:r>
      <w:r>
        <w:rPr>
          <w:rFonts w:hint="eastAsia" w:ascii="仿宋_GB2312" w:eastAsia="仿宋_GB2312"/>
          <w:color w:val="000000" w:themeColor="text1"/>
          <w:spacing w:val="-6"/>
          <w:sz w:val="32"/>
          <w:szCs w:val="32"/>
          <w14:textFill>
            <w14:solidFill>
              <w14:schemeClr w14:val="tx1"/>
            </w14:solidFill>
          </w14:textFill>
        </w:rPr>
        <w:t>；</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质量指标：按标准救助</w:t>
      </w:r>
      <w:r>
        <w:rPr>
          <w:rFonts w:ascii="仿宋_GB2312" w:eastAsia="仿宋_GB2312"/>
          <w:color w:val="000000" w:themeColor="text1"/>
          <w:spacing w:val="-6"/>
          <w:sz w:val="32"/>
          <w:szCs w:val="32"/>
          <w14:textFill>
            <w14:solidFill>
              <w14:schemeClr w14:val="tx1"/>
            </w14:solidFill>
          </w14:textFill>
        </w:rPr>
        <w:t>；</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时效指标：2022年</w:t>
      </w:r>
      <w:r>
        <w:rPr>
          <w:rFonts w:ascii="仿宋_GB2312" w:eastAsia="仿宋_GB2312"/>
          <w:color w:val="000000" w:themeColor="text1"/>
          <w:spacing w:val="-6"/>
          <w:sz w:val="32"/>
          <w:szCs w:val="32"/>
          <w14:textFill>
            <w14:solidFill>
              <w14:schemeClr w14:val="tx1"/>
            </w14:solidFill>
          </w14:textFill>
        </w:rPr>
        <w:t>；</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成本指标：完成“两癌”项目工作1万元；</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社会效益指标：减轻农村贫困“两癌”患病妇女负担；</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满意度指标：使用方满意度≥95%；</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3．申报的内容为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日常经营运转所必需</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项目</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，申报的内容与实际相符，目标合理。</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pStyle w:val="5"/>
        <w:spacing w:before="93"/>
        <w:ind w:firstLine="640" w:firstLineChars="200"/>
        <w:rPr>
          <w:color w:val="000000" w:themeColor="text1"/>
          <w:lang w:val="zh-CN"/>
          <w14:textFill>
            <w14:solidFill>
              <w14:schemeClr w14:val="tx1"/>
            </w14:solidFill>
          </w14:textFill>
        </w:rPr>
      </w:pPr>
      <w:r>
        <w:rPr>
          <w:rFonts w:hint="eastAsia" w:hAnsi="仿宋_GB2312" w:cs="仿宋_GB2312"/>
          <w:color w:val="000000" w:themeColor="text1"/>
          <w:sz w:val="32"/>
          <w:szCs w:val="32"/>
          <w:shd w:val="clear" w:color="auto" w:fill="FFFFFF"/>
          <w:lang w:val="zh-CN"/>
          <w14:textFill>
            <w14:solidFill>
              <w14:schemeClr w14:val="tx1"/>
            </w14:solidFill>
          </w14:textFill>
        </w:rPr>
        <w:t>按照《广元市朝天区财政局关于开展2023年部门、政策和项目支出绩效评价工作的通知》（广朝财发〔2023〕19号）文件要求，认真组织开展了202</w:t>
      </w:r>
      <w:r>
        <w:rPr>
          <w:rFonts w:hAnsi="仿宋_GB2312" w:cs="仿宋_GB2312"/>
          <w:color w:val="000000" w:themeColor="text1"/>
          <w:sz w:val="32"/>
          <w:szCs w:val="32"/>
          <w:shd w:val="clear" w:color="auto" w:fill="FFFFFF"/>
          <w:lang w:val="zh-CN"/>
          <w14:textFill>
            <w14:solidFill>
              <w14:schemeClr w14:val="tx1"/>
            </w14:solidFill>
          </w14:textFill>
        </w:rPr>
        <w:t>2</w:t>
      </w:r>
      <w:r>
        <w:rPr>
          <w:rFonts w:hint="eastAsia" w:hAnsi="仿宋_GB2312" w:cs="仿宋_GB2312"/>
          <w:color w:val="000000" w:themeColor="text1"/>
          <w:sz w:val="32"/>
          <w:szCs w:val="32"/>
          <w:shd w:val="clear" w:color="auto" w:fill="FFFFFF"/>
          <w:lang w:val="zh-CN"/>
          <w14:textFill>
            <w14:solidFill>
              <w14:schemeClr w14:val="tx1"/>
            </w14:solidFill>
          </w14:textFill>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2022年，审报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省级贫困妇女“两癌”救助专项资金1</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万元，后经区财政局批复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省级贫困妇女“两癌”救助专项资金1</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万元，年末无预算调整。。</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1．资金计划。年初预算</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2．资金到位。该资金年初预算</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万元，截至目前到位</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万元，到位率</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100</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3．资金使用。年度实际支付</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w:t>
      </w:r>
      <w:r>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年度部门项目预算</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省级贫困妇女“两癌”救助专项资金</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，严格执行预算规定，符合法律法规。</w:t>
      </w:r>
    </w:p>
    <w:p>
      <w:pPr>
        <w:pStyle w:val="27"/>
        <w:numPr>
          <w:ilvl w:val="0"/>
          <w:numId w:val="11"/>
        </w:numPr>
        <w:adjustRightInd w:val="0"/>
        <w:snapToGrid w:val="0"/>
        <w:spacing w:line="578" w:lineRule="exact"/>
        <w:ind w:firstLineChars="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项目组织架构及实施流程。</w:t>
      </w:r>
    </w:p>
    <w:p>
      <w:pPr>
        <w:pStyle w:val="5"/>
        <w:spacing w:before="93"/>
        <w:ind w:firstLine="640" w:firstLineChars="200"/>
        <w:rPr>
          <w:rFonts w:hAnsi="仿宋_GB2312" w:cs="仿宋_GB2312"/>
          <w:color w:val="000000" w:themeColor="text1"/>
          <w:sz w:val="32"/>
          <w:szCs w:val="32"/>
          <w:shd w:val="clear" w:color="auto" w:fill="FFFFFF"/>
          <w:lang w:val="zh-CN"/>
          <w14:textFill>
            <w14:solidFill>
              <w14:schemeClr w14:val="tx1"/>
            </w14:solidFill>
          </w14:textFill>
        </w:rPr>
      </w:pPr>
      <w:r>
        <w:rPr>
          <w:rFonts w:hint="eastAsia" w:hAnsi="仿宋_GB2312" w:cs="仿宋_GB2312"/>
          <w:color w:val="000000" w:themeColor="text1"/>
          <w:sz w:val="32"/>
          <w:szCs w:val="32"/>
          <w:shd w:val="clear" w:color="auto" w:fill="FFFFFF"/>
          <w:lang w:val="zh-CN"/>
          <w14:textFill>
            <w14:solidFill>
              <w14:schemeClr w14:val="tx1"/>
            </w14:solidFill>
          </w14:textFill>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（二）项目管理情况。</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（三）项目监管情况。</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四、项目绩效情况</w:t>
      </w:r>
      <w:r>
        <w:rPr>
          <w:rFonts w:hint="eastAsia" w:ascii="仿宋_GB2312" w:hAnsi="宋体"/>
          <w:color w:val="000000" w:themeColor="text1"/>
          <w:sz w:val="32"/>
          <w:szCs w:val="32"/>
          <w:lang w:val="zh-CN"/>
          <w14:textFill>
            <w14:solidFill>
              <w14:schemeClr w14:val="tx1"/>
            </w14:solidFill>
          </w14:textFill>
        </w:rPr>
        <w:tab/>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（一）项目完成情况。</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数量指标：符合条件救助人数；已完成。</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质量指标：按标准救助</w:t>
      </w:r>
      <w:r>
        <w:rPr>
          <w:rFonts w:ascii="仿宋_GB2312" w:eastAsia="仿宋_GB2312"/>
          <w:color w:val="000000" w:themeColor="text1"/>
          <w:spacing w:val="-6"/>
          <w:sz w:val="32"/>
          <w:szCs w:val="32"/>
          <w14:textFill>
            <w14:solidFill>
              <w14:schemeClr w14:val="tx1"/>
            </w14:solidFill>
          </w14:textFill>
        </w:rPr>
        <w:t>；</w:t>
      </w:r>
      <w:r>
        <w:rPr>
          <w:rFonts w:hint="eastAsia" w:ascii="仿宋_GB2312" w:eastAsia="仿宋_GB2312"/>
          <w:color w:val="000000" w:themeColor="text1"/>
          <w:spacing w:val="-6"/>
          <w:sz w:val="32"/>
          <w:szCs w:val="32"/>
          <w14:textFill>
            <w14:solidFill>
              <w14:schemeClr w14:val="tx1"/>
            </w14:solidFill>
          </w14:textFill>
        </w:rPr>
        <w:t>已完成。</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时效指标：2022年</w:t>
      </w:r>
      <w:r>
        <w:rPr>
          <w:rFonts w:ascii="仿宋_GB2312" w:eastAsia="仿宋_GB2312"/>
          <w:color w:val="000000" w:themeColor="text1"/>
          <w:spacing w:val="-6"/>
          <w:sz w:val="32"/>
          <w:szCs w:val="32"/>
          <w14:textFill>
            <w14:solidFill>
              <w14:schemeClr w14:val="tx1"/>
            </w14:solidFill>
          </w14:textFill>
        </w:rPr>
        <w:t>；</w:t>
      </w:r>
      <w:r>
        <w:rPr>
          <w:rFonts w:hint="eastAsia" w:ascii="仿宋_GB2312" w:eastAsia="仿宋_GB2312"/>
          <w:color w:val="000000" w:themeColor="text1"/>
          <w:spacing w:val="-6"/>
          <w:sz w:val="32"/>
          <w:szCs w:val="32"/>
          <w14:textFill>
            <w14:solidFill>
              <w14:schemeClr w14:val="tx1"/>
            </w14:solidFill>
          </w14:textFill>
        </w:rPr>
        <w:t>已完成。</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成本指标：完成“两癌”项目工作1万元；已完成。</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可持续影响指标：满足妇女儿童发展纲要编制工作相关要求。</w:t>
      </w:r>
    </w:p>
    <w:p>
      <w:pPr>
        <w:widowControl/>
        <w:adjustRightInd w:val="0"/>
        <w:snapToGrid w:val="0"/>
        <w:spacing w:line="578" w:lineRule="exact"/>
        <w:ind w:firstLine="640" w:firstLineChars="200"/>
        <w:contextualSpacing/>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满意度指标：使用方满意度95%</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五、评价结论及建议</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（一）评价结论。</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通过对单位项目自评评分，评价结果100分。</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无</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pStyle w:val="5"/>
        <w:spacing w:before="93"/>
        <w:rPr>
          <w:rFonts w:hAnsi="仿宋_GB2312" w:cs="仿宋_GB2312"/>
          <w:color w:val="000000" w:themeColor="text1"/>
          <w:sz w:val="32"/>
          <w:szCs w:val="32"/>
          <w:shd w:val="clear" w:color="auto" w:fill="FFFFFF"/>
          <w14:textFill>
            <w14:solidFill>
              <w14:schemeClr w14:val="tx1"/>
            </w14:solidFill>
          </w14:textFill>
        </w:rPr>
      </w:pPr>
      <w:r>
        <w:rPr>
          <w:rFonts w:hint="eastAsia" w:hAnsi="仿宋_GB2312" w:cs="仿宋_GB2312"/>
          <w:color w:val="000000" w:themeColor="text1"/>
          <w:sz w:val="32"/>
          <w:szCs w:val="32"/>
          <w:shd w:val="clear" w:color="auto" w:fill="FFFFFF"/>
          <w:lang w:val="zh-CN"/>
          <w14:textFill>
            <w14:solidFill>
              <w14:schemeClr w14:val="tx1"/>
            </w14:solidFill>
          </w14:textFill>
        </w:rPr>
        <w:t>后续将按照财政项目支出绩效管理的要求，建立科学的财政资金效益考评制度体系，不断提高财政资金的利用效</w:t>
      </w:r>
      <w:r>
        <w:rPr>
          <w:rFonts w:hint="eastAsia" w:hAnsi="仿宋_GB2312" w:cs="仿宋_GB2312"/>
          <w:color w:val="000000" w:themeColor="text1"/>
          <w:sz w:val="32"/>
          <w:szCs w:val="32"/>
          <w:shd w:val="clear" w:color="auto" w:fill="FFFFFF"/>
          <w14:textFill>
            <w14:solidFill>
              <w14:schemeClr w14:val="tx1"/>
            </w14:solidFill>
          </w14:textFill>
        </w:rPr>
        <w:t>率。</w:t>
      </w: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rPr>
          <w:rFonts w:hint="eastAsia" w:ascii="方正小标宋简体" w:hAnsi="方正小标宋简体" w:eastAsia="方正小标宋简体" w:cs="方正小标宋简体"/>
          <w:sz w:val="44"/>
          <w:szCs w:val="44"/>
          <w:lang w:val="en-US" w:eastAsia="zh-CN"/>
        </w:rPr>
      </w:pPr>
    </w:p>
    <w:p>
      <w:pPr>
        <w:pStyle w:val="34"/>
        <w:spacing w:line="578" w:lineRule="exact"/>
        <w:jc w:val="center"/>
        <w:rPr>
          <w:rFonts w:hint="eastAsia" w:ascii="方正小标宋简体" w:hAnsi="方正小标宋简体" w:eastAsia="方正小标宋简体" w:cs="方正小标宋简体"/>
          <w:color w:val="000000" w:themeColor="text1"/>
          <w:kern w:val="2"/>
          <w:sz w:val="32"/>
          <w:szCs w:val="32"/>
          <w:lang w:val="en-US"/>
          <w14:textFill>
            <w14:solidFill>
              <w14:schemeClr w14:val="tx1"/>
            </w14:solidFill>
          </w14:textFill>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（春节关爱慰问活动）</w:t>
      </w:r>
    </w:p>
    <w:p>
      <w:pPr>
        <w:adjustRightInd w:val="0"/>
        <w:snapToGrid w:val="0"/>
        <w:spacing w:line="578" w:lineRule="exact"/>
        <w:ind w:firstLine="720"/>
        <w:rPr>
          <w:rFonts w:ascii="黑体" w:hAnsi="宋体" w:eastAsia="黑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一、</w:t>
      </w:r>
      <w:r>
        <w:rPr>
          <w:rFonts w:hint="eastAsia" w:ascii="黑体" w:hAnsi="宋体" w:eastAsia="黑体"/>
          <w:color w:val="000000" w:themeColor="text1"/>
          <w:sz w:val="32"/>
          <w:szCs w:val="32"/>
          <w:lang w:val="zh-CN"/>
          <w14:textFill>
            <w14:solidFill>
              <w14:schemeClr w14:val="tx1"/>
            </w14:solidFill>
          </w14:textFill>
        </w:rPr>
        <w:t>项目概况</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．2022年，审报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春节关爱慰问活动3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万元，后经区财政局批复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春节关爱慰问活动3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万元，年末无预算调整。</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．符合资金管理办法等相关规定</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．资金分配按照预算绩效目标分配。</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1．项目主要内容：</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陪伴孩子成长，助力家庭发展，春节走访慰问贫困母亲、贫困儿童慰问；</w:t>
      </w:r>
    </w:p>
    <w:p>
      <w:pPr>
        <w:autoSpaceDE w:val="0"/>
        <w:spacing w:line="540" w:lineRule="exact"/>
        <w:ind w:firstLine="640" w:firstLineChars="20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2．具体绩效目标：</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数量指标：</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开展春节走访慰问贫困母亲、贫困儿童，切实把党和政府的关心关爱传递给困难妇女儿童</w:t>
      </w:r>
      <w:r>
        <w:rPr>
          <w:rFonts w:hint="eastAsia" w:ascii="仿宋_GB2312" w:eastAsia="仿宋_GB2312"/>
          <w:color w:val="000000" w:themeColor="text1"/>
          <w:spacing w:val="-6"/>
          <w:sz w:val="32"/>
          <w:szCs w:val="32"/>
          <w14:textFill>
            <w14:solidFill>
              <w14:schemeClr w14:val="tx1"/>
            </w14:solidFill>
          </w14:textFill>
        </w:rPr>
        <w:t>；</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质量指标：春节走访慰问贫困母亲、贫困儿童慰问</w:t>
      </w:r>
      <w:r>
        <w:rPr>
          <w:rFonts w:ascii="仿宋_GB2312" w:eastAsia="仿宋_GB2312"/>
          <w:color w:val="000000" w:themeColor="text1"/>
          <w:spacing w:val="-6"/>
          <w:sz w:val="32"/>
          <w:szCs w:val="32"/>
          <w14:textFill>
            <w14:solidFill>
              <w14:schemeClr w14:val="tx1"/>
            </w14:solidFill>
          </w14:textFill>
        </w:rPr>
        <w:t>；</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时效指标：2022年</w:t>
      </w:r>
      <w:r>
        <w:rPr>
          <w:rFonts w:ascii="仿宋_GB2312" w:eastAsia="仿宋_GB2312"/>
          <w:color w:val="000000" w:themeColor="text1"/>
          <w:spacing w:val="-6"/>
          <w:sz w:val="32"/>
          <w:szCs w:val="32"/>
          <w14:textFill>
            <w14:solidFill>
              <w14:schemeClr w14:val="tx1"/>
            </w14:solidFill>
          </w14:textFill>
        </w:rPr>
        <w:t>；</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成本指标：开展春节走访慰问贫困母亲、贫困儿童，切实把党和政府的关心关爱传递给困难妇女儿童3万元；</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社会效益指标：陪伴孩子成长，助力家庭发展；</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满意度指标：使用方满意度≥95%；</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3．申报的内容为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日常经营运转所必需</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项目</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，申报的内容与实际相符，目标合理。</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pStyle w:val="5"/>
        <w:spacing w:before="93"/>
        <w:ind w:firstLine="640" w:firstLineChars="200"/>
        <w:rPr>
          <w:color w:val="000000" w:themeColor="text1"/>
          <w:lang w:val="zh-CN"/>
          <w14:textFill>
            <w14:solidFill>
              <w14:schemeClr w14:val="tx1"/>
            </w14:solidFill>
          </w14:textFill>
        </w:rPr>
      </w:pPr>
      <w:r>
        <w:rPr>
          <w:rFonts w:hint="eastAsia" w:hAnsi="仿宋_GB2312" w:cs="仿宋_GB2312"/>
          <w:color w:val="000000" w:themeColor="text1"/>
          <w:sz w:val="32"/>
          <w:szCs w:val="32"/>
          <w:shd w:val="clear" w:color="auto" w:fill="FFFFFF"/>
          <w:lang w:val="zh-CN"/>
          <w14:textFill>
            <w14:solidFill>
              <w14:schemeClr w14:val="tx1"/>
            </w14:solidFill>
          </w14:textFill>
        </w:rPr>
        <w:t>按照《广元市朝天区财政局关于开展2023年部门、政策和项目支出绩效评价工作的通知》（广朝财发〔2023〕19号）文件要求，认真组织开展了202</w:t>
      </w:r>
      <w:r>
        <w:rPr>
          <w:rFonts w:hAnsi="仿宋_GB2312" w:cs="仿宋_GB2312"/>
          <w:color w:val="000000" w:themeColor="text1"/>
          <w:sz w:val="32"/>
          <w:szCs w:val="32"/>
          <w:shd w:val="clear" w:color="auto" w:fill="FFFFFF"/>
          <w:lang w:val="zh-CN"/>
          <w14:textFill>
            <w14:solidFill>
              <w14:schemeClr w14:val="tx1"/>
            </w14:solidFill>
          </w14:textFill>
        </w:rPr>
        <w:t>2</w:t>
      </w:r>
      <w:r>
        <w:rPr>
          <w:rFonts w:hint="eastAsia" w:hAnsi="仿宋_GB2312" w:cs="仿宋_GB2312"/>
          <w:color w:val="000000" w:themeColor="text1"/>
          <w:sz w:val="32"/>
          <w:szCs w:val="32"/>
          <w:shd w:val="clear" w:color="auto" w:fill="FFFFFF"/>
          <w:lang w:val="zh-CN"/>
          <w14:textFill>
            <w14:solidFill>
              <w14:schemeClr w14:val="tx1"/>
            </w14:solidFill>
          </w14:textFill>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2022年，审报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区妇联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春节关爱慰问活动3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万元，后经区财政局批复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春节关爱慰问活动3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万元，年末无预算调整。</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1．资金计划。年初预算</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2．资金到位。该资金年初预算</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万元，截至目前到位</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万元，到位率</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100</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3．资金使用。年度实际支付</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1.78</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202</w:t>
      </w:r>
      <w:r>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年度部门项目预算</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春节关爱慰问活动</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，严格执行预算规定，符合法律法规。</w:t>
      </w:r>
    </w:p>
    <w:p>
      <w:pPr>
        <w:pStyle w:val="27"/>
        <w:numPr>
          <w:ilvl w:val="0"/>
          <w:numId w:val="11"/>
        </w:numPr>
        <w:adjustRightInd w:val="0"/>
        <w:snapToGrid w:val="0"/>
        <w:spacing w:line="578" w:lineRule="exact"/>
        <w:ind w:firstLineChars="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项目组织架构及实施流程。</w:t>
      </w:r>
    </w:p>
    <w:p>
      <w:pPr>
        <w:pStyle w:val="5"/>
        <w:spacing w:before="93"/>
        <w:ind w:firstLine="640" w:firstLineChars="200"/>
        <w:rPr>
          <w:rFonts w:hAnsi="仿宋_GB2312" w:cs="仿宋_GB2312"/>
          <w:color w:val="000000" w:themeColor="text1"/>
          <w:sz w:val="32"/>
          <w:szCs w:val="32"/>
          <w:shd w:val="clear" w:color="auto" w:fill="FFFFFF"/>
          <w:lang w:val="zh-CN"/>
          <w14:textFill>
            <w14:solidFill>
              <w14:schemeClr w14:val="tx1"/>
            </w14:solidFill>
          </w14:textFill>
        </w:rPr>
      </w:pPr>
      <w:r>
        <w:rPr>
          <w:rFonts w:hint="eastAsia" w:hAnsi="仿宋_GB2312" w:cs="仿宋_GB2312"/>
          <w:color w:val="000000" w:themeColor="text1"/>
          <w:sz w:val="32"/>
          <w:szCs w:val="32"/>
          <w:shd w:val="clear" w:color="auto" w:fill="FFFFFF"/>
          <w:lang w:val="zh-CN"/>
          <w14:textFill>
            <w14:solidFill>
              <w14:schemeClr w14:val="tx1"/>
            </w14:solidFill>
          </w14:textFill>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（二）项目管理情况。</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（三）项目监管情况。</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四、项目绩效情况</w:t>
      </w:r>
      <w:r>
        <w:rPr>
          <w:rFonts w:hint="eastAsia" w:ascii="仿宋_GB2312" w:hAnsi="宋体"/>
          <w:color w:val="000000" w:themeColor="text1"/>
          <w:sz w:val="32"/>
          <w:szCs w:val="32"/>
          <w:lang w:val="zh-CN"/>
          <w14:textFill>
            <w14:solidFill>
              <w14:schemeClr w14:val="tx1"/>
            </w14:solidFill>
          </w14:textFill>
        </w:rPr>
        <w:tab/>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（一）项目完成情况。</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数量指标：开展春节走访慰问贫困母亲、贫困儿童，切实把党和政府的关心关爱传递给困难妇女儿童；已完成。</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质量指标：春节走访慰问贫困母亲、贫困儿童慰问</w:t>
      </w:r>
      <w:r>
        <w:rPr>
          <w:rFonts w:ascii="仿宋_GB2312" w:eastAsia="仿宋_GB2312"/>
          <w:color w:val="000000" w:themeColor="text1"/>
          <w:spacing w:val="-6"/>
          <w:sz w:val="32"/>
          <w:szCs w:val="32"/>
          <w14:textFill>
            <w14:solidFill>
              <w14:schemeClr w14:val="tx1"/>
            </w14:solidFill>
          </w14:textFill>
        </w:rPr>
        <w:t>；</w:t>
      </w:r>
      <w:r>
        <w:rPr>
          <w:rFonts w:hint="eastAsia" w:ascii="仿宋_GB2312" w:eastAsia="仿宋_GB2312"/>
          <w:color w:val="000000" w:themeColor="text1"/>
          <w:spacing w:val="-6"/>
          <w:sz w:val="32"/>
          <w:szCs w:val="32"/>
          <w14:textFill>
            <w14:solidFill>
              <w14:schemeClr w14:val="tx1"/>
            </w14:solidFill>
          </w14:textFill>
        </w:rPr>
        <w:t>已完成。</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时效指标：2022年</w:t>
      </w:r>
      <w:r>
        <w:rPr>
          <w:rFonts w:ascii="仿宋_GB2312" w:eastAsia="仿宋_GB2312"/>
          <w:color w:val="000000" w:themeColor="text1"/>
          <w:spacing w:val="-6"/>
          <w:sz w:val="32"/>
          <w:szCs w:val="32"/>
          <w14:textFill>
            <w14:solidFill>
              <w14:schemeClr w14:val="tx1"/>
            </w14:solidFill>
          </w14:textFill>
        </w:rPr>
        <w:t>；</w:t>
      </w:r>
      <w:r>
        <w:rPr>
          <w:rFonts w:hint="eastAsia" w:ascii="仿宋_GB2312" w:eastAsia="仿宋_GB2312"/>
          <w:color w:val="000000" w:themeColor="text1"/>
          <w:spacing w:val="-6"/>
          <w:sz w:val="32"/>
          <w:szCs w:val="32"/>
          <w14:textFill>
            <w14:solidFill>
              <w14:schemeClr w14:val="tx1"/>
            </w14:solidFill>
          </w14:textFill>
        </w:rPr>
        <w:t>已完成。</w:t>
      </w:r>
    </w:p>
    <w:p>
      <w:pPr>
        <w:autoSpaceDE w:val="0"/>
        <w:spacing w:line="540" w:lineRule="exact"/>
        <w:ind w:firstLine="616"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成本指标：开展春节走访慰问贫困母亲、贫困儿童，切实把党和政府的关心关爱传递给困难妇女儿童；已完成。</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可持续影响指标：满足妇女儿童发展需要。</w:t>
      </w:r>
    </w:p>
    <w:p>
      <w:pPr>
        <w:widowControl/>
        <w:adjustRightInd w:val="0"/>
        <w:snapToGrid w:val="0"/>
        <w:spacing w:line="578" w:lineRule="exact"/>
        <w:ind w:firstLine="640" w:firstLineChars="200"/>
        <w:contextualSpacing/>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社会效益指标：陪伴孩子成长，助力家庭发展。</w:t>
      </w:r>
    </w:p>
    <w:p>
      <w:pPr>
        <w:widowControl/>
        <w:adjustRightInd w:val="0"/>
        <w:snapToGrid w:val="0"/>
        <w:spacing w:line="578" w:lineRule="exact"/>
        <w:ind w:firstLine="640" w:firstLineChars="200"/>
        <w:contextualSpacing/>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满意度指标：使用方满意度95%</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五、评价结论及建议</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（一）评价结论。</w:t>
      </w:r>
    </w:p>
    <w:p>
      <w:pPr>
        <w:adjustRightInd w:val="0"/>
        <w:snapToGrid w:val="0"/>
        <w:spacing w:line="578" w:lineRule="exact"/>
        <w:ind w:firstLine="720"/>
        <w:rPr>
          <w:rFonts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通过对单位项目自</w:t>
      </w:r>
      <w:r>
        <w:rPr>
          <w:rFonts w:hint="eastAsia" w:ascii="仿宋_GB2312" w:hAnsi="仿宋_GB2312" w:eastAsia="仿宋_GB2312" w:cs="仿宋_GB2312"/>
          <w:kern w:val="0"/>
          <w:sz w:val="32"/>
          <w:szCs w:val="32"/>
          <w:shd w:val="clear" w:color="auto" w:fill="FFFFFF"/>
          <w:lang w:val="zh-CN"/>
        </w:rPr>
        <w:t>评评分，评价结果</w:t>
      </w:r>
      <w:r>
        <w:rPr>
          <w:rFonts w:ascii="仿宋_GB2312" w:hAnsi="仿宋_GB2312" w:eastAsia="仿宋_GB2312" w:cs="仿宋_GB2312"/>
          <w:kern w:val="0"/>
          <w:sz w:val="32"/>
          <w:szCs w:val="32"/>
          <w:shd w:val="clear" w:color="auto" w:fill="FFFFFF"/>
          <w:lang w:val="zh-CN"/>
        </w:rPr>
        <w:t>95</w:t>
      </w:r>
      <w:r>
        <w:rPr>
          <w:rFonts w:hint="eastAsia" w:ascii="仿宋_GB2312" w:hAnsi="仿宋_GB2312" w:eastAsia="仿宋_GB2312" w:cs="仿宋_GB2312"/>
          <w:kern w:val="0"/>
          <w:sz w:val="32"/>
          <w:szCs w:val="32"/>
          <w:shd w:val="clear" w:color="auto" w:fill="FFFFFF"/>
          <w:lang w:val="zh-CN"/>
        </w:rPr>
        <w:t>分。</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无</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pStyle w:val="5"/>
        <w:spacing w:before="93"/>
        <w:rPr>
          <w:rFonts w:hAnsi="仿宋_GB2312" w:cs="仿宋_GB2312"/>
          <w:color w:val="000000" w:themeColor="text1"/>
          <w:sz w:val="32"/>
          <w:szCs w:val="32"/>
          <w:shd w:val="clear" w:color="auto" w:fill="FFFFFF"/>
          <w14:textFill>
            <w14:solidFill>
              <w14:schemeClr w14:val="tx1"/>
            </w14:solidFill>
          </w14:textFill>
        </w:rPr>
      </w:pPr>
      <w:r>
        <w:rPr>
          <w:rFonts w:hint="eastAsia" w:hAnsi="仿宋_GB2312" w:cs="仿宋_GB2312"/>
          <w:color w:val="000000" w:themeColor="text1"/>
          <w:sz w:val="32"/>
          <w:szCs w:val="32"/>
          <w:shd w:val="clear" w:color="auto" w:fill="FFFFFF"/>
          <w:lang w:val="zh-CN"/>
          <w14:textFill>
            <w14:solidFill>
              <w14:schemeClr w14:val="tx1"/>
            </w14:solidFill>
          </w14:textFill>
        </w:rPr>
        <w:t>后续将按照财政项目支出绩效管理的要求，建立科学的财政资金效益考评制度体系，不断提高财政资金的利用效</w:t>
      </w:r>
      <w:r>
        <w:rPr>
          <w:rFonts w:hint="eastAsia" w:hAnsi="仿宋_GB2312" w:cs="仿宋_GB2312"/>
          <w:color w:val="000000" w:themeColor="text1"/>
          <w:sz w:val="32"/>
          <w:szCs w:val="32"/>
          <w:shd w:val="clear" w:color="auto" w:fill="FFFFFF"/>
          <w14:textFill>
            <w14:solidFill>
              <w14:schemeClr w14:val="tx1"/>
            </w14:solidFill>
          </w14:textFill>
        </w:rPr>
        <w:t>率。</w:t>
      </w: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pStyle w:val="5"/>
        <w:spacing w:before="93"/>
        <w:rPr>
          <w:rFonts w:hAnsi="仿宋_GB2312" w:cs="仿宋_GB2312"/>
          <w:color w:val="000000" w:themeColor="text1"/>
          <w:sz w:val="32"/>
          <w:szCs w:val="32"/>
          <w:shd w:val="clear" w:color="auto" w:fill="FFFFFF"/>
          <w14:textFill>
            <w14:solidFill>
              <w14:schemeClr w14:val="tx1"/>
            </w14:solidFill>
          </w14:textFill>
        </w:rPr>
      </w:pPr>
    </w:p>
    <w:p>
      <w:pPr>
        <w:spacing w:line="600" w:lineRule="exact"/>
        <w:jc w:val="both"/>
        <w:outlineLvl w:val="0"/>
        <w:rPr>
          <w:rFonts w:hint="eastAsia" w:ascii="黑体" w:hAnsi="黑体" w:eastAsia="黑体"/>
          <w:color w:val="000000" w:themeColor="text1"/>
          <w:sz w:val="44"/>
          <w:szCs w:val="44"/>
          <w14:textFill>
            <w14:solidFill>
              <w14:schemeClr w14:val="tx1"/>
            </w14:solidFill>
          </w14:textFill>
        </w:rPr>
      </w:pPr>
    </w:p>
    <w:p>
      <w:pPr>
        <w:spacing w:line="600" w:lineRule="exact"/>
        <w:jc w:val="both"/>
        <w:outlineLvl w:val="0"/>
        <w:rPr>
          <w:rFonts w:hint="eastAsia" w:ascii="黑体" w:hAnsi="黑体" w:eastAsia="黑体"/>
          <w:color w:val="000000" w:themeColor="text1"/>
          <w:sz w:val="44"/>
          <w:szCs w:val="44"/>
          <w14:textFill>
            <w14:solidFill>
              <w14:schemeClr w14:val="tx1"/>
            </w14:solidFill>
          </w14:textFill>
        </w:rPr>
      </w:pPr>
    </w:p>
    <w:p>
      <w:pPr>
        <w:spacing w:line="600" w:lineRule="exact"/>
        <w:jc w:val="center"/>
        <w:outlineLvl w:val="0"/>
        <w:rPr>
          <w:rFonts w:ascii="仿宋" w:hAnsi="仿宋" w:eastAsia="仿宋"/>
          <w:color w:val="000000" w:themeColor="text1"/>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第</w:t>
      </w:r>
      <w:r>
        <w:rPr>
          <w:rStyle w:val="28"/>
          <w:rFonts w:hint="eastAsia" w:ascii="黑体" w:hAnsi="黑体" w:eastAsia="黑体"/>
          <w:b w:val="0"/>
          <w:color w:val="000000" w:themeColor="text1"/>
          <w14:textFill>
            <w14:solidFill>
              <w14:schemeClr w14:val="tx1"/>
            </w14:solidFill>
          </w14:textFill>
        </w:rPr>
        <w:t>五部分 附表</w:t>
      </w:r>
      <w:bookmarkEnd w:id="55"/>
      <w:bookmarkEnd w:id="58"/>
      <w:bookmarkStart w:id="60" w:name="_Toc15396619"/>
    </w:p>
    <w:p>
      <w:pPr>
        <w:pStyle w:val="3"/>
        <w:rPr>
          <w:rFonts w:ascii="仿宋" w:hAnsi="仿宋" w:eastAsia="仿宋"/>
          <w:color w:val="000000" w:themeColor="text1"/>
          <w14:textFill>
            <w14:solidFill>
              <w14:schemeClr w14:val="tx1"/>
            </w14:solidFill>
          </w14:textFill>
        </w:rPr>
      </w:pPr>
      <w:r>
        <w:rPr>
          <w:rFonts w:hint="eastAsia" w:ascii="仿宋" w:hAnsi="仿宋" w:eastAsia="仿宋"/>
          <w:b w:val="0"/>
          <w:color w:val="000000" w:themeColor="text1"/>
          <w14:textFill>
            <w14:solidFill>
              <w14:schemeClr w14:val="tx1"/>
            </w14:solidFill>
          </w14:textFill>
        </w:rPr>
        <w:t>一、收</w:t>
      </w:r>
      <w:r>
        <w:rPr>
          <w:rStyle w:val="29"/>
          <w:rFonts w:hint="eastAsia" w:ascii="仿宋" w:hAnsi="仿宋" w:eastAsia="仿宋"/>
          <w:b w:val="0"/>
          <w:bCs w:val="0"/>
          <w:color w:val="000000" w:themeColor="text1"/>
          <w14:textFill>
            <w14:solidFill>
              <w14:schemeClr w14:val="tx1"/>
            </w14:solidFill>
          </w14:textFill>
        </w:rPr>
        <w:t>入支出决算总表</w:t>
      </w:r>
      <w:bookmarkEnd w:id="60"/>
    </w:p>
    <w:p>
      <w:pPr>
        <w:pStyle w:val="3"/>
        <w:rPr>
          <w:rFonts w:ascii="仿宋" w:hAnsi="仿宋" w:eastAsia="仿宋"/>
          <w:color w:val="000000" w:themeColor="text1"/>
          <w14:textFill>
            <w14:solidFill>
              <w14:schemeClr w14:val="tx1"/>
            </w14:solidFill>
          </w14:textFill>
        </w:rPr>
      </w:pPr>
      <w:bookmarkStart w:id="61" w:name="_Toc15396620"/>
      <w:r>
        <w:rPr>
          <w:rFonts w:hint="eastAsia" w:ascii="仿宋" w:hAnsi="仿宋" w:eastAsia="仿宋"/>
          <w:b w:val="0"/>
          <w:color w:val="000000" w:themeColor="text1"/>
          <w14:textFill>
            <w14:solidFill>
              <w14:schemeClr w14:val="tx1"/>
            </w14:solidFill>
          </w14:textFill>
        </w:rPr>
        <w:t>二、收</w:t>
      </w:r>
      <w:r>
        <w:rPr>
          <w:rStyle w:val="29"/>
          <w:rFonts w:hint="eastAsia" w:ascii="仿宋" w:hAnsi="仿宋" w:eastAsia="仿宋"/>
          <w:b w:val="0"/>
          <w:bCs w:val="0"/>
          <w:color w:val="000000" w:themeColor="text1"/>
          <w14:textFill>
            <w14:solidFill>
              <w14:schemeClr w14:val="tx1"/>
            </w14:solidFill>
          </w14:textFill>
        </w:rPr>
        <w:t>入决算表</w:t>
      </w:r>
      <w:bookmarkEnd w:id="61"/>
    </w:p>
    <w:p>
      <w:pPr>
        <w:pStyle w:val="3"/>
        <w:rPr>
          <w:rFonts w:ascii="仿宋" w:hAnsi="仿宋" w:eastAsia="仿宋"/>
          <w:color w:val="000000" w:themeColor="text1"/>
          <w14:textFill>
            <w14:solidFill>
              <w14:schemeClr w14:val="tx1"/>
            </w14:solidFill>
          </w14:textFill>
        </w:rPr>
      </w:pPr>
      <w:bookmarkStart w:id="62" w:name="_Toc15396621"/>
      <w:r>
        <w:rPr>
          <w:rStyle w:val="29"/>
          <w:rFonts w:hint="eastAsia" w:ascii="仿宋" w:hAnsi="仿宋" w:eastAsia="仿宋"/>
          <w:b w:val="0"/>
          <w:bCs w:val="0"/>
          <w:color w:val="000000" w:themeColor="text1"/>
          <w14:textFill>
            <w14:solidFill>
              <w14:schemeClr w14:val="tx1"/>
            </w14:solidFill>
          </w14:textFill>
        </w:rPr>
        <w:t>三、</w:t>
      </w:r>
      <w:r>
        <w:rPr>
          <w:rFonts w:hint="eastAsia" w:ascii="仿宋" w:hAnsi="仿宋" w:eastAsia="仿宋"/>
          <w:b w:val="0"/>
          <w:color w:val="000000" w:themeColor="text1"/>
          <w14:textFill>
            <w14:solidFill>
              <w14:schemeClr w14:val="tx1"/>
            </w14:solidFill>
          </w14:textFill>
        </w:rPr>
        <w:t>支</w:t>
      </w:r>
      <w:r>
        <w:rPr>
          <w:rStyle w:val="29"/>
          <w:rFonts w:hint="eastAsia" w:ascii="仿宋" w:hAnsi="仿宋" w:eastAsia="仿宋"/>
          <w:b w:val="0"/>
          <w:bCs w:val="0"/>
          <w:color w:val="000000" w:themeColor="text1"/>
          <w14:textFill>
            <w14:solidFill>
              <w14:schemeClr w14:val="tx1"/>
            </w14:solidFill>
          </w14:textFill>
        </w:rPr>
        <w:t>出决算表</w:t>
      </w:r>
      <w:bookmarkEnd w:id="62"/>
    </w:p>
    <w:p>
      <w:pPr>
        <w:pStyle w:val="3"/>
        <w:rPr>
          <w:rFonts w:ascii="仿宋" w:hAnsi="仿宋" w:eastAsia="仿宋"/>
          <w:b w:val="0"/>
          <w:color w:val="000000" w:themeColor="text1"/>
          <w14:textFill>
            <w14:solidFill>
              <w14:schemeClr w14:val="tx1"/>
            </w14:solidFill>
          </w14:textFill>
        </w:rPr>
      </w:pPr>
      <w:bookmarkStart w:id="63" w:name="_Toc15396622"/>
      <w:r>
        <w:rPr>
          <w:rStyle w:val="29"/>
          <w:rFonts w:hint="eastAsia" w:ascii="仿宋" w:hAnsi="仿宋" w:eastAsia="仿宋"/>
          <w:b w:val="0"/>
          <w:bCs w:val="0"/>
          <w:color w:val="000000" w:themeColor="text1"/>
          <w14:textFill>
            <w14:solidFill>
              <w14:schemeClr w14:val="tx1"/>
            </w14:solidFill>
          </w14:textFill>
        </w:rPr>
        <w:t>四、</w:t>
      </w:r>
      <w:r>
        <w:rPr>
          <w:rFonts w:hint="eastAsia" w:ascii="仿宋" w:hAnsi="仿宋" w:eastAsia="仿宋"/>
          <w:b w:val="0"/>
          <w:color w:val="000000" w:themeColor="text1"/>
          <w14:textFill>
            <w14:solidFill>
              <w14:schemeClr w14:val="tx1"/>
            </w14:solidFill>
          </w14:textFill>
        </w:rPr>
        <w:t>财</w:t>
      </w:r>
      <w:r>
        <w:rPr>
          <w:rStyle w:val="29"/>
          <w:rFonts w:hint="eastAsia" w:ascii="仿宋" w:hAnsi="仿宋" w:eastAsia="仿宋"/>
          <w:b w:val="0"/>
          <w:bCs w:val="0"/>
          <w:color w:val="000000" w:themeColor="text1"/>
          <w14:textFill>
            <w14:solidFill>
              <w14:schemeClr w14:val="tx1"/>
            </w14:solidFill>
          </w14:textFill>
        </w:rPr>
        <w:t>政拨款收入支出决算总表</w:t>
      </w:r>
      <w:bookmarkEnd w:id="63"/>
    </w:p>
    <w:p>
      <w:pPr>
        <w:pStyle w:val="3"/>
        <w:rPr>
          <w:rStyle w:val="29"/>
          <w:rFonts w:ascii="仿宋" w:hAnsi="仿宋" w:eastAsia="仿宋"/>
          <w:b w:val="0"/>
          <w:bCs w:val="0"/>
          <w:color w:val="000000" w:themeColor="text1"/>
          <w14:textFill>
            <w14:solidFill>
              <w14:schemeClr w14:val="tx1"/>
            </w14:solidFill>
          </w14:textFill>
        </w:rPr>
      </w:pPr>
      <w:bookmarkStart w:id="64" w:name="_Toc15396623"/>
      <w:r>
        <w:rPr>
          <w:rStyle w:val="29"/>
          <w:rFonts w:hint="eastAsia" w:ascii="仿宋" w:hAnsi="仿宋" w:eastAsia="仿宋"/>
          <w:b w:val="0"/>
          <w:bCs w:val="0"/>
          <w:color w:val="000000" w:themeColor="text1"/>
          <w14:textFill>
            <w14:solidFill>
              <w14:schemeClr w14:val="tx1"/>
            </w14:solidFill>
          </w14:textFill>
        </w:rPr>
        <w:t>五、</w:t>
      </w:r>
      <w:r>
        <w:rPr>
          <w:rFonts w:hint="eastAsia" w:ascii="仿宋" w:hAnsi="仿宋" w:eastAsia="仿宋"/>
          <w:b w:val="0"/>
          <w:color w:val="000000" w:themeColor="text1"/>
          <w14:textFill>
            <w14:solidFill>
              <w14:schemeClr w14:val="tx1"/>
            </w14:solidFill>
          </w14:textFill>
        </w:rPr>
        <w:t>财</w:t>
      </w:r>
      <w:r>
        <w:rPr>
          <w:rStyle w:val="29"/>
          <w:rFonts w:hint="eastAsia" w:ascii="仿宋" w:hAnsi="仿宋" w:eastAsia="仿宋"/>
          <w:b w:val="0"/>
          <w:bCs w:val="0"/>
          <w:color w:val="000000" w:themeColor="text1"/>
          <w14:textFill>
            <w14:solidFill>
              <w14:schemeClr w14:val="tx1"/>
            </w14:solidFill>
          </w14:textFill>
        </w:rPr>
        <w:t>政拨款支出决算明细表</w:t>
      </w:r>
      <w:bookmarkEnd w:id="64"/>
      <w:bookmarkStart w:id="65" w:name="_Toc15396624"/>
    </w:p>
    <w:p>
      <w:pPr>
        <w:pStyle w:val="3"/>
        <w:rPr>
          <w:rFonts w:ascii="仿宋" w:hAnsi="仿宋" w:eastAsia="仿宋"/>
          <w:color w:val="000000" w:themeColor="text1"/>
          <w14:textFill>
            <w14:solidFill>
              <w14:schemeClr w14:val="tx1"/>
            </w14:solidFill>
          </w14:textFill>
        </w:rPr>
      </w:pPr>
      <w:r>
        <w:rPr>
          <w:rStyle w:val="29"/>
          <w:rFonts w:hint="eastAsia" w:ascii="仿宋" w:hAnsi="仿宋" w:eastAsia="仿宋"/>
          <w:b w:val="0"/>
          <w:bCs w:val="0"/>
          <w:color w:val="000000" w:themeColor="text1"/>
          <w14:textFill>
            <w14:solidFill>
              <w14:schemeClr w14:val="tx1"/>
            </w14:solidFill>
          </w14:textFill>
        </w:rPr>
        <w:t>六、</w:t>
      </w:r>
      <w:r>
        <w:rPr>
          <w:rFonts w:hint="eastAsia" w:ascii="仿宋" w:hAnsi="仿宋" w:eastAsia="仿宋"/>
          <w:b w:val="0"/>
          <w:color w:val="000000" w:themeColor="text1"/>
          <w14:textFill>
            <w14:solidFill>
              <w14:schemeClr w14:val="tx1"/>
            </w14:solidFill>
          </w14:textFill>
        </w:rPr>
        <w:t>一</w:t>
      </w:r>
      <w:r>
        <w:rPr>
          <w:rStyle w:val="29"/>
          <w:rFonts w:hint="eastAsia" w:ascii="仿宋" w:hAnsi="仿宋" w:eastAsia="仿宋"/>
          <w:b w:val="0"/>
          <w:bCs w:val="0"/>
          <w:color w:val="000000" w:themeColor="text1"/>
          <w14:textFill>
            <w14:solidFill>
              <w14:schemeClr w14:val="tx1"/>
            </w14:solidFill>
          </w14:textFill>
        </w:rPr>
        <w:t>般公共预算财政拨款支出决算表</w:t>
      </w:r>
      <w:bookmarkEnd w:id="65"/>
    </w:p>
    <w:p>
      <w:pPr>
        <w:pStyle w:val="3"/>
        <w:rPr>
          <w:rFonts w:ascii="仿宋" w:hAnsi="仿宋" w:eastAsia="仿宋"/>
          <w:color w:val="000000" w:themeColor="text1"/>
          <w14:textFill>
            <w14:solidFill>
              <w14:schemeClr w14:val="tx1"/>
            </w14:solidFill>
          </w14:textFill>
        </w:rPr>
      </w:pPr>
      <w:bookmarkStart w:id="66" w:name="_Toc15396625"/>
      <w:r>
        <w:rPr>
          <w:rStyle w:val="29"/>
          <w:rFonts w:hint="eastAsia" w:ascii="仿宋" w:hAnsi="仿宋" w:eastAsia="仿宋"/>
          <w:b w:val="0"/>
          <w:bCs w:val="0"/>
          <w:color w:val="000000" w:themeColor="text1"/>
          <w14:textFill>
            <w14:solidFill>
              <w14:schemeClr w14:val="tx1"/>
            </w14:solidFill>
          </w14:textFill>
        </w:rPr>
        <w:t>七、</w:t>
      </w:r>
      <w:r>
        <w:rPr>
          <w:rFonts w:hint="eastAsia" w:ascii="仿宋" w:hAnsi="仿宋" w:eastAsia="仿宋"/>
          <w:b w:val="0"/>
          <w:color w:val="000000" w:themeColor="text1"/>
          <w14:textFill>
            <w14:solidFill>
              <w14:schemeClr w14:val="tx1"/>
            </w14:solidFill>
          </w14:textFill>
        </w:rPr>
        <w:t>一</w:t>
      </w:r>
      <w:r>
        <w:rPr>
          <w:rStyle w:val="29"/>
          <w:rFonts w:hint="eastAsia" w:ascii="仿宋" w:hAnsi="仿宋" w:eastAsia="仿宋"/>
          <w:b w:val="0"/>
          <w:bCs w:val="0"/>
          <w:color w:val="000000" w:themeColor="text1"/>
          <w14:textFill>
            <w14:solidFill>
              <w14:schemeClr w14:val="tx1"/>
            </w14:solidFill>
          </w14:textFill>
        </w:rPr>
        <w:t>般公共预算财政拨款支出决算明细表</w:t>
      </w:r>
      <w:bookmarkEnd w:id="66"/>
    </w:p>
    <w:p>
      <w:pPr>
        <w:pStyle w:val="3"/>
        <w:rPr>
          <w:rFonts w:ascii="仿宋" w:hAnsi="仿宋" w:eastAsia="仿宋"/>
          <w:color w:val="000000" w:themeColor="text1"/>
          <w14:textFill>
            <w14:solidFill>
              <w14:schemeClr w14:val="tx1"/>
            </w14:solidFill>
          </w14:textFill>
        </w:rPr>
      </w:pPr>
      <w:bookmarkStart w:id="67" w:name="_Toc15396626"/>
      <w:r>
        <w:rPr>
          <w:rStyle w:val="29"/>
          <w:rFonts w:hint="eastAsia" w:ascii="仿宋" w:hAnsi="仿宋" w:eastAsia="仿宋"/>
          <w:b w:val="0"/>
          <w:bCs w:val="0"/>
          <w:color w:val="000000" w:themeColor="text1"/>
          <w14:textFill>
            <w14:solidFill>
              <w14:schemeClr w14:val="tx1"/>
            </w14:solidFill>
          </w14:textFill>
        </w:rPr>
        <w:t>八、</w:t>
      </w:r>
      <w:r>
        <w:rPr>
          <w:rFonts w:hint="eastAsia" w:ascii="仿宋" w:hAnsi="仿宋" w:eastAsia="仿宋"/>
          <w:b w:val="0"/>
          <w:color w:val="000000" w:themeColor="text1"/>
          <w14:textFill>
            <w14:solidFill>
              <w14:schemeClr w14:val="tx1"/>
            </w14:solidFill>
          </w14:textFill>
        </w:rPr>
        <w:t>一</w:t>
      </w:r>
      <w:r>
        <w:rPr>
          <w:rStyle w:val="29"/>
          <w:rFonts w:hint="eastAsia" w:ascii="仿宋" w:hAnsi="仿宋" w:eastAsia="仿宋"/>
          <w:b w:val="0"/>
          <w:bCs w:val="0"/>
          <w:color w:val="000000" w:themeColor="text1"/>
          <w14:textFill>
            <w14:solidFill>
              <w14:schemeClr w14:val="tx1"/>
            </w14:solidFill>
          </w14:textFill>
        </w:rPr>
        <w:t>般公共预算财政拨款基本支出决算表</w:t>
      </w:r>
      <w:bookmarkEnd w:id="67"/>
    </w:p>
    <w:p>
      <w:pPr>
        <w:pStyle w:val="3"/>
        <w:rPr>
          <w:rFonts w:ascii="仿宋" w:hAnsi="仿宋" w:eastAsia="仿宋"/>
          <w:color w:val="000000" w:themeColor="text1"/>
          <w14:textFill>
            <w14:solidFill>
              <w14:schemeClr w14:val="tx1"/>
            </w14:solidFill>
          </w14:textFill>
        </w:rPr>
      </w:pPr>
      <w:bookmarkStart w:id="68" w:name="_Toc15396627"/>
      <w:r>
        <w:rPr>
          <w:rStyle w:val="29"/>
          <w:rFonts w:hint="eastAsia" w:ascii="仿宋" w:hAnsi="仿宋" w:eastAsia="仿宋"/>
          <w:b w:val="0"/>
          <w:bCs w:val="0"/>
          <w:color w:val="000000" w:themeColor="text1"/>
          <w14:textFill>
            <w14:solidFill>
              <w14:schemeClr w14:val="tx1"/>
            </w14:solidFill>
          </w14:textFill>
        </w:rPr>
        <w:t>九、</w:t>
      </w:r>
      <w:r>
        <w:rPr>
          <w:rFonts w:hint="eastAsia" w:ascii="仿宋" w:hAnsi="仿宋" w:eastAsia="仿宋"/>
          <w:b w:val="0"/>
          <w:color w:val="000000" w:themeColor="text1"/>
          <w14:textFill>
            <w14:solidFill>
              <w14:schemeClr w14:val="tx1"/>
            </w14:solidFill>
          </w14:textFill>
        </w:rPr>
        <w:t>一</w:t>
      </w:r>
      <w:r>
        <w:rPr>
          <w:rStyle w:val="29"/>
          <w:rFonts w:hint="eastAsia" w:ascii="仿宋" w:hAnsi="仿宋" w:eastAsia="仿宋"/>
          <w:b w:val="0"/>
          <w:bCs w:val="0"/>
          <w:color w:val="000000" w:themeColor="text1"/>
          <w14:textFill>
            <w14:solidFill>
              <w14:schemeClr w14:val="tx1"/>
            </w14:solidFill>
          </w14:textFill>
        </w:rPr>
        <w:t>般公共预算财政拨款项目支出决算表</w:t>
      </w:r>
      <w:bookmarkEnd w:id="68"/>
    </w:p>
    <w:p>
      <w:pPr>
        <w:pStyle w:val="3"/>
        <w:rPr>
          <w:rFonts w:ascii="仿宋" w:hAnsi="仿宋" w:eastAsia="仿宋"/>
          <w:color w:val="000000" w:themeColor="text1"/>
          <w14:textFill>
            <w14:solidFill>
              <w14:schemeClr w14:val="tx1"/>
            </w14:solidFill>
          </w14:textFill>
        </w:rPr>
      </w:pPr>
      <w:bookmarkStart w:id="69" w:name="_Toc15396628"/>
      <w:r>
        <w:rPr>
          <w:rStyle w:val="29"/>
          <w:rFonts w:hint="eastAsia" w:ascii="仿宋" w:hAnsi="仿宋" w:eastAsia="仿宋"/>
          <w:b w:val="0"/>
          <w:bCs w:val="0"/>
          <w:color w:val="000000" w:themeColor="text1"/>
          <w14:textFill>
            <w14:solidFill>
              <w14:schemeClr w14:val="tx1"/>
            </w14:solidFill>
          </w14:textFill>
        </w:rPr>
        <w:t>十、</w:t>
      </w:r>
      <w:bookmarkEnd w:id="69"/>
      <w:r>
        <w:rPr>
          <w:rFonts w:hint="eastAsia" w:ascii="仿宋" w:hAnsi="仿宋" w:eastAsia="仿宋"/>
          <w:b w:val="0"/>
          <w:color w:val="000000" w:themeColor="text1"/>
          <w14:textFill>
            <w14:solidFill>
              <w14:schemeClr w14:val="tx1"/>
            </w14:solidFill>
          </w14:textFill>
        </w:rPr>
        <w:t>政</w:t>
      </w:r>
      <w:r>
        <w:rPr>
          <w:rStyle w:val="29"/>
          <w:rFonts w:hint="eastAsia" w:ascii="仿宋" w:hAnsi="仿宋" w:eastAsia="仿宋"/>
          <w:b w:val="0"/>
          <w:bCs w:val="0"/>
          <w:color w:val="000000" w:themeColor="text1"/>
          <w14:textFill>
            <w14:solidFill>
              <w14:schemeClr w14:val="tx1"/>
            </w14:solidFill>
          </w14:textFill>
        </w:rPr>
        <w:t>府性基金预算财政拨款收入支出决算表</w:t>
      </w:r>
    </w:p>
    <w:p>
      <w:pPr>
        <w:pStyle w:val="3"/>
        <w:rPr>
          <w:rFonts w:ascii="仿宋" w:hAnsi="仿宋" w:eastAsia="仿宋"/>
          <w:color w:val="000000" w:themeColor="text1"/>
          <w14:textFill>
            <w14:solidFill>
              <w14:schemeClr w14:val="tx1"/>
            </w14:solidFill>
          </w14:textFill>
        </w:rPr>
      </w:pPr>
      <w:bookmarkStart w:id="70" w:name="_Toc15396629"/>
      <w:r>
        <w:rPr>
          <w:rStyle w:val="29"/>
          <w:rFonts w:hint="eastAsia" w:ascii="仿宋" w:hAnsi="仿宋" w:eastAsia="仿宋"/>
          <w:b w:val="0"/>
          <w:bCs w:val="0"/>
          <w:color w:val="000000" w:themeColor="text1"/>
          <w14:textFill>
            <w14:solidFill>
              <w14:schemeClr w14:val="tx1"/>
            </w14:solidFill>
          </w14:textFill>
        </w:rPr>
        <w:t>十一、</w:t>
      </w:r>
      <w:bookmarkEnd w:id="70"/>
      <w:r>
        <w:rPr>
          <w:rFonts w:hint="eastAsia" w:ascii="仿宋" w:hAnsi="仿宋" w:eastAsia="仿宋"/>
          <w:b w:val="0"/>
          <w:color w:val="000000" w:themeColor="text1"/>
          <w14:textFill>
            <w14:solidFill>
              <w14:schemeClr w14:val="tx1"/>
            </w14:solidFill>
          </w14:textFill>
        </w:rPr>
        <w:t>国</w:t>
      </w:r>
      <w:r>
        <w:rPr>
          <w:rStyle w:val="29"/>
          <w:rFonts w:hint="eastAsia" w:ascii="仿宋" w:hAnsi="仿宋" w:eastAsia="仿宋"/>
          <w:b w:val="0"/>
          <w:bCs w:val="0"/>
          <w:color w:val="000000" w:themeColor="text1"/>
          <w14:textFill>
            <w14:solidFill>
              <w14:schemeClr w14:val="tx1"/>
            </w14:solidFill>
          </w14:textFill>
        </w:rPr>
        <w:t>有资本经营预算财政拨款收入支出决算表</w:t>
      </w:r>
    </w:p>
    <w:p>
      <w:pPr>
        <w:pStyle w:val="3"/>
        <w:rPr>
          <w:rFonts w:ascii="仿宋" w:hAnsi="仿宋" w:eastAsia="仿宋"/>
          <w:color w:val="000000" w:themeColor="text1"/>
          <w14:textFill>
            <w14:solidFill>
              <w14:schemeClr w14:val="tx1"/>
            </w14:solidFill>
          </w14:textFill>
        </w:rPr>
      </w:pPr>
      <w:bookmarkStart w:id="71" w:name="_Toc15396630"/>
      <w:r>
        <w:rPr>
          <w:rStyle w:val="29"/>
          <w:rFonts w:hint="eastAsia" w:ascii="仿宋" w:hAnsi="仿宋" w:eastAsia="仿宋"/>
          <w:b w:val="0"/>
          <w:bCs w:val="0"/>
          <w:color w:val="000000" w:themeColor="text1"/>
          <w14:textFill>
            <w14:solidFill>
              <w14:schemeClr w14:val="tx1"/>
            </w14:solidFill>
          </w14:textFill>
        </w:rPr>
        <w:t>十二、</w:t>
      </w:r>
      <w:bookmarkEnd w:id="71"/>
      <w:r>
        <w:rPr>
          <w:rStyle w:val="29"/>
          <w:rFonts w:hint="eastAsia" w:ascii="仿宋" w:hAnsi="仿宋" w:eastAsia="仿宋"/>
          <w:b w:val="0"/>
          <w:bCs w:val="0"/>
          <w:color w:val="000000" w:themeColor="text1"/>
          <w14:textFill>
            <w14:solidFill>
              <w14:schemeClr w14:val="tx1"/>
            </w14:solidFill>
          </w14:textFill>
        </w:rPr>
        <w:t>国有资本经营预算财政拨款支出决算表</w:t>
      </w:r>
    </w:p>
    <w:p>
      <w:pPr>
        <w:pStyle w:val="3"/>
        <w:rPr>
          <w:rFonts w:eastAsia="仿宋"/>
          <w:color w:val="000000" w:themeColor="text1"/>
          <w14:textFill>
            <w14:solidFill>
              <w14:schemeClr w14:val="tx1"/>
            </w14:solidFill>
          </w14:textFill>
        </w:rPr>
      </w:pPr>
      <w:bookmarkStart w:id="72" w:name="_Toc15396631"/>
      <w:r>
        <w:rPr>
          <w:rStyle w:val="29"/>
          <w:rFonts w:hint="eastAsia" w:ascii="仿宋" w:hAnsi="仿宋" w:eastAsia="仿宋"/>
          <w:b w:val="0"/>
          <w:bCs w:val="0"/>
          <w:color w:val="000000" w:themeColor="text1"/>
          <w14:textFill>
            <w14:solidFill>
              <w14:schemeClr w14:val="tx1"/>
            </w14:solidFill>
          </w14:textFill>
        </w:rPr>
        <w:t>十三、</w:t>
      </w:r>
      <w:bookmarkEnd w:id="72"/>
      <w:r>
        <w:rPr>
          <w:rStyle w:val="29"/>
          <w:rFonts w:hint="eastAsia" w:ascii="仿宋" w:hAnsi="仿宋" w:eastAsia="仿宋"/>
          <w:b w:val="0"/>
          <w:bCs w:val="0"/>
          <w:color w:val="000000" w:themeColor="text1"/>
          <w14:textFill>
            <w14:solidFill>
              <w14:schemeClr w14:val="tx1"/>
            </w14:solidFill>
          </w14:textFill>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7B5C4"/>
    <w:multiLevelType w:val="singleLevel"/>
    <w:tmpl w:val="8737B5C4"/>
    <w:lvl w:ilvl="0" w:tentative="0">
      <w:start w:val="1"/>
      <w:numFmt w:val="chineseCounting"/>
      <w:suff w:val="nothing"/>
      <w:lvlText w:val="（%1）"/>
      <w:lvlJc w:val="left"/>
      <w:rPr>
        <w:rFonts w:hint="eastAsia"/>
      </w:rPr>
    </w:lvl>
  </w:abstractNum>
  <w:abstractNum w:abstractNumId="1">
    <w:nsid w:val="BBF88B27"/>
    <w:multiLevelType w:val="singleLevel"/>
    <w:tmpl w:val="BBF88B27"/>
    <w:lvl w:ilvl="0" w:tentative="0">
      <w:start w:val="3"/>
      <w:numFmt w:val="decimal"/>
      <w:suff w:val="nothing"/>
      <w:lvlText w:val="%1、"/>
      <w:lvlJc w:val="left"/>
      <w:pPr>
        <w:ind w:left="641" w:firstLine="0"/>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EBEF323"/>
    <w:multiLevelType w:val="singleLevel"/>
    <w:tmpl w:val="DEBEF323"/>
    <w:lvl w:ilvl="0" w:tentative="0">
      <w:start w:val="4"/>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FFF674BC"/>
    <w:multiLevelType w:val="singleLevel"/>
    <w:tmpl w:val="FFF674BC"/>
    <w:lvl w:ilvl="0" w:tentative="0">
      <w:start w:val="1"/>
      <w:numFmt w:val="chineseCounting"/>
      <w:suff w:val="nothing"/>
      <w:lvlText w:val="%1、"/>
      <w:lvlJc w:val="left"/>
      <w:rPr>
        <w:rFonts w:hint="eastAsia"/>
      </w:rPr>
    </w:lvl>
  </w:abstractNum>
  <w:abstractNum w:abstractNumId="6">
    <w:nsid w:val="0C82CBB9"/>
    <w:multiLevelType w:val="singleLevel"/>
    <w:tmpl w:val="0C82CBB9"/>
    <w:lvl w:ilvl="0" w:tentative="0">
      <w:start w:val="1"/>
      <w:numFmt w:val="decimal"/>
      <w:lvlText w:val="%1."/>
      <w:lvlJc w:val="left"/>
      <w:pPr>
        <w:tabs>
          <w:tab w:val="left" w:pos="312"/>
        </w:tabs>
      </w:p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4A92D677"/>
    <w:multiLevelType w:val="singleLevel"/>
    <w:tmpl w:val="4A92D677"/>
    <w:lvl w:ilvl="0" w:tentative="0">
      <w:start w:val="1"/>
      <w:numFmt w:val="chineseCounting"/>
      <w:suff w:val="nothing"/>
      <w:lvlText w:val="%1、"/>
      <w:lvlJc w:val="left"/>
      <w:rPr>
        <w:rFonts w:hint="eastAsia"/>
      </w:rPr>
    </w:lvl>
  </w:abstractNum>
  <w:abstractNum w:abstractNumId="9">
    <w:nsid w:val="675B3BFD"/>
    <w:multiLevelType w:val="singleLevel"/>
    <w:tmpl w:val="675B3BFD"/>
    <w:lvl w:ilvl="0" w:tentative="0">
      <w:start w:val="2"/>
      <w:numFmt w:val="chineseCounting"/>
      <w:suff w:val="nothing"/>
      <w:lvlText w:val="（%1）"/>
      <w:lvlJc w:val="left"/>
      <w:rPr>
        <w:rFonts w:hint="eastAsia"/>
      </w:rPr>
    </w:lvl>
  </w:abstractNum>
  <w:abstractNum w:abstractNumId="10">
    <w:nsid w:val="79272C35"/>
    <w:multiLevelType w:val="multilevel"/>
    <w:tmpl w:val="79272C35"/>
    <w:lvl w:ilvl="0" w:tentative="0">
      <w:start w:val="1"/>
      <w:numFmt w:val="japaneseCounting"/>
      <w:lvlText w:val="（%1）"/>
      <w:lvlJc w:val="left"/>
      <w:pPr>
        <w:ind w:left="1710" w:hanging="99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num w:numId="1">
    <w:abstractNumId w:val="8"/>
  </w:num>
  <w:num w:numId="2">
    <w:abstractNumId w:val="7"/>
  </w:num>
  <w:num w:numId="3">
    <w:abstractNumId w:val="6"/>
  </w:num>
  <w:num w:numId="4">
    <w:abstractNumId w:val="2"/>
  </w:num>
  <w:num w:numId="5">
    <w:abstractNumId w:val="4"/>
  </w:num>
  <w:num w:numId="6">
    <w:abstractNumId w:val="5"/>
  </w:num>
  <w:num w:numId="7">
    <w:abstractNumId w:val="0"/>
  </w:num>
  <w:num w:numId="8">
    <w:abstractNumId w:val="1"/>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MmRhYmVmMWM1MDlkM2M5NGFkMTA3Njg5ZDhlZ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5CFE"/>
    <w:rsid w:val="000D0F70"/>
    <w:rsid w:val="000D1267"/>
    <w:rsid w:val="000D1D50"/>
    <w:rsid w:val="000D5782"/>
    <w:rsid w:val="000E6613"/>
    <w:rsid w:val="000E7119"/>
    <w:rsid w:val="00114E9B"/>
    <w:rsid w:val="00124B60"/>
    <w:rsid w:val="00142216"/>
    <w:rsid w:val="00144D6A"/>
    <w:rsid w:val="0014729F"/>
    <w:rsid w:val="0015723B"/>
    <w:rsid w:val="00157BAB"/>
    <w:rsid w:val="001654D1"/>
    <w:rsid w:val="00174518"/>
    <w:rsid w:val="0018106D"/>
    <w:rsid w:val="001877A7"/>
    <w:rsid w:val="00191536"/>
    <w:rsid w:val="00196687"/>
    <w:rsid w:val="001C0962"/>
    <w:rsid w:val="001C31C4"/>
    <w:rsid w:val="001D7531"/>
    <w:rsid w:val="001E737D"/>
    <w:rsid w:val="001F0592"/>
    <w:rsid w:val="001F7506"/>
    <w:rsid w:val="002006CD"/>
    <w:rsid w:val="00202B36"/>
    <w:rsid w:val="00204B7A"/>
    <w:rsid w:val="00204CDE"/>
    <w:rsid w:val="0021101A"/>
    <w:rsid w:val="00220536"/>
    <w:rsid w:val="00235629"/>
    <w:rsid w:val="00252614"/>
    <w:rsid w:val="00260C38"/>
    <w:rsid w:val="002616C0"/>
    <w:rsid w:val="00265372"/>
    <w:rsid w:val="002662AA"/>
    <w:rsid w:val="00272F75"/>
    <w:rsid w:val="00280496"/>
    <w:rsid w:val="00294C9B"/>
    <w:rsid w:val="00294DC9"/>
    <w:rsid w:val="00295495"/>
    <w:rsid w:val="002A31DE"/>
    <w:rsid w:val="002B2613"/>
    <w:rsid w:val="002D6D05"/>
    <w:rsid w:val="002F1818"/>
    <w:rsid w:val="002F567B"/>
    <w:rsid w:val="003154EF"/>
    <w:rsid w:val="003216A9"/>
    <w:rsid w:val="00334034"/>
    <w:rsid w:val="00335A74"/>
    <w:rsid w:val="00354652"/>
    <w:rsid w:val="00364FCD"/>
    <w:rsid w:val="0036561B"/>
    <w:rsid w:val="0037013F"/>
    <w:rsid w:val="00380C92"/>
    <w:rsid w:val="0039067D"/>
    <w:rsid w:val="003A484F"/>
    <w:rsid w:val="003A4883"/>
    <w:rsid w:val="003B0BE0"/>
    <w:rsid w:val="003B0C1B"/>
    <w:rsid w:val="003B688C"/>
    <w:rsid w:val="003B7CC2"/>
    <w:rsid w:val="003C0291"/>
    <w:rsid w:val="003C39AE"/>
    <w:rsid w:val="003C7B60"/>
    <w:rsid w:val="003D0C0F"/>
    <w:rsid w:val="003D1FB2"/>
    <w:rsid w:val="003D66DA"/>
    <w:rsid w:val="003E1310"/>
    <w:rsid w:val="003E6F55"/>
    <w:rsid w:val="00406254"/>
    <w:rsid w:val="00412259"/>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3F14"/>
    <w:rsid w:val="00505A47"/>
    <w:rsid w:val="00512FDA"/>
    <w:rsid w:val="00520DA0"/>
    <w:rsid w:val="005522F6"/>
    <w:rsid w:val="005664BB"/>
    <w:rsid w:val="00566FFA"/>
    <w:rsid w:val="0057481D"/>
    <w:rsid w:val="00581883"/>
    <w:rsid w:val="0058486E"/>
    <w:rsid w:val="00585B33"/>
    <w:rsid w:val="0059014D"/>
    <w:rsid w:val="005B5C64"/>
    <w:rsid w:val="005C5337"/>
    <w:rsid w:val="005C6BD0"/>
    <w:rsid w:val="005D1C8B"/>
    <w:rsid w:val="005D468D"/>
    <w:rsid w:val="005D5CED"/>
    <w:rsid w:val="005F14C8"/>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C1A8C"/>
    <w:rsid w:val="006F020C"/>
    <w:rsid w:val="007127B7"/>
    <w:rsid w:val="0071798E"/>
    <w:rsid w:val="007416B6"/>
    <w:rsid w:val="00746F48"/>
    <w:rsid w:val="0075404D"/>
    <w:rsid w:val="00757A08"/>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A4764"/>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1E06"/>
    <w:rsid w:val="009F2A13"/>
    <w:rsid w:val="009F7527"/>
    <w:rsid w:val="00A04EB0"/>
    <w:rsid w:val="00A13CC1"/>
    <w:rsid w:val="00A16847"/>
    <w:rsid w:val="00A237D8"/>
    <w:rsid w:val="00A268C4"/>
    <w:rsid w:val="00A307CD"/>
    <w:rsid w:val="00A331C8"/>
    <w:rsid w:val="00A40A00"/>
    <w:rsid w:val="00A4142F"/>
    <w:rsid w:val="00A422EB"/>
    <w:rsid w:val="00A45BB7"/>
    <w:rsid w:val="00A45C19"/>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39AD"/>
    <w:rsid w:val="00B77EA6"/>
    <w:rsid w:val="00B81598"/>
    <w:rsid w:val="00B841F1"/>
    <w:rsid w:val="00B944D6"/>
    <w:rsid w:val="00BB4DF0"/>
    <w:rsid w:val="00BC289F"/>
    <w:rsid w:val="00BC2D50"/>
    <w:rsid w:val="00BC5361"/>
    <w:rsid w:val="00BC5460"/>
    <w:rsid w:val="00BC6B50"/>
    <w:rsid w:val="00BD0E25"/>
    <w:rsid w:val="00BE3908"/>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3057"/>
    <w:rsid w:val="00CB118C"/>
    <w:rsid w:val="00CB1A24"/>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0B71"/>
    <w:rsid w:val="00DA634F"/>
    <w:rsid w:val="00DA65AC"/>
    <w:rsid w:val="00DB1913"/>
    <w:rsid w:val="00DB541F"/>
    <w:rsid w:val="00DC410D"/>
    <w:rsid w:val="00DC5A81"/>
    <w:rsid w:val="00DC68CA"/>
    <w:rsid w:val="00DC7CBA"/>
    <w:rsid w:val="00DD0D6E"/>
    <w:rsid w:val="00DD73B7"/>
    <w:rsid w:val="00DF28BC"/>
    <w:rsid w:val="00DF34B9"/>
    <w:rsid w:val="00DF41E2"/>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4362"/>
    <w:rsid w:val="00EF4C34"/>
    <w:rsid w:val="00EF77C6"/>
    <w:rsid w:val="00F05438"/>
    <w:rsid w:val="00F05F5C"/>
    <w:rsid w:val="00F1361C"/>
    <w:rsid w:val="00F156F0"/>
    <w:rsid w:val="00F160C7"/>
    <w:rsid w:val="00F2408F"/>
    <w:rsid w:val="00F240E9"/>
    <w:rsid w:val="00F30E99"/>
    <w:rsid w:val="00F36D8F"/>
    <w:rsid w:val="00F417B1"/>
    <w:rsid w:val="00F45853"/>
    <w:rsid w:val="00F602DF"/>
    <w:rsid w:val="00F71C4B"/>
    <w:rsid w:val="00F734EF"/>
    <w:rsid w:val="00F754A1"/>
    <w:rsid w:val="00F81FD9"/>
    <w:rsid w:val="00F841AA"/>
    <w:rsid w:val="00F84A94"/>
    <w:rsid w:val="00F87E96"/>
    <w:rsid w:val="00FA23E8"/>
    <w:rsid w:val="00FD3CC1"/>
    <w:rsid w:val="00FF1E02"/>
    <w:rsid w:val="00FF30B4"/>
    <w:rsid w:val="015975B8"/>
    <w:rsid w:val="02143E91"/>
    <w:rsid w:val="04DA6AFA"/>
    <w:rsid w:val="052F73DF"/>
    <w:rsid w:val="05A84156"/>
    <w:rsid w:val="066E0107"/>
    <w:rsid w:val="07996F6E"/>
    <w:rsid w:val="07AA0D3A"/>
    <w:rsid w:val="07AF4ECA"/>
    <w:rsid w:val="0A2032A3"/>
    <w:rsid w:val="0C6D5F98"/>
    <w:rsid w:val="0F100C45"/>
    <w:rsid w:val="0F98263C"/>
    <w:rsid w:val="101860EC"/>
    <w:rsid w:val="10AD6EE0"/>
    <w:rsid w:val="10C055FF"/>
    <w:rsid w:val="118107EC"/>
    <w:rsid w:val="11D33A1A"/>
    <w:rsid w:val="13D50BC4"/>
    <w:rsid w:val="16BB723D"/>
    <w:rsid w:val="16C46D32"/>
    <w:rsid w:val="1A905DA4"/>
    <w:rsid w:val="1AA44EB0"/>
    <w:rsid w:val="1BE8440E"/>
    <w:rsid w:val="1D155CEE"/>
    <w:rsid w:val="1FF35744"/>
    <w:rsid w:val="200D34F7"/>
    <w:rsid w:val="2309405D"/>
    <w:rsid w:val="232A0AC6"/>
    <w:rsid w:val="23860B96"/>
    <w:rsid w:val="240371BF"/>
    <w:rsid w:val="276500BD"/>
    <w:rsid w:val="279D7857"/>
    <w:rsid w:val="27DA63B5"/>
    <w:rsid w:val="27E92788"/>
    <w:rsid w:val="293E71B5"/>
    <w:rsid w:val="29FD04D3"/>
    <w:rsid w:val="2A61691A"/>
    <w:rsid w:val="2B715CEA"/>
    <w:rsid w:val="2BC362DB"/>
    <w:rsid w:val="2C8A61B5"/>
    <w:rsid w:val="2CD47877"/>
    <w:rsid w:val="2D443D65"/>
    <w:rsid w:val="2DF04E50"/>
    <w:rsid w:val="2F040D46"/>
    <w:rsid w:val="319F7F4E"/>
    <w:rsid w:val="31EA5447"/>
    <w:rsid w:val="32955609"/>
    <w:rsid w:val="3304709D"/>
    <w:rsid w:val="330765F0"/>
    <w:rsid w:val="36AA5135"/>
    <w:rsid w:val="376D39B2"/>
    <w:rsid w:val="37E16F03"/>
    <w:rsid w:val="38D469F0"/>
    <w:rsid w:val="39664913"/>
    <w:rsid w:val="3CCB7F4E"/>
    <w:rsid w:val="3D98207C"/>
    <w:rsid w:val="3DD05E38"/>
    <w:rsid w:val="3E4E35BC"/>
    <w:rsid w:val="3E78745D"/>
    <w:rsid w:val="41137847"/>
    <w:rsid w:val="428D6AB0"/>
    <w:rsid w:val="44330ECF"/>
    <w:rsid w:val="44E268DA"/>
    <w:rsid w:val="4A627F82"/>
    <w:rsid w:val="4A825F74"/>
    <w:rsid w:val="4B0E749A"/>
    <w:rsid w:val="4B4F25DA"/>
    <w:rsid w:val="4BE068DB"/>
    <w:rsid w:val="4BE96D98"/>
    <w:rsid w:val="4D577224"/>
    <w:rsid w:val="4DFE7224"/>
    <w:rsid w:val="4E475E11"/>
    <w:rsid w:val="4EAB630A"/>
    <w:rsid w:val="4ECE2238"/>
    <w:rsid w:val="50F43794"/>
    <w:rsid w:val="51EE6435"/>
    <w:rsid w:val="537E6D0A"/>
    <w:rsid w:val="586B6CE9"/>
    <w:rsid w:val="5A6B2D19"/>
    <w:rsid w:val="5AF92295"/>
    <w:rsid w:val="5CD71FC4"/>
    <w:rsid w:val="5D7008F2"/>
    <w:rsid w:val="5DF70D68"/>
    <w:rsid w:val="5F427DC1"/>
    <w:rsid w:val="62DD2CFB"/>
    <w:rsid w:val="65931376"/>
    <w:rsid w:val="67362901"/>
    <w:rsid w:val="69A2602B"/>
    <w:rsid w:val="6A2B4273"/>
    <w:rsid w:val="6AE54422"/>
    <w:rsid w:val="6C4A05C8"/>
    <w:rsid w:val="6E7E3605"/>
    <w:rsid w:val="6F481423"/>
    <w:rsid w:val="6F552143"/>
    <w:rsid w:val="6FF5CC65"/>
    <w:rsid w:val="6FFC6826"/>
    <w:rsid w:val="702E47F0"/>
    <w:rsid w:val="711E68DF"/>
    <w:rsid w:val="715C0E4B"/>
    <w:rsid w:val="718D5813"/>
    <w:rsid w:val="72734D90"/>
    <w:rsid w:val="73AD73D5"/>
    <w:rsid w:val="73B6EB34"/>
    <w:rsid w:val="744731E5"/>
    <w:rsid w:val="754D7793"/>
    <w:rsid w:val="76C42A07"/>
    <w:rsid w:val="76E3355F"/>
    <w:rsid w:val="778769C8"/>
    <w:rsid w:val="786D3CA8"/>
    <w:rsid w:val="79EE5BA4"/>
    <w:rsid w:val="7A894339"/>
    <w:rsid w:val="7C1D0558"/>
    <w:rsid w:val="7D850A26"/>
    <w:rsid w:val="7DCF4ABD"/>
    <w:rsid w:val="7E4644B2"/>
    <w:rsid w:val="7ED53D9B"/>
    <w:rsid w:val="7EEF11D3"/>
    <w:rsid w:val="7FA30C79"/>
    <w:rsid w:val="7FB7269E"/>
    <w:rsid w:val="7FC96657"/>
    <w:rsid w:val="D8D6DB89"/>
    <w:rsid w:val="DB6F4CAB"/>
    <w:rsid w:val="DF6F9789"/>
    <w:rsid w:val="FD95DE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2"/>
    <w:qFormat/>
    <w:uiPriority w:val="9"/>
    <w:rPr>
      <w:rFonts w:ascii="Times New Roman" w:hAnsi="Times New Roman"/>
      <w:b/>
      <w:bCs/>
      <w:kern w:val="44"/>
      <w:sz w:val="44"/>
      <w:szCs w:val="44"/>
    </w:rPr>
  </w:style>
  <w:style w:type="character" w:customStyle="1" w:styleId="29">
    <w:name w:val="标题 2 字符"/>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8"/>
    <w:semiHidden/>
    <w:qFormat/>
    <w:uiPriority w:val="99"/>
    <w:rPr>
      <w:rFonts w:ascii="Times New Roman" w:hAnsi="Times New Roman"/>
      <w:kern w:val="2"/>
      <w:sz w:val="18"/>
      <w:szCs w:val="18"/>
    </w:rPr>
  </w:style>
  <w:style w:type="character" w:customStyle="1" w:styleId="32">
    <w:name w:val="标题 3 字符"/>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WPSOffice手动目录 1"/>
    <w:unhideWhenUsed/>
    <w:qFormat/>
    <w:uiPriority w:val="0"/>
    <w:rPr>
      <w:rFonts w:hint="eastAsia" w:ascii="Times New Roman" w:hAnsi="Times New Roman" w:eastAsia="Times New Roman" w:cs="Times New Roman"/>
      <w:lang w:val="en-US" w:eastAsia="zh-CN" w:bidi="ar-SA"/>
    </w:rPr>
  </w:style>
  <w:style w:type="paragraph" w:customStyle="1" w:styleId="36">
    <w:name w:val="WPSOffice手动目录 2"/>
    <w:unhideWhenUsed/>
    <w:qFormat/>
    <w:uiPriority w:val="0"/>
    <w:pPr>
      <w:ind w:left="200" w:leftChars="200"/>
    </w:pPr>
    <w:rPr>
      <w:rFonts w:hint="eastAsia"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2&#24180;&#24037;&#20316;\2022&#24180;&#36130;&#21153;\2021&#24180;&#20915;&#31639;&#20844;&#24320;\&#30011;&#22270;&#24037;&#2085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2&#24180;&#24037;&#20316;\2022&#24180;&#36130;&#21153;\2021&#24180;&#20915;&#31639;&#20844;&#24320;\&#30011;&#22270;&#24037;&#20855;.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rgbClr val="1F497D"/>
                </a:solidFill>
                <a:latin typeface="+mn-lt"/>
                <a:ea typeface="+mn-ea"/>
                <a:cs typeface="+mn-cs"/>
              </a:defRPr>
            </a:pPr>
            <a:r>
              <a:rPr lang="en-US" altLang="zh-CN"/>
              <a:t>             收、支决算总计变动情况图                      （单位：万元）</a:t>
            </a:r>
            <a:endParaRPr lang="en-US" altLang="zh-CN"/>
          </a:p>
        </c:rich>
      </c:tx>
      <c:layout/>
      <c:overlay val="false"/>
      <c:spPr>
        <a:noFill/>
        <a:ln>
          <a:noFill/>
        </a:ln>
        <a:effectLst/>
      </c:spPr>
    </c:title>
    <c:autoTitleDeleted val="false"/>
    <c:plotArea>
      <c:layout>
        <c:manualLayout>
          <c:layoutTarget val="inner"/>
          <c:xMode val="edge"/>
          <c:yMode val="edge"/>
          <c:x val="0.0925833333333333"/>
          <c:y val="0.271296296296296"/>
          <c:w val="0.869361111111111"/>
          <c:h val="0.50587962962963"/>
        </c:manualLayout>
      </c:layout>
      <c:barChart>
        <c:barDir val="col"/>
        <c:grouping val="clustered"/>
        <c:varyColors val="false"/>
        <c:ser>
          <c:idx val="0"/>
          <c:order val="0"/>
          <c:tx>
            <c:strRef>
              <c:f>[画图工具.xlsx]收支总计!$B$1</c:f>
              <c:strCache>
                <c:ptCount val="1"/>
                <c:pt idx="0">
                  <c:v>收入决算数</c:v>
                </c:pt>
              </c:strCache>
            </c:strRef>
          </c:tx>
          <c:spPr>
            <a:gradFill rotWithShape="true">
              <a:gsLst>
                <a:gs pos="0">
                  <a:srgbClr val="2C5D98">
                    <a:shade val="51000"/>
                    <a:satMod val="130000"/>
                  </a:srgbClr>
                </a:gs>
                <a:gs pos="80000">
                  <a:srgbClr val="3C7BC7">
                    <a:shade val="93000"/>
                    <a:satMod val="130000"/>
                  </a:srgbClr>
                </a:gs>
                <a:gs pos="100000">
                  <a:srgbClr val="3A7CCB">
                    <a:shade val="94000"/>
                    <a:satMod val="135000"/>
                  </a:srgbClr>
                </a:gs>
              </a:gsLst>
              <a:lin ang="16200000" scaled="false"/>
            </a:gradFill>
            <a:ln>
              <a:noFill/>
            </a:ln>
            <a:effectLst>
              <a:outerShdw blurRad="40000" dist="23000" dir="5400000" rotWithShape="0">
                <a:srgbClr val="000000">
                  <a:alpha val="35000"/>
                </a:srgbClr>
              </a:outerShdw>
            </a:effectLst>
          </c:spPr>
          <c:invertIfNegative val="false"/>
          <c:dLbls>
            <c:dLbl>
              <c:idx val="0"/>
              <c:layout/>
              <c:tx>
                <c:rich>
                  <a:bodyPr rot="0" spcFirstLastPara="0" vertOverflow="ellipsis" vert="horz" wrap="square" lIns="38100" tIns="19050" rIns="38100" bIns="19050" anchor="ctr" anchorCtr="true"/>
                  <a:lstStyle/>
                  <a:p>
                    <a:pPr>
                      <a:defRPr lang="zh-CN" sz="900" b="0" i="0" u="none" strike="noStrike" kern="1200" baseline="0">
                        <a:solidFill>
                          <a:srgbClr val="1F497D"/>
                        </a:solidFill>
                        <a:latin typeface="+mn-lt"/>
                        <a:ea typeface="+mn-ea"/>
                        <a:cs typeface="+mn-cs"/>
                      </a:defRPr>
                    </a:pPr>
                    <a:r>
                      <a:rPr lang="en-US" altLang="zh-CN"/>
                      <a:t>231.64</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900" b="0" i="0" u="none" strike="noStrike" kern="1200" baseline="0">
                        <a:solidFill>
                          <a:srgbClr val="1F497D"/>
                        </a:solidFill>
                        <a:latin typeface="+mn-lt"/>
                        <a:ea typeface="+mn-ea"/>
                        <a:cs typeface="+mn-cs"/>
                      </a:defRPr>
                    </a:pPr>
                    <a:r>
                      <a:rPr lang="en-US" altLang="zh-CN"/>
                      <a:t>99.22</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1F497D"/>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rgbClr val="9CBDE6">
                          <a:lumMod val="35000"/>
                          <a:lumOff val="65000"/>
                        </a:srgbClr>
                      </a:solidFill>
                    </a:ln>
                    <a:effectLst/>
                  </c:spPr>
                </c15:leaderLines>
              </c:ext>
            </c:extLst>
          </c:dLbls>
          <c:cat>
            <c:strRef>
              <c:f>[画图工具.xlsx]收支总计!$A$2:$A$6</c:f>
              <c:strCache>
                <c:ptCount val="5"/>
                <c:pt idx="0">
                  <c:v>2021年</c:v>
                </c:pt>
                <c:pt idx="1">
                  <c:v>2022年</c:v>
                </c:pt>
                <c:pt idx="2">
                  <c:v>2021年</c:v>
                </c:pt>
                <c:pt idx="3">
                  <c:v>2022年</c:v>
                </c:pt>
              </c:strCache>
            </c:strRef>
          </c:cat>
          <c:val>
            <c:numRef>
              <c:f>[画图工具.xlsx]收支总计!$B$2:$B$6</c:f>
              <c:numCache>
                <c:formatCode>General</c:formatCode>
                <c:ptCount val="5"/>
                <c:pt idx="0">
                  <c:v>11398.75</c:v>
                </c:pt>
                <c:pt idx="1">
                  <c:v>9189.08</c:v>
                </c:pt>
              </c:numCache>
            </c:numRef>
          </c:val>
        </c:ser>
        <c:ser>
          <c:idx val="1"/>
          <c:order val="1"/>
          <c:tx>
            <c:strRef>
              <c:f>[画图工具.xlsx]收支总计!$C$1</c:f>
              <c:strCache>
                <c:ptCount val="1"/>
                <c:pt idx="0">
                  <c:v>支出决算数</c:v>
                </c:pt>
              </c:strCache>
            </c:strRef>
          </c:tx>
          <c:spPr>
            <a:gradFill rotWithShape="true">
              <a:gsLst>
                <a:gs pos="0">
                  <a:srgbClr val="9B2D2A">
                    <a:shade val="51000"/>
                    <a:satMod val="130000"/>
                  </a:srgbClr>
                </a:gs>
                <a:gs pos="80000">
                  <a:srgbClr val="CB3D3A">
                    <a:shade val="93000"/>
                    <a:satMod val="130000"/>
                  </a:srgbClr>
                </a:gs>
                <a:gs pos="100000">
                  <a:srgbClr val="CE3B37">
                    <a:shade val="94000"/>
                    <a:satMod val="135000"/>
                  </a:srgbClr>
                </a:gs>
              </a:gsLst>
              <a:lin ang="16200000" scaled="false"/>
            </a:gradFill>
            <a:ln>
              <a:noFill/>
            </a:ln>
            <a:effectLst>
              <a:outerShdw blurRad="40000" dist="23000" dir="5400000" rotWithShape="0">
                <a:srgbClr val="000000">
                  <a:alpha val="35000"/>
                </a:srgbClr>
              </a:outerShdw>
            </a:effectLst>
          </c:spPr>
          <c:invertIfNegative val="false"/>
          <c:dLbls>
            <c:dLbl>
              <c:idx val="2"/>
              <c:layout/>
              <c:tx>
                <c:rich>
                  <a:bodyPr rot="0" spcFirstLastPara="0" vertOverflow="ellipsis" vert="horz" wrap="square" lIns="38100" tIns="19050" rIns="38100" bIns="19050" anchor="ctr" anchorCtr="true"/>
                  <a:lstStyle/>
                  <a:p>
                    <a:pPr>
                      <a:defRPr lang="zh-CN" sz="900" b="0" i="0" u="none" strike="noStrike" kern="1200" baseline="0">
                        <a:solidFill>
                          <a:srgbClr val="1F497D"/>
                        </a:solidFill>
                        <a:latin typeface="+mn-lt"/>
                        <a:ea typeface="+mn-ea"/>
                        <a:cs typeface="+mn-cs"/>
                      </a:defRPr>
                    </a:pPr>
                    <a:r>
                      <a:rPr lang="en-US" altLang="zh-CN"/>
                      <a:t>231.64</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true"/>
                  <a:lstStyle/>
                  <a:p>
                    <a:pPr>
                      <a:defRPr lang="zh-CN" sz="900" b="0" i="0" u="none" strike="noStrike" kern="1200" baseline="0">
                        <a:solidFill>
                          <a:srgbClr val="1F497D"/>
                        </a:solidFill>
                        <a:latin typeface="+mn-lt"/>
                        <a:ea typeface="+mn-ea"/>
                        <a:cs typeface="+mn-cs"/>
                      </a:defRPr>
                    </a:pPr>
                    <a:r>
                      <a:rPr lang="en-US" altLang="zh-CN"/>
                      <a:t>99.22</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1F497D"/>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rgbClr val="9CBDE6">
                          <a:lumMod val="35000"/>
                          <a:lumOff val="65000"/>
                        </a:srgbClr>
                      </a:solidFill>
                    </a:ln>
                    <a:effectLst/>
                  </c:spPr>
                </c15:leaderLines>
              </c:ext>
            </c:extLst>
          </c:dLbls>
          <c:cat>
            <c:strRef>
              <c:f>[画图工具.xlsx]收支总计!$A$2:$A$6</c:f>
              <c:strCache>
                <c:ptCount val="5"/>
                <c:pt idx="0">
                  <c:v>2021年</c:v>
                </c:pt>
                <c:pt idx="1">
                  <c:v>2022年</c:v>
                </c:pt>
                <c:pt idx="2">
                  <c:v>2021年</c:v>
                </c:pt>
                <c:pt idx="3">
                  <c:v>2022年</c:v>
                </c:pt>
              </c:strCache>
            </c:strRef>
          </c:cat>
          <c:val>
            <c:numRef>
              <c:f>[画图工具.xlsx]收支总计!$C$2:$C$6</c:f>
              <c:numCache>
                <c:formatCode>General</c:formatCode>
                <c:ptCount val="5"/>
                <c:pt idx="2">
                  <c:v>7402.55</c:v>
                </c:pt>
                <c:pt idx="3">
                  <c:v>9189.08</c:v>
                </c:pt>
              </c:numCache>
            </c:numRef>
          </c:val>
        </c:ser>
        <c:ser>
          <c:idx val="2"/>
          <c:order val="2"/>
          <c:tx>
            <c:strRef>
              <c:f>[画图工具.xlsx]收支总计!$D$1</c:f>
              <c:strCache>
                <c:ptCount val="1"/>
                <c:pt idx="0">
                  <c:v/>
                </c:pt>
              </c:strCache>
            </c:strRef>
          </c:tx>
          <c:spPr>
            <a:gradFill rotWithShape="true">
              <a:gsLst>
                <a:gs pos="0">
                  <a:srgbClr val="769535">
                    <a:shade val="51000"/>
                    <a:satMod val="130000"/>
                  </a:srgbClr>
                </a:gs>
                <a:gs pos="80000">
                  <a:srgbClr val="9BC348">
                    <a:shade val="93000"/>
                    <a:satMod val="130000"/>
                  </a:srgbClr>
                </a:gs>
                <a:gs pos="100000">
                  <a:srgbClr val="9CC746">
                    <a:shade val="94000"/>
                    <a:satMod val="135000"/>
                  </a:srgb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[画图工具.xlsx]收支总计!$A$2:$A$6</c:f>
              <c:strCache>
                <c:ptCount val="5"/>
                <c:pt idx="0">
                  <c:v>2021年</c:v>
                </c:pt>
                <c:pt idx="1">
                  <c:v>2022年</c:v>
                </c:pt>
                <c:pt idx="2">
                  <c:v>2021年</c:v>
                </c:pt>
                <c:pt idx="3">
                  <c:v>2022年</c:v>
                </c:pt>
              </c:strCache>
            </c:strRef>
          </c:cat>
          <c:val>
            <c:numRef>
              <c:f>[画图工具.xlsx]收支总计!$D$2:$D$6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727424"/>
        <c:axId val="250745600"/>
      </c:barChart>
      <c:catAx>
        <c:axId val="250727424"/>
        <c:scaling>
          <c:orientation val="minMax"/>
        </c:scaling>
        <c:delete val="false"/>
        <c:axPos val="b"/>
        <c:numFmt formatCode="General" sourceLinked="false"/>
        <c:majorTickMark val="none"/>
        <c:minorTickMark val="none"/>
        <c:tickLblPos val="nextTo"/>
        <c:spPr>
          <a:noFill/>
          <a:ln w="9525" cap="flat" cmpd="sng" algn="ctr">
            <a:solidFill>
              <a:srgbClr val="D4E3F4">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1F497D"/>
                </a:solidFill>
                <a:latin typeface="+mn-lt"/>
                <a:ea typeface="+mn-ea"/>
                <a:cs typeface="+mn-cs"/>
              </a:defRPr>
            </a:pPr>
          </a:p>
        </c:txPr>
        <c:crossAx val="250745600"/>
        <c:crosses val="autoZero"/>
        <c:auto val="true"/>
        <c:lblAlgn val="ctr"/>
        <c:lblOffset val="100"/>
        <c:noMultiLvlLbl val="false"/>
      </c:catAx>
      <c:valAx>
        <c:axId val="250745600"/>
        <c:scaling>
          <c:orientation val="minMax"/>
        </c:scaling>
        <c:delete val="false"/>
        <c:axPos val="l"/>
        <c:majorGridlines>
          <c:spPr>
            <a:ln w="9525" cap="flat" cmpd="sng" algn="ctr">
              <a:solidFill>
                <a:srgbClr val="D4E3F4">
                  <a:lumMod val="15000"/>
                  <a:lumOff val="85000"/>
                </a:srgb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1F497D"/>
                </a:solidFill>
                <a:latin typeface="+mn-lt"/>
                <a:ea typeface="+mn-ea"/>
                <a:cs typeface="+mn-cs"/>
              </a:defRPr>
            </a:pPr>
          </a:p>
        </c:txPr>
        <c:crossAx val="2507274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1F497D"/>
              </a:solidFill>
              <a:latin typeface="+mn-lt"/>
              <a:ea typeface="+mn-ea"/>
              <a:cs typeface="+mn-cs"/>
            </a:defRPr>
          </a:pPr>
        </a:p>
      </c:txPr>
    </c:legend>
    <c:plotVisOnly val="true"/>
    <c:dispBlanksAs val="gap"/>
    <c:showDLblsOverMax val="false"/>
  </c:chart>
  <c:spPr>
    <a:solidFill>
      <a:srgbClr val="FFFFFF"/>
    </a:solidFill>
    <a:ln w="9525" cap="flat" cmpd="sng" algn="ctr">
      <a:solidFill>
        <a:srgbClr val="D4E3F4">
          <a:lumMod val="15000"/>
          <a:lumOff val="85000"/>
        </a:srgb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rgbClr val="1F497D"/>
                </a:solidFill>
                <a:latin typeface="+mn-lt"/>
                <a:ea typeface="+mn-ea"/>
                <a:cs typeface="+mn-cs"/>
              </a:defRPr>
            </a:pPr>
            <a:r>
              <a:rPr lang="en-US" altLang="zh-CN"/>
              <a:t>             收、支决算总计变动情况图                      （单位：万元）</a:t>
            </a:r>
            <a:endParaRPr lang="en-US" altLang="zh-CN"/>
          </a:p>
        </c:rich>
      </c:tx>
      <c:layout/>
      <c:overlay val="false"/>
      <c:spPr>
        <a:noFill/>
        <a:ln>
          <a:noFill/>
        </a:ln>
        <a:effectLst/>
      </c:spPr>
    </c:title>
    <c:autoTitleDeleted val="false"/>
    <c:plotArea>
      <c:layout>
        <c:manualLayout>
          <c:layoutTarget val="inner"/>
          <c:xMode val="edge"/>
          <c:yMode val="edge"/>
          <c:x val="0.0925833333333333"/>
          <c:y val="0.271296296296296"/>
          <c:w val="0.869361111111111"/>
          <c:h val="0.50587962962963"/>
        </c:manualLayout>
      </c:layout>
      <c:barChart>
        <c:barDir val="col"/>
        <c:grouping val="clustered"/>
        <c:varyColors val="false"/>
        <c:ser>
          <c:idx val="0"/>
          <c:order val="0"/>
          <c:tx>
            <c:strRef>
              <c:f>[画图工具.xlsx]收支总计!$B$1</c:f>
              <c:strCache>
                <c:ptCount val="1"/>
                <c:pt idx="0">
                  <c:v>收入决算数</c:v>
                </c:pt>
              </c:strCache>
            </c:strRef>
          </c:tx>
          <c:spPr>
            <a:gradFill rotWithShape="true">
              <a:gsLst>
                <a:gs pos="0">
                  <a:srgbClr val="2C5D98">
                    <a:shade val="51000"/>
                    <a:satMod val="130000"/>
                  </a:srgbClr>
                </a:gs>
                <a:gs pos="80000">
                  <a:srgbClr val="3C7BC7">
                    <a:shade val="93000"/>
                    <a:satMod val="130000"/>
                  </a:srgbClr>
                </a:gs>
                <a:gs pos="100000">
                  <a:srgbClr val="3A7CCB">
                    <a:shade val="94000"/>
                    <a:satMod val="135000"/>
                  </a:srgbClr>
                </a:gs>
              </a:gsLst>
              <a:lin ang="16200000" scaled="false"/>
            </a:gradFill>
            <a:ln>
              <a:noFill/>
            </a:ln>
            <a:effectLst>
              <a:outerShdw blurRad="40000" dist="23000" dir="5400000" rotWithShape="0">
                <a:srgbClr val="000000">
                  <a:alpha val="35000"/>
                </a:srgbClr>
              </a:outerShdw>
            </a:effectLst>
          </c:spPr>
          <c:invertIfNegative val="false"/>
          <c:dLbls>
            <c:dLbl>
              <c:idx val="0"/>
              <c:layout/>
              <c:tx>
                <c:rich>
                  <a:bodyPr rot="0" spcFirstLastPara="0" vertOverflow="ellipsis" vert="horz" wrap="square" lIns="38100" tIns="19050" rIns="38100" bIns="19050" anchor="ctr" anchorCtr="true"/>
                  <a:lstStyle/>
                  <a:p>
                    <a:pPr>
                      <a:defRPr lang="zh-CN" sz="900" b="0" i="0" u="none" strike="noStrike" kern="1200" baseline="0">
                        <a:solidFill>
                          <a:srgbClr val="1F497D"/>
                        </a:solidFill>
                        <a:latin typeface="+mn-lt"/>
                        <a:ea typeface="+mn-ea"/>
                        <a:cs typeface="+mn-cs"/>
                      </a:defRPr>
                    </a:pPr>
                    <a:r>
                      <a:rPr lang="en-US" altLang="zh-CN"/>
                      <a:t>231.64</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900" b="0" i="0" u="none" strike="noStrike" kern="1200" baseline="0">
                        <a:solidFill>
                          <a:srgbClr val="1F497D"/>
                        </a:solidFill>
                        <a:latin typeface="+mn-lt"/>
                        <a:ea typeface="+mn-ea"/>
                        <a:cs typeface="+mn-cs"/>
                      </a:defRPr>
                    </a:pPr>
                    <a:r>
                      <a:rPr lang="en-US" altLang="zh-CN"/>
                      <a:t>99.22</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1F497D"/>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rgbClr val="9CBDE6">
                          <a:lumMod val="35000"/>
                          <a:lumOff val="65000"/>
                        </a:srgbClr>
                      </a:solidFill>
                    </a:ln>
                    <a:effectLst/>
                  </c:spPr>
                </c15:leaderLines>
              </c:ext>
            </c:extLst>
          </c:dLbls>
          <c:cat>
            <c:strRef>
              <c:f>[画图工具.xlsx]收支总计!$A$2:$A$6</c:f>
              <c:strCache>
                <c:ptCount val="5"/>
                <c:pt idx="0">
                  <c:v>2021年</c:v>
                </c:pt>
                <c:pt idx="1">
                  <c:v>2022年</c:v>
                </c:pt>
                <c:pt idx="2">
                  <c:v>2021年</c:v>
                </c:pt>
                <c:pt idx="3">
                  <c:v>2022年</c:v>
                </c:pt>
              </c:strCache>
            </c:strRef>
          </c:cat>
          <c:val>
            <c:numRef>
              <c:f>[画图工具.xlsx]收支总计!$B$2:$B$6</c:f>
              <c:numCache>
                <c:formatCode>General</c:formatCode>
                <c:ptCount val="5"/>
                <c:pt idx="0">
                  <c:v>11398.75</c:v>
                </c:pt>
                <c:pt idx="1">
                  <c:v>9189.08</c:v>
                </c:pt>
              </c:numCache>
            </c:numRef>
          </c:val>
        </c:ser>
        <c:ser>
          <c:idx val="1"/>
          <c:order val="1"/>
          <c:tx>
            <c:strRef>
              <c:f>[画图工具.xlsx]收支总计!$C$1</c:f>
              <c:strCache>
                <c:ptCount val="1"/>
                <c:pt idx="0">
                  <c:v>支出决算数</c:v>
                </c:pt>
              </c:strCache>
            </c:strRef>
          </c:tx>
          <c:spPr>
            <a:gradFill rotWithShape="true">
              <a:gsLst>
                <a:gs pos="0">
                  <a:srgbClr val="9B2D2A">
                    <a:shade val="51000"/>
                    <a:satMod val="130000"/>
                  </a:srgbClr>
                </a:gs>
                <a:gs pos="80000">
                  <a:srgbClr val="CB3D3A">
                    <a:shade val="93000"/>
                    <a:satMod val="130000"/>
                  </a:srgbClr>
                </a:gs>
                <a:gs pos="100000">
                  <a:srgbClr val="CE3B37">
                    <a:shade val="94000"/>
                    <a:satMod val="135000"/>
                  </a:srgbClr>
                </a:gs>
              </a:gsLst>
              <a:lin ang="16200000" scaled="false"/>
            </a:gradFill>
            <a:ln>
              <a:noFill/>
            </a:ln>
            <a:effectLst>
              <a:outerShdw blurRad="40000" dist="23000" dir="5400000" rotWithShape="0">
                <a:srgbClr val="000000">
                  <a:alpha val="35000"/>
                </a:srgbClr>
              </a:outerShdw>
            </a:effectLst>
          </c:spPr>
          <c:invertIfNegative val="false"/>
          <c:dLbls>
            <c:dLbl>
              <c:idx val="2"/>
              <c:layout/>
              <c:tx>
                <c:rich>
                  <a:bodyPr rot="0" spcFirstLastPara="0" vertOverflow="ellipsis" vert="horz" wrap="square" lIns="38100" tIns="19050" rIns="38100" bIns="19050" anchor="ctr" anchorCtr="true"/>
                  <a:lstStyle/>
                  <a:p>
                    <a:pPr>
                      <a:defRPr lang="zh-CN" sz="900" b="0" i="0" u="none" strike="noStrike" kern="1200" baseline="0">
                        <a:solidFill>
                          <a:srgbClr val="1F497D"/>
                        </a:solidFill>
                        <a:latin typeface="+mn-lt"/>
                        <a:ea typeface="+mn-ea"/>
                        <a:cs typeface="+mn-cs"/>
                      </a:defRPr>
                    </a:pPr>
                    <a:r>
                      <a:rPr lang="en-US" altLang="zh-CN"/>
                      <a:t>231.64</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true"/>
                  <a:lstStyle/>
                  <a:p>
                    <a:pPr>
                      <a:defRPr lang="zh-CN" sz="900" b="0" i="0" u="none" strike="noStrike" kern="1200" baseline="0">
                        <a:solidFill>
                          <a:srgbClr val="1F497D"/>
                        </a:solidFill>
                        <a:latin typeface="+mn-lt"/>
                        <a:ea typeface="+mn-ea"/>
                        <a:cs typeface="+mn-cs"/>
                      </a:defRPr>
                    </a:pPr>
                    <a:r>
                      <a:rPr lang="en-US" altLang="zh-CN"/>
                      <a:t>99.22</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1F497D"/>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rgbClr val="9CBDE6">
                          <a:lumMod val="35000"/>
                          <a:lumOff val="65000"/>
                        </a:srgbClr>
                      </a:solidFill>
                    </a:ln>
                    <a:effectLst/>
                  </c:spPr>
                </c15:leaderLines>
              </c:ext>
            </c:extLst>
          </c:dLbls>
          <c:cat>
            <c:strRef>
              <c:f>[画图工具.xlsx]收支总计!$A$2:$A$6</c:f>
              <c:strCache>
                <c:ptCount val="5"/>
                <c:pt idx="0">
                  <c:v>2021年</c:v>
                </c:pt>
                <c:pt idx="1">
                  <c:v>2022年</c:v>
                </c:pt>
                <c:pt idx="2">
                  <c:v>2021年</c:v>
                </c:pt>
                <c:pt idx="3">
                  <c:v>2022年</c:v>
                </c:pt>
              </c:strCache>
            </c:strRef>
          </c:cat>
          <c:val>
            <c:numRef>
              <c:f>[画图工具.xlsx]收支总计!$C$2:$C$6</c:f>
              <c:numCache>
                <c:formatCode>General</c:formatCode>
                <c:ptCount val="5"/>
                <c:pt idx="2">
                  <c:v>7402.55</c:v>
                </c:pt>
                <c:pt idx="3">
                  <c:v>9189.08</c:v>
                </c:pt>
              </c:numCache>
            </c:numRef>
          </c:val>
        </c:ser>
        <c:ser>
          <c:idx val="2"/>
          <c:order val="2"/>
          <c:tx>
            <c:strRef>
              <c:f>[画图工具.xlsx]收支总计!$D$1</c:f>
              <c:strCache>
                <c:ptCount val="1"/>
                <c:pt idx="0">
                  <c:v/>
                </c:pt>
              </c:strCache>
            </c:strRef>
          </c:tx>
          <c:spPr>
            <a:gradFill rotWithShape="true">
              <a:gsLst>
                <a:gs pos="0">
                  <a:srgbClr val="769535">
                    <a:shade val="51000"/>
                    <a:satMod val="130000"/>
                  </a:srgbClr>
                </a:gs>
                <a:gs pos="80000">
                  <a:srgbClr val="9BC348">
                    <a:shade val="93000"/>
                    <a:satMod val="130000"/>
                  </a:srgbClr>
                </a:gs>
                <a:gs pos="100000">
                  <a:srgbClr val="9CC746">
                    <a:shade val="94000"/>
                    <a:satMod val="135000"/>
                  </a:srgb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[画图工具.xlsx]收支总计!$A$2:$A$6</c:f>
              <c:strCache>
                <c:ptCount val="5"/>
                <c:pt idx="0">
                  <c:v>2021年</c:v>
                </c:pt>
                <c:pt idx="1">
                  <c:v>2022年</c:v>
                </c:pt>
                <c:pt idx="2">
                  <c:v>2021年</c:v>
                </c:pt>
                <c:pt idx="3">
                  <c:v>2022年</c:v>
                </c:pt>
              </c:strCache>
            </c:strRef>
          </c:cat>
          <c:val>
            <c:numRef>
              <c:f>[画图工具.xlsx]收支总计!$D$2:$D$6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727424"/>
        <c:axId val="250745600"/>
      </c:barChart>
      <c:catAx>
        <c:axId val="250727424"/>
        <c:scaling>
          <c:orientation val="minMax"/>
        </c:scaling>
        <c:delete val="false"/>
        <c:axPos val="b"/>
        <c:numFmt formatCode="General" sourceLinked="false"/>
        <c:majorTickMark val="none"/>
        <c:minorTickMark val="none"/>
        <c:tickLblPos val="nextTo"/>
        <c:spPr>
          <a:noFill/>
          <a:ln w="9525" cap="flat" cmpd="sng" algn="ctr">
            <a:solidFill>
              <a:srgbClr val="D4E3F4">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1F497D"/>
                </a:solidFill>
                <a:latin typeface="+mn-lt"/>
                <a:ea typeface="+mn-ea"/>
                <a:cs typeface="+mn-cs"/>
              </a:defRPr>
            </a:pPr>
          </a:p>
        </c:txPr>
        <c:crossAx val="250745600"/>
        <c:crosses val="autoZero"/>
        <c:auto val="true"/>
        <c:lblAlgn val="ctr"/>
        <c:lblOffset val="100"/>
        <c:noMultiLvlLbl val="false"/>
      </c:catAx>
      <c:valAx>
        <c:axId val="250745600"/>
        <c:scaling>
          <c:orientation val="minMax"/>
        </c:scaling>
        <c:delete val="false"/>
        <c:axPos val="l"/>
        <c:majorGridlines>
          <c:spPr>
            <a:ln w="9525" cap="flat" cmpd="sng" algn="ctr">
              <a:solidFill>
                <a:srgbClr val="D4E3F4">
                  <a:lumMod val="15000"/>
                  <a:lumOff val="85000"/>
                </a:srgb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1F497D"/>
                </a:solidFill>
                <a:latin typeface="+mn-lt"/>
                <a:ea typeface="+mn-ea"/>
                <a:cs typeface="+mn-cs"/>
              </a:defRPr>
            </a:pPr>
          </a:p>
        </c:txPr>
        <c:crossAx val="2507274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1F497D"/>
              </a:solidFill>
              <a:latin typeface="+mn-lt"/>
              <a:ea typeface="+mn-ea"/>
              <a:cs typeface="+mn-cs"/>
            </a:defRPr>
          </a:pPr>
        </a:p>
      </c:txPr>
    </c:legend>
    <c:plotVisOnly val="true"/>
    <c:dispBlanksAs val="gap"/>
    <c:showDLblsOverMax val="false"/>
  </c:chart>
  <c:spPr>
    <a:solidFill>
      <a:srgbClr val="FFFFFF"/>
    </a:solidFill>
    <a:ln w="9525" cap="flat" cmpd="sng" algn="ctr">
      <a:solidFill>
        <a:srgbClr val="D4E3F4">
          <a:lumMod val="15000"/>
          <a:lumOff val="85000"/>
        </a:srgb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692101740294511"/>
          <c:y val="0.218242720948209"/>
          <c:w val="0.599866131191432"/>
          <c:h val="0.620716310229322"/>
        </c:manualLayout>
      </c:layout>
      <c:barChart>
        <c:barDir val="col"/>
        <c:grouping val="clustered"/>
        <c:varyColors val="false"/>
        <c:ser>
          <c:idx val="0"/>
          <c:order val="0"/>
          <c:tx>
            <c:strRef>
              <c:f>Sheet1!$B$1</c:f>
              <c:strCache>
                <c:ptCount val="1"/>
                <c:pt idx="0">
                  <c:v>一般公共预算财政拨款</c:v>
                </c:pt>
              </c:strCache>
            </c:strRef>
          </c:tx>
          <c:invertIfNegative val="false"/>
          <c:dLbls>
            <c:dLbl>
              <c:idx val="0"/>
              <c:layout>
                <c:manualLayout>
                  <c:x val="7.64015532767996e-5"/>
                  <c:y val="0.0245267797855071"/>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99.22</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2022年</c:v>
                </c:pt>
                <c:pt idx="1">
                  <c:v>2021年</c:v>
                </c:pt>
              </c:strCache>
            </c:strRef>
          </c:cat>
          <c:val>
            <c:numRef>
              <c:f>Sheet1!$B$2:$B$3</c:f>
              <c:numCache>
                <c:formatCode>General</c:formatCode>
                <c:ptCount val="2"/>
                <c:pt idx="0">
                  <c:v>99.22</c:v>
                </c:pt>
                <c:pt idx="1">
                  <c:v>231.64</c:v>
                </c:pt>
              </c:numCache>
            </c:numRef>
          </c:val>
        </c:ser>
        <c:dLbls>
          <c:showLegendKey val="false"/>
          <c:showVal val="false"/>
          <c:showCatName val="false"/>
          <c:showSerName val="false"/>
          <c:showPercent val="false"/>
          <c:showBubbleSize val="false"/>
        </c:dLbls>
        <c:gapWidth val="150"/>
        <c:axId val="323044096"/>
        <c:axId val="323045632"/>
      </c:barChart>
      <c:catAx>
        <c:axId val="323044096"/>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23045632"/>
        <c:crosses val="autoZero"/>
        <c:auto val="true"/>
        <c:lblAlgn val="ctr"/>
        <c:lblOffset val="100"/>
        <c:noMultiLvlLbl val="false"/>
      </c:catAx>
      <c:valAx>
        <c:axId val="32304563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23044096"/>
        <c:crosses val="autoZero"/>
        <c:crossBetween val="between"/>
      </c:valAx>
    </c:plotArea>
    <c:legend>
      <c:legendPos val="r"/>
      <c:layout>
        <c:manualLayout>
          <c:xMode val="edge"/>
          <c:yMode val="edge"/>
          <c:x val="0.68995983935743"/>
          <c:y val="0.412264880185519"/>
          <c:w val="0.293975903614458"/>
          <c:h val="0.198402473589281"/>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c:v>
                </c:pt>
              </c:strCache>
            </c:strRef>
          </c:tx>
          <c:explosion val="6"/>
          <c:dPt>
            <c:idx val="0"/>
            <c:bubble3D val="false"/>
          </c:dPt>
          <c:dPt>
            <c:idx val="1"/>
            <c:bubble3D val="false"/>
          </c:dPt>
          <c:dPt>
            <c:idx val="2"/>
            <c:bubble3D val="false"/>
          </c:dPt>
          <c:dPt>
            <c:idx val="3"/>
            <c:bubble3D val="false"/>
            <c:spPr>
              <a:solidFill>
                <a:srgbClr val="FF0000"/>
              </a:solidFill>
            </c:spPr>
          </c:dPt>
          <c:dPt>
            <c:idx val="4"/>
            <c:bubble3D val="false"/>
            <c:spPr>
              <a:solidFill>
                <a:srgbClr val="00B050"/>
              </a:solidFill>
            </c:spPr>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4.5%</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3.1</a:t>
                    </a:r>
                    <a:r>
                      <a:rPr lang="en-US"/>
                      <a:t>%</a:t>
                    </a:r>
                    <a:endParaRPr 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0797411003236246"/>
                      <c:h val="0.130536130536131"/>
                    </c:manualLayout>
                  </c15:layout>
                </c:ext>
              </c:extLst>
            </c:dLbl>
            <c:dLbl>
              <c:idx val="3"/>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85</a:t>
                    </a:r>
                    <a:r>
                      <a:rPr lang="en-US"/>
                      <a:t>%</a:t>
                    </a:r>
                    <a:endParaRPr 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社会保障和就业（类）</c:v>
                </c:pt>
                <c:pt idx="1">
                  <c:v>卫生健康支出（类）</c:v>
                </c:pt>
                <c:pt idx="2">
                  <c:v>农业水支出（类）</c:v>
                </c:pt>
                <c:pt idx="3">
                  <c:v>一般公共服务（类）</c:v>
                </c:pt>
                <c:pt idx="4">
                  <c:v>住房保障（类）</c:v>
                </c:pt>
              </c:strCache>
            </c:strRef>
          </c:cat>
          <c:val>
            <c:numRef>
              <c:f>Sheet1!$B$2:$B$6</c:f>
              <c:numCache>
                <c:formatCode>0.00%</c:formatCode>
                <c:ptCount val="5"/>
                <c:pt idx="0">
                  <c:v>0.045</c:v>
                </c:pt>
                <c:pt idx="1">
                  <c:v>0.025</c:v>
                </c:pt>
                <c:pt idx="2">
                  <c:v>0.031</c:v>
                </c:pt>
                <c:pt idx="3">
                  <c:v>0.85</c:v>
                </c:pt>
                <c:pt idx="4">
                  <c:v>0.049</c:v>
                </c:pt>
              </c:numCache>
            </c:numRef>
          </c:val>
        </c:ser>
        <c:dLbls>
          <c:showLegendKey val="false"/>
          <c:showVal val="false"/>
          <c:showCatName val="false"/>
          <c:showSerName val="false"/>
          <c:showPercent val="false"/>
          <c:showBubbleSize val="false"/>
          <c:showLeaderLines val="true"/>
        </c:dLbls>
        <c:firstSliceAng val="42"/>
      </c:pieChart>
    </c:plotArea>
    <c:legend>
      <c:legendPos val="r"/>
      <c:layout>
        <c:manualLayout>
          <c:xMode val="edge"/>
          <c:yMode val="edge"/>
          <c:x val="0.684271844660194"/>
          <c:y val="0.403962703962704"/>
          <c:w val="0.300194174757282"/>
          <c:h val="0.326107226107226"/>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c:v>
                </c:pt>
              </c:strCache>
            </c:strRef>
          </c:tx>
          <c:explosion val="0"/>
          <c:dPt>
            <c:idx val="0"/>
            <c:bubble3D val="false"/>
          </c:dPt>
          <c:dLbls>
            <c:dLbl>
              <c:idx val="0"/>
              <c:layout>
                <c:manualLayout>
                  <c:x val="0.168074076577338"/>
                  <c:y val="-0.471708492578779"/>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Sheet1!$A$4</c:f>
              <c:strCache>
                <c:ptCount val="1"/>
                <c:pt idx="0">
                  <c:v>公务接待费</c:v>
                </c:pt>
              </c:strCache>
            </c:strRef>
          </c:cat>
          <c:val>
            <c:numRef>
              <c:f>Sheet1!$B$4</c:f>
              <c:numCache>
                <c:formatCode>0%</c:formatCode>
                <c:ptCount val="1"/>
                <c:pt idx="0">
                  <c:v>1</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rgbClr val="1F497D"/>
    </cs:fontRef>
    <cs:defRPr sz="900" b="1" kern="1200"/>
  </cs:axisTitle>
  <cs:categoryAxis>
    <cs:lnRef idx="0"/>
    <cs:fillRef idx="0"/>
    <cs:effectRef idx="0"/>
    <cs:fontRef idx="minor">
      <a:srgbClr val="1F497D"/>
    </cs:fontRef>
    <cs:spPr>
      <a:ln w="9525" cap="flat" cmpd="sng" algn="ctr">
        <a:solidFill>
          <a:srgbClr val="D4E3F4">
            <a:lumMod val="15000"/>
            <a:lumOff val="85000"/>
          </a:srgbClr>
        </a:solidFill>
        <a:round/>
      </a:ln>
    </cs:spPr>
    <cs:defRPr sz="900" kern="1200"/>
  </cs:categoryAxis>
  <cs:chartArea mods="allowNoFillOverride allowNoLineOverride">
    <cs:lnRef idx="0"/>
    <cs:fillRef idx="0"/>
    <cs:effectRef idx="0"/>
    <cs:fontRef idx="minor">
      <a:srgbClr val="1F497D"/>
    </cs:fontRef>
    <cs:spPr>
      <a:solidFill>
        <a:srgbClr val="FFFFFF"/>
      </a:solidFill>
      <a:ln w="9525" cap="flat" cmpd="sng" algn="ctr">
        <a:solidFill>
          <a:srgbClr val="D4E3F4">
            <a:lumMod val="15000"/>
            <a:lumOff val="85000"/>
          </a:srgbClr>
        </a:solidFill>
        <a:round/>
      </a:ln>
    </cs:spPr>
    <cs:defRPr sz="900" kern="1200"/>
  </cs:chartArea>
  <cs:dataLabel>
    <cs:lnRef idx="0"/>
    <cs:fillRef idx="0"/>
    <cs:effectRef idx="0"/>
    <cs:fontRef idx="minor">
      <a:srgbClr val="1F497D"/>
    </cs:fontRef>
    <cs:defRPr sz="900" kern="1200"/>
  </cs:dataLabel>
  <cs:dataLabelCallout>
    <cs:lnRef idx="0"/>
    <cs:fillRef idx="0"/>
    <cs:effectRef idx="0"/>
    <cs:fontRef idx="minor">
      <a:srgbClr val="17375E">
        <a:lumMod val="7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rgbClr val="1F497D"/>
    </cs:fontRef>
  </cs:dataPoint>
  <cs:dataPoint3D>
    <cs:lnRef idx="0"/>
    <cs:fillRef idx="3">
      <cs:styleClr val="auto"/>
    </cs:fillRef>
    <cs:effectRef idx="2"/>
    <cs:fontRef idx="minor">
      <a:srgbClr val="1F497D"/>
    </cs:fontRef>
  </cs:dataPoint3D>
  <cs:dataPointLine>
    <cs:lnRef idx="0">
      <cs:styleClr val="auto"/>
    </cs:lnRef>
    <cs:fillRef idx="3"/>
    <cs:effectRef idx="2"/>
    <cs:fontRef idx="minor">
      <a:srgbClr val="1F497D"/>
    </cs:fontRef>
    <cs:spPr>
      <a:ln w="31750" cap="rnd">
        <a:solidFill>
          <a:srgbClr val="FFFFFF"/>
        </a:solidFill>
        <a:round/>
      </a:ln>
    </cs:spPr>
  </cs:dataPointLine>
  <cs:dataPointMarker>
    <cs:lnRef idx="0"/>
    <cs:fillRef idx="3">
      <cs:styleClr val="auto"/>
    </cs:fillRef>
    <cs:effectRef idx="2"/>
    <cs:fontRef idx="minor">
      <a:srgbClr val="1F497D"/>
    </cs:fontRef>
    <cs:spPr>
      <a:ln w="12700">
        <a:solidFill>
          <a:srgbClr val="EEECE1"/>
        </a:solidFill>
        <a:round/>
      </a:ln>
    </cs:spPr>
  </cs:dataPointMarker>
  <cs:dataPointMarkerLayout symbol="circle" size="6"/>
  <cs:dataPointWireframe>
    <cs:lnRef idx="0">
      <cs:styleClr val="auto"/>
    </cs:lnRef>
    <cs:fillRef idx="3"/>
    <cs:effectRef idx="2"/>
    <cs:fontRef idx="minor">
      <a:srgbClr val="1F497D"/>
    </cs:fontRef>
    <cs:spPr>
      <a:ln w="9525" cap="rnd">
        <a:solidFill>
          <a:srgbClr val="FFFFFF"/>
        </a:solidFill>
        <a:round/>
      </a:ln>
    </cs:spPr>
  </cs:dataPointWireframe>
  <cs:dataTable>
    <cs:lnRef idx="0"/>
    <cs:fillRef idx="0"/>
    <cs:effectRef idx="0"/>
    <cs:fontRef idx="minor">
      <a:srgbClr val="1F497D"/>
    </cs:fontRef>
    <cs:spPr>
      <a:ln w="9525">
        <a:solidFill>
          <a:srgbClr val="D4E3F4">
            <a:lumMod val="15000"/>
            <a:lumOff val="85000"/>
          </a:srgbClr>
        </a:solidFill>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1F497D"/>
    </cs:fontRef>
    <cs:spPr>
      <a:ln w="9525">
        <a:solidFill>
          <a:srgbClr val="558ED5">
            <a:lumMod val="60000"/>
            <a:lumOff val="40000"/>
          </a:srgbClr>
        </a:solidFill>
        <a:prstDash val="dash"/>
      </a:ln>
    </cs:spPr>
  </cs:dropLine>
  <cs:errorBar>
    <cs:lnRef idx="0"/>
    <cs:fillRef idx="0"/>
    <cs:effectRef idx="0"/>
    <cs:fontRef idx="minor">
      <a:srgbClr val="1F497D"/>
    </cs:fontRef>
    <cs:spPr>
      <a:ln w="9525">
        <a:solidFill>
          <a:srgbClr val="3172C4">
            <a:lumMod val="75000"/>
            <a:lumOff val="25000"/>
          </a:srgbClr>
        </a:solidFill>
        <a:round/>
      </a:ln>
    </cs:spPr>
  </cs:errorBar>
  <cs:floor>
    <cs:lnRef idx="0"/>
    <cs:fillRef idx="0"/>
    <cs:effectRef idx="0"/>
    <cs:fontRef idx="minor">
      <a:srgbClr val="1F497D"/>
    </cs:fontRef>
  </cs:floor>
  <cs:gridlineMajor>
    <cs:lnRef idx="0"/>
    <cs:fillRef idx="0"/>
    <cs:effectRef idx="0"/>
    <cs:fontRef idx="minor">
      <a:srgbClr val="1F497D"/>
    </cs:fontRef>
    <cs:spPr>
      <a:ln w="9525" cap="flat" cmpd="sng" algn="ctr">
        <a:solidFill>
          <a:srgbClr val="D4E3F4">
            <a:lumMod val="15000"/>
            <a:lumOff val="85000"/>
          </a:srgbClr>
        </a:solidFill>
        <a:round/>
      </a:ln>
    </cs:spPr>
  </cs:gridlineMajor>
  <cs:gridlineMinor>
    <cs:lnRef idx="0"/>
    <cs:fillRef idx="0"/>
    <cs:effectRef idx="0"/>
    <cs:fontRef idx="minor">
      <a:srgbClr val="1F497D"/>
    </cs:fontRef>
    <cs:spPr>
      <a:ln>
        <a:solidFill>
          <a:srgbClr val="F1F6FB">
            <a:lumMod val="5000"/>
            <a:lumOff val="95000"/>
          </a:srgbClr>
        </a:solidFill>
      </a:ln>
    </cs:spPr>
  </cs:gridlineMinor>
  <cs:hiLoLine>
    <cs:lnRef idx="0"/>
    <cs:fillRef idx="0"/>
    <cs:effectRef idx="0"/>
    <cs:fontRef idx="minor">
      <a:srgbClr val="1F497D"/>
    </cs:fontRef>
    <cs:spPr>
      <a:ln w="9525">
        <a:solidFill>
          <a:srgbClr val="558ED5">
            <a:lumMod val="60000"/>
            <a:lumOff val="40000"/>
          </a:srgbClr>
        </a:solidFill>
        <a:prstDash val="dash"/>
      </a:ln>
    </cs:spPr>
  </cs:hiLoLine>
  <cs:leaderLine>
    <cs:lnRef idx="0"/>
    <cs:fillRef idx="0"/>
    <cs:effectRef idx="0"/>
    <cs:fontRef idx="minor">
      <a:srgbClr val="1F497D"/>
    </cs:fontRef>
    <cs:spPr>
      <a:ln w="9525">
        <a:solidFill>
          <a:srgbClr val="9CBDE6">
            <a:lumMod val="35000"/>
            <a:lumOff val="65000"/>
          </a:srgbClr>
        </a:solidFill>
      </a:ln>
    </cs:spPr>
  </cs:leaderLine>
  <cs:legend>
    <cs:lnRef idx="0"/>
    <cs:fillRef idx="0"/>
    <cs:effectRef idx="0"/>
    <cs:fontRef idx="minor">
      <a:srgbClr val="1F497D"/>
    </cs:fontRef>
    <cs:defRPr sz="900" kern="1200"/>
  </cs:legend>
  <cs:plotArea>
    <cs:lnRef idx="0"/>
    <cs:fillRef idx="0"/>
    <cs:effectRef idx="0"/>
    <cs:fontRef idx="minor">
      <a:srgbClr val="1F497D"/>
    </cs:fontRef>
  </cs:plotArea>
  <cs:plotArea3D>
    <cs:lnRef idx="0"/>
    <cs:fillRef idx="0"/>
    <cs:effectRef idx="0"/>
    <cs:fontRef idx="minor">
      <a:srgbClr val="1F497D"/>
    </cs:fontRef>
  </cs:plotArea3D>
  <cs:seriesAxis>
    <cs:lnRef idx="0"/>
    <cs:fillRef idx="0"/>
    <cs:effectRef idx="0"/>
    <cs:fontRef idx="minor">
      <a:srgbClr val="1F497D"/>
    </cs:fontRef>
    <cs:spPr>
      <a:ln w="9525" cap="flat" cmpd="sng" algn="ctr">
        <a:solidFill>
          <a:srgbClr val="D4E3F4">
            <a:lumMod val="15000"/>
            <a:lumOff val="85000"/>
          </a:srgbClr>
        </a:solidFill>
        <a:round/>
      </a:ln>
    </cs:spPr>
    <cs:defRPr sz="900" kern="1200"/>
  </cs:seriesAxis>
  <cs:seriesLine>
    <cs:lnRef idx="0"/>
    <cs:fillRef idx="0"/>
    <cs:effectRef idx="0"/>
    <cs:fontRef idx="minor">
      <a:srgbClr val="1F497D"/>
    </cs:fontRef>
    <cs:spPr>
      <a:ln w="9525">
        <a:solidFill>
          <a:srgbClr val="558ED5">
            <a:lumMod val="60000"/>
            <a:lumOff val="40000"/>
          </a:srgbClr>
        </a:solidFill>
        <a:prstDash val="dash"/>
      </a:ln>
    </cs:spPr>
  </cs:seriesLine>
  <cs:title>
    <cs:lnRef idx="0"/>
    <cs:fillRef idx="0"/>
    <cs:effectRef idx="0"/>
    <cs:fontRef idx="minor">
      <a:srgbClr val="1F497D"/>
    </cs:fontRef>
    <cs:defRPr sz="1600" b="1" kern="1200"/>
  </cs:title>
  <cs:trendline>
    <cs:lnRef idx="0">
      <cs:styleClr val="auto"/>
    </cs:lnRef>
    <cs:fillRef idx="0"/>
    <cs:effectRef idx="0"/>
    <cs:fontRef idx="minor">
      <a:srgbClr val="1F497D"/>
    </cs:fontRef>
    <cs:spPr>
      <a:ln w="19050" cap="rnd">
        <a:solidFill>
          <a:srgbClr val="FFFFFF"/>
        </a:solidFill>
        <a:prstDash val="sysDash"/>
      </a:ln>
    </cs:spPr>
  </cs:trendline>
  <cs:trendlineLabel>
    <cs:lnRef idx="0"/>
    <cs:fillRef idx="0"/>
    <cs:effectRef idx="0"/>
    <cs:fontRef idx="minor">
      <a:srgbClr val="1F497D"/>
    </cs:fontRef>
    <cs:defRPr sz="900" kern="1200"/>
  </cs:trendlineLabel>
  <cs:upBar>
    <cs:lnRef idx="0"/>
    <cs:fillRef idx="0"/>
    <cs:effectRef idx="0"/>
    <cs:fontRef idx="minor">
      <a:srgbClr val="1F497D"/>
    </cs:fontRef>
    <cs:spPr>
      <a:solidFill>
        <a:srgbClr val="FFFFFF"/>
      </a:solidFill>
      <a:ln w="9525">
        <a:solidFill>
          <a:srgbClr val="D9D9D9">
            <a:lumMod val="15000"/>
            <a:lumOff val="85000"/>
          </a:srgbClr>
        </a:solidFill>
      </a:ln>
    </cs:spPr>
  </cs:upBar>
  <cs:valueAxis>
    <cs:lnRef idx="0"/>
    <cs:fillRef idx="0"/>
    <cs:effectRef idx="0"/>
    <cs:fontRef idx="minor">
      <a:srgbClr val="1F497D"/>
    </cs:fontRef>
    <cs:defRPr sz="900" kern="1200"/>
  </cs:valueAxis>
  <cs:wall>
    <cs:lnRef idx="0"/>
    <cs:fillRef idx="0"/>
    <cs:effectRef idx="0"/>
    <cs:fontRef idx="minor">
      <a:srgbClr val="1F497D"/>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rgbClr val="1F497D"/>
    </cs:fontRef>
    <cs:defRPr sz="900" b="1" kern="1200"/>
  </cs:axisTitle>
  <cs:categoryAxis>
    <cs:lnRef idx="0"/>
    <cs:fillRef idx="0"/>
    <cs:effectRef idx="0"/>
    <cs:fontRef idx="minor">
      <a:srgbClr val="1F497D"/>
    </cs:fontRef>
    <cs:spPr>
      <a:ln w="9525" cap="flat" cmpd="sng" algn="ctr">
        <a:solidFill>
          <a:srgbClr val="D4E3F4">
            <a:lumMod val="15000"/>
            <a:lumOff val="85000"/>
          </a:srgbClr>
        </a:solidFill>
        <a:round/>
      </a:ln>
    </cs:spPr>
    <cs:defRPr sz="900" kern="1200"/>
  </cs:categoryAxis>
  <cs:chartArea mods="allowNoFillOverride allowNoLineOverride">
    <cs:lnRef idx="0"/>
    <cs:fillRef idx="0"/>
    <cs:effectRef idx="0"/>
    <cs:fontRef idx="minor">
      <a:srgbClr val="1F497D"/>
    </cs:fontRef>
    <cs:spPr>
      <a:solidFill>
        <a:srgbClr val="FFFFFF"/>
      </a:solidFill>
      <a:ln w="9525" cap="flat" cmpd="sng" algn="ctr">
        <a:solidFill>
          <a:srgbClr val="D4E3F4">
            <a:lumMod val="15000"/>
            <a:lumOff val="85000"/>
          </a:srgbClr>
        </a:solidFill>
        <a:round/>
      </a:ln>
    </cs:spPr>
    <cs:defRPr sz="900" kern="1200"/>
  </cs:chartArea>
  <cs:dataLabel>
    <cs:lnRef idx="0"/>
    <cs:fillRef idx="0"/>
    <cs:effectRef idx="0"/>
    <cs:fontRef idx="minor">
      <a:srgbClr val="1F497D"/>
    </cs:fontRef>
    <cs:defRPr sz="900" kern="1200"/>
  </cs:dataLabel>
  <cs:dataLabelCallout>
    <cs:lnRef idx="0"/>
    <cs:fillRef idx="0"/>
    <cs:effectRef idx="0"/>
    <cs:fontRef idx="minor">
      <a:srgbClr val="17375E">
        <a:lumMod val="7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rgbClr val="1F497D"/>
    </cs:fontRef>
  </cs:dataPoint>
  <cs:dataPoint3D>
    <cs:lnRef idx="0"/>
    <cs:fillRef idx="3">
      <cs:styleClr val="auto"/>
    </cs:fillRef>
    <cs:effectRef idx="2"/>
    <cs:fontRef idx="minor">
      <a:srgbClr val="1F497D"/>
    </cs:fontRef>
  </cs:dataPoint3D>
  <cs:dataPointLine>
    <cs:lnRef idx="0">
      <cs:styleClr val="auto"/>
    </cs:lnRef>
    <cs:fillRef idx="3"/>
    <cs:effectRef idx="2"/>
    <cs:fontRef idx="minor">
      <a:srgbClr val="1F497D"/>
    </cs:fontRef>
    <cs:spPr>
      <a:ln w="31750" cap="rnd">
        <a:solidFill>
          <a:srgbClr val="FFFFFF"/>
        </a:solidFill>
        <a:round/>
      </a:ln>
    </cs:spPr>
  </cs:dataPointLine>
  <cs:dataPointMarker>
    <cs:lnRef idx="0"/>
    <cs:fillRef idx="3">
      <cs:styleClr val="auto"/>
    </cs:fillRef>
    <cs:effectRef idx="2"/>
    <cs:fontRef idx="minor">
      <a:srgbClr val="1F497D"/>
    </cs:fontRef>
    <cs:spPr>
      <a:ln w="12700">
        <a:solidFill>
          <a:srgbClr val="EEECE1"/>
        </a:solidFill>
        <a:round/>
      </a:ln>
    </cs:spPr>
  </cs:dataPointMarker>
  <cs:dataPointMarkerLayout symbol="circle" size="6"/>
  <cs:dataPointWireframe>
    <cs:lnRef idx="0">
      <cs:styleClr val="auto"/>
    </cs:lnRef>
    <cs:fillRef idx="3"/>
    <cs:effectRef idx="2"/>
    <cs:fontRef idx="minor">
      <a:srgbClr val="1F497D"/>
    </cs:fontRef>
    <cs:spPr>
      <a:ln w="9525" cap="rnd">
        <a:solidFill>
          <a:srgbClr val="FFFFFF"/>
        </a:solidFill>
        <a:round/>
      </a:ln>
    </cs:spPr>
  </cs:dataPointWireframe>
  <cs:dataTable>
    <cs:lnRef idx="0"/>
    <cs:fillRef idx="0"/>
    <cs:effectRef idx="0"/>
    <cs:fontRef idx="minor">
      <a:srgbClr val="1F497D"/>
    </cs:fontRef>
    <cs:spPr>
      <a:ln w="9525">
        <a:solidFill>
          <a:srgbClr val="D4E3F4">
            <a:lumMod val="15000"/>
            <a:lumOff val="85000"/>
          </a:srgbClr>
        </a:solidFill>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1F497D"/>
    </cs:fontRef>
    <cs:spPr>
      <a:ln w="9525">
        <a:solidFill>
          <a:srgbClr val="558ED5">
            <a:lumMod val="60000"/>
            <a:lumOff val="40000"/>
          </a:srgbClr>
        </a:solidFill>
        <a:prstDash val="dash"/>
      </a:ln>
    </cs:spPr>
  </cs:dropLine>
  <cs:errorBar>
    <cs:lnRef idx="0"/>
    <cs:fillRef idx="0"/>
    <cs:effectRef idx="0"/>
    <cs:fontRef idx="minor">
      <a:srgbClr val="1F497D"/>
    </cs:fontRef>
    <cs:spPr>
      <a:ln w="9525">
        <a:solidFill>
          <a:srgbClr val="3172C4">
            <a:lumMod val="75000"/>
            <a:lumOff val="25000"/>
          </a:srgbClr>
        </a:solidFill>
        <a:round/>
      </a:ln>
    </cs:spPr>
  </cs:errorBar>
  <cs:floor>
    <cs:lnRef idx="0"/>
    <cs:fillRef idx="0"/>
    <cs:effectRef idx="0"/>
    <cs:fontRef idx="minor">
      <a:srgbClr val="1F497D"/>
    </cs:fontRef>
  </cs:floor>
  <cs:gridlineMajor>
    <cs:lnRef idx="0"/>
    <cs:fillRef idx="0"/>
    <cs:effectRef idx="0"/>
    <cs:fontRef idx="minor">
      <a:srgbClr val="1F497D"/>
    </cs:fontRef>
    <cs:spPr>
      <a:ln w="9525" cap="flat" cmpd="sng" algn="ctr">
        <a:solidFill>
          <a:srgbClr val="D4E3F4">
            <a:lumMod val="15000"/>
            <a:lumOff val="85000"/>
          </a:srgbClr>
        </a:solidFill>
        <a:round/>
      </a:ln>
    </cs:spPr>
  </cs:gridlineMajor>
  <cs:gridlineMinor>
    <cs:lnRef idx="0"/>
    <cs:fillRef idx="0"/>
    <cs:effectRef idx="0"/>
    <cs:fontRef idx="minor">
      <a:srgbClr val="1F497D"/>
    </cs:fontRef>
    <cs:spPr>
      <a:ln>
        <a:solidFill>
          <a:srgbClr val="F1F6FB">
            <a:lumMod val="5000"/>
            <a:lumOff val="95000"/>
          </a:srgbClr>
        </a:solidFill>
      </a:ln>
    </cs:spPr>
  </cs:gridlineMinor>
  <cs:hiLoLine>
    <cs:lnRef idx="0"/>
    <cs:fillRef idx="0"/>
    <cs:effectRef idx="0"/>
    <cs:fontRef idx="minor">
      <a:srgbClr val="1F497D"/>
    </cs:fontRef>
    <cs:spPr>
      <a:ln w="9525">
        <a:solidFill>
          <a:srgbClr val="558ED5">
            <a:lumMod val="60000"/>
            <a:lumOff val="40000"/>
          </a:srgbClr>
        </a:solidFill>
        <a:prstDash val="dash"/>
      </a:ln>
    </cs:spPr>
  </cs:hiLoLine>
  <cs:leaderLine>
    <cs:lnRef idx="0"/>
    <cs:fillRef idx="0"/>
    <cs:effectRef idx="0"/>
    <cs:fontRef idx="minor">
      <a:srgbClr val="1F497D"/>
    </cs:fontRef>
    <cs:spPr>
      <a:ln w="9525">
        <a:solidFill>
          <a:srgbClr val="9CBDE6">
            <a:lumMod val="35000"/>
            <a:lumOff val="65000"/>
          </a:srgbClr>
        </a:solidFill>
      </a:ln>
    </cs:spPr>
  </cs:leaderLine>
  <cs:legend>
    <cs:lnRef idx="0"/>
    <cs:fillRef idx="0"/>
    <cs:effectRef idx="0"/>
    <cs:fontRef idx="minor">
      <a:srgbClr val="1F497D"/>
    </cs:fontRef>
    <cs:defRPr sz="900" kern="1200"/>
  </cs:legend>
  <cs:plotArea>
    <cs:lnRef idx="0"/>
    <cs:fillRef idx="0"/>
    <cs:effectRef idx="0"/>
    <cs:fontRef idx="minor">
      <a:srgbClr val="1F497D"/>
    </cs:fontRef>
  </cs:plotArea>
  <cs:plotArea3D>
    <cs:lnRef idx="0"/>
    <cs:fillRef idx="0"/>
    <cs:effectRef idx="0"/>
    <cs:fontRef idx="minor">
      <a:srgbClr val="1F497D"/>
    </cs:fontRef>
  </cs:plotArea3D>
  <cs:seriesAxis>
    <cs:lnRef idx="0"/>
    <cs:fillRef idx="0"/>
    <cs:effectRef idx="0"/>
    <cs:fontRef idx="minor">
      <a:srgbClr val="1F497D"/>
    </cs:fontRef>
    <cs:spPr>
      <a:ln w="9525" cap="flat" cmpd="sng" algn="ctr">
        <a:solidFill>
          <a:srgbClr val="D4E3F4">
            <a:lumMod val="15000"/>
            <a:lumOff val="85000"/>
          </a:srgbClr>
        </a:solidFill>
        <a:round/>
      </a:ln>
    </cs:spPr>
    <cs:defRPr sz="900" kern="1200"/>
  </cs:seriesAxis>
  <cs:seriesLine>
    <cs:lnRef idx="0"/>
    <cs:fillRef idx="0"/>
    <cs:effectRef idx="0"/>
    <cs:fontRef idx="minor">
      <a:srgbClr val="1F497D"/>
    </cs:fontRef>
    <cs:spPr>
      <a:ln w="9525">
        <a:solidFill>
          <a:srgbClr val="558ED5">
            <a:lumMod val="60000"/>
            <a:lumOff val="40000"/>
          </a:srgbClr>
        </a:solidFill>
        <a:prstDash val="dash"/>
      </a:ln>
    </cs:spPr>
  </cs:seriesLine>
  <cs:title>
    <cs:lnRef idx="0"/>
    <cs:fillRef idx="0"/>
    <cs:effectRef idx="0"/>
    <cs:fontRef idx="minor">
      <a:srgbClr val="1F497D"/>
    </cs:fontRef>
    <cs:defRPr sz="1600" b="1" kern="1200"/>
  </cs:title>
  <cs:trendline>
    <cs:lnRef idx="0">
      <cs:styleClr val="auto"/>
    </cs:lnRef>
    <cs:fillRef idx="0"/>
    <cs:effectRef idx="0"/>
    <cs:fontRef idx="minor">
      <a:srgbClr val="1F497D"/>
    </cs:fontRef>
    <cs:spPr>
      <a:ln w="19050" cap="rnd">
        <a:solidFill>
          <a:srgbClr val="FFFFFF"/>
        </a:solidFill>
        <a:prstDash val="sysDash"/>
      </a:ln>
    </cs:spPr>
  </cs:trendline>
  <cs:trendlineLabel>
    <cs:lnRef idx="0"/>
    <cs:fillRef idx="0"/>
    <cs:effectRef idx="0"/>
    <cs:fontRef idx="minor">
      <a:srgbClr val="1F497D"/>
    </cs:fontRef>
    <cs:defRPr sz="900" kern="1200"/>
  </cs:trendlineLabel>
  <cs:upBar>
    <cs:lnRef idx="0"/>
    <cs:fillRef idx="0"/>
    <cs:effectRef idx="0"/>
    <cs:fontRef idx="minor">
      <a:srgbClr val="1F497D"/>
    </cs:fontRef>
    <cs:spPr>
      <a:solidFill>
        <a:srgbClr val="FFFFFF"/>
      </a:solidFill>
      <a:ln w="9525">
        <a:solidFill>
          <a:srgbClr val="D9D9D9">
            <a:lumMod val="15000"/>
            <a:lumOff val="85000"/>
          </a:srgbClr>
        </a:solidFill>
      </a:ln>
    </cs:spPr>
  </cs:upBar>
  <cs:valueAxis>
    <cs:lnRef idx="0"/>
    <cs:fillRef idx="0"/>
    <cs:effectRef idx="0"/>
    <cs:fontRef idx="minor">
      <a:srgbClr val="1F497D"/>
    </cs:fontRef>
    <cs:defRPr sz="900" kern="1200"/>
  </cs:valueAxis>
  <cs:wall>
    <cs:lnRef idx="0"/>
    <cs:fillRef idx="0"/>
    <cs:effectRef idx="0"/>
    <cs:fontRef idx="minor">
      <a:srgbClr val="1F497D"/>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62</Pages>
  <Words>4122</Words>
  <Characters>23500</Characters>
  <Lines>195</Lines>
  <Paragraphs>55</Paragraphs>
  <TotalTime>9</TotalTime>
  <ScaleCrop>false</ScaleCrop>
  <LinksUpToDate>false</LinksUpToDate>
  <CharactersWithSpaces>27567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2023-10-19T09:27:00Z</cp:lastPrinted>
  <dcterms:modified xsi:type="dcterms:W3CDTF">2025-01-09T16:28:42Z</dcterms:modified>
  <dc:title>四川省***</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5F8B600C084142B7B6FC362EDEE7B4B9_12</vt:lpwstr>
  </property>
</Properties>
</file>