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19" w:name="_GoBack"/>
      <w:bookmarkEnd w:id="19"/>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96475"/>
      <w:bookmarkStart w:id="4" w:name="_Toc15378441"/>
      <w:bookmarkStart w:id="5" w:name="_Toc15377193"/>
      <w:r>
        <w:rPr>
          <w:rFonts w:ascii="黑体" w:hAnsi="黑体" w:eastAsia="黑体"/>
          <w:color w:val="000000"/>
          <w:sz w:val="72"/>
          <w:szCs w:val="72"/>
        </w:rPr>
        <w:t>20</w:t>
      </w:r>
      <w:r>
        <w:rPr>
          <w:rFonts w:hint="eastAsia" w:ascii="黑体" w:hAnsi="黑体" w:eastAsia="黑体"/>
          <w:color w:val="000000"/>
          <w:sz w:val="72"/>
          <w:szCs w:val="72"/>
          <w:lang w:val="en-US" w:eastAsia="zh-CN"/>
        </w:rPr>
        <w:t>21</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78442"/>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广元市朝天区    商务局部门决算</w:t>
      </w:r>
      <w:bookmarkEnd w:id="6"/>
      <w:bookmarkEnd w:id="7"/>
      <w:bookmarkEnd w:id="8"/>
      <w:bookmarkEnd w:id="9"/>
      <w:bookmarkEnd w:id="10"/>
      <w:bookmarkEnd w:id="11"/>
    </w:p>
    <w:p>
      <w:pPr>
        <w:widowControl/>
        <w:jc w:val="center"/>
        <w:rPr>
          <w:rFonts w:hint="eastAsia" w:ascii="黑体" w:hAnsi="黑体" w:eastAsia="黑体"/>
          <w:color w:val="000000"/>
          <w:sz w:val="48"/>
          <w:szCs w:val="48"/>
        </w:rPr>
        <w:sectPr>
          <w:headerReference r:id="rId3" w:type="default"/>
          <w:footerReference r:id="rId4" w:type="default"/>
          <w:pgSz w:w="11906" w:h="16838"/>
          <w:pgMar w:top="1440" w:right="1746" w:bottom="1440" w:left="1746" w:header="851" w:footer="992" w:gutter="0"/>
          <w:pgNumType w:start="1"/>
          <w:cols w:space="0" w:num="1"/>
          <w:titlePg/>
          <w:docGrid w:type="lines" w:linePitch="312" w:charSpace="0"/>
        </w:sectPr>
      </w:pPr>
    </w:p>
    <w:p>
      <w:pPr>
        <w:widowControl/>
        <w:jc w:val="center"/>
        <w:rPr>
          <w:rFonts w:hint="eastAsia" w:ascii="黑体" w:hAnsi="黑体" w:eastAsia="黑体"/>
          <w:color w:val="000000"/>
          <w:sz w:val="48"/>
          <w:szCs w:val="4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7"/>
      </w:pPr>
      <w:r>
        <w:rPr>
          <w:rFonts w:hint="eastAsia"/>
        </w:rPr>
        <w:t>公开时间：202</w:t>
      </w:r>
      <w:r>
        <w:rPr>
          <w:rFonts w:hint="eastAsia"/>
          <w:lang w:val="en-US" w:eastAsia="zh-CN"/>
        </w:rPr>
        <w:t>1</w:t>
      </w:r>
      <w:r>
        <w:rPr>
          <w:rFonts w:hint="eastAsia"/>
        </w:rPr>
        <w:t>年9月</w:t>
      </w:r>
      <w:r>
        <w:rPr>
          <w:rFonts w:hint="eastAsia"/>
          <w:lang w:val="en-US" w:eastAsia="zh-CN"/>
        </w:rPr>
        <w:t>27</w:t>
      </w:r>
      <w:r>
        <w:rPr>
          <w:rFonts w:hint="eastAsia"/>
        </w:rPr>
        <w:t>日</w:t>
      </w:r>
    </w:p>
    <w:p/>
    <w:p>
      <w:pPr>
        <w:pStyle w:val="17"/>
        <w:adjustRightInd w:val="0"/>
        <w:snapToGrid w:val="0"/>
        <w:spacing w:before="0" w:line="440" w:lineRule="exact"/>
        <w:jc w:val="left"/>
        <w:rPr>
          <w:rFonts w:hint="eastAsia"/>
          <w:b/>
          <w:bCs/>
          <w:sz w:val="24"/>
          <w:szCs w:val="24"/>
          <w:lang w:val="en-US" w:eastAsia="zh-CN"/>
        </w:rPr>
      </w:pPr>
      <w:r>
        <w:rPr>
          <w:rFonts w:hint="eastAsia"/>
          <w:b/>
          <w:bCs/>
          <w:sz w:val="24"/>
          <w:szCs w:val="24"/>
          <w:lang w:val="en-US" w:eastAsia="zh-CN"/>
        </w:rPr>
        <w:t>第一部分 部门概况</w:t>
      </w:r>
    </w:p>
    <w:p>
      <w:pPr>
        <w:pStyle w:val="19"/>
        <w:adjustRightInd w:val="0"/>
        <w:snapToGrid w:val="0"/>
        <w:spacing w:line="440" w:lineRule="exact"/>
        <w:jc w:val="left"/>
        <w:rPr>
          <w:rFonts w:hint="eastAsia"/>
          <w:lang w:val="en-US" w:eastAsia="zh-CN"/>
        </w:rPr>
      </w:pPr>
      <w:r>
        <w:rPr>
          <w:rFonts w:hint="eastAsia"/>
          <w:sz w:val="24"/>
        </w:rPr>
        <w:t>一、基本职能</w:t>
      </w:r>
      <w:r>
        <w:rPr>
          <w:rFonts w:hint="eastAsia"/>
          <w:sz w:val="24"/>
          <w:lang w:eastAsia="zh-CN"/>
        </w:rPr>
        <w:t>及主要工作</w:t>
      </w:r>
      <w:r>
        <w:rPr>
          <w:rFonts w:hint="eastAsia"/>
          <w:sz w:val="24"/>
          <w:lang w:val="en-US" w:eastAsia="zh-CN"/>
        </w:rPr>
        <w:t>-----------------------------------------------------------------1</w:t>
      </w:r>
      <w:r>
        <w:rPr>
          <w:rFonts w:hint="eastAsia"/>
          <w:sz w:val="24"/>
          <w:lang w:eastAsia="zh-CN"/>
        </w:rPr>
        <w:t>（一）主要职能</w:t>
      </w:r>
      <w:r>
        <w:rPr>
          <w:rFonts w:hint="eastAsia"/>
          <w:sz w:val="24"/>
          <w:lang w:val="en-US" w:eastAsia="zh-CN"/>
        </w:rPr>
        <w:t>-----------------------------------------------------------------------------1（二）2021年重点工作完成情况-------------------------------------------------- -----3</w:t>
      </w:r>
    </w:p>
    <w:p>
      <w:pPr>
        <w:pStyle w:val="19"/>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-------------------------------------------------------------------------------12</w:t>
      </w:r>
    </w:p>
    <w:p>
      <w:pPr>
        <w:pStyle w:val="17"/>
        <w:adjustRightInd w:val="0"/>
        <w:snapToGrid w:val="0"/>
        <w:spacing w:before="0" w:line="440" w:lineRule="exact"/>
        <w:jc w:val="left"/>
        <w:rPr>
          <w:rFonts w:hint="eastAsia"/>
          <w:b/>
          <w:bCs/>
          <w:sz w:val="24"/>
          <w:szCs w:val="24"/>
          <w:lang w:val="en-US" w:eastAsia="zh-CN"/>
        </w:rPr>
      </w:pPr>
      <w:r>
        <w:rPr>
          <w:rFonts w:hint="eastAsia"/>
          <w:b/>
          <w:bCs/>
          <w:sz w:val="24"/>
          <w:szCs w:val="24"/>
          <w:lang w:val="en-US" w:eastAsia="zh-CN"/>
        </w:rPr>
        <w:t>第二部分度部门决算情况说明</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一</w:t>
      </w:r>
      <w:r>
        <w:rPr>
          <w:rFonts w:hint="eastAsia"/>
          <w:sz w:val="24"/>
        </w:rPr>
        <w:t>、收入支出决算总体情况说明</w:t>
      </w:r>
      <w:r>
        <w:rPr>
          <w:rFonts w:hint="eastAsia"/>
          <w:sz w:val="24"/>
          <w:lang w:val="en-US" w:eastAsia="zh-CN"/>
        </w:rPr>
        <w:t>-------------------------------------------------------12</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二</w:t>
      </w:r>
      <w:r>
        <w:rPr>
          <w:rFonts w:hint="eastAsia"/>
          <w:sz w:val="24"/>
        </w:rPr>
        <w:t>、收入决算情况说明</w:t>
      </w:r>
      <w:r>
        <w:rPr>
          <w:rFonts w:hint="eastAsia"/>
          <w:sz w:val="24"/>
          <w:lang w:val="en-US" w:eastAsia="zh-CN"/>
        </w:rPr>
        <w:t>--------------------------------------------------------------------13</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三</w:t>
      </w:r>
      <w:r>
        <w:rPr>
          <w:rFonts w:hint="eastAsia"/>
          <w:sz w:val="24"/>
        </w:rPr>
        <w:t>、支出决算情况说明</w:t>
      </w:r>
      <w:r>
        <w:rPr>
          <w:rFonts w:hint="eastAsia"/>
          <w:sz w:val="24"/>
          <w:lang w:val="en-US" w:eastAsia="zh-CN"/>
        </w:rPr>
        <w:t>--------------------------------------------------------------------14</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四</w:t>
      </w:r>
      <w:r>
        <w:rPr>
          <w:rFonts w:hint="eastAsia"/>
          <w:sz w:val="24"/>
        </w:rPr>
        <w:t>、财政拨款收入支出决算总体情况说明</w:t>
      </w:r>
      <w:r>
        <w:rPr>
          <w:rFonts w:hint="eastAsia"/>
          <w:sz w:val="24"/>
          <w:lang w:val="en-US" w:eastAsia="zh-CN"/>
        </w:rPr>
        <w:t>--------------------------------------------14</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五</w:t>
      </w:r>
      <w:r>
        <w:rPr>
          <w:rFonts w:hint="eastAsia"/>
          <w:sz w:val="24"/>
        </w:rPr>
        <w:t>、一般公共预算财政拨款支出决算情况说明</w:t>
      </w:r>
      <w:r>
        <w:rPr>
          <w:rFonts w:hint="eastAsia"/>
          <w:sz w:val="24"/>
          <w:lang w:val="en-US" w:eastAsia="zh-CN"/>
        </w:rPr>
        <w:t>--------------------------------------15</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六</w:t>
      </w:r>
      <w:r>
        <w:rPr>
          <w:rFonts w:hint="eastAsia"/>
          <w:sz w:val="24"/>
        </w:rPr>
        <w:t>、一般公共预算财政拨款基本支出决算情况说明</w:t>
      </w:r>
      <w:r>
        <w:rPr>
          <w:rFonts w:hint="eastAsia"/>
          <w:sz w:val="24"/>
          <w:lang w:val="en-US" w:eastAsia="zh-CN"/>
        </w:rPr>
        <w:t>--------------------------------17</w:t>
      </w:r>
    </w:p>
    <w:p>
      <w:pPr>
        <w:pStyle w:val="19"/>
        <w:adjustRightInd w:val="0"/>
        <w:snapToGrid w:val="0"/>
        <w:spacing w:line="440" w:lineRule="exact"/>
        <w:jc w:val="left"/>
        <w:rPr>
          <w:rFonts w:hint="default" w:ascii="仿宋" w:hAnsi="仿宋" w:eastAsia="宋体" w:cstheme="minorBidi"/>
          <w:sz w:val="24"/>
          <w:lang w:val="en-US" w:eastAsia="zh-CN"/>
        </w:rPr>
      </w:pPr>
      <w:r>
        <w:rPr>
          <w:rFonts w:hint="eastAsia"/>
          <w:sz w:val="24"/>
          <w:lang w:val="en-US" w:eastAsia="zh-CN"/>
        </w:rPr>
        <w:t>七</w:t>
      </w:r>
      <w:r>
        <w:rPr>
          <w:rFonts w:hint="eastAsia"/>
          <w:sz w:val="24"/>
        </w:rPr>
        <w:t>、</w:t>
      </w:r>
      <w:r>
        <w:rPr>
          <w:sz w:val="24"/>
        </w:rPr>
        <w:t>“</w:t>
      </w:r>
      <w:r>
        <w:rPr>
          <w:rFonts w:hint="eastAsia"/>
          <w:sz w:val="24"/>
        </w:rPr>
        <w:t>三公”经费财政拨款支出决算情况说明</w:t>
      </w:r>
      <w:r>
        <w:rPr>
          <w:rFonts w:hint="eastAsia"/>
          <w:sz w:val="24"/>
          <w:lang w:val="en-US" w:eastAsia="zh-CN"/>
        </w:rPr>
        <w:t>----------------------------------------18</w:t>
      </w:r>
    </w:p>
    <w:p>
      <w:pPr>
        <w:pStyle w:val="19"/>
        <w:adjustRightInd w:val="0"/>
        <w:snapToGrid w:val="0"/>
        <w:spacing w:line="440" w:lineRule="exact"/>
        <w:jc w:val="left"/>
        <w:rPr>
          <w:rFonts w:hint="default" w:ascii="仿宋" w:hAnsi="仿宋" w:eastAsia="宋体" w:cstheme="minorBidi"/>
          <w:sz w:val="24"/>
          <w:lang w:val="en-US" w:eastAsia="zh-CN"/>
        </w:rPr>
      </w:pPr>
      <w:r>
        <w:rPr>
          <w:rFonts w:hint="eastAsia"/>
          <w:sz w:val="24"/>
          <w:lang w:val="en-US" w:eastAsia="zh-CN"/>
        </w:rPr>
        <w:t>八</w:t>
      </w:r>
      <w:r>
        <w:rPr>
          <w:rFonts w:hint="eastAsia"/>
          <w:sz w:val="24"/>
        </w:rPr>
        <w:t>、政府性基金预算支出决算情况说明</w:t>
      </w:r>
      <w:r>
        <w:rPr>
          <w:rFonts w:hint="eastAsia"/>
          <w:sz w:val="24"/>
          <w:lang w:val="en-US" w:eastAsia="zh-CN"/>
        </w:rPr>
        <w:t>-----------------------------------------------19</w:t>
      </w:r>
    </w:p>
    <w:p>
      <w:pPr>
        <w:pStyle w:val="19"/>
        <w:adjustRightInd w:val="0"/>
        <w:snapToGrid w:val="0"/>
        <w:spacing w:line="440" w:lineRule="exact"/>
        <w:ind w:leftChars="0"/>
        <w:jc w:val="left"/>
        <w:rPr>
          <w:rFonts w:hint="default"/>
          <w:sz w:val="24"/>
          <w:lang w:val="en-US" w:eastAsia="zh-CN"/>
        </w:rPr>
      </w:pPr>
      <w:r>
        <w:rPr>
          <w:rFonts w:hint="eastAsia"/>
          <w:sz w:val="24"/>
          <w:lang w:val="en-US" w:eastAsia="zh-CN"/>
        </w:rPr>
        <w:t>九</w:t>
      </w:r>
      <w:r>
        <w:rPr>
          <w:rFonts w:hint="eastAsia"/>
          <w:sz w:val="24"/>
        </w:rPr>
        <w:t>、</w:t>
      </w:r>
      <w:r>
        <w:rPr>
          <w:sz w:val="24"/>
        </w:rPr>
        <w:t>国</w:t>
      </w:r>
      <w:r>
        <w:rPr>
          <w:rFonts w:hint="eastAsia"/>
          <w:sz w:val="24"/>
        </w:rPr>
        <w:t>有资本经营预算支出决算情况说明</w:t>
      </w:r>
      <w:r>
        <w:rPr>
          <w:rFonts w:hint="eastAsia"/>
          <w:sz w:val="24"/>
          <w:lang w:val="en-US" w:eastAsia="zh-CN"/>
        </w:rPr>
        <w:t>-------------------------------------------19</w:t>
      </w:r>
    </w:p>
    <w:p>
      <w:pPr>
        <w:pStyle w:val="19"/>
        <w:adjustRightInd w:val="0"/>
        <w:snapToGrid w:val="0"/>
        <w:spacing w:line="440" w:lineRule="exact"/>
        <w:ind w:leftChars="0"/>
        <w:jc w:val="left"/>
        <w:rPr>
          <w:rFonts w:hint="default"/>
          <w:lang w:val="en-US" w:eastAsia="zh-CN"/>
        </w:rPr>
      </w:pPr>
      <w:r>
        <w:rPr>
          <w:rFonts w:hint="eastAsia"/>
          <w:sz w:val="24"/>
          <w:lang w:val="en-US" w:eastAsia="zh-CN"/>
        </w:rPr>
        <w:t>十</w:t>
      </w:r>
      <w:r>
        <w:rPr>
          <w:rFonts w:hint="eastAsia"/>
          <w:sz w:val="24"/>
        </w:rPr>
        <w:t>、预算绩效管理情况</w:t>
      </w:r>
      <w:r>
        <w:rPr>
          <w:rFonts w:hint="eastAsia"/>
          <w:sz w:val="24"/>
          <w:lang w:val="en-US" w:eastAsia="zh-CN"/>
        </w:rPr>
        <w:t>--------------------------------------------------------------------19</w:t>
      </w:r>
    </w:p>
    <w:p>
      <w:pPr>
        <w:adjustRightInd w:val="0"/>
        <w:snapToGrid w:val="0"/>
        <w:spacing w:line="440" w:lineRule="exact"/>
        <w:ind w:firstLine="480" w:firstLineChars="200"/>
        <w:jc w:val="left"/>
        <w:rPr>
          <w:rFonts w:hint="default" w:ascii="仿宋" w:hAnsi="仿宋" w:eastAsia="仿宋" w:cstheme="minorBidi"/>
          <w:sz w:val="24"/>
          <w:lang w:val="en-US"/>
        </w:rPr>
      </w:pPr>
      <w:r>
        <w:rPr>
          <w:rFonts w:hint="eastAsia"/>
          <w:sz w:val="24"/>
          <w:lang w:val="en-US" w:eastAsia="zh-CN"/>
        </w:rPr>
        <w:t>十一</w:t>
      </w:r>
      <w:r>
        <w:rPr>
          <w:rFonts w:hint="eastAsia"/>
          <w:sz w:val="24"/>
        </w:rPr>
        <w:t>、其他重要事项的情况说明</w:t>
      </w:r>
      <w:r>
        <w:rPr>
          <w:rFonts w:hint="eastAsia"/>
          <w:sz w:val="24"/>
          <w:lang w:val="en-US" w:eastAsia="zh-CN"/>
        </w:rPr>
        <w:t>-------------------------------------------------------22</w:t>
      </w:r>
    </w:p>
    <w:p>
      <w:pPr>
        <w:pStyle w:val="17"/>
        <w:adjustRightInd w:val="0"/>
        <w:snapToGrid w:val="0"/>
        <w:spacing w:before="0" w:line="440" w:lineRule="exact"/>
        <w:jc w:val="left"/>
        <w:rPr>
          <w:rFonts w:hint="eastAsia"/>
          <w:b/>
          <w:bCs/>
          <w:i w:val="0"/>
          <w:iCs w:val="0"/>
          <w:sz w:val="24"/>
          <w:szCs w:val="24"/>
        </w:rPr>
      </w:pPr>
      <w:r>
        <w:rPr>
          <w:rFonts w:hint="eastAsia"/>
          <w:b/>
          <w:bCs/>
          <w:i w:val="0"/>
          <w:iCs w:val="0"/>
          <w:sz w:val="24"/>
          <w:szCs w:val="24"/>
        </w:rPr>
        <w:t>第</w:t>
      </w:r>
      <w:r>
        <w:rPr>
          <w:rFonts w:hint="eastAsia"/>
          <w:b/>
          <w:bCs/>
          <w:i w:val="0"/>
          <w:iCs w:val="0"/>
          <w:sz w:val="24"/>
          <w:szCs w:val="24"/>
          <w:lang w:eastAsia="zh-CN"/>
        </w:rPr>
        <w:t>三</w:t>
      </w:r>
      <w:r>
        <w:rPr>
          <w:rFonts w:hint="eastAsia"/>
          <w:b/>
          <w:bCs/>
          <w:i w:val="0"/>
          <w:iCs w:val="0"/>
          <w:sz w:val="24"/>
          <w:szCs w:val="24"/>
        </w:rPr>
        <w:t>部分</w:t>
      </w:r>
      <w:r>
        <w:rPr>
          <w:b/>
          <w:bCs/>
          <w:i w:val="0"/>
          <w:iCs w:val="0"/>
          <w:sz w:val="24"/>
          <w:szCs w:val="24"/>
        </w:rPr>
        <w:t xml:space="preserve">  </w:t>
      </w:r>
      <w:r>
        <w:rPr>
          <w:rFonts w:hint="eastAsia"/>
          <w:b/>
          <w:bCs/>
          <w:i w:val="0"/>
          <w:iCs w:val="0"/>
          <w:sz w:val="24"/>
          <w:szCs w:val="24"/>
        </w:rPr>
        <w:t>名词解释</w:t>
      </w:r>
    </w:p>
    <w:p>
      <w:pPr>
        <w:pStyle w:val="19"/>
        <w:adjustRightInd w:val="0"/>
        <w:snapToGrid w:val="0"/>
        <w:spacing w:line="440" w:lineRule="exact"/>
        <w:ind w:left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名词解释</w:t>
      </w:r>
      <w:r>
        <w:rPr>
          <w:rFonts w:hint="eastAsia"/>
          <w:sz w:val="24"/>
          <w:lang w:val="en-US" w:eastAsia="zh-CN"/>
        </w:rPr>
        <w:t>-------------------------------------------------------------------------------------23</w:t>
      </w:r>
    </w:p>
    <w:p>
      <w:pPr>
        <w:pStyle w:val="17"/>
        <w:adjustRightInd w:val="0"/>
        <w:snapToGrid w:val="0"/>
        <w:spacing w:before="0" w:line="440" w:lineRule="exact"/>
        <w:jc w:val="left"/>
        <w:rPr>
          <w:rFonts w:hint="eastAsia" w:ascii="Times New Roman" w:hAnsi="Times New Roman" w:eastAsia="宋体" w:cs="Times New Roman"/>
          <w:kern w:val="2"/>
          <w:sz w:val="24"/>
          <w:szCs w:val="24"/>
          <w:lang w:val="en-US" w:eastAsia="zh-CN" w:bidi="ar"/>
        </w:rPr>
      </w:pPr>
      <w:r>
        <w:rPr>
          <w:rFonts w:hint="eastAsia"/>
          <w:b/>
          <w:bCs/>
          <w:sz w:val="24"/>
          <w:szCs w:val="24"/>
          <w:lang w:val="en-US" w:eastAsia="zh-CN"/>
        </w:rPr>
        <w:t>第四部分  附件</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ascii="仿宋" w:hAnsi="仿宋" w:eastAsia="仿宋" w:cs="仿宋"/>
          <w:sz w:val="24"/>
          <w:szCs w:val="24"/>
          <w:lang w:val="en-US"/>
        </w:rPr>
      </w:pPr>
      <w:r>
        <w:rPr>
          <w:rFonts w:hint="eastAsia" w:ascii="Times New Roman" w:hAnsi="Times New Roman" w:eastAsia="宋体" w:cs="宋体"/>
          <w:kern w:val="2"/>
          <w:sz w:val="24"/>
          <w:szCs w:val="24"/>
          <w:lang w:val="en-US" w:eastAsia="zh-CN" w:bidi="ar"/>
        </w:rPr>
        <w:t>附件</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：2021年度部门整体支出绩效自评报告</w:t>
      </w:r>
      <w:r>
        <w:rPr>
          <w:rFonts w:hint="eastAsia"/>
          <w:sz w:val="24"/>
          <w:lang w:val="en-US" w:eastAsia="zh-CN"/>
        </w:rPr>
        <w:t>--------------------------27</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sz w:val="24"/>
          <w:lang w:val="en-US" w:eastAsia="zh-CN"/>
        </w:rPr>
      </w:pPr>
      <w:r>
        <w:rPr>
          <w:rFonts w:hint="eastAsia" w:ascii="Times New Roman" w:hAnsi="Times New Roman" w:eastAsia="宋体" w:cs="宋体"/>
          <w:kern w:val="2"/>
          <w:sz w:val="24"/>
          <w:szCs w:val="24"/>
          <w:lang w:val="en-US" w:eastAsia="zh-CN" w:bidi="ar"/>
        </w:rPr>
        <w:t>附件</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：2021年度中央外经贸发展专项资金项目绩效评价报告</w:t>
      </w:r>
      <w:r>
        <w:rPr>
          <w:rFonts w:hint="eastAsia"/>
          <w:sz w:val="24"/>
          <w:lang w:val="en-US" w:eastAsia="zh-CN"/>
        </w:rPr>
        <w:t>-----------50</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sz w:val="24"/>
          <w:lang w:val="en-US" w:eastAsia="zh-CN"/>
        </w:rPr>
      </w:pPr>
      <w:r>
        <w:rPr>
          <w:rFonts w:hint="eastAsia" w:ascii="Times New Roman" w:hAnsi="Times New Roman" w:eastAsia="宋体" w:cs="宋体"/>
          <w:kern w:val="2"/>
          <w:sz w:val="24"/>
          <w:szCs w:val="24"/>
          <w:lang w:val="en-US" w:eastAsia="zh-CN" w:bidi="ar"/>
        </w:rPr>
        <w:t>附件</w:t>
      </w:r>
      <w:r>
        <w:rPr>
          <w:rFonts w:hint="eastAsia" w:ascii="Times New Roman" w:hAnsi="Times New Roman" w:cs="Times New Roman"/>
          <w:kern w:val="2"/>
          <w:sz w:val="24"/>
          <w:szCs w:val="24"/>
          <w:lang w:val="en-US" w:eastAsia="zh-CN" w:bidi="ar"/>
        </w:rPr>
        <w:t>3</w:t>
      </w:r>
      <w:r>
        <w:rPr>
          <w:rFonts w:hint="eastAsia" w:ascii="Times New Roman" w:hAnsi="Times New Roman" w:eastAsia="宋体" w:cs="Times New Roman"/>
          <w:kern w:val="2"/>
          <w:sz w:val="24"/>
          <w:szCs w:val="24"/>
          <w:lang w:val="en-US" w:eastAsia="zh-CN" w:bidi="ar"/>
        </w:rPr>
        <w:t>：2020年省级外贸资金</w:t>
      </w:r>
      <w:r>
        <w:rPr>
          <w:rFonts w:hint="eastAsia" w:ascii="Times New Roman" w:hAnsi="Times New Roman" w:cs="Times New Roman"/>
          <w:kern w:val="2"/>
          <w:sz w:val="24"/>
          <w:szCs w:val="24"/>
          <w:lang w:val="en-US" w:eastAsia="zh-CN" w:bidi="ar"/>
        </w:rPr>
        <w:t>专项</w:t>
      </w:r>
      <w:r>
        <w:rPr>
          <w:rFonts w:hint="eastAsia" w:ascii="Times New Roman" w:hAnsi="Times New Roman" w:eastAsia="宋体" w:cs="Times New Roman"/>
          <w:kern w:val="2"/>
          <w:sz w:val="24"/>
          <w:szCs w:val="24"/>
          <w:lang w:val="en-US" w:eastAsia="zh-CN" w:bidi="ar"/>
        </w:rPr>
        <w:t>项目绩效评价报告</w:t>
      </w:r>
      <w:r>
        <w:rPr>
          <w:rFonts w:hint="eastAsia"/>
          <w:sz w:val="24"/>
          <w:lang w:val="en-US" w:eastAsia="zh-CN"/>
        </w:rPr>
        <w:t>--------------------62</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sz w:val="24"/>
          <w:lang w:val="en-US" w:eastAsia="zh-CN"/>
        </w:rPr>
      </w:pPr>
      <w:r>
        <w:rPr>
          <w:rFonts w:hint="eastAsia" w:ascii="Times New Roman" w:hAnsi="Times New Roman" w:eastAsia="宋体" w:cs="宋体"/>
          <w:kern w:val="2"/>
          <w:sz w:val="24"/>
          <w:szCs w:val="24"/>
          <w:lang w:val="en-US" w:eastAsia="zh-CN" w:bidi="ar"/>
        </w:rPr>
        <w:t>附件</w:t>
      </w:r>
      <w:r>
        <w:rPr>
          <w:rFonts w:hint="eastAsia" w:ascii="Times New Roman" w:hAnsi="Times New Roman" w:cs="Times New Roman"/>
          <w:kern w:val="2"/>
          <w:sz w:val="24"/>
          <w:szCs w:val="24"/>
          <w:lang w:val="en-US" w:eastAsia="zh-CN" w:bidi="ar"/>
        </w:rPr>
        <w:t>4</w:t>
      </w:r>
      <w:r>
        <w:rPr>
          <w:rFonts w:hint="eastAsia" w:ascii="Times New Roman" w:hAnsi="Times New Roman" w:eastAsia="宋体" w:cs="Times New Roman"/>
          <w:kern w:val="2"/>
          <w:sz w:val="24"/>
          <w:szCs w:val="24"/>
          <w:lang w:val="en-US" w:eastAsia="zh-CN" w:bidi="ar"/>
        </w:rPr>
        <w:t>：2020年中央财政农商互联既农产品供应链</w:t>
      </w:r>
      <w:r>
        <w:rPr>
          <w:rFonts w:hint="eastAsia" w:ascii="Times New Roman" w:hAnsi="Times New Roman" w:cs="Times New Roman"/>
          <w:kern w:val="2"/>
          <w:sz w:val="24"/>
          <w:szCs w:val="24"/>
          <w:lang w:val="en-US" w:eastAsia="zh-CN" w:bidi="ar"/>
        </w:rPr>
        <w:t>专项</w:t>
      </w:r>
      <w:r>
        <w:rPr>
          <w:rFonts w:hint="eastAsia" w:ascii="Times New Roman" w:hAnsi="Times New Roman" w:eastAsia="宋体" w:cs="Times New Roman"/>
          <w:kern w:val="2"/>
          <w:sz w:val="24"/>
          <w:szCs w:val="24"/>
          <w:lang w:val="en-US" w:eastAsia="zh-CN" w:bidi="ar"/>
        </w:rPr>
        <w:t>项目绩效评价报告</w:t>
      </w:r>
      <w:r>
        <w:rPr>
          <w:rFonts w:hint="eastAsia"/>
          <w:sz w:val="24"/>
          <w:lang w:val="en-US" w:eastAsia="zh-CN"/>
        </w:rPr>
        <w:t>--75</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sz w:val="24"/>
          <w:lang w:val="en-US" w:eastAsia="zh-CN"/>
        </w:rPr>
      </w:pPr>
      <w:r>
        <w:rPr>
          <w:rFonts w:hint="eastAsia" w:ascii="Times New Roman" w:hAnsi="Times New Roman" w:eastAsia="宋体" w:cs="宋体"/>
          <w:kern w:val="2"/>
          <w:sz w:val="24"/>
          <w:szCs w:val="24"/>
          <w:lang w:val="en-US" w:eastAsia="zh-CN" w:bidi="ar"/>
        </w:rPr>
        <w:t>附件</w:t>
      </w:r>
      <w:r>
        <w:rPr>
          <w:rFonts w:hint="eastAsia" w:ascii="Times New Roman" w:hAnsi="Times New Roman" w:cs="Times New Roman"/>
          <w:kern w:val="2"/>
          <w:sz w:val="24"/>
          <w:szCs w:val="24"/>
          <w:lang w:val="en-US" w:eastAsia="zh-CN" w:bidi="ar"/>
        </w:rPr>
        <w:t>5</w:t>
      </w:r>
      <w:r>
        <w:rPr>
          <w:rFonts w:hint="eastAsia" w:ascii="Times New Roman" w:hAnsi="Times New Roman" w:eastAsia="宋体" w:cs="Times New Roman"/>
          <w:kern w:val="2"/>
          <w:sz w:val="24"/>
          <w:szCs w:val="24"/>
          <w:lang w:val="en-US" w:eastAsia="zh-CN" w:bidi="ar"/>
        </w:rPr>
        <w:t>：第三批天府旅游名县奖励资金预算</w:t>
      </w:r>
      <w:r>
        <w:rPr>
          <w:rFonts w:hint="eastAsia" w:ascii="Times New Roman" w:hAnsi="Times New Roman" w:cs="Times New Roman"/>
          <w:kern w:val="2"/>
          <w:sz w:val="24"/>
          <w:szCs w:val="24"/>
          <w:lang w:val="en-US" w:eastAsia="zh-CN" w:bidi="ar"/>
        </w:rPr>
        <w:t>专项</w:t>
      </w:r>
      <w:r>
        <w:rPr>
          <w:rFonts w:hint="eastAsia" w:ascii="Times New Roman" w:hAnsi="Times New Roman" w:eastAsia="宋体" w:cs="Times New Roman"/>
          <w:kern w:val="2"/>
          <w:sz w:val="24"/>
          <w:szCs w:val="24"/>
          <w:lang w:val="en-US" w:eastAsia="zh-CN" w:bidi="ar"/>
        </w:rPr>
        <w:t>项目绩效评价报告</w:t>
      </w:r>
      <w:r>
        <w:rPr>
          <w:rFonts w:hint="eastAsia"/>
          <w:sz w:val="24"/>
          <w:lang w:val="en-US" w:eastAsia="zh-CN"/>
        </w:rPr>
        <w:t>--------89</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right="0" w:firstLine="480" w:firstLineChars="200"/>
        <w:jc w:val="left"/>
        <w:rPr>
          <w:rFonts w:hint="eastAsia"/>
          <w:b/>
          <w:bCs/>
          <w:sz w:val="24"/>
          <w:szCs w:val="24"/>
          <w:lang w:val="en-US" w:eastAsia="zh-CN"/>
        </w:rPr>
      </w:pPr>
      <w:r>
        <w:rPr>
          <w:rFonts w:hint="eastAsia" w:ascii="Times New Roman" w:hAnsi="Times New Roman" w:eastAsia="宋体" w:cs="宋体"/>
          <w:kern w:val="2"/>
          <w:sz w:val="24"/>
          <w:szCs w:val="24"/>
          <w:lang w:val="en-US" w:eastAsia="zh-CN" w:bidi="ar"/>
        </w:rPr>
        <w:t>附件</w:t>
      </w:r>
      <w:r>
        <w:rPr>
          <w:rFonts w:hint="eastAsia" w:ascii="Times New Roman" w:hAnsi="Times New Roman" w:cs="Times New Roman"/>
          <w:kern w:val="2"/>
          <w:sz w:val="24"/>
          <w:szCs w:val="24"/>
          <w:lang w:val="en-US" w:eastAsia="zh-CN" w:bidi="ar"/>
        </w:rPr>
        <w:t>6</w:t>
      </w:r>
      <w:r>
        <w:rPr>
          <w:rFonts w:hint="eastAsia" w:ascii="Times New Roman" w:hAnsi="Times New Roman" w:eastAsia="宋体" w:cs="Times New Roman"/>
          <w:kern w:val="2"/>
          <w:sz w:val="24"/>
          <w:szCs w:val="24"/>
          <w:lang w:val="en-US" w:eastAsia="zh-CN" w:bidi="ar"/>
        </w:rPr>
        <w:t>：</w:t>
      </w:r>
      <w:r>
        <w:rPr>
          <w:rFonts w:hint="default"/>
          <w:sz w:val="24"/>
          <w:lang w:val="en-US" w:eastAsia="zh-CN"/>
        </w:rPr>
        <w:t>企业入库贡献奖部门预算项目支出绩效自评报告</w:t>
      </w:r>
      <w:r>
        <w:rPr>
          <w:rFonts w:hint="eastAsia"/>
          <w:sz w:val="24"/>
          <w:lang w:val="en-US" w:eastAsia="zh-CN"/>
        </w:rPr>
        <w:t>--------------101</w:t>
      </w:r>
    </w:p>
    <w:p>
      <w:pPr>
        <w:pStyle w:val="17"/>
        <w:adjustRightInd w:val="0"/>
        <w:snapToGrid w:val="0"/>
        <w:spacing w:before="0" w:line="440" w:lineRule="exact"/>
        <w:jc w:val="left"/>
        <w:rPr>
          <w:rFonts w:hint="eastAsia"/>
          <w:b/>
          <w:bCs/>
          <w:sz w:val="24"/>
          <w:szCs w:val="24"/>
          <w:lang w:val="en-US"/>
        </w:rPr>
      </w:pPr>
      <w:r>
        <w:rPr>
          <w:rFonts w:hint="eastAsia"/>
          <w:b/>
          <w:bCs/>
          <w:sz w:val="24"/>
          <w:szCs w:val="24"/>
          <w:lang w:val="en-US" w:eastAsia="zh-CN"/>
        </w:rPr>
        <w:t>第五部分 附表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表一、收入支出决算总表-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表二、收入决算表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表三、支出决算表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表四、财政拨款收入支出决算总表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表五、财政拨款支出决算明细表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表六、一般公共预算财政拨款支出决算表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表七、一般公共预算财政拨款支出决算明细表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表八、一般公共预算财政拨款基本支出决算表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表九、一般公共预算财政拨款项目支出决算表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表十、一般公共预算财政拨款“三公”经费支出决算表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表十一、政府性基金预算财政拨款收入支出决算表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表十二、政府性基金预算财政拨款“三公”经费支出决算表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表十三、国有资本经营预算财政拨款收入支出决算表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表十四、国有资本经营预算财政拨款支出决算表</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4"/>
        <w:ind w:right="440"/>
        <w:jc w:val="center"/>
        <w:rPr>
          <w:rFonts w:hint="eastAsia" w:ascii="黑体" w:hAnsi="黑体" w:eastAsia="黑体"/>
          <w:b w:val="0"/>
          <w:color w:val="000000"/>
        </w:rPr>
      </w:pPr>
      <w:bookmarkStart w:id="12" w:name="_Toc15396599"/>
      <w:bookmarkStart w:id="13" w:name="_Toc15377196"/>
    </w:p>
    <w:p>
      <w:pPr>
        <w:rPr>
          <w:rFonts w:hint="eastAsia" w:ascii="黑体" w:hAnsi="黑体" w:eastAsia="黑体"/>
          <w:b w:val="0"/>
          <w:color w:val="000000"/>
        </w:rPr>
      </w:pPr>
    </w:p>
    <w:p>
      <w:pPr>
        <w:pStyle w:val="2"/>
        <w:rPr>
          <w:rFonts w:hint="eastAsia"/>
        </w:rPr>
      </w:pPr>
    </w:p>
    <w:p>
      <w:pPr>
        <w:pStyle w:val="3"/>
        <w:rPr>
          <w:rFonts w:hint="eastAsia" w:ascii="黑体" w:hAnsi="黑体" w:eastAsia="黑体"/>
          <w:b w:val="0"/>
          <w:color w:val="000000"/>
        </w:rPr>
      </w:pPr>
    </w:p>
    <w:p>
      <w:pPr>
        <w:pStyle w:val="3"/>
        <w:rPr>
          <w:rFonts w:hint="eastAsia" w:ascii="黑体" w:hAnsi="黑体" w:eastAsia="黑体"/>
          <w:b w:val="0"/>
          <w:color w:val="000000"/>
        </w:rPr>
      </w:pPr>
    </w:p>
    <w:p>
      <w:pPr>
        <w:pStyle w:val="3"/>
        <w:rPr>
          <w:rFonts w:hint="eastAsia" w:ascii="黑体" w:hAnsi="黑体" w:eastAsia="黑体"/>
          <w:b w:val="0"/>
          <w:color w:val="000000"/>
        </w:rPr>
      </w:pPr>
    </w:p>
    <w:p>
      <w:pPr>
        <w:pStyle w:val="3"/>
        <w:rPr>
          <w:rFonts w:hint="eastAsia" w:ascii="黑体" w:hAnsi="黑体" w:eastAsia="黑体"/>
          <w:b w:val="0"/>
          <w:color w:val="000000"/>
        </w:rPr>
      </w:pPr>
    </w:p>
    <w:p>
      <w:pPr>
        <w:pStyle w:val="3"/>
        <w:rPr>
          <w:rFonts w:hint="eastAsia" w:ascii="黑体" w:hAnsi="黑体" w:eastAsia="黑体"/>
          <w:b w:val="0"/>
          <w:color w:val="000000"/>
        </w:rPr>
      </w:pPr>
    </w:p>
    <w:p>
      <w:pPr>
        <w:pStyle w:val="3"/>
        <w:rPr>
          <w:rFonts w:hint="eastAsia" w:ascii="黑体" w:hAnsi="黑体" w:eastAsia="黑体"/>
          <w:b w:val="0"/>
          <w:color w:val="000000"/>
        </w:rPr>
      </w:pPr>
    </w:p>
    <w:p>
      <w:pPr>
        <w:pStyle w:val="4"/>
        <w:ind w:right="440"/>
        <w:jc w:val="center"/>
        <w:rPr>
          <w:rFonts w:hint="eastAsia" w:ascii="黑体" w:hAnsi="黑体" w:eastAsia="黑体"/>
          <w:b w:val="0"/>
          <w:color w:val="000000"/>
        </w:rPr>
        <w:sectPr>
          <w:footerReference r:id="rId6" w:type="first"/>
          <w:footerReference r:id="rId5" w:type="default"/>
          <w:pgSz w:w="11906" w:h="16838"/>
          <w:pgMar w:top="1440" w:right="1746" w:bottom="1440" w:left="1746" w:header="851" w:footer="992" w:gutter="0"/>
          <w:pgNumType w:fmt="decimal" w:start="1"/>
          <w:cols w:space="0" w:num="1"/>
          <w:titlePg/>
          <w:docGrid w:type="lines" w:linePitch="312" w:charSpace="0"/>
        </w:sectPr>
      </w:pPr>
    </w:p>
    <w:p>
      <w:pPr>
        <w:pStyle w:val="4"/>
        <w:ind w:right="440"/>
        <w:jc w:val="center"/>
        <w:rPr>
          <w:rFonts w:ascii="黑体" w:hAnsi="黑体" w:eastAsia="黑体"/>
          <w:b w:val="0"/>
          <w:color w:val="000000"/>
        </w:rPr>
      </w:pPr>
      <w:r>
        <w:rPr>
          <w:rFonts w:hint="eastAsia" w:ascii="黑体" w:hAnsi="黑体" w:eastAsia="黑体"/>
          <w:b w:val="0"/>
          <w:color w:val="000000"/>
        </w:rPr>
        <w:t>第一部分  部门概况</w:t>
      </w:r>
    </w:p>
    <w:p>
      <w:pPr>
        <w:pStyle w:val="5"/>
        <w:ind w:firstLine="640" w:firstLineChars="200"/>
        <w:rPr>
          <w:rStyle w:val="38"/>
          <w:rFonts w:ascii="仿宋" w:hAnsi="仿宋" w:eastAsia="仿宋"/>
          <w:b w:val="0"/>
          <w:bCs w:val="0"/>
        </w:rPr>
      </w:pPr>
      <w:r>
        <w:rPr>
          <w:rFonts w:hint="eastAsia" w:ascii="黑体" w:hAnsi="黑体" w:eastAsia="黑体"/>
          <w:b w:val="0"/>
          <w:color w:val="000000"/>
        </w:rPr>
        <w:t>一、基</w:t>
      </w:r>
      <w:r>
        <w:rPr>
          <w:rStyle w:val="38"/>
          <w:rFonts w:hint="eastAsia" w:ascii="黑体" w:hAnsi="黑体" w:eastAsia="黑体"/>
          <w:b w:val="0"/>
          <w:bCs w:val="0"/>
        </w:rPr>
        <w:t>本职能及主要工作</w:t>
      </w:r>
    </w:p>
    <w:p>
      <w:pPr>
        <w:snapToGrid w:val="0"/>
        <w:spacing w:line="600" w:lineRule="exact"/>
        <w:ind w:firstLine="642" w:firstLineChars="200"/>
        <w:rPr>
          <w:rFonts w:ascii="仿宋" w:hAnsi="仿宋" w:eastAsia="仿宋"/>
          <w:b/>
          <w:bCs w:val="0"/>
          <w:color w:val="000000"/>
          <w:sz w:val="32"/>
          <w:szCs w:val="32"/>
        </w:rPr>
      </w:pPr>
      <w:r>
        <w:rPr>
          <w:rFonts w:hint="eastAsia" w:ascii="仿宋" w:hAnsi="仿宋" w:eastAsia="仿宋"/>
          <w:b/>
          <w:bCs w:val="0"/>
          <w:color w:val="000000"/>
          <w:sz w:val="32"/>
          <w:szCs w:val="32"/>
        </w:rPr>
        <w:t>（一）主要职能。</w:t>
      </w:r>
    </w:p>
    <w:p>
      <w:pPr>
        <w:ind w:firstLine="640" w:firstLineChars="200"/>
        <w:rPr>
          <w:rFonts w:ascii="仿宋" w:hAnsi="仿宋" w:eastAsia="仿宋" w:cs="仿宋"/>
          <w:sz w:val="32"/>
          <w:szCs w:val="32"/>
        </w:rPr>
      </w:pPr>
      <w:r>
        <w:rPr>
          <w:rFonts w:hint="eastAsia" w:ascii="仿宋" w:hAnsi="仿宋" w:eastAsia="仿宋" w:cs="仿宋"/>
          <w:sz w:val="32"/>
          <w:szCs w:val="32"/>
        </w:rPr>
        <w:t>（1）贯彻执行国家、省、市、区有关国内外贸易和服务贸易工作的法律、法规和方针、政策以及区委、区政府有关内、外贸工作的重大决策；拟订全区内、外贸的发展战略、中长期发展规划和政策，并组织实施。</w:t>
      </w:r>
    </w:p>
    <w:p>
      <w:pPr>
        <w:ind w:firstLine="640" w:firstLineChars="200"/>
        <w:rPr>
          <w:rFonts w:ascii="仿宋" w:hAnsi="仿宋" w:eastAsia="仿宋" w:cs="仿宋"/>
          <w:sz w:val="32"/>
          <w:szCs w:val="32"/>
        </w:rPr>
      </w:pPr>
      <w:r>
        <w:rPr>
          <w:rFonts w:hint="eastAsia" w:ascii="仿宋" w:hAnsi="仿宋" w:eastAsia="仿宋" w:cs="仿宋"/>
          <w:sz w:val="32"/>
          <w:szCs w:val="32"/>
        </w:rPr>
        <w:t>（2）拟订年度内、外贸运行调控目标和指导性计划、措施并组织实施，统计、分析和发布重要商务信息，参与协调商务运行中涉及财政、金融、税务、统计等领域的政策问题。</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3）负责推进流通产业结构调整，研究流通企业改革的相关政策并组织实施，负责商贸服务业行业管理，提出促进商贸企业发展的政策建议，推动流通标准化和连锁经营、商业特许经营、物流配送、电子商务等现代流通方式的发展。 </w:t>
      </w:r>
    </w:p>
    <w:p>
      <w:pPr>
        <w:ind w:firstLine="640" w:firstLineChars="200"/>
        <w:rPr>
          <w:rFonts w:ascii="仿宋" w:hAnsi="仿宋" w:eastAsia="仿宋" w:cs="仿宋"/>
          <w:sz w:val="32"/>
          <w:szCs w:val="32"/>
        </w:rPr>
      </w:pPr>
      <w:r>
        <w:rPr>
          <w:rFonts w:hint="eastAsia" w:ascii="仿宋" w:hAnsi="仿宋" w:eastAsia="仿宋" w:cs="仿宋"/>
          <w:sz w:val="32"/>
          <w:szCs w:val="32"/>
        </w:rPr>
        <w:t>（4）牵头协调整顿和规范我区市场经济秩序工作,组织推动追溯体系建设。参与组织打击商务领域侵犯知识产权、商业欺诈等工作，推动商务领域信用建设，指导商业信用销售，建立市场诚信公共服务平台，对特殊流通行业进行监督管理。协同有关部门做好商贸企业食品卫生、服务质量、商品质量的监督管理工作。</w:t>
      </w:r>
    </w:p>
    <w:p>
      <w:pPr>
        <w:ind w:firstLine="640" w:firstLineChars="200"/>
        <w:rPr>
          <w:rFonts w:hint="eastAsia" w:ascii="仿宋" w:hAnsi="仿宋" w:eastAsia="仿宋" w:cs="仿宋"/>
          <w:sz w:val="32"/>
          <w:szCs w:val="32"/>
        </w:rPr>
        <w:sectPr>
          <w:footerReference r:id="rId8" w:type="first"/>
          <w:footerReference r:id="rId7" w:type="default"/>
          <w:pgSz w:w="11906" w:h="16838"/>
          <w:pgMar w:top="1440" w:right="1746" w:bottom="1440" w:left="1746" w:header="851" w:footer="992" w:gutter="0"/>
          <w:pgNumType w:fmt="decimal" w:start="1"/>
          <w:cols w:space="0" w:num="1"/>
          <w:titlePg/>
          <w:docGrid w:type="lines" w:linePitch="312" w:charSpace="0"/>
        </w:sectPr>
      </w:pPr>
      <w:r>
        <w:rPr>
          <w:rFonts w:hint="eastAsia" w:ascii="仿宋" w:hAnsi="仿宋" w:eastAsia="仿宋" w:cs="仿宋"/>
          <w:sz w:val="32"/>
          <w:szCs w:val="32"/>
        </w:rPr>
        <w:t>（5）促进城乡市场发展，负责制订、指导大宗商品批发</w:t>
      </w:r>
    </w:p>
    <w:p>
      <w:pPr>
        <w:ind w:firstLine="640" w:firstLineChars="200"/>
        <w:rPr>
          <w:rFonts w:ascii="仿宋" w:hAnsi="仿宋" w:eastAsia="仿宋" w:cs="仿宋"/>
          <w:sz w:val="32"/>
          <w:szCs w:val="32"/>
        </w:rPr>
      </w:pPr>
      <w:r>
        <w:rPr>
          <w:rFonts w:hint="eastAsia" w:ascii="仿宋" w:hAnsi="仿宋" w:eastAsia="仿宋" w:cs="仿宋"/>
          <w:sz w:val="32"/>
          <w:szCs w:val="32"/>
        </w:rPr>
        <w:t>市场规划和城市商业网点规划，指导商业体系建设、社区商业工作；按规定权限对兴办商品市场、设立拍卖行、加油站进行资格审查准入，并依法监督；推进农村市场体系建设，组织实施农村现代流通网络工程；管理市级市场物业；负责指导、协调全区县、区商贸业的经济发展工作。</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（6）负责制订全区物流业发展规划和政策措施，研究全市物流业改革发展的重大问题，对物流业重大项目进行跟踪。 </w:t>
      </w:r>
    </w:p>
    <w:p>
      <w:pPr>
        <w:ind w:firstLine="640" w:firstLineChars="200"/>
        <w:rPr>
          <w:rFonts w:ascii="仿宋" w:hAnsi="仿宋" w:eastAsia="仿宋" w:cs="仿宋"/>
          <w:sz w:val="32"/>
          <w:szCs w:val="32"/>
        </w:rPr>
      </w:pPr>
      <w:r>
        <w:rPr>
          <w:rFonts w:hint="eastAsia" w:ascii="仿宋" w:hAnsi="仿宋" w:eastAsia="仿宋" w:cs="仿宋"/>
          <w:sz w:val="32"/>
          <w:szCs w:val="32"/>
        </w:rPr>
        <w:t>（7）承担组织实施重要消费品市场调控和重要生产资料流通管理的责任，负责建立健全生活必需品市场供应应急管理机制，监测分析市场运行、商品供求状况，调查分析商品价格信息，进行预测预警和信息引导，按分工负责重要商品储备管理和市场调控工作，负责酒类专卖相关管理工作，按有关规定对成品油流通进行监督管理，对报废汽车和旧机动车、废旧金属材料等特种物质的流通进行管理；加强对商贸企业国有资产运营、管理和监督。</w:t>
      </w:r>
    </w:p>
    <w:p>
      <w:pPr>
        <w:ind w:firstLine="640" w:firstLineChars="200"/>
        <w:rPr>
          <w:rFonts w:ascii="仿宋" w:hAnsi="仿宋" w:eastAsia="仿宋" w:cs="仿宋"/>
          <w:sz w:val="32"/>
          <w:szCs w:val="32"/>
        </w:rPr>
      </w:pPr>
      <w:r>
        <w:rPr>
          <w:rFonts w:hint="eastAsia" w:ascii="仿宋" w:hAnsi="仿宋" w:eastAsia="仿宋" w:cs="仿宋"/>
          <w:sz w:val="32"/>
          <w:szCs w:val="32"/>
        </w:rPr>
        <w:t>（8）负责对外贸易工作，指导企业开拓多元化国际市场，负责组织实施重要工业品、原材料和重要农产品进出口总量计划工作；负责管理机电产品、高新技术产品进出口工作；指导和协调加工贸易工作，负责出口加工区的指导协调和审核、报批等工作；推进进出口贸易标准化工作，依法监督技术引进、设备进口、国家限制出口技术的工作。</w:t>
      </w:r>
    </w:p>
    <w:p>
      <w:pPr>
        <w:ind w:firstLine="640" w:firstLineChars="200"/>
        <w:rPr>
          <w:rFonts w:ascii="仿宋" w:hAnsi="仿宋" w:eastAsia="仿宋" w:cs="仿宋"/>
          <w:sz w:val="32"/>
          <w:szCs w:val="32"/>
        </w:rPr>
      </w:pPr>
      <w:r>
        <w:rPr>
          <w:rFonts w:hint="eastAsia" w:ascii="仿宋" w:hAnsi="仿宋" w:eastAsia="仿宋" w:cs="仿宋"/>
          <w:sz w:val="32"/>
          <w:szCs w:val="32"/>
        </w:rPr>
        <w:t>（9）负责涉及世贸组织规则的相关工作， 承担组织协调反倾销、反补贴、反垄断保障措施及其他与进出口公平贸易相关工作的责任，建立进出口公平贸易预警机制，组织产业损害调查，指导协调产业安全应对工作及国外对我市出口商品的反倾销、反补贴保障措施的应诉相关工作。</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（10）负责拟订服务贸易发展规划并开展相关工作；负责会同有关部门制定促进我区服务外包发展的规划、政策并组织实施，推动服务外包示范城市建设，促进服务外包产业发展。 </w:t>
      </w:r>
    </w:p>
    <w:p>
      <w:pPr>
        <w:ind w:firstLine="640" w:firstLineChars="200"/>
        <w:rPr>
          <w:rFonts w:ascii="仿宋" w:hAnsi="仿宋" w:eastAsia="仿宋" w:cs="仿宋"/>
          <w:sz w:val="32"/>
          <w:szCs w:val="32"/>
        </w:rPr>
      </w:pPr>
      <w:r>
        <w:rPr>
          <w:rFonts w:hint="eastAsia" w:ascii="仿宋" w:hAnsi="仿宋" w:eastAsia="仿宋" w:cs="仿宋"/>
          <w:sz w:val="32"/>
          <w:szCs w:val="32"/>
        </w:rPr>
        <w:t>（11）牵头拟订全区商贸服务业发展规划并组织、协调开展相关工作。负责研究制订药品流通行业发展规划、行业标准和有关政策。</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（12）指导商贸系统的安全生产、信访、维稳工作；组织实施全系统社会主义精神文明建设工作。 </w:t>
      </w:r>
    </w:p>
    <w:p>
      <w:pPr>
        <w:ind w:firstLine="640" w:firstLineChars="200"/>
        <w:rPr>
          <w:rFonts w:ascii="仿宋" w:hAnsi="仿宋" w:eastAsia="仿宋" w:cs="仿宋"/>
          <w:sz w:val="32"/>
          <w:szCs w:val="32"/>
        </w:rPr>
      </w:pPr>
      <w:r>
        <w:rPr>
          <w:rFonts w:hint="eastAsia" w:ascii="仿宋" w:hAnsi="仿宋" w:eastAsia="仿宋" w:cs="仿宋"/>
          <w:sz w:val="32"/>
          <w:szCs w:val="32"/>
        </w:rPr>
        <w:t>（13）负责推进、指导、协调、监督本部门、本系统的政府信息公开工作。</w:t>
      </w:r>
    </w:p>
    <w:p>
      <w:pPr>
        <w:ind w:firstLine="640" w:firstLineChars="200"/>
        <w:rPr>
          <w:rFonts w:ascii="仿宋" w:hAnsi="仿宋" w:eastAsia="仿宋" w:cs="仿宋"/>
          <w:sz w:val="32"/>
          <w:szCs w:val="32"/>
        </w:rPr>
      </w:pPr>
      <w:r>
        <w:rPr>
          <w:rFonts w:hint="eastAsia" w:ascii="仿宋" w:hAnsi="仿宋" w:eastAsia="仿宋" w:cs="仿宋"/>
          <w:sz w:val="32"/>
          <w:szCs w:val="32"/>
        </w:rPr>
        <w:t>（14）承办区人民政府交办的其它事项。</w:t>
      </w:r>
    </w:p>
    <w:p>
      <w:pPr>
        <w:spacing w:line="560" w:lineRule="exact"/>
        <w:ind w:firstLine="642" w:firstLineChars="200"/>
        <w:outlineLvl w:val="1"/>
        <w:rPr>
          <w:rFonts w:ascii="仿宋" w:hAnsi="仿宋" w:eastAsia="仿宋"/>
          <w:b/>
          <w:bCs w:val="0"/>
          <w:color w:val="000000"/>
          <w:sz w:val="32"/>
          <w:szCs w:val="32"/>
        </w:rPr>
      </w:pPr>
      <w:r>
        <w:rPr>
          <w:rFonts w:hint="eastAsia" w:ascii="仿宋" w:hAnsi="仿宋" w:eastAsia="仿宋"/>
          <w:b/>
          <w:bCs w:val="0"/>
          <w:color w:val="000000"/>
          <w:sz w:val="32"/>
          <w:szCs w:val="32"/>
        </w:rPr>
        <w:t>（二）</w:t>
      </w:r>
      <w:r>
        <w:rPr>
          <w:rFonts w:ascii="仿宋" w:hAnsi="仿宋" w:eastAsia="仿宋"/>
          <w:b/>
          <w:bCs w:val="0"/>
          <w:color w:val="000000"/>
          <w:sz w:val="32"/>
          <w:szCs w:val="32"/>
        </w:rPr>
        <w:t>20</w:t>
      </w:r>
      <w:r>
        <w:rPr>
          <w:rFonts w:hint="eastAsia" w:ascii="仿宋" w:hAnsi="仿宋" w:eastAsia="仿宋"/>
          <w:b/>
          <w:bCs w:val="0"/>
          <w:color w:val="000000"/>
          <w:sz w:val="32"/>
          <w:szCs w:val="32"/>
          <w:lang w:val="en-US" w:eastAsia="zh-CN"/>
        </w:rPr>
        <w:t>21</w:t>
      </w:r>
      <w:r>
        <w:rPr>
          <w:rFonts w:hint="eastAsia" w:ascii="仿宋" w:hAnsi="仿宋" w:eastAsia="仿宋"/>
          <w:b/>
          <w:bCs w:val="0"/>
          <w:color w:val="000000"/>
          <w:sz w:val="32"/>
          <w:szCs w:val="32"/>
        </w:rPr>
        <w:t>年重点工作完成情况。</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今年以来，区商务局在习近平新时代中国特色社会主义思想指引下,全面贯彻党的十九大和十九届历次全会精神，深入落实习近平总书记对四川工作系列重要指示精神以及区委全会精神，围绕区委“123456”执政兴区总体思路，坚持稳中求进工作总基调，以建设“3+N”现代服务业体系为主题，以深化供给侧结构性改革为主线，以改革创新为动力，聚焦“十四五”“开门红”，抢抓“成渝地区双城经济圈建设”机遇，统筹推进疫情防控和社会经济发展，全面完成商贸服务业发展各项目标任务。</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宋体" w:hAnsi="宋体" w:eastAsia="宋体" w:cs="宋体"/>
          <w:sz w:val="32"/>
          <w:szCs w:val="32"/>
          <w:lang w:val="en-US"/>
        </w:rPr>
      </w:pPr>
      <w:r>
        <w:rPr>
          <w:rFonts w:hint="eastAsia" w:ascii="仿宋" w:hAnsi="仿宋" w:eastAsia="仿宋"/>
          <w:b/>
          <w:bCs w:val="0"/>
          <w:color w:val="000000"/>
          <w:sz w:val="32"/>
          <w:szCs w:val="32"/>
          <w:lang w:val="en-US" w:eastAsia="zh-CN"/>
        </w:rPr>
        <w:t>（1）主要经济指标完成情况：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社会消费品零售总额（市下目标20%）。1-12月，社消零实现25.27亿元，同比增长18.1%，排全市第五位。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服务业增加值（市下目标11.50%）。1-12月，实现服务业增加值25.40亿元，同比增长11.7%，排全市第一位。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外贸进出口总额（市下目标3113万元、增速不低于25%）。1-12月，全区外贸进出口总额实现1395.75万元，同比下降44%。</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实际到位外资（市下目标320万美元）。全年实际到位外资400万美元，完成目标任务的125%。</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企业入库（市下规上服务业企业1家、限上商贸企业2家）。全年入库批零住餐企业3家、规上服务业企业1家。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资产投资项目入库（区下目标：完成固定资产投资1.1亿元，入库2.0亿元）。1-12月完成固定资产投资2765万元，完成全年目标任务11000万元的25.14%，出数后库存3220万元。入库3920万元，完成全年入库任务20000万元的19.6%。</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招商引资（区下目标：签约项目3个，签约资金2.6亿元，引进到位资金2亿元）。共签约招商引资项目4个，签约资金2.7亿元。完成区下目标任务2.6亿元的103.85%</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向上争取资金（区下目标：200万元）。全年累计完成向上争取资金1019.18万元，占全年目标的509.59%。</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(2)主要工作开展情况</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全面完成疫情防控任务。</w:t>
      </w:r>
      <w:r>
        <w:rPr>
          <w:rFonts w:hint="eastAsia" w:ascii="仿宋" w:hAnsi="仿宋" w:eastAsia="仿宋" w:cs="仿宋"/>
          <w:sz w:val="32"/>
          <w:szCs w:val="32"/>
          <w:lang w:val="en-US" w:eastAsia="zh-CN"/>
        </w:rPr>
        <w:t>一是强化责任落实。建立主城区疫情防控网格化管理机制，建立商场超市、宾馆民宿等行业疫情防控工作组，划分了朝天片、羊木片、中子片、曾家片4个疫情防控督导片，按照“线面结合”方式，确保全区商贸行业疫情防控不留空白。做好商务市场疫情防控工作组牵头统筹工作。二是坚持常态化防控。压实商场超市、宾馆酒店等业主主体责任，坚持“健康码、行程卡”双码联查、扫场所码、测量体温、规范佩戴口罩、一米间距、环境消杀等常态化防控措施，制定疫情防控应急预案，准备足量疫情防控物资。加大宣传教育力度，张贴疫情防控公告5000余张、签订疫情防控承诺书1000余份，发整改通知书120余份，及时在LED显示屏、广播等显示、播放疫情宣传标语。加强企业员工管理，督促从业人员按要求做好核酸检测、疫苗接种以及日常防控工作。坚持部门联动执法，对防控不力、重视不够、屡教不改的典型企业，协同公安系统及时进行批评教育并采取视频曝光等形式，力争达到处理一户、教育一片的目的。三是有效开展进口非冷链商品疫情防控工作。建立全区进口高风险非冷链商品疫情防控工作专班，落实乡镇属地管理责任，抓实行业监管责任，部门之间紧密配合，对全区经营商户、企业进行全面排查，切实落实进口高风险非冷链商品疫情防控工作。截至目前，全区共有经营进口奶粉的孕婴店3家、进口商品的生产企业6家，所有进口商品的生产许可证、检验检疫报告、核酸检测报告等证件齐全，并专门登记造册，做到来源可追溯。查获进口邮件包裹16个，原路退回7件，其他9件经检疫检测和消毒登记后由收件人提取。协助做好进口冷链食品管理。</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加快流通体系建设全力夯实商贸业发展基础。</w:t>
      </w:r>
      <w:r>
        <w:rPr>
          <w:rFonts w:hint="eastAsia" w:ascii="仿宋" w:hAnsi="仿宋" w:eastAsia="仿宋" w:cs="仿宋"/>
          <w:sz w:val="32"/>
          <w:szCs w:val="32"/>
          <w:lang w:val="en-US" w:eastAsia="zh-CN"/>
        </w:rPr>
        <w:t>一是创新城乡商贸体系。初步建立了联通村产业、区分拣、社区网点配送的城乡流通体系，共建立了20余个产业村收购网点、1个区级农产品配送中心、7个社区配送网点。加强区、乡、村三级电商综合服务站点和物流配送站点管理，各示范点运营绩效显著提升，乡村物流配送渠道逐步畅通，物流成本大幅降低。二是畅通线上消费渠道。持续深化国家级电商进农村示范县创建工作，培育较大的农村电商团队4个，新培育注册电商公司5家，开展电商人才培训309人次，培育直播团队3个、微商团队1个，孵化电商创业者321人，成立了朝天农资网、朝天娇本土电商平台2个，建立“不出远门”快递超市等社区电商平台，举办“云上秦巴山区年货节”线上活动2次。社区电商、网红直播、供应链等电商业态不断发展，网上消费日趋活跃，全年电商交易额达到4.5亿元、农特产品网销额1.45亿元以上。三是壮大市场主体。完善企业梯次培育和县级领导挂联机制，坚持“四个一批”工作举措，加大商贸服务业企业培育和招引，全力推动“个转企”，不断壮大商贸服务业企业主体队伍。实行部门联动，坚持限上限下同向发力，努力促进在库企业上台阶和限下企业提质增效。严格落实《朝天区“四上”企业培育奖励办法》，密切跟踪重点培育的企业，确保完成企业入库任务。2021年共兑现企业入库奖励资金48万元。四是稳定市场供应。扎实开展市场保供、监测工作，编制出《朝天区影响生活必需品市场稳定突发事件应急预案》，建立了以广客源商贸有限公司等3家企业为区级生活必需品保供企业、20家乡镇保供企业为支撑的全区生活必需品重点保供体系，可有效应对特殊时期、极端天气、节假日等时段生活必需品市场供应，切实保障人民群众基本生活需求，维护市场稳定。</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持续刺激消费推动经济稳定增长。</w:t>
      </w:r>
      <w:r>
        <w:rPr>
          <w:rFonts w:hint="eastAsia" w:ascii="仿宋" w:hAnsi="仿宋" w:eastAsia="仿宋" w:cs="仿宋"/>
          <w:sz w:val="32"/>
          <w:szCs w:val="32"/>
          <w:lang w:val="en-US" w:eastAsia="zh-CN"/>
        </w:rPr>
        <w:t>一是加强政策引领不断提振消费信心。用好用活各类促销费稳市场的政策文件，切实从财政补助、金融扶持、消费刺激等方面加强企业扶持，稳定消费信心。认真落实“放管服”改革和“一站式办理”，逐步优化营商环境。全力帮助企业排忧解难提振消费信心，建立企业困难问题清单，落实“一企一策”帮扶措施。全年共召开企业困难问题化解协商会2次，梳理上报企业困难问题12个，截至目前已解决6个。二是充分挖掘消费潜力不断刺激消费。抢抓暑期、节假日等消费机遇，举办“迎春购物月”“特色商品展销会”等惠民促销活动9次。开展乡村文化旅游节特色美食展、四川省旅游景区发展大会文化旅游商品展等本地展销活动6次，组织本地农特产品企业参加第十八届中国西部国际博览会、2021第八届中国（杭州）国际电子商务博览会等区外市场拓展7次。组织了23家名优企业、80余类特色产品参加广元女儿节美食嘉年华、广元市第二届月饼节等活动，举办蜀道英才进企业产销对接会1次。三是深入推进东西部消费协作。东西部协作消费协作项目建设全部完工，建成村级全产业链消费协作示范点5个（含2个收购点）并正式投入运营，带动5个村集体经济增收5000元以上。本地农产品销售新入驻832平台、有赞等网络销售平台74个。鼓励企业积极拓展东部省份市场，朝天农特产品全年在浙江地区销售2508万元。</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加强品牌培育逐步优化消费供给。</w:t>
      </w:r>
      <w:r>
        <w:rPr>
          <w:rFonts w:hint="eastAsia" w:ascii="仿宋" w:hAnsi="仿宋" w:eastAsia="仿宋" w:cs="仿宋"/>
          <w:sz w:val="32"/>
          <w:szCs w:val="32"/>
          <w:lang w:val="en-US" w:eastAsia="zh-CN"/>
        </w:rPr>
        <w:t>进一步提升朝天时代广场美食街、曾家汉王老街特色商业街区打造，引进华美达国际连锁酒店，做好高档消费产品、服饰等品牌业态的培育、引进，不断增加优质消费供给。制定了《特色餐饮标准》和《旅游商品购物店建设标准》，编制“曾家山菜系”标准体系建设方案，完成“曾家山菜系”标准手册，组织80余人进行“曾家山菜系”标准化、精品化发展为主的精英专题培训，在广元城区打造了2家以旅游、餐饮在线展示推广功能为核心的特色餐厅，常态化组织本地厨师开展技艺交流、菜品品鉴、菜品研发等活动，全面提升餐饮旅游服务水平。组织开展第二届“蜀道英才工程—朝天名厨”遴选。公开发布朝天美食地图。</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全力提升外向型经济发展水平。</w:t>
      </w:r>
      <w:r>
        <w:rPr>
          <w:rFonts w:hint="eastAsia" w:ascii="仿宋" w:hAnsi="仿宋" w:eastAsia="仿宋" w:cs="仿宋"/>
          <w:sz w:val="32"/>
          <w:szCs w:val="32"/>
          <w:lang w:val="en-US" w:eastAsia="zh-CN"/>
        </w:rPr>
        <w:t>我区现有外贸出口备案企业9家、出口实绩企业4家，外商投资企业1家。今年受疫情以及国际大环境影响，外贸企业在资金周转、产品升级、出口转内销等受到限制，外贸出口总额大幅下滑。区委区政府及时出台《广元市朝天区外贸突破发展专项工作方案（2021—2023年）》，积极为外贸出口企业纾困解难，协助岚晟灵芝等企业采取多种措施出口转内销、康康医疗器械公司扩大出口产品种类和市场等，稳定外贸基本盘。主动谋划包装外资项目和做好外资招引工作，做好永和水利协调服务，确保外资引进工作稳步开展。主动融入成渝双城经济圈建设，开展朝天优质农产品进成渝社区宣传活动10次，产品进入成都40多个社区，鼓励我区食用菌、灵芝等优质农副土特产融入成渝市场。</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坚持创新发展，促进现代服务业高质量发展。</w:t>
      </w:r>
      <w:r>
        <w:rPr>
          <w:rFonts w:hint="eastAsia" w:ascii="仿宋" w:hAnsi="仿宋" w:eastAsia="仿宋" w:cs="仿宋"/>
          <w:sz w:val="32"/>
          <w:szCs w:val="32"/>
          <w:lang w:val="en-US" w:eastAsia="zh-CN"/>
        </w:rPr>
        <w:t>一是充分发挥第三产业牵头部门作用，加强统筹协调，召开服务业经济指标调度会5次，分析研判经济形势，协调解决工作困难，明确部门工作责任，统筹推进全区现代服务业发展，确保服务业各项目标任务顺利完成。二是加快构建“3+N”现代服务业体系。高质量完成《朝天区“十四五”现代服务业发展规划（2021-2025）》《朝天区“十四五”现代物流业发展规划（2021-2025）》编撰，全区康养旅游、商业贸易、现代物流逐步发展壮大，会展、金融、康养、科技、养老等新兴服务业正在蓬勃发展，“3+N”现代服务业体系基本形成，服务业正逐步成为“一心三副、四区协同”的区域发展新格局的重要支撑和“全民兴商、全民经商”的主要领域。三是积极探索服务业集聚发展模式。成功创建曾家山文体旅游服务业集聚区项目，并成为广元市改革创新典型案例受到市委邹书记高度评价，已专报的形式上报省委改革办。曾家山五坊街美食城、荣乐养生谷、曾家山原乡、云顶滑雪小镇等一批旅游服务业项目快速推进，曾家山文旅体现代服务业集聚区建设初具规模。四是加快服务业项目建设。国家级电子商务进农村综合示范项目、农商互联暨农产品供应链项目基本完工。谋划、包装和储备商贸物流项目14个，朝天区农产品冷链物流基地建设项目成功录入国家财政债券项目库。七盘关公路物流港一期开始运营，大巴口建材物流园基础设施配套建设项目顺利动工，羊木铁路物流园能源仓储贸易基地招商成效显著。以建材、能源仓储运输贸易为主的多式联运物流基地初具规模。全区物流运输量实现恢复性增长，1—12月物流行业营业额达3亿元以上，上缴税收1500余万元。</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全面加强“管党治党”政治责任。</w:t>
      </w:r>
      <w:r>
        <w:rPr>
          <w:rFonts w:hint="eastAsia" w:ascii="仿宋" w:hAnsi="仿宋" w:eastAsia="仿宋" w:cs="仿宋"/>
          <w:sz w:val="32"/>
          <w:szCs w:val="32"/>
          <w:lang w:val="en-US" w:eastAsia="zh-CN"/>
        </w:rPr>
        <w:t>一是狠抓思想政治建设。始终把加强全局干部职工思想政治建设、提高政治素养作为推动商务工作上台阶的基础，把学习贯彻党的十九大精神及习近平总书记对四川系列讲话精神作为首要政治任务，坚定做习近平新时代中国特色社会主义思想的忠诚拥护者、坚定信仰者、自觉践行者,做到了内化于心、外化于行，时刻树牢“四个意识”、坚定“四个自信”、做到“两个维护”。全年共开展中心组专题理论学习11次，传达学习贯彻相关会议及文件精神9次，干部职工撰写学习笔记均在3000字以上，每人每月撰写心得体会1篇以上。结合党史学习教育，共开展为民办实事6件。二是狠抓基层组织建设。严格落实党建“第一责任人”职责，规范“三会一课”、民主评议党员、谈心谈话等党内组织生活，扎实开展党史学习教育。加强皇泽物流集团党支部等两新党组织指导，党支部战斗堡垒作用得到充分发挥。全年召开党组民主生活会3次、支部组织生活会3次，局党组对班子成员、一般干部谈心谈话16次，组织到小平故里、重庆白公馆等接受廉政教育4次，观看警示教育片8次。领导干部带头上党课7次，开展“主题党日”活动12次。三是扎实推进党风廉政建设。严格执行中央八项规定、省委十项规定、市委“六个带头”、区委“七个加强”及其实施细则要求，严格执行“三重一大”集体决策、“四个不直接分管”“末位表态”“重大事项请示汇报”等制度，制定了《区商务局领导班子成员六必管》、班子成员“五带头”、风险事项决策“四公开”等工作要求，做到制度化管理、规范化运行、全方位监督。加强党风廉政建设警示教育，坚决肃清周永康流毒影响，深刻汲取蒲波、刘亚洲等严重违纪违法案教训，切实增强全体干部职工的敬畏之心、法纪之识。扎实开展纪律作风整顿，对班子查找的4个方面7个具体问题，干部职工查找的4个方面66个具体问题都制定了整改台账，所有问题均在规定时间内全部整改销号，并建立健全了长效化管理机制。按照区委统一部署，区商务局党组接受八届区委第一巡察组为期一个月的常规巡察。四是把牢意识形态主动权。成立由党组书记、局长任组长、党组成员任副组长的意识形态工作领导小组，制定了《广元市朝天区商务局党组关于落实意识形态工作责任制的方案》，坚持意识形态工作“四个纳入”，做到把意识形态建设同业务工作同部署、同落实、同检查、同考核。严格落实电商企业、电商平台等企业主体责任，定期召开意识形态分析研判会议，坚决维护网络意识形态安全。五是坚持正确的选人用人导向。局党组严格按照干部选拔任用标准，2021年推荐三级主任科员人选1名，中层干部任副科级实职领导干部1名，事业单位改革稳步推进，积极安排年轻干部参加各类培训。六是主动接受人大的法律监督和政协的民主监督。办理人大代表议案1件、政协委员提案5件，满意率100%。</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宋体" w:hAnsi="宋体" w:eastAsia="宋体" w:cs="宋体"/>
          <w:b/>
          <w:bCs w:val="0"/>
          <w:kern w:val="2"/>
          <w:sz w:val="32"/>
          <w:szCs w:val="32"/>
          <w:lang w:val="en-US" w:eastAsia="zh-CN" w:bidi="ar"/>
        </w:rPr>
      </w:pPr>
      <w:r>
        <w:rPr>
          <w:rFonts w:hint="eastAsia" w:ascii="宋体" w:hAnsi="宋体" w:eastAsia="宋体" w:cs="宋体"/>
          <w:b/>
          <w:bCs w:val="0"/>
          <w:kern w:val="2"/>
          <w:sz w:val="32"/>
          <w:szCs w:val="32"/>
          <w:lang w:val="en-US" w:eastAsia="zh-CN" w:bidi="ar"/>
        </w:rPr>
        <w:t>其他驻村帮扶、依法治区、综治维稳、深化改革、社会治理、信息公开、公共服务等工作扎实开展，有序推进，成绩明显。</w:t>
      </w:r>
    </w:p>
    <w:p>
      <w:pPr>
        <w:snapToGrid w:val="0"/>
        <w:spacing w:line="600" w:lineRule="exact"/>
        <w:ind w:firstLine="642" w:firstLineChars="200"/>
        <w:rPr>
          <w:rStyle w:val="38"/>
          <w:rFonts w:ascii="黑体" w:hAnsi="黑体" w:eastAsia="黑体"/>
          <w:b w:val="0"/>
          <w:bCs w:val="0"/>
        </w:rPr>
      </w:pPr>
      <w:r>
        <w:rPr>
          <w:rFonts w:hint="eastAsia" w:ascii="黑体" w:hAnsi="黑体" w:eastAsia="黑体" w:cs="黑体"/>
          <w:b/>
          <w:bCs w:val="0"/>
          <w:color w:val="000000"/>
          <w:sz w:val="32"/>
          <w:szCs w:val="32"/>
          <w:lang w:val="en-US" w:eastAsia="zh-CN"/>
        </w:rPr>
        <w:t xml:space="preserve">二、机构设置 </w:t>
      </w:r>
    </w:p>
    <w:p>
      <w:pPr>
        <w:spacing w:line="600" w:lineRule="exact"/>
        <w:ind w:firstLine="640" w:firstLineChars="200"/>
        <w:rPr>
          <w:sz w:val="32"/>
          <w:szCs w:val="32"/>
        </w:rPr>
      </w:pPr>
      <w:r>
        <w:rPr>
          <w:rFonts w:hint="eastAsia" w:ascii="仿宋" w:hAnsi="仿宋" w:eastAsia="仿宋"/>
          <w:color w:val="000000"/>
          <w:sz w:val="32"/>
          <w:szCs w:val="32"/>
        </w:rPr>
        <w:t>区商务局内设机构：办公室、政策法规股、服务业发展协调股、市场体系建设股、市场运行调节股、外资外贸外经股6个股室。总编制15名，其中行政编制6名，参照公务员法管理编制1名，事业编制8名。单位现实有人员1</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人，其中行政人员</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人，参照公务员法管理编制1名，事业人员8人；</w:t>
      </w:r>
      <w:r>
        <w:rPr>
          <w:rFonts w:hint="eastAsia" w:ascii="仿宋" w:hAnsi="仿宋" w:eastAsia="仿宋"/>
          <w:color w:val="auto"/>
          <w:sz w:val="32"/>
          <w:szCs w:val="32"/>
          <w:u w:val="none"/>
        </w:rPr>
        <w:t>另遗嘱补助人员2人。</w:t>
      </w:r>
    </w:p>
    <w:p>
      <w:pPr>
        <w:pStyle w:val="4"/>
        <w:ind w:right="440"/>
        <w:jc w:val="right"/>
      </w:pPr>
      <w:r>
        <w:rPr>
          <w:rFonts w:hint="eastAsia" w:ascii="黑体" w:hAnsi="黑体" w:eastAsia="黑体"/>
          <w:b w:val="0"/>
          <w:color w:val="000000"/>
        </w:rPr>
        <w:t>第二部分</w:t>
      </w:r>
      <w:r>
        <w:rPr>
          <w:rFonts w:ascii="黑体" w:hAnsi="黑体" w:eastAsia="黑体"/>
          <w:color w:val="000000"/>
        </w:rPr>
        <w:t xml:space="preserve"> </w:t>
      </w:r>
      <w:r>
        <w:rPr>
          <w:rStyle w:val="37"/>
          <w:rFonts w:ascii="黑体" w:hAnsi="黑体" w:eastAsia="黑体"/>
          <w:b w:val="0"/>
          <w:bCs w:val="0"/>
        </w:rPr>
        <w:t>20</w:t>
      </w:r>
      <w:r>
        <w:rPr>
          <w:rStyle w:val="37"/>
          <w:rFonts w:hint="eastAsia" w:ascii="黑体" w:hAnsi="黑体" w:eastAsia="黑体"/>
          <w:b w:val="0"/>
          <w:bCs w:val="0"/>
          <w:lang w:val="en-US" w:eastAsia="zh-CN"/>
        </w:rPr>
        <w:t>21</w:t>
      </w:r>
      <w:r>
        <w:rPr>
          <w:rStyle w:val="37"/>
          <w:rFonts w:hint="eastAsia" w:ascii="黑体" w:hAnsi="黑体" w:eastAsia="黑体"/>
          <w:b w:val="0"/>
          <w:bCs w:val="0"/>
        </w:rPr>
        <w:t>年度部门决算情况说明</w:t>
      </w:r>
    </w:p>
    <w:p>
      <w:pPr>
        <w:pStyle w:val="36"/>
        <w:numPr>
          <w:ilvl w:val="0"/>
          <w:numId w:val="0"/>
        </w:numPr>
        <w:spacing w:line="600" w:lineRule="exact"/>
        <w:ind w:left="640" w:leftChars="0"/>
        <w:outlineLvl w:val="1"/>
        <w:rPr>
          <w:rStyle w:val="38"/>
          <w:rFonts w:ascii="黑体" w:hAnsi="黑体" w:eastAsia="黑体"/>
          <w:b w:val="0"/>
        </w:rPr>
      </w:pP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收</w:t>
      </w:r>
      <w:r>
        <w:rPr>
          <w:rStyle w:val="38"/>
          <w:rFonts w:hint="eastAsia" w:ascii="黑体" w:hAnsi="黑体" w:eastAsia="黑体"/>
          <w:b w:val="0"/>
        </w:rPr>
        <w:t>入支出决算总体情况说明</w:t>
      </w:r>
    </w:p>
    <w:p>
      <w:pPr>
        <w:spacing w:line="600" w:lineRule="exact"/>
        <w:ind w:firstLine="640" w:firstLineChars="200"/>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年初</w:t>
      </w:r>
      <w:r>
        <w:rPr>
          <w:rFonts w:hint="eastAsia" w:ascii="仿宋" w:hAnsi="仿宋" w:eastAsia="仿宋"/>
          <w:sz w:val="32"/>
        </w:rPr>
        <w:t>结转和结余</w:t>
      </w:r>
      <w:r>
        <w:rPr>
          <w:rFonts w:hint="eastAsia" w:ascii="仿宋" w:hAnsi="仿宋" w:eastAsia="仿宋"/>
          <w:sz w:val="32"/>
          <w:lang w:val="en-US" w:eastAsia="zh-CN"/>
        </w:rPr>
        <w:t>612.83</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lang w:val="en-US" w:eastAsia="zh-CN"/>
        </w:rPr>
        <w:t>2021年</w:t>
      </w:r>
      <w:r>
        <w:rPr>
          <w:rFonts w:hint="eastAsia" w:ascii="仿宋" w:hAnsi="仿宋" w:eastAsia="仿宋"/>
          <w:sz w:val="32"/>
          <w:szCs w:val="32"/>
          <w:lang w:val="en-US" w:eastAsia="zh-CN"/>
        </w:rPr>
        <w:t>本</w:t>
      </w:r>
      <w:r>
        <w:rPr>
          <w:rFonts w:hint="eastAsia" w:ascii="仿宋" w:hAnsi="仿宋" w:eastAsia="仿宋"/>
          <w:sz w:val="32"/>
          <w:szCs w:val="32"/>
        </w:rPr>
        <w:t>年收入</w:t>
      </w:r>
      <w:r>
        <w:rPr>
          <w:rFonts w:hint="eastAsia" w:ascii="仿宋" w:hAnsi="仿宋" w:eastAsia="仿宋"/>
          <w:sz w:val="32"/>
          <w:szCs w:val="32"/>
          <w:lang w:val="en-US" w:eastAsia="zh-CN"/>
        </w:rPr>
        <w:t>合计424.07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2021年</w:t>
      </w:r>
      <w:r>
        <w:rPr>
          <w:rFonts w:hint="eastAsia" w:ascii="仿宋" w:hAnsi="仿宋" w:eastAsia="仿宋"/>
          <w:color w:val="000000"/>
          <w:sz w:val="32"/>
          <w:szCs w:val="32"/>
          <w:lang w:val="en-US" w:eastAsia="zh-CN"/>
        </w:rPr>
        <w:t>末</w:t>
      </w:r>
      <w:r>
        <w:rPr>
          <w:rFonts w:hint="eastAsia" w:ascii="仿宋" w:hAnsi="仿宋" w:eastAsia="仿宋"/>
          <w:sz w:val="32"/>
          <w:szCs w:val="32"/>
          <w:lang w:val="en-US" w:eastAsia="zh-CN"/>
        </w:rPr>
        <w:t>收入总计1036.9万元，相较与2020年</w:t>
      </w:r>
      <w:r>
        <w:rPr>
          <w:rFonts w:hint="eastAsia" w:ascii="仿宋" w:hAnsi="仿宋" w:eastAsia="仿宋"/>
          <w:color w:val="000000"/>
          <w:sz w:val="32"/>
          <w:szCs w:val="32"/>
          <w:lang w:val="en-US" w:eastAsia="zh-CN"/>
        </w:rPr>
        <w:t>末</w:t>
      </w:r>
      <w:r>
        <w:rPr>
          <w:rFonts w:hint="eastAsia" w:ascii="仿宋" w:hAnsi="仿宋" w:eastAsia="仿宋"/>
          <w:sz w:val="32"/>
          <w:szCs w:val="32"/>
          <w:lang w:val="en-US" w:eastAsia="zh-CN"/>
        </w:rPr>
        <w:t>收入总计2101.24万元减少1064.34万元，减少50.65%；2021年本</w:t>
      </w:r>
      <w:r>
        <w:rPr>
          <w:rFonts w:hint="eastAsia" w:ascii="仿宋" w:hAnsi="仿宋" w:eastAsia="仿宋"/>
          <w:sz w:val="32"/>
          <w:szCs w:val="32"/>
        </w:rPr>
        <w:t>年</w:t>
      </w:r>
      <w:r>
        <w:rPr>
          <w:rFonts w:hint="eastAsia" w:ascii="仿宋" w:hAnsi="仿宋" w:eastAsia="仿宋"/>
          <w:sz w:val="32"/>
          <w:szCs w:val="32"/>
          <w:lang w:val="en-US" w:eastAsia="zh-CN"/>
        </w:rPr>
        <w:t>支出总计1036.9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相较与2020年支出总计1484.57万元减少447.67万元，减少30.15%，减少</w:t>
      </w:r>
      <w:r>
        <w:rPr>
          <w:rFonts w:hint="eastAsia" w:ascii="仿宋" w:hAnsi="仿宋" w:eastAsia="仿宋"/>
          <w:sz w:val="32"/>
          <w:szCs w:val="32"/>
        </w:rPr>
        <w:t>的主要原因是</w:t>
      </w:r>
      <w:r>
        <w:rPr>
          <w:rFonts w:hint="eastAsia" w:ascii="仿宋" w:hAnsi="仿宋" w:eastAsia="仿宋"/>
          <w:color w:val="000000"/>
          <w:sz w:val="32"/>
          <w:szCs w:val="32"/>
        </w:rPr>
        <w:t>项目资金</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末无</w:t>
      </w:r>
      <w:r>
        <w:rPr>
          <w:rFonts w:hint="eastAsia" w:ascii="仿宋" w:hAnsi="仿宋" w:eastAsia="仿宋"/>
          <w:sz w:val="32"/>
        </w:rPr>
        <w:t>结转和结余</w:t>
      </w:r>
      <w:r>
        <w:rPr>
          <w:rFonts w:hint="eastAsia" w:ascii="仿宋" w:hAnsi="仿宋" w:eastAsia="仿宋"/>
          <w:sz w:val="32"/>
          <w:lang w:val="en-US" w:eastAsia="zh-CN"/>
        </w:rPr>
        <w:t>资金</w:t>
      </w:r>
      <w:r>
        <w:rPr>
          <w:rFonts w:hint="eastAsia" w:ascii="仿宋" w:hAnsi="仿宋" w:eastAsia="仿宋"/>
          <w:sz w:val="32"/>
          <w:lang w:eastAsia="zh-CN"/>
        </w:rPr>
        <w:t>。</w:t>
      </w:r>
    </w:p>
    <w:p>
      <w:pPr>
        <w:widowControl/>
        <w:jc w:val="center"/>
      </w:pPr>
      <w:r>
        <w:drawing>
          <wp:inline distT="0" distB="0" distL="114300" distR="114300">
            <wp:extent cx="4572000" cy="2138680"/>
            <wp:effectExtent l="4445" t="4445" r="14605" b="952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2"/>
        <w:ind w:left="0" w:leftChars="0" w:firstLine="0" w:firstLineChars="0"/>
        <w:jc w:val="cente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36"/>
        <w:numPr>
          <w:ilvl w:val="0"/>
          <w:numId w:val="0"/>
        </w:numPr>
        <w:spacing w:line="600" w:lineRule="exact"/>
        <w:ind w:left="640" w:leftChars="0"/>
        <w:outlineLvl w:val="1"/>
        <w:rPr>
          <w:rStyle w:val="38"/>
          <w:rFonts w:ascii="黑体" w:hAnsi="黑体" w:eastAsia="黑体"/>
          <w:b w:val="0"/>
        </w:rPr>
      </w:pP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收</w:t>
      </w:r>
      <w:r>
        <w:rPr>
          <w:rStyle w:val="38"/>
          <w:rFonts w:hint="eastAsia" w:ascii="黑体" w:hAnsi="黑体" w:eastAsia="黑体"/>
          <w:b w:val="0"/>
        </w:rPr>
        <w:t>入决算情况说明</w:t>
      </w:r>
    </w:p>
    <w:p>
      <w:pPr>
        <w:spacing w:line="600" w:lineRule="exact"/>
        <w:ind w:firstLine="640" w:firstLineChars="200"/>
        <w:outlineLvl w:val="1"/>
        <w:rPr>
          <w:rFonts w:hint="eastAsia" w:ascii="仿宋" w:hAnsi="仿宋" w:eastAsia="仿宋"/>
          <w:color w:val="000000"/>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年本年收入合计</w:t>
      </w:r>
      <w:r>
        <w:rPr>
          <w:rFonts w:hint="eastAsia" w:ascii="仿宋" w:hAnsi="仿宋" w:eastAsia="仿宋"/>
          <w:sz w:val="32"/>
          <w:szCs w:val="32"/>
          <w:lang w:val="en-US" w:eastAsia="zh-CN"/>
        </w:rPr>
        <w:t>424.07</w:t>
      </w:r>
      <w:r>
        <w:rPr>
          <w:rFonts w:hint="eastAsia" w:ascii="仿宋" w:hAnsi="仿宋" w:eastAsia="仿宋"/>
          <w:color w:val="000000"/>
          <w:sz w:val="32"/>
          <w:szCs w:val="32"/>
        </w:rPr>
        <w:t>万元，其中：一般公共预算财政拨款收入</w:t>
      </w:r>
      <w:r>
        <w:rPr>
          <w:rFonts w:hint="eastAsia" w:ascii="仿宋" w:hAnsi="仿宋" w:eastAsia="仿宋"/>
          <w:sz w:val="32"/>
          <w:szCs w:val="32"/>
          <w:lang w:val="en-US" w:eastAsia="zh-CN"/>
        </w:rPr>
        <w:t>424.05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年初</w:t>
      </w:r>
      <w:r>
        <w:rPr>
          <w:rFonts w:hint="eastAsia" w:ascii="仿宋" w:hAnsi="仿宋" w:eastAsia="仿宋"/>
          <w:sz w:val="32"/>
        </w:rPr>
        <w:t>结转和结余</w:t>
      </w:r>
      <w:r>
        <w:rPr>
          <w:rFonts w:hint="eastAsia" w:ascii="仿宋" w:hAnsi="仿宋" w:eastAsia="仿宋"/>
          <w:sz w:val="32"/>
          <w:lang w:val="en-US" w:eastAsia="zh-CN"/>
        </w:rPr>
        <w:t>612.83</w:t>
      </w:r>
      <w:r>
        <w:rPr>
          <w:rFonts w:hint="eastAsia" w:ascii="仿宋" w:hAnsi="仿宋" w:eastAsia="仿宋"/>
          <w:sz w:val="32"/>
        </w:rPr>
        <w:t>万元</w:t>
      </w:r>
      <w:r>
        <w:rPr>
          <w:rFonts w:hint="eastAsia" w:ascii="仿宋" w:hAnsi="仿宋" w:eastAsia="仿宋"/>
          <w:sz w:val="32"/>
          <w:lang w:eastAsia="zh-CN"/>
        </w:rPr>
        <w:t>。</w:t>
      </w:r>
    </w:p>
    <w:p>
      <w:pPr>
        <w:pStyle w:val="22"/>
      </w:pPr>
    </w:p>
    <w:p>
      <w:pPr>
        <w:widowControl/>
        <w:jc w:val="center"/>
        <w:rPr>
          <w:rFonts w:ascii="宋体" w:hAnsi="宋体" w:cs="宋体"/>
          <w:kern w:val="0"/>
          <w:sz w:val="24"/>
        </w:rPr>
      </w:pPr>
      <w:r>
        <w:drawing>
          <wp:inline distT="0" distB="0" distL="114300" distR="114300">
            <wp:extent cx="4545965" cy="2155825"/>
            <wp:effectExtent l="4445" t="4445" r="21590" b="1143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jc w:val="center"/>
      </w:pPr>
      <w:r>
        <w:rPr>
          <w:rFonts w:hint="eastAsia" w:ascii="仿宋" w:hAnsi="仿宋" w:eastAsia="仿宋"/>
          <w:color w:val="000000"/>
          <w:sz w:val="32"/>
          <w:szCs w:val="32"/>
        </w:rPr>
        <w:t>（图2：收入决算结构图）（饼状图）</w:t>
      </w:r>
    </w:p>
    <w:p>
      <w:pPr>
        <w:pStyle w:val="36"/>
        <w:numPr>
          <w:ilvl w:val="0"/>
          <w:numId w:val="0"/>
        </w:numPr>
        <w:spacing w:line="600" w:lineRule="exact"/>
        <w:ind w:left="640" w:leftChars="0"/>
        <w:outlineLvl w:val="1"/>
        <w:rPr>
          <w:rStyle w:val="38"/>
          <w:rFonts w:ascii="黑体" w:hAnsi="黑体" w:eastAsia="黑体"/>
          <w:b w:val="0"/>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38"/>
          <w:rFonts w:hint="eastAsia" w:ascii="黑体" w:hAnsi="黑体" w:eastAsia="黑体"/>
          <w:b w:val="0"/>
        </w:rPr>
        <w:t>出决算情况说明</w:t>
      </w:r>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年本年支出合计</w:t>
      </w:r>
      <w:r>
        <w:rPr>
          <w:rFonts w:hint="eastAsia" w:ascii="仿宋" w:hAnsi="仿宋" w:eastAsia="仿宋"/>
          <w:sz w:val="32"/>
          <w:szCs w:val="32"/>
          <w:lang w:val="en-US" w:eastAsia="zh-CN"/>
        </w:rPr>
        <w:t>1036.9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260.60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25.13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776.30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74.87</w:t>
      </w:r>
      <w:r>
        <w:rPr>
          <w:rFonts w:ascii="仿宋" w:hAnsi="仿宋" w:eastAsia="仿宋"/>
          <w:color w:val="000000"/>
          <w:sz w:val="32"/>
          <w:szCs w:val="32"/>
        </w:rPr>
        <w:t>%</w:t>
      </w:r>
      <w:r>
        <w:rPr>
          <w:rFonts w:hint="eastAsia" w:ascii="仿宋" w:hAnsi="仿宋" w:eastAsia="仿宋"/>
          <w:color w:val="000000"/>
          <w:sz w:val="32"/>
          <w:szCs w:val="32"/>
        </w:rPr>
        <w:t>。</w:t>
      </w:r>
    </w:p>
    <w:p>
      <w:pPr>
        <w:jc w:val="center"/>
        <w:rPr>
          <w:rFonts w:hint="eastAsia" w:ascii="仿宋" w:hAnsi="仿宋" w:eastAsia="仿宋"/>
          <w:sz w:val="32"/>
          <w:szCs w:val="32"/>
        </w:rPr>
      </w:pPr>
      <w:r>
        <w:drawing>
          <wp:inline distT="0" distB="0" distL="114300" distR="114300">
            <wp:extent cx="4117975" cy="1918970"/>
            <wp:effectExtent l="5080" t="4445" r="10795" b="1968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spacing w:line="600" w:lineRule="exact"/>
        <w:ind w:firstLine="640" w:firstLineChars="200"/>
        <w:outlineLvl w:val="1"/>
        <w:rPr>
          <w:rStyle w:val="38"/>
          <w:rFonts w:ascii="黑体" w:hAnsi="黑体" w:eastAsia="黑体"/>
          <w:b w:val="0"/>
        </w:rPr>
      </w:pP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财</w:t>
      </w:r>
      <w:r>
        <w:rPr>
          <w:rStyle w:val="38"/>
          <w:rFonts w:hint="eastAsia" w:ascii="黑体" w:hAnsi="黑体" w:eastAsia="黑体"/>
          <w:b w:val="0"/>
        </w:rPr>
        <w:t>政拨款收入支出决算总体情况说明</w:t>
      </w:r>
    </w:p>
    <w:p>
      <w:pPr>
        <w:pStyle w:val="22"/>
        <w:ind w:left="0" w:leftChars="0" w:firstLine="640"/>
        <w:rPr>
          <w:rFonts w:hint="eastAsia" w:ascii="仿宋" w:hAnsi="仿宋" w:eastAsia="仿宋"/>
          <w:color w:val="000000"/>
          <w:sz w:val="32"/>
          <w:szCs w:val="32"/>
          <w:u w:val="none"/>
          <w:lang w:eastAsia="zh-CN"/>
        </w:rPr>
      </w:pPr>
      <w:r>
        <w:rPr>
          <w:rFonts w:ascii="仿宋" w:hAnsi="仿宋" w:eastAsia="仿宋"/>
          <w:sz w:val="32"/>
          <w:szCs w:val="32"/>
          <w:u w:val="none"/>
        </w:rPr>
        <w:t>20</w:t>
      </w:r>
      <w:r>
        <w:rPr>
          <w:rFonts w:hint="eastAsia" w:ascii="仿宋" w:hAnsi="仿宋" w:eastAsia="仿宋"/>
          <w:sz w:val="32"/>
          <w:szCs w:val="32"/>
          <w:u w:val="none"/>
          <w:lang w:val="en-US" w:eastAsia="zh-CN"/>
        </w:rPr>
        <w:t>21</w:t>
      </w:r>
      <w:r>
        <w:rPr>
          <w:rFonts w:hint="eastAsia" w:ascii="仿宋" w:hAnsi="仿宋" w:eastAsia="仿宋"/>
          <w:sz w:val="32"/>
          <w:szCs w:val="32"/>
          <w:u w:val="none"/>
        </w:rPr>
        <w:t>年财政拨款收</w:t>
      </w:r>
      <w:r>
        <w:rPr>
          <w:rFonts w:hint="eastAsia" w:ascii="仿宋" w:hAnsi="仿宋" w:eastAsia="仿宋"/>
          <w:sz w:val="32"/>
          <w:szCs w:val="32"/>
          <w:u w:val="none"/>
          <w:lang w:val="en-US" w:eastAsia="zh-CN"/>
        </w:rPr>
        <w:t>入总计424.05万元，相较</w:t>
      </w:r>
      <w:r>
        <w:rPr>
          <w:rFonts w:hint="eastAsia" w:ascii="仿宋" w:hAnsi="仿宋" w:eastAsia="仿宋"/>
          <w:sz w:val="32"/>
          <w:szCs w:val="32"/>
          <w:u w:val="none"/>
        </w:rPr>
        <w:t>与</w:t>
      </w:r>
      <w:r>
        <w:rPr>
          <w:rFonts w:ascii="仿宋" w:hAnsi="仿宋" w:eastAsia="仿宋"/>
          <w:sz w:val="32"/>
          <w:szCs w:val="32"/>
          <w:u w:val="none"/>
        </w:rPr>
        <w:t>20</w:t>
      </w:r>
      <w:r>
        <w:rPr>
          <w:rFonts w:hint="eastAsia" w:ascii="仿宋" w:hAnsi="仿宋" w:eastAsia="仿宋"/>
          <w:sz w:val="32"/>
          <w:szCs w:val="32"/>
          <w:u w:val="none"/>
          <w:lang w:val="en-US" w:eastAsia="zh-CN"/>
        </w:rPr>
        <w:t>20</w:t>
      </w:r>
      <w:r>
        <w:rPr>
          <w:rFonts w:hint="eastAsia" w:ascii="仿宋" w:hAnsi="仿宋" w:eastAsia="仿宋"/>
          <w:sz w:val="32"/>
          <w:szCs w:val="32"/>
          <w:u w:val="none"/>
        </w:rPr>
        <w:t>年财政拨款收</w:t>
      </w:r>
      <w:r>
        <w:rPr>
          <w:rFonts w:hint="eastAsia" w:ascii="仿宋" w:hAnsi="仿宋" w:eastAsia="仿宋"/>
          <w:sz w:val="32"/>
          <w:szCs w:val="32"/>
          <w:u w:val="none"/>
          <w:lang w:val="en-US" w:eastAsia="zh-CN"/>
        </w:rPr>
        <w:t>入总计1098.34万元减少674.29万元，减少61.39%，减少</w:t>
      </w:r>
      <w:r>
        <w:rPr>
          <w:rFonts w:hint="eastAsia" w:ascii="仿宋" w:hAnsi="仿宋" w:eastAsia="仿宋"/>
          <w:sz w:val="32"/>
          <w:szCs w:val="32"/>
          <w:u w:val="none"/>
        </w:rPr>
        <w:t>的主要原因是</w:t>
      </w:r>
      <w:r>
        <w:rPr>
          <w:rFonts w:hint="eastAsia" w:ascii="仿宋" w:hAnsi="仿宋" w:eastAsia="仿宋"/>
          <w:sz w:val="32"/>
          <w:szCs w:val="32"/>
          <w:u w:val="none"/>
          <w:lang w:eastAsia="zh-CN"/>
        </w:rPr>
        <w:t>：</w:t>
      </w:r>
      <w:r>
        <w:rPr>
          <w:rFonts w:hint="eastAsia" w:ascii="仿宋" w:hAnsi="仿宋" w:eastAsia="仿宋"/>
          <w:color w:val="000000"/>
          <w:sz w:val="32"/>
          <w:szCs w:val="32"/>
          <w:u w:val="none"/>
        </w:rPr>
        <w:t>项目</w:t>
      </w:r>
      <w:r>
        <w:rPr>
          <w:rFonts w:hint="eastAsia" w:ascii="仿宋" w:hAnsi="仿宋" w:eastAsia="仿宋"/>
          <w:color w:val="000000"/>
          <w:sz w:val="32"/>
          <w:szCs w:val="32"/>
          <w:u w:val="none"/>
          <w:lang w:val="en-US" w:eastAsia="zh-CN"/>
        </w:rPr>
        <w:t>减少</w:t>
      </w:r>
      <w:r>
        <w:rPr>
          <w:rFonts w:hint="eastAsia" w:ascii="仿宋" w:hAnsi="仿宋" w:eastAsia="仿宋"/>
          <w:color w:val="000000"/>
          <w:sz w:val="32"/>
          <w:szCs w:val="32"/>
          <w:u w:val="none"/>
          <w:lang w:eastAsia="zh-CN"/>
        </w:rPr>
        <w:t>。</w:t>
      </w:r>
    </w:p>
    <w:p>
      <w:pPr>
        <w:pStyle w:val="22"/>
        <w:ind w:left="0" w:leftChars="0" w:firstLine="640"/>
        <w:rPr>
          <w:u w:val="none"/>
        </w:rPr>
      </w:pPr>
      <w:r>
        <w:rPr>
          <w:rFonts w:ascii="仿宋" w:hAnsi="仿宋" w:eastAsia="仿宋"/>
          <w:sz w:val="32"/>
          <w:szCs w:val="32"/>
          <w:u w:val="none"/>
        </w:rPr>
        <w:t>20</w:t>
      </w:r>
      <w:r>
        <w:rPr>
          <w:rFonts w:hint="eastAsia" w:ascii="仿宋" w:hAnsi="仿宋" w:eastAsia="仿宋"/>
          <w:sz w:val="32"/>
          <w:szCs w:val="32"/>
          <w:u w:val="none"/>
          <w:lang w:val="en-US" w:eastAsia="zh-CN"/>
        </w:rPr>
        <w:t>21</w:t>
      </w:r>
      <w:r>
        <w:rPr>
          <w:rFonts w:hint="eastAsia" w:ascii="仿宋" w:hAnsi="仿宋" w:eastAsia="仿宋"/>
          <w:sz w:val="32"/>
          <w:szCs w:val="32"/>
          <w:u w:val="none"/>
        </w:rPr>
        <w:t>年财政拨款</w:t>
      </w:r>
      <w:r>
        <w:rPr>
          <w:rFonts w:hint="eastAsia" w:ascii="仿宋" w:hAnsi="仿宋" w:eastAsia="仿宋"/>
          <w:sz w:val="32"/>
          <w:szCs w:val="32"/>
          <w:u w:val="none"/>
          <w:lang w:val="en-US" w:eastAsia="zh-CN"/>
        </w:rPr>
        <w:t>支出总计1036.88</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相较</w:t>
      </w:r>
      <w:r>
        <w:rPr>
          <w:rFonts w:hint="eastAsia" w:ascii="仿宋" w:hAnsi="仿宋" w:eastAsia="仿宋"/>
          <w:sz w:val="32"/>
          <w:szCs w:val="32"/>
          <w:u w:val="none"/>
        </w:rPr>
        <w:t>与</w:t>
      </w:r>
      <w:r>
        <w:rPr>
          <w:rFonts w:ascii="仿宋" w:hAnsi="仿宋" w:eastAsia="仿宋"/>
          <w:sz w:val="32"/>
          <w:szCs w:val="32"/>
          <w:u w:val="none"/>
        </w:rPr>
        <w:t>20</w:t>
      </w:r>
      <w:r>
        <w:rPr>
          <w:rFonts w:hint="eastAsia" w:ascii="仿宋" w:hAnsi="仿宋" w:eastAsia="仿宋"/>
          <w:sz w:val="32"/>
          <w:szCs w:val="32"/>
          <w:u w:val="none"/>
          <w:lang w:val="en-US" w:eastAsia="zh-CN"/>
        </w:rPr>
        <w:t>20</w:t>
      </w:r>
      <w:r>
        <w:rPr>
          <w:rFonts w:hint="eastAsia" w:ascii="仿宋" w:hAnsi="仿宋" w:eastAsia="仿宋"/>
          <w:sz w:val="32"/>
          <w:szCs w:val="32"/>
          <w:u w:val="none"/>
        </w:rPr>
        <w:t>年财政拨款</w:t>
      </w:r>
      <w:r>
        <w:rPr>
          <w:rFonts w:hint="eastAsia" w:ascii="仿宋" w:hAnsi="仿宋" w:eastAsia="仿宋"/>
          <w:sz w:val="32"/>
          <w:szCs w:val="32"/>
          <w:u w:val="none"/>
          <w:lang w:val="en-US" w:eastAsia="zh-CN"/>
        </w:rPr>
        <w:t>支出总计</w:t>
      </w:r>
      <w:r>
        <w:rPr>
          <w:rFonts w:hint="eastAsia" w:ascii="仿宋" w:hAnsi="仿宋" w:eastAsia="仿宋"/>
          <w:sz w:val="32"/>
          <w:szCs w:val="32"/>
          <w:u w:val="none"/>
        </w:rPr>
        <w:t>1484.</w:t>
      </w:r>
      <w:r>
        <w:rPr>
          <w:rFonts w:hint="eastAsia" w:ascii="仿宋" w:hAnsi="仿宋" w:eastAsia="仿宋"/>
          <w:sz w:val="32"/>
          <w:szCs w:val="32"/>
          <w:u w:val="none"/>
          <w:lang w:val="en-US" w:eastAsia="zh-CN"/>
        </w:rPr>
        <w:t>31万元减少447.43万元，减少30.14%，</w:t>
      </w:r>
      <w:r>
        <w:rPr>
          <w:rFonts w:hint="eastAsia" w:ascii="仿宋" w:hAnsi="仿宋" w:eastAsia="仿宋"/>
          <w:color w:val="000000"/>
          <w:sz w:val="32"/>
          <w:szCs w:val="32"/>
          <w:u w:val="none"/>
          <w:lang w:val="en-US" w:eastAsia="zh-CN"/>
        </w:rPr>
        <w:t>减少</w:t>
      </w:r>
      <w:r>
        <w:rPr>
          <w:rFonts w:hint="eastAsia" w:ascii="仿宋" w:hAnsi="仿宋" w:eastAsia="仿宋"/>
          <w:sz w:val="32"/>
          <w:szCs w:val="32"/>
          <w:u w:val="none"/>
        </w:rPr>
        <w:t>的主要原因是</w:t>
      </w:r>
      <w:r>
        <w:rPr>
          <w:rFonts w:hint="eastAsia" w:ascii="仿宋" w:hAnsi="仿宋" w:eastAsia="仿宋"/>
          <w:sz w:val="32"/>
          <w:szCs w:val="32"/>
          <w:u w:val="none"/>
          <w:lang w:eastAsia="zh-CN"/>
        </w:rPr>
        <w:t>：</w:t>
      </w:r>
      <w:r>
        <w:rPr>
          <w:rFonts w:hint="eastAsia" w:ascii="仿宋" w:hAnsi="仿宋" w:eastAsia="仿宋"/>
          <w:color w:val="000000"/>
          <w:sz w:val="32"/>
          <w:szCs w:val="32"/>
          <w:u w:val="none"/>
        </w:rPr>
        <w:t>项目</w:t>
      </w:r>
      <w:r>
        <w:rPr>
          <w:rFonts w:hint="eastAsia" w:ascii="仿宋" w:hAnsi="仿宋" w:eastAsia="仿宋"/>
          <w:color w:val="000000"/>
          <w:sz w:val="32"/>
          <w:szCs w:val="32"/>
          <w:u w:val="none"/>
          <w:lang w:val="en-US" w:eastAsia="zh-CN"/>
        </w:rPr>
        <w:t>减少</w:t>
      </w:r>
      <w:r>
        <w:rPr>
          <w:rFonts w:hint="eastAsia" w:ascii="仿宋" w:hAnsi="仿宋" w:eastAsia="仿宋"/>
          <w:color w:val="000000"/>
          <w:sz w:val="32"/>
          <w:szCs w:val="32"/>
          <w:u w:val="none"/>
        </w:rPr>
        <w:t>。</w:t>
      </w:r>
    </w:p>
    <w:p>
      <w:pPr>
        <w:widowControl/>
        <w:jc w:val="center"/>
        <w:rPr>
          <w:rFonts w:ascii="宋体" w:hAnsi="宋体" w:cs="宋体"/>
          <w:kern w:val="0"/>
          <w:sz w:val="24"/>
        </w:rPr>
      </w:pPr>
      <w:r>
        <w:drawing>
          <wp:inline distT="0" distB="0" distL="114300" distR="114300">
            <wp:extent cx="4572000" cy="1928495"/>
            <wp:effectExtent l="4445" t="4445" r="14605"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jc w:val="center"/>
        <w:outlineLvl w:val="1"/>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（图4：财政拨款收、支决算总计变动情况）（柱状图）</w:t>
      </w:r>
    </w:p>
    <w:p>
      <w:pPr>
        <w:spacing w:line="600" w:lineRule="exact"/>
        <w:ind w:firstLine="640" w:firstLineChars="200"/>
        <w:outlineLvl w:val="1"/>
        <w:rPr>
          <w:rStyle w:val="38"/>
          <w:rFonts w:ascii="黑体" w:hAnsi="黑体" w:eastAsia="黑体"/>
          <w:b w:val="0"/>
        </w:rPr>
      </w:pPr>
      <w:r>
        <w:rPr>
          <w:rFonts w:hint="eastAsia" w:ascii="黑体" w:hAnsi="黑体" w:eastAsia="黑体"/>
          <w:color w:val="000000"/>
          <w:sz w:val="32"/>
          <w:szCs w:val="32"/>
          <w:lang w:val="en-US" w:eastAsia="zh-CN"/>
        </w:rPr>
        <w:t>五、</w:t>
      </w:r>
      <w:r>
        <w:rPr>
          <w:rFonts w:hint="eastAsia" w:ascii="黑体" w:hAnsi="黑体" w:eastAsia="黑体"/>
          <w:b/>
          <w:color w:val="000000"/>
          <w:sz w:val="32"/>
          <w:szCs w:val="32"/>
        </w:rPr>
        <w:t>一</w:t>
      </w:r>
      <w:r>
        <w:rPr>
          <w:rStyle w:val="38"/>
          <w:rFonts w:hint="eastAsia" w:ascii="黑体" w:hAnsi="黑体" w:eastAsia="黑体"/>
          <w:b w:val="0"/>
        </w:rPr>
        <w:t>般公共预算财政拨款支出决算情况说明</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p>
    <w:p>
      <w:pPr>
        <w:pStyle w:val="22"/>
        <w:ind w:left="0" w:leftChars="0"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年一般公共预算财政拨款支出</w:t>
      </w:r>
      <w:r>
        <w:rPr>
          <w:rFonts w:hint="eastAsia" w:ascii="仿宋" w:hAnsi="仿宋" w:eastAsia="仿宋"/>
          <w:sz w:val="32"/>
          <w:szCs w:val="32"/>
          <w:lang w:val="en-US" w:eastAsia="zh-CN"/>
        </w:rPr>
        <w:t>1036.88</w:t>
      </w:r>
      <w:r>
        <w:rPr>
          <w:rFonts w:hint="eastAsia" w:ascii="仿宋" w:hAnsi="仿宋" w:eastAsia="仿宋"/>
          <w:color w:val="000000"/>
          <w:sz w:val="32"/>
          <w:szCs w:val="32"/>
        </w:rPr>
        <w:t>万元，占本年支出合计</w:t>
      </w:r>
      <w:r>
        <w:rPr>
          <w:rFonts w:hint="eastAsia" w:ascii="仿宋" w:hAnsi="仿宋" w:eastAsia="仿宋"/>
          <w:color w:val="000000"/>
          <w:sz w:val="32"/>
          <w:szCs w:val="32"/>
          <w:lang w:val="en-US" w:eastAsia="zh-CN"/>
        </w:rPr>
        <w:t>1036.9万元</w:t>
      </w:r>
      <w:r>
        <w:rPr>
          <w:rFonts w:hint="eastAsia" w:ascii="仿宋" w:hAnsi="仿宋" w:eastAsia="仿宋"/>
          <w:color w:val="000000"/>
          <w:sz w:val="32"/>
          <w:szCs w:val="32"/>
        </w:rPr>
        <w:t>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color w:val="000000"/>
          <w:kern w:val="2"/>
          <w:sz w:val="32"/>
          <w:szCs w:val="32"/>
          <w:lang w:val="en-US" w:eastAsia="zh-CN" w:bidi="ar"/>
        </w:rPr>
        <w:t>与2020年（1484.31万元）相比，一般公共预算财政拨款减少447.43万元，减少30.14%</w:t>
      </w:r>
      <w:r>
        <w:rPr>
          <w:rFonts w:hint="eastAsia" w:ascii="仿宋" w:hAnsi="仿宋" w:eastAsia="仿宋"/>
          <w:color w:val="000000"/>
          <w:sz w:val="32"/>
          <w:szCs w:val="32"/>
        </w:rPr>
        <w:t>，</w:t>
      </w:r>
      <w:r>
        <w:rPr>
          <w:rFonts w:hint="eastAsia" w:ascii="仿宋" w:hAnsi="仿宋" w:eastAsia="仿宋" w:cs="Times New Roman"/>
          <w:color w:val="000000"/>
          <w:kern w:val="2"/>
          <w:sz w:val="32"/>
          <w:szCs w:val="32"/>
          <w:lang w:val="en-US" w:eastAsia="zh-CN" w:bidi="ar"/>
        </w:rPr>
        <w:t>减少</w:t>
      </w:r>
      <w:r>
        <w:rPr>
          <w:rFonts w:hint="eastAsia" w:ascii="仿宋" w:hAnsi="仿宋" w:eastAsia="仿宋"/>
          <w:sz w:val="32"/>
          <w:szCs w:val="32"/>
        </w:rPr>
        <w:t>的主要原因是</w:t>
      </w:r>
      <w:r>
        <w:rPr>
          <w:rFonts w:hint="eastAsia" w:ascii="仿宋" w:hAnsi="仿宋" w:eastAsia="仿宋"/>
          <w:sz w:val="32"/>
          <w:szCs w:val="32"/>
          <w:lang w:eastAsia="zh-CN"/>
        </w:rPr>
        <w:t>：</w:t>
      </w:r>
      <w:r>
        <w:rPr>
          <w:rFonts w:hint="eastAsia" w:ascii="仿宋" w:hAnsi="仿宋" w:eastAsia="仿宋"/>
          <w:color w:val="000000"/>
          <w:sz w:val="32"/>
          <w:szCs w:val="32"/>
        </w:rPr>
        <w:t>项目</w:t>
      </w:r>
      <w:r>
        <w:rPr>
          <w:rFonts w:hint="eastAsia" w:ascii="仿宋" w:hAnsi="仿宋" w:eastAsia="仿宋" w:cs="Times New Roman"/>
          <w:color w:val="000000"/>
          <w:kern w:val="2"/>
          <w:sz w:val="32"/>
          <w:szCs w:val="32"/>
          <w:lang w:val="en-US" w:eastAsia="zh-CN" w:bidi="ar"/>
        </w:rPr>
        <w:t>减少</w:t>
      </w:r>
      <w:r>
        <w:rPr>
          <w:rFonts w:hint="eastAsia" w:ascii="仿宋" w:hAnsi="仿宋" w:eastAsia="仿宋"/>
          <w:color w:val="000000"/>
          <w:sz w:val="32"/>
          <w:szCs w:val="32"/>
        </w:rPr>
        <w:t>。</w:t>
      </w:r>
    </w:p>
    <w:p>
      <w:pPr>
        <w:pStyle w:val="22"/>
        <w:ind w:left="0" w:leftChars="0" w:firstLine="640"/>
        <w:rPr>
          <w:rFonts w:hint="eastAsia" w:ascii="仿宋" w:hAnsi="仿宋" w:eastAsia="仿宋"/>
          <w:color w:val="000000"/>
          <w:sz w:val="32"/>
          <w:szCs w:val="32"/>
        </w:rPr>
      </w:pPr>
    </w:p>
    <w:p>
      <w:pPr>
        <w:widowControl/>
        <w:jc w:val="center"/>
        <w:rPr>
          <w:rFonts w:ascii="宋体" w:hAnsi="宋体" w:cs="宋体"/>
          <w:kern w:val="0"/>
          <w:sz w:val="24"/>
        </w:rPr>
      </w:pPr>
      <w:r>
        <w:drawing>
          <wp:inline distT="0" distB="0" distL="114300" distR="114300">
            <wp:extent cx="4572000" cy="2352675"/>
            <wp:effectExtent l="4445" t="4445" r="14605" b="508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jc w:val="center"/>
        <w:rPr>
          <w:rFonts w:ascii="仿宋" w:hAnsi="仿宋" w:eastAsia="仿宋"/>
          <w:color w:val="000000"/>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pPr>
        <w:spacing w:line="600" w:lineRule="exact"/>
        <w:ind w:firstLine="640" w:firstLineChars="200"/>
        <w:outlineLvl w:val="1"/>
        <w:rPr>
          <w:rFonts w:ascii="楷体_GB2312" w:eastAsia="楷体_GB2312"/>
          <w:sz w:val="32"/>
          <w:szCs w:val="32"/>
        </w:rPr>
      </w:pPr>
      <w:r>
        <w:rPr>
          <w:rFonts w:hint="eastAsia" w:ascii="楷体_GB2312" w:eastAsia="楷体_GB2312"/>
          <w:sz w:val="32"/>
          <w:szCs w:val="32"/>
        </w:rPr>
        <w:t>20</w:t>
      </w:r>
      <w:r>
        <w:rPr>
          <w:rFonts w:hint="eastAsia" w:ascii="楷体_GB2312" w:eastAsia="楷体_GB2312"/>
          <w:sz w:val="32"/>
          <w:szCs w:val="32"/>
          <w:lang w:val="en-US" w:eastAsia="zh-CN"/>
        </w:rPr>
        <w:t>21</w:t>
      </w:r>
      <w:r>
        <w:rPr>
          <w:rFonts w:hint="eastAsia" w:ascii="楷体_GB2312" w:eastAsia="楷体_GB2312"/>
          <w:sz w:val="32"/>
          <w:szCs w:val="32"/>
        </w:rPr>
        <w:t>年一般公共预算支出</w:t>
      </w:r>
      <w:r>
        <w:rPr>
          <w:rFonts w:hint="eastAsia" w:ascii="仿宋" w:hAnsi="仿宋" w:eastAsia="仿宋"/>
          <w:sz w:val="32"/>
          <w:szCs w:val="32"/>
          <w:lang w:val="en-US" w:eastAsia="zh-CN"/>
        </w:rPr>
        <w:t>1036.88</w:t>
      </w:r>
      <w:r>
        <w:rPr>
          <w:rFonts w:hint="eastAsia" w:ascii="楷体_GB2312" w:eastAsia="楷体_GB2312"/>
          <w:sz w:val="32"/>
          <w:szCs w:val="32"/>
        </w:rPr>
        <w:t>万元。主要用于以下方面：</w:t>
      </w:r>
      <w:r>
        <w:rPr>
          <w:rFonts w:hint="eastAsia" w:ascii="楷体_GB2312" w:eastAsia="楷体_GB2312"/>
          <w:b/>
          <w:bCs/>
          <w:sz w:val="32"/>
          <w:szCs w:val="32"/>
        </w:rPr>
        <w:t>教育支出（</w:t>
      </w:r>
      <w:r>
        <w:rPr>
          <w:rFonts w:hint="eastAsia" w:ascii="楷体_GB2312" w:eastAsia="楷体_GB2312"/>
          <w:b/>
          <w:bCs/>
          <w:sz w:val="32"/>
          <w:szCs w:val="32"/>
          <w:lang w:val="en-US" w:eastAsia="zh-CN"/>
        </w:rPr>
        <w:t>205</w:t>
      </w:r>
      <w:r>
        <w:rPr>
          <w:rFonts w:hint="eastAsia" w:ascii="楷体_GB2312" w:eastAsia="楷体_GB2312"/>
          <w:b/>
          <w:bCs/>
          <w:sz w:val="32"/>
          <w:szCs w:val="32"/>
        </w:rPr>
        <w:t>类）</w:t>
      </w:r>
      <w:r>
        <w:rPr>
          <w:rFonts w:hint="eastAsia" w:ascii="仿宋" w:hAnsi="仿宋" w:eastAsia="仿宋"/>
          <w:color w:val="000000"/>
          <w:sz w:val="32"/>
          <w:szCs w:val="32"/>
          <w:lang w:val="en-US" w:eastAsia="zh-CN"/>
        </w:rPr>
        <w:t>2.22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楷体_GB2312" w:hAnsi="Times New Roman" w:eastAsia="楷体_GB2312" w:cs="Times New Roman"/>
          <w:b/>
          <w:bCs/>
          <w:sz w:val="32"/>
          <w:szCs w:val="32"/>
        </w:rPr>
        <w:t>文化旅游体育与传媒支出</w:t>
      </w:r>
      <w:r>
        <w:rPr>
          <w:rFonts w:hint="eastAsia" w:ascii="楷体_GB2312" w:hAnsi="Times New Roman" w:eastAsia="楷体_GB2312" w:cs="Times New Roman"/>
          <w:b/>
          <w:bCs/>
          <w:sz w:val="32"/>
          <w:szCs w:val="32"/>
          <w:lang w:eastAsia="zh-CN"/>
        </w:rPr>
        <w:t>（</w:t>
      </w:r>
      <w:r>
        <w:rPr>
          <w:rFonts w:hint="eastAsia" w:ascii="楷体_GB2312" w:hAnsi="Times New Roman" w:eastAsia="楷体_GB2312" w:cs="Times New Roman"/>
          <w:b/>
          <w:bCs/>
          <w:sz w:val="32"/>
          <w:szCs w:val="32"/>
          <w:lang w:val="en-US" w:eastAsia="zh-CN"/>
        </w:rPr>
        <w:t>207类</w:t>
      </w:r>
      <w:r>
        <w:rPr>
          <w:rFonts w:hint="eastAsia" w:ascii="楷体_GB2312" w:hAnsi="Times New Roman" w:eastAsia="楷体_GB2312" w:cs="Times New Roman"/>
          <w:b/>
          <w:bCs/>
          <w:sz w:val="32"/>
          <w:szCs w:val="32"/>
          <w:lang w:eastAsia="zh-CN"/>
        </w:rPr>
        <w:t>）</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0.48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楷体_GB2312" w:eastAsia="楷体_GB2312"/>
          <w:b/>
          <w:bCs/>
          <w:sz w:val="32"/>
          <w:szCs w:val="32"/>
        </w:rPr>
        <w:t>社会保障和就业</w:t>
      </w:r>
      <w:r>
        <w:rPr>
          <w:rFonts w:hint="eastAsia" w:ascii="楷体_GB2312" w:eastAsia="楷体_GB2312"/>
          <w:b/>
          <w:bCs/>
          <w:sz w:val="32"/>
          <w:szCs w:val="32"/>
          <w:lang w:val="en-US" w:eastAsia="zh-CN"/>
        </w:rPr>
        <w:t>支出</w:t>
      </w:r>
      <w:r>
        <w:rPr>
          <w:rFonts w:hint="eastAsia" w:ascii="楷体_GB2312" w:eastAsia="楷体_GB2312"/>
          <w:b/>
          <w:bCs/>
          <w:sz w:val="32"/>
          <w:szCs w:val="32"/>
        </w:rPr>
        <w:t>（</w:t>
      </w:r>
      <w:r>
        <w:rPr>
          <w:rFonts w:hint="eastAsia" w:ascii="楷体_GB2312" w:eastAsia="楷体_GB2312"/>
          <w:b/>
          <w:bCs/>
          <w:sz w:val="32"/>
          <w:szCs w:val="32"/>
          <w:lang w:val="en-US" w:eastAsia="zh-CN"/>
        </w:rPr>
        <w:t>208</w:t>
      </w:r>
      <w:r>
        <w:rPr>
          <w:rFonts w:hint="eastAsia" w:ascii="楷体_GB2312" w:eastAsia="楷体_GB2312"/>
          <w:b/>
          <w:bCs/>
          <w:sz w:val="32"/>
          <w:szCs w:val="32"/>
        </w:rPr>
        <w:t>类）</w:t>
      </w:r>
      <w:r>
        <w:rPr>
          <w:rFonts w:hint="eastAsia" w:ascii="仿宋" w:hAnsi="仿宋" w:eastAsia="仿宋"/>
          <w:color w:val="000000"/>
          <w:sz w:val="32"/>
          <w:szCs w:val="32"/>
          <w:lang w:val="en-US" w:eastAsia="zh-CN"/>
        </w:rPr>
        <w:t>21.73</w:t>
      </w:r>
      <w:r>
        <w:rPr>
          <w:rFonts w:hint="eastAsia" w:ascii="楷体_GB2312" w:eastAsia="楷体_GB2312"/>
          <w:sz w:val="32"/>
          <w:szCs w:val="32"/>
        </w:rPr>
        <w:t>万元，占</w:t>
      </w:r>
      <w:r>
        <w:rPr>
          <w:rFonts w:hint="eastAsia" w:ascii="楷体_GB2312" w:eastAsia="楷体_GB2312"/>
          <w:sz w:val="32"/>
          <w:szCs w:val="32"/>
          <w:lang w:val="en-US" w:eastAsia="zh-CN"/>
        </w:rPr>
        <w:t>2.10</w:t>
      </w:r>
      <w:r>
        <w:rPr>
          <w:rFonts w:hint="eastAsia" w:ascii="楷体_GB2312" w:eastAsia="楷体_GB2312"/>
          <w:sz w:val="32"/>
          <w:szCs w:val="32"/>
        </w:rPr>
        <w:t>%；；</w:t>
      </w:r>
      <w:r>
        <w:rPr>
          <w:rFonts w:hint="eastAsia" w:ascii="仿宋" w:hAnsi="仿宋" w:eastAsia="仿宋"/>
          <w:b/>
          <w:bCs/>
          <w:color w:val="000000"/>
          <w:sz w:val="32"/>
          <w:szCs w:val="32"/>
        </w:rPr>
        <w:t>卫生健康支出</w:t>
      </w:r>
      <w:r>
        <w:rPr>
          <w:rFonts w:hint="eastAsia" w:ascii="楷体_GB2312" w:eastAsia="楷体_GB2312"/>
          <w:b/>
          <w:bCs/>
          <w:sz w:val="32"/>
          <w:szCs w:val="32"/>
        </w:rPr>
        <w:t>（</w:t>
      </w:r>
      <w:r>
        <w:rPr>
          <w:rFonts w:hint="eastAsia" w:ascii="楷体_GB2312" w:eastAsia="楷体_GB2312"/>
          <w:b/>
          <w:bCs/>
          <w:sz w:val="32"/>
          <w:szCs w:val="32"/>
          <w:lang w:val="en-US" w:eastAsia="zh-CN"/>
        </w:rPr>
        <w:t>210</w:t>
      </w:r>
      <w:r>
        <w:rPr>
          <w:rFonts w:hint="eastAsia" w:ascii="楷体_GB2312" w:eastAsia="楷体_GB2312"/>
          <w:b/>
          <w:bCs/>
          <w:sz w:val="32"/>
          <w:szCs w:val="32"/>
        </w:rPr>
        <w:t>类）</w:t>
      </w:r>
      <w:r>
        <w:rPr>
          <w:rFonts w:hint="eastAsia" w:ascii="仿宋" w:hAnsi="仿宋" w:eastAsia="仿宋"/>
          <w:color w:val="000000"/>
          <w:sz w:val="32"/>
          <w:szCs w:val="32"/>
          <w:lang w:val="en-US" w:eastAsia="zh-CN"/>
        </w:rPr>
        <w:t>12.41</w:t>
      </w:r>
      <w:r>
        <w:rPr>
          <w:rFonts w:hint="eastAsia" w:ascii="楷体_GB2312" w:eastAsia="楷体_GB2312"/>
          <w:sz w:val="32"/>
          <w:szCs w:val="32"/>
        </w:rPr>
        <w:t>万元，占</w:t>
      </w:r>
      <w:r>
        <w:rPr>
          <w:rFonts w:hint="eastAsia" w:ascii="楷体_GB2312" w:eastAsia="楷体_GB2312"/>
          <w:sz w:val="32"/>
          <w:szCs w:val="32"/>
          <w:lang w:val="en-US" w:eastAsia="zh-CN"/>
        </w:rPr>
        <w:t>1.20</w:t>
      </w:r>
      <w:r>
        <w:rPr>
          <w:rFonts w:hint="eastAsia" w:ascii="楷体_GB2312" w:eastAsia="楷体_GB2312"/>
          <w:sz w:val="32"/>
          <w:szCs w:val="32"/>
        </w:rPr>
        <w:t>%；</w:t>
      </w:r>
      <w:r>
        <w:rPr>
          <w:rFonts w:hint="eastAsia" w:ascii="楷体_GB2312" w:eastAsia="楷体_GB2312"/>
          <w:b/>
          <w:bCs/>
          <w:sz w:val="32"/>
          <w:szCs w:val="32"/>
        </w:rPr>
        <w:t>农林水事务（</w:t>
      </w:r>
      <w:r>
        <w:rPr>
          <w:rFonts w:hint="eastAsia" w:ascii="楷体_GB2312" w:eastAsia="楷体_GB2312"/>
          <w:b/>
          <w:bCs/>
          <w:sz w:val="32"/>
          <w:szCs w:val="32"/>
          <w:lang w:val="en-US" w:eastAsia="zh-CN"/>
        </w:rPr>
        <w:t>213</w:t>
      </w:r>
      <w:r>
        <w:rPr>
          <w:rFonts w:hint="eastAsia" w:ascii="楷体_GB2312" w:eastAsia="楷体_GB2312"/>
          <w:b/>
          <w:bCs/>
          <w:sz w:val="32"/>
          <w:szCs w:val="32"/>
        </w:rPr>
        <w:t>类）</w:t>
      </w:r>
      <w:r>
        <w:rPr>
          <w:rFonts w:hint="eastAsia" w:ascii="仿宋" w:hAnsi="仿宋" w:eastAsia="仿宋"/>
          <w:color w:val="000000"/>
          <w:sz w:val="32"/>
          <w:szCs w:val="32"/>
          <w:lang w:val="en-US" w:eastAsia="zh-CN"/>
        </w:rPr>
        <w:t>0.8</w:t>
      </w:r>
      <w:r>
        <w:rPr>
          <w:rFonts w:hint="eastAsia" w:ascii="楷体_GB2312" w:eastAsia="楷体_GB2312"/>
          <w:sz w:val="32"/>
          <w:szCs w:val="32"/>
        </w:rPr>
        <w:t>万元，占</w:t>
      </w:r>
      <w:r>
        <w:rPr>
          <w:rFonts w:hint="eastAsia" w:ascii="楷体_GB2312" w:eastAsia="楷体_GB2312"/>
          <w:sz w:val="32"/>
          <w:szCs w:val="32"/>
          <w:lang w:val="en-US" w:eastAsia="zh-CN"/>
        </w:rPr>
        <w:t>0.08</w:t>
      </w:r>
      <w:r>
        <w:rPr>
          <w:rFonts w:hint="eastAsia" w:ascii="楷体_GB2312" w:eastAsia="楷体_GB2312"/>
          <w:sz w:val="32"/>
          <w:szCs w:val="32"/>
        </w:rPr>
        <w:t>%；</w:t>
      </w:r>
      <w:r>
        <w:rPr>
          <w:rFonts w:hint="eastAsia" w:ascii="楷体_GB2312" w:hAnsi="Times New Roman" w:eastAsia="楷体_GB2312" w:cs="Times New Roman"/>
          <w:b/>
          <w:bCs/>
          <w:sz w:val="32"/>
          <w:szCs w:val="32"/>
        </w:rPr>
        <w:t>商业服务业等支出（</w:t>
      </w:r>
      <w:r>
        <w:rPr>
          <w:rFonts w:hint="eastAsia" w:ascii="楷体_GB2312" w:hAnsi="Times New Roman" w:eastAsia="楷体_GB2312" w:cs="Times New Roman"/>
          <w:b/>
          <w:bCs/>
          <w:sz w:val="32"/>
          <w:szCs w:val="32"/>
          <w:lang w:val="en-US" w:eastAsia="zh-CN"/>
        </w:rPr>
        <w:t>21</w:t>
      </w:r>
      <w:r>
        <w:rPr>
          <w:rFonts w:hint="eastAsia" w:ascii="楷体_GB2312" w:eastAsia="楷体_GB2312"/>
          <w:b/>
          <w:bCs/>
          <w:sz w:val="32"/>
          <w:szCs w:val="32"/>
          <w:lang w:val="en-US" w:eastAsia="zh-CN"/>
        </w:rPr>
        <w:t>6</w:t>
      </w:r>
      <w:r>
        <w:rPr>
          <w:rFonts w:hint="eastAsia" w:ascii="楷体_GB2312" w:eastAsia="楷体_GB2312"/>
          <w:b/>
          <w:bCs/>
          <w:sz w:val="32"/>
          <w:szCs w:val="32"/>
        </w:rPr>
        <w:t>类）</w:t>
      </w:r>
      <w:r>
        <w:rPr>
          <w:rFonts w:hint="eastAsia" w:ascii="仿宋" w:hAnsi="仿宋" w:eastAsia="仿宋"/>
          <w:color w:val="000000"/>
          <w:sz w:val="32"/>
          <w:szCs w:val="32"/>
          <w:lang w:val="en-US" w:eastAsia="zh-CN"/>
        </w:rPr>
        <w:t>977.10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94.23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楷体_GB2312" w:eastAsia="楷体_GB2312"/>
          <w:b/>
          <w:bCs/>
          <w:sz w:val="32"/>
          <w:szCs w:val="32"/>
        </w:rPr>
        <w:t>住房保障支出（</w:t>
      </w:r>
      <w:r>
        <w:rPr>
          <w:rFonts w:hint="eastAsia" w:ascii="楷体_GB2312" w:eastAsia="楷体_GB2312"/>
          <w:b/>
          <w:bCs/>
          <w:sz w:val="32"/>
          <w:szCs w:val="32"/>
          <w:lang w:val="en-US" w:eastAsia="zh-CN"/>
        </w:rPr>
        <w:t>221</w:t>
      </w:r>
      <w:r>
        <w:rPr>
          <w:rFonts w:hint="eastAsia" w:ascii="楷体_GB2312" w:eastAsia="楷体_GB2312"/>
          <w:b/>
          <w:bCs/>
          <w:sz w:val="32"/>
          <w:szCs w:val="32"/>
        </w:rPr>
        <w:t>类）</w:t>
      </w:r>
      <w:r>
        <w:rPr>
          <w:rFonts w:hint="eastAsia" w:ascii="仿宋" w:hAnsi="仿宋" w:eastAsia="仿宋"/>
          <w:color w:val="000000"/>
          <w:sz w:val="32"/>
          <w:szCs w:val="32"/>
          <w:lang w:val="en-US" w:eastAsia="zh-CN"/>
        </w:rPr>
        <w:t>17.62</w:t>
      </w:r>
      <w:r>
        <w:rPr>
          <w:rFonts w:hint="eastAsia" w:ascii="楷体_GB2312" w:eastAsia="楷体_GB2312"/>
          <w:sz w:val="32"/>
          <w:szCs w:val="32"/>
        </w:rPr>
        <w:t>万元，占</w:t>
      </w:r>
      <w:r>
        <w:rPr>
          <w:rFonts w:hint="eastAsia" w:ascii="楷体_GB2312" w:eastAsia="楷体_GB2312"/>
          <w:sz w:val="32"/>
          <w:szCs w:val="32"/>
          <w:lang w:val="en-US" w:eastAsia="zh-CN"/>
        </w:rPr>
        <w:t>1.70</w:t>
      </w:r>
      <w:r>
        <w:rPr>
          <w:rFonts w:hint="eastAsia" w:ascii="楷体_GB2312" w:eastAsia="楷体_GB2312"/>
          <w:sz w:val="32"/>
          <w:szCs w:val="32"/>
        </w:rPr>
        <w:t>%。</w:t>
      </w:r>
    </w:p>
    <w:p>
      <w:pPr>
        <w:pStyle w:val="22"/>
      </w:pPr>
    </w:p>
    <w:p>
      <w:pPr>
        <w:widowControl/>
        <w:jc w:val="center"/>
        <w:rPr>
          <w:rFonts w:ascii="宋体" w:hAnsi="宋体" w:cs="宋体"/>
          <w:kern w:val="0"/>
          <w:sz w:val="24"/>
        </w:rPr>
      </w:pPr>
      <w:r>
        <w:drawing>
          <wp:inline distT="0" distB="0" distL="114300" distR="114300">
            <wp:extent cx="5300980" cy="2754630"/>
            <wp:effectExtent l="4445" t="4445" r="9525" b="2222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pStyle w:val="22"/>
        <w:ind w:left="0" w:leftChars="0" w:firstLine="0" w:firstLineChars="0"/>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pPr>
        <w:keepNext w:val="0"/>
        <w:keepLines w:val="0"/>
        <w:widowControl w:val="0"/>
        <w:suppressLineNumbers w:val="0"/>
        <w:spacing w:before="0" w:beforeAutospacing="0" w:after="0" w:afterAutospacing="0" w:line="600" w:lineRule="exact"/>
        <w:ind w:left="0" w:right="0" w:firstLine="640" w:firstLineChars="200"/>
        <w:jc w:val="both"/>
        <w:outlineLvl w:val="2"/>
        <w:rPr>
          <w:rStyle w:val="26"/>
          <w:rFonts w:hint="eastAsia" w:ascii="仿宋" w:hAnsi="仿宋" w:eastAsia="仿宋"/>
          <w:b w:val="0"/>
          <w:bCs/>
          <w:color w:val="000000"/>
          <w:sz w:val="32"/>
          <w:szCs w:val="32"/>
        </w:rPr>
      </w:pPr>
      <w:bookmarkStart w:id="14" w:name="_Toc15378460"/>
      <w:bookmarkStart w:id="15" w:name="_Toc15377444"/>
      <w:bookmarkStart w:id="16" w:name="_Toc15377213"/>
      <w:r>
        <w:rPr>
          <w:rFonts w:hint="eastAsia" w:ascii="仿宋" w:hAnsi="仿宋" w:eastAsia="仿宋" w:cs="仿宋"/>
          <w:b w:val="0"/>
          <w:bCs/>
          <w:color w:val="000000"/>
          <w:kern w:val="2"/>
          <w:sz w:val="32"/>
          <w:szCs w:val="32"/>
          <w:lang w:val="en-US" w:eastAsia="zh-CN" w:bidi="ar"/>
        </w:rPr>
        <w:t>2021年一般公共预算支出决算数为11036.88万元，</w:t>
      </w:r>
      <w:r>
        <w:rPr>
          <w:rStyle w:val="26"/>
          <w:rFonts w:hint="eastAsia" w:ascii="仿宋" w:hAnsi="仿宋" w:eastAsia="仿宋" w:cs="仿宋"/>
          <w:b w:val="0"/>
          <w:bCs/>
          <w:color w:val="000000"/>
          <w:kern w:val="2"/>
          <w:sz w:val="32"/>
          <w:szCs w:val="32"/>
          <w:lang w:val="en-US" w:eastAsia="zh-CN" w:bidi="ar"/>
        </w:rPr>
        <w:t>完成调整</w:t>
      </w:r>
      <w:r>
        <w:rPr>
          <w:rStyle w:val="26"/>
          <w:rFonts w:hint="eastAsia" w:ascii="仿宋" w:hAnsi="仿宋" w:eastAsia="仿宋"/>
          <w:b w:val="0"/>
          <w:bCs/>
          <w:color w:val="000000"/>
          <w:sz w:val="32"/>
          <w:szCs w:val="32"/>
          <w:u w:val="none"/>
          <w:lang w:val="en-US" w:eastAsia="zh-CN"/>
        </w:rPr>
        <w:t>调整</w:t>
      </w:r>
      <w:r>
        <w:rPr>
          <w:rStyle w:val="26"/>
          <w:rFonts w:hint="eastAsia" w:ascii="仿宋" w:hAnsi="仿宋" w:eastAsia="仿宋"/>
          <w:b w:val="0"/>
          <w:bCs/>
          <w:color w:val="000000"/>
          <w:sz w:val="32"/>
          <w:szCs w:val="32"/>
          <w:u w:val="none"/>
        </w:rPr>
        <w:t>预算</w:t>
      </w:r>
      <w:r>
        <w:rPr>
          <w:rStyle w:val="26"/>
          <w:rFonts w:hint="eastAsia" w:ascii="仿宋" w:hAnsi="仿宋" w:eastAsia="仿宋"/>
          <w:b w:val="0"/>
          <w:bCs/>
          <w:color w:val="000000"/>
          <w:sz w:val="32"/>
          <w:szCs w:val="32"/>
          <w:u w:val="none"/>
          <w:lang w:val="en-US" w:eastAsia="zh-CN"/>
        </w:rPr>
        <w:t>1036.88万元的100</w:t>
      </w:r>
      <w:r>
        <w:rPr>
          <w:rStyle w:val="26"/>
          <w:rFonts w:hint="eastAsia" w:ascii="仿宋" w:hAnsi="仿宋" w:eastAsia="仿宋" w:cs="仿宋"/>
          <w:b w:val="0"/>
          <w:bCs/>
          <w:color w:val="000000"/>
          <w:kern w:val="2"/>
          <w:sz w:val="32"/>
          <w:szCs w:val="32"/>
          <w:lang w:val="en-US" w:eastAsia="zh-CN" w:bidi="ar"/>
        </w:rPr>
        <w:t>%。其中：</w:t>
      </w:r>
      <w:bookmarkEnd w:id="14"/>
      <w:bookmarkEnd w:id="15"/>
      <w:bookmarkEnd w:id="16"/>
    </w:p>
    <w:p>
      <w:pPr>
        <w:spacing w:line="600" w:lineRule="exact"/>
        <w:ind w:firstLine="642" w:firstLineChars="200"/>
        <w:rPr>
          <w:rStyle w:val="26"/>
          <w:rFonts w:hint="eastAsia" w:ascii="仿宋" w:hAnsi="仿宋" w:eastAsia="仿宋"/>
          <w:b w:val="0"/>
          <w:bCs/>
          <w:color w:val="000000"/>
          <w:sz w:val="32"/>
          <w:szCs w:val="32"/>
        </w:rPr>
      </w:pPr>
      <w:r>
        <w:rPr>
          <w:rStyle w:val="26"/>
          <w:rFonts w:hint="eastAsia" w:ascii="仿宋" w:hAnsi="仿宋" w:eastAsia="仿宋"/>
          <w:bCs/>
          <w:color w:val="000000"/>
          <w:sz w:val="32"/>
          <w:szCs w:val="32"/>
          <w:lang w:val="en-US" w:eastAsia="zh-CN"/>
        </w:rPr>
        <w:t>1.</w:t>
      </w:r>
      <w:r>
        <w:rPr>
          <w:rStyle w:val="26"/>
          <w:rFonts w:hint="eastAsia" w:ascii="仿宋" w:hAnsi="仿宋" w:eastAsia="仿宋"/>
          <w:bCs/>
          <w:color w:val="000000"/>
          <w:sz w:val="32"/>
          <w:szCs w:val="32"/>
        </w:rPr>
        <w:t>教育支出（205）</w:t>
      </w:r>
      <w:r>
        <w:rPr>
          <w:rStyle w:val="26"/>
          <w:rFonts w:hint="eastAsia" w:ascii="仿宋" w:hAnsi="仿宋" w:eastAsia="仿宋"/>
          <w:b w:val="0"/>
          <w:bCs w:val="0"/>
          <w:color w:val="auto"/>
          <w:sz w:val="32"/>
          <w:szCs w:val="32"/>
          <w:lang w:val="en-US" w:eastAsia="zh-CN"/>
        </w:rPr>
        <w:t>进修及培训（</w:t>
      </w:r>
      <w:r>
        <w:rPr>
          <w:rStyle w:val="26"/>
          <w:rFonts w:hint="eastAsia" w:ascii="仿宋" w:hAnsi="仿宋" w:eastAsia="仿宋"/>
          <w:b/>
          <w:bCs/>
          <w:color w:val="auto"/>
          <w:sz w:val="32"/>
          <w:szCs w:val="32"/>
          <w:lang w:val="en-US" w:eastAsia="zh-CN"/>
        </w:rPr>
        <w:t>08</w:t>
      </w:r>
      <w:r>
        <w:rPr>
          <w:rStyle w:val="26"/>
          <w:rFonts w:hint="eastAsia" w:ascii="仿宋" w:hAnsi="仿宋" w:eastAsia="仿宋"/>
          <w:b w:val="0"/>
          <w:bCs w:val="0"/>
          <w:color w:val="auto"/>
          <w:sz w:val="32"/>
          <w:szCs w:val="32"/>
          <w:lang w:val="en-US" w:eastAsia="zh-CN"/>
        </w:rPr>
        <w:t>）培训支出（</w:t>
      </w:r>
      <w:r>
        <w:rPr>
          <w:rStyle w:val="26"/>
          <w:rFonts w:hint="eastAsia" w:ascii="仿宋" w:hAnsi="仿宋" w:eastAsia="仿宋"/>
          <w:b/>
          <w:bCs/>
          <w:color w:val="auto"/>
          <w:sz w:val="32"/>
          <w:szCs w:val="32"/>
          <w:lang w:val="en-US" w:eastAsia="zh-CN"/>
        </w:rPr>
        <w:t>03</w:t>
      </w:r>
      <w:r>
        <w:rPr>
          <w:rStyle w:val="26"/>
          <w:rFonts w:hint="eastAsia" w:ascii="仿宋" w:hAnsi="仿宋" w:eastAsia="仿宋"/>
          <w:b w:val="0"/>
          <w:bCs w:val="0"/>
          <w:color w:val="auto"/>
          <w:sz w:val="32"/>
          <w:szCs w:val="32"/>
          <w:lang w:val="en-US" w:eastAsia="zh-CN"/>
        </w:rPr>
        <w:t>）</w:t>
      </w:r>
      <w:r>
        <w:rPr>
          <w:rStyle w:val="26"/>
          <w:rFonts w:hint="eastAsia" w:ascii="仿宋" w:hAnsi="仿宋" w:eastAsia="仿宋"/>
          <w:bCs/>
          <w:color w:val="000000"/>
          <w:sz w:val="32"/>
          <w:szCs w:val="32"/>
        </w:rPr>
        <w:t>：</w:t>
      </w:r>
      <w:r>
        <w:rPr>
          <w:rStyle w:val="26"/>
          <w:rFonts w:hint="eastAsia" w:ascii="仿宋" w:hAnsi="仿宋" w:eastAsia="仿宋"/>
          <w:b w:val="0"/>
          <w:bCs/>
          <w:color w:val="000000"/>
          <w:sz w:val="32"/>
          <w:szCs w:val="32"/>
        </w:rPr>
        <w:t>支出决算为</w:t>
      </w:r>
      <w:r>
        <w:rPr>
          <w:rStyle w:val="26"/>
          <w:rFonts w:hint="eastAsia" w:ascii="仿宋" w:hAnsi="仿宋" w:eastAsia="仿宋"/>
          <w:b w:val="0"/>
          <w:bCs/>
          <w:color w:val="000000"/>
          <w:sz w:val="32"/>
          <w:szCs w:val="32"/>
          <w:lang w:val="en-US" w:eastAsia="zh-CN"/>
        </w:rPr>
        <w:t>2.22</w:t>
      </w:r>
      <w:r>
        <w:rPr>
          <w:rStyle w:val="26"/>
          <w:rFonts w:hint="eastAsia" w:ascii="仿宋" w:hAnsi="仿宋" w:eastAsia="仿宋"/>
          <w:b w:val="0"/>
          <w:bCs/>
          <w:color w:val="000000"/>
          <w:sz w:val="32"/>
          <w:szCs w:val="32"/>
        </w:rPr>
        <w:t>万元，完成预算100</w:t>
      </w:r>
      <w:r>
        <w:rPr>
          <w:rStyle w:val="26"/>
          <w:rFonts w:ascii="仿宋" w:hAnsi="仿宋" w:eastAsia="仿宋"/>
          <w:b w:val="0"/>
          <w:bCs/>
          <w:color w:val="000000"/>
          <w:sz w:val="32"/>
          <w:szCs w:val="32"/>
        </w:rPr>
        <w:t>%</w:t>
      </w:r>
      <w:r>
        <w:rPr>
          <w:rStyle w:val="26"/>
          <w:rFonts w:hint="eastAsia" w:ascii="仿宋" w:hAnsi="仿宋" w:eastAsia="仿宋"/>
          <w:b w:val="0"/>
          <w:bCs/>
          <w:color w:val="000000"/>
          <w:sz w:val="32"/>
          <w:szCs w:val="32"/>
        </w:rPr>
        <w:t>。</w:t>
      </w:r>
    </w:p>
    <w:p>
      <w:pPr>
        <w:spacing w:line="600" w:lineRule="exact"/>
        <w:ind w:firstLine="642" w:firstLineChars="200"/>
        <w:rPr>
          <w:rStyle w:val="26"/>
          <w:rFonts w:ascii="仿宋" w:hAnsi="仿宋" w:eastAsia="仿宋"/>
          <w:b w:val="0"/>
          <w:bCs/>
          <w:color w:val="000000"/>
          <w:sz w:val="32"/>
          <w:szCs w:val="32"/>
        </w:rPr>
      </w:pPr>
      <w:r>
        <w:rPr>
          <w:rStyle w:val="26"/>
          <w:rFonts w:hint="eastAsia" w:ascii="仿宋" w:hAnsi="仿宋" w:eastAsia="仿宋"/>
          <w:bCs/>
          <w:color w:val="000000"/>
          <w:sz w:val="32"/>
          <w:szCs w:val="32"/>
          <w:lang w:val="en-US" w:eastAsia="zh-CN"/>
        </w:rPr>
        <w:t>2.</w:t>
      </w:r>
      <w:r>
        <w:rPr>
          <w:rStyle w:val="26"/>
          <w:rFonts w:hint="eastAsia" w:ascii="仿宋" w:hAnsi="仿宋" w:eastAsia="仿宋"/>
          <w:bCs/>
          <w:color w:val="000000"/>
          <w:sz w:val="32"/>
          <w:szCs w:val="32"/>
        </w:rPr>
        <w:t>文化旅游体育与传媒支出（</w:t>
      </w:r>
      <w:r>
        <w:rPr>
          <w:rStyle w:val="26"/>
          <w:rFonts w:hint="eastAsia" w:ascii="仿宋" w:hAnsi="仿宋" w:eastAsia="仿宋"/>
          <w:bCs/>
          <w:color w:val="000000"/>
          <w:sz w:val="32"/>
          <w:szCs w:val="32"/>
          <w:lang w:val="en-US" w:eastAsia="zh-CN"/>
        </w:rPr>
        <w:t>207</w:t>
      </w:r>
      <w:r>
        <w:rPr>
          <w:rStyle w:val="26"/>
          <w:rFonts w:hint="eastAsia" w:ascii="仿宋" w:hAnsi="仿宋" w:eastAsia="仿宋"/>
          <w:bCs/>
          <w:color w:val="000000"/>
          <w:sz w:val="32"/>
          <w:szCs w:val="32"/>
        </w:rPr>
        <w:t>）</w:t>
      </w:r>
      <w:r>
        <w:rPr>
          <w:rStyle w:val="26"/>
          <w:rFonts w:hint="eastAsia" w:ascii="仿宋" w:hAnsi="仿宋" w:eastAsia="仿宋"/>
          <w:b w:val="0"/>
          <w:bCs w:val="0"/>
          <w:color w:val="000000"/>
          <w:sz w:val="32"/>
          <w:szCs w:val="32"/>
          <w:lang w:val="en-US" w:eastAsia="zh-CN"/>
        </w:rPr>
        <w:t>其他</w:t>
      </w:r>
      <w:r>
        <w:rPr>
          <w:rStyle w:val="26"/>
          <w:rFonts w:hint="eastAsia" w:ascii="仿宋" w:hAnsi="仿宋" w:eastAsia="仿宋"/>
          <w:b w:val="0"/>
          <w:bCs w:val="0"/>
          <w:color w:val="000000"/>
          <w:sz w:val="32"/>
          <w:szCs w:val="32"/>
        </w:rPr>
        <w:t>文化旅游体育与传媒</w:t>
      </w:r>
      <w:r>
        <w:rPr>
          <w:rStyle w:val="26"/>
          <w:rFonts w:hint="eastAsia" w:ascii="仿宋" w:hAnsi="仿宋" w:eastAsia="仿宋"/>
          <w:b w:val="0"/>
          <w:bCs w:val="0"/>
          <w:color w:val="000000"/>
          <w:sz w:val="32"/>
          <w:szCs w:val="32"/>
          <w:lang w:val="en-US" w:eastAsia="zh-CN"/>
        </w:rPr>
        <w:t>支出</w:t>
      </w:r>
      <w:r>
        <w:rPr>
          <w:rStyle w:val="26"/>
          <w:rFonts w:hint="eastAsia" w:ascii="仿宋" w:hAnsi="仿宋" w:eastAsia="仿宋"/>
          <w:b w:val="0"/>
          <w:bCs w:val="0"/>
          <w:color w:val="000000"/>
          <w:sz w:val="32"/>
          <w:szCs w:val="32"/>
          <w:lang w:eastAsia="zh-CN"/>
        </w:rPr>
        <w:t>（</w:t>
      </w:r>
      <w:r>
        <w:rPr>
          <w:rStyle w:val="26"/>
          <w:rFonts w:hint="eastAsia" w:ascii="仿宋" w:hAnsi="仿宋" w:eastAsia="仿宋"/>
          <w:b w:val="0"/>
          <w:bCs w:val="0"/>
          <w:color w:val="000000"/>
          <w:sz w:val="32"/>
          <w:szCs w:val="32"/>
          <w:lang w:val="en-US" w:eastAsia="zh-CN"/>
        </w:rPr>
        <w:t>99</w:t>
      </w:r>
      <w:r>
        <w:rPr>
          <w:rStyle w:val="26"/>
          <w:rFonts w:hint="eastAsia" w:ascii="仿宋" w:hAnsi="仿宋" w:eastAsia="仿宋"/>
          <w:b w:val="0"/>
          <w:bCs w:val="0"/>
          <w:color w:val="000000"/>
          <w:sz w:val="32"/>
          <w:szCs w:val="32"/>
          <w:lang w:eastAsia="zh-CN"/>
        </w:rPr>
        <w:t>）</w:t>
      </w:r>
      <w:r>
        <w:rPr>
          <w:rStyle w:val="26"/>
          <w:rFonts w:hint="eastAsia" w:ascii="仿宋" w:hAnsi="仿宋" w:eastAsia="仿宋"/>
          <w:b w:val="0"/>
          <w:bCs w:val="0"/>
          <w:color w:val="000000"/>
          <w:sz w:val="32"/>
          <w:szCs w:val="32"/>
          <w:lang w:val="en-US" w:eastAsia="zh-CN"/>
        </w:rPr>
        <w:t>其他</w:t>
      </w:r>
      <w:r>
        <w:rPr>
          <w:rStyle w:val="26"/>
          <w:rFonts w:hint="eastAsia" w:ascii="仿宋" w:hAnsi="仿宋" w:eastAsia="仿宋"/>
          <w:b w:val="0"/>
          <w:bCs w:val="0"/>
          <w:color w:val="000000"/>
          <w:sz w:val="32"/>
          <w:szCs w:val="32"/>
        </w:rPr>
        <w:t>文化旅游体育与传媒</w:t>
      </w:r>
      <w:r>
        <w:rPr>
          <w:rStyle w:val="26"/>
          <w:rFonts w:hint="eastAsia" w:ascii="仿宋" w:hAnsi="仿宋" w:eastAsia="仿宋"/>
          <w:b w:val="0"/>
          <w:bCs w:val="0"/>
          <w:color w:val="000000"/>
          <w:sz w:val="32"/>
          <w:szCs w:val="32"/>
          <w:lang w:val="en-US" w:eastAsia="zh-CN"/>
        </w:rPr>
        <w:t>支出（99）</w:t>
      </w:r>
      <w:r>
        <w:rPr>
          <w:rStyle w:val="26"/>
          <w:rFonts w:ascii="仿宋" w:hAnsi="仿宋" w:eastAsia="仿宋"/>
          <w:bCs/>
          <w:color w:val="000000"/>
          <w:sz w:val="32"/>
          <w:szCs w:val="32"/>
        </w:rPr>
        <w:t>:</w:t>
      </w:r>
      <w:r>
        <w:rPr>
          <w:rStyle w:val="26"/>
          <w:rFonts w:ascii="仿宋" w:hAnsi="仿宋" w:eastAsia="仿宋"/>
          <w:b w:val="0"/>
          <w:bCs/>
          <w:color w:val="000000"/>
          <w:sz w:val="32"/>
          <w:szCs w:val="32"/>
        </w:rPr>
        <w:t xml:space="preserve"> </w:t>
      </w:r>
      <w:r>
        <w:rPr>
          <w:rStyle w:val="26"/>
          <w:rFonts w:hint="eastAsia" w:ascii="仿宋" w:hAnsi="仿宋" w:eastAsia="仿宋"/>
          <w:b w:val="0"/>
          <w:bCs/>
          <w:color w:val="000000"/>
          <w:sz w:val="32"/>
          <w:szCs w:val="32"/>
        </w:rPr>
        <w:t>支出决算为</w:t>
      </w:r>
      <w:r>
        <w:rPr>
          <w:rStyle w:val="26"/>
          <w:rFonts w:hint="eastAsia" w:ascii="仿宋" w:hAnsi="仿宋" w:eastAsia="仿宋"/>
          <w:b w:val="0"/>
          <w:bCs/>
          <w:color w:val="000000"/>
          <w:sz w:val="32"/>
          <w:szCs w:val="32"/>
          <w:lang w:val="en-US" w:eastAsia="zh-CN"/>
        </w:rPr>
        <w:t>5</w:t>
      </w:r>
      <w:r>
        <w:rPr>
          <w:rStyle w:val="26"/>
          <w:rFonts w:hint="eastAsia" w:ascii="仿宋" w:hAnsi="仿宋" w:eastAsia="仿宋"/>
          <w:b w:val="0"/>
          <w:bCs/>
          <w:color w:val="000000"/>
          <w:sz w:val="32"/>
          <w:szCs w:val="32"/>
        </w:rPr>
        <w:t>万元，完成</w:t>
      </w:r>
      <w:r>
        <w:rPr>
          <w:rStyle w:val="26"/>
          <w:rFonts w:hint="eastAsia" w:ascii="仿宋" w:hAnsi="仿宋" w:eastAsia="仿宋"/>
          <w:b w:val="0"/>
          <w:bCs/>
          <w:color w:val="000000"/>
          <w:sz w:val="32"/>
          <w:szCs w:val="32"/>
          <w:u w:val="none"/>
          <w:lang w:val="en-US" w:eastAsia="zh-CN"/>
        </w:rPr>
        <w:t>调整</w:t>
      </w:r>
      <w:r>
        <w:rPr>
          <w:rStyle w:val="26"/>
          <w:rFonts w:hint="eastAsia" w:ascii="仿宋" w:hAnsi="仿宋" w:eastAsia="仿宋"/>
          <w:b w:val="0"/>
          <w:bCs/>
          <w:color w:val="000000"/>
          <w:sz w:val="32"/>
          <w:szCs w:val="32"/>
          <w:u w:val="none"/>
        </w:rPr>
        <w:t>预算</w:t>
      </w:r>
      <w:r>
        <w:rPr>
          <w:rStyle w:val="26"/>
          <w:rFonts w:hint="eastAsia" w:ascii="仿宋" w:hAnsi="仿宋" w:eastAsia="仿宋"/>
          <w:b w:val="0"/>
          <w:bCs/>
          <w:color w:val="000000"/>
          <w:sz w:val="32"/>
          <w:szCs w:val="32"/>
        </w:rPr>
        <w:t>100</w:t>
      </w:r>
      <w:r>
        <w:rPr>
          <w:rStyle w:val="26"/>
          <w:rFonts w:ascii="仿宋" w:hAnsi="仿宋" w:eastAsia="仿宋"/>
          <w:b w:val="0"/>
          <w:bCs/>
          <w:color w:val="000000"/>
          <w:sz w:val="32"/>
          <w:szCs w:val="32"/>
        </w:rPr>
        <w:t>%</w:t>
      </w:r>
      <w:r>
        <w:rPr>
          <w:rStyle w:val="26"/>
          <w:rFonts w:hint="eastAsia" w:ascii="仿宋" w:hAnsi="仿宋" w:eastAsia="仿宋"/>
          <w:b w:val="0"/>
          <w:bCs/>
          <w:color w:val="000000"/>
          <w:sz w:val="32"/>
          <w:szCs w:val="32"/>
        </w:rPr>
        <w:t>。</w:t>
      </w:r>
    </w:p>
    <w:p>
      <w:pPr>
        <w:spacing w:line="600" w:lineRule="exact"/>
        <w:ind w:firstLine="642" w:firstLineChars="200"/>
        <w:rPr>
          <w:rFonts w:ascii="仿宋" w:hAnsi="仿宋" w:eastAsia="仿宋"/>
          <w:b/>
          <w:bCs/>
          <w:color w:val="000000"/>
          <w:sz w:val="32"/>
          <w:szCs w:val="32"/>
        </w:rPr>
      </w:pPr>
      <w:r>
        <w:rPr>
          <w:rStyle w:val="26"/>
          <w:rFonts w:hint="eastAsia" w:ascii="仿宋" w:hAnsi="仿宋" w:eastAsia="仿宋" w:cs="仿宋"/>
          <w:color w:val="000000"/>
          <w:sz w:val="32"/>
          <w:szCs w:val="32"/>
          <w:lang w:val="en-US" w:eastAsia="zh-CN"/>
        </w:rPr>
        <w:t>3.</w:t>
      </w:r>
      <w:r>
        <w:rPr>
          <w:rStyle w:val="26"/>
          <w:rFonts w:hint="eastAsia" w:ascii="仿宋" w:hAnsi="仿宋" w:eastAsia="仿宋" w:cs="仿宋"/>
          <w:color w:val="000000"/>
          <w:sz w:val="32"/>
          <w:szCs w:val="32"/>
        </w:rPr>
        <w:t>社会保障和就业（</w:t>
      </w:r>
      <w:r>
        <w:rPr>
          <w:rStyle w:val="26"/>
          <w:rFonts w:ascii="仿宋" w:hAnsi="仿宋" w:eastAsia="仿宋" w:cs="仿宋"/>
          <w:color w:val="000000"/>
          <w:sz w:val="32"/>
          <w:szCs w:val="32"/>
        </w:rPr>
        <w:t>208</w:t>
      </w:r>
      <w:r>
        <w:rPr>
          <w:rStyle w:val="26"/>
          <w:rFonts w:hint="eastAsia" w:ascii="仿宋" w:hAnsi="仿宋" w:eastAsia="仿宋" w:cs="仿宋"/>
          <w:color w:val="000000"/>
          <w:sz w:val="32"/>
          <w:szCs w:val="32"/>
        </w:rPr>
        <w:t>）</w:t>
      </w:r>
      <w:r>
        <w:rPr>
          <w:rStyle w:val="26"/>
          <w:rFonts w:hint="eastAsia" w:ascii="仿宋" w:hAnsi="仿宋" w:eastAsia="仿宋" w:cs="仿宋"/>
          <w:b w:val="0"/>
          <w:bCs w:val="0"/>
          <w:color w:val="000000"/>
          <w:sz w:val="32"/>
          <w:szCs w:val="32"/>
          <w:lang w:val="en-US" w:eastAsia="zh-CN"/>
        </w:rPr>
        <w:t>行政事业单位养老支出</w:t>
      </w:r>
      <w:r>
        <w:rPr>
          <w:rStyle w:val="26"/>
          <w:rFonts w:hint="eastAsia" w:ascii="仿宋" w:hAnsi="仿宋" w:eastAsia="仿宋" w:cs="仿宋"/>
          <w:color w:val="000000"/>
          <w:sz w:val="32"/>
          <w:szCs w:val="32"/>
          <w:lang w:val="en-US" w:eastAsia="zh-CN"/>
        </w:rPr>
        <w:t xml:space="preserve">（05）  </w:t>
      </w:r>
      <w:r>
        <w:rPr>
          <w:rStyle w:val="26"/>
          <w:rFonts w:hint="eastAsia" w:ascii="仿宋" w:hAnsi="仿宋" w:eastAsia="仿宋" w:cs="仿宋"/>
          <w:b w:val="0"/>
          <w:bCs w:val="0"/>
          <w:color w:val="000000"/>
          <w:sz w:val="32"/>
          <w:szCs w:val="32"/>
          <w:lang w:val="en-US" w:eastAsia="zh-CN"/>
        </w:rPr>
        <w:t>机关事业单位基本养老保险缴费支出</w:t>
      </w:r>
      <w:r>
        <w:rPr>
          <w:rStyle w:val="26"/>
          <w:rFonts w:hint="eastAsia" w:ascii="仿宋" w:hAnsi="仿宋" w:eastAsia="仿宋" w:cs="仿宋"/>
          <w:color w:val="000000"/>
          <w:sz w:val="32"/>
          <w:szCs w:val="32"/>
          <w:lang w:val="en-US" w:eastAsia="zh-CN"/>
        </w:rPr>
        <w:t>（05）</w:t>
      </w:r>
      <w:r>
        <w:rPr>
          <w:rStyle w:val="26"/>
          <w:rFonts w:ascii="仿宋" w:hAnsi="仿宋" w:eastAsia="仿宋" w:cs="仿宋"/>
          <w:color w:val="000000"/>
          <w:sz w:val="32"/>
          <w:szCs w:val="32"/>
        </w:rPr>
        <w:t>:</w:t>
      </w:r>
      <w:r>
        <w:rPr>
          <w:rStyle w:val="26"/>
          <w:rFonts w:ascii="仿宋" w:hAnsi="仿宋" w:eastAsia="仿宋" w:cs="仿宋"/>
          <w:b w:val="0"/>
          <w:bCs w:val="0"/>
          <w:color w:val="000000"/>
          <w:sz w:val="32"/>
          <w:szCs w:val="32"/>
        </w:rPr>
        <w:t xml:space="preserve"> </w:t>
      </w:r>
      <w:r>
        <w:rPr>
          <w:rStyle w:val="26"/>
          <w:rFonts w:hint="eastAsia" w:ascii="仿宋" w:hAnsi="仿宋" w:eastAsia="仿宋" w:cs="仿宋"/>
          <w:b w:val="0"/>
          <w:bCs w:val="0"/>
          <w:color w:val="000000"/>
          <w:sz w:val="32"/>
          <w:szCs w:val="32"/>
        </w:rPr>
        <w:t>支出决算为</w:t>
      </w:r>
      <w:r>
        <w:rPr>
          <w:rStyle w:val="26"/>
          <w:rFonts w:hint="eastAsia" w:ascii="仿宋" w:hAnsi="仿宋" w:eastAsia="仿宋"/>
          <w:b w:val="0"/>
          <w:bCs/>
          <w:color w:val="000000"/>
          <w:sz w:val="32"/>
          <w:szCs w:val="32"/>
          <w:lang w:val="en-US" w:eastAsia="zh-CN"/>
        </w:rPr>
        <w:t>21.73</w:t>
      </w:r>
      <w:r>
        <w:rPr>
          <w:rStyle w:val="26"/>
          <w:rFonts w:hint="eastAsia" w:ascii="仿宋" w:hAnsi="仿宋" w:eastAsia="仿宋" w:cs="仿宋"/>
          <w:b w:val="0"/>
          <w:bCs w:val="0"/>
          <w:color w:val="000000"/>
          <w:sz w:val="32"/>
          <w:szCs w:val="32"/>
        </w:rPr>
        <w:t>万元，完成</w:t>
      </w:r>
      <w:r>
        <w:rPr>
          <w:rStyle w:val="26"/>
          <w:rFonts w:hint="eastAsia" w:ascii="仿宋" w:hAnsi="仿宋" w:eastAsia="仿宋"/>
          <w:b w:val="0"/>
          <w:bCs/>
          <w:color w:val="000000"/>
          <w:sz w:val="32"/>
          <w:szCs w:val="32"/>
          <w:lang w:val="en-US" w:eastAsia="zh-CN"/>
        </w:rPr>
        <w:t>调整</w:t>
      </w:r>
      <w:r>
        <w:rPr>
          <w:rStyle w:val="26"/>
          <w:rFonts w:hint="eastAsia" w:ascii="仿宋" w:hAnsi="仿宋" w:eastAsia="仿宋"/>
          <w:b w:val="0"/>
          <w:bCs/>
          <w:color w:val="000000"/>
          <w:sz w:val="32"/>
          <w:szCs w:val="32"/>
        </w:rPr>
        <w:t>预算</w:t>
      </w:r>
      <w:r>
        <w:rPr>
          <w:rStyle w:val="26"/>
          <w:rFonts w:hint="eastAsia" w:ascii="仿宋" w:hAnsi="仿宋" w:eastAsia="仿宋"/>
          <w:b w:val="0"/>
          <w:bCs/>
          <w:color w:val="000000"/>
          <w:sz w:val="32"/>
          <w:szCs w:val="32"/>
          <w:lang w:val="en-US" w:eastAsia="zh-CN"/>
        </w:rPr>
        <w:t>的</w:t>
      </w:r>
      <w:r>
        <w:rPr>
          <w:rStyle w:val="26"/>
          <w:rFonts w:hint="eastAsia" w:ascii="仿宋" w:hAnsi="仿宋" w:eastAsia="仿宋"/>
          <w:b w:val="0"/>
          <w:bCs/>
          <w:color w:val="000000"/>
          <w:sz w:val="32"/>
          <w:szCs w:val="32"/>
        </w:rPr>
        <w:t>100</w:t>
      </w:r>
      <w:r>
        <w:rPr>
          <w:rStyle w:val="26"/>
          <w:rFonts w:ascii="仿宋" w:hAnsi="仿宋" w:eastAsia="仿宋"/>
          <w:b w:val="0"/>
          <w:bCs/>
          <w:color w:val="000000"/>
          <w:sz w:val="32"/>
          <w:szCs w:val="32"/>
        </w:rPr>
        <w:t>%</w:t>
      </w:r>
      <w:r>
        <w:rPr>
          <w:rStyle w:val="26"/>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26"/>
          <w:rFonts w:hint="eastAsia" w:ascii="仿宋" w:hAnsi="仿宋" w:eastAsia="仿宋" w:cs="仿宋"/>
          <w:color w:val="000000"/>
          <w:sz w:val="32"/>
          <w:szCs w:val="32"/>
          <w:lang w:val="en-US" w:eastAsia="zh-CN"/>
        </w:rPr>
        <w:t>4.</w:t>
      </w:r>
      <w:r>
        <w:rPr>
          <w:rStyle w:val="26"/>
          <w:rFonts w:hint="eastAsia" w:ascii="仿宋" w:hAnsi="仿宋" w:eastAsia="仿宋" w:cs="仿宋"/>
          <w:color w:val="000000"/>
          <w:sz w:val="32"/>
          <w:szCs w:val="32"/>
        </w:rPr>
        <w:t>卫生健康支出（</w:t>
      </w:r>
      <w:r>
        <w:rPr>
          <w:rStyle w:val="26"/>
          <w:rFonts w:ascii="仿宋" w:hAnsi="仿宋" w:eastAsia="仿宋" w:cs="仿宋"/>
          <w:color w:val="000000"/>
          <w:sz w:val="32"/>
          <w:szCs w:val="32"/>
        </w:rPr>
        <w:t>210</w:t>
      </w:r>
      <w:r>
        <w:rPr>
          <w:rStyle w:val="26"/>
          <w:rFonts w:hint="eastAsia" w:ascii="仿宋" w:hAnsi="仿宋" w:eastAsia="仿宋" w:cs="仿宋"/>
          <w:color w:val="000000"/>
          <w:sz w:val="32"/>
          <w:szCs w:val="32"/>
        </w:rPr>
        <w:t>）</w:t>
      </w:r>
      <w:r>
        <w:rPr>
          <w:rStyle w:val="26"/>
          <w:rFonts w:hint="eastAsia" w:ascii="仿宋" w:hAnsi="仿宋" w:eastAsia="仿宋" w:cs="仿宋"/>
          <w:b w:val="0"/>
          <w:bCs w:val="0"/>
          <w:color w:val="000000"/>
          <w:sz w:val="32"/>
          <w:szCs w:val="32"/>
        </w:rPr>
        <w:t>行政事业单位医疗</w:t>
      </w:r>
      <w:r>
        <w:rPr>
          <w:rStyle w:val="26"/>
          <w:rFonts w:hint="eastAsia" w:ascii="仿宋" w:hAnsi="仿宋" w:eastAsia="仿宋" w:cs="仿宋"/>
          <w:color w:val="000000"/>
          <w:sz w:val="32"/>
          <w:szCs w:val="32"/>
          <w:lang w:eastAsia="zh-CN"/>
        </w:rPr>
        <w:t>（</w:t>
      </w:r>
      <w:r>
        <w:rPr>
          <w:rStyle w:val="26"/>
          <w:rFonts w:hint="eastAsia" w:ascii="仿宋" w:hAnsi="仿宋" w:eastAsia="仿宋" w:cs="仿宋"/>
          <w:color w:val="000000"/>
          <w:sz w:val="32"/>
          <w:szCs w:val="32"/>
          <w:lang w:val="en-US" w:eastAsia="zh-CN"/>
        </w:rPr>
        <w:t>11</w:t>
      </w:r>
      <w:r>
        <w:rPr>
          <w:rStyle w:val="26"/>
          <w:rFonts w:hint="eastAsia" w:ascii="仿宋" w:hAnsi="仿宋" w:eastAsia="仿宋" w:cs="仿宋"/>
          <w:color w:val="000000"/>
          <w:sz w:val="32"/>
          <w:szCs w:val="32"/>
          <w:lang w:eastAsia="zh-CN"/>
        </w:rPr>
        <w:t>）</w:t>
      </w:r>
      <w:r>
        <w:rPr>
          <w:rStyle w:val="26"/>
          <w:rFonts w:hint="eastAsia" w:ascii="仿宋" w:hAnsi="仿宋" w:eastAsia="仿宋" w:cs="仿宋"/>
          <w:b w:val="0"/>
          <w:bCs w:val="0"/>
          <w:color w:val="000000"/>
          <w:sz w:val="32"/>
          <w:szCs w:val="32"/>
          <w:lang w:eastAsia="zh-CN"/>
        </w:rPr>
        <w:t>行政单位医疗</w:t>
      </w:r>
      <w:r>
        <w:rPr>
          <w:rStyle w:val="26"/>
          <w:rFonts w:hint="eastAsia" w:ascii="仿宋" w:hAnsi="仿宋" w:eastAsia="仿宋" w:cs="仿宋"/>
          <w:color w:val="000000"/>
          <w:sz w:val="32"/>
          <w:szCs w:val="32"/>
          <w:lang w:eastAsia="zh-CN"/>
        </w:rPr>
        <w:t>（</w:t>
      </w:r>
      <w:r>
        <w:rPr>
          <w:rStyle w:val="26"/>
          <w:rFonts w:hint="eastAsia" w:ascii="仿宋" w:hAnsi="仿宋" w:eastAsia="仿宋" w:cs="仿宋"/>
          <w:color w:val="000000"/>
          <w:sz w:val="32"/>
          <w:szCs w:val="32"/>
          <w:lang w:val="en-US" w:eastAsia="zh-CN"/>
        </w:rPr>
        <w:t>01</w:t>
      </w:r>
      <w:r>
        <w:rPr>
          <w:rStyle w:val="26"/>
          <w:rFonts w:hint="eastAsia" w:ascii="仿宋" w:hAnsi="仿宋" w:eastAsia="仿宋" w:cs="仿宋"/>
          <w:color w:val="000000"/>
          <w:sz w:val="32"/>
          <w:szCs w:val="32"/>
          <w:lang w:eastAsia="zh-CN"/>
        </w:rPr>
        <w:t>）</w:t>
      </w:r>
      <w:r>
        <w:rPr>
          <w:rStyle w:val="26"/>
          <w:rFonts w:ascii="仿宋" w:hAnsi="仿宋" w:eastAsia="仿宋" w:cs="仿宋"/>
          <w:color w:val="000000"/>
          <w:sz w:val="32"/>
          <w:szCs w:val="32"/>
        </w:rPr>
        <w:t>:</w:t>
      </w:r>
      <w:r>
        <w:rPr>
          <w:rStyle w:val="26"/>
          <w:rFonts w:hint="eastAsia" w:ascii="仿宋" w:hAnsi="仿宋" w:eastAsia="仿宋" w:cs="仿宋"/>
          <w:b w:val="0"/>
          <w:bCs w:val="0"/>
          <w:color w:val="000000"/>
          <w:sz w:val="32"/>
          <w:szCs w:val="32"/>
        </w:rPr>
        <w:t>支出决算为</w:t>
      </w:r>
      <w:r>
        <w:rPr>
          <w:rStyle w:val="26"/>
          <w:rFonts w:hint="eastAsia" w:ascii="仿宋" w:hAnsi="仿宋" w:eastAsia="仿宋"/>
          <w:b w:val="0"/>
          <w:bCs/>
          <w:color w:val="000000"/>
          <w:sz w:val="32"/>
          <w:szCs w:val="32"/>
          <w:lang w:val="en-US" w:eastAsia="zh-CN"/>
        </w:rPr>
        <w:t>12.41</w:t>
      </w:r>
      <w:r>
        <w:rPr>
          <w:rStyle w:val="26"/>
          <w:rFonts w:hint="eastAsia" w:ascii="仿宋" w:hAnsi="仿宋" w:eastAsia="仿宋" w:cs="仿宋"/>
          <w:b w:val="0"/>
          <w:bCs w:val="0"/>
          <w:color w:val="000000"/>
          <w:sz w:val="32"/>
          <w:szCs w:val="32"/>
        </w:rPr>
        <w:t>万元，完成</w:t>
      </w:r>
      <w:r>
        <w:rPr>
          <w:rStyle w:val="26"/>
          <w:rFonts w:hint="eastAsia" w:ascii="仿宋" w:hAnsi="仿宋" w:eastAsia="仿宋"/>
          <w:b w:val="0"/>
          <w:bCs/>
          <w:color w:val="000000"/>
          <w:sz w:val="32"/>
          <w:szCs w:val="32"/>
          <w:lang w:val="en-US" w:eastAsia="zh-CN"/>
        </w:rPr>
        <w:t>调整</w:t>
      </w:r>
      <w:r>
        <w:rPr>
          <w:rStyle w:val="26"/>
          <w:rFonts w:hint="eastAsia" w:ascii="仿宋" w:hAnsi="仿宋" w:eastAsia="仿宋"/>
          <w:b w:val="0"/>
          <w:bCs/>
          <w:color w:val="000000"/>
          <w:sz w:val="32"/>
          <w:szCs w:val="32"/>
        </w:rPr>
        <w:t>预算</w:t>
      </w:r>
      <w:r>
        <w:rPr>
          <w:rStyle w:val="26"/>
          <w:rFonts w:hint="eastAsia" w:ascii="仿宋" w:hAnsi="仿宋" w:eastAsia="仿宋"/>
          <w:b w:val="0"/>
          <w:bCs/>
          <w:color w:val="000000"/>
          <w:sz w:val="32"/>
          <w:szCs w:val="32"/>
          <w:lang w:val="en-US" w:eastAsia="zh-CN"/>
        </w:rPr>
        <w:t>的</w:t>
      </w:r>
      <w:r>
        <w:rPr>
          <w:rStyle w:val="26"/>
          <w:rFonts w:hint="eastAsia" w:ascii="仿宋" w:hAnsi="仿宋" w:eastAsia="仿宋"/>
          <w:b w:val="0"/>
          <w:bCs/>
          <w:color w:val="000000"/>
          <w:sz w:val="32"/>
          <w:szCs w:val="32"/>
        </w:rPr>
        <w:t>100</w:t>
      </w:r>
      <w:r>
        <w:rPr>
          <w:rStyle w:val="26"/>
          <w:rFonts w:ascii="仿宋" w:hAnsi="仿宋" w:eastAsia="仿宋"/>
          <w:b w:val="0"/>
          <w:bCs/>
          <w:color w:val="000000"/>
          <w:sz w:val="32"/>
          <w:szCs w:val="32"/>
        </w:rPr>
        <w:t>%</w:t>
      </w:r>
      <w:r>
        <w:rPr>
          <w:rStyle w:val="26"/>
          <w:rFonts w:hint="eastAsia" w:ascii="仿宋" w:hAnsi="仿宋" w:eastAsia="仿宋" w:cs="仿宋"/>
          <w:b w:val="0"/>
          <w:bCs w:val="0"/>
          <w:color w:val="000000"/>
          <w:sz w:val="32"/>
          <w:szCs w:val="32"/>
        </w:rPr>
        <w:t>。</w:t>
      </w:r>
    </w:p>
    <w:p>
      <w:pPr>
        <w:spacing w:line="600" w:lineRule="exact"/>
        <w:ind w:firstLine="642" w:firstLineChars="200"/>
        <w:rPr>
          <w:rStyle w:val="26"/>
          <w:rFonts w:hint="eastAsia" w:ascii="仿宋" w:hAnsi="仿宋" w:eastAsia="仿宋" w:cs="仿宋"/>
          <w:b w:val="0"/>
          <w:bCs w:val="0"/>
          <w:color w:val="000000"/>
          <w:sz w:val="32"/>
          <w:szCs w:val="32"/>
          <w:lang w:val="en-US" w:eastAsia="zh-CN"/>
        </w:rPr>
      </w:pPr>
      <w:r>
        <w:rPr>
          <w:rStyle w:val="26"/>
          <w:rFonts w:hint="eastAsia" w:ascii="仿宋" w:hAnsi="仿宋" w:eastAsia="仿宋" w:cs="仿宋"/>
          <w:color w:val="000000"/>
          <w:sz w:val="32"/>
          <w:szCs w:val="32"/>
          <w:lang w:val="en-US" w:eastAsia="zh-CN"/>
        </w:rPr>
        <w:t>5.</w:t>
      </w:r>
      <w:r>
        <w:rPr>
          <w:rStyle w:val="26"/>
          <w:rFonts w:hint="eastAsia" w:ascii="仿宋" w:hAnsi="仿宋" w:eastAsia="仿宋" w:cs="仿宋"/>
          <w:color w:val="000000"/>
          <w:sz w:val="32"/>
          <w:szCs w:val="32"/>
        </w:rPr>
        <w:t>农林水支出（</w:t>
      </w:r>
      <w:r>
        <w:rPr>
          <w:rStyle w:val="26"/>
          <w:rFonts w:ascii="仿宋" w:hAnsi="仿宋" w:eastAsia="仿宋" w:cs="仿宋"/>
          <w:color w:val="000000"/>
          <w:sz w:val="32"/>
          <w:szCs w:val="32"/>
        </w:rPr>
        <w:t>213</w:t>
      </w:r>
      <w:r>
        <w:rPr>
          <w:rStyle w:val="26"/>
          <w:rFonts w:hint="eastAsia" w:ascii="仿宋" w:hAnsi="仿宋" w:eastAsia="仿宋" w:cs="仿宋"/>
          <w:color w:val="000000"/>
          <w:sz w:val="32"/>
          <w:szCs w:val="32"/>
        </w:rPr>
        <w:t>）</w:t>
      </w:r>
      <w:r>
        <w:rPr>
          <w:rStyle w:val="26"/>
          <w:rFonts w:hint="eastAsia" w:ascii="仿宋" w:hAnsi="仿宋" w:eastAsia="仿宋" w:cs="仿宋"/>
          <w:b w:val="0"/>
          <w:bCs w:val="0"/>
          <w:color w:val="000000"/>
          <w:sz w:val="32"/>
          <w:szCs w:val="32"/>
          <w:lang w:val="en-US" w:eastAsia="zh-CN"/>
        </w:rPr>
        <w:t>扶贫</w:t>
      </w:r>
      <w:r>
        <w:rPr>
          <w:rStyle w:val="26"/>
          <w:rFonts w:hint="eastAsia" w:ascii="仿宋" w:hAnsi="仿宋" w:eastAsia="仿宋" w:cs="仿宋"/>
          <w:color w:val="000000"/>
          <w:sz w:val="32"/>
          <w:szCs w:val="32"/>
          <w:lang w:val="en-US" w:eastAsia="zh-CN"/>
        </w:rPr>
        <w:t>（05）</w:t>
      </w:r>
      <w:r>
        <w:rPr>
          <w:rStyle w:val="26"/>
          <w:rFonts w:hint="eastAsia" w:ascii="仿宋" w:hAnsi="仿宋" w:eastAsia="仿宋" w:cs="仿宋"/>
          <w:b w:val="0"/>
          <w:bCs w:val="0"/>
          <w:color w:val="000000"/>
          <w:sz w:val="32"/>
          <w:szCs w:val="32"/>
          <w:lang w:val="en-US" w:eastAsia="zh-CN"/>
        </w:rPr>
        <w:t>其他扶贫支出</w:t>
      </w:r>
      <w:r>
        <w:rPr>
          <w:rStyle w:val="26"/>
          <w:rFonts w:hint="eastAsia" w:ascii="仿宋" w:hAnsi="仿宋" w:eastAsia="仿宋" w:cs="仿宋"/>
          <w:color w:val="000000"/>
          <w:sz w:val="32"/>
          <w:szCs w:val="32"/>
          <w:lang w:val="en-US" w:eastAsia="zh-CN"/>
        </w:rPr>
        <w:t>（99）</w:t>
      </w:r>
      <w:r>
        <w:rPr>
          <w:rStyle w:val="26"/>
          <w:rFonts w:ascii="仿宋" w:hAnsi="仿宋" w:eastAsia="仿宋" w:cs="仿宋"/>
          <w:color w:val="000000"/>
          <w:sz w:val="32"/>
          <w:szCs w:val="32"/>
        </w:rPr>
        <w:t>:</w:t>
      </w:r>
      <w:r>
        <w:rPr>
          <w:rStyle w:val="26"/>
          <w:rFonts w:ascii="仿宋" w:hAnsi="仿宋" w:eastAsia="仿宋" w:cs="仿宋"/>
          <w:b w:val="0"/>
          <w:bCs w:val="0"/>
          <w:color w:val="000000"/>
          <w:sz w:val="32"/>
          <w:szCs w:val="32"/>
        </w:rPr>
        <w:t xml:space="preserve"> </w:t>
      </w:r>
      <w:r>
        <w:rPr>
          <w:rStyle w:val="26"/>
          <w:rFonts w:hint="eastAsia" w:ascii="仿宋" w:hAnsi="仿宋" w:eastAsia="仿宋" w:cs="仿宋"/>
          <w:b w:val="0"/>
          <w:bCs w:val="0"/>
          <w:color w:val="000000"/>
          <w:sz w:val="32"/>
          <w:szCs w:val="32"/>
          <w:lang w:val="en-US" w:eastAsia="zh-CN"/>
        </w:rPr>
        <w:t>支出决算为0.8万元，完成</w:t>
      </w:r>
      <w:r>
        <w:rPr>
          <w:rStyle w:val="26"/>
          <w:rFonts w:hint="eastAsia" w:ascii="仿宋" w:hAnsi="仿宋" w:eastAsia="仿宋"/>
          <w:b w:val="0"/>
          <w:bCs/>
          <w:color w:val="000000"/>
          <w:sz w:val="32"/>
          <w:szCs w:val="32"/>
          <w:lang w:val="en-US" w:eastAsia="zh-CN"/>
        </w:rPr>
        <w:t>调整</w:t>
      </w:r>
      <w:r>
        <w:rPr>
          <w:rStyle w:val="26"/>
          <w:rFonts w:hint="eastAsia" w:ascii="仿宋" w:hAnsi="仿宋" w:eastAsia="仿宋"/>
          <w:b w:val="0"/>
          <w:bCs/>
          <w:color w:val="000000"/>
          <w:sz w:val="32"/>
          <w:szCs w:val="32"/>
        </w:rPr>
        <w:t>预算</w:t>
      </w:r>
      <w:r>
        <w:rPr>
          <w:rStyle w:val="26"/>
          <w:rFonts w:hint="eastAsia" w:ascii="仿宋" w:hAnsi="仿宋" w:eastAsia="仿宋"/>
          <w:b w:val="0"/>
          <w:bCs/>
          <w:color w:val="000000"/>
          <w:sz w:val="32"/>
          <w:szCs w:val="32"/>
          <w:lang w:val="en-US" w:eastAsia="zh-CN"/>
        </w:rPr>
        <w:t>的</w:t>
      </w:r>
      <w:r>
        <w:rPr>
          <w:rStyle w:val="26"/>
          <w:rFonts w:hint="eastAsia" w:ascii="仿宋" w:hAnsi="仿宋" w:eastAsia="仿宋"/>
          <w:b w:val="0"/>
          <w:bCs/>
          <w:color w:val="000000"/>
          <w:sz w:val="32"/>
          <w:szCs w:val="32"/>
        </w:rPr>
        <w:t>100</w:t>
      </w:r>
      <w:r>
        <w:rPr>
          <w:rStyle w:val="26"/>
          <w:rFonts w:ascii="仿宋" w:hAnsi="仿宋" w:eastAsia="仿宋"/>
          <w:b w:val="0"/>
          <w:bCs/>
          <w:color w:val="000000"/>
          <w:sz w:val="32"/>
          <w:szCs w:val="32"/>
        </w:rPr>
        <w:t>%</w:t>
      </w:r>
      <w:r>
        <w:rPr>
          <w:rStyle w:val="26"/>
          <w:rFonts w:hint="eastAsia" w:ascii="仿宋" w:hAnsi="仿宋" w:eastAsia="仿宋" w:cs="仿宋"/>
          <w:b w:val="0"/>
          <w:bCs w:val="0"/>
          <w:color w:val="000000"/>
          <w:sz w:val="32"/>
          <w:szCs w:val="32"/>
          <w:lang w:val="en-US" w:eastAsia="zh-CN"/>
        </w:rPr>
        <w:t>。</w:t>
      </w:r>
    </w:p>
    <w:p>
      <w:pPr>
        <w:spacing w:line="600" w:lineRule="exact"/>
        <w:ind w:firstLine="642" w:firstLineChars="200"/>
        <w:rPr>
          <w:rFonts w:hint="eastAsia" w:ascii="仿宋" w:hAnsi="仿宋" w:eastAsia="仿宋" w:cs="仿宋"/>
          <w:b w:val="0"/>
          <w:bCs/>
          <w:color w:val="000000"/>
          <w:kern w:val="2"/>
          <w:sz w:val="32"/>
          <w:szCs w:val="32"/>
          <w:lang w:val="en-US" w:eastAsia="zh-CN" w:bidi="ar"/>
        </w:rPr>
      </w:pPr>
      <w:r>
        <w:rPr>
          <w:rStyle w:val="26"/>
          <w:rFonts w:hint="eastAsia" w:ascii="仿宋" w:hAnsi="仿宋" w:eastAsia="仿宋" w:cs="仿宋"/>
          <w:color w:val="000000"/>
          <w:sz w:val="32"/>
          <w:szCs w:val="32"/>
          <w:lang w:val="en-US" w:eastAsia="zh-CN"/>
        </w:rPr>
        <w:t xml:space="preserve"> 6.</w:t>
      </w:r>
      <w:r>
        <w:rPr>
          <w:rFonts w:hint="eastAsia" w:ascii="仿宋" w:hAnsi="仿宋" w:eastAsia="仿宋"/>
          <w:b/>
          <w:bCs/>
          <w:color w:val="000000"/>
          <w:sz w:val="32"/>
          <w:szCs w:val="32"/>
          <w:u w:val="none"/>
        </w:rPr>
        <w:t>商业服务业等支出（216）：</w:t>
      </w:r>
      <w:r>
        <w:rPr>
          <w:rStyle w:val="26"/>
          <w:rFonts w:hint="eastAsia" w:ascii="仿宋" w:hAnsi="仿宋" w:eastAsia="仿宋"/>
          <w:b w:val="0"/>
          <w:bCs/>
          <w:color w:val="000000"/>
          <w:sz w:val="32"/>
          <w:szCs w:val="32"/>
          <w:u w:val="none"/>
        </w:rPr>
        <w:t>支出决算为</w:t>
      </w:r>
      <w:r>
        <w:rPr>
          <w:rFonts w:hint="eastAsia" w:ascii="仿宋" w:hAnsi="仿宋" w:eastAsia="仿宋"/>
          <w:color w:val="000000"/>
          <w:sz w:val="32"/>
          <w:szCs w:val="32"/>
          <w:u w:val="none"/>
          <w:lang w:val="en-US" w:eastAsia="zh-CN"/>
        </w:rPr>
        <w:t>977.10</w:t>
      </w:r>
      <w:r>
        <w:rPr>
          <w:rStyle w:val="26"/>
          <w:rFonts w:hint="eastAsia" w:ascii="仿宋" w:hAnsi="仿宋" w:eastAsia="仿宋"/>
          <w:b w:val="0"/>
          <w:bCs/>
          <w:color w:val="000000"/>
          <w:sz w:val="32"/>
          <w:szCs w:val="32"/>
          <w:u w:val="none"/>
        </w:rPr>
        <w:t>万元，完成</w:t>
      </w:r>
      <w:r>
        <w:rPr>
          <w:rStyle w:val="26"/>
          <w:rFonts w:hint="eastAsia" w:ascii="仿宋" w:hAnsi="仿宋" w:eastAsia="仿宋"/>
          <w:b w:val="0"/>
          <w:bCs/>
          <w:color w:val="000000"/>
          <w:sz w:val="32"/>
          <w:szCs w:val="32"/>
          <w:u w:val="none"/>
          <w:lang w:val="en-US" w:eastAsia="zh-CN"/>
        </w:rPr>
        <w:t>调整</w:t>
      </w:r>
      <w:r>
        <w:rPr>
          <w:rStyle w:val="26"/>
          <w:rFonts w:hint="eastAsia" w:ascii="仿宋" w:hAnsi="仿宋" w:eastAsia="仿宋"/>
          <w:b w:val="0"/>
          <w:bCs/>
          <w:color w:val="000000"/>
          <w:sz w:val="32"/>
          <w:szCs w:val="32"/>
          <w:u w:val="none"/>
        </w:rPr>
        <w:t>预算</w:t>
      </w:r>
      <w:r>
        <w:rPr>
          <w:rStyle w:val="26"/>
          <w:rFonts w:hint="eastAsia" w:ascii="仿宋" w:hAnsi="仿宋" w:eastAsia="仿宋"/>
          <w:b w:val="0"/>
          <w:bCs/>
          <w:color w:val="000000"/>
          <w:sz w:val="32"/>
          <w:szCs w:val="32"/>
          <w:u w:val="none"/>
          <w:lang w:val="en-US" w:eastAsia="zh-CN"/>
        </w:rPr>
        <w:t>的100</w:t>
      </w:r>
      <w:r>
        <w:rPr>
          <w:rStyle w:val="26"/>
          <w:rFonts w:ascii="仿宋" w:hAnsi="仿宋" w:eastAsia="仿宋"/>
          <w:b w:val="0"/>
          <w:bCs/>
          <w:color w:val="000000"/>
          <w:sz w:val="32"/>
          <w:szCs w:val="32"/>
          <w:u w:val="none"/>
        </w:rPr>
        <w:t>%</w:t>
      </w:r>
      <w:r>
        <w:rPr>
          <w:rFonts w:hint="eastAsia" w:ascii="仿宋" w:hAnsi="仿宋" w:eastAsia="仿宋" w:cs="仿宋"/>
          <w:b w:val="0"/>
          <w:bCs/>
          <w:color w:val="000000"/>
          <w:kern w:val="2"/>
          <w:sz w:val="32"/>
          <w:szCs w:val="32"/>
          <w:lang w:val="en-US" w:eastAsia="zh-CN" w:bidi="ar"/>
        </w:rPr>
        <w:t>。</w:t>
      </w:r>
      <w:r>
        <w:rPr>
          <w:rFonts w:hint="eastAsia" w:ascii="仿宋" w:hAnsi="仿宋" w:eastAsia="仿宋" w:cs="仿宋"/>
          <w:b/>
          <w:bCs w:val="0"/>
          <w:color w:val="000000"/>
          <w:kern w:val="2"/>
          <w:sz w:val="32"/>
          <w:szCs w:val="32"/>
          <w:lang w:val="en-US" w:eastAsia="zh-CN" w:bidi="ar"/>
        </w:rPr>
        <w:t>其中：</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02）</w:t>
      </w:r>
      <w:r>
        <w:rPr>
          <w:rFonts w:hint="eastAsia" w:ascii="仿宋_GB2312" w:hAnsi="Calibri" w:eastAsia="仿宋_GB2312" w:cs="仿宋_GB2312"/>
          <w:color w:val="000000"/>
          <w:kern w:val="0"/>
          <w:sz w:val="32"/>
          <w:szCs w:val="32"/>
          <w:lang w:val="en-US" w:eastAsia="zh-CN" w:bidi="ar"/>
        </w:rPr>
        <w:t>行政运行</w:t>
      </w:r>
      <w:r>
        <w:rPr>
          <w:rFonts w:hint="eastAsia" w:ascii="仿宋_GB2312" w:hAnsi="Calibri" w:eastAsia="仿宋_GB2312" w:cs="仿宋_GB2312"/>
          <w:b/>
          <w:bCs/>
          <w:color w:val="000000"/>
          <w:kern w:val="0"/>
          <w:sz w:val="32"/>
          <w:szCs w:val="32"/>
          <w:lang w:val="en-US" w:eastAsia="zh-CN" w:bidi="ar"/>
        </w:rPr>
        <w:t>（01）：</w:t>
      </w:r>
      <w:r>
        <w:rPr>
          <w:rStyle w:val="59"/>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b w:val="0"/>
          <w:bCs w:val="0"/>
          <w:color w:val="000000"/>
          <w:kern w:val="2"/>
          <w:sz w:val="32"/>
          <w:szCs w:val="32"/>
          <w:lang w:val="en-US" w:eastAsia="zh-CN" w:bidi="ar"/>
        </w:rPr>
        <w:t>120.36</w:t>
      </w:r>
      <w:r>
        <w:rPr>
          <w:rStyle w:val="59"/>
          <w:rFonts w:hint="eastAsia" w:ascii="仿宋" w:hAnsi="仿宋" w:eastAsia="仿宋" w:cs="仿宋"/>
          <w:b w:val="0"/>
          <w:bCs w:val="0"/>
          <w:color w:val="000000"/>
          <w:kern w:val="2"/>
          <w:sz w:val="32"/>
          <w:szCs w:val="32"/>
          <w:lang w:val="en-US" w:eastAsia="zh-CN" w:bidi="ar"/>
        </w:rPr>
        <w:t>万元，完成调整预算收入100%</w:t>
      </w:r>
      <w:r>
        <w:rPr>
          <w:rFonts w:hint="eastAsia" w:ascii="仿宋_GB2312" w:hAnsi="Calibri" w:eastAsia="仿宋_GB2312" w:cs="仿宋_GB2312"/>
          <w:b w:val="0"/>
          <w:bCs w:val="0"/>
          <w:color w:val="000000"/>
          <w:kern w:val="0"/>
          <w:sz w:val="32"/>
          <w:szCs w:val="32"/>
          <w:lang w:val="en-US" w:eastAsia="zh-CN" w:bidi="ar"/>
        </w:rPr>
        <w:t>。</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left"/>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（02）</w:t>
      </w:r>
      <w:r>
        <w:rPr>
          <w:rFonts w:hint="eastAsia" w:ascii="仿宋_GB2312" w:hAnsi="Calibri" w:eastAsia="仿宋_GB2312" w:cs="仿宋_GB2312"/>
          <w:color w:val="000000"/>
          <w:kern w:val="0"/>
          <w:sz w:val="32"/>
          <w:szCs w:val="32"/>
          <w:lang w:val="en-US" w:eastAsia="zh-CN" w:bidi="ar"/>
        </w:rPr>
        <w:t>一般行政管理事务</w:t>
      </w:r>
      <w:r>
        <w:rPr>
          <w:rFonts w:hint="eastAsia" w:ascii="仿宋_GB2312" w:hAnsi="Calibri" w:eastAsia="仿宋_GB2312" w:cs="仿宋_GB2312"/>
          <w:b/>
          <w:bCs/>
          <w:color w:val="000000"/>
          <w:kern w:val="0"/>
          <w:sz w:val="32"/>
          <w:szCs w:val="32"/>
          <w:lang w:val="en-US" w:eastAsia="zh-CN" w:bidi="ar"/>
        </w:rPr>
        <w:t>（02）：</w:t>
      </w:r>
      <w:r>
        <w:rPr>
          <w:rFonts w:hint="eastAsia" w:ascii="仿宋" w:hAnsi="仿宋" w:eastAsia="仿宋" w:cs="仿宋"/>
          <w:b w:val="0"/>
          <w:bCs w:val="0"/>
          <w:color w:val="000000"/>
          <w:kern w:val="2"/>
          <w:sz w:val="32"/>
          <w:szCs w:val="32"/>
          <w:lang w:val="en-US" w:eastAsia="zh-CN" w:bidi="ar"/>
        </w:rPr>
        <w:t>支出决算为87.96万元，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_GB2312" w:hAnsi="Calibri" w:eastAsia="仿宋_GB2312" w:cs="仿宋_GB2312"/>
          <w:b w:val="0"/>
          <w:bCs w:val="0"/>
          <w:color w:val="000000"/>
          <w:kern w:val="0"/>
          <w:sz w:val="32"/>
          <w:szCs w:val="32"/>
          <w:lang w:val="en-US" w:eastAsia="zh-CN" w:bidi="ar"/>
        </w:rPr>
        <w:t>。</w:t>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 xml:space="preserve">  </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（02）</w:t>
      </w:r>
      <w:r>
        <w:rPr>
          <w:rFonts w:hint="eastAsia" w:ascii="仿宋_GB2312" w:hAnsi="Calibri" w:eastAsia="仿宋_GB2312" w:cs="仿宋_GB2312"/>
          <w:color w:val="000000"/>
          <w:kern w:val="0"/>
          <w:sz w:val="32"/>
          <w:szCs w:val="32"/>
          <w:lang w:val="en-US" w:eastAsia="zh-CN" w:bidi="ar"/>
        </w:rPr>
        <w:t>事业运行</w:t>
      </w:r>
      <w:r>
        <w:rPr>
          <w:rFonts w:hint="eastAsia" w:ascii="仿宋_GB2312" w:hAnsi="Calibri" w:eastAsia="仿宋_GB2312" w:cs="仿宋_GB2312"/>
          <w:b/>
          <w:bCs/>
          <w:color w:val="000000"/>
          <w:kern w:val="0"/>
          <w:sz w:val="32"/>
          <w:szCs w:val="32"/>
          <w:lang w:val="en-US" w:eastAsia="zh-CN" w:bidi="ar"/>
        </w:rPr>
        <w:t>（50）：</w:t>
      </w:r>
      <w:r>
        <w:rPr>
          <w:rFonts w:hint="eastAsia" w:ascii="仿宋" w:hAnsi="仿宋" w:eastAsia="仿宋" w:cs="仿宋"/>
          <w:b w:val="0"/>
          <w:bCs w:val="0"/>
          <w:color w:val="000000"/>
          <w:kern w:val="2"/>
          <w:sz w:val="32"/>
          <w:szCs w:val="32"/>
          <w:lang w:val="en-US" w:eastAsia="zh-CN" w:bidi="ar"/>
        </w:rPr>
        <w:t>支出决算为88.46万元，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kern w:val="2"/>
          <w:sz w:val="32"/>
          <w:szCs w:val="32"/>
          <w:lang w:val="en-US" w:eastAsia="zh-CN" w:bidi="ar-SA"/>
        </w:rPr>
        <w:t>。</w:t>
      </w:r>
      <w:r>
        <w:rPr>
          <w:rFonts w:hint="eastAsia" w:ascii="仿宋_GB2312" w:hAnsi="Calibri" w:eastAsia="仿宋_GB2312" w:cs="仿宋_GB2312"/>
          <w:b w:val="0"/>
          <w:bCs w:val="0"/>
          <w:color w:val="000000"/>
          <w:kern w:val="0"/>
          <w:sz w:val="32"/>
          <w:szCs w:val="32"/>
          <w:lang w:val="en-US" w:eastAsia="zh-CN" w:bidi="ar"/>
        </w:rPr>
        <w:tab/>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（02）</w:t>
      </w:r>
      <w:r>
        <w:rPr>
          <w:rFonts w:hint="eastAsia" w:ascii="仿宋_GB2312" w:hAnsi="Calibri" w:eastAsia="仿宋_GB2312" w:cs="仿宋_GB2312"/>
          <w:color w:val="000000"/>
          <w:kern w:val="0"/>
          <w:sz w:val="32"/>
          <w:szCs w:val="32"/>
          <w:lang w:val="en-US" w:eastAsia="zh-CN" w:bidi="ar"/>
        </w:rPr>
        <w:t>其他商业流通事务支出</w:t>
      </w:r>
      <w:r>
        <w:rPr>
          <w:rFonts w:hint="eastAsia" w:ascii="仿宋_GB2312" w:hAnsi="Calibri" w:eastAsia="仿宋_GB2312" w:cs="仿宋_GB2312"/>
          <w:b/>
          <w:bCs/>
          <w:color w:val="000000"/>
          <w:kern w:val="0"/>
          <w:sz w:val="32"/>
          <w:szCs w:val="32"/>
          <w:lang w:val="en-US" w:eastAsia="zh-CN" w:bidi="ar"/>
        </w:rPr>
        <w:t>（99）：</w:t>
      </w:r>
      <w:r>
        <w:rPr>
          <w:rFonts w:hint="eastAsia" w:ascii="仿宋" w:hAnsi="仿宋" w:eastAsia="仿宋" w:cs="仿宋"/>
          <w:b w:val="0"/>
          <w:bCs w:val="0"/>
          <w:color w:val="000000"/>
          <w:kern w:val="2"/>
          <w:sz w:val="32"/>
          <w:szCs w:val="32"/>
          <w:lang w:val="en-US" w:eastAsia="zh-CN" w:bidi="ar"/>
        </w:rPr>
        <w:t>支出决算为597.89万元，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_GB2312" w:hAnsi="Calibri" w:eastAsia="仿宋_GB2312" w:cs="仿宋_GB2312"/>
          <w:color w:val="000000"/>
          <w:kern w:val="0"/>
          <w:sz w:val="32"/>
          <w:szCs w:val="32"/>
          <w:lang w:val="en-US" w:eastAsia="zh-CN" w:bidi="ar"/>
        </w:rPr>
        <w:t>。</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涉外发展服务支出</w:t>
      </w:r>
      <w:r>
        <w:rPr>
          <w:rFonts w:hint="eastAsia" w:ascii="仿宋_GB2312" w:hAnsi="Calibri" w:eastAsia="仿宋_GB2312" w:cs="仿宋_GB2312"/>
          <w:b/>
          <w:bCs/>
          <w:color w:val="000000"/>
          <w:kern w:val="0"/>
          <w:sz w:val="32"/>
          <w:szCs w:val="32"/>
          <w:lang w:val="en-US" w:eastAsia="zh-CN" w:bidi="ar"/>
        </w:rPr>
        <w:t>（06）</w:t>
      </w:r>
      <w:r>
        <w:rPr>
          <w:rFonts w:hint="eastAsia" w:ascii="仿宋_GB2312" w:hAnsi="Calibri" w:eastAsia="仿宋_GB2312" w:cs="仿宋_GB2312"/>
          <w:color w:val="000000"/>
          <w:kern w:val="0"/>
          <w:sz w:val="32"/>
          <w:szCs w:val="32"/>
          <w:lang w:val="en-US" w:eastAsia="zh-CN" w:bidi="ar"/>
        </w:rPr>
        <w:t>其他涉外发展服务支出</w:t>
      </w:r>
      <w:r>
        <w:rPr>
          <w:rFonts w:hint="eastAsia" w:ascii="仿宋_GB2312" w:hAnsi="Calibri" w:eastAsia="仿宋_GB2312" w:cs="仿宋_GB2312"/>
          <w:b/>
          <w:bCs/>
          <w:color w:val="000000"/>
          <w:kern w:val="0"/>
          <w:sz w:val="32"/>
          <w:szCs w:val="32"/>
          <w:lang w:val="en-US" w:eastAsia="zh-CN" w:bidi="ar"/>
        </w:rPr>
        <w:t>（99）：</w:t>
      </w:r>
      <w:r>
        <w:rPr>
          <w:rFonts w:hint="eastAsia" w:ascii="仿宋" w:hAnsi="仿宋" w:eastAsia="仿宋" w:cs="仿宋"/>
          <w:b w:val="0"/>
          <w:bCs w:val="0"/>
          <w:color w:val="000000"/>
          <w:kern w:val="2"/>
          <w:sz w:val="32"/>
          <w:szCs w:val="32"/>
          <w:lang w:val="en-US" w:eastAsia="zh-CN" w:bidi="ar"/>
        </w:rPr>
        <w:t>支出决算为82.43万元，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_GB2312" w:hAnsi="Calibri" w:eastAsia="仿宋_GB2312" w:cs="仿宋_GB2312"/>
          <w:color w:val="000000"/>
          <w:kern w:val="0"/>
          <w:sz w:val="32"/>
          <w:szCs w:val="32"/>
          <w:lang w:val="en-US" w:eastAsia="zh-CN" w:bidi="ar"/>
        </w:rPr>
        <w:t>。</w:t>
      </w:r>
    </w:p>
    <w:p>
      <w:pPr>
        <w:spacing w:line="600" w:lineRule="exact"/>
        <w:ind w:firstLine="642" w:firstLineChars="200"/>
        <w:rPr>
          <w:rStyle w:val="26"/>
          <w:rFonts w:hint="eastAsia" w:ascii="仿宋" w:hAnsi="仿宋" w:eastAsia="仿宋"/>
          <w:b w:val="0"/>
          <w:bCs/>
          <w:color w:val="000000"/>
          <w:sz w:val="32"/>
          <w:szCs w:val="32"/>
        </w:rPr>
      </w:pPr>
      <w:r>
        <w:rPr>
          <w:rStyle w:val="26"/>
          <w:rFonts w:hint="eastAsia" w:ascii="仿宋" w:hAnsi="仿宋" w:eastAsia="仿宋" w:cs="仿宋"/>
          <w:color w:val="000000"/>
          <w:sz w:val="32"/>
          <w:szCs w:val="32"/>
          <w:lang w:val="en-US" w:eastAsia="zh-CN"/>
        </w:rPr>
        <w:t>住房保障支出（221）</w:t>
      </w:r>
      <w:r>
        <w:rPr>
          <w:rStyle w:val="26"/>
          <w:rFonts w:hint="eastAsia" w:ascii="仿宋" w:hAnsi="仿宋" w:eastAsia="仿宋" w:cs="仿宋"/>
          <w:b w:val="0"/>
          <w:bCs w:val="0"/>
          <w:color w:val="000000"/>
          <w:sz w:val="32"/>
          <w:szCs w:val="32"/>
          <w:lang w:val="en-US" w:eastAsia="zh-CN"/>
        </w:rPr>
        <w:t>住房改革支出</w:t>
      </w:r>
      <w:r>
        <w:rPr>
          <w:rStyle w:val="26"/>
          <w:rFonts w:hint="eastAsia" w:ascii="仿宋" w:hAnsi="仿宋" w:eastAsia="仿宋" w:cs="仿宋"/>
          <w:color w:val="000000"/>
          <w:sz w:val="32"/>
          <w:szCs w:val="32"/>
          <w:lang w:val="en-US" w:eastAsia="zh-CN"/>
        </w:rPr>
        <w:t>（02）</w:t>
      </w:r>
      <w:r>
        <w:rPr>
          <w:rStyle w:val="26"/>
          <w:rFonts w:hint="eastAsia" w:ascii="仿宋" w:hAnsi="仿宋" w:eastAsia="仿宋" w:cs="仿宋"/>
          <w:b w:val="0"/>
          <w:bCs w:val="0"/>
          <w:color w:val="000000"/>
          <w:sz w:val="32"/>
          <w:szCs w:val="32"/>
          <w:lang w:val="en-US" w:eastAsia="zh-CN"/>
        </w:rPr>
        <w:t>住房公积金</w:t>
      </w:r>
      <w:r>
        <w:rPr>
          <w:rStyle w:val="26"/>
          <w:rFonts w:hint="eastAsia" w:ascii="仿宋" w:hAnsi="仿宋" w:eastAsia="仿宋" w:cs="仿宋"/>
          <w:color w:val="000000"/>
          <w:sz w:val="32"/>
          <w:szCs w:val="32"/>
          <w:lang w:val="en-US" w:eastAsia="zh-CN"/>
        </w:rPr>
        <w:t>（01）</w:t>
      </w:r>
      <w:r>
        <w:rPr>
          <w:rFonts w:hint="eastAsia" w:ascii="楷体_GB2312" w:hAnsi="Times New Roman" w:eastAsia="楷体_GB2312" w:cs="楷体_GB2312"/>
          <w:b/>
          <w:bCs/>
          <w:sz w:val="32"/>
          <w:szCs w:val="32"/>
          <w:lang w:val="en-US" w:eastAsia="zh-CN"/>
        </w:rPr>
        <w:t xml:space="preserve">: </w:t>
      </w:r>
      <w:r>
        <w:rPr>
          <w:rStyle w:val="26"/>
          <w:rFonts w:hint="eastAsia" w:ascii="仿宋" w:hAnsi="仿宋" w:eastAsia="仿宋" w:cs="仿宋"/>
          <w:b w:val="0"/>
          <w:bCs w:val="0"/>
          <w:color w:val="000000"/>
          <w:sz w:val="32"/>
          <w:szCs w:val="32"/>
          <w:lang w:val="en-US" w:eastAsia="zh-CN"/>
        </w:rPr>
        <w:t>支出决算为</w:t>
      </w:r>
      <w:r>
        <w:rPr>
          <w:rStyle w:val="26"/>
          <w:rFonts w:hint="eastAsia" w:ascii="仿宋" w:hAnsi="仿宋" w:eastAsia="仿宋"/>
          <w:b w:val="0"/>
          <w:bCs/>
          <w:color w:val="000000"/>
          <w:sz w:val="32"/>
          <w:szCs w:val="32"/>
          <w:lang w:val="en-US" w:eastAsia="zh-CN"/>
        </w:rPr>
        <w:t>17.62</w:t>
      </w:r>
      <w:r>
        <w:rPr>
          <w:rStyle w:val="26"/>
          <w:rFonts w:hint="eastAsia" w:ascii="仿宋" w:hAnsi="仿宋" w:eastAsia="仿宋" w:cs="仿宋"/>
          <w:b w:val="0"/>
          <w:bCs w:val="0"/>
          <w:color w:val="000000"/>
          <w:sz w:val="32"/>
          <w:szCs w:val="32"/>
          <w:lang w:val="en-US" w:eastAsia="zh-CN"/>
        </w:rPr>
        <w:t>万元，完成</w:t>
      </w:r>
      <w:r>
        <w:rPr>
          <w:rStyle w:val="26"/>
          <w:rFonts w:hint="eastAsia" w:ascii="仿宋" w:hAnsi="仿宋" w:eastAsia="仿宋"/>
          <w:b w:val="0"/>
          <w:bCs/>
          <w:color w:val="000000"/>
          <w:sz w:val="32"/>
          <w:szCs w:val="32"/>
          <w:lang w:val="en-US" w:eastAsia="zh-CN"/>
        </w:rPr>
        <w:t>调整</w:t>
      </w:r>
      <w:r>
        <w:rPr>
          <w:rStyle w:val="26"/>
          <w:rFonts w:hint="eastAsia" w:ascii="仿宋" w:hAnsi="仿宋" w:eastAsia="仿宋"/>
          <w:b w:val="0"/>
          <w:bCs/>
          <w:color w:val="000000"/>
          <w:sz w:val="32"/>
          <w:szCs w:val="32"/>
        </w:rPr>
        <w:t>预算</w:t>
      </w:r>
      <w:r>
        <w:rPr>
          <w:rStyle w:val="26"/>
          <w:rFonts w:hint="eastAsia" w:ascii="仿宋" w:hAnsi="仿宋" w:eastAsia="仿宋"/>
          <w:b w:val="0"/>
          <w:bCs/>
          <w:color w:val="000000"/>
          <w:sz w:val="32"/>
          <w:szCs w:val="32"/>
          <w:lang w:val="en-US" w:eastAsia="zh-CN"/>
        </w:rPr>
        <w:t>的</w:t>
      </w:r>
      <w:r>
        <w:rPr>
          <w:rStyle w:val="26"/>
          <w:rFonts w:hint="eastAsia" w:ascii="仿宋" w:hAnsi="仿宋" w:eastAsia="仿宋"/>
          <w:b w:val="0"/>
          <w:bCs/>
          <w:color w:val="000000"/>
          <w:sz w:val="32"/>
          <w:szCs w:val="32"/>
        </w:rPr>
        <w:t>100</w:t>
      </w:r>
      <w:r>
        <w:rPr>
          <w:rStyle w:val="26"/>
          <w:rFonts w:ascii="仿宋" w:hAnsi="仿宋" w:eastAsia="仿宋"/>
          <w:b w:val="0"/>
          <w:bCs/>
          <w:color w:val="000000"/>
          <w:sz w:val="32"/>
          <w:szCs w:val="32"/>
        </w:rPr>
        <w:t>%</w:t>
      </w:r>
      <w:r>
        <w:rPr>
          <w:rStyle w:val="26"/>
          <w:rFonts w:hint="eastAsia" w:ascii="仿宋" w:hAnsi="仿宋" w:eastAsia="仿宋" w:cs="仿宋"/>
          <w:b w:val="0"/>
          <w:bCs w:val="0"/>
          <w:color w:val="000000"/>
          <w:sz w:val="32"/>
          <w:szCs w:val="32"/>
          <w:lang w:val="en-US" w:eastAsia="zh-CN"/>
        </w:rPr>
        <w:t>。</w:t>
      </w:r>
    </w:p>
    <w:p>
      <w:pPr>
        <w:pStyle w:val="22"/>
      </w:pPr>
    </w:p>
    <w:p>
      <w:pPr>
        <w:tabs>
          <w:tab w:val="right" w:pos="8306"/>
        </w:tabs>
        <w:spacing w:line="600" w:lineRule="exact"/>
        <w:ind w:firstLine="640"/>
        <w:outlineLvl w:val="1"/>
        <w:rPr>
          <w:rStyle w:val="38"/>
        </w:rPr>
      </w:pPr>
      <w:r>
        <w:rPr>
          <w:rFonts w:hint="eastAsia" w:ascii="黑体" w:eastAsia="黑体"/>
          <w:color w:val="auto"/>
          <w:sz w:val="32"/>
          <w:szCs w:val="32"/>
          <w:highlight w:val="none"/>
        </w:rPr>
        <w:t>六</w:t>
      </w:r>
      <w:r>
        <w:rPr>
          <w:rFonts w:hint="eastAsia" w:ascii="黑体" w:eastAsia="黑体"/>
          <w:color w:val="000000"/>
          <w:sz w:val="32"/>
          <w:szCs w:val="32"/>
          <w:lang w:val="en-US" w:eastAsia="zh-CN"/>
        </w:rPr>
        <w:t>、</w:t>
      </w:r>
      <w:r>
        <w:rPr>
          <w:rFonts w:hint="eastAsia" w:ascii="黑体" w:hAnsi="黑体" w:eastAsia="黑体"/>
          <w:b/>
          <w:color w:val="000000"/>
          <w:sz w:val="32"/>
          <w:szCs w:val="32"/>
        </w:rPr>
        <w:t>一</w:t>
      </w:r>
      <w:r>
        <w:rPr>
          <w:rStyle w:val="38"/>
          <w:rFonts w:hint="eastAsia" w:ascii="黑体" w:hAnsi="黑体" w:eastAsia="黑体"/>
          <w:b w:val="0"/>
        </w:rPr>
        <w:t>般公共预算财政拨款基本支出决算情况说明</w:t>
      </w:r>
      <w:r>
        <w:rPr>
          <w:rStyle w:val="3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260.58</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243.23</w:t>
      </w:r>
      <w:r>
        <w:rPr>
          <w:rFonts w:hint="eastAsia" w:ascii="仿宋" w:hAnsi="仿宋" w:eastAsia="仿宋"/>
          <w:color w:val="000000"/>
          <w:sz w:val="32"/>
          <w:szCs w:val="32"/>
        </w:rPr>
        <w:t>万元，主要包括：基本工资、津贴补贴、奖金、绩效工资、机关事业单位基本养老保险缴费、职工基本医疗保险缴费、其他社会保障缴费、住房公积金</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其他工资福利支出、生活补助、奖励金、其他对个人和家庭的补助</w:t>
      </w:r>
    </w:p>
    <w:p>
      <w:pPr>
        <w:spacing w:line="600" w:lineRule="exact"/>
        <w:rPr>
          <w:rFonts w:ascii="仿宋" w:hAnsi="仿宋" w:eastAsia="仿宋"/>
          <w:color w:val="000000"/>
          <w:sz w:val="32"/>
          <w:szCs w:val="32"/>
        </w:rPr>
      </w:pPr>
      <w:r>
        <w:rPr>
          <w:rFonts w:hint="eastAsia" w:ascii="仿宋" w:hAnsi="仿宋" w:eastAsia="仿宋"/>
          <w:color w:val="000000"/>
          <w:sz w:val="32"/>
          <w:szCs w:val="32"/>
        </w:rPr>
        <w:t>等。</w:t>
      </w:r>
    </w:p>
    <w:p>
      <w:pPr>
        <w:spacing w:line="600" w:lineRule="exact"/>
        <w:ind w:firstLine="645"/>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17.35</w:t>
      </w:r>
      <w:r>
        <w:rPr>
          <w:rFonts w:hint="eastAsia" w:ascii="仿宋" w:hAnsi="仿宋" w:eastAsia="仿宋"/>
          <w:color w:val="000000"/>
          <w:sz w:val="32"/>
          <w:szCs w:val="32"/>
        </w:rPr>
        <w:t>万元，主要包括：办公费、印刷费、手续费、</w:t>
      </w:r>
      <w:r>
        <w:rPr>
          <w:rFonts w:hint="eastAsia" w:ascii="仿宋" w:hAnsi="仿宋" w:eastAsia="仿宋"/>
          <w:color w:val="000000"/>
          <w:sz w:val="32"/>
          <w:szCs w:val="32"/>
          <w:lang w:val="en-US" w:eastAsia="zh-CN"/>
        </w:rPr>
        <w:t>水费、</w:t>
      </w:r>
      <w:r>
        <w:rPr>
          <w:rFonts w:hint="eastAsia" w:ascii="仿宋" w:hAnsi="仿宋" w:eastAsia="仿宋"/>
          <w:color w:val="000000"/>
          <w:sz w:val="32"/>
          <w:szCs w:val="32"/>
        </w:rPr>
        <w:t>邮电费、物业管理费、差旅费、维修（护）费、租赁费、公务接待费等。</w:t>
      </w:r>
    </w:p>
    <w:p>
      <w:pPr>
        <w:spacing w:line="600" w:lineRule="exact"/>
        <w:ind w:firstLine="640"/>
        <w:outlineLvl w:val="1"/>
        <w:rPr>
          <w:rStyle w:val="38"/>
          <w:rFonts w:ascii="黑体" w:hAnsi="黑体" w:eastAsia="黑体"/>
          <w:b w:val="0"/>
        </w:rPr>
      </w:pPr>
      <w:r>
        <w:rPr>
          <w:rFonts w:hint="eastAsia" w:ascii="黑体" w:eastAsia="黑体"/>
          <w:color w:val="000000"/>
          <w:sz w:val="32"/>
          <w:szCs w:val="32"/>
          <w:lang w:val="en-US" w:eastAsia="zh-CN"/>
        </w:rPr>
        <w:t>七、</w:t>
      </w:r>
      <w:r>
        <w:rPr>
          <w:rStyle w:val="38"/>
          <w:rFonts w:hint="eastAsia" w:ascii="黑体" w:hAnsi="黑体" w:eastAsia="黑体"/>
        </w:rPr>
        <w:t>“</w:t>
      </w:r>
      <w:r>
        <w:rPr>
          <w:rStyle w:val="38"/>
          <w:rFonts w:hint="eastAsia" w:ascii="黑体" w:hAnsi="黑体" w:eastAsia="黑体"/>
          <w:b w:val="0"/>
        </w:rPr>
        <w:t>三公”经费财政拨款支出决算情况说明</w:t>
      </w:r>
    </w:p>
    <w:p>
      <w:pPr>
        <w:spacing w:line="600" w:lineRule="exact"/>
        <w:ind w:firstLine="645"/>
        <w:rPr>
          <w:rFonts w:ascii="仿宋" w:hAnsi="仿宋" w:eastAsia="仿宋"/>
          <w:color w:val="000000"/>
          <w:sz w:val="32"/>
          <w:szCs w:val="32"/>
        </w:rPr>
      </w:pPr>
      <w:r>
        <w:rPr>
          <w:rFonts w:hint="eastAsia" w:ascii="仿宋" w:hAnsi="仿宋" w:eastAsia="仿宋"/>
          <w:b/>
          <w:color w:val="000000"/>
          <w:sz w:val="32"/>
          <w:szCs w:val="32"/>
        </w:rPr>
        <w:t>（一）“三公”经费财政拨款支出决算总体情况说明</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1.03</w:t>
      </w:r>
      <w:r>
        <w:rPr>
          <w:rFonts w:hint="eastAsia" w:ascii="仿宋" w:hAnsi="仿宋" w:eastAsia="仿宋"/>
          <w:color w:val="000000"/>
          <w:sz w:val="32"/>
          <w:szCs w:val="32"/>
        </w:rPr>
        <w:t>万元，完成</w:t>
      </w:r>
      <w:r>
        <w:rPr>
          <w:rFonts w:hint="eastAsia" w:ascii="仿宋" w:hAnsi="仿宋" w:eastAsia="仿宋"/>
          <w:color w:val="000000"/>
          <w:sz w:val="32"/>
          <w:szCs w:val="32"/>
          <w:lang w:val="en-US" w:eastAsia="zh-CN"/>
        </w:rPr>
        <w:t>年初</w:t>
      </w:r>
      <w:r>
        <w:rPr>
          <w:rFonts w:hint="eastAsia" w:ascii="仿宋" w:hAnsi="仿宋" w:eastAsia="仿宋"/>
          <w:color w:val="000000"/>
          <w:sz w:val="32"/>
          <w:szCs w:val="32"/>
        </w:rPr>
        <w:t>预算</w:t>
      </w:r>
      <w:r>
        <w:rPr>
          <w:rFonts w:hint="eastAsia" w:ascii="仿宋" w:hAnsi="仿宋" w:eastAsia="仿宋"/>
          <w:color w:val="000000"/>
          <w:sz w:val="32"/>
          <w:szCs w:val="32"/>
          <w:lang w:val="en-US" w:eastAsia="zh-CN"/>
        </w:rPr>
        <w:t>1.14万元的90.35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主要原因</w:t>
      </w:r>
      <w:r>
        <w:rPr>
          <w:rFonts w:hint="eastAsia" w:ascii="仿宋" w:hAnsi="仿宋" w:eastAsia="仿宋"/>
          <w:color w:val="000000"/>
          <w:sz w:val="32"/>
          <w:szCs w:val="32"/>
          <w:lang w:eastAsia="zh-CN"/>
        </w:rPr>
        <w:t>：</w:t>
      </w:r>
      <w:r>
        <w:rPr>
          <w:rFonts w:hint="eastAsia" w:ascii="仿宋" w:hAnsi="仿宋" w:eastAsia="仿宋"/>
          <w:color w:val="000000"/>
          <w:sz w:val="32"/>
          <w:szCs w:val="32"/>
        </w:rPr>
        <w:t>严格按接待要求，控制</w:t>
      </w:r>
      <w:r>
        <w:rPr>
          <w:rFonts w:hint="eastAsia" w:ascii="仿宋" w:hAnsi="仿宋" w:eastAsia="仿宋"/>
          <w:color w:val="000000"/>
          <w:sz w:val="32"/>
          <w:szCs w:val="32"/>
          <w:lang w:val="en-US" w:eastAsia="zh-CN"/>
        </w:rPr>
        <w:t>陪</w:t>
      </w:r>
      <w:r>
        <w:rPr>
          <w:rFonts w:hint="eastAsia" w:ascii="仿宋" w:hAnsi="仿宋" w:eastAsia="仿宋"/>
          <w:color w:val="000000"/>
          <w:sz w:val="32"/>
          <w:szCs w:val="32"/>
        </w:rPr>
        <w:t>餐人数和接待标准</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减少接待次数</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p>
    <w:p>
      <w:pPr>
        <w:spacing w:line="600" w:lineRule="exact"/>
        <w:ind w:firstLine="645"/>
        <w:jc w:val="both"/>
        <w:rPr>
          <w:rFonts w:ascii="仿宋_GB2312" w:eastAsia="仿宋_GB2312"/>
          <w:b/>
          <w:color w:val="auto"/>
          <w:sz w:val="32"/>
          <w:szCs w:val="32"/>
          <w:highlight w:val="none"/>
        </w:rPr>
      </w:pPr>
      <w:r>
        <w:rPr>
          <w:rFonts w:hint="eastAsia" w:ascii="仿宋" w:hAnsi="仿宋" w:eastAsia="仿宋"/>
          <w:color w:val="auto"/>
          <w:sz w:val="32"/>
          <w:szCs w:val="32"/>
          <w:highlight w:val="none"/>
        </w:rPr>
        <w:t>2021年“三公”经费财政拨款支出决算中，因公出国（境）费支出决算0万元，年初未安排预算；公务用车购置及运行维护费支出决算0万元，年初未安排预算；公务接待费支出决算1.</w:t>
      </w:r>
      <w:r>
        <w:rPr>
          <w:rFonts w:hint="eastAsia" w:ascii="仿宋" w:hAnsi="仿宋" w:eastAsia="仿宋"/>
          <w:color w:val="auto"/>
          <w:sz w:val="32"/>
          <w:szCs w:val="32"/>
          <w:highlight w:val="none"/>
          <w:lang w:val="en-US" w:eastAsia="zh-CN"/>
        </w:rPr>
        <w:t>03</w:t>
      </w:r>
      <w:r>
        <w:rPr>
          <w:rFonts w:hint="eastAsia" w:ascii="仿宋" w:hAnsi="仿宋" w:eastAsia="仿宋"/>
          <w:color w:val="auto"/>
          <w:sz w:val="32"/>
          <w:szCs w:val="32"/>
          <w:highlight w:val="none"/>
        </w:rPr>
        <w:t>万元，占100%。具体情况如下：</w:t>
      </w:r>
    </w:p>
    <w:p>
      <w:pPr>
        <w:jc w:val="center"/>
        <w:rPr>
          <w:rFonts w:ascii="仿宋_GB2312" w:eastAsia="仿宋_GB2312"/>
          <w:b/>
          <w:color w:val="auto"/>
          <w:sz w:val="32"/>
          <w:szCs w:val="32"/>
          <w:highlight w:val="none"/>
        </w:rPr>
      </w:pPr>
      <w:r>
        <w:drawing>
          <wp:inline distT="0" distB="0" distL="114300" distR="114300">
            <wp:extent cx="4982845" cy="2203450"/>
            <wp:effectExtent l="5080" t="4445" r="22225" b="2095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22"/>
      </w:pPr>
    </w:p>
    <w:p>
      <w:pPr>
        <w:spacing w:line="600" w:lineRule="exact"/>
        <w:ind w:firstLine="640"/>
        <w:rPr>
          <w:rFonts w:hint="eastAsia" w:ascii="仿宋_GB2312" w:eastAsia="仿宋_GB2312"/>
          <w:b/>
          <w:color w:val="auto"/>
          <w:sz w:val="32"/>
          <w:szCs w:val="32"/>
          <w:highlight w:val="none"/>
          <w:lang w:val="en-US" w:eastAsia="zh-CN"/>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26"/>
          <w:rFonts w:hint="eastAsia" w:ascii="仿宋" w:hAnsi="仿宋" w:eastAsia="仿宋"/>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26"/>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1.03</w:t>
      </w:r>
      <w:r>
        <w:rPr>
          <w:rFonts w:hint="eastAsia" w:ascii="仿宋_GB2312" w:eastAsia="仿宋_GB2312"/>
          <w:color w:val="auto"/>
          <w:sz w:val="32"/>
          <w:szCs w:val="32"/>
          <w:highlight w:val="none"/>
        </w:rPr>
        <w:t>万元，</w:t>
      </w:r>
      <w:r>
        <w:rPr>
          <w:rStyle w:val="26"/>
          <w:rFonts w:hint="eastAsia" w:ascii="仿宋" w:hAnsi="仿宋" w:eastAsia="仿宋"/>
          <w:b w:val="0"/>
          <w:bCs/>
          <w:color w:val="auto"/>
          <w:sz w:val="32"/>
          <w:szCs w:val="32"/>
          <w:highlight w:val="none"/>
        </w:rPr>
        <w:t>完成</w:t>
      </w:r>
      <w:r>
        <w:rPr>
          <w:rStyle w:val="26"/>
          <w:rFonts w:hint="eastAsia" w:ascii="仿宋" w:hAnsi="仿宋" w:eastAsia="仿宋"/>
          <w:b w:val="0"/>
          <w:bCs/>
          <w:color w:val="auto"/>
          <w:sz w:val="32"/>
          <w:szCs w:val="32"/>
          <w:highlight w:val="none"/>
          <w:lang w:val="en-US" w:eastAsia="zh-CN"/>
        </w:rPr>
        <w:t>调整</w:t>
      </w:r>
      <w:r>
        <w:rPr>
          <w:rStyle w:val="26"/>
          <w:rFonts w:hint="eastAsia" w:ascii="仿宋" w:hAnsi="仿宋" w:eastAsia="仿宋"/>
          <w:b w:val="0"/>
          <w:bCs/>
          <w:color w:val="auto"/>
          <w:sz w:val="32"/>
          <w:szCs w:val="32"/>
          <w:highlight w:val="none"/>
        </w:rPr>
        <w:t>预算</w:t>
      </w:r>
      <w:r>
        <w:rPr>
          <w:rStyle w:val="26"/>
          <w:rFonts w:hint="eastAsia" w:ascii="仿宋" w:hAnsi="仿宋" w:eastAsia="仿宋"/>
          <w:b w:val="0"/>
          <w:bCs/>
          <w:color w:val="auto"/>
          <w:sz w:val="32"/>
          <w:szCs w:val="32"/>
          <w:highlight w:val="none"/>
          <w:lang w:val="en-US" w:eastAsia="zh-CN"/>
        </w:rPr>
        <w:t>数100</w:t>
      </w:r>
      <w:r>
        <w:rPr>
          <w:rStyle w:val="26"/>
          <w:rFonts w:ascii="仿宋" w:hAnsi="仿宋" w:eastAsia="仿宋"/>
          <w:b w:val="0"/>
          <w:bCs/>
          <w:color w:val="auto"/>
          <w:sz w:val="32"/>
          <w:szCs w:val="32"/>
          <w:highlight w:val="none"/>
        </w:rPr>
        <w:t>%</w:t>
      </w:r>
      <w:r>
        <w:rPr>
          <w:rStyle w:val="26"/>
          <w:rFonts w:hint="eastAsia" w:ascii="仿宋" w:hAnsi="仿宋" w:eastAsia="仿宋"/>
          <w:b w:val="0"/>
          <w:bCs/>
          <w:color w:val="auto"/>
          <w:sz w:val="32"/>
          <w:szCs w:val="32"/>
          <w:highlight w:val="none"/>
        </w:rPr>
        <w:t>。</w:t>
      </w:r>
      <w:r>
        <w:rPr>
          <w:rFonts w:hint="eastAsia" w:ascii="仿宋" w:hAnsi="仿宋" w:eastAsia="仿宋" w:cs="仿宋"/>
          <w:color w:val="000000"/>
          <w:sz w:val="32"/>
          <w:szCs w:val="32"/>
        </w:rPr>
        <w:t>公务接待费支出决算比20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1.12万元减少0.09</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减少8.04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主要原因：</w:t>
      </w:r>
      <w:r>
        <w:rPr>
          <w:rFonts w:hint="eastAsia" w:ascii="仿宋" w:hAnsi="仿宋" w:eastAsia="仿宋" w:cs="仿宋"/>
          <w:color w:val="000000"/>
          <w:sz w:val="32"/>
          <w:szCs w:val="32"/>
          <w:lang w:val="en-US" w:eastAsia="zh-CN"/>
        </w:rPr>
        <w:t>减少接待次数、陪餐人员，压缩接待标准</w:t>
      </w:r>
      <w:r>
        <w:rPr>
          <w:rFonts w:hint="eastAsia" w:ascii="仿宋" w:hAnsi="仿宋" w:eastAsia="仿宋" w:cs="仿宋"/>
          <w:color w:val="000000"/>
          <w:sz w:val="32"/>
          <w:szCs w:val="32"/>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1.03</w:t>
      </w:r>
      <w:r>
        <w:rPr>
          <w:rFonts w:hint="eastAsia" w:ascii="仿宋_GB2312" w:eastAsia="仿宋_GB2312"/>
          <w:color w:val="auto"/>
          <w:sz w:val="32"/>
          <w:szCs w:val="32"/>
          <w:highlight w:val="none"/>
        </w:rPr>
        <w:t>万元，主要用于执行公务、开展业务活动开支的用餐费。国内公务接待</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86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1.03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主要是日常公务接待</w:t>
      </w:r>
      <w:r>
        <w:rPr>
          <w:rFonts w:hint="eastAsia" w:ascii="仿宋_GB2312" w:eastAsia="仿宋_GB2312"/>
          <w:color w:val="auto"/>
          <w:sz w:val="32"/>
          <w:szCs w:val="32"/>
          <w:highlight w:val="none"/>
        </w:rPr>
        <w:t>。</w:t>
      </w:r>
    </w:p>
    <w:p>
      <w:pPr>
        <w:spacing w:line="600" w:lineRule="exact"/>
        <w:ind w:firstLine="803" w:firstLineChars="250"/>
        <w:outlineLvl w:val="1"/>
        <w:rPr>
          <w:rStyle w:val="44"/>
          <w:rFonts w:hint="eastAsia" w:ascii="黑体" w:hAnsi="黑体" w:eastAsia="黑体"/>
        </w:rPr>
      </w:pPr>
      <w:r>
        <w:rPr>
          <w:rStyle w:val="44"/>
          <w:rFonts w:hint="eastAsia" w:ascii="黑体" w:hAnsi="黑体" w:eastAsia="黑体"/>
          <w:lang w:val="en-US" w:eastAsia="zh-CN"/>
        </w:rPr>
        <w:t>八</w:t>
      </w:r>
      <w:r>
        <w:rPr>
          <w:rStyle w:val="44"/>
          <w:rFonts w:hint="eastAsia" w:ascii="黑体" w:hAnsi="黑体" w:eastAsia="黑体"/>
          <w:lang w:eastAsia="zh-CN"/>
        </w:rPr>
        <w:t>、</w:t>
      </w:r>
      <w:r>
        <w:rPr>
          <w:rStyle w:val="44"/>
          <w:rFonts w:hint="eastAsia" w:ascii="黑体" w:hAnsi="黑体" w:eastAsia="黑体"/>
        </w:rPr>
        <w:t>政府性基金预算支出</w:t>
      </w:r>
      <w:r>
        <w:rPr>
          <w:rStyle w:val="44"/>
          <w:rFonts w:hint="eastAsia" w:ascii="黑体" w:hAnsi="黑体" w:eastAsia="黑体"/>
          <w:lang w:eastAsia="zh-CN"/>
        </w:rPr>
        <w:t>决算</w:t>
      </w:r>
      <w:r>
        <w:rPr>
          <w:rStyle w:val="44"/>
          <w:rFonts w:hint="eastAsia" w:ascii="黑体" w:hAnsi="黑体" w:eastAsia="黑体"/>
        </w:rPr>
        <w:t>情况说明</w:t>
      </w:r>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803" w:firstLineChars="250"/>
        <w:outlineLvl w:val="1"/>
        <w:rPr>
          <w:rStyle w:val="44"/>
          <w:rFonts w:hint="eastAsia" w:ascii="黑体" w:hAnsi="黑体" w:eastAsia="黑体"/>
          <w:lang w:eastAsia="zh-CN"/>
        </w:rPr>
      </w:pPr>
      <w:r>
        <w:rPr>
          <w:rStyle w:val="44"/>
          <w:rFonts w:hint="eastAsia" w:ascii="黑体" w:hAnsi="黑体" w:eastAsia="黑体"/>
          <w:lang w:val="en-US" w:eastAsia="zh-CN"/>
        </w:rPr>
        <w:t>九</w:t>
      </w:r>
      <w:r>
        <w:rPr>
          <w:rStyle w:val="44"/>
          <w:rFonts w:hint="eastAsia" w:ascii="黑体" w:hAnsi="黑体" w:eastAsia="黑体"/>
          <w:lang w:eastAsia="zh-CN"/>
        </w:rPr>
        <w:t>、国有资本经营决算支出情况说明</w:t>
      </w:r>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803" w:firstLineChars="250"/>
        <w:outlineLvl w:val="1"/>
        <w:rPr>
          <w:rStyle w:val="44"/>
          <w:rFonts w:hint="eastAsia" w:ascii="黑体" w:hAnsi="黑体" w:eastAsia="黑体" w:cs="Times New Roman"/>
          <w:lang w:val="en-US" w:eastAsia="zh-CN"/>
        </w:rPr>
      </w:pPr>
      <w:r>
        <w:rPr>
          <w:rStyle w:val="44"/>
          <w:rFonts w:hint="eastAsia" w:ascii="黑体" w:hAnsi="黑体" w:eastAsia="黑体" w:cs="Times New Roman"/>
          <w:lang w:val="en-US" w:eastAsia="zh-CN"/>
        </w:rPr>
        <w:t>十、预算绩效管理情况</w:t>
      </w:r>
    </w:p>
    <w:p>
      <w:pPr>
        <w:numPr>
          <w:ilvl w:val="0"/>
          <w:numId w:val="0"/>
        </w:numPr>
        <w:spacing w:line="600" w:lineRule="exact"/>
        <w:ind w:firstLine="640" w:firstLineChars="200"/>
        <w:outlineLvl w:val="1"/>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七盘关公路物流港和羊木物流园建设协调工作经费</w:t>
      </w:r>
      <w:r>
        <w:rPr>
          <w:rFonts w:hint="eastAsia" w:ascii="仿宋_GB2312" w:hAnsi="仿宋_GB2312" w:eastAsia="仿宋_GB2312" w:cs="仿宋_GB2312"/>
          <w:sz w:val="32"/>
          <w:szCs w:val="32"/>
          <w:lang w:val="en-US" w:eastAsia="zh-CN" w:bidi="ar"/>
        </w:rPr>
        <w:t>、十四五服务业发展规划和物流业发展规划工作经费、两上企业企业培育巩固工作经费、明月峡商贸一条街建设协调工作经费、曾家山菜系打造工作经费、企业入库贡献奖、产业发展等工作奖励金、经财网维护费、非贫困村第一书记经费”</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9个项目和“2021年度中央外经贸发展专项资金、2020年度省级外贸资金、2020年度中央财政农商互联既农产品供应链项目资金、2021年度第三批天府旅游名县奖励资金”等4个专项项目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snapToGrid w:val="0"/>
        <w:spacing w:line="520" w:lineRule="exact"/>
        <w:ind w:firstLine="640" w:firstLineChars="200"/>
        <w:rPr>
          <w:rFonts w:hint="default" w:ascii="仿宋_GB2312" w:hAnsi="仿宋" w:eastAsia="仿宋_GB2312"/>
          <w:color w:val="FF0000"/>
          <w:sz w:val="32"/>
          <w:szCs w:val="32"/>
          <w:u w:val="none"/>
          <w:lang w:val="en-US" w:eastAsia="zh-CN"/>
        </w:rPr>
      </w:pPr>
      <w:r>
        <w:rPr>
          <w:rFonts w:hint="eastAsia" w:ascii="仿宋_GB2312" w:hAnsi="仿宋" w:eastAsia="仿宋_GB2312"/>
          <w:sz w:val="32"/>
          <w:szCs w:val="32"/>
        </w:rPr>
        <w:t>本部门按要求对20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年部门整体支出开展绩效评价,从评价情况来看,情况较好,严格执行预算,以预算指导工作的开展,实行专款专用,确保资金安全,做到账款、账账、账实相符。</w:t>
      </w:r>
      <w:r>
        <w:rPr>
          <w:rFonts w:hint="eastAsia" w:ascii="仿宋_GB2312" w:hAnsi="仿宋_GB2312" w:eastAsia="仿宋_GB2312" w:cs="仿宋_GB2312"/>
          <w:kern w:val="2"/>
          <w:sz w:val="32"/>
          <w:szCs w:val="32"/>
          <w:u w:val="none"/>
          <w:lang w:val="en-US" w:eastAsia="zh-CN" w:bidi="ar"/>
        </w:rPr>
        <w:t>还自行组织了</w:t>
      </w:r>
      <w:r>
        <w:rPr>
          <w:rFonts w:hint="eastAsia" w:ascii="仿宋_GB2312" w:hAnsi="仿宋_GB2312" w:eastAsia="仿宋_GB2312" w:cs="仿宋_GB2312"/>
          <w:color w:val="auto"/>
          <w:kern w:val="2"/>
          <w:sz w:val="32"/>
          <w:szCs w:val="32"/>
          <w:u w:val="none"/>
          <w:lang w:val="en-US" w:eastAsia="zh-CN" w:bidi="ar"/>
        </w:rPr>
        <w:t>4</w:t>
      </w:r>
      <w:r>
        <w:rPr>
          <w:rFonts w:hint="eastAsia" w:ascii="仿宋_GB2312" w:hAnsi="仿宋_GB2312" w:eastAsia="仿宋_GB2312" w:cs="仿宋_GB2312"/>
          <w:kern w:val="2"/>
          <w:sz w:val="32"/>
          <w:szCs w:val="32"/>
          <w:u w:val="none"/>
          <w:lang w:val="en-US" w:eastAsia="zh-CN" w:bidi="ar"/>
        </w:rPr>
        <w:t>个专项项目支出绩效评价，从评价情况来看项目支出正常、按要求完成，确保了项目的正常推进。</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1.项目绩效目标完成情况。</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_GB2312" w:eastAsia="仿宋_GB2312" w:cs="仿宋_GB2312"/>
          <w:kern w:val="2"/>
          <w:sz w:val="32"/>
          <w:szCs w:val="32"/>
          <w:u w:val="none"/>
          <w:lang w:val="en-US" w:eastAsia="zh-CN" w:bidi="ar"/>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u w:val="none"/>
          <w:lang w:val="en-US" w:eastAsia="zh-CN" w:bidi="ar"/>
        </w:rPr>
        <w:t xml:space="preserve"> 本部门在2021年度部门决算商业服务业等支出中反映</w:t>
      </w:r>
      <w:r>
        <w:rPr>
          <w:rFonts w:hint="eastAsia" w:ascii="仿宋_GB2312" w:hAnsi="仿宋_GB2312" w:eastAsia="仿宋_GB2312" w:cs="仿宋_GB2312"/>
          <w:color w:val="auto"/>
          <w:sz w:val="32"/>
          <w:szCs w:val="32"/>
          <w:highlight w:val="none"/>
          <w:lang w:val="en-US" w:eastAsia="zh-CN"/>
        </w:rPr>
        <w:t>“2021年度中央外经贸发展专项资金、2020年度省级外贸资金、2020年度中央财政农商互联既农产品供应链项目资金、2021年度第三批天府旅游名县奖励资金”</w:t>
      </w:r>
      <w:r>
        <w:rPr>
          <w:rFonts w:hint="eastAsia" w:ascii="仿宋_GB2312" w:hAnsi="仿宋_GB2312" w:eastAsia="仿宋_GB2312" w:cs="仿宋_GB2312"/>
          <w:kern w:val="2"/>
          <w:sz w:val="32"/>
          <w:szCs w:val="32"/>
          <w:u w:val="none"/>
          <w:lang w:val="en-US" w:eastAsia="zh-CN" w:bidi="ar"/>
        </w:rPr>
        <w:t>4个专项项目绩效目标实际完成情况。</w:t>
      </w:r>
    </w:p>
    <w:p>
      <w:pPr>
        <w:keepNext w:val="0"/>
        <w:keepLines w:val="0"/>
        <w:pageBreakBefore w:val="0"/>
        <w:kinsoku/>
        <w:wordWrap/>
        <w:overflowPunct/>
        <w:topLinePunct w:val="0"/>
        <w:bidi w:val="0"/>
        <w:snapToGrid/>
        <w:spacing w:beforeLines="0" w:afterLines="0" w:line="560" w:lineRule="exact"/>
        <w:ind w:firstLine="640"/>
        <w:textAlignment w:val="auto"/>
        <w:rPr>
          <w:rFonts w:hint="eastAsia" w:ascii="仿宋_GB2312" w:hAnsi="仿宋_GB2312" w:eastAsia="仿宋" w:cs="仿宋_GB2312"/>
          <w:sz w:val="32"/>
          <w:szCs w:val="32"/>
          <w:u w:val="none"/>
          <w:lang w:val="en-US" w:eastAsia="zh-CN"/>
        </w:rPr>
      </w:pPr>
      <w:r>
        <w:rPr>
          <w:rFonts w:hint="eastAsia" w:ascii="仿宋_GB2312" w:hAnsi="仿宋_GB2312" w:eastAsia="仿宋_GB2312" w:cs="仿宋_GB2312"/>
          <w:b/>
          <w:bCs/>
          <w:kern w:val="2"/>
          <w:sz w:val="32"/>
          <w:szCs w:val="32"/>
          <w:u w:val="none"/>
          <w:lang w:val="en-US" w:eastAsia="zh-CN" w:bidi="ar"/>
        </w:rPr>
        <w:t>（1）2021年度中央外经贸发展专项资金项目绩效目标完成情况综述。</w:t>
      </w:r>
      <w:r>
        <w:rPr>
          <w:rFonts w:hint="eastAsia" w:ascii="仿宋_GB2312" w:hAnsi="仿宋_GB2312" w:eastAsia="仿宋_GB2312" w:cs="仿宋_GB2312"/>
          <w:color w:val="auto"/>
          <w:kern w:val="2"/>
          <w:sz w:val="32"/>
          <w:szCs w:val="32"/>
          <w:u w:val="none"/>
          <w:lang w:val="en-US" w:eastAsia="zh-CN" w:bidi="ar"/>
        </w:rPr>
        <w:t>项目财政预算数</w:t>
      </w:r>
      <w:r>
        <w:rPr>
          <w:rFonts w:hint="eastAsia" w:ascii="仿宋" w:hAnsi="仿宋" w:eastAsia="仿宋" w:cs="仿宋"/>
          <w:b w:val="0"/>
          <w:bCs/>
          <w:color w:val="auto"/>
          <w:kern w:val="2"/>
          <w:sz w:val="32"/>
          <w:szCs w:val="32"/>
          <w:u w:val="none"/>
          <w:lang w:val="en-US" w:eastAsia="zh-CN" w:bidi="ar-SA"/>
        </w:rPr>
        <w:t>1.9</w:t>
      </w:r>
      <w:r>
        <w:rPr>
          <w:rFonts w:hint="eastAsia" w:ascii="仿宋_GB2312" w:hAnsi="仿宋_GB2312" w:eastAsia="仿宋_GB2312" w:cs="仿宋_GB2312"/>
          <w:color w:val="auto"/>
          <w:kern w:val="2"/>
          <w:sz w:val="32"/>
          <w:szCs w:val="32"/>
          <w:u w:val="none"/>
          <w:lang w:val="en-US" w:eastAsia="zh-CN" w:bidi="ar"/>
        </w:rPr>
        <w:t>万元，执行数为</w:t>
      </w:r>
      <w:r>
        <w:rPr>
          <w:rFonts w:hint="eastAsia" w:ascii="仿宋_GB2312" w:hAnsi="仿宋_GB2312" w:eastAsia="仿宋_GB2312" w:cs="仿宋_GB2312"/>
          <w:b w:val="0"/>
          <w:bCs/>
          <w:color w:val="auto"/>
          <w:kern w:val="2"/>
          <w:sz w:val="32"/>
          <w:szCs w:val="32"/>
          <w:highlight w:val="none"/>
          <w:u w:val="none"/>
          <w:lang w:val="en-US" w:eastAsia="zh-CN" w:bidi="ar-SA"/>
        </w:rPr>
        <w:t>1.9</w:t>
      </w:r>
      <w:r>
        <w:rPr>
          <w:rFonts w:hint="eastAsia" w:ascii="仿宋_GB2312" w:hAnsi="仿宋_GB2312" w:eastAsia="仿宋_GB2312" w:cs="仿宋_GB2312"/>
          <w:color w:val="auto"/>
          <w:kern w:val="2"/>
          <w:sz w:val="32"/>
          <w:szCs w:val="32"/>
          <w:u w:val="none"/>
          <w:lang w:val="en-US" w:eastAsia="zh-CN" w:bidi="ar"/>
        </w:rPr>
        <w:t>万元，完成预算的100%。</w:t>
      </w:r>
      <w:r>
        <w:rPr>
          <w:rFonts w:hint="eastAsia" w:ascii="仿宋_GB2312" w:hAnsi="仿宋_GB2312" w:eastAsia="仿宋_GB2312" w:cs="仿宋_GB2312"/>
          <w:kern w:val="2"/>
          <w:sz w:val="32"/>
          <w:szCs w:val="32"/>
          <w:u w:val="none"/>
          <w:lang w:val="en-US" w:eastAsia="zh-CN" w:bidi="ar"/>
        </w:rPr>
        <w:t>通过项目实施，第130届广交会境内采购商参会热情高，来自全国商超百货、零售连锁、行业批发、经销代理、跨境电商、供应链管理、进出口等众多行业企业参会，参展企业进行贸易对接，成效显著，拓展了广交会多元化和全球化水平</w:t>
      </w:r>
      <w:r>
        <w:rPr>
          <w:rFonts w:hint="eastAsia" w:ascii="仿宋" w:hAnsi="仿宋" w:eastAsia="仿宋" w:cs="仿宋"/>
          <w:b w:val="0"/>
          <w:bCs/>
          <w:color w:val="auto"/>
          <w:kern w:val="0"/>
          <w:sz w:val="32"/>
          <w:szCs w:val="32"/>
          <w:lang w:val="zh-CN"/>
        </w:rPr>
        <w:t>。</w:t>
      </w:r>
      <w:r>
        <w:rPr>
          <w:rFonts w:hint="eastAsia" w:ascii="仿宋" w:hAnsi="仿宋" w:eastAsia="仿宋" w:cs="仿宋"/>
          <w:b w:val="0"/>
          <w:bCs/>
          <w:color w:val="auto"/>
          <w:sz w:val="32"/>
          <w:szCs w:val="32"/>
          <w:lang w:eastAsia="zh-CN"/>
        </w:rPr>
        <w:t>。</w:t>
      </w:r>
    </w:p>
    <w:p>
      <w:pPr>
        <w:keepNext w:val="0"/>
        <w:keepLines w:val="0"/>
        <w:widowControl w:val="0"/>
        <w:suppressLineNumbers w:val="0"/>
        <w:spacing w:before="0" w:beforeAutospacing="0" w:after="0" w:afterAutospacing="0" w:line="580" w:lineRule="exact"/>
        <w:ind w:left="0" w:right="0" w:firstLine="642" w:firstLineChars="200"/>
        <w:jc w:val="both"/>
        <w:rPr>
          <w:rFonts w:hint="eastAsia" w:ascii="仿宋_GB2312" w:hAnsi="仿宋_GB2312" w:eastAsia="仿宋_GB2312" w:cs="仿宋_GB2312"/>
          <w:kern w:val="2"/>
          <w:sz w:val="32"/>
          <w:szCs w:val="32"/>
          <w:u w:val="none"/>
          <w:lang w:val="en-US" w:eastAsia="zh-CN" w:bidi="ar"/>
        </w:rPr>
      </w:pPr>
      <w:r>
        <w:rPr>
          <w:rFonts w:hint="eastAsia" w:ascii="仿宋_GB2312" w:hAnsi="仿宋_GB2312" w:eastAsia="仿宋_GB2312" w:cs="仿宋_GB2312"/>
          <w:b/>
          <w:bCs/>
          <w:kern w:val="2"/>
          <w:sz w:val="32"/>
          <w:szCs w:val="32"/>
          <w:u w:val="none"/>
          <w:lang w:val="en-US" w:eastAsia="zh-CN" w:bidi="ar"/>
        </w:rPr>
        <w:t>（2）2020年度省级外贸资金项目绩效目标完成情况综述。</w:t>
      </w:r>
      <w:r>
        <w:rPr>
          <w:rFonts w:hint="eastAsia" w:ascii="仿宋_GB2312" w:hAnsi="仿宋_GB2312" w:eastAsia="仿宋_GB2312" w:cs="仿宋_GB2312"/>
          <w:color w:val="auto"/>
          <w:kern w:val="2"/>
          <w:sz w:val="32"/>
          <w:szCs w:val="32"/>
          <w:u w:val="none"/>
          <w:lang w:val="en-US" w:eastAsia="zh-CN" w:bidi="ar"/>
        </w:rPr>
        <w:t>项目财政预算数17.28万元，执行数为17.28万元，完成预算的100%。</w:t>
      </w:r>
      <w:r>
        <w:rPr>
          <w:rFonts w:hint="eastAsia" w:ascii="仿宋_GB2312" w:hAnsi="仿宋_GB2312" w:eastAsia="仿宋_GB2312" w:cs="仿宋_GB2312"/>
          <w:kern w:val="2"/>
          <w:sz w:val="32"/>
          <w:szCs w:val="32"/>
          <w:u w:val="none"/>
          <w:lang w:val="en-US" w:eastAsia="zh-CN" w:bidi="ar"/>
        </w:rPr>
        <w:t>通过项目实施，在全区外贸企业受疫情影响的情况下，组织企业申报省级外贸发展项目，促进我区中小外贸企业参与国际竞争的积极性，调动了企业扩大进出口的主动性，推动我区对外贸易可持续发展。存在的问题：2021年受新冠肺炎疫情影响，全区外贸进出口总额未完成市下目标。</w:t>
      </w:r>
    </w:p>
    <w:p>
      <w:pPr>
        <w:keepNext w:val="0"/>
        <w:keepLines w:val="0"/>
        <w:widowControl w:val="0"/>
        <w:suppressLineNumbers w:val="0"/>
        <w:spacing w:before="0" w:beforeAutospacing="0" w:after="0" w:afterAutospacing="0" w:line="580" w:lineRule="exact"/>
        <w:ind w:left="0" w:right="0" w:firstLine="642" w:firstLineChars="200"/>
        <w:jc w:val="both"/>
        <w:rPr>
          <w:rFonts w:hint="eastAsia" w:ascii="仿宋_GB2312" w:hAnsi="仿宋_GB2312" w:eastAsia="仿宋_GB2312" w:cs="仿宋_GB2312"/>
          <w:kern w:val="2"/>
          <w:sz w:val="32"/>
          <w:szCs w:val="32"/>
          <w:u w:val="none"/>
          <w:lang w:val="en-US" w:eastAsia="zh-CN" w:bidi="ar"/>
        </w:rPr>
      </w:pPr>
      <w:r>
        <w:rPr>
          <w:rFonts w:hint="eastAsia" w:ascii="仿宋_GB2312" w:hAnsi="仿宋_GB2312" w:eastAsia="仿宋_GB2312" w:cs="仿宋_GB2312"/>
          <w:b/>
          <w:bCs/>
          <w:kern w:val="2"/>
          <w:sz w:val="32"/>
          <w:szCs w:val="32"/>
          <w:u w:val="none"/>
          <w:lang w:val="en-US" w:eastAsia="zh-CN" w:bidi="ar"/>
        </w:rPr>
        <w:t>（3）2020年度中央财政农商互联既农产品供应链项目绩效目标完成情况综述。</w:t>
      </w:r>
      <w:r>
        <w:rPr>
          <w:rFonts w:hint="eastAsia" w:ascii="仿宋_GB2312" w:hAnsi="仿宋_GB2312" w:eastAsia="仿宋_GB2312" w:cs="仿宋_GB2312"/>
          <w:color w:val="auto"/>
          <w:kern w:val="2"/>
          <w:sz w:val="32"/>
          <w:szCs w:val="32"/>
          <w:u w:val="none"/>
          <w:lang w:val="en-US" w:eastAsia="zh-CN" w:bidi="ar"/>
        </w:rPr>
        <w:t>项目财政预算数</w:t>
      </w:r>
      <w:r>
        <w:rPr>
          <w:rFonts w:hint="eastAsia" w:ascii="仿宋_GB2312" w:hAnsi="Calibri" w:eastAsia="仿宋_GB2312" w:cs="宋体"/>
          <w:color w:val="auto"/>
          <w:kern w:val="2"/>
          <w:sz w:val="32"/>
          <w:szCs w:val="32"/>
          <w:u w:val="none"/>
          <w:lang w:val="en-US" w:eastAsia="zh-CN" w:bidi="ar"/>
        </w:rPr>
        <w:t>23.07</w:t>
      </w:r>
      <w:r>
        <w:rPr>
          <w:rFonts w:hint="eastAsia" w:ascii="仿宋_GB2312" w:hAnsi="仿宋_GB2312" w:eastAsia="仿宋_GB2312" w:cs="仿宋_GB2312"/>
          <w:color w:val="auto"/>
          <w:kern w:val="2"/>
          <w:sz w:val="32"/>
          <w:szCs w:val="32"/>
          <w:u w:val="none"/>
          <w:lang w:val="en-US" w:eastAsia="zh-CN" w:bidi="ar"/>
        </w:rPr>
        <w:t>万元，执行数为</w:t>
      </w:r>
      <w:r>
        <w:rPr>
          <w:rFonts w:hint="eastAsia" w:ascii="仿宋_GB2312" w:hAnsi="仿宋" w:eastAsia="仿宋_GB2312" w:cs="Times New Roman"/>
          <w:color w:val="auto"/>
          <w:kern w:val="2"/>
          <w:sz w:val="32"/>
          <w:szCs w:val="32"/>
          <w:u w:val="none"/>
          <w:lang w:val="en-US" w:eastAsia="zh-CN" w:bidi="ar"/>
        </w:rPr>
        <w:t>23.07</w:t>
      </w:r>
      <w:r>
        <w:rPr>
          <w:rFonts w:hint="eastAsia" w:ascii="仿宋_GB2312" w:hAnsi="仿宋_GB2312" w:eastAsia="仿宋_GB2312" w:cs="仿宋_GB2312"/>
          <w:color w:val="auto"/>
          <w:kern w:val="2"/>
          <w:sz w:val="32"/>
          <w:szCs w:val="32"/>
          <w:u w:val="none"/>
          <w:lang w:val="en-US" w:eastAsia="zh-CN" w:bidi="ar"/>
        </w:rPr>
        <w:t>万元，完成预算的100%。</w:t>
      </w:r>
      <w:r>
        <w:rPr>
          <w:rFonts w:hint="eastAsia" w:ascii="仿宋_GB2312" w:hAnsi="仿宋_GB2312" w:eastAsia="仿宋_GB2312" w:cs="仿宋_GB2312"/>
          <w:kern w:val="2"/>
          <w:sz w:val="32"/>
          <w:szCs w:val="32"/>
          <w:u w:val="none"/>
          <w:lang w:val="en-US" w:eastAsia="zh-CN" w:bidi="ar"/>
        </w:rPr>
        <w:t>通过项目实施，农产品在我区的商品化设施使用率在40%以上；同时农产品冷藏仓储能力提高35%以上。存在的问题：1、资金使用方面存在的问题。资金投入较大，见效时间周期较长。2、绩效目标完成中存在的问题。一是宣传力度不够，辖区经营业主对企业运营模式了解有局限性；二是实际运营中的经验存在不足，没有制定更大规模的运营体量。</w:t>
      </w:r>
    </w:p>
    <w:p>
      <w:pPr>
        <w:keepNext w:val="0"/>
        <w:keepLines w:val="0"/>
        <w:widowControl w:val="0"/>
        <w:numPr>
          <w:ilvl w:val="0"/>
          <w:numId w:val="2"/>
        </w:numPr>
        <w:suppressLineNumbers w:val="0"/>
        <w:spacing w:before="0" w:beforeAutospacing="0" w:after="0" w:afterAutospacing="0" w:line="580" w:lineRule="exact"/>
        <w:ind w:left="0" w:right="0" w:firstLine="642" w:firstLineChars="200"/>
        <w:jc w:val="both"/>
        <w:rPr>
          <w:rFonts w:hint="eastAsia" w:ascii="仿宋_GB2312" w:hAnsi="仿宋_GB2312" w:eastAsia="仿宋_GB2312" w:cs="仿宋_GB2312"/>
          <w:kern w:val="2"/>
          <w:sz w:val="32"/>
          <w:szCs w:val="32"/>
          <w:u w:val="none"/>
          <w:lang w:val="en-US" w:eastAsia="zh-CN" w:bidi="ar"/>
        </w:rPr>
      </w:pPr>
      <w:r>
        <w:rPr>
          <w:rFonts w:hint="eastAsia" w:ascii="仿宋_GB2312" w:hAnsi="仿宋_GB2312" w:eastAsia="仿宋_GB2312" w:cs="仿宋_GB2312"/>
          <w:b/>
          <w:bCs/>
          <w:kern w:val="2"/>
          <w:sz w:val="32"/>
          <w:szCs w:val="32"/>
          <w:u w:val="none"/>
          <w:lang w:val="en-US" w:eastAsia="zh-CN" w:bidi="ar"/>
        </w:rPr>
        <w:t>第三批天府旅游名县奖励资金项目绩效目标完成情况综述。</w:t>
      </w:r>
      <w:r>
        <w:rPr>
          <w:rFonts w:hint="eastAsia" w:ascii="仿宋_GB2312" w:hAnsi="仿宋_GB2312" w:eastAsia="仿宋_GB2312" w:cs="仿宋_GB2312"/>
          <w:color w:val="auto"/>
          <w:kern w:val="2"/>
          <w:sz w:val="32"/>
          <w:szCs w:val="32"/>
          <w:u w:val="none"/>
          <w:lang w:val="en-US" w:eastAsia="zh-CN" w:bidi="ar"/>
        </w:rPr>
        <w:t>项目财政预算数</w:t>
      </w:r>
      <w:r>
        <w:rPr>
          <w:rFonts w:hint="eastAsia" w:ascii="仿宋_GB2312" w:hAnsi="Calibri" w:eastAsia="仿宋_GB2312" w:cs="宋体"/>
          <w:color w:val="auto"/>
          <w:kern w:val="2"/>
          <w:sz w:val="32"/>
          <w:szCs w:val="32"/>
          <w:u w:val="none"/>
          <w:lang w:val="en-US" w:eastAsia="zh-CN" w:bidi="ar"/>
        </w:rPr>
        <w:t>5</w:t>
      </w:r>
      <w:r>
        <w:rPr>
          <w:rFonts w:hint="eastAsia" w:ascii="仿宋_GB2312" w:hAnsi="仿宋_GB2312" w:eastAsia="仿宋_GB2312" w:cs="仿宋_GB2312"/>
          <w:color w:val="auto"/>
          <w:kern w:val="2"/>
          <w:sz w:val="32"/>
          <w:szCs w:val="32"/>
          <w:u w:val="none"/>
          <w:lang w:val="en-US" w:eastAsia="zh-CN" w:bidi="ar"/>
        </w:rPr>
        <w:t>万元，执行数为</w:t>
      </w:r>
      <w:r>
        <w:rPr>
          <w:rFonts w:hint="eastAsia" w:ascii="仿宋_GB2312" w:hAnsi="仿宋" w:eastAsia="仿宋_GB2312" w:cs="Times New Roman"/>
          <w:color w:val="auto"/>
          <w:kern w:val="2"/>
          <w:sz w:val="32"/>
          <w:szCs w:val="32"/>
          <w:u w:val="none"/>
          <w:lang w:val="en-US" w:eastAsia="zh-CN" w:bidi="ar"/>
        </w:rPr>
        <w:t>5</w:t>
      </w:r>
      <w:r>
        <w:rPr>
          <w:rFonts w:hint="eastAsia" w:ascii="仿宋_GB2312" w:hAnsi="仿宋_GB2312" w:eastAsia="仿宋_GB2312" w:cs="仿宋_GB2312"/>
          <w:color w:val="auto"/>
          <w:kern w:val="2"/>
          <w:sz w:val="32"/>
          <w:szCs w:val="32"/>
          <w:u w:val="none"/>
          <w:lang w:val="en-US" w:eastAsia="zh-CN" w:bidi="ar"/>
        </w:rPr>
        <w:t>万元，完成预算的100%。通过项目的实施，全面提升了朝天文旅品质和对外影响力，通过资金的投入，达到了汉王老街和时代广场基础设施更加完善,提升了旅游产品品质，丰富了文化旅游生活，并产生了深远影响，促进了我区经济建设的快速发展</w:t>
      </w:r>
      <w:r>
        <w:rPr>
          <w:rFonts w:hint="eastAsia" w:ascii="仿宋_GB2312" w:hAnsi="仿宋_GB2312" w:eastAsia="仿宋_GB2312" w:cs="仿宋_GB2312"/>
          <w:kern w:val="2"/>
          <w:sz w:val="32"/>
          <w:szCs w:val="32"/>
          <w:u w:val="none"/>
          <w:lang w:val="en-US" w:eastAsia="zh-CN" w:bidi="ar"/>
        </w:rPr>
        <w:t>。</w:t>
      </w:r>
    </w:p>
    <w:p>
      <w:pPr>
        <w:keepNext w:val="0"/>
        <w:keepLines w:val="0"/>
        <w:widowControl w:val="0"/>
        <w:suppressLineNumbers w:val="0"/>
        <w:spacing w:before="0" w:beforeAutospacing="0" w:after="0" w:afterAutospacing="0" w:line="360" w:lineRule="auto"/>
        <w:ind w:left="0" w:right="0" w:firstLine="642" w:firstLineChars="200"/>
        <w:jc w:val="both"/>
        <w:rPr>
          <w:rFonts w:hint="eastAsia"/>
          <w:lang w:eastAsia="zh-CN"/>
        </w:rPr>
      </w:pPr>
      <w:r>
        <w:rPr>
          <w:rFonts w:hint="eastAsia" w:ascii="仿宋_GB2312" w:hAnsi="仿宋_GB2312" w:eastAsia="仿宋_GB2312" w:cs="仿宋_GB2312"/>
          <w:b/>
          <w:bCs/>
          <w:kern w:val="2"/>
          <w:sz w:val="32"/>
          <w:szCs w:val="32"/>
          <w:u w:val="none"/>
          <w:lang w:val="en-US" w:eastAsia="zh-CN" w:bidi="ar"/>
        </w:rPr>
        <w:t>（5）企业入库贡献奖项目绩效目标完成情况综述。</w:t>
      </w:r>
      <w:r>
        <w:rPr>
          <w:rFonts w:hint="eastAsia" w:ascii="仿宋_GB2312" w:hAnsi="仿宋_GB2312" w:eastAsia="仿宋_GB2312" w:cs="仿宋_GB2312"/>
          <w:color w:val="auto"/>
          <w:kern w:val="2"/>
          <w:sz w:val="32"/>
          <w:szCs w:val="32"/>
          <w:u w:val="none"/>
          <w:lang w:val="en-US" w:eastAsia="zh-CN" w:bidi="ar"/>
        </w:rPr>
        <w:t>项目财政预算数</w:t>
      </w:r>
      <w:r>
        <w:rPr>
          <w:rFonts w:hint="eastAsia" w:ascii="仿宋_GB2312" w:hAnsi="Calibri" w:eastAsia="仿宋_GB2312" w:cs="宋体"/>
          <w:color w:val="auto"/>
          <w:kern w:val="2"/>
          <w:sz w:val="32"/>
          <w:szCs w:val="32"/>
          <w:u w:val="none"/>
          <w:lang w:val="en-US" w:eastAsia="zh-CN" w:bidi="ar"/>
        </w:rPr>
        <w:t>70</w:t>
      </w:r>
      <w:r>
        <w:rPr>
          <w:rFonts w:hint="eastAsia" w:ascii="仿宋_GB2312" w:hAnsi="仿宋_GB2312" w:eastAsia="仿宋_GB2312" w:cs="仿宋_GB2312"/>
          <w:color w:val="auto"/>
          <w:kern w:val="2"/>
          <w:sz w:val="32"/>
          <w:szCs w:val="32"/>
          <w:u w:val="none"/>
          <w:lang w:val="en-US" w:eastAsia="zh-CN" w:bidi="ar"/>
        </w:rPr>
        <w:t>万元，执行数为</w:t>
      </w:r>
      <w:r>
        <w:rPr>
          <w:rFonts w:hint="eastAsia" w:ascii="仿宋_GB2312" w:hAnsi="仿宋" w:eastAsia="仿宋_GB2312" w:cs="Times New Roman"/>
          <w:color w:val="auto"/>
          <w:kern w:val="2"/>
          <w:sz w:val="32"/>
          <w:szCs w:val="32"/>
          <w:u w:val="none"/>
          <w:lang w:val="en-US" w:eastAsia="zh-CN" w:bidi="ar"/>
        </w:rPr>
        <w:t>70</w:t>
      </w:r>
      <w:r>
        <w:rPr>
          <w:rFonts w:hint="eastAsia" w:ascii="仿宋_GB2312" w:hAnsi="仿宋_GB2312" w:eastAsia="仿宋_GB2312" w:cs="仿宋_GB2312"/>
          <w:color w:val="auto"/>
          <w:kern w:val="2"/>
          <w:sz w:val="32"/>
          <w:szCs w:val="32"/>
          <w:u w:val="none"/>
          <w:lang w:val="en-US" w:eastAsia="zh-CN" w:bidi="ar"/>
        </w:rPr>
        <w:t>万元，完成预算的100%。通过项目的实施，</w:t>
      </w:r>
      <w:r>
        <w:rPr>
          <w:rFonts w:hint="eastAsia" w:ascii="仿宋_GB2312" w:hAnsi="仿宋_GB2312" w:eastAsia="仿宋_GB2312" w:cs="仿宋_GB2312"/>
          <w:kern w:val="2"/>
          <w:sz w:val="32"/>
          <w:szCs w:val="32"/>
          <w:lang w:val="en-US" w:eastAsia="zh-CN" w:bidi="ar"/>
        </w:rPr>
        <w:t>资金的合理使用，培育壮大商贸企业、活跃消费市场、打造本土品牌，加快推进我区商贸流通业持续健康发展。</w:t>
      </w:r>
    </w:p>
    <w:p>
      <w:pPr>
        <w:spacing w:line="600" w:lineRule="exact"/>
        <w:ind w:firstLine="803" w:firstLineChars="250"/>
        <w:outlineLvl w:val="1"/>
        <w:rPr>
          <w:rStyle w:val="44"/>
          <w:rFonts w:ascii="黑体" w:hAnsi="黑体" w:eastAsia="黑体"/>
        </w:rPr>
      </w:pPr>
      <w:r>
        <w:rPr>
          <w:rStyle w:val="44"/>
          <w:rFonts w:hint="eastAsia" w:ascii="黑体" w:hAnsi="黑体" w:eastAsia="黑体"/>
          <w:lang w:eastAsia="zh-CN"/>
        </w:rPr>
        <w:t>十</w:t>
      </w:r>
      <w:r>
        <w:rPr>
          <w:rStyle w:val="44"/>
          <w:rFonts w:hint="eastAsia" w:ascii="黑体" w:hAnsi="黑体" w:eastAsia="黑体"/>
          <w:lang w:val="en-US" w:eastAsia="zh-CN"/>
        </w:rPr>
        <w:t>一</w:t>
      </w:r>
      <w:r>
        <w:rPr>
          <w:rStyle w:val="44"/>
          <w:rFonts w:hint="eastAsia" w:ascii="黑体" w:hAnsi="黑体" w:eastAsia="黑体"/>
        </w:rPr>
        <w:t>、</w:t>
      </w:r>
      <w:r>
        <w:rPr>
          <w:rStyle w:val="44"/>
          <w:rFonts w:hint="eastAsia" w:ascii="黑体" w:hAnsi="黑体" w:eastAsia="黑体"/>
          <w:lang w:eastAsia="zh-CN"/>
        </w:rPr>
        <w:t>其他重要事项的情况说明</w:t>
      </w:r>
    </w:p>
    <w:p>
      <w:pPr>
        <w:spacing w:line="600" w:lineRule="exact"/>
        <w:ind w:firstLine="642" w:firstLineChars="200"/>
        <w:outlineLvl w:val="2"/>
        <w:rPr>
          <w:rFonts w:ascii="仿宋" w:hAnsi="仿宋" w:eastAsia="仿宋"/>
          <w:sz w:val="32"/>
          <w:szCs w:val="32"/>
        </w:rPr>
      </w:pPr>
      <w:r>
        <w:rPr>
          <w:rFonts w:hint="eastAsia" w:ascii="仿宋" w:hAnsi="仿宋" w:eastAsia="仿宋"/>
          <w:b/>
          <w:sz w:val="32"/>
          <w:szCs w:val="32"/>
        </w:rPr>
        <w:t>（一）机关运行经费支出情况</w:t>
      </w:r>
    </w:p>
    <w:p>
      <w:pPr>
        <w:spacing w:line="600" w:lineRule="exact"/>
        <w:ind w:firstLine="640" w:firstLineChars="200"/>
      </w:pP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商务局</w:t>
      </w:r>
      <w:r>
        <w:rPr>
          <w:rFonts w:hint="eastAsia" w:ascii="仿宋_GB2312" w:eastAsia="仿宋_GB2312"/>
          <w:sz w:val="32"/>
          <w:szCs w:val="32"/>
        </w:rPr>
        <w:t>机关运行经费支出</w:t>
      </w:r>
      <w:r>
        <w:rPr>
          <w:rFonts w:hint="eastAsia" w:ascii="仿宋_GB2312" w:eastAsia="仿宋_GB2312"/>
          <w:sz w:val="32"/>
          <w:szCs w:val="32"/>
          <w:lang w:val="en-US" w:eastAsia="zh-CN"/>
        </w:rPr>
        <w:t>17.35</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16.41</w:t>
      </w:r>
      <w:r>
        <w:rPr>
          <w:rFonts w:hint="eastAsia" w:ascii="仿宋_GB2312" w:eastAsia="仿宋_GB2312"/>
          <w:sz w:val="32"/>
          <w:szCs w:val="32"/>
        </w:rPr>
        <w:t>万元增加</w:t>
      </w:r>
      <w:r>
        <w:rPr>
          <w:rFonts w:hint="eastAsia" w:ascii="仿宋_GB2312" w:eastAsia="仿宋_GB2312"/>
          <w:sz w:val="32"/>
          <w:szCs w:val="32"/>
          <w:lang w:val="en-US" w:eastAsia="zh-CN"/>
        </w:rPr>
        <w:t>0.94</w:t>
      </w:r>
      <w:r>
        <w:rPr>
          <w:rFonts w:hint="eastAsia" w:ascii="仿宋_GB2312" w:eastAsia="仿宋_GB2312"/>
          <w:sz w:val="32"/>
          <w:szCs w:val="32"/>
        </w:rPr>
        <w:t>万元，增</w:t>
      </w:r>
      <w:r>
        <w:rPr>
          <w:rFonts w:hint="eastAsia" w:ascii="仿宋_GB2312" w:eastAsia="仿宋_GB2312"/>
          <w:sz w:val="32"/>
          <w:szCs w:val="32"/>
          <w:lang w:val="en-US" w:eastAsia="zh-CN"/>
        </w:rPr>
        <w:t>长5.73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w:t>
      </w:r>
      <w:r>
        <w:rPr>
          <w:rFonts w:hint="eastAsia" w:ascii="仿宋_GB2312" w:eastAsia="仿宋_GB2312"/>
          <w:sz w:val="32"/>
          <w:szCs w:val="32"/>
          <w:lang w:val="en-US" w:eastAsia="zh-CN"/>
        </w:rPr>
        <w:t>日常出差情况增多</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pPr>
        <w:spacing w:line="600" w:lineRule="exact"/>
        <w:ind w:firstLine="640"/>
        <w:rPr>
          <w:rFonts w:hint="default" w:ascii="仿宋_GB2312" w:eastAsia="仿宋"/>
          <w:sz w:val="32"/>
          <w:szCs w:val="32"/>
          <w:lang w:val="en-US" w:eastAsia="zh-CN"/>
        </w:rPr>
      </w:pP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 w:hAnsi="仿宋" w:eastAsia="仿宋"/>
          <w:sz w:val="32"/>
          <w:szCs w:val="32"/>
        </w:rPr>
        <w:t>区商务局采购支出</w:t>
      </w:r>
      <w:r>
        <w:rPr>
          <w:rFonts w:hint="eastAsia" w:ascii="仿宋" w:hAnsi="仿宋" w:eastAsia="仿宋"/>
          <w:sz w:val="32"/>
          <w:szCs w:val="32"/>
          <w:lang w:val="en-US" w:eastAsia="zh-CN"/>
        </w:rPr>
        <w:t>0万元</w:t>
      </w:r>
      <w:r>
        <w:rPr>
          <w:rFonts w:hint="eastAsia" w:ascii="仿宋_GB2312" w:eastAsia="仿宋_GB2312"/>
          <w:sz w:val="32"/>
          <w:szCs w:val="32"/>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p>
    <w:p>
      <w:pPr>
        <w:spacing w:line="60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截至2021年12月31日，区</w:t>
      </w:r>
      <w:r>
        <w:rPr>
          <w:rFonts w:hint="eastAsia" w:ascii="仿宋" w:hAnsi="仿宋" w:eastAsia="仿宋" w:cs="Times New Roman"/>
          <w:sz w:val="32"/>
          <w:szCs w:val="32"/>
          <w:lang w:val="en-US" w:eastAsia="zh-CN"/>
        </w:rPr>
        <w:t>商务</w:t>
      </w:r>
      <w:r>
        <w:rPr>
          <w:rFonts w:hint="eastAsia" w:ascii="仿宋" w:hAnsi="仿宋" w:eastAsia="仿宋" w:cs="Times New Roman"/>
          <w:sz w:val="32"/>
          <w:szCs w:val="32"/>
        </w:rPr>
        <w:t>局车辆0辆，车改后单位车辆移交机关事务管理局，再无车辆；无单价50万元以上通用设备和单价100万元以上专用设备。</w:t>
      </w:r>
    </w:p>
    <w:p>
      <w:pPr>
        <w:pStyle w:val="2"/>
        <w:rPr>
          <w:rFonts w:hint="eastAsia"/>
          <w:lang w:val="en-US" w:eastAsia="zh-CN"/>
        </w:rPr>
      </w:pPr>
    </w:p>
    <w:p>
      <w:pPr>
        <w:keepNext w:val="0"/>
        <w:keepLines w:val="0"/>
        <w:widowControl w:val="0"/>
        <w:numPr>
          <w:ilvl w:val="0"/>
          <w:numId w:val="3"/>
        </w:numPr>
        <w:suppressLineNumbers w:val="0"/>
        <w:spacing w:before="0" w:beforeAutospacing="0" w:after="0" w:afterAutospacing="0" w:line="600" w:lineRule="exact"/>
        <w:ind w:left="0" w:right="0" w:firstLine="660" w:firstLineChars="150"/>
        <w:jc w:val="center"/>
        <w:outlineLvl w:val="0"/>
        <w:rPr>
          <w:rFonts w:hint="eastAsia" w:ascii="黑体" w:hAnsi="宋体" w:eastAsia="黑体" w:cs="黑体"/>
          <w:b w:val="0"/>
          <w:bCs/>
          <w:sz w:val="44"/>
          <w:szCs w:val="44"/>
          <w:lang w:val="en-US"/>
        </w:rPr>
      </w:pPr>
      <w:bookmarkStart w:id="17" w:name="_Toc15377225"/>
      <w:bookmarkStart w:id="18" w:name="_Toc15396613"/>
      <w:r>
        <w:rPr>
          <w:rFonts w:hint="eastAsia" w:ascii="黑体" w:hAnsi="宋体" w:eastAsia="黑体" w:cs="黑体"/>
          <w:color w:val="000000"/>
          <w:kern w:val="2"/>
          <w:sz w:val="44"/>
          <w:szCs w:val="44"/>
          <w:lang w:val="en-US" w:eastAsia="zh-CN" w:bidi="ar"/>
        </w:rPr>
        <w:t>名</w:t>
      </w:r>
      <w:r>
        <w:rPr>
          <w:rFonts w:hint="eastAsia" w:ascii="黑体" w:hAnsi="宋体" w:eastAsia="黑体" w:cs="黑体"/>
          <w:b w:val="0"/>
          <w:bCs/>
          <w:kern w:val="44"/>
          <w:sz w:val="44"/>
          <w:szCs w:val="44"/>
          <w:lang w:val="en-US" w:eastAsia="zh-CN" w:bidi="ar"/>
        </w:rPr>
        <w:t>词解释</w:t>
      </w:r>
      <w:bookmarkEnd w:id="17"/>
      <w:bookmarkEnd w:id="18"/>
    </w:p>
    <w:p>
      <w:pPr>
        <w:keepNext w:val="0"/>
        <w:keepLines w:val="0"/>
        <w:widowControl w:val="0"/>
        <w:suppressLineNumbers w:val="0"/>
        <w:spacing w:before="0" w:beforeAutospacing="0" w:after="0" w:afterAutospacing="0" w:line="600" w:lineRule="exact"/>
        <w:ind w:left="0" w:right="0"/>
        <w:jc w:val="left"/>
        <w:rPr>
          <w:rFonts w:hint="eastAsia" w:ascii="宋体" w:hAnsi="Times New Roman" w:eastAsia="宋体" w:cs="宋体"/>
          <w:b/>
          <w:bCs w:val="0"/>
          <w:color w:val="000000"/>
          <w:sz w:val="44"/>
          <w:szCs w:val="44"/>
          <w:lang w:val="en-US"/>
        </w:rPr>
      </w:pP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Calibri" w:eastAsia="仿宋_GB2312" w:cs="仿宋_GB2312"/>
          <w:b/>
          <w:bCs/>
          <w:color w:val="000000"/>
          <w:kern w:val="0"/>
          <w:sz w:val="32"/>
          <w:szCs w:val="32"/>
          <w:lang w:val="en-US" w:eastAsia="zh-CN" w:bidi="ar"/>
        </w:rPr>
        <w:t>1.财政拨款收入：</w:t>
      </w:r>
      <w:r>
        <w:rPr>
          <w:rFonts w:hint="eastAsia" w:ascii="仿宋_GB2312" w:hAnsi="Calibri" w:eastAsia="仿宋_GB2312" w:cs="仿宋_GB2312"/>
          <w:color w:val="000000"/>
          <w:kern w:val="0"/>
          <w:sz w:val="32"/>
          <w:szCs w:val="32"/>
          <w:lang w:val="en-US" w:eastAsia="zh-CN" w:bidi="ar"/>
        </w:rPr>
        <w:t>指单位从同级财政部门取得的财政预算资金。</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Calibri" w:eastAsia="仿宋_GB2312" w:cs="仿宋_GB2312"/>
          <w:b/>
          <w:bCs/>
          <w:color w:val="000000"/>
          <w:kern w:val="0"/>
          <w:sz w:val="32"/>
          <w:szCs w:val="32"/>
          <w:lang w:val="en-US" w:eastAsia="zh-CN" w:bidi="ar"/>
        </w:rPr>
        <w:t>2.其他收入：</w:t>
      </w:r>
      <w:r>
        <w:rPr>
          <w:rFonts w:hint="eastAsia" w:ascii="仿宋_GB2312" w:hAnsi="Calibri" w:eastAsia="仿宋_GB2312" w:cs="仿宋_GB2312"/>
          <w:color w:val="000000"/>
          <w:kern w:val="0"/>
          <w:sz w:val="32"/>
          <w:szCs w:val="32"/>
          <w:lang w:val="en-US" w:eastAsia="zh-CN" w:bidi="ar"/>
        </w:rPr>
        <w:t xml:space="preserve">指单位取得的除上述收入以外的各项收入。主要是利息收入。  </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Calibri" w:eastAsia="仿宋_GB2312" w:cs="仿宋_GB2312"/>
          <w:b/>
          <w:bCs/>
          <w:color w:val="000000"/>
          <w:kern w:val="0"/>
          <w:sz w:val="32"/>
          <w:szCs w:val="32"/>
          <w:lang w:val="en-US" w:eastAsia="zh-CN" w:bidi="ar"/>
        </w:rPr>
        <w:t>3.年初结转和结余：</w:t>
      </w:r>
      <w:r>
        <w:rPr>
          <w:rFonts w:hint="eastAsia" w:ascii="仿宋_GB2312" w:hAnsi="Calibri" w:eastAsia="仿宋_GB2312" w:cs="仿宋_GB2312"/>
          <w:color w:val="000000"/>
          <w:kern w:val="0"/>
          <w:sz w:val="32"/>
          <w:szCs w:val="32"/>
          <w:lang w:val="en-US" w:eastAsia="zh-CN" w:bidi="ar"/>
        </w:rPr>
        <w:t xml:space="preserve">指以前年度尚未完成、结转到本年按有关规定继续使用的资金。 </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b/>
          <w:bCs/>
          <w:color w:val="000000"/>
          <w:kern w:val="0"/>
          <w:sz w:val="32"/>
          <w:szCs w:val="32"/>
          <w:lang w:val="en-US" w:eastAsia="zh-CN" w:bidi="ar"/>
        </w:rPr>
        <w:t>4、年末结转和结余：</w:t>
      </w:r>
      <w:r>
        <w:rPr>
          <w:rFonts w:hint="eastAsia" w:ascii="仿宋_GB2312" w:hAnsi="Calibri" w:eastAsia="仿宋_GB2312" w:cs="仿宋_GB2312"/>
          <w:color w:val="000000"/>
          <w:kern w:val="0"/>
          <w:sz w:val="32"/>
          <w:szCs w:val="32"/>
          <w:lang w:val="en-US" w:eastAsia="zh-CN" w:bidi="ar"/>
        </w:rPr>
        <w:t>指单位按有关规定结转到下年或以后年度继续使用的资金。</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5.教育支出（</w:t>
      </w:r>
      <w:r>
        <w:rPr>
          <w:rFonts w:hint="eastAsia" w:ascii="仿宋_GB2312" w:eastAsia="仿宋_GB2312" w:cs="仿宋_GB2312"/>
          <w:b/>
          <w:bCs/>
          <w:color w:val="000000"/>
          <w:kern w:val="2"/>
          <w:sz w:val="32"/>
          <w:szCs w:val="32"/>
          <w:lang w:val="en-US" w:eastAsia="zh-CN" w:bidi="ar"/>
        </w:rPr>
        <w:t>205</w:t>
      </w:r>
      <w:r>
        <w:rPr>
          <w:rFonts w:hint="eastAsia" w:ascii="仿宋_GB2312" w:hAnsi="Times New Roman" w:eastAsia="仿宋_GB2312" w:cs="仿宋_GB2312"/>
          <w:b/>
          <w:bCs/>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指</w:t>
      </w:r>
      <w:r>
        <w:rPr>
          <w:rFonts w:hint="eastAsia" w:ascii="仿宋_GB2312" w:hAnsi="Calibri" w:eastAsia="仿宋_GB2312" w:cs="仿宋_GB2312"/>
          <w:color w:val="000000"/>
          <w:kern w:val="0"/>
          <w:sz w:val="32"/>
          <w:szCs w:val="32"/>
          <w:lang w:val="en-US" w:eastAsia="zh-CN" w:bidi="ar"/>
        </w:rPr>
        <w:t>反映政府教育事务支出，其中：</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培训支出</w:t>
      </w:r>
      <w:r>
        <w:rPr>
          <w:rFonts w:hint="eastAsia" w:ascii="仿宋_GB2312" w:hAnsi="Calibri" w:eastAsia="仿宋_GB2312" w:cs="仿宋_GB2312"/>
          <w:b/>
          <w:bCs/>
          <w:color w:val="000000"/>
          <w:kern w:val="0"/>
          <w:sz w:val="32"/>
          <w:szCs w:val="32"/>
          <w:lang w:val="en-US" w:eastAsia="zh-CN" w:bidi="ar"/>
        </w:rPr>
        <w:t>（2050803）</w:t>
      </w:r>
      <w:r>
        <w:rPr>
          <w:rFonts w:hint="eastAsia" w:ascii="仿宋_GB2312" w:hAnsi="Calibri" w:eastAsia="仿宋_GB2312" w:cs="仿宋_GB2312"/>
          <w:color w:val="000000"/>
          <w:kern w:val="0"/>
          <w:sz w:val="32"/>
          <w:szCs w:val="32"/>
          <w:lang w:val="en-US" w:eastAsia="zh-CN" w:bidi="ar"/>
        </w:rPr>
        <w:t>：指反映各部门安排的用于培训的支出。教育部门的师资培训，党校、行政学院等专业干部教育机构的支出，以及退役士兵、转业士官的培训支出，不在本科目反映。</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b/>
          <w:bCs/>
          <w:color w:val="000000"/>
          <w:kern w:val="0"/>
          <w:sz w:val="32"/>
          <w:szCs w:val="32"/>
          <w:lang w:val="en-US" w:eastAsia="zh-CN" w:bidi="ar"/>
        </w:rPr>
        <w:t>6.文化旅游体育与传媒支出（207）</w:t>
      </w:r>
      <w:r>
        <w:rPr>
          <w:rFonts w:hint="eastAsia" w:ascii="仿宋_GB2312" w:hAnsi="Calibri" w:eastAsia="仿宋_GB2312" w:cs="仿宋_GB2312"/>
          <w:color w:val="000000"/>
          <w:kern w:val="0"/>
          <w:sz w:val="32"/>
          <w:szCs w:val="32"/>
          <w:lang w:val="en-US" w:eastAsia="zh-CN" w:bidi="ar"/>
        </w:rPr>
        <w:t>：反映政府在文化、旅游、文物、体育 、广播电视、电影、新闻出版等方面的支出。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其他文化旅游体育与传媒支出</w:t>
      </w:r>
      <w:r>
        <w:rPr>
          <w:rFonts w:hint="eastAsia" w:ascii="仿宋_GB2312" w:hAnsi="Calibri" w:eastAsia="仿宋_GB2312" w:cs="仿宋_GB2312"/>
          <w:b/>
          <w:bCs/>
          <w:color w:val="000000"/>
          <w:kern w:val="0"/>
          <w:sz w:val="32"/>
          <w:szCs w:val="32"/>
          <w:lang w:val="en-US" w:eastAsia="zh-CN" w:bidi="ar"/>
        </w:rPr>
        <w:t>（2079999）</w:t>
      </w:r>
      <w:r>
        <w:rPr>
          <w:rFonts w:hint="eastAsia" w:ascii="仿宋_GB2312" w:hAnsi="Calibri" w:eastAsia="仿宋_GB2312" w:cs="仿宋_GB2312"/>
          <w:color w:val="000000"/>
          <w:kern w:val="0"/>
          <w:sz w:val="32"/>
          <w:szCs w:val="32"/>
          <w:lang w:val="en-US" w:eastAsia="zh-CN" w:bidi="ar"/>
        </w:rPr>
        <w:t>：指反映除上述项目以外其他用于文化旅游体育与传媒方面的支出。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7.社会保障和就业支出（</w:t>
      </w:r>
      <w:r>
        <w:rPr>
          <w:rFonts w:hint="eastAsia" w:ascii="仿宋_GB2312" w:eastAsia="仿宋_GB2312" w:cs="仿宋_GB2312"/>
          <w:b/>
          <w:bCs/>
          <w:color w:val="000000"/>
          <w:kern w:val="2"/>
          <w:sz w:val="32"/>
          <w:szCs w:val="32"/>
          <w:lang w:val="en-US" w:eastAsia="zh-CN" w:bidi="ar"/>
        </w:rPr>
        <w:t>208</w:t>
      </w:r>
      <w:r>
        <w:rPr>
          <w:rFonts w:hint="eastAsia" w:ascii="仿宋_GB2312" w:hAnsi="Times New Roman" w:eastAsia="仿宋_GB2312" w:cs="仿宋_GB2312"/>
          <w:b/>
          <w:bCs/>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指</w:t>
      </w:r>
      <w:r>
        <w:rPr>
          <w:rFonts w:hint="eastAsia" w:ascii="仿宋_GB2312" w:hAnsi="Calibri" w:eastAsia="仿宋_GB2312" w:cs="仿宋_GB2312"/>
          <w:color w:val="000000"/>
          <w:kern w:val="0"/>
          <w:sz w:val="32"/>
          <w:szCs w:val="32"/>
          <w:lang w:val="en-US" w:eastAsia="zh-CN" w:bidi="ar"/>
        </w:rPr>
        <w:t>反映政府在社会保障与就业方面的支出，其中：</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eastAsia="仿宋_GB2312" w:cs="仿宋_GB2312"/>
          <w:color w:val="000000"/>
          <w:sz w:val="32"/>
          <w:szCs w:val="32"/>
          <w:lang w:val="en-US" w:eastAsia="zh-CN"/>
        </w:rPr>
        <w:t>机关事业单位基本养老保险费支出</w:t>
      </w:r>
      <w:r>
        <w:rPr>
          <w:rFonts w:hint="eastAsia" w:ascii="仿宋_GB2312" w:eastAsia="仿宋_GB2312" w:cs="仿宋_GB2312"/>
          <w:b/>
          <w:bCs/>
          <w:color w:val="000000"/>
          <w:sz w:val="32"/>
          <w:szCs w:val="32"/>
          <w:lang w:val="en-US" w:eastAsia="zh-CN"/>
        </w:rPr>
        <w:t>（2080505）</w:t>
      </w:r>
      <w:r>
        <w:rPr>
          <w:rFonts w:hint="eastAsia" w:ascii="仿宋_GB2312" w:eastAsia="仿宋_GB2312" w:cs="仿宋_GB2312"/>
          <w:color w:val="000000"/>
          <w:sz w:val="32"/>
          <w:szCs w:val="32"/>
          <w:lang w:val="en-US" w:eastAsia="zh-CN"/>
        </w:rPr>
        <w:t>：指反映机关事业单位实施养老保险制度由单位缴纳的基本养老保险</w:t>
      </w:r>
      <w:r>
        <w:rPr>
          <w:rFonts w:hint="eastAsia" w:ascii="仿宋_GB2312" w:hAnsi="Calibri" w:eastAsia="仿宋_GB2312" w:cs="仿宋_GB2312"/>
          <w:color w:val="000000"/>
          <w:kern w:val="0"/>
          <w:sz w:val="32"/>
          <w:szCs w:val="32"/>
          <w:lang w:val="en-US" w:eastAsia="zh-CN" w:bidi="ar"/>
        </w:rPr>
        <w:t>费支出。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Calibri" w:eastAsia="仿宋_GB2312" w:cs="仿宋_GB2312"/>
          <w:color w:val="000000"/>
          <w:kern w:val="0"/>
          <w:sz w:val="32"/>
          <w:szCs w:val="32"/>
          <w:lang w:val="en-US" w:eastAsia="zh-CN" w:bidi="ar"/>
        </w:rPr>
      </w:pPr>
      <w:r>
        <w:rPr>
          <w:rFonts w:hint="default" w:ascii="仿宋_GB2312" w:hAnsi="Calibri" w:eastAsia="仿宋_GB2312" w:cs="仿宋_GB2312"/>
          <w:color w:val="000000"/>
          <w:kern w:val="0"/>
          <w:sz w:val="32"/>
          <w:szCs w:val="32"/>
          <w:lang w:val="en-US" w:eastAsia="zh-CN" w:bidi="ar"/>
        </w:rPr>
        <w:t>其他社会保障和就业支出</w:t>
      </w:r>
      <w:r>
        <w:rPr>
          <w:rFonts w:hint="eastAsia" w:ascii="仿宋_GB2312" w:hAnsi="Calibri" w:eastAsia="仿宋_GB2312" w:cs="仿宋_GB2312"/>
          <w:b/>
          <w:bCs/>
          <w:color w:val="000000"/>
          <w:kern w:val="0"/>
          <w:sz w:val="32"/>
          <w:szCs w:val="32"/>
          <w:lang w:val="en-US" w:eastAsia="zh-CN" w:bidi="ar"/>
        </w:rPr>
        <w:t>（2089999）</w:t>
      </w:r>
      <w:r>
        <w:rPr>
          <w:rFonts w:hint="eastAsia" w:ascii="仿宋_GB2312" w:hAnsi="Calibri" w:eastAsia="仿宋_GB2312" w:cs="仿宋_GB2312"/>
          <w:color w:val="000000"/>
          <w:kern w:val="0"/>
          <w:sz w:val="32"/>
          <w:szCs w:val="32"/>
          <w:lang w:val="en-US" w:eastAsia="zh-CN" w:bidi="ar"/>
        </w:rPr>
        <w:t>：指反映除上述项目以外其他用于社会保障和就业方面的支出。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8.卫生健康支出（210）：</w:t>
      </w:r>
      <w:r>
        <w:rPr>
          <w:rFonts w:hint="eastAsia" w:ascii="仿宋_GB2312" w:hAnsi="Calibri" w:eastAsia="仿宋_GB2312" w:cs="仿宋_GB2312"/>
          <w:color w:val="000000"/>
          <w:kern w:val="0"/>
          <w:sz w:val="32"/>
          <w:szCs w:val="32"/>
          <w:lang w:val="en-US" w:eastAsia="zh-CN" w:bidi="ar"/>
        </w:rPr>
        <w:t>指反映政府卫生健康方面的支出。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Times New Roman" w:eastAsia="仿宋_GB2312" w:cs="仿宋_GB2312"/>
          <w:b w:val="0"/>
          <w:color w:val="000000"/>
          <w:kern w:val="2"/>
          <w:sz w:val="32"/>
          <w:szCs w:val="32"/>
          <w:lang w:val="en-US" w:eastAsia="zh-CN" w:bidi="ar"/>
        </w:rPr>
      </w:pPr>
      <w:r>
        <w:rPr>
          <w:rFonts w:hint="eastAsia" w:ascii="仿宋_GB2312" w:hAnsi="Calibri" w:eastAsia="仿宋_GB2312" w:cs="仿宋_GB2312"/>
          <w:color w:val="000000"/>
          <w:kern w:val="0"/>
          <w:sz w:val="32"/>
          <w:szCs w:val="32"/>
          <w:lang w:val="en-US" w:eastAsia="zh-CN" w:bidi="ar"/>
        </w:rPr>
        <w:t>行政单位医疗</w:t>
      </w:r>
      <w:r>
        <w:rPr>
          <w:rFonts w:hint="eastAsia" w:ascii="仿宋_GB2312" w:hAnsi="Calibri" w:eastAsia="仿宋_GB2312" w:cs="仿宋_GB2312"/>
          <w:b/>
          <w:bCs/>
          <w:color w:val="000000"/>
          <w:kern w:val="0"/>
          <w:sz w:val="32"/>
          <w:szCs w:val="32"/>
          <w:lang w:val="en-US" w:eastAsia="zh-CN" w:bidi="ar"/>
        </w:rPr>
        <w:t>（2101101）：</w:t>
      </w:r>
      <w:r>
        <w:rPr>
          <w:rFonts w:hint="eastAsia" w:ascii="仿宋_GB2312" w:hAnsi="Calibri" w:eastAsia="仿宋_GB2312" w:cs="仿宋_GB2312"/>
          <w:color w:val="000000"/>
          <w:kern w:val="0"/>
          <w:sz w:val="32"/>
          <w:szCs w:val="32"/>
          <w:lang w:val="en-US" w:eastAsia="zh-CN" w:bidi="ar"/>
        </w:rPr>
        <w:t>指反映</w:t>
      </w:r>
      <w:r>
        <w:rPr>
          <w:rFonts w:hint="eastAsia" w:ascii="仿宋_GB2312" w:hAnsi="Times New Roman" w:eastAsia="仿宋_GB2312" w:cs="仿宋_GB2312"/>
          <w:b w:val="0"/>
          <w:color w:val="000000"/>
          <w:kern w:val="2"/>
          <w:sz w:val="32"/>
          <w:szCs w:val="32"/>
          <w:lang w:val="en-US" w:eastAsia="zh-CN" w:bidi="ar"/>
        </w:rPr>
        <w:t>财政部门安排的行政单位（包括实行公务员管理的事业单位）基本医疗保险缴费经费，未参加医疗保险的行政单位的公费医疗经费，按国家规定享受离休人员、红军老战士待遇人员的医疗经费。</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9.农林水支出（213）：</w:t>
      </w:r>
      <w:r>
        <w:rPr>
          <w:rFonts w:hint="eastAsia" w:ascii="仿宋_GB2312" w:hAnsi="Calibri" w:eastAsia="仿宋_GB2312" w:cs="仿宋_GB2312"/>
          <w:color w:val="000000"/>
          <w:kern w:val="0"/>
          <w:sz w:val="32"/>
          <w:szCs w:val="32"/>
          <w:lang w:val="en-US" w:eastAsia="zh-CN" w:bidi="ar"/>
        </w:rPr>
        <w:t>指反映政府农林水事务支出。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其他扶贫支出</w:t>
      </w:r>
      <w:r>
        <w:rPr>
          <w:rFonts w:hint="eastAsia" w:ascii="仿宋_GB2312" w:hAnsi="Calibri" w:eastAsia="仿宋_GB2312" w:cs="仿宋_GB2312"/>
          <w:b/>
          <w:bCs/>
          <w:color w:val="000000"/>
          <w:kern w:val="0"/>
          <w:sz w:val="32"/>
          <w:szCs w:val="32"/>
          <w:lang w:val="en-US" w:eastAsia="zh-CN" w:bidi="ar"/>
        </w:rPr>
        <w:t>（2130599）：</w:t>
      </w:r>
      <w:r>
        <w:rPr>
          <w:rFonts w:hint="eastAsia" w:ascii="仿宋_GB2312" w:hAnsi="Calibri" w:eastAsia="仿宋_GB2312" w:cs="仿宋_GB2312"/>
          <w:color w:val="000000"/>
          <w:kern w:val="0"/>
          <w:sz w:val="32"/>
          <w:szCs w:val="32"/>
          <w:lang w:val="en-US" w:eastAsia="zh-CN" w:bidi="ar"/>
        </w:rPr>
        <w:t>指反映除上述项目以外其他用于扶贫方面的支出。</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2" w:firstLineChars="200"/>
        <w:jc w:val="both"/>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10.</w:t>
      </w:r>
      <w:r>
        <w:rPr>
          <w:rFonts w:hint="default" w:ascii="仿宋_GB2312" w:hAnsi="Times New Roman" w:eastAsia="仿宋_GB2312" w:cs="仿宋_GB2312"/>
          <w:b/>
          <w:bCs/>
          <w:color w:val="000000"/>
          <w:kern w:val="2"/>
          <w:sz w:val="32"/>
          <w:szCs w:val="32"/>
          <w:lang w:val="en-US" w:eastAsia="zh-CN" w:bidi="ar"/>
        </w:rPr>
        <w:t>商业服务业等支出</w:t>
      </w:r>
      <w:r>
        <w:rPr>
          <w:rFonts w:hint="eastAsia" w:ascii="仿宋_GB2312" w:hAnsi="Times New Roman" w:eastAsia="仿宋_GB2312" w:cs="仿宋_GB2312"/>
          <w:b/>
          <w:bCs/>
          <w:color w:val="000000"/>
          <w:kern w:val="2"/>
          <w:sz w:val="32"/>
          <w:szCs w:val="32"/>
          <w:lang w:val="en-US" w:eastAsia="zh-CN" w:bidi="ar"/>
        </w:rPr>
        <w:t>（216）：</w:t>
      </w:r>
      <w:r>
        <w:rPr>
          <w:rFonts w:hint="eastAsia" w:ascii="仿宋_GB2312" w:hAnsi="Calibri" w:eastAsia="仿宋_GB2312" w:cs="仿宋_GB2312"/>
          <w:color w:val="000000"/>
          <w:kern w:val="0"/>
          <w:sz w:val="32"/>
          <w:szCs w:val="32"/>
          <w:lang w:val="en-US" w:eastAsia="zh-CN" w:bidi="ar"/>
        </w:rPr>
        <w:t>指反映商业服务业等方面的支出，其中：</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行政运行</w:t>
      </w:r>
      <w:r>
        <w:rPr>
          <w:rFonts w:hint="eastAsia" w:ascii="仿宋_GB2312" w:hAnsi="Calibri" w:eastAsia="仿宋_GB2312" w:cs="仿宋_GB2312"/>
          <w:b/>
          <w:bCs/>
          <w:color w:val="000000"/>
          <w:kern w:val="0"/>
          <w:sz w:val="32"/>
          <w:szCs w:val="32"/>
          <w:lang w:val="en-US" w:eastAsia="zh-CN" w:bidi="ar"/>
        </w:rPr>
        <w:t>（2160201）：</w:t>
      </w:r>
      <w:r>
        <w:rPr>
          <w:rFonts w:hint="eastAsia" w:ascii="仿宋_GB2312" w:hAnsi="Calibri" w:eastAsia="仿宋_GB2312" w:cs="仿宋_GB2312"/>
          <w:b w:val="0"/>
          <w:bCs w:val="0"/>
          <w:color w:val="000000"/>
          <w:kern w:val="0"/>
          <w:sz w:val="32"/>
          <w:szCs w:val="32"/>
          <w:lang w:val="en-US" w:eastAsia="zh-CN" w:bidi="ar"/>
        </w:rPr>
        <w:t>指反映行政单位（包括实行公务员管理的事业单位）的基本支出。</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left"/>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一般行政管理事务</w:t>
      </w:r>
      <w:r>
        <w:rPr>
          <w:rFonts w:hint="eastAsia" w:ascii="仿宋_GB2312" w:hAnsi="Calibri" w:eastAsia="仿宋_GB2312" w:cs="仿宋_GB2312"/>
          <w:b/>
          <w:bCs/>
          <w:color w:val="000000"/>
          <w:kern w:val="0"/>
          <w:sz w:val="32"/>
          <w:szCs w:val="32"/>
          <w:lang w:val="en-US" w:eastAsia="zh-CN" w:bidi="ar"/>
        </w:rPr>
        <w:t>（2160202）：</w:t>
      </w:r>
      <w:r>
        <w:rPr>
          <w:rFonts w:hint="eastAsia" w:ascii="仿宋_GB2312" w:hAnsi="Calibri" w:eastAsia="仿宋_GB2312" w:cs="仿宋_GB2312"/>
          <w:b w:val="0"/>
          <w:bCs w:val="0"/>
          <w:color w:val="000000"/>
          <w:kern w:val="0"/>
          <w:sz w:val="32"/>
          <w:szCs w:val="32"/>
          <w:lang w:val="en-US" w:eastAsia="zh-CN" w:bidi="ar"/>
        </w:rPr>
        <w:t>指反映行政单位（包括实行公务员管理的事业单位）未单独设置项级科目的其他项目支出。</w:t>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 xml:space="preserve">  </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事业运行</w:t>
      </w:r>
      <w:r>
        <w:rPr>
          <w:rFonts w:hint="eastAsia" w:ascii="仿宋_GB2312" w:hAnsi="Calibri" w:eastAsia="仿宋_GB2312" w:cs="仿宋_GB2312"/>
          <w:b/>
          <w:bCs/>
          <w:color w:val="000000"/>
          <w:kern w:val="0"/>
          <w:sz w:val="32"/>
          <w:szCs w:val="32"/>
          <w:lang w:val="en-US" w:eastAsia="zh-CN" w:bidi="ar"/>
        </w:rPr>
        <w:t>（2160250）：</w:t>
      </w:r>
      <w:r>
        <w:rPr>
          <w:rFonts w:hint="eastAsia" w:ascii="仿宋" w:hAnsi="仿宋" w:eastAsia="仿宋" w:cs="仿宋"/>
          <w:kern w:val="2"/>
          <w:sz w:val="32"/>
          <w:szCs w:val="32"/>
          <w:lang w:val="en-US" w:eastAsia="zh-CN" w:bidi="ar-SA"/>
        </w:rPr>
        <w:t>指反映事业单位的基本支出，不包括行政单位（包括实行公务员管理的事业单位）后勤服务中心、医务室等附属事业单位。</w:t>
      </w:r>
      <w:r>
        <w:rPr>
          <w:rFonts w:hint="eastAsia" w:ascii="仿宋_GB2312" w:hAnsi="Calibri" w:eastAsia="仿宋_GB2312" w:cs="仿宋_GB2312"/>
          <w:b w:val="0"/>
          <w:bCs w:val="0"/>
          <w:color w:val="000000"/>
          <w:kern w:val="0"/>
          <w:sz w:val="32"/>
          <w:szCs w:val="32"/>
          <w:lang w:val="en-US" w:eastAsia="zh-CN" w:bidi="ar"/>
        </w:rPr>
        <w:tab/>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其他商业流通事务支出</w:t>
      </w:r>
      <w:r>
        <w:rPr>
          <w:rFonts w:hint="eastAsia" w:ascii="仿宋_GB2312" w:hAnsi="Calibri" w:eastAsia="仿宋_GB2312" w:cs="仿宋_GB2312"/>
          <w:b/>
          <w:bCs/>
          <w:color w:val="000000"/>
          <w:kern w:val="0"/>
          <w:sz w:val="32"/>
          <w:szCs w:val="32"/>
          <w:lang w:val="en-US" w:eastAsia="zh-CN" w:bidi="ar"/>
        </w:rPr>
        <w:t>（2160299）：</w:t>
      </w:r>
      <w:r>
        <w:rPr>
          <w:rFonts w:hint="eastAsia" w:ascii="仿宋_GB2312" w:hAnsi="Calibri" w:eastAsia="仿宋_GB2312" w:cs="仿宋_GB2312"/>
          <w:color w:val="000000"/>
          <w:kern w:val="0"/>
          <w:sz w:val="32"/>
          <w:szCs w:val="32"/>
          <w:lang w:val="en-US" w:eastAsia="zh-CN" w:bidi="ar"/>
        </w:rPr>
        <w:t>指反映除上述项目以外其他用于商业流通事务方面的支出。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其他涉外发展服务支出</w:t>
      </w:r>
      <w:r>
        <w:rPr>
          <w:rFonts w:hint="eastAsia" w:ascii="仿宋_GB2312" w:hAnsi="Calibri" w:eastAsia="仿宋_GB2312" w:cs="仿宋_GB2312"/>
          <w:b/>
          <w:bCs/>
          <w:color w:val="000000"/>
          <w:kern w:val="0"/>
          <w:sz w:val="32"/>
          <w:szCs w:val="32"/>
          <w:lang w:val="en-US" w:eastAsia="zh-CN" w:bidi="ar"/>
        </w:rPr>
        <w:t>（2160699）：</w:t>
      </w:r>
      <w:r>
        <w:rPr>
          <w:rFonts w:hint="eastAsia" w:ascii="仿宋_GB2312" w:hAnsi="Calibri" w:eastAsia="仿宋_GB2312" w:cs="仿宋_GB2312"/>
          <w:color w:val="000000"/>
          <w:kern w:val="0"/>
          <w:sz w:val="32"/>
          <w:szCs w:val="32"/>
          <w:lang w:val="en-US" w:eastAsia="zh-CN" w:bidi="ar"/>
        </w:rPr>
        <w:t>指反映除上述项目以外其他用于涉外发展事务方面的支出。</w:t>
      </w:r>
    </w:p>
    <w:p>
      <w:pPr>
        <w:keepNext w:val="0"/>
        <w:keepLines w:val="0"/>
        <w:widowControl w:val="0"/>
        <w:numPr>
          <w:ilvl w:val="0"/>
          <w:numId w:val="0"/>
        </w:numPr>
        <w:suppressLineNumbers w:val="0"/>
        <w:spacing w:before="0" w:beforeAutospacing="0" w:after="0" w:afterAutospacing="0"/>
        <w:ind w:right="0" w:rightChars="0" w:firstLine="642" w:firstLineChars="200"/>
        <w:jc w:val="left"/>
        <w:rPr>
          <w:rFonts w:hint="eastAsia"/>
          <w:lang w:val="en-US"/>
        </w:rPr>
      </w:pPr>
      <w:r>
        <w:rPr>
          <w:rFonts w:hint="eastAsia" w:ascii="仿宋_GB2312" w:eastAsia="仿宋_GB2312" w:cs="仿宋_GB2312"/>
          <w:b/>
          <w:bCs/>
          <w:color w:val="000000"/>
          <w:kern w:val="2"/>
          <w:sz w:val="32"/>
          <w:szCs w:val="32"/>
          <w:lang w:val="en-US" w:eastAsia="zh-CN" w:bidi="ar"/>
        </w:rPr>
        <w:t>11.</w:t>
      </w:r>
      <w:r>
        <w:rPr>
          <w:rFonts w:hint="eastAsia" w:ascii="仿宋_GB2312" w:hAnsi="Times New Roman" w:eastAsia="仿宋_GB2312" w:cs="仿宋_GB2312"/>
          <w:b/>
          <w:bCs/>
          <w:color w:val="000000"/>
          <w:kern w:val="2"/>
          <w:sz w:val="32"/>
          <w:szCs w:val="32"/>
          <w:lang w:val="en-US" w:eastAsia="zh-CN" w:bidi="ar"/>
        </w:rPr>
        <w:t>住房保障（221）：</w:t>
      </w:r>
      <w:r>
        <w:rPr>
          <w:rFonts w:hint="eastAsia" w:ascii="仿宋_GB2312" w:hAnsi="Times New Roman" w:eastAsia="仿宋_GB2312" w:cs="仿宋_GB2312"/>
          <w:color w:val="000000"/>
          <w:kern w:val="2"/>
          <w:sz w:val="32"/>
          <w:szCs w:val="32"/>
          <w:lang w:val="en-US" w:eastAsia="zh-CN" w:bidi="ar"/>
        </w:rPr>
        <w:t>指集中反映政府用于住房方面的支出。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住房公积金</w:t>
      </w:r>
      <w:r>
        <w:rPr>
          <w:rFonts w:hint="eastAsia" w:ascii="仿宋_GB2312" w:hAnsi="Times New Roman" w:eastAsia="仿宋_GB2312" w:cs="仿宋_GB2312"/>
          <w:b/>
          <w:bCs/>
          <w:color w:val="000000"/>
          <w:kern w:val="2"/>
          <w:sz w:val="32"/>
          <w:szCs w:val="32"/>
          <w:lang w:val="en-US" w:eastAsia="zh-CN" w:bidi="ar"/>
        </w:rPr>
        <w:t>（2210201）</w:t>
      </w:r>
      <w:r>
        <w:rPr>
          <w:rFonts w:hint="eastAsia" w:ascii="仿宋_GB2312" w:hAnsi="Times New Roman" w:eastAsia="仿宋_GB2312" w:cs="仿宋_GB2312"/>
          <w:color w:val="000000"/>
          <w:kern w:val="2"/>
          <w:sz w:val="32"/>
          <w:szCs w:val="32"/>
          <w:lang w:val="en-US" w:eastAsia="zh-CN" w:bidi="ar"/>
        </w:rPr>
        <w:t>：指反映行政事业单位按人力资源和社会保障部、财政部规定的基本工资和津贴补贴以及规定比例为职工缴纳的住房公积金。</w:t>
      </w:r>
    </w:p>
    <w:p>
      <w:pPr>
        <w:keepNext w:val="0"/>
        <w:keepLines w:val="0"/>
        <w:widowControl w:val="0"/>
        <w:suppressLineNumbers w:val="0"/>
        <w:spacing w:before="0" w:beforeAutospacing="0" w:after="0" w:afterAutospacing="0"/>
        <w:ind w:left="0" w:right="0" w:firstLine="642" w:firstLineChars="200"/>
        <w:jc w:val="both"/>
        <w:rPr>
          <w:rFonts w:hint="eastAsia" w:ascii="仿宋_GB2312" w:eastAsia="仿宋_GB2312" w:cs="仿宋_GB2312"/>
          <w:color w:val="000000"/>
          <w:sz w:val="32"/>
          <w:szCs w:val="32"/>
          <w:lang w:val="en-US"/>
        </w:rPr>
      </w:pPr>
      <w:r>
        <w:rPr>
          <w:rFonts w:hint="eastAsia" w:ascii="仿宋_GB2312" w:eastAsia="仿宋_GB2312" w:cs="仿宋_GB2312"/>
          <w:b/>
          <w:bCs/>
          <w:color w:val="000000"/>
          <w:kern w:val="2"/>
          <w:sz w:val="32"/>
          <w:szCs w:val="32"/>
          <w:lang w:val="en-US" w:eastAsia="zh-CN" w:bidi="ar"/>
        </w:rPr>
        <w:t>12.基本支出：</w:t>
      </w:r>
      <w:r>
        <w:rPr>
          <w:rFonts w:hint="eastAsia" w:ascii="仿宋_GB2312" w:hAnsi="Times New Roman" w:eastAsia="仿宋_GB2312" w:cs="仿宋_GB2312"/>
          <w:color w:val="000000"/>
          <w:kern w:val="2"/>
          <w:sz w:val="32"/>
          <w:szCs w:val="32"/>
          <w:lang w:val="en-US" w:eastAsia="zh-CN" w:bidi="ar"/>
        </w:rPr>
        <w:t>指为保障机构正常运转、完成日常工作任务而发生的人员支出和公用支出。</w:t>
      </w:r>
    </w:p>
    <w:p>
      <w:pPr>
        <w:keepNext w:val="0"/>
        <w:keepLines w:val="0"/>
        <w:widowControl w:val="0"/>
        <w:suppressLineNumbers w:val="0"/>
        <w:spacing w:before="0" w:beforeAutospacing="0" w:after="0" w:afterAutospacing="0"/>
        <w:ind w:left="0" w:right="0" w:firstLine="642" w:firstLineChars="200"/>
        <w:jc w:val="both"/>
        <w:rPr>
          <w:rFonts w:hint="eastAsia" w:ascii="仿宋_GB2312" w:eastAsia="仿宋_GB2312" w:cs="仿宋_GB2312"/>
          <w:color w:val="000000"/>
          <w:sz w:val="32"/>
          <w:szCs w:val="32"/>
          <w:lang w:val="en-US"/>
        </w:rPr>
      </w:pPr>
      <w:r>
        <w:rPr>
          <w:rFonts w:hint="eastAsia" w:ascii="仿宋_GB2312" w:eastAsia="仿宋_GB2312" w:cs="仿宋_GB2312"/>
          <w:b/>
          <w:bCs/>
          <w:color w:val="000000"/>
          <w:kern w:val="2"/>
          <w:sz w:val="32"/>
          <w:szCs w:val="32"/>
          <w:lang w:val="en-US" w:eastAsia="zh-CN" w:bidi="ar"/>
        </w:rPr>
        <w:t>13.项目支出：</w:t>
      </w:r>
      <w:r>
        <w:rPr>
          <w:rFonts w:hint="eastAsia" w:ascii="仿宋_GB2312" w:hAnsi="Times New Roman" w:eastAsia="仿宋_GB2312" w:cs="仿宋_GB2312"/>
          <w:color w:val="000000"/>
          <w:kern w:val="2"/>
          <w:sz w:val="32"/>
          <w:szCs w:val="32"/>
          <w:lang w:val="en-US" w:eastAsia="zh-CN" w:bidi="ar"/>
        </w:rPr>
        <w:t xml:space="preserve">指在基本支出之外为完成特定行政任务和事业发展目标所发生的支出。 </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b/>
          <w:bCs/>
          <w:color w:val="000000"/>
          <w:kern w:val="2"/>
          <w:sz w:val="32"/>
          <w:szCs w:val="32"/>
          <w:lang w:val="en-US" w:eastAsia="zh-CN" w:bidi="ar"/>
        </w:rPr>
        <w:t>14.“三公”经费：</w:t>
      </w:r>
      <w:r>
        <w:rPr>
          <w:rFonts w:hint="eastAsia" w:ascii="仿宋_GB2312" w:hAnsi="Calibri" w:eastAsia="仿宋_GB2312" w:cs="仿宋_GB2312"/>
          <w:color w:val="000000"/>
          <w:kern w:val="0"/>
          <w:sz w:val="32"/>
          <w:szCs w:val="32"/>
          <w:lang w:val="en-US" w:eastAsia="zh-CN" w:bidi="ar"/>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15.机关运行经费：</w:t>
      </w:r>
      <w:r>
        <w:rPr>
          <w:rFonts w:hint="eastAsia" w:ascii="仿宋_GB2312" w:hAnsi="Calibri" w:eastAsia="仿宋_GB2312" w:cs="仿宋_GB2312"/>
          <w:color w:val="000000"/>
          <w:kern w:val="0"/>
          <w:sz w:val="32"/>
          <w:szCs w:val="32"/>
          <w:lang w:val="en-US" w:eastAsia="zh-CN" w:bidi="ar"/>
        </w:rPr>
        <w:t>为保障行政单位（含参照公务员法管理的事业单位）运行用于购买货物和服务的各项资金，包括办公及印刷费、手续费、邮电费、差旅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beforeLines="0" w:afterLines="0" w:line="560" w:lineRule="exact"/>
        <w:ind w:firstLine="640"/>
        <w:jc w:val="center"/>
        <w:textAlignment w:val="auto"/>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lang w:val="en-US" w:eastAsia="zh-CN"/>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
        <w:rPr>
          <w:rFonts w:hint="eastAsia"/>
          <w:lang w:val="en-US" w:eastAsia="zh-CN"/>
        </w:rPr>
      </w:pPr>
    </w:p>
    <w:p>
      <w:pPr>
        <w:pStyle w:val="3"/>
        <w:rPr>
          <w:rFonts w:hint="eastAsia" w:ascii="黑体" w:hAnsi="宋体" w:eastAsia="黑体" w:cs="黑体"/>
          <w:color w:val="000000"/>
          <w:kern w:val="2"/>
          <w:sz w:val="44"/>
          <w:szCs w:val="44"/>
          <w:lang w:val="en-US" w:eastAsia="zh-CN" w:bidi="ar"/>
        </w:rPr>
      </w:pPr>
    </w:p>
    <w:p>
      <w:pPr>
        <w:pStyle w:val="3"/>
        <w:rPr>
          <w:rFonts w:hint="eastAsia" w:ascii="黑体" w:hAnsi="宋体" w:eastAsia="黑体" w:cs="黑体"/>
          <w:color w:val="000000"/>
          <w:kern w:val="2"/>
          <w:sz w:val="44"/>
          <w:szCs w:val="44"/>
          <w:lang w:val="en-US" w:eastAsia="zh-CN" w:bidi="ar"/>
        </w:rPr>
      </w:pPr>
    </w:p>
    <w:p>
      <w:pPr>
        <w:pStyle w:val="3"/>
        <w:rPr>
          <w:rFonts w:hint="eastAsia" w:ascii="黑体" w:hAnsi="宋体" w:eastAsia="黑体" w:cs="黑体"/>
          <w:color w:val="000000"/>
          <w:kern w:val="2"/>
          <w:sz w:val="44"/>
          <w:szCs w:val="44"/>
          <w:lang w:val="en-US" w:eastAsia="zh-CN" w:bidi="ar"/>
        </w:rPr>
      </w:pPr>
    </w:p>
    <w:p>
      <w:pPr>
        <w:rPr>
          <w:rFonts w:hint="eastAsia"/>
          <w:lang w:val="en-US" w:eastAsia="zh-CN"/>
        </w:rPr>
      </w:pPr>
    </w:p>
    <w:p>
      <w:pPr>
        <w:pStyle w:val="22"/>
        <w:rPr>
          <w:rFonts w:hint="eastAsia"/>
          <w:lang w:val="en-US" w:eastAsia="zh-CN"/>
        </w:rPr>
      </w:pPr>
    </w:p>
    <w:p>
      <w:pPr>
        <w:keepNext w:val="0"/>
        <w:keepLines w:val="0"/>
        <w:pageBreakBefore w:val="0"/>
        <w:kinsoku/>
        <w:wordWrap/>
        <w:overflowPunct/>
        <w:topLinePunct w:val="0"/>
        <w:bidi w:val="0"/>
        <w:snapToGrid/>
        <w:spacing w:beforeLines="0" w:afterLines="0" w:line="560" w:lineRule="exact"/>
        <w:ind w:firstLine="640"/>
        <w:jc w:val="center"/>
        <w:textAlignment w:val="auto"/>
        <w:rPr>
          <w:rFonts w:hint="eastAsia" w:ascii="仿宋" w:hAnsi="仿宋" w:eastAsia="仿宋" w:cs="仿宋"/>
          <w:b w:val="0"/>
          <w:bCs/>
          <w:color w:val="auto"/>
          <w:sz w:val="32"/>
          <w:szCs w:val="32"/>
          <w:lang w:val="en-US" w:eastAsia="zh-CN"/>
        </w:rPr>
      </w:pPr>
      <w:r>
        <w:rPr>
          <w:rFonts w:hint="eastAsia" w:ascii="黑体" w:hAnsi="宋体" w:eastAsia="黑体" w:cs="黑体"/>
          <w:color w:val="000000"/>
          <w:kern w:val="2"/>
          <w:sz w:val="44"/>
          <w:szCs w:val="44"/>
          <w:lang w:val="en-US" w:eastAsia="zh-CN" w:bidi="ar"/>
        </w:rPr>
        <w:t>第四部分  附件</w:t>
      </w:r>
    </w:p>
    <w:p>
      <w:pPr>
        <w:autoSpaceDN w:val="0"/>
        <w:spacing w:line="576" w:lineRule="exact"/>
        <w:jc w:val="left"/>
        <w:outlineLvl w:val="2"/>
        <w:rPr>
          <w:rFonts w:hint="eastAsia" w:ascii="黑体" w:hAnsi="黑体" w:eastAsia="黑体" w:cs="宋体"/>
          <w:b/>
          <w:kern w:val="0"/>
          <w:sz w:val="42"/>
          <w:szCs w:val="42"/>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1：</w:t>
      </w:r>
    </w:p>
    <w:p>
      <w:pPr>
        <w:widowControl/>
        <w:spacing w:line="580" w:lineRule="exact"/>
        <w:contextualSpacing/>
        <w:jc w:val="center"/>
        <w:rPr>
          <w:rFonts w:hint="eastAsia" w:ascii="方正大标宋简体" w:hAnsi="方正大标宋简体" w:eastAsia="方正大标宋简体" w:cs="方正大标宋简体"/>
          <w:b w:val="0"/>
          <w:bCs w:val="0"/>
          <w:sz w:val="36"/>
          <w:szCs w:val="36"/>
          <w:lang w:eastAsia="zh-CN"/>
        </w:rPr>
      </w:pPr>
      <w:r>
        <w:rPr>
          <w:rFonts w:hint="eastAsia" w:ascii="方正大标宋简体" w:hAnsi="方正大标宋简体" w:eastAsia="方正大标宋简体" w:cs="方正大标宋简体"/>
          <w:b w:val="0"/>
          <w:bCs w:val="0"/>
          <w:sz w:val="36"/>
          <w:szCs w:val="36"/>
          <w:lang w:eastAsia="zh-CN"/>
        </w:rPr>
        <w:t>广元市朝天区商务局</w:t>
      </w:r>
    </w:p>
    <w:p>
      <w:pPr>
        <w:widowControl/>
        <w:spacing w:line="580" w:lineRule="exact"/>
        <w:contextualSpacing/>
        <w:jc w:val="center"/>
        <w:rPr>
          <w:rFonts w:hint="eastAsia"/>
        </w:rPr>
      </w:pPr>
      <w:r>
        <w:rPr>
          <w:rFonts w:hint="eastAsia" w:ascii="方正大标宋简体" w:hAnsi="方正大标宋简体" w:eastAsia="方正大标宋简体" w:cs="方正大标宋简体"/>
          <w:b w:val="0"/>
          <w:bCs w:val="0"/>
          <w:sz w:val="36"/>
          <w:szCs w:val="36"/>
          <w:shd w:val="clear" w:color="auto" w:fill="FFFFFF"/>
        </w:rPr>
        <w:t>202</w:t>
      </w:r>
      <w:r>
        <w:rPr>
          <w:rFonts w:hint="eastAsia" w:ascii="方正大标宋简体" w:hAnsi="方正大标宋简体" w:eastAsia="方正大标宋简体" w:cs="方正大标宋简体"/>
          <w:b w:val="0"/>
          <w:bCs w:val="0"/>
          <w:sz w:val="36"/>
          <w:szCs w:val="36"/>
          <w:shd w:val="clear" w:color="auto" w:fill="FFFFFF"/>
          <w:lang w:val="en-US" w:eastAsia="zh-CN"/>
        </w:rPr>
        <w:t>1</w:t>
      </w:r>
      <w:r>
        <w:rPr>
          <w:rFonts w:hint="eastAsia" w:ascii="方正大标宋简体" w:hAnsi="方正大标宋简体" w:eastAsia="方正大标宋简体" w:cs="方正大标宋简体"/>
          <w:b w:val="0"/>
          <w:bCs w:val="0"/>
          <w:sz w:val="36"/>
          <w:szCs w:val="36"/>
          <w:shd w:val="clear" w:color="auto" w:fill="FFFFFF"/>
        </w:rPr>
        <w:t>年</w:t>
      </w:r>
      <w:r>
        <w:rPr>
          <w:rFonts w:hint="eastAsia" w:ascii="方正大标宋简体" w:hAnsi="方正大标宋简体" w:eastAsia="方正大标宋简体" w:cs="方正大标宋简体"/>
          <w:b w:val="0"/>
          <w:bCs w:val="0"/>
          <w:sz w:val="36"/>
          <w:szCs w:val="36"/>
          <w:shd w:val="clear" w:color="auto" w:fill="FFFFFF"/>
          <w:lang w:val="en-US" w:eastAsia="zh-CN"/>
        </w:rPr>
        <w:t>度</w:t>
      </w:r>
      <w:r>
        <w:rPr>
          <w:rFonts w:hint="eastAsia" w:ascii="方正大标宋简体" w:hAnsi="方正大标宋简体" w:eastAsia="方正大标宋简体" w:cs="方正大标宋简体"/>
          <w:b w:val="0"/>
          <w:bCs w:val="0"/>
          <w:sz w:val="36"/>
          <w:szCs w:val="36"/>
          <w:shd w:val="clear" w:color="auto" w:fill="FFFFFF"/>
        </w:rPr>
        <w:t>部门整体支出绩效自评报告</w:t>
      </w:r>
    </w:p>
    <w:p>
      <w:pPr>
        <w:keepNext w:val="0"/>
        <w:keepLines w:val="0"/>
        <w:pageBreakBefore w:val="0"/>
        <w:widowControl/>
        <w:kinsoku/>
        <w:wordWrap/>
        <w:overflowPunct/>
        <w:topLinePunct w:val="0"/>
        <w:autoSpaceDE w:val="0"/>
        <w:autoSpaceDN/>
        <w:bidi w:val="0"/>
        <w:adjustRightInd w:val="0"/>
        <w:snapToGrid w:val="0"/>
        <w:spacing w:line="360" w:lineRule="auto"/>
        <w:contextualSpacing/>
        <w:jc w:val="left"/>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一、部门概况</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（一）机构组成</w:t>
      </w:r>
      <w:r>
        <w:rPr>
          <w:rFonts w:hint="eastAsia" w:ascii="仿宋" w:hAnsi="仿宋" w:eastAsia="仿宋" w:cs="仿宋"/>
          <w:b/>
          <w:bCs/>
          <w:color w:val="000000"/>
          <w:kern w:val="0"/>
          <w:sz w:val="32"/>
          <w:szCs w:val="32"/>
          <w:shd w:val="clear" w:color="auto" w:fill="FFFFFF"/>
          <w:lang w:eastAsia="zh-CN"/>
        </w:rPr>
        <w:t>：</w:t>
      </w:r>
      <w:r>
        <w:rPr>
          <w:rFonts w:hint="eastAsia" w:ascii="仿宋" w:hAnsi="仿宋" w:eastAsia="仿宋" w:cs="仿宋"/>
          <w:color w:val="auto"/>
          <w:sz w:val="32"/>
          <w:szCs w:val="32"/>
        </w:rPr>
        <w:t>广元市朝天区商务局</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朝天区</w:t>
      </w:r>
      <w:r>
        <w:rPr>
          <w:rFonts w:hint="eastAsia" w:ascii="仿宋" w:hAnsi="仿宋" w:eastAsia="仿宋" w:cs="仿宋"/>
          <w:sz w:val="32"/>
          <w:szCs w:val="32"/>
          <w:lang w:eastAsia="zh-CN"/>
        </w:rPr>
        <w:t>人民政府工作部门，</w:t>
      </w:r>
      <w:r>
        <w:rPr>
          <w:rFonts w:hint="eastAsia" w:ascii="仿宋" w:hAnsi="仿宋" w:eastAsia="仿宋" w:cs="仿宋"/>
          <w:color w:val="auto"/>
          <w:sz w:val="32"/>
          <w:szCs w:val="32"/>
        </w:rPr>
        <w:t>属一级预算单位。内设机构：办公室、服务业发展协调股、市场体系建设股、市场运行调节股、外资外贸外经股、电子商务股6个股室</w:t>
      </w:r>
      <w:r>
        <w:rPr>
          <w:rFonts w:hint="eastAsia" w:ascii="仿宋" w:hAnsi="仿宋" w:eastAsia="仿宋" w:cs="仿宋"/>
          <w:b w:val="0"/>
          <w:bCs w:val="0"/>
          <w:color w:val="auto"/>
          <w:sz w:val="32"/>
          <w:szCs w:val="32"/>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360" w:lineRule="auto"/>
        <w:ind w:firstLine="602" w:firstLineChars="200"/>
        <w:contextualSpacing/>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0"/>
          <w:szCs w:val="30"/>
          <w:shd w:val="clear" w:color="auto" w:fill="FFFFFF"/>
          <w:lang w:eastAsia="zh-CN"/>
        </w:rPr>
        <w:t>（</w:t>
      </w:r>
      <w:r>
        <w:rPr>
          <w:rFonts w:hint="eastAsia" w:ascii="仿宋" w:hAnsi="仿宋" w:eastAsia="仿宋" w:cs="仿宋"/>
          <w:b/>
          <w:bCs/>
          <w:color w:val="000000"/>
          <w:kern w:val="0"/>
          <w:sz w:val="30"/>
          <w:szCs w:val="30"/>
          <w:shd w:val="clear" w:color="auto" w:fill="FFFFFF"/>
          <w:lang w:val="en-US" w:eastAsia="zh-CN"/>
        </w:rPr>
        <w:t>二</w:t>
      </w:r>
      <w:r>
        <w:rPr>
          <w:rFonts w:hint="eastAsia" w:ascii="仿宋" w:hAnsi="仿宋" w:eastAsia="仿宋" w:cs="仿宋"/>
          <w:b/>
          <w:bCs/>
          <w:color w:val="000000"/>
          <w:kern w:val="0"/>
          <w:sz w:val="30"/>
          <w:szCs w:val="30"/>
          <w:shd w:val="clear" w:color="auto" w:fill="FFFFFF"/>
          <w:lang w:eastAsia="zh-CN"/>
        </w:rPr>
        <w:t>）</w:t>
      </w:r>
      <w:r>
        <w:rPr>
          <w:rFonts w:hint="eastAsia" w:ascii="仿宋" w:hAnsi="仿宋" w:eastAsia="仿宋" w:cs="仿宋"/>
          <w:b/>
          <w:bCs/>
          <w:sz w:val="32"/>
          <w:szCs w:val="32"/>
          <w:lang w:val="en-US" w:eastAsia="zh-CN"/>
        </w:rPr>
        <w:t>主要职责：</w:t>
      </w:r>
      <w:r>
        <w:rPr>
          <w:rFonts w:hint="eastAsia" w:ascii="仿宋" w:hAnsi="仿宋" w:eastAsia="仿宋" w:cs="仿宋"/>
          <w:sz w:val="32"/>
          <w:szCs w:val="32"/>
          <w:lang w:eastAsia="zh-CN"/>
        </w:rPr>
        <w:t>贯彻落实党中央关于商务工作的方针、政策和决策部署，全面落实省委、市委、</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委关于商务工作的部署要求，在履行职责过程中坚持和加强党对商务工作的集中统一领导</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color w:val="auto"/>
          <w:sz w:val="32"/>
          <w:szCs w:val="32"/>
          <w:u w:val="none"/>
        </w:rPr>
      </w:pPr>
      <w:r>
        <w:rPr>
          <w:rFonts w:hint="eastAsia" w:ascii="仿宋" w:hAnsi="仿宋" w:eastAsia="仿宋" w:cs="仿宋"/>
          <w:b/>
          <w:bCs/>
          <w:sz w:val="32"/>
          <w:szCs w:val="32"/>
        </w:rPr>
        <w:t>（三）人员概况</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2021年区商务局</w:t>
      </w:r>
      <w:r>
        <w:rPr>
          <w:rFonts w:hint="eastAsia" w:ascii="仿宋" w:hAnsi="仿宋" w:eastAsia="仿宋" w:cs="仿宋"/>
          <w:sz w:val="32"/>
          <w:szCs w:val="32"/>
        </w:rPr>
        <w:t>总编制</w:t>
      </w:r>
      <w:r>
        <w:rPr>
          <w:rFonts w:hint="eastAsia" w:ascii="仿宋" w:hAnsi="仿宋" w:eastAsia="仿宋" w:cs="仿宋"/>
          <w:sz w:val="32"/>
          <w:szCs w:val="32"/>
          <w:lang w:val="en-US" w:eastAsia="zh-CN"/>
        </w:rPr>
        <w:t>15</w:t>
      </w:r>
      <w:r>
        <w:rPr>
          <w:rFonts w:hint="eastAsia" w:ascii="仿宋" w:hAnsi="仿宋" w:eastAsia="仿宋" w:cs="仿宋"/>
          <w:sz w:val="32"/>
          <w:szCs w:val="32"/>
        </w:rPr>
        <w:t>名，其中行政编制6名，参照公务员法管理编制1名，事业编制8名。20</w:t>
      </w:r>
      <w:r>
        <w:rPr>
          <w:rFonts w:hint="eastAsia" w:ascii="仿宋" w:hAnsi="仿宋" w:eastAsia="仿宋" w:cs="仿宋"/>
          <w:sz w:val="32"/>
          <w:szCs w:val="32"/>
          <w:lang w:val="en-US" w:eastAsia="zh-CN"/>
        </w:rPr>
        <w:t>21</w:t>
      </w:r>
      <w:r>
        <w:rPr>
          <w:rFonts w:hint="eastAsia" w:ascii="仿宋" w:hAnsi="仿宋" w:eastAsia="仿宋" w:cs="仿宋"/>
          <w:sz w:val="32"/>
          <w:szCs w:val="32"/>
        </w:rPr>
        <w:t>年底实有在职人员总数</w:t>
      </w:r>
      <w:r>
        <w:rPr>
          <w:rFonts w:hint="eastAsia" w:ascii="仿宋" w:hAnsi="仿宋" w:eastAsia="仿宋" w:cs="仿宋"/>
          <w:sz w:val="32"/>
          <w:szCs w:val="32"/>
          <w:lang w:val="en-US" w:eastAsia="zh-CN"/>
        </w:rPr>
        <w:t>17</w:t>
      </w:r>
      <w:r>
        <w:rPr>
          <w:rFonts w:hint="eastAsia" w:ascii="仿宋" w:hAnsi="仿宋" w:eastAsia="仿宋" w:cs="仿宋"/>
          <w:sz w:val="32"/>
          <w:szCs w:val="32"/>
        </w:rPr>
        <w:t>人，其中行政人员8人，参照公务员法管理编制1名，事业人员8人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二、部门财政资金收支情况</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sz w:val="32"/>
          <w:szCs w:val="32"/>
        </w:rPr>
      </w:pPr>
      <w:r>
        <w:rPr>
          <w:rFonts w:hint="eastAsia" w:ascii="仿宋" w:hAnsi="仿宋" w:eastAsia="仿宋" w:cs="仿宋"/>
          <w:b/>
          <w:bCs/>
          <w:sz w:val="32"/>
          <w:szCs w:val="32"/>
        </w:rPr>
        <w:t>（一）部门财政资金收入情况</w:t>
      </w:r>
    </w:p>
    <w:p>
      <w:pPr>
        <w:keepNext w:val="0"/>
        <w:keepLines w:val="0"/>
        <w:pageBreakBefore w:val="0"/>
        <w:widowControl/>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（一）部门财政资金收入情况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预算批复情况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根据《</w:t>
      </w:r>
      <w:r>
        <w:rPr>
          <w:rFonts w:hint="eastAsia" w:ascii="仿宋_GB2312" w:hAnsi="仿宋_GB2312" w:eastAsia="仿宋_GB2312" w:cs="仿宋_GB2312"/>
          <w:color w:val="000000"/>
          <w:kern w:val="0"/>
          <w:sz w:val="32"/>
          <w:szCs w:val="32"/>
          <w:shd w:val="clear" w:color="auto" w:fill="FFFFFF"/>
          <w:lang w:val="en-US" w:eastAsia="zh-CN"/>
        </w:rPr>
        <w:t>广元市朝天区</w:t>
      </w:r>
      <w:r>
        <w:rPr>
          <w:rFonts w:hint="eastAsia" w:ascii="仿宋_GB2312" w:hAnsi="仿宋_GB2312" w:eastAsia="仿宋_GB2312" w:cs="仿宋_GB2312"/>
          <w:color w:val="000000"/>
          <w:kern w:val="0"/>
          <w:sz w:val="32"/>
          <w:szCs w:val="32"/>
          <w:shd w:val="clear" w:color="auto" w:fill="FFFFFF"/>
        </w:rPr>
        <w:t>财政局关于</w:t>
      </w:r>
      <w:r>
        <w:rPr>
          <w:rFonts w:hint="eastAsia" w:ascii="仿宋_GB2312" w:hAnsi="仿宋_GB2312" w:eastAsia="仿宋_GB2312" w:cs="仿宋_GB2312"/>
          <w:color w:val="000000"/>
          <w:kern w:val="0"/>
          <w:sz w:val="32"/>
          <w:szCs w:val="32"/>
          <w:shd w:val="clear" w:color="auto" w:fill="FFFFFF"/>
          <w:lang w:val="en-US" w:eastAsia="zh-CN"/>
        </w:rPr>
        <w:t>批复</w:t>
      </w:r>
      <w:r>
        <w:rPr>
          <w:rFonts w:hint="eastAsia" w:ascii="仿宋_GB2312" w:hAnsi="仿宋_GB2312" w:eastAsia="仿宋_GB2312" w:cs="仿宋_GB2312"/>
          <w:color w:val="000000"/>
          <w:kern w:val="0"/>
          <w:sz w:val="32"/>
          <w:szCs w:val="32"/>
          <w:shd w:val="clear" w:color="auto" w:fill="FFFFFF"/>
        </w:rPr>
        <w:t>2021年</w:t>
      </w:r>
      <w:r>
        <w:rPr>
          <w:rFonts w:hint="eastAsia" w:ascii="仿宋_GB2312" w:hAnsi="仿宋_GB2312" w:eastAsia="仿宋_GB2312" w:cs="仿宋_GB2312"/>
          <w:color w:val="000000"/>
          <w:kern w:val="0"/>
          <w:sz w:val="32"/>
          <w:szCs w:val="32"/>
          <w:shd w:val="clear" w:color="auto" w:fill="FFFFFF"/>
          <w:lang w:val="en-US" w:eastAsia="zh-CN"/>
        </w:rPr>
        <w:t>综合预算及绩效目标</w:t>
      </w:r>
      <w:r>
        <w:rPr>
          <w:rFonts w:hint="eastAsia" w:ascii="仿宋_GB2312" w:hAnsi="仿宋_GB2312" w:eastAsia="仿宋_GB2312" w:cs="仿宋_GB2312"/>
          <w:color w:val="000000"/>
          <w:kern w:val="0"/>
          <w:sz w:val="32"/>
          <w:szCs w:val="32"/>
          <w:shd w:val="clear" w:color="auto" w:fill="FFFFFF"/>
        </w:rPr>
        <w:t>的通知》</w:t>
      </w:r>
      <w:r>
        <w:rPr>
          <w:rFonts w:hint="eastAsia" w:ascii="仿宋_GB2312" w:hAnsi="仿宋_GB2312" w:eastAsia="仿宋_GB2312" w:cs="仿宋_GB2312"/>
          <w:color w:val="auto"/>
          <w:kern w:val="0"/>
          <w:sz w:val="32"/>
          <w:szCs w:val="32"/>
          <w:u w:val="none"/>
          <w:shd w:val="clear" w:color="auto" w:fill="FFFFFF"/>
        </w:rPr>
        <w:t>（</w:t>
      </w:r>
      <w:r>
        <w:rPr>
          <w:rFonts w:hint="eastAsia" w:ascii="仿宋_GB2312" w:hAnsi="仿宋_GB2312" w:eastAsia="仿宋_GB2312" w:cs="仿宋_GB2312"/>
          <w:color w:val="auto"/>
          <w:kern w:val="0"/>
          <w:sz w:val="32"/>
          <w:szCs w:val="32"/>
          <w:u w:val="none"/>
          <w:shd w:val="clear" w:color="auto" w:fill="FFFFFF"/>
          <w:lang w:val="en-US" w:eastAsia="zh-CN"/>
        </w:rPr>
        <w:t>广朝</w:t>
      </w:r>
      <w:r>
        <w:rPr>
          <w:rFonts w:hint="eastAsia" w:ascii="仿宋_GB2312" w:hAnsi="仿宋_GB2312" w:eastAsia="仿宋_GB2312" w:cs="仿宋_GB2312"/>
          <w:color w:val="auto"/>
          <w:kern w:val="0"/>
          <w:sz w:val="32"/>
          <w:szCs w:val="32"/>
          <w:u w:val="none"/>
          <w:shd w:val="clear" w:color="auto" w:fill="FFFFFF"/>
        </w:rPr>
        <w:t>财发〔2021〕15号）</w:t>
      </w:r>
      <w:r>
        <w:rPr>
          <w:rFonts w:hint="eastAsia" w:ascii="仿宋_GB2312" w:hAnsi="仿宋_GB2312" w:eastAsia="仿宋_GB2312" w:cs="仿宋_GB2312"/>
          <w:color w:val="000000"/>
          <w:kern w:val="0"/>
          <w:sz w:val="32"/>
          <w:szCs w:val="32"/>
          <w:shd w:val="clear" w:color="auto" w:fill="FFFFFF"/>
        </w:rPr>
        <w:t>2021年</w:t>
      </w:r>
      <w:r>
        <w:rPr>
          <w:rFonts w:hint="eastAsia" w:ascii="仿宋_GB2312" w:hAnsi="仿宋_GB2312" w:eastAsia="仿宋_GB2312" w:cs="仿宋_GB2312"/>
          <w:color w:val="000000"/>
          <w:kern w:val="0"/>
          <w:sz w:val="32"/>
          <w:szCs w:val="32"/>
          <w:shd w:val="clear" w:color="auto" w:fill="FFFFFF"/>
          <w:lang w:val="en-US" w:eastAsia="zh-CN"/>
        </w:rPr>
        <w:t>区商务局</w:t>
      </w:r>
      <w:r>
        <w:rPr>
          <w:rFonts w:hint="eastAsia" w:ascii="仿宋_GB2312" w:hAnsi="仿宋_GB2312" w:eastAsia="仿宋_GB2312" w:cs="仿宋_GB2312"/>
          <w:color w:val="000000"/>
          <w:kern w:val="0"/>
          <w:sz w:val="32"/>
          <w:szCs w:val="32"/>
          <w:shd w:val="clear" w:color="auto" w:fill="FFFFFF"/>
        </w:rPr>
        <w:t>预算指标</w:t>
      </w:r>
      <w:r>
        <w:rPr>
          <w:rFonts w:hint="eastAsia" w:ascii="仿宋_GB2312" w:hAnsi="仿宋_GB2312" w:eastAsia="仿宋_GB2312" w:cs="仿宋_GB2312"/>
          <w:color w:val="000000"/>
          <w:kern w:val="0"/>
          <w:sz w:val="32"/>
          <w:szCs w:val="32"/>
          <w:shd w:val="clear" w:color="auto" w:fill="FFFFFF"/>
          <w:lang w:val="en-US" w:eastAsia="zh-CN"/>
        </w:rPr>
        <w:t>212.61</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其中：</w:t>
      </w:r>
      <w:r>
        <w:rPr>
          <w:rFonts w:hint="eastAsia" w:ascii="仿宋" w:hAnsi="仿宋" w:eastAsia="仿宋"/>
          <w:color w:val="auto"/>
          <w:sz w:val="32"/>
          <w:szCs w:val="32"/>
          <w:highlight w:val="none"/>
        </w:rPr>
        <w:t>一般公共预算财政拨款收入</w:t>
      </w:r>
      <w:r>
        <w:rPr>
          <w:rFonts w:hint="eastAsia" w:ascii="仿宋_GB2312" w:hAnsi="仿宋_GB2312" w:eastAsia="仿宋_GB2312" w:cs="仿宋_GB2312"/>
          <w:color w:val="000000"/>
          <w:kern w:val="0"/>
          <w:sz w:val="32"/>
          <w:szCs w:val="32"/>
          <w:shd w:val="clear" w:color="auto" w:fill="FFFFFF"/>
          <w:lang w:val="en-US" w:eastAsia="zh-CN"/>
        </w:rPr>
        <w:t>212.61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leftChars="200" w:firstLine="320" w:firstLineChars="1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2.调整</w:t>
      </w:r>
      <w:r>
        <w:rPr>
          <w:rFonts w:hint="eastAsia" w:ascii="仿宋_GB2312" w:hAnsi="仿宋_GB2312" w:eastAsia="仿宋_GB2312" w:cs="仿宋_GB2312"/>
          <w:color w:val="000000"/>
          <w:kern w:val="0"/>
          <w:sz w:val="32"/>
          <w:szCs w:val="32"/>
          <w:shd w:val="clear" w:color="auto" w:fill="FFFFFF"/>
        </w:rPr>
        <w:t>预算情况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rPr>
      </w:pPr>
      <w:r>
        <w:rPr>
          <w:rFonts w:hint="eastAsia" w:ascii="仿宋_GB2312" w:hAnsi="仿宋_GB2312" w:eastAsia="仿宋_GB2312" w:cs="仿宋_GB2312"/>
          <w:color w:val="000000"/>
          <w:kern w:val="0"/>
          <w:sz w:val="32"/>
          <w:szCs w:val="32"/>
          <w:shd w:val="clear" w:color="auto" w:fill="FFFFFF"/>
        </w:rPr>
        <w:t>2021年度，</w:t>
      </w:r>
      <w:r>
        <w:rPr>
          <w:rFonts w:hint="eastAsia" w:ascii="仿宋_GB2312" w:hAnsi="仿宋_GB2312" w:eastAsia="仿宋_GB2312" w:cs="仿宋_GB2312"/>
          <w:color w:val="000000"/>
          <w:kern w:val="0"/>
          <w:sz w:val="32"/>
          <w:szCs w:val="32"/>
          <w:shd w:val="clear" w:color="auto" w:fill="FFFFFF"/>
          <w:lang w:val="en-US" w:eastAsia="zh-CN"/>
        </w:rPr>
        <w:t>区商务局调整</w:t>
      </w:r>
      <w:r>
        <w:rPr>
          <w:rFonts w:hint="eastAsia" w:ascii="仿宋_GB2312" w:hAnsi="仿宋_GB2312" w:eastAsia="仿宋_GB2312" w:cs="仿宋_GB2312"/>
          <w:color w:val="000000"/>
          <w:kern w:val="0"/>
          <w:sz w:val="32"/>
          <w:szCs w:val="32"/>
          <w:shd w:val="clear" w:color="auto" w:fill="FFFFFF"/>
        </w:rPr>
        <w:t>预算</w:t>
      </w:r>
      <w:r>
        <w:rPr>
          <w:rFonts w:hint="eastAsia" w:ascii="仿宋_GB2312" w:hAnsi="仿宋_GB2312" w:eastAsia="仿宋_GB2312" w:cs="仿宋_GB2312"/>
          <w:color w:val="000000"/>
          <w:kern w:val="0"/>
          <w:sz w:val="32"/>
          <w:szCs w:val="32"/>
          <w:shd w:val="clear" w:color="auto" w:fill="FFFFFF"/>
          <w:lang w:val="en-US" w:eastAsia="zh-CN"/>
        </w:rPr>
        <w:t>收入为424.05</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val="en-US" w:eastAsia="zh-CN"/>
        </w:rPr>
        <w:t>比年初增加211.44万元，增加99.45%；</w:t>
      </w:r>
      <w:r>
        <w:rPr>
          <w:rFonts w:hint="eastAsia" w:ascii="仿宋_GB2312" w:hAnsi="仿宋_GB2312" w:eastAsia="仿宋_GB2312" w:cs="仿宋_GB2312"/>
          <w:color w:val="000000"/>
          <w:kern w:val="0"/>
          <w:sz w:val="32"/>
          <w:szCs w:val="32"/>
          <w:shd w:val="clear" w:color="auto" w:fill="FFFFFF"/>
        </w:rPr>
        <w:t>其中：</w:t>
      </w:r>
      <w:r>
        <w:rPr>
          <w:rFonts w:hint="eastAsia" w:ascii="仿宋" w:hAnsi="仿宋" w:eastAsia="仿宋"/>
          <w:color w:val="auto"/>
          <w:sz w:val="32"/>
          <w:szCs w:val="32"/>
          <w:highlight w:val="none"/>
        </w:rPr>
        <w:t>一般公共预算财政拨款收入</w:t>
      </w:r>
      <w:r>
        <w:rPr>
          <w:rFonts w:hint="eastAsia" w:ascii="仿宋" w:hAnsi="仿宋" w:eastAsia="仿宋"/>
          <w:color w:val="auto"/>
          <w:sz w:val="32"/>
          <w:szCs w:val="32"/>
          <w:highlight w:val="none"/>
          <w:lang w:val="en-US" w:eastAsia="zh-CN"/>
        </w:rPr>
        <w:t>424.05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s="仿宋"/>
          <w:sz w:val="32"/>
          <w:szCs w:val="32"/>
          <w:lang w:val="en-US" w:eastAsia="zh-CN"/>
        </w:rPr>
        <w:t>2021年初结转结余项目资金612.83万元</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（二）部门财政资金支出情况</w:t>
      </w:r>
    </w:p>
    <w:p>
      <w:pPr>
        <w:keepNext w:val="0"/>
        <w:keepLines w:val="0"/>
        <w:pageBreakBefore w:val="0"/>
        <w:widowControl/>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color w:val="000000"/>
          <w:kern w:val="0"/>
          <w:sz w:val="32"/>
          <w:szCs w:val="32"/>
          <w:shd w:val="clear" w:color="auto" w:fill="FFFFFF"/>
        </w:rPr>
        <w:t>2021年度，</w:t>
      </w:r>
      <w:r>
        <w:rPr>
          <w:rFonts w:hint="eastAsia" w:ascii="仿宋_GB2312" w:hAnsi="仿宋_GB2312" w:eastAsia="仿宋_GB2312" w:cs="仿宋_GB2312"/>
          <w:color w:val="000000"/>
          <w:kern w:val="0"/>
          <w:sz w:val="32"/>
          <w:szCs w:val="32"/>
          <w:shd w:val="clear" w:color="auto" w:fill="FFFFFF"/>
          <w:lang w:val="en-US" w:eastAsia="zh-CN"/>
        </w:rPr>
        <w:t>区商务局</w:t>
      </w:r>
      <w:r>
        <w:rPr>
          <w:rFonts w:hint="eastAsia" w:ascii="仿宋_GB2312" w:hAnsi="仿宋_GB2312" w:eastAsia="仿宋_GB2312" w:cs="仿宋_GB2312"/>
          <w:color w:val="000000"/>
          <w:kern w:val="0"/>
          <w:sz w:val="32"/>
          <w:szCs w:val="32"/>
          <w:shd w:val="clear" w:color="auto" w:fill="FFFFFF"/>
        </w:rPr>
        <w:t>一般公共预算支出</w:t>
      </w:r>
      <w:r>
        <w:rPr>
          <w:rFonts w:hint="eastAsia" w:ascii="仿宋_GB2312" w:hAnsi="仿宋_GB2312" w:eastAsia="仿宋_GB2312" w:cs="仿宋_GB2312"/>
          <w:color w:val="000000"/>
          <w:kern w:val="0"/>
          <w:sz w:val="32"/>
          <w:szCs w:val="32"/>
          <w:shd w:val="clear" w:color="auto" w:fill="FFFFFF"/>
          <w:lang w:val="en-US" w:eastAsia="zh-CN"/>
        </w:rPr>
        <w:t>1036.88</w:t>
      </w:r>
      <w:r>
        <w:rPr>
          <w:rFonts w:hint="eastAsia" w:ascii="仿宋_GB2312" w:hAnsi="仿宋_GB2312" w:eastAsia="仿宋_GB2312" w:cs="仿宋_GB2312"/>
          <w:color w:val="000000"/>
          <w:kern w:val="0"/>
          <w:sz w:val="32"/>
          <w:szCs w:val="32"/>
          <w:shd w:val="clear" w:color="auto" w:fill="FFFFFF"/>
        </w:rPr>
        <w:t>万元，其中：</w:t>
      </w:r>
      <w:r>
        <w:rPr>
          <w:rFonts w:hint="eastAsia" w:ascii="仿宋_GB2312" w:hAnsi="仿宋_GB2312" w:eastAsia="仿宋_GB2312" w:cs="仿宋_GB2312"/>
          <w:b/>
          <w:bCs/>
          <w:color w:val="000000"/>
          <w:kern w:val="0"/>
          <w:sz w:val="32"/>
          <w:szCs w:val="32"/>
          <w:shd w:val="clear" w:color="auto" w:fill="FFFFFF"/>
        </w:rPr>
        <w:t>按支出性质分</w:t>
      </w:r>
      <w:r>
        <w:rPr>
          <w:rFonts w:hint="eastAsia" w:ascii="仿宋_GB2312" w:hAnsi="仿宋_GB2312" w:eastAsia="仿宋_GB2312" w:cs="仿宋_GB2312"/>
          <w:b/>
          <w:bCs/>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基本支出</w:t>
      </w:r>
      <w:r>
        <w:rPr>
          <w:rFonts w:hint="eastAsia" w:ascii="仿宋_GB2312" w:hAnsi="仿宋_GB2312" w:eastAsia="仿宋_GB2312" w:cs="仿宋_GB2312"/>
          <w:color w:val="000000"/>
          <w:kern w:val="0"/>
          <w:sz w:val="32"/>
          <w:szCs w:val="32"/>
          <w:shd w:val="clear" w:color="auto" w:fill="FFFFFF"/>
          <w:lang w:val="en-US" w:eastAsia="zh-CN"/>
        </w:rPr>
        <w:t>260.58</w:t>
      </w:r>
      <w:r>
        <w:rPr>
          <w:rFonts w:hint="eastAsia" w:ascii="仿宋_GB2312" w:hAnsi="仿宋_GB2312" w:eastAsia="仿宋_GB2312" w:cs="仿宋_GB2312"/>
          <w:color w:val="000000"/>
          <w:kern w:val="0"/>
          <w:sz w:val="32"/>
          <w:szCs w:val="32"/>
          <w:shd w:val="clear" w:color="auto" w:fill="FFFFFF"/>
        </w:rPr>
        <w:t>万元，项目支出</w:t>
      </w:r>
      <w:r>
        <w:rPr>
          <w:rFonts w:hint="eastAsia" w:ascii="仿宋_GB2312" w:hAnsi="仿宋_GB2312" w:eastAsia="仿宋_GB2312" w:cs="仿宋_GB2312"/>
          <w:color w:val="000000"/>
          <w:kern w:val="0"/>
          <w:sz w:val="32"/>
          <w:szCs w:val="32"/>
          <w:shd w:val="clear" w:color="auto" w:fill="FFFFFF"/>
          <w:lang w:val="en-US" w:eastAsia="zh-CN"/>
        </w:rPr>
        <w:t>776.30</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b/>
          <w:bCs/>
          <w:color w:val="000000"/>
          <w:kern w:val="0"/>
          <w:sz w:val="32"/>
          <w:szCs w:val="32"/>
          <w:shd w:val="clear" w:color="auto" w:fill="FFFFFF"/>
        </w:rPr>
        <w:t>按支出经济分类分</w:t>
      </w:r>
      <w:r>
        <w:rPr>
          <w:rFonts w:hint="eastAsia" w:ascii="仿宋_GB2312" w:hAnsi="仿宋_GB2312" w:eastAsia="仿宋_GB2312" w:cs="仿宋_GB2312"/>
          <w:b/>
          <w:bCs/>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工资福利支出</w:t>
      </w:r>
      <w:r>
        <w:rPr>
          <w:rFonts w:hint="eastAsia" w:ascii="仿宋_GB2312" w:hAnsi="仿宋_GB2312" w:eastAsia="仿宋_GB2312" w:cs="仿宋_GB2312"/>
          <w:color w:val="000000"/>
          <w:kern w:val="0"/>
          <w:sz w:val="32"/>
          <w:szCs w:val="32"/>
          <w:shd w:val="clear" w:color="auto" w:fill="FFFFFF"/>
          <w:lang w:val="en-US" w:eastAsia="zh-CN"/>
        </w:rPr>
        <w:t>235.81</w:t>
      </w:r>
      <w:r>
        <w:rPr>
          <w:rFonts w:hint="eastAsia" w:ascii="仿宋_GB2312" w:hAnsi="仿宋_GB2312" w:eastAsia="仿宋_GB2312" w:cs="仿宋_GB2312"/>
          <w:color w:val="000000"/>
          <w:kern w:val="0"/>
          <w:sz w:val="32"/>
          <w:szCs w:val="32"/>
          <w:shd w:val="clear" w:color="auto" w:fill="FFFFFF"/>
        </w:rPr>
        <w:t>万元，商品服务支出</w:t>
      </w:r>
      <w:r>
        <w:rPr>
          <w:rFonts w:hint="eastAsia" w:ascii="仿宋_GB2312" w:hAnsi="仿宋_GB2312" w:eastAsia="仿宋_GB2312" w:cs="仿宋_GB2312"/>
          <w:color w:val="000000"/>
          <w:kern w:val="0"/>
          <w:sz w:val="32"/>
          <w:szCs w:val="32"/>
          <w:shd w:val="clear" w:color="auto" w:fill="FFFFFF"/>
          <w:lang w:val="en-US" w:eastAsia="zh-CN"/>
        </w:rPr>
        <w:t>203.47</w:t>
      </w:r>
      <w:r>
        <w:rPr>
          <w:rFonts w:hint="eastAsia" w:ascii="仿宋_GB2312" w:hAnsi="仿宋_GB2312" w:eastAsia="仿宋_GB2312" w:cs="仿宋_GB2312"/>
          <w:color w:val="000000"/>
          <w:kern w:val="0"/>
          <w:sz w:val="32"/>
          <w:szCs w:val="32"/>
          <w:shd w:val="clear" w:color="auto" w:fill="FFFFFF"/>
        </w:rPr>
        <w:t>万元，对个人和家庭的补助</w:t>
      </w:r>
      <w:r>
        <w:rPr>
          <w:rFonts w:hint="eastAsia" w:ascii="仿宋_GB2312" w:hAnsi="仿宋_GB2312" w:eastAsia="仿宋_GB2312" w:cs="仿宋_GB2312"/>
          <w:color w:val="000000"/>
          <w:kern w:val="0"/>
          <w:sz w:val="32"/>
          <w:szCs w:val="32"/>
          <w:shd w:val="clear" w:color="auto" w:fill="FFFFFF"/>
          <w:lang w:val="en-US" w:eastAsia="zh-CN"/>
        </w:rPr>
        <w:t>9.42</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对企业补助588.18万元</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2" w:firstLineChars="200"/>
        <w:contextualSpacing/>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三、部门整体预算绩效管理情况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42" w:firstLineChars="200"/>
        <w:contextualSpacing/>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（一）部门预算项目绩效管理</w:t>
      </w:r>
    </w:p>
    <w:p>
      <w:pPr>
        <w:pStyle w:val="9"/>
        <w:numPr>
          <w:ilvl w:val="0"/>
          <w:numId w:val="0"/>
        </w:numPr>
        <w:ind w:firstLine="640" w:firstLineChars="200"/>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1、 按支出性质分析预、决算差异情况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42" w:firstLineChars="200"/>
        <w:contextualSpacing/>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（1）基本支出：</w:t>
      </w:r>
      <w:r>
        <w:rPr>
          <w:rFonts w:hint="eastAsia" w:ascii="仿宋" w:hAnsi="仿宋" w:eastAsia="仿宋" w:cs="仿宋"/>
          <w:sz w:val="32"/>
          <w:szCs w:val="32"/>
          <w:lang w:val="en-US" w:eastAsia="zh-CN"/>
        </w:rPr>
        <w:t>2021年度一般公共预算</w:t>
      </w:r>
      <w:r>
        <w:rPr>
          <w:rFonts w:hint="eastAsia" w:ascii="仿宋" w:hAnsi="仿宋" w:eastAsia="仿宋" w:cs="仿宋"/>
          <w:kern w:val="2"/>
          <w:sz w:val="32"/>
          <w:szCs w:val="32"/>
          <w:lang w:val="en-US" w:eastAsia="zh-CN" w:bidi="ar-SA"/>
        </w:rPr>
        <w:t>基本支出决算数260.58万元完成当年调整预算收入100%。具体分类如下：</w:t>
      </w:r>
    </w:p>
    <w:p>
      <w:pPr>
        <w:keepNext w:val="0"/>
        <w:keepLines w:val="0"/>
        <w:pageBreakBefore w:val="0"/>
        <w:widowControl/>
        <w:kinsoku/>
        <w:wordWrap/>
        <w:overflowPunct/>
        <w:topLinePunct w:val="0"/>
        <w:autoSpaceDE w:val="0"/>
        <w:autoSpaceDN/>
        <w:bidi w:val="0"/>
        <w:adjustRightInd w:val="0"/>
        <w:snapToGrid w:val="0"/>
        <w:spacing w:line="560" w:lineRule="exact"/>
        <w:ind w:firstLine="642" w:firstLineChars="200"/>
        <w:contextualSpacing/>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人员经费：</w:t>
      </w:r>
      <w:r>
        <w:rPr>
          <w:rFonts w:hint="eastAsia" w:ascii="仿宋" w:hAnsi="仿宋" w:eastAsia="仿宋" w:cs="仿宋"/>
          <w:sz w:val="32"/>
          <w:szCs w:val="32"/>
          <w:lang w:eastAsia="zh-CN"/>
        </w:rPr>
        <w:t>决算</w:t>
      </w:r>
      <w:r>
        <w:rPr>
          <w:rFonts w:hint="eastAsia" w:ascii="仿宋" w:hAnsi="仿宋" w:eastAsia="仿宋" w:cs="仿宋"/>
          <w:sz w:val="32"/>
          <w:szCs w:val="32"/>
          <w:lang w:val="en-US" w:eastAsia="zh-CN"/>
        </w:rPr>
        <w:t>支出</w:t>
      </w:r>
      <w:r>
        <w:rPr>
          <w:rFonts w:hint="eastAsia" w:ascii="仿宋" w:hAnsi="仿宋" w:eastAsia="仿宋" w:cs="仿宋"/>
          <w:sz w:val="32"/>
          <w:szCs w:val="32"/>
          <w:lang w:eastAsia="zh-CN"/>
        </w:rPr>
        <w:t>数</w:t>
      </w:r>
      <w:r>
        <w:rPr>
          <w:rFonts w:hint="eastAsia" w:ascii="仿宋" w:hAnsi="仿宋" w:eastAsia="仿宋" w:cs="仿宋"/>
          <w:sz w:val="32"/>
          <w:szCs w:val="32"/>
          <w:lang w:val="en-US" w:eastAsia="zh-CN"/>
        </w:rPr>
        <w:t>243.23</w:t>
      </w:r>
      <w:r>
        <w:rPr>
          <w:rFonts w:hint="eastAsia" w:ascii="仿宋" w:hAnsi="仿宋" w:eastAsia="仿宋" w:cs="仿宋"/>
          <w:sz w:val="32"/>
          <w:szCs w:val="32"/>
        </w:rPr>
        <w:t>万元</w:t>
      </w:r>
      <w:r>
        <w:rPr>
          <w:rFonts w:hint="eastAsia" w:ascii="仿宋" w:hAnsi="仿宋" w:eastAsia="仿宋" w:cs="仿宋"/>
          <w:sz w:val="32"/>
          <w:szCs w:val="32"/>
          <w:lang w:eastAsia="zh-CN"/>
        </w:rPr>
        <w:t>，完成当年</w:t>
      </w:r>
      <w:r>
        <w:rPr>
          <w:rFonts w:hint="eastAsia" w:ascii="仿宋" w:hAnsi="仿宋" w:eastAsia="仿宋" w:cs="仿宋"/>
          <w:sz w:val="32"/>
          <w:szCs w:val="32"/>
          <w:lang w:val="en-US" w:eastAsia="zh-CN"/>
        </w:rPr>
        <w:t>调整</w:t>
      </w:r>
      <w:r>
        <w:rPr>
          <w:rFonts w:hint="eastAsia" w:ascii="仿宋" w:hAnsi="仿宋" w:eastAsia="仿宋" w:cs="仿宋"/>
          <w:sz w:val="32"/>
          <w:szCs w:val="32"/>
          <w:lang w:eastAsia="zh-CN"/>
        </w:rPr>
        <w:t>预算收入</w:t>
      </w:r>
      <w:r>
        <w:rPr>
          <w:rFonts w:hint="eastAsia" w:ascii="仿宋" w:hAnsi="仿宋" w:eastAsia="仿宋" w:cs="仿宋"/>
          <w:sz w:val="32"/>
          <w:szCs w:val="32"/>
          <w:lang w:val="en-US" w:eastAsia="zh-CN"/>
        </w:rPr>
        <w:t>100%。主要支出包括</w:t>
      </w:r>
      <w:r>
        <w:rPr>
          <w:rFonts w:hint="eastAsia" w:ascii="仿宋" w:hAnsi="仿宋" w:eastAsia="仿宋" w:cs="仿宋"/>
          <w:sz w:val="32"/>
          <w:szCs w:val="32"/>
        </w:rPr>
        <w:t>：基本工资、津贴补贴、奖金、绩效工资、机关事业单位基本养老保险缴费、</w:t>
      </w:r>
      <w:r>
        <w:rPr>
          <w:rFonts w:hint="eastAsia" w:ascii="仿宋_GB2312" w:hAnsi="仿宋_GB2312" w:eastAsia="仿宋_GB2312" w:cs="仿宋_GB2312"/>
          <w:color w:val="000000"/>
          <w:kern w:val="0"/>
          <w:sz w:val="32"/>
          <w:szCs w:val="32"/>
          <w:shd w:val="clear" w:color="auto" w:fill="FFFFFF"/>
        </w:rPr>
        <w:t>职工基本医疗保险缴费、其他社会保障缴费、住房公积金、其他工资福利支出</w:t>
      </w:r>
      <w:r>
        <w:rPr>
          <w:rFonts w:hint="eastAsia" w:ascii="仿宋" w:hAnsi="仿宋" w:eastAsia="仿宋" w:cs="仿宋"/>
          <w:sz w:val="32"/>
          <w:szCs w:val="32"/>
        </w:rPr>
        <w:t>、生活补助、奖励金、其他对个人和家庭的补助支出等。</w:t>
      </w:r>
      <w:r>
        <w:rPr>
          <w:rFonts w:hint="eastAsia" w:ascii="仿宋" w:hAnsi="仿宋" w:eastAsia="仿宋" w:cs="仿宋"/>
          <w:sz w:val="32"/>
          <w:szCs w:val="32"/>
          <w:lang w:val="en-US" w:eastAsia="zh-CN"/>
        </w:rPr>
        <w:t>很好的保障了在</w:t>
      </w:r>
      <w:r>
        <w:rPr>
          <w:rFonts w:hint="eastAsia" w:ascii="仿宋" w:hAnsi="仿宋" w:eastAsia="仿宋" w:cs="仿宋"/>
          <w:sz w:val="32"/>
          <w:szCs w:val="32"/>
          <w:lang w:eastAsia="zh-CN"/>
        </w:rPr>
        <w:t>岗职工</w:t>
      </w:r>
      <w:r>
        <w:rPr>
          <w:rFonts w:hint="eastAsia" w:ascii="仿宋" w:hAnsi="仿宋" w:eastAsia="仿宋" w:cs="仿宋"/>
          <w:sz w:val="32"/>
          <w:szCs w:val="32"/>
          <w:lang w:val="en-US" w:eastAsia="zh-CN"/>
        </w:rPr>
        <w:t>17人人员费用到位。</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公用经费</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决算</w:t>
      </w:r>
      <w:r>
        <w:rPr>
          <w:rFonts w:hint="eastAsia" w:ascii="仿宋" w:hAnsi="仿宋" w:eastAsia="仿宋" w:cs="仿宋"/>
          <w:sz w:val="32"/>
          <w:szCs w:val="32"/>
          <w:lang w:val="en-US" w:eastAsia="zh-CN"/>
        </w:rPr>
        <w:t>支出</w:t>
      </w:r>
      <w:r>
        <w:rPr>
          <w:rFonts w:hint="eastAsia" w:ascii="仿宋" w:hAnsi="仿宋" w:eastAsia="仿宋" w:cs="仿宋"/>
          <w:sz w:val="32"/>
          <w:szCs w:val="32"/>
          <w:lang w:eastAsia="zh-CN"/>
        </w:rPr>
        <w:t>数</w:t>
      </w:r>
      <w:r>
        <w:rPr>
          <w:rFonts w:hint="eastAsia" w:ascii="仿宋" w:hAnsi="仿宋" w:eastAsia="仿宋" w:cs="仿宋"/>
          <w:sz w:val="32"/>
          <w:szCs w:val="32"/>
          <w:lang w:val="en-US" w:eastAsia="zh-CN"/>
        </w:rPr>
        <w:t>17.35</w:t>
      </w:r>
      <w:r>
        <w:rPr>
          <w:rFonts w:hint="eastAsia" w:ascii="仿宋" w:hAnsi="仿宋" w:eastAsia="仿宋" w:cs="仿宋"/>
          <w:sz w:val="32"/>
          <w:szCs w:val="32"/>
        </w:rPr>
        <w:t>万元，</w:t>
      </w:r>
      <w:r>
        <w:rPr>
          <w:rFonts w:hint="eastAsia" w:ascii="仿宋" w:hAnsi="仿宋" w:eastAsia="仿宋" w:cs="仿宋"/>
          <w:sz w:val="32"/>
          <w:szCs w:val="32"/>
          <w:lang w:eastAsia="zh-CN"/>
        </w:rPr>
        <w:t>完成当年</w:t>
      </w:r>
      <w:r>
        <w:rPr>
          <w:rFonts w:hint="eastAsia" w:ascii="仿宋" w:hAnsi="仿宋" w:eastAsia="仿宋" w:cs="仿宋"/>
          <w:sz w:val="32"/>
          <w:szCs w:val="32"/>
          <w:lang w:val="en-US" w:eastAsia="zh-CN"/>
        </w:rPr>
        <w:t>调整</w:t>
      </w:r>
      <w:r>
        <w:rPr>
          <w:rFonts w:hint="eastAsia" w:ascii="仿宋" w:hAnsi="仿宋" w:eastAsia="仿宋" w:cs="仿宋"/>
          <w:sz w:val="32"/>
          <w:szCs w:val="32"/>
          <w:lang w:eastAsia="zh-CN"/>
        </w:rPr>
        <w:t>预算收</w:t>
      </w:r>
      <w:r>
        <w:rPr>
          <w:rFonts w:hint="eastAsia" w:ascii="仿宋" w:hAnsi="仿宋" w:eastAsia="仿宋" w:cs="仿宋"/>
          <w:kern w:val="2"/>
          <w:sz w:val="32"/>
          <w:szCs w:val="32"/>
          <w:lang w:val="en-US" w:eastAsia="zh-CN" w:bidi="ar-SA"/>
        </w:rPr>
        <w:t>入100%。支出主要包括：办公费、印刷费、手续费、水费、邮电费、物业管理费、差旅费、维修（护）费、租赁费、公务接待费</w:t>
      </w:r>
      <w:r>
        <w:rPr>
          <w:rFonts w:hint="eastAsia" w:ascii="仿宋" w:hAnsi="仿宋" w:eastAsia="仿宋" w:cs="仿宋"/>
          <w:color w:val="auto"/>
          <w:kern w:val="2"/>
          <w:sz w:val="32"/>
          <w:szCs w:val="32"/>
          <w:u w:val="none"/>
          <w:lang w:val="en-US" w:eastAsia="zh-CN" w:bidi="ar-SA"/>
        </w:rPr>
        <w:t>，其他交通费用</w:t>
      </w:r>
      <w:r>
        <w:rPr>
          <w:rFonts w:hint="eastAsia" w:ascii="仿宋" w:hAnsi="仿宋" w:eastAsia="仿宋" w:cs="仿宋"/>
          <w:kern w:val="2"/>
          <w:sz w:val="32"/>
          <w:szCs w:val="32"/>
          <w:lang w:val="en-US" w:eastAsia="zh-CN" w:bidi="ar-SA"/>
        </w:rPr>
        <w:t>等，确保了全年局机关正常运行和各项工作高效落实。</w:t>
      </w:r>
    </w:p>
    <w:p>
      <w:pPr>
        <w:keepNext w:val="0"/>
        <w:keepLines w:val="0"/>
        <w:pageBreakBefore w:val="0"/>
        <w:widowControl/>
        <w:numPr>
          <w:ilvl w:val="0"/>
          <w:numId w:val="4"/>
        </w:numPr>
        <w:kinsoku/>
        <w:wordWrap/>
        <w:overflowPunct/>
        <w:topLinePunct w:val="0"/>
        <w:autoSpaceDE w:val="0"/>
        <w:autoSpaceDN/>
        <w:bidi w:val="0"/>
        <w:adjustRightInd w:val="0"/>
        <w:snapToGrid w:val="0"/>
        <w:spacing w:line="560" w:lineRule="exact"/>
        <w:ind w:firstLine="642" w:firstLineChars="200"/>
        <w:contextualSpacing/>
        <w:jc w:val="left"/>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项目支出：</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color w:val="000000"/>
          <w:kern w:val="0"/>
          <w:sz w:val="32"/>
          <w:szCs w:val="32"/>
          <w:shd w:val="clear" w:color="auto" w:fill="FFFFFF"/>
        </w:rPr>
        <w:t>2021年度，</w:t>
      </w:r>
      <w:r>
        <w:rPr>
          <w:rFonts w:hint="eastAsia" w:ascii="仿宋_GB2312" w:hAnsi="仿宋_GB2312" w:eastAsia="仿宋_GB2312" w:cs="仿宋_GB2312"/>
          <w:color w:val="000000"/>
          <w:kern w:val="0"/>
          <w:sz w:val="32"/>
          <w:szCs w:val="32"/>
          <w:shd w:val="clear" w:color="auto" w:fill="FFFFFF"/>
          <w:lang w:val="en-US" w:eastAsia="zh-CN"/>
        </w:rPr>
        <w:t>区商务局</w:t>
      </w:r>
      <w:r>
        <w:rPr>
          <w:rFonts w:hint="eastAsia" w:ascii="仿宋_GB2312" w:hAnsi="仿宋_GB2312" w:eastAsia="仿宋_GB2312" w:cs="仿宋_GB2312"/>
          <w:color w:val="000000"/>
          <w:kern w:val="0"/>
          <w:sz w:val="32"/>
          <w:szCs w:val="32"/>
          <w:shd w:val="clear" w:color="auto" w:fill="FFFFFF"/>
        </w:rPr>
        <w:t>一般公共预算财政拨款项目支出决算数</w:t>
      </w:r>
      <w:r>
        <w:rPr>
          <w:rFonts w:hint="eastAsia" w:ascii="仿宋_GB2312" w:hAnsi="仿宋_GB2312" w:eastAsia="仿宋_GB2312" w:cs="仿宋_GB2312"/>
          <w:color w:val="000000"/>
          <w:kern w:val="0"/>
          <w:sz w:val="32"/>
          <w:szCs w:val="32"/>
          <w:shd w:val="clear" w:color="auto" w:fill="FFFFFF"/>
          <w:lang w:val="en-US" w:eastAsia="zh-CN"/>
        </w:rPr>
        <w:t>776.30</w:t>
      </w:r>
      <w:r>
        <w:rPr>
          <w:rFonts w:hint="eastAsia" w:ascii="仿宋_GB2312" w:hAnsi="仿宋_GB2312" w:eastAsia="仿宋_GB2312" w:cs="仿宋_GB2312"/>
          <w:color w:val="000000"/>
          <w:kern w:val="0"/>
          <w:sz w:val="32"/>
          <w:szCs w:val="32"/>
          <w:shd w:val="clear" w:color="auto" w:fill="FFFFFF"/>
        </w:rPr>
        <w:t>万元，完成当年项目</w:t>
      </w:r>
      <w:r>
        <w:rPr>
          <w:rFonts w:hint="eastAsia" w:ascii="仿宋_GB2312" w:hAnsi="仿宋_GB2312" w:eastAsia="仿宋_GB2312" w:cs="仿宋_GB2312"/>
          <w:color w:val="000000"/>
          <w:kern w:val="0"/>
          <w:sz w:val="32"/>
          <w:szCs w:val="32"/>
          <w:shd w:val="clear" w:color="auto" w:fill="FFFFFF"/>
          <w:lang w:val="en-US" w:eastAsia="zh-CN"/>
        </w:rPr>
        <w:t>调整</w:t>
      </w:r>
      <w:r>
        <w:rPr>
          <w:rFonts w:hint="eastAsia" w:ascii="仿宋_GB2312" w:hAnsi="仿宋_GB2312" w:eastAsia="仿宋_GB2312" w:cs="仿宋_GB2312"/>
          <w:color w:val="000000"/>
          <w:kern w:val="0"/>
          <w:sz w:val="32"/>
          <w:szCs w:val="32"/>
          <w:shd w:val="clear" w:color="auto" w:fill="FFFFFF"/>
        </w:rPr>
        <w:t>预算收入占比</w:t>
      </w:r>
      <w:r>
        <w:rPr>
          <w:rFonts w:hint="eastAsia" w:ascii="仿宋_GB2312" w:hAnsi="仿宋_GB2312" w:eastAsia="仿宋_GB2312" w:cs="仿宋_GB2312"/>
          <w:color w:val="000000"/>
          <w:kern w:val="0"/>
          <w:sz w:val="32"/>
          <w:szCs w:val="32"/>
          <w:shd w:val="clear" w:color="auto" w:fill="FFFFFF"/>
          <w:lang w:val="en-US" w:eastAsia="zh-CN"/>
        </w:rPr>
        <w:t>100</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其中：</w:t>
      </w:r>
      <w:r>
        <w:rPr>
          <w:rFonts w:hint="eastAsia" w:ascii="仿宋_GB2312" w:hAnsi="仿宋_GB2312" w:eastAsia="仿宋_GB2312" w:cs="仿宋_GB2312"/>
          <w:b/>
          <w:bCs/>
          <w:color w:val="000000"/>
          <w:kern w:val="0"/>
          <w:sz w:val="32"/>
          <w:szCs w:val="32"/>
          <w:shd w:val="clear" w:color="auto" w:fill="FFFFFF"/>
          <w:lang w:val="en-US" w:eastAsia="zh-CN"/>
        </w:rPr>
        <w:t>一是</w:t>
      </w:r>
      <w:r>
        <w:rPr>
          <w:rFonts w:hint="eastAsia" w:ascii="仿宋_GB2312" w:hAnsi="仿宋_GB2312" w:eastAsia="仿宋_GB2312" w:cs="仿宋_GB2312"/>
          <w:color w:val="000000"/>
          <w:kern w:val="0"/>
          <w:sz w:val="32"/>
          <w:szCs w:val="32"/>
          <w:shd w:val="clear" w:color="auto" w:fill="FFFFFF"/>
          <w:lang w:val="en-US" w:eastAsia="zh-CN"/>
        </w:rPr>
        <w:t>2021年</w:t>
      </w:r>
      <w:r>
        <w:rPr>
          <w:rFonts w:hint="eastAsia" w:ascii="仿宋" w:hAnsi="仿宋" w:eastAsia="仿宋" w:cs="仿宋"/>
          <w:kern w:val="2"/>
          <w:sz w:val="32"/>
          <w:szCs w:val="32"/>
          <w:lang w:val="en-US" w:eastAsia="zh-CN" w:bidi="ar-SA"/>
        </w:rPr>
        <w:t>当年</w:t>
      </w:r>
      <w:r>
        <w:rPr>
          <w:rFonts w:hint="eastAsia" w:ascii="仿宋" w:hAnsi="仿宋" w:eastAsia="仿宋" w:cs="仿宋"/>
          <w:b w:val="0"/>
          <w:bCs w:val="0"/>
          <w:color w:val="auto"/>
          <w:kern w:val="2"/>
          <w:sz w:val="32"/>
          <w:szCs w:val="32"/>
          <w:u w:val="none"/>
          <w:lang w:val="en-US" w:eastAsia="zh-CN" w:bidi="ar-SA"/>
        </w:rPr>
        <w:t>涉及预算项目9个，资金116.22万元，占</w:t>
      </w:r>
      <w:r>
        <w:rPr>
          <w:rFonts w:hint="eastAsia" w:ascii="仿宋" w:hAnsi="仿宋" w:eastAsia="仿宋" w:cs="仿宋"/>
          <w:sz w:val="32"/>
          <w:szCs w:val="32"/>
          <w:lang w:eastAsia="zh-CN"/>
        </w:rPr>
        <w:t>当年</w:t>
      </w:r>
      <w:r>
        <w:rPr>
          <w:rFonts w:hint="eastAsia" w:ascii="仿宋" w:hAnsi="仿宋" w:eastAsia="仿宋" w:cs="仿宋"/>
          <w:sz w:val="32"/>
          <w:szCs w:val="32"/>
          <w:lang w:val="en-US" w:eastAsia="zh-CN"/>
        </w:rPr>
        <w:t>项目调整</w:t>
      </w:r>
      <w:r>
        <w:rPr>
          <w:rFonts w:hint="eastAsia" w:ascii="仿宋" w:hAnsi="仿宋" w:eastAsia="仿宋" w:cs="仿宋"/>
          <w:sz w:val="32"/>
          <w:szCs w:val="32"/>
          <w:lang w:eastAsia="zh-CN"/>
        </w:rPr>
        <w:t>预算收入</w:t>
      </w:r>
      <w:r>
        <w:rPr>
          <w:rFonts w:hint="eastAsia" w:ascii="仿宋" w:hAnsi="仿宋" w:eastAsia="仿宋" w:cs="仿宋"/>
          <w:sz w:val="32"/>
          <w:szCs w:val="32"/>
          <w:lang w:val="en-US" w:eastAsia="zh-CN"/>
        </w:rPr>
        <w:t>的71.10%</w:t>
      </w:r>
      <w:r>
        <w:rPr>
          <w:rFonts w:hint="eastAsia" w:ascii="仿宋" w:hAnsi="仿宋" w:eastAsia="仿宋" w:cs="仿宋"/>
          <w:b w:val="0"/>
          <w:bCs w:val="0"/>
          <w:color w:val="auto"/>
          <w:kern w:val="2"/>
          <w:sz w:val="32"/>
          <w:szCs w:val="32"/>
          <w:u w:val="none"/>
          <w:lang w:val="en-US" w:eastAsia="zh-CN" w:bidi="ar-SA"/>
        </w:rPr>
        <w:t>；涉及专项项目4个，资金47.25万元，占</w:t>
      </w:r>
      <w:r>
        <w:rPr>
          <w:rFonts w:hint="eastAsia" w:ascii="仿宋" w:hAnsi="仿宋" w:eastAsia="仿宋" w:cs="仿宋"/>
          <w:sz w:val="32"/>
          <w:szCs w:val="32"/>
          <w:lang w:eastAsia="zh-CN"/>
        </w:rPr>
        <w:t>当年</w:t>
      </w:r>
      <w:r>
        <w:rPr>
          <w:rFonts w:hint="eastAsia" w:ascii="仿宋" w:hAnsi="仿宋" w:eastAsia="仿宋" w:cs="仿宋"/>
          <w:sz w:val="32"/>
          <w:szCs w:val="32"/>
          <w:lang w:val="en-US" w:eastAsia="zh-CN"/>
        </w:rPr>
        <w:t>项目调整</w:t>
      </w:r>
      <w:r>
        <w:rPr>
          <w:rFonts w:hint="eastAsia" w:ascii="仿宋" w:hAnsi="仿宋" w:eastAsia="仿宋" w:cs="仿宋"/>
          <w:sz w:val="32"/>
          <w:szCs w:val="32"/>
          <w:lang w:eastAsia="zh-CN"/>
        </w:rPr>
        <w:t>预算收入</w:t>
      </w:r>
      <w:r>
        <w:rPr>
          <w:rFonts w:hint="eastAsia" w:ascii="仿宋" w:hAnsi="仿宋" w:eastAsia="仿宋" w:cs="仿宋"/>
          <w:sz w:val="32"/>
          <w:szCs w:val="32"/>
          <w:lang w:val="en-US" w:eastAsia="zh-CN"/>
        </w:rPr>
        <w:t>的28.9%；</w:t>
      </w:r>
      <w:r>
        <w:rPr>
          <w:rFonts w:hint="eastAsia" w:ascii="仿宋" w:hAnsi="仿宋" w:eastAsia="仿宋" w:cs="仿宋"/>
          <w:b/>
          <w:bCs/>
          <w:sz w:val="32"/>
          <w:szCs w:val="32"/>
          <w:lang w:val="en-US" w:eastAsia="zh-CN"/>
        </w:rPr>
        <w:t>二是</w:t>
      </w:r>
      <w:r>
        <w:rPr>
          <w:rFonts w:hint="eastAsia" w:ascii="仿宋" w:hAnsi="仿宋" w:eastAsia="仿宋" w:cs="仿宋"/>
          <w:b w:val="0"/>
          <w:bCs w:val="0"/>
          <w:color w:val="auto"/>
          <w:kern w:val="2"/>
          <w:sz w:val="32"/>
          <w:szCs w:val="32"/>
          <w:u w:val="none"/>
          <w:lang w:val="en-US" w:eastAsia="zh-CN" w:bidi="ar-SA"/>
        </w:rPr>
        <w:t>2021年初结转结余项目资金612.83万元，</w:t>
      </w:r>
      <w:r>
        <w:rPr>
          <w:rFonts w:hint="eastAsia" w:ascii="仿宋" w:hAnsi="仿宋" w:eastAsia="仿宋" w:cs="仿宋"/>
          <w:sz w:val="32"/>
          <w:szCs w:val="32"/>
          <w:lang w:eastAsia="zh-CN"/>
        </w:rPr>
        <w:t>完成</w:t>
      </w:r>
      <w:r>
        <w:rPr>
          <w:rFonts w:hint="eastAsia" w:ascii="仿宋" w:hAnsi="仿宋" w:eastAsia="仿宋" w:cs="仿宋"/>
          <w:b w:val="0"/>
          <w:bCs w:val="0"/>
          <w:color w:val="auto"/>
          <w:kern w:val="2"/>
          <w:sz w:val="32"/>
          <w:szCs w:val="32"/>
          <w:u w:val="none"/>
          <w:lang w:val="en-US" w:eastAsia="zh-CN" w:bidi="ar-SA"/>
        </w:rPr>
        <w:t>结转结余项目资金</w:t>
      </w:r>
      <w:r>
        <w:rPr>
          <w:rFonts w:hint="eastAsia" w:ascii="仿宋" w:hAnsi="仿宋" w:eastAsia="仿宋" w:cs="仿宋"/>
          <w:sz w:val="32"/>
          <w:szCs w:val="32"/>
          <w:lang w:val="en-US" w:eastAsia="zh-CN"/>
        </w:rPr>
        <w:t>100%</w:t>
      </w:r>
      <w:r>
        <w:rPr>
          <w:rFonts w:hint="eastAsia" w:ascii="仿宋" w:hAnsi="仿宋" w:eastAsia="仿宋" w:cs="仿宋"/>
          <w:b w:val="0"/>
          <w:bCs w:val="0"/>
          <w:color w:val="auto"/>
          <w:kern w:val="2"/>
          <w:sz w:val="32"/>
          <w:szCs w:val="32"/>
          <w:u w:val="none"/>
          <w:lang w:val="en-US" w:eastAsia="zh-CN" w:bidi="ar-SA"/>
        </w:rPr>
        <w:t>（其中：新冠肺炎疫情防控资金15万元、2018年国家电子商务进农村综合示范县尾款500万元、农商互联暨农产品供应链项目资金34.58万元、2019年度外贸奖励31.2万元、中央外经贸发展补助资金32.05万元）。</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2、按功能分类分析调整后预、决算执行情况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42" w:firstLineChars="200"/>
        <w:contextualSpacing/>
        <w:jc w:val="left"/>
        <w:textAlignment w:val="auto"/>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color w:val="000000"/>
          <w:kern w:val="2"/>
          <w:sz w:val="32"/>
          <w:szCs w:val="32"/>
          <w:lang w:val="en-US" w:eastAsia="zh-CN" w:bidi="ar"/>
        </w:rPr>
        <w:t>教育支出</w:t>
      </w:r>
      <w:r>
        <w:rPr>
          <w:rStyle w:val="59"/>
          <w:rFonts w:hint="eastAsia" w:ascii="仿宋" w:hAnsi="仿宋" w:eastAsia="仿宋" w:cs="仿宋"/>
          <w:b w:val="0"/>
          <w:bCs w:val="0"/>
          <w:color w:val="000000"/>
          <w:kern w:val="2"/>
          <w:sz w:val="32"/>
          <w:szCs w:val="32"/>
          <w:lang w:val="en-US" w:eastAsia="zh-CN" w:bidi="ar"/>
        </w:rPr>
        <w:t>（培训支出—2050803）</w:t>
      </w:r>
      <w:r>
        <w:rPr>
          <w:rStyle w:val="59"/>
          <w:rFonts w:hint="eastAsia" w:ascii="仿宋" w:hAnsi="仿宋" w:eastAsia="仿宋" w:cs="仿宋"/>
          <w:color w:val="000000"/>
          <w:kern w:val="2"/>
          <w:sz w:val="32"/>
          <w:szCs w:val="32"/>
          <w:lang w:val="en-US" w:eastAsia="zh-CN" w:bidi="ar"/>
        </w:rPr>
        <w:t>：</w:t>
      </w:r>
      <w:r>
        <w:rPr>
          <w:rStyle w:val="59"/>
          <w:rFonts w:hint="eastAsia" w:ascii="仿宋" w:hAnsi="仿宋" w:eastAsia="仿宋" w:cs="仿宋"/>
          <w:b w:val="0"/>
          <w:bCs w:val="0"/>
          <w:color w:val="000000"/>
          <w:kern w:val="2"/>
          <w:sz w:val="32"/>
          <w:szCs w:val="32"/>
          <w:lang w:val="en-US" w:eastAsia="zh-CN" w:bidi="ar"/>
        </w:rPr>
        <w:t>支出决算数2.22万元，完成调整预算收入100%。</w:t>
      </w:r>
    </w:p>
    <w:p>
      <w:pPr>
        <w:keepNext w:val="0"/>
        <w:keepLines w:val="0"/>
        <w:widowControl w:val="0"/>
        <w:suppressLineNumbers w:val="0"/>
        <w:spacing w:before="0" w:beforeAutospacing="0" w:after="0" w:afterAutospacing="0" w:line="600" w:lineRule="exact"/>
        <w:ind w:left="0" w:right="0" w:firstLine="642" w:firstLineChars="200"/>
        <w:jc w:val="both"/>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color w:val="000000"/>
          <w:kern w:val="2"/>
          <w:sz w:val="32"/>
          <w:szCs w:val="32"/>
          <w:lang w:val="en-US" w:eastAsia="zh-CN" w:bidi="ar"/>
        </w:rPr>
        <w:t>其他文化旅游体育与传媒支出</w:t>
      </w:r>
      <w:r>
        <w:rPr>
          <w:rStyle w:val="59"/>
          <w:rFonts w:hint="eastAsia" w:ascii="仿宋" w:hAnsi="仿宋" w:eastAsia="仿宋" w:cs="仿宋"/>
          <w:b w:val="0"/>
          <w:bCs w:val="0"/>
          <w:color w:val="000000"/>
          <w:kern w:val="2"/>
          <w:sz w:val="32"/>
          <w:szCs w:val="32"/>
          <w:lang w:val="en-US" w:eastAsia="zh-CN" w:bidi="ar"/>
        </w:rPr>
        <w:t>（其他文化旅游体育与传媒支出—2079999）</w:t>
      </w:r>
      <w:r>
        <w:rPr>
          <w:rStyle w:val="59"/>
          <w:rFonts w:hint="eastAsia" w:ascii="仿宋" w:hAnsi="仿宋" w:eastAsia="仿宋" w:cs="仿宋"/>
          <w:color w:val="000000"/>
          <w:kern w:val="2"/>
          <w:sz w:val="32"/>
          <w:szCs w:val="32"/>
          <w:lang w:val="en-US" w:eastAsia="zh-CN" w:bidi="ar"/>
        </w:rPr>
        <w:t>：</w:t>
      </w:r>
      <w:r>
        <w:rPr>
          <w:rStyle w:val="59"/>
          <w:rFonts w:hint="eastAsia" w:ascii="仿宋" w:hAnsi="仿宋" w:eastAsia="仿宋" w:cs="仿宋"/>
          <w:b w:val="0"/>
          <w:bCs w:val="0"/>
          <w:color w:val="000000"/>
          <w:kern w:val="2"/>
          <w:sz w:val="32"/>
          <w:szCs w:val="32"/>
          <w:lang w:val="en-US" w:eastAsia="zh-CN" w:bidi="ar"/>
        </w:rPr>
        <w:t>支出决算数5万元，完成调整预算收入100%。</w:t>
      </w:r>
    </w:p>
    <w:p>
      <w:pPr>
        <w:keepNext w:val="0"/>
        <w:keepLines w:val="0"/>
        <w:widowControl w:val="0"/>
        <w:suppressLineNumbers w:val="0"/>
        <w:spacing w:before="0" w:beforeAutospacing="0" w:after="0" w:afterAutospacing="0" w:line="600" w:lineRule="exact"/>
        <w:ind w:left="0" w:right="0" w:firstLine="642" w:firstLineChars="200"/>
        <w:jc w:val="both"/>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color w:val="000000"/>
          <w:kern w:val="2"/>
          <w:sz w:val="32"/>
          <w:szCs w:val="32"/>
          <w:lang w:val="en-US" w:eastAsia="zh-CN" w:bidi="ar"/>
        </w:rPr>
        <w:t>社会保障和就业支出（208）：</w:t>
      </w:r>
      <w:r>
        <w:rPr>
          <w:rStyle w:val="59"/>
          <w:rFonts w:hint="eastAsia" w:ascii="仿宋" w:hAnsi="仿宋" w:eastAsia="仿宋" w:cs="仿宋"/>
          <w:b w:val="0"/>
          <w:bCs w:val="0"/>
          <w:color w:val="000000"/>
          <w:kern w:val="2"/>
          <w:sz w:val="32"/>
          <w:szCs w:val="32"/>
          <w:lang w:val="en-US" w:eastAsia="zh-CN" w:bidi="ar"/>
        </w:rPr>
        <w:t>支出决算数21.73万元，完成调整预算收入100%。该类具体执行明细如下：</w:t>
      </w:r>
    </w:p>
    <w:p>
      <w:pPr>
        <w:keepNext w:val="0"/>
        <w:keepLines w:val="0"/>
        <w:widowControl w:val="0"/>
        <w:suppressLineNumbers w:val="0"/>
        <w:spacing w:before="0" w:beforeAutospacing="0" w:after="0" w:afterAutospacing="0" w:line="600" w:lineRule="exact"/>
        <w:ind w:left="0" w:right="0" w:firstLine="640" w:firstLineChars="200"/>
        <w:jc w:val="both"/>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b w:val="0"/>
          <w:bCs w:val="0"/>
          <w:color w:val="000000"/>
          <w:kern w:val="2"/>
          <w:sz w:val="32"/>
          <w:szCs w:val="32"/>
          <w:lang w:val="en-US" w:eastAsia="zh-CN" w:bidi="ar"/>
        </w:rPr>
        <w:t>社会保障和就业支出</w:t>
      </w:r>
      <w:r>
        <w:rPr>
          <w:rStyle w:val="59"/>
          <w:rFonts w:hint="eastAsia" w:ascii="仿宋" w:hAnsi="仿宋" w:eastAsia="仿宋" w:cs="仿宋"/>
          <w:color w:val="000000"/>
          <w:kern w:val="2"/>
          <w:sz w:val="32"/>
          <w:szCs w:val="32"/>
          <w:lang w:val="en-US" w:eastAsia="zh-CN" w:bidi="ar"/>
        </w:rPr>
        <w:t>（机关事业单位基本养老保险缴费支出—2080505）：</w:t>
      </w:r>
      <w:r>
        <w:rPr>
          <w:rStyle w:val="59"/>
          <w:rFonts w:hint="eastAsia" w:ascii="仿宋" w:hAnsi="仿宋" w:eastAsia="仿宋" w:cs="仿宋"/>
          <w:b w:val="0"/>
          <w:bCs w:val="0"/>
          <w:color w:val="000000"/>
          <w:kern w:val="2"/>
          <w:sz w:val="32"/>
          <w:szCs w:val="32"/>
          <w:lang w:val="en-US" w:eastAsia="zh-CN" w:bidi="ar"/>
        </w:rPr>
        <w:t>支出决算数18.88万元，完成调整预算收入100%。</w:t>
      </w:r>
    </w:p>
    <w:p>
      <w:pPr>
        <w:pStyle w:val="21"/>
        <w:ind w:left="0" w:leftChars="0" w:firstLine="640" w:firstLineChars="200"/>
        <w:rPr>
          <w:rFonts w:hint="eastAsia"/>
          <w:lang w:val="en-US" w:eastAsia="zh-CN"/>
        </w:rPr>
      </w:pPr>
      <w:r>
        <w:rPr>
          <w:rStyle w:val="59"/>
          <w:rFonts w:hint="eastAsia" w:ascii="仿宋" w:hAnsi="仿宋" w:eastAsia="仿宋" w:cs="仿宋"/>
          <w:b w:val="0"/>
          <w:bCs w:val="0"/>
          <w:color w:val="000000"/>
          <w:kern w:val="2"/>
          <w:sz w:val="32"/>
          <w:szCs w:val="32"/>
          <w:lang w:val="en-US" w:eastAsia="zh-CN" w:bidi="ar"/>
        </w:rPr>
        <w:t>社会保障和就业支出</w:t>
      </w:r>
      <w:r>
        <w:rPr>
          <w:rStyle w:val="59"/>
          <w:rFonts w:hint="eastAsia" w:ascii="仿宋" w:hAnsi="仿宋" w:eastAsia="仿宋" w:cs="仿宋"/>
          <w:color w:val="000000"/>
          <w:kern w:val="2"/>
          <w:sz w:val="32"/>
          <w:szCs w:val="32"/>
          <w:lang w:val="en-US" w:eastAsia="zh-CN" w:bidi="ar"/>
        </w:rPr>
        <w:t>（其他社会保障和就业支出—2089999）：</w:t>
      </w:r>
      <w:r>
        <w:rPr>
          <w:rStyle w:val="59"/>
          <w:rFonts w:hint="eastAsia" w:ascii="仿宋" w:hAnsi="仿宋" w:eastAsia="仿宋" w:cs="仿宋"/>
          <w:b w:val="0"/>
          <w:bCs w:val="0"/>
          <w:color w:val="000000"/>
          <w:kern w:val="2"/>
          <w:sz w:val="32"/>
          <w:szCs w:val="32"/>
          <w:lang w:val="en-US" w:eastAsia="zh-CN" w:bidi="ar"/>
        </w:rPr>
        <w:t>支出决算数2.85万元，完成调整预算收入100%。</w:t>
      </w:r>
    </w:p>
    <w:p>
      <w:pPr>
        <w:keepNext w:val="0"/>
        <w:keepLines w:val="0"/>
        <w:widowControl w:val="0"/>
        <w:suppressLineNumbers w:val="0"/>
        <w:spacing w:before="0" w:beforeAutospacing="0" w:after="0" w:afterAutospacing="0" w:line="600" w:lineRule="exact"/>
        <w:ind w:left="0" w:right="0" w:firstLine="642" w:firstLineChars="200"/>
        <w:jc w:val="both"/>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color w:val="000000"/>
          <w:kern w:val="2"/>
          <w:sz w:val="32"/>
          <w:szCs w:val="32"/>
          <w:lang w:val="en-US" w:eastAsia="zh-CN" w:bidi="ar"/>
        </w:rPr>
        <w:t>卫生健康支出</w:t>
      </w:r>
      <w:r>
        <w:rPr>
          <w:rStyle w:val="59"/>
          <w:rFonts w:hint="eastAsia" w:ascii="仿宋" w:hAnsi="仿宋" w:eastAsia="仿宋" w:cs="仿宋"/>
          <w:b w:val="0"/>
          <w:bCs w:val="0"/>
          <w:color w:val="000000"/>
          <w:kern w:val="2"/>
          <w:sz w:val="32"/>
          <w:szCs w:val="32"/>
          <w:lang w:val="en-US" w:eastAsia="zh-CN" w:bidi="ar"/>
        </w:rPr>
        <w:t>（行政单位医疗—2101101）</w:t>
      </w:r>
      <w:r>
        <w:rPr>
          <w:rStyle w:val="59"/>
          <w:rFonts w:hint="eastAsia" w:ascii="仿宋" w:hAnsi="仿宋" w:eastAsia="仿宋" w:cs="仿宋"/>
          <w:color w:val="000000"/>
          <w:kern w:val="2"/>
          <w:sz w:val="32"/>
          <w:szCs w:val="32"/>
          <w:lang w:val="en-US" w:eastAsia="zh-CN" w:bidi="ar"/>
        </w:rPr>
        <w:t>：</w:t>
      </w:r>
      <w:r>
        <w:rPr>
          <w:rStyle w:val="59"/>
          <w:rFonts w:hint="eastAsia" w:ascii="仿宋" w:hAnsi="仿宋" w:eastAsia="仿宋" w:cs="仿宋"/>
          <w:b w:val="0"/>
          <w:bCs w:val="0"/>
          <w:color w:val="000000"/>
          <w:kern w:val="2"/>
          <w:sz w:val="32"/>
          <w:szCs w:val="32"/>
          <w:lang w:val="en-US" w:eastAsia="zh-CN" w:bidi="ar"/>
        </w:rPr>
        <w:t>支出决算数12.41万元，完成调整预算收入100%。</w:t>
      </w:r>
    </w:p>
    <w:p>
      <w:pPr>
        <w:keepNext w:val="0"/>
        <w:keepLines w:val="0"/>
        <w:widowControl w:val="0"/>
        <w:suppressLineNumbers w:val="0"/>
        <w:spacing w:before="0" w:beforeAutospacing="0" w:after="0" w:afterAutospacing="0" w:line="600" w:lineRule="exact"/>
        <w:ind w:left="0" w:right="0" w:firstLine="642" w:firstLineChars="200"/>
        <w:jc w:val="both"/>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color w:val="000000"/>
          <w:kern w:val="2"/>
          <w:sz w:val="32"/>
          <w:szCs w:val="32"/>
          <w:lang w:val="en-US" w:eastAsia="zh-CN" w:bidi="ar"/>
        </w:rPr>
        <w:t>农林水支出</w:t>
      </w:r>
      <w:r>
        <w:rPr>
          <w:rStyle w:val="59"/>
          <w:rFonts w:hint="eastAsia" w:ascii="仿宋" w:hAnsi="仿宋" w:eastAsia="仿宋" w:cs="仿宋"/>
          <w:b w:val="0"/>
          <w:bCs w:val="0"/>
          <w:color w:val="000000"/>
          <w:kern w:val="2"/>
          <w:sz w:val="32"/>
          <w:szCs w:val="32"/>
          <w:lang w:val="en-US" w:eastAsia="zh-CN" w:bidi="ar"/>
        </w:rPr>
        <w:t>（其他扶贫支出—2130599）</w:t>
      </w:r>
      <w:r>
        <w:rPr>
          <w:rStyle w:val="59"/>
          <w:rFonts w:hint="eastAsia" w:ascii="仿宋" w:hAnsi="仿宋" w:eastAsia="仿宋" w:cs="仿宋"/>
          <w:color w:val="000000"/>
          <w:kern w:val="2"/>
          <w:sz w:val="32"/>
          <w:szCs w:val="32"/>
          <w:lang w:val="en-US" w:eastAsia="zh-CN" w:bidi="ar"/>
        </w:rPr>
        <w:t>:</w:t>
      </w:r>
      <w:r>
        <w:rPr>
          <w:rStyle w:val="59"/>
          <w:rFonts w:hint="eastAsia" w:ascii="仿宋" w:hAnsi="仿宋" w:eastAsia="仿宋" w:cs="仿宋"/>
          <w:b w:val="0"/>
          <w:bCs w:val="0"/>
          <w:color w:val="000000"/>
          <w:kern w:val="2"/>
          <w:sz w:val="32"/>
          <w:szCs w:val="32"/>
          <w:lang w:val="en-US" w:eastAsia="zh-CN" w:bidi="ar"/>
        </w:rPr>
        <w:t xml:space="preserve"> 支出决算数0.8万元，完成调整预算收入100%。</w:t>
      </w:r>
    </w:p>
    <w:p>
      <w:pPr>
        <w:keepNext w:val="0"/>
        <w:keepLines w:val="0"/>
        <w:widowControl w:val="0"/>
        <w:suppressLineNumbers w:val="0"/>
        <w:spacing w:before="0" w:beforeAutospacing="0" w:after="0" w:afterAutospacing="0" w:line="600" w:lineRule="exact"/>
        <w:ind w:left="0" w:right="0" w:firstLine="642" w:firstLineChars="200"/>
        <w:jc w:val="both"/>
        <w:rPr>
          <w:rStyle w:val="59"/>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bCs/>
          <w:color w:val="000000"/>
          <w:kern w:val="2"/>
          <w:sz w:val="32"/>
          <w:szCs w:val="32"/>
          <w:lang w:val="en-US" w:eastAsia="zh-CN" w:bidi="ar"/>
        </w:rPr>
        <w:t>商业服务业等支出（216）：</w:t>
      </w:r>
      <w:r>
        <w:rPr>
          <w:rStyle w:val="59"/>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sz w:val="32"/>
          <w:szCs w:val="32"/>
          <w:lang w:val="en-US" w:eastAsia="zh-CN"/>
        </w:rPr>
        <w:t>977.10</w:t>
      </w:r>
      <w:r>
        <w:rPr>
          <w:rStyle w:val="59"/>
          <w:rFonts w:hint="eastAsia" w:ascii="仿宋" w:hAnsi="仿宋" w:eastAsia="仿宋" w:cs="仿宋"/>
          <w:b w:val="0"/>
          <w:bCs w:val="0"/>
          <w:color w:val="000000"/>
          <w:kern w:val="2"/>
          <w:sz w:val="32"/>
          <w:szCs w:val="32"/>
          <w:lang w:val="en-US" w:eastAsia="zh-CN" w:bidi="ar"/>
        </w:rPr>
        <w:t>万元，完成调整预算收入100%。该类具体执行明细如下：</w:t>
      </w:r>
    </w:p>
    <w:p>
      <w:pPr>
        <w:keepNext w:val="0"/>
        <w:keepLines w:val="0"/>
        <w:widowControl w:val="0"/>
        <w:suppressLineNumbers w:val="0"/>
        <w:spacing w:before="0" w:beforeAutospacing="0" w:after="0" w:afterAutospacing="0" w:line="600" w:lineRule="exact"/>
        <w:ind w:left="0" w:right="0" w:firstLine="640" w:firstLineChars="200"/>
        <w:jc w:val="both"/>
        <w:rPr>
          <w:rStyle w:val="59"/>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（行政运行—2160201）:</w:t>
      </w:r>
      <w:r>
        <w:rPr>
          <w:rFonts w:hint="eastAsia" w:ascii="仿宋" w:hAnsi="仿宋" w:eastAsia="仿宋" w:cs="仿宋"/>
          <w:b w:val="0"/>
          <w:bCs w:val="0"/>
          <w:color w:val="000000"/>
          <w:kern w:val="2"/>
          <w:sz w:val="32"/>
          <w:szCs w:val="32"/>
          <w:lang w:val="en-US" w:eastAsia="zh-CN" w:bidi="ar"/>
        </w:rPr>
        <w:t xml:space="preserve"> </w:t>
      </w:r>
      <w:r>
        <w:rPr>
          <w:rStyle w:val="59"/>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b w:val="0"/>
          <w:bCs w:val="0"/>
          <w:color w:val="000000"/>
          <w:kern w:val="2"/>
          <w:sz w:val="32"/>
          <w:szCs w:val="32"/>
          <w:lang w:val="en-US" w:eastAsia="zh-CN" w:bidi="ar"/>
        </w:rPr>
        <w:t>120.36</w:t>
      </w:r>
      <w:r>
        <w:rPr>
          <w:rStyle w:val="59"/>
          <w:rFonts w:hint="eastAsia" w:ascii="仿宋" w:hAnsi="仿宋" w:eastAsia="仿宋" w:cs="仿宋"/>
          <w:b w:val="0"/>
          <w:bCs w:val="0"/>
          <w:color w:val="000000"/>
          <w:kern w:val="2"/>
          <w:sz w:val="32"/>
          <w:szCs w:val="32"/>
          <w:lang w:val="en-US" w:eastAsia="zh-CN" w:bidi="ar"/>
        </w:rPr>
        <w:t>万元，完成调整预算收入100%。</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（一般行政管理事务—2160202）:</w:t>
      </w:r>
      <w:r>
        <w:rPr>
          <w:rFonts w:hint="eastAsia" w:ascii="仿宋" w:hAnsi="仿宋" w:eastAsia="仿宋" w:cs="仿宋"/>
          <w:b w:val="0"/>
          <w:bCs w:val="0"/>
          <w:color w:val="000000"/>
          <w:kern w:val="2"/>
          <w:sz w:val="32"/>
          <w:szCs w:val="32"/>
          <w:lang w:val="en-US" w:eastAsia="zh-CN" w:bidi="ar"/>
        </w:rPr>
        <w:t xml:space="preserve"> 支出决算为87.96万元，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（事业运行—2160250）:</w:t>
      </w:r>
      <w:r>
        <w:rPr>
          <w:rFonts w:hint="eastAsia" w:ascii="仿宋" w:hAnsi="仿宋" w:eastAsia="仿宋" w:cs="仿宋"/>
          <w:b w:val="0"/>
          <w:bCs w:val="0"/>
          <w:color w:val="000000"/>
          <w:kern w:val="2"/>
          <w:sz w:val="32"/>
          <w:szCs w:val="32"/>
          <w:lang w:val="en-US" w:eastAsia="zh-CN" w:bidi="ar"/>
        </w:rPr>
        <w:t xml:space="preserve"> 支出决算为88.46万元，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（其他商业流通事务支出—2160299）：</w:t>
      </w:r>
      <w:r>
        <w:rPr>
          <w:rFonts w:hint="eastAsia" w:ascii="仿宋" w:hAnsi="仿宋" w:eastAsia="仿宋" w:cs="仿宋"/>
          <w:b w:val="0"/>
          <w:bCs w:val="0"/>
          <w:color w:val="000000"/>
          <w:kern w:val="2"/>
          <w:sz w:val="32"/>
          <w:szCs w:val="32"/>
          <w:lang w:val="en-US" w:eastAsia="zh-CN" w:bidi="ar"/>
        </w:rPr>
        <w:t>支出决算为597.89万元，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（其他涉外发展服务支出—2160699）：</w:t>
      </w:r>
      <w:r>
        <w:rPr>
          <w:rFonts w:hint="eastAsia" w:ascii="仿宋" w:hAnsi="仿宋" w:eastAsia="仿宋" w:cs="仿宋"/>
          <w:b w:val="0"/>
          <w:bCs w:val="0"/>
          <w:color w:val="000000"/>
          <w:kern w:val="2"/>
          <w:sz w:val="32"/>
          <w:szCs w:val="32"/>
          <w:lang w:val="en-US" w:eastAsia="zh-CN" w:bidi="ar"/>
        </w:rPr>
        <w:t>支出决算为82.43万元，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b w:val="0"/>
          <w:bCs w:val="0"/>
          <w:color w:val="000000"/>
          <w:kern w:val="2"/>
          <w:sz w:val="32"/>
          <w:szCs w:val="32"/>
          <w:lang w:val="en-US" w:eastAsia="zh-CN" w:bidi="ar"/>
        </w:rPr>
        <w:t>。</w:t>
      </w:r>
    </w:p>
    <w:p>
      <w:pPr>
        <w:pStyle w:val="21"/>
        <w:rPr>
          <w:rFonts w:hint="eastAsia"/>
          <w:sz w:val="10"/>
          <w:szCs w:val="10"/>
          <w:lang w:val="en-US" w:eastAsia="zh-CN"/>
        </w:rPr>
      </w:pPr>
      <w:r>
        <w:rPr>
          <w:rFonts w:hint="eastAsia"/>
          <w:lang w:val="en-US" w:eastAsia="zh-CN"/>
        </w:rPr>
        <w:t xml:space="preserve"> </w:t>
      </w:r>
      <w:r>
        <w:rPr>
          <w:rFonts w:hint="eastAsia" w:ascii="仿宋" w:hAnsi="仿宋" w:eastAsia="仿宋" w:cs="仿宋"/>
          <w:b/>
          <w:bCs/>
          <w:color w:val="000000"/>
          <w:kern w:val="2"/>
          <w:sz w:val="32"/>
          <w:szCs w:val="32"/>
          <w:lang w:val="en-US" w:eastAsia="zh-CN" w:bidi="ar"/>
        </w:rPr>
        <w:t xml:space="preserve">   住房保障支出（221）：</w:t>
      </w:r>
      <w:r>
        <w:rPr>
          <w:rFonts w:hint="eastAsia" w:ascii="仿宋" w:hAnsi="仿宋" w:eastAsia="仿宋" w:cs="仿宋"/>
          <w:b w:val="0"/>
          <w:bCs w:val="0"/>
          <w:color w:val="000000"/>
          <w:kern w:val="2"/>
          <w:sz w:val="32"/>
          <w:szCs w:val="32"/>
          <w:lang w:val="en-US" w:eastAsia="zh-CN" w:bidi="ar"/>
        </w:rPr>
        <w:t>支出决算为17.62万元，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b w:val="0"/>
          <w:bCs w:val="0"/>
          <w:color w:val="000000"/>
          <w:kern w:val="2"/>
          <w:sz w:val="32"/>
          <w:szCs w:val="32"/>
          <w:lang w:val="en-US" w:eastAsia="zh-CN" w:bidi="ar"/>
        </w:rPr>
        <w:t>。</w:t>
      </w:r>
    </w:p>
    <w:p>
      <w:pPr>
        <w:pStyle w:val="21"/>
        <w:ind w:left="0" w:leftChars="0" w:firstLine="600" w:firstLineChars="200"/>
        <w:rPr>
          <w:rFonts w:hint="eastAsia" w:ascii="楷体" w:hAnsi="楷体" w:eastAsia="楷体" w:cs="楷体"/>
          <w:lang w:val="en-US" w:eastAsia="zh-CN"/>
        </w:rPr>
      </w:pPr>
      <w:r>
        <w:rPr>
          <w:rFonts w:hint="eastAsia" w:ascii="楷体" w:hAnsi="楷体" w:eastAsia="楷体" w:cs="楷体"/>
          <w:lang w:val="en-US" w:eastAsia="zh-CN"/>
        </w:rPr>
        <w:t>3、按</w:t>
      </w:r>
      <w:r>
        <w:rPr>
          <w:rFonts w:hint="eastAsia" w:ascii="楷体" w:hAnsi="楷体" w:eastAsia="楷体" w:cs="楷体"/>
          <w:b w:val="0"/>
          <w:bCs w:val="0"/>
          <w:lang w:val="en-US" w:eastAsia="zh-CN"/>
        </w:rPr>
        <w:t>经济分类</w:t>
      </w:r>
      <w:r>
        <w:rPr>
          <w:rFonts w:hint="eastAsia" w:ascii="楷体" w:hAnsi="楷体" w:eastAsia="楷体" w:cs="楷体"/>
          <w:lang w:val="en-US" w:eastAsia="zh-CN"/>
        </w:rPr>
        <w:t>分析各类支出占比情况</w:t>
      </w:r>
    </w:p>
    <w:p>
      <w:pPr>
        <w:pStyle w:val="21"/>
        <w:ind w:left="0" w:leftChars="0" w:firstLine="600" w:firstLineChars="200"/>
        <w:rPr>
          <w:rFonts w:hint="eastAsia"/>
          <w:lang w:val="en-US" w:eastAsia="zh-CN"/>
        </w:rPr>
      </w:pPr>
      <w:r>
        <w:rPr>
          <w:rFonts w:hint="eastAsia"/>
          <w:lang w:val="en-US" w:eastAsia="zh-CN"/>
        </w:rPr>
        <w:t>2021年度一般公共预算支出1036.88万元，其中：</w:t>
      </w:r>
      <w:r>
        <w:rPr>
          <w:rFonts w:hint="eastAsia"/>
          <w:b/>
          <w:bCs/>
          <w:lang w:val="en-US" w:eastAsia="zh-CN"/>
        </w:rPr>
        <w:t>工资福利支出</w:t>
      </w:r>
      <w:r>
        <w:rPr>
          <w:rFonts w:hint="eastAsia"/>
          <w:lang w:val="en-US" w:eastAsia="zh-CN"/>
        </w:rPr>
        <w:t>235.81万元，占总支出的22.74%；</w:t>
      </w:r>
      <w:r>
        <w:rPr>
          <w:rFonts w:hint="eastAsia"/>
          <w:b/>
          <w:bCs/>
          <w:lang w:val="en-US" w:eastAsia="zh-CN"/>
        </w:rPr>
        <w:t>商品和服务支出</w:t>
      </w:r>
      <w:r>
        <w:rPr>
          <w:rFonts w:hint="eastAsia"/>
          <w:lang w:val="en-US" w:eastAsia="zh-CN"/>
        </w:rPr>
        <w:t>203.47万元，占总支出的19.62%；</w:t>
      </w:r>
      <w:r>
        <w:rPr>
          <w:rFonts w:hint="eastAsia"/>
          <w:b/>
          <w:bCs/>
          <w:lang w:val="en-US" w:eastAsia="zh-CN"/>
        </w:rPr>
        <w:t>对个人和家庭的补助</w:t>
      </w:r>
      <w:r>
        <w:rPr>
          <w:rFonts w:hint="eastAsia"/>
          <w:b w:val="0"/>
          <w:bCs w:val="0"/>
          <w:lang w:val="en-US" w:eastAsia="zh-CN"/>
        </w:rPr>
        <w:t>9</w:t>
      </w:r>
      <w:r>
        <w:rPr>
          <w:rFonts w:hint="eastAsia"/>
          <w:lang w:val="en-US" w:eastAsia="zh-CN"/>
        </w:rPr>
        <w:t>.42万元，占总支出的0.91%；</w:t>
      </w:r>
      <w:r>
        <w:rPr>
          <w:rFonts w:hint="eastAsia"/>
          <w:b/>
          <w:bCs/>
          <w:lang w:val="en-US" w:eastAsia="zh-CN"/>
        </w:rPr>
        <w:t>对企业补助</w:t>
      </w:r>
      <w:r>
        <w:rPr>
          <w:rFonts w:hint="eastAsia"/>
          <w:lang w:val="en-US" w:eastAsia="zh-CN"/>
        </w:rPr>
        <w:t>588.18万元，占总支出的56.73%。</w:t>
      </w:r>
    </w:p>
    <w:p>
      <w:pPr>
        <w:pStyle w:val="9"/>
        <w:numPr>
          <w:ilvl w:val="0"/>
          <w:numId w:val="0"/>
        </w:num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4.当年目标任务完成情况</w:t>
      </w:r>
    </w:p>
    <w:p>
      <w:pPr>
        <w:pStyle w:val="21"/>
        <w:ind w:left="0" w:leftChars="0" w:firstLine="640" w:firstLineChars="200"/>
        <w:rPr>
          <w:rFonts w:hint="eastAsia"/>
          <w:lang w:val="en-US" w:eastAsia="zh-CN"/>
        </w:rPr>
      </w:pPr>
      <w:r>
        <w:rPr>
          <w:rFonts w:hint="eastAsia" w:ascii="仿宋" w:hAnsi="仿宋" w:eastAsia="仿宋" w:cs="仿宋"/>
          <w:kern w:val="2"/>
          <w:sz w:val="32"/>
          <w:szCs w:val="32"/>
          <w:lang w:val="en-US" w:eastAsia="zh-CN" w:bidi="ar-SA"/>
        </w:rPr>
        <w:t>2021年，区商务局全面贯彻党的十九大和十九届历次全会精神，深入落实习近平总书记对四川工作系列重要指示精神以及区委全会精神，围绕区委“123456”执政兴区总体思路，坚持稳中求进工作总基调，以建设“3+N”现代服务业体系为主题，以深化供给侧结构性改革为主线，以改革创新为动力，聚焦“十四五”“开门红”，抢抓“成渝地区双城经济圈建设”机遇，统筹推进疫情防控和社会经济发展，全面</w:t>
      </w:r>
      <w:r>
        <w:rPr>
          <w:rFonts w:hint="eastAsia"/>
          <w:lang w:val="en-US" w:eastAsia="zh-CN"/>
        </w:rPr>
        <w:t>完成商贸服务业发展各项目标任务。</w:t>
      </w:r>
    </w:p>
    <w:p>
      <w:pPr>
        <w:pStyle w:val="21"/>
        <w:ind w:left="0" w:leftChars="0" w:firstLine="600" w:firstLineChars="200"/>
        <w:rPr>
          <w:rFonts w:hint="eastAsia"/>
          <w:lang w:val="en-US" w:eastAsia="zh-CN"/>
        </w:rPr>
      </w:pPr>
      <w:r>
        <w:rPr>
          <w:rFonts w:hint="eastAsia"/>
          <w:lang w:val="en-US" w:eastAsia="zh-CN"/>
        </w:rPr>
        <w:t>（1）当年主要经济指标完成情况</w:t>
      </w:r>
    </w:p>
    <w:p>
      <w:pPr>
        <w:snapToGrid w:val="0"/>
        <w:spacing w:line="600" w:lineRule="exact"/>
        <w:ind w:firstLine="640" w:firstLineChars="200"/>
        <w:jc w:val="both"/>
        <w:textAlignment w:val="baseline"/>
        <w:rPr>
          <w:rFonts w:ascii="仿宋_GB2312" w:eastAsia="仿宋_GB2312"/>
          <w:sz w:val="32"/>
          <w:szCs w:val="32"/>
        </w:rPr>
      </w:pPr>
      <w:r>
        <w:rPr>
          <w:rFonts w:hint="eastAsia" w:ascii="楷体" w:hAnsi="楷体" w:eastAsia="楷体" w:cs="楷体"/>
          <w:color w:val="000000" w:themeColor="text1"/>
          <w:sz w:val="32"/>
          <w:szCs w:val="32"/>
          <w14:textFill>
            <w14:solidFill>
              <w14:schemeClr w14:val="tx1"/>
            </w14:solidFill>
          </w14:textFill>
        </w:rPr>
        <w:t>社会消费品零售总额（市下目标</w:t>
      </w:r>
      <w:r>
        <w:rPr>
          <w:rFonts w:hint="eastAsia" w:ascii="仿宋" w:hAnsi="仿宋" w:eastAsia="仿宋" w:cs="仿宋"/>
          <w:kern w:val="0"/>
          <w:sz w:val="28"/>
          <w:szCs w:val="28"/>
        </w:rPr>
        <w:t>20%</w:t>
      </w:r>
      <w:r>
        <w:rPr>
          <w:rFonts w:hint="eastAsia" w:ascii="楷体" w:hAnsi="楷体" w:eastAsia="楷体" w:cs="楷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eastAsia="仿宋_GB2312"/>
          <w:sz w:val="32"/>
          <w:szCs w:val="32"/>
        </w:rPr>
        <w:t>1-</w:t>
      </w:r>
      <w:r>
        <w:rPr>
          <w:rFonts w:hint="eastAsia" w:ascii="仿宋_GB2312" w:eastAsia="仿宋_GB2312"/>
          <w:sz w:val="32"/>
          <w:szCs w:val="32"/>
          <w:lang w:val="en-US" w:eastAsia="zh-CN"/>
        </w:rPr>
        <w:t>12</w:t>
      </w:r>
      <w:r>
        <w:rPr>
          <w:rFonts w:hint="eastAsia" w:ascii="仿宋_GB2312" w:eastAsia="仿宋_GB2312"/>
          <w:sz w:val="32"/>
          <w:szCs w:val="32"/>
        </w:rPr>
        <w:t>月，社消零实现</w:t>
      </w:r>
      <w:r>
        <w:rPr>
          <w:rFonts w:hint="eastAsia" w:ascii="仿宋_GB2312" w:eastAsia="仿宋_GB2312"/>
          <w:sz w:val="32"/>
          <w:szCs w:val="32"/>
          <w:lang w:val="en-US" w:eastAsia="zh-CN"/>
        </w:rPr>
        <w:t>25.27</w:t>
      </w:r>
      <w:r>
        <w:rPr>
          <w:rFonts w:hint="eastAsia" w:ascii="仿宋_GB2312" w:eastAsia="仿宋_GB2312"/>
          <w:sz w:val="32"/>
          <w:szCs w:val="32"/>
        </w:rPr>
        <w:t>亿元，同比增长18.</w:t>
      </w:r>
      <w:r>
        <w:rPr>
          <w:rFonts w:hint="eastAsia" w:ascii="仿宋_GB2312" w:eastAsia="仿宋_GB2312"/>
          <w:sz w:val="32"/>
          <w:szCs w:val="32"/>
          <w:lang w:val="en-US" w:eastAsia="zh-CN"/>
        </w:rPr>
        <w:t>1</w:t>
      </w:r>
      <w:r>
        <w:rPr>
          <w:rFonts w:hint="eastAsia" w:ascii="仿宋_GB2312" w:eastAsia="仿宋_GB2312"/>
          <w:sz w:val="32"/>
          <w:szCs w:val="32"/>
        </w:rPr>
        <w:t>%，排全市第</w:t>
      </w:r>
      <w:r>
        <w:rPr>
          <w:rFonts w:hint="eastAsia" w:ascii="仿宋_GB2312" w:eastAsia="仿宋_GB2312"/>
          <w:sz w:val="32"/>
          <w:szCs w:val="32"/>
          <w:lang w:eastAsia="zh-CN"/>
        </w:rPr>
        <w:t>五</w:t>
      </w:r>
      <w:r>
        <w:rPr>
          <w:rFonts w:hint="eastAsia" w:ascii="仿宋_GB2312" w:eastAsia="仿宋_GB2312"/>
          <w:sz w:val="32"/>
          <w:szCs w:val="32"/>
        </w:rPr>
        <w:t>位。</w:t>
      </w:r>
    </w:p>
    <w:p>
      <w:pPr>
        <w:snapToGrid w:val="0"/>
        <w:spacing w:line="600" w:lineRule="exact"/>
        <w:ind w:firstLine="640" w:firstLineChars="200"/>
        <w:jc w:val="both"/>
        <w:textAlignment w:val="baseline"/>
        <w:rPr>
          <w:rFonts w:ascii="仿宋_GB2312" w:eastAsia="仿宋_GB2312"/>
          <w:sz w:val="32"/>
          <w:szCs w:val="32"/>
        </w:rPr>
      </w:pPr>
      <w:r>
        <w:rPr>
          <w:rFonts w:hint="eastAsia" w:ascii="楷体" w:hAnsi="楷体" w:eastAsia="楷体" w:cs="楷体"/>
          <w:color w:val="000000" w:themeColor="text1"/>
          <w:sz w:val="32"/>
          <w:szCs w:val="32"/>
          <w14:textFill>
            <w14:solidFill>
              <w14:schemeClr w14:val="tx1"/>
            </w14:solidFill>
          </w14:textFill>
        </w:rPr>
        <w:t>服务业增加值（市下目标</w:t>
      </w:r>
      <w:r>
        <w:rPr>
          <w:rFonts w:hint="eastAsia" w:ascii="仿宋" w:hAnsi="仿宋" w:eastAsia="仿宋" w:cs="仿宋"/>
          <w:kern w:val="0"/>
          <w:sz w:val="28"/>
          <w:szCs w:val="28"/>
        </w:rPr>
        <w:t>11.50%</w:t>
      </w:r>
      <w:r>
        <w:rPr>
          <w:rFonts w:hint="eastAsia" w:ascii="楷体" w:hAnsi="楷体" w:eastAsia="楷体" w:cs="楷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eastAsia="仿宋_GB2312"/>
          <w:sz w:val="32"/>
          <w:szCs w:val="32"/>
        </w:rPr>
        <w:t>1-</w:t>
      </w:r>
      <w:r>
        <w:rPr>
          <w:rFonts w:hint="eastAsia" w:ascii="仿宋_GB2312" w:eastAsia="仿宋_GB2312"/>
          <w:sz w:val="32"/>
          <w:szCs w:val="32"/>
          <w:lang w:val="en-US" w:eastAsia="zh-CN"/>
        </w:rPr>
        <w:t>12</w:t>
      </w:r>
      <w:r>
        <w:rPr>
          <w:rFonts w:hint="eastAsia" w:ascii="仿宋_GB2312" w:eastAsia="仿宋_GB2312"/>
          <w:sz w:val="32"/>
          <w:szCs w:val="32"/>
          <w:lang w:val="en-US" w:eastAsia="zh-CN"/>
        </w:rPr>
        <w:tab/>
      </w:r>
      <w:r>
        <w:rPr>
          <w:rFonts w:hint="eastAsia" w:ascii="仿宋_GB2312" w:eastAsia="仿宋_GB2312"/>
          <w:sz w:val="32"/>
          <w:szCs w:val="32"/>
        </w:rPr>
        <w:t>月，实现服务业增加值</w:t>
      </w:r>
      <w:r>
        <w:rPr>
          <w:rFonts w:hint="eastAsia" w:ascii="仿宋_GB2312" w:eastAsia="仿宋_GB2312"/>
          <w:sz w:val="32"/>
          <w:szCs w:val="32"/>
          <w:lang w:val="en-US" w:eastAsia="zh-CN"/>
        </w:rPr>
        <w:t>25.40</w:t>
      </w:r>
      <w:r>
        <w:rPr>
          <w:rFonts w:hint="eastAsia" w:ascii="仿宋_GB2312" w:eastAsia="仿宋_GB2312"/>
          <w:sz w:val="32"/>
          <w:szCs w:val="32"/>
        </w:rPr>
        <w:t>亿元，同比增长</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%，排全市第</w:t>
      </w:r>
      <w:r>
        <w:rPr>
          <w:rFonts w:hint="eastAsia" w:ascii="仿宋_GB2312" w:eastAsia="仿宋_GB2312"/>
          <w:sz w:val="32"/>
          <w:szCs w:val="32"/>
          <w:lang w:eastAsia="zh-CN"/>
        </w:rPr>
        <w:t>一</w:t>
      </w:r>
      <w:r>
        <w:rPr>
          <w:rFonts w:hint="eastAsia" w:ascii="仿宋_GB2312" w:eastAsia="仿宋_GB2312"/>
          <w:sz w:val="32"/>
          <w:szCs w:val="32"/>
        </w:rPr>
        <w:t>位。</w:t>
      </w:r>
    </w:p>
    <w:p>
      <w:pPr>
        <w:spacing w:line="560" w:lineRule="exact"/>
        <w:ind w:firstLine="640" w:firstLineChars="200"/>
        <w:jc w:val="both"/>
        <w:rPr>
          <w:rFonts w:hint="eastAsia" w:ascii="仿宋_GB2312" w:eastAsia="仿宋_GB2312"/>
          <w:color w:val="0000FF"/>
          <w:sz w:val="32"/>
          <w:szCs w:val="32"/>
        </w:rPr>
      </w:pPr>
      <w:r>
        <w:rPr>
          <w:rFonts w:hint="eastAsia" w:ascii="楷体" w:hAnsi="楷体" w:eastAsia="楷体" w:cs="楷体"/>
          <w:color w:val="000000" w:themeColor="text1"/>
          <w:sz w:val="32"/>
          <w:szCs w:val="32"/>
          <w14:textFill>
            <w14:solidFill>
              <w14:schemeClr w14:val="tx1"/>
            </w14:solidFill>
          </w14:textFill>
        </w:rPr>
        <w:t>外贸进出口总额（市下目标3113万元、增速不低于25%）</w:t>
      </w:r>
      <w:r>
        <w:rPr>
          <w:rFonts w:hint="eastAsia" w:ascii="仿宋_GB2312" w:eastAsia="仿宋_GB2312"/>
          <w:sz w:val="32"/>
          <w:szCs w:val="32"/>
          <w:lang w:val="en-US" w:eastAsia="zh-CN"/>
        </w:rPr>
        <w:t>。1-12月，全区外贸进出口总额实现1395.75万元，同比下降44%。</w:t>
      </w:r>
    </w:p>
    <w:p>
      <w:pPr>
        <w:spacing w:line="560" w:lineRule="exact"/>
        <w:ind w:firstLine="640" w:firstLineChars="200"/>
        <w:rPr>
          <w:rFonts w:ascii="仿宋_GB2312" w:eastAsia="仿宋_GB2312"/>
          <w:sz w:val="32"/>
          <w:szCs w:val="32"/>
        </w:rPr>
      </w:pPr>
      <w:r>
        <w:rPr>
          <w:rFonts w:hint="eastAsia" w:ascii="楷体" w:hAnsi="楷体" w:eastAsia="楷体" w:cs="楷体"/>
          <w:color w:val="000000" w:themeColor="text1"/>
          <w:sz w:val="32"/>
          <w:szCs w:val="32"/>
          <w14:textFill>
            <w14:solidFill>
              <w14:schemeClr w14:val="tx1"/>
            </w14:solidFill>
          </w14:textFill>
        </w:rPr>
        <w:t>实际到位外资（市下目标320万美元）。</w:t>
      </w:r>
      <w:r>
        <w:rPr>
          <w:rFonts w:hint="eastAsia" w:ascii="仿宋_GB2312" w:eastAsia="仿宋_GB2312"/>
          <w:sz w:val="32"/>
          <w:szCs w:val="32"/>
        </w:rPr>
        <w:t>全年实际到位外资400万美元，完成目标任务的125%。</w:t>
      </w:r>
    </w:p>
    <w:p>
      <w:pPr>
        <w:spacing w:line="560" w:lineRule="exact"/>
        <w:ind w:firstLine="640" w:firstLineChars="200"/>
        <w:rPr>
          <w:rFonts w:ascii="仿宋_GB2312" w:eastAsia="仿宋_GB2312"/>
          <w:sz w:val="32"/>
          <w:szCs w:val="32"/>
        </w:rPr>
      </w:pPr>
      <w:r>
        <w:rPr>
          <w:rFonts w:hint="eastAsia" w:ascii="楷体" w:hAnsi="楷体" w:eastAsia="楷体" w:cs="楷体"/>
          <w:color w:val="000000" w:themeColor="text1"/>
          <w:sz w:val="32"/>
          <w:szCs w:val="32"/>
          <w14:textFill>
            <w14:solidFill>
              <w14:schemeClr w14:val="tx1"/>
            </w14:solidFill>
          </w14:textFill>
        </w:rPr>
        <w:t>企业入库（市下规上服务业企业1家、限上商贸企业2家）。</w:t>
      </w:r>
      <w:r>
        <w:rPr>
          <w:rFonts w:hint="eastAsia" w:ascii="仿宋_GB2312" w:eastAsia="仿宋_GB2312"/>
          <w:sz w:val="32"/>
          <w:szCs w:val="32"/>
        </w:rPr>
        <w:t>全年入库批零住餐企业3家、规上服务业企业1家。</w:t>
      </w:r>
    </w:p>
    <w:p>
      <w:pPr>
        <w:spacing w:line="560" w:lineRule="exact"/>
        <w:ind w:firstLine="640" w:firstLineChars="200"/>
        <w:rPr>
          <w:rFonts w:ascii="仿宋_GB2312" w:eastAsia="仿宋_GB2312"/>
          <w:sz w:val="32"/>
          <w:szCs w:val="32"/>
          <w:u w:val="single"/>
        </w:rPr>
      </w:pPr>
      <w:r>
        <w:rPr>
          <w:rFonts w:hint="eastAsia" w:ascii="楷体" w:hAnsi="楷体" w:eastAsia="楷体" w:cs="楷体"/>
          <w:color w:val="000000" w:themeColor="text1"/>
          <w:sz w:val="32"/>
          <w:szCs w:val="32"/>
          <w14:textFill>
            <w14:solidFill>
              <w14:schemeClr w14:val="tx1"/>
            </w14:solidFill>
          </w14:textFill>
        </w:rPr>
        <w:t>固定资产投资项目入库（区下目标：完成固定资产投资1.1亿元，入库2.0亿元）</w:t>
      </w:r>
      <w:r>
        <w:rPr>
          <w:rFonts w:ascii="仿宋" w:hAnsi="仿宋" w:eastAsia="仿宋" w:cs="仿宋"/>
          <w:sz w:val="32"/>
          <w:szCs w:val="32"/>
        </w:rPr>
        <w:t>。</w:t>
      </w:r>
      <w:r>
        <w:rPr>
          <w:rFonts w:hint="eastAsia" w:ascii="仿宋_GB2312" w:eastAsia="仿宋_GB2312"/>
          <w:sz w:val="32"/>
          <w:szCs w:val="32"/>
        </w:rPr>
        <w:t>1-12月完成固定资产投资2765万元，完成全年目标任务11000万元的25.14%，出数后库存3220万元。入库3920万元，完成全年入库任务20000万元的19.6%。</w:t>
      </w:r>
    </w:p>
    <w:p>
      <w:pPr>
        <w:spacing w:line="560" w:lineRule="exact"/>
        <w:ind w:firstLine="640" w:firstLineChars="200"/>
        <w:rPr>
          <w:rFonts w:ascii="仿宋_GB2312" w:eastAsia="仿宋_GB2312"/>
          <w:sz w:val="32"/>
          <w:szCs w:val="32"/>
        </w:rPr>
      </w:pPr>
      <w:r>
        <w:rPr>
          <w:rFonts w:hint="eastAsia" w:ascii="楷体" w:hAnsi="楷体" w:eastAsia="楷体" w:cs="楷体"/>
          <w:color w:val="000000" w:themeColor="text1"/>
          <w:sz w:val="32"/>
          <w:szCs w:val="32"/>
          <w14:textFill>
            <w14:solidFill>
              <w14:schemeClr w14:val="tx1"/>
            </w14:solidFill>
          </w14:textFill>
        </w:rPr>
        <w:t>招商引资（区下</w:t>
      </w:r>
      <w:r>
        <w:rPr>
          <w:rFonts w:hint="eastAsia" w:ascii="楷体" w:hAnsi="楷体" w:eastAsia="楷体" w:cs="楷体"/>
          <w:b w:val="0"/>
          <w:bCs w:val="0"/>
          <w:color w:val="000000" w:themeColor="text1"/>
          <w:sz w:val="32"/>
          <w:szCs w:val="32"/>
          <w14:textFill>
            <w14:solidFill>
              <w14:schemeClr w14:val="tx1"/>
            </w14:solidFill>
          </w14:textFill>
        </w:rPr>
        <w:t>目标：签约项目3个，签约资金2.6亿</w:t>
      </w:r>
      <w:r>
        <w:rPr>
          <w:rFonts w:hint="eastAsia" w:ascii="楷体" w:hAnsi="楷体" w:eastAsia="楷体" w:cs="楷体"/>
          <w:color w:val="000000" w:themeColor="text1"/>
          <w:sz w:val="32"/>
          <w:szCs w:val="32"/>
          <w14:textFill>
            <w14:solidFill>
              <w14:schemeClr w14:val="tx1"/>
            </w14:solidFill>
          </w14:textFill>
        </w:rPr>
        <w:t>元，引进到位资金2亿元）</w:t>
      </w:r>
      <w:r>
        <w:rPr>
          <w:rFonts w:hint="eastAsia" w:ascii="仿宋" w:hAnsi="仿宋" w:eastAsia="仿宋" w:cs="仿宋"/>
          <w:sz w:val="32"/>
          <w:szCs w:val="32"/>
        </w:rPr>
        <w:t>。</w:t>
      </w:r>
      <w:r>
        <w:rPr>
          <w:rFonts w:hint="eastAsia" w:ascii="仿宋_GB2312" w:eastAsia="仿宋_GB2312"/>
          <w:sz w:val="32"/>
          <w:szCs w:val="32"/>
        </w:rPr>
        <w:t>共签约招商引资项目4个，签约资金2.7亿元。完成区下目标任务2.6亿元的103.85%</w:t>
      </w:r>
    </w:p>
    <w:p>
      <w:pPr>
        <w:spacing w:line="56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sz w:val="32"/>
          <w:szCs w:val="32"/>
        </w:rPr>
        <w:t>向上争取资金</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区下目标：200万元）。全年累计完成向上争取资金1019.18万元，占全年目标的509.59%。</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（2）主要工作开展情况</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全面完成疫情防控任务。</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强化责任落实</w:t>
      </w:r>
      <w:r>
        <w:rPr>
          <w:rFonts w:hint="eastAsia" w:ascii="黑体" w:hAnsi="黑体" w:eastAsia="黑体" w:cs="黑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立主城区疫情防控网格化管理机制，建立商场超市、宾馆民宿等行业疫情防控工作组，划分了朝天片、羊木片、中子片、曾家片4个疫情防控督导片，按照“线面结合”方式，确保全区商贸行业疫情防控不留空白。</w:t>
      </w:r>
      <w:r>
        <w:rPr>
          <w:rFonts w:hint="eastAsia" w:ascii="仿宋" w:hAnsi="仿宋" w:eastAsia="仿宋" w:cs="仿宋"/>
          <w:color w:val="000000" w:themeColor="text1"/>
          <w:sz w:val="32"/>
          <w:szCs w:val="32"/>
          <w:lang w:eastAsia="zh-CN"/>
          <w14:textFill>
            <w14:solidFill>
              <w14:schemeClr w14:val="tx1"/>
            </w14:solidFill>
          </w14:textFill>
        </w:rPr>
        <w:t>做好商务市场疫情防控工作组牵头统筹工作。</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坚持常态化防控。压实</w:t>
      </w:r>
      <w:r>
        <w:rPr>
          <w:rFonts w:hint="eastAsia" w:ascii="仿宋" w:hAnsi="仿宋" w:eastAsia="仿宋" w:cs="仿宋"/>
          <w:color w:val="000000" w:themeColor="text1"/>
          <w:sz w:val="32"/>
          <w:szCs w:val="32"/>
          <w14:textFill>
            <w14:solidFill>
              <w14:schemeClr w14:val="tx1"/>
            </w14:solidFill>
          </w14:textFill>
        </w:rPr>
        <w:t>商场超市、宾馆酒店等业主主体责任，坚持“健康码、行程卡”双码联查、扫场所码、测量体温、规范佩戴口罩、一米间距、环境消杀等常态化防控措施，制定疫情防控应急预案，准备足量疫情防控物资。加大宣传教育力度，张贴疫情防控公告</w:t>
      </w:r>
      <w:r>
        <w:rPr>
          <w:rFonts w:hint="eastAsia" w:ascii="仿宋" w:hAnsi="仿宋" w:eastAsia="仿宋" w:cs="仿宋"/>
          <w:color w:val="000000" w:themeColor="text1"/>
          <w:sz w:val="32"/>
          <w:szCs w:val="32"/>
          <w:lang w:val="en-US" w:eastAsia="zh-CN"/>
          <w14:textFill>
            <w14:solidFill>
              <w14:schemeClr w14:val="tx1"/>
            </w14:solidFill>
          </w14:textFill>
        </w:rPr>
        <w:t>5000余</w:t>
      </w:r>
      <w:r>
        <w:rPr>
          <w:rFonts w:hint="eastAsia" w:ascii="仿宋" w:hAnsi="仿宋" w:eastAsia="仿宋" w:cs="仿宋"/>
          <w:color w:val="000000" w:themeColor="text1"/>
          <w:sz w:val="32"/>
          <w:szCs w:val="32"/>
          <w14:textFill>
            <w14:solidFill>
              <w14:schemeClr w14:val="tx1"/>
            </w14:solidFill>
          </w14:textFill>
        </w:rPr>
        <w:t>张、签订疫情防控承诺书</w:t>
      </w:r>
      <w:r>
        <w:rPr>
          <w:rFonts w:hint="eastAsia" w:ascii="仿宋" w:hAnsi="仿宋" w:eastAsia="仿宋" w:cs="仿宋"/>
          <w:color w:val="000000" w:themeColor="text1"/>
          <w:sz w:val="32"/>
          <w:szCs w:val="32"/>
          <w:lang w:val="en-US" w:eastAsia="zh-CN"/>
          <w14:textFill>
            <w14:solidFill>
              <w14:schemeClr w14:val="tx1"/>
            </w14:solidFill>
          </w14:textFill>
        </w:rPr>
        <w:t>1000余</w:t>
      </w:r>
      <w:r>
        <w:rPr>
          <w:rFonts w:hint="eastAsia" w:ascii="仿宋" w:hAnsi="仿宋" w:eastAsia="仿宋" w:cs="仿宋"/>
          <w:color w:val="000000" w:themeColor="text1"/>
          <w:sz w:val="32"/>
          <w:szCs w:val="32"/>
          <w14:textFill>
            <w14:solidFill>
              <w14:schemeClr w14:val="tx1"/>
            </w14:solidFill>
          </w14:textFill>
        </w:rPr>
        <w:t>份，发整改通知书</w:t>
      </w:r>
      <w:r>
        <w:rPr>
          <w:rFonts w:hint="eastAsia" w:ascii="仿宋" w:hAnsi="仿宋" w:eastAsia="仿宋" w:cs="仿宋"/>
          <w:color w:val="000000" w:themeColor="text1"/>
          <w:sz w:val="32"/>
          <w:szCs w:val="32"/>
          <w:lang w:val="en-US" w:eastAsia="zh-CN"/>
          <w14:textFill>
            <w14:solidFill>
              <w14:schemeClr w14:val="tx1"/>
            </w14:solidFill>
          </w14:textFill>
        </w:rPr>
        <w:t>120余</w:t>
      </w:r>
      <w:r>
        <w:rPr>
          <w:rFonts w:hint="eastAsia" w:ascii="仿宋" w:hAnsi="仿宋" w:eastAsia="仿宋" w:cs="仿宋"/>
          <w:color w:val="000000" w:themeColor="text1"/>
          <w:sz w:val="32"/>
          <w:szCs w:val="32"/>
          <w14:textFill>
            <w14:solidFill>
              <w14:schemeClr w14:val="tx1"/>
            </w14:solidFill>
          </w14:textFill>
        </w:rPr>
        <w:t>份，及时在LED显示屏、广播等显示、播放疫情宣传标语。加强企业员工管理，督促从业人员按要求做好核酸检测、疫苗接种以及日常防控工作。坚持部门联动执法，对防控不力、重视不够、屡教不改的典型企业，协同公安系统及时进行批评教育并采取视频曝光等形式，力争达到处理一户、教育一片的目的。</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有效开展进口非冷链商品疫情防控工作。建立全区进口高风险非冷链商品疫情防控工作</w:t>
      </w:r>
      <w:r>
        <w:rPr>
          <w:rFonts w:hint="eastAsia" w:ascii="仿宋" w:hAnsi="仿宋" w:eastAsia="仿宋" w:cs="仿宋"/>
          <w:b w:val="0"/>
          <w:bCs w:val="0"/>
          <w:color w:val="000000" w:themeColor="text1"/>
          <w:sz w:val="32"/>
          <w:szCs w:val="32"/>
          <w:lang w:eastAsia="zh-CN"/>
          <w14:textFill>
            <w14:solidFill>
              <w14:schemeClr w14:val="tx1"/>
            </w14:solidFill>
          </w14:textFill>
        </w:rPr>
        <w:t>专班</w:t>
      </w:r>
      <w:r>
        <w:rPr>
          <w:rFonts w:hint="eastAsia" w:ascii="仿宋" w:hAnsi="仿宋" w:eastAsia="仿宋" w:cs="仿宋"/>
          <w:b w:val="0"/>
          <w:bCs w:val="0"/>
          <w:color w:val="000000" w:themeColor="text1"/>
          <w:sz w:val="32"/>
          <w:szCs w:val="32"/>
          <w14:textFill>
            <w14:solidFill>
              <w14:schemeClr w14:val="tx1"/>
            </w14:solidFill>
          </w14:textFill>
        </w:rPr>
        <w:t>，落实乡镇</w:t>
      </w:r>
      <w:r>
        <w:rPr>
          <w:rFonts w:hint="eastAsia" w:ascii="仿宋" w:hAnsi="仿宋" w:eastAsia="仿宋" w:cs="仿宋"/>
          <w:color w:val="000000" w:themeColor="text1"/>
          <w:sz w:val="32"/>
          <w:szCs w:val="32"/>
          <w14:textFill>
            <w14:solidFill>
              <w14:schemeClr w14:val="tx1"/>
            </w14:solidFill>
          </w14:textFill>
        </w:rPr>
        <w:t>属地管理责任，抓实行业监管责任，部门之间紧密配合，</w:t>
      </w:r>
      <w:r>
        <w:rPr>
          <w:rFonts w:hint="eastAsia" w:ascii="仿宋" w:hAnsi="仿宋" w:eastAsia="仿宋" w:cs="仿宋"/>
          <w:color w:val="000000" w:themeColor="text1"/>
          <w:sz w:val="32"/>
          <w:szCs w:val="32"/>
          <w:lang w:eastAsia="zh-CN"/>
          <w14:textFill>
            <w14:solidFill>
              <w14:schemeClr w14:val="tx1"/>
            </w14:solidFill>
          </w14:textFill>
        </w:rPr>
        <w:t>对全区经营商户、企业进行全面排查，切实落实</w:t>
      </w:r>
      <w:r>
        <w:rPr>
          <w:rFonts w:hint="eastAsia" w:ascii="仿宋" w:hAnsi="仿宋" w:eastAsia="仿宋" w:cs="仿宋"/>
          <w:color w:val="000000" w:themeColor="text1"/>
          <w:sz w:val="32"/>
          <w:szCs w:val="32"/>
          <w14:textFill>
            <w14:solidFill>
              <w14:schemeClr w14:val="tx1"/>
            </w14:solidFill>
          </w14:textFill>
        </w:rPr>
        <w:t>进口高风险非冷链商品疫情防控工作。</w:t>
      </w:r>
      <w:r>
        <w:rPr>
          <w:rFonts w:hint="eastAsia" w:ascii="仿宋" w:hAnsi="仿宋" w:eastAsia="仿宋" w:cs="仿宋"/>
          <w:color w:val="000000" w:themeColor="text1"/>
          <w:sz w:val="32"/>
          <w:szCs w:val="32"/>
          <w:lang w:eastAsia="zh-CN"/>
          <w14:textFill>
            <w14:solidFill>
              <w14:schemeClr w14:val="tx1"/>
            </w14:solidFill>
          </w14:textFill>
        </w:rPr>
        <w:t>截至目前，全区共有经营进口奶粉的孕婴店</w:t>
      </w:r>
      <w:r>
        <w:rPr>
          <w:rFonts w:hint="eastAsia" w:ascii="仿宋" w:hAnsi="仿宋" w:eastAsia="仿宋" w:cs="仿宋"/>
          <w:color w:val="000000" w:themeColor="text1"/>
          <w:sz w:val="32"/>
          <w:szCs w:val="32"/>
          <w:lang w:val="en-US" w:eastAsia="zh-CN"/>
          <w14:textFill>
            <w14:solidFill>
              <w14:schemeClr w14:val="tx1"/>
            </w14:solidFill>
          </w14:textFill>
        </w:rPr>
        <w:t>3家、进口商品的生产企业6家，所有进口商品的生产许可证、检验检疫报告、核酸检测报告等证件齐全，并专门登记造册，做到来源可追溯。查获进口邮件包裹16个，原路退回7件，其他9件经检疫检测和消毒登记后由收件人提取。</w:t>
      </w:r>
      <w:r>
        <w:rPr>
          <w:rFonts w:hint="eastAsia" w:ascii="仿宋" w:hAnsi="仿宋" w:eastAsia="仿宋" w:cs="仿宋"/>
          <w:color w:val="000000" w:themeColor="text1"/>
          <w:sz w:val="32"/>
          <w:szCs w:val="32"/>
          <w:lang w:eastAsia="zh-CN"/>
          <w14:textFill>
            <w14:solidFill>
              <w14:schemeClr w14:val="tx1"/>
            </w14:solidFill>
          </w14:textFill>
        </w:rPr>
        <w:t>协助做好</w:t>
      </w:r>
      <w:r>
        <w:rPr>
          <w:rFonts w:hint="eastAsia" w:ascii="仿宋" w:hAnsi="仿宋" w:eastAsia="仿宋" w:cs="仿宋"/>
          <w:color w:val="000000" w:themeColor="text1"/>
          <w:sz w:val="32"/>
          <w:szCs w:val="32"/>
          <w14:textFill>
            <w14:solidFill>
              <w14:schemeClr w14:val="tx1"/>
            </w14:solidFill>
          </w14:textFill>
        </w:rPr>
        <w:t>进口冷链食品</w:t>
      </w:r>
      <w:r>
        <w:rPr>
          <w:rFonts w:hint="eastAsia" w:ascii="仿宋" w:hAnsi="仿宋" w:eastAsia="仿宋" w:cs="仿宋"/>
          <w:color w:val="000000" w:themeColor="text1"/>
          <w:sz w:val="32"/>
          <w:szCs w:val="32"/>
          <w:lang w:eastAsia="zh-CN"/>
          <w14:textFill>
            <w14:solidFill>
              <w14:schemeClr w14:val="tx1"/>
            </w14:solidFill>
          </w14:textFill>
        </w:rPr>
        <w:t>管理。</w:t>
      </w:r>
    </w:p>
    <w:p>
      <w:pPr>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加快流通体系建设全力夯实商贸业发展基础。</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创新城乡商贸体系。初</w:t>
      </w:r>
      <w:r>
        <w:rPr>
          <w:rFonts w:hint="eastAsia" w:ascii="仿宋" w:hAnsi="仿宋" w:eastAsia="仿宋" w:cs="仿宋"/>
          <w:color w:val="000000" w:themeColor="text1"/>
          <w:sz w:val="32"/>
          <w:szCs w:val="32"/>
          <w14:textFill>
            <w14:solidFill>
              <w14:schemeClr w14:val="tx1"/>
            </w14:solidFill>
          </w14:textFill>
        </w:rPr>
        <w:t>步建立了联通村产业、区分拣、社区网点配送的城乡流通体系，共建立了20余个产业村收购网点、1个区级农产品配送中心、7个社区配送网点。加强区、乡、村三级电商综合服务站点和物流配送站点管理，各示范点运营绩效显著提升，乡村物流配送渠道逐步畅通，物流成本大幅降低。</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畅通线上消费渠道。</w:t>
      </w:r>
      <w:r>
        <w:rPr>
          <w:rFonts w:hint="eastAsia" w:ascii="仿宋" w:hAnsi="仿宋" w:eastAsia="仿宋" w:cs="仿宋"/>
          <w:color w:val="000000" w:themeColor="text1"/>
          <w:sz w:val="32"/>
          <w:szCs w:val="32"/>
          <w14:textFill>
            <w14:solidFill>
              <w14:schemeClr w14:val="tx1"/>
            </w14:solidFill>
          </w14:textFill>
        </w:rPr>
        <w:t>持续深化国家级电商进农村示范县创建工作，培育较大的农村电商团队4个，新培育注册电商公司5家，开展电商人才培训309人次，培育直播团队3个、微商团队1个，孵化电商创业者321人，成立了朝天农资网、朝天娇</w:t>
      </w:r>
      <w:r>
        <w:rPr>
          <w:rFonts w:ascii="仿宋" w:hAnsi="仿宋" w:eastAsia="仿宋" w:cs="仿宋"/>
          <w:color w:val="000000" w:themeColor="text1"/>
          <w:sz w:val="32"/>
          <w:szCs w:val="32"/>
          <w14:textFill>
            <w14:solidFill>
              <w14:schemeClr w14:val="tx1"/>
            </w14:solidFill>
          </w14:textFill>
        </w:rPr>
        <w:t>本土电商平台</w:t>
      </w:r>
      <w:r>
        <w:rPr>
          <w:rFonts w:hint="eastAsia" w:ascii="仿宋" w:hAnsi="仿宋" w:eastAsia="仿宋" w:cs="仿宋"/>
          <w:color w:val="000000" w:themeColor="text1"/>
          <w:sz w:val="32"/>
          <w:szCs w:val="32"/>
          <w14:textFill>
            <w14:solidFill>
              <w14:schemeClr w14:val="tx1"/>
            </w14:solidFill>
          </w14:textFill>
        </w:rPr>
        <w:t>2个，建立“不出远门”快递超市等社区电商平台，举办“云上秦巴山区年货节”线上活动2次。社区电商、网红直播、供应链等电商业态不断发展，网上消费日趋活跃，全年电商交易额达到4.5亿元、农特产品网销额1.45亿元以上。</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壮大市场主体。</w:t>
      </w:r>
      <w:r>
        <w:rPr>
          <w:rFonts w:hint="eastAsia" w:ascii="仿宋" w:hAnsi="仿宋" w:eastAsia="仿宋" w:cs="仿宋"/>
          <w:color w:val="000000" w:themeColor="text1"/>
          <w:sz w:val="32"/>
          <w:szCs w:val="32"/>
          <w14:textFill>
            <w14:solidFill>
              <w14:schemeClr w14:val="tx1"/>
            </w14:solidFill>
          </w14:textFill>
        </w:rPr>
        <w:t>完善企业梯次培育和县级领导挂联机制，坚持“四个一批”工作举措，加大商贸服务业企业培育和招引，全力推动“个转企”，不断壮大商贸服务业企业主体队伍。实行部门联动，坚持限上限下同向发力，努力促进在库企业上台阶和限下企业提质增效。严格落实《朝天区“四上”企业培育奖励办法》，密切跟踪重点培育的企业，确保完成企业入库任务。2021年共兑现企业入库奖励资金48万元。</w:t>
      </w:r>
      <w:r>
        <w:rPr>
          <w:rFonts w:hint="eastAsia" w:ascii="仿宋" w:hAnsi="仿宋" w:eastAsia="仿宋" w:cs="仿宋"/>
          <w:b/>
          <w:bCs/>
          <w:color w:val="000000" w:themeColor="text1"/>
          <w:sz w:val="32"/>
          <w:szCs w:val="32"/>
          <w14:textFill>
            <w14:solidFill>
              <w14:schemeClr w14:val="tx1"/>
            </w14:solidFill>
          </w14:textFill>
        </w:rPr>
        <w:t>四是</w:t>
      </w:r>
      <w:r>
        <w:rPr>
          <w:rFonts w:hint="eastAsia" w:ascii="仿宋" w:hAnsi="仿宋" w:eastAsia="仿宋" w:cs="仿宋"/>
          <w:b w:val="0"/>
          <w:bCs w:val="0"/>
          <w:color w:val="000000" w:themeColor="text1"/>
          <w:sz w:val="32"/>
          <w:szCs w:val="32"/>
          <w14:textFill>
            <w14:solidFill>
              <w14:schemeClr w14:val="tx1"/>
            </w14:solidFill>
          </w14:textFill>
        </w:rPr>
        <w:t>稳定市场供应</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扎实开展市场保供、监测工作，编制出《朝天区影响生活必需品市场稳定突发事件应急预案》，建立了以广客源商贸有限公司等3家企业为区级生活必需品保供企业、20家乡镇保供企业为支撑的全区生活必需品重点保供体系，可有效应对特殊时期、极端天气、节假日等时段生活必需品市场供应，切实保障人民群众基本生活需求，维护市场稳定。</w:t>
      </w:r>
    </w:p>
    <w:p>
      <w:pPr>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持续刺激消费推动经济稳定增长。</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加强政策引领不断提振消费信心。用好用活各类促销费稳市场的政策文件，切实从财政补助、金融扶持、消费刺激等方面加强企业扶持，稳定消费信心。认真落实“放管服”改革和“一站式办理”，逐步优化营商环境。全力帮助企业排忧解难提振消费信心，建立企业困难问题清单，落实“一企一策”帮扶措施。全年共召开企业困难问题化解协商会2次，梳理上报企业困难问题12个，</w:t>
      </w:r>
      <w:r>
        <w:rPr>
          <w:rFonts w:hint="eastAsia" w:ascii="仿宋" w:hAnsi="仿宋" w:eastAsia="仿宋" w:cs="仿宋"/>
          <w:color w:val="000000" w:themeColor="text1"/>
          <w:sz w:val="32"/>
          <w:szCs w:val="32"/>
          <w:lang w:eastAsia="zh-CN"/>
          <w14:textFill>
            <w14:solidFill>
              <w14:schemeClr w14:val="tx1"/>
            </w14:solidFill>
          </w14:textFill>
        </w:rPr>
        <w:t>截至目前</w:t>
      </w:r>
      <w:r>
        <w:rPr>
          <w:rFonts w:hint="eastAsia" w:ascii="仿宋" w:hAnsi="仿宋" w:eastAsia="仿宋" w:cs="仿宋"/>
          <w:color w:val="000000" w:themeColor="text1"/>
          <w:sz w:val="32"/>
          <w:szCs w:val="32"/>
          <w14:textFill>
            <w14:solidFill>
              <w14:schemeClr w14:val="tx1"/>
            </w14:solidFill>
          </w14:textFill>
        </w:rPr>
        <w:t>已解决6个。</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充分挖掘消费潜力不断刺激消费。抢抓暑期、节假日等消费机遇，举办“迎春购物月”“特色商品展销会”等惠民促销活动9次。开展乡村文化旅游节特色美食展、四川省旅游景区发展大会文化旅游商品展等本地展销活动6次，组织本地农特产品企业参加第十八届中国西部国际博览会、2021第八届中国（杭州）国际电子商务博览会等区外市场拓展7次。组织了23家名优企业、80余类特色产品参加广元女儿节美食嘉年华、广元市第二届月饼节等活动，举办蜀道英才进企业产销对接会1次。</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深入推进东西部消费协作。东西部协作消费协作项目建设全部完工，建成村级全产业链消费协作示范点5个（含2个收购点）并正式投入运营，带动5个村集体经济增收5000元以上。本地农产品销售新入驻832平台、有赞等网络销售平台74个。鼓励企业积极拓展东部省份市场，朝天农特产品全年在浙江地区销售2508万元。</w:t>
      </w:r>
    </w:p>
    <w:p>
      <w:pPr>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加强品牌培育逐步优化消费供给。</w:t>
      </w:r>
      <w:r>
        <w:rPr>
          <w:rFonts w:hint="eastAsia" w:ascii="仿宋" w:hAnsi="仿宋" w:eastAsia="仿宋" w:cs="仿宋"/>
          <w:color w:val="000000" w:themeColor="text1"/>
          <w:sz w:val="32"/>
          <w:szCs w:val="32"/>
          <w:lang w:eastAsia="zh-CN"/>
          <w14:textFill>
            <w14:solidFill>
              <w14:schemeClr w14:val="tx1"/>
            </w14:solidFill>
          </w14:textFill>
        </w:rPr>
        <w:t>进一步提升</w:t>
      </w:r>
      <w:r>
        <w:rPr>
          <w:rFonts w:hint="eastAsia" w:ascii="仿宋" w:hAnsi="仿宋" w:eastAsia="仿宋" w:cs="仿宋"/>
          <w:color w:val="000000" w:themeColor="text1"/>
          <w:sz w:val="32"/>
          <w:szCs w:val="32"/>
          <w14:textFill>
            <w14:solidFill>
              <w14:schemeClr w14:val="tx1"/>
            </w14:solidFill>
          </w14:textFill>
        </w:rPr>
        <w:t>朝天时代广场美食街、曾家汉王老街特色商业街区打造，</w:t>
      </w:r>
      <w:r>
        <w:rPr>
          <w:rFonts w:hint="eastAsia" w:ascii="仿宋" w:hAnsi="仿宋" w:eastAsia="仿宋" w:cs="仿宋"/>
          <w:color w:val="000000" w:themeColor="text1"/>
          <w:sz w:val="32"/>
          <w:szCs w:val="32"/>
          <w:lang w:eastAsia="zh-CN"/>
          <w14:textFill>
            <w14:solidFill>
              <w14:schemeClr w14:val="tx1"/>
            </w14:solidFill>
          </w14:textFill>
        </w:rPr>
        <w:t>引进华美达国际连锁酒店，</w:t>
      </w:r>
      <w:r>
        <w:rPr>
          <w:rFonts w:hint="eastAsia" w:ascii="仿宋" w:hAnsi="仿宋" w:eastAsia="仿宋" w:cs="仿宋"/>
          <w:color w:val="000000" w:themeColor="text1"/>
          <w:sz w:val="32"/>
          <w:szCs w:val="32"/>
          <w14:textFill>
            <w14:solidFill>
              <w14:schemeClr w14:val="tx1"/>
            </w14:solidFill>
          </w14:textFill>
        </w:rPr>
        <w:t>做好高档消费产品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服饰等品牌业态的培育、引进，不断增加优质消费供给。制定了《特色餐饮标准》和《旅游商品购物店建设标准》，编制“曾家山菜系”标准体系建设方案，完成“曾家山菜系”标准手册，组织80余人进行“曾家山菜系”标准化、精品化发展为主的精英专题培训，在广元城区打造了2家以旅游、餐饮在线展示推广功能为核心的特色餐厅，常态化组织本地厨师开展技艺交流、菜品品鉴、菜品研发等活动，全面提升餐饮旅游服务水平。组织开展第二届“蜀道英才工程—朝天名厨”遴选。公开发布朝天美食地图。</w:t>
      </w:r>
    </w:p>
    <w:p>
      <w:pPr>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全力提升外向型经济发展水平。</w:t>
      </w:r>
      <w:r>
        <w:rPr>
          <w:rFonts w:hint="eastAsia" w:ascii="仿宋" w:hAnsi="仿宋" w:eastAsia="仿宋" w:cs="仿宋"/>
          <w:color w:val="000000" w:themeColor="text1"/>
          <w:sz w:val="32"/>
          <w:szCs w:val="32"/>
          <w14:textFill>
            <w14:solidFill>
              <w14:schemeClr w14:val="tx1"/>
            </w14:solidFill>
          </w14:textFill>
        </w:rPr>
        <w:t>我区现有外贸出口备案企业9家、出口实绩企业4家，外商投资企业1家。今年受疫情以及国际大环境影响，外贸企业在资金周转、产品升级、出口转内销等受到限制，外贸出口总额大幅下滑。区委区政府及时出台《广元市朝天区外贸突破发展专项工作方案（2021—2023年）》，积极为外贸出口企业</w:t>
      </w:r>
      <w:r>
        <w:rPr>
          <w:rFonts w:hint="eastAsia" w:ascii="仿宋" w:hAnsi="仿宋" w:eastAsia="仿宋" w:cs="仿宋"/>
          <w:color w:val="000000" w:themeColor="text1"/>
          <w:sz w:val="32"/>
          <w:szCs w:val="32"/>
          <w:lang w:eastAsia="zh-CN"/>
          <w14:textFill>
            <w14:solidFill>
              <w14:schemeClr w14:val="tx1"/>
            </w14:solidFill>
          </w14:textFill>
        </w:rPr>
        <w:t>纾困解难</w:t>
      </w:r>
      <w:r>
        <w:rPr>
          <w:rFonts w:hint="eastAsia" w:ascii="仿宋" w:hAnsi="仿宋" w:eastAsia="仿宋" w:cs="仿宋"/>
          <w:color w:val="000000" w:themeColor="text1"/>
          <w:sz w:val="32"/>
          <w:szCs w:val="32"/>
          <w14:textFill>
            <w14:solidFill>
              <w14:schemeClr w14:val="tx1"/>
            </w14:solidFill>
          </w14:textFill>
        </w:rPr>
        <w:t>，协助岚晟灵芝等企业采取多种措施出口转内销、康康医疗器械公司扩大出口产品种类和市场等，稳定外贸基本盘。主动谋划包装外资项目和做好外资招引工作，做好永和水利协调服务，确保外资引进工作稳步开展。主动融入成渝双城经济圈建设，开展朝天优质农产品进成渝社区宣传活动10次，产品进入成都40多个社区，鼓励我区食用菌、灵芝等优质农副土特产融入成渝市场。</w:t>
      </w:r>
    </w:p>
    <w:p>
      <w:pPr>
        <w:spacing w:line="576" w:lineRule="exact"/>
        <w:ind w:firstLine="640" w:firstLineChars="200"/>
        <w:rPr>
          <w:rFonts w:ascii="仿宋" w:hAnsi="仿宋" w:eastAsia="仿宋" w:cs="仿宋"/>
          <w:color w:val="000000" w:themeColor="text1"/>
          <w:sz w:val="32"/>
          <w:szCs w:val="32"/>
          <w:u w:val="single"/>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坚持创新发展，促进现代服务业高质量发展。</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充分发挥第三产业牵头部门作用，加强统筹协调，召开服务业经济指标调度会5次，分析研判经济形</w:t>
      </w:r>
      <w:r>
        <w:rPr>
          <w:rFonts w:hint="eastAsia" w:ascii="仿宋" w:hAnsi="仿宋" w:eastAsia="仿宋" w:cs="仿宋"/>
          <w:color w:val="000000" w:themeColor="text1"/>
          <w:sz w:val="32"/>
          <w:szCs w:val="32"/>
          <w14:textFill>
            <w14:solidFill>
              <w14:schemeClr w14:val="tx1"/>
            </w14:solidFill>
          </w14:textFill>
        </w:rPr>
        <w:t>势，协调解决工作困难，明确部门工作责任，统筹推进全区现代服务业发展，确保服务业各项目标任务顺利完成。</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加快构建“3+N”现代服务业体系。高质量完成《朝天区“十四五”</w:t>
      </w:r>
      <w:r>
        <w:rPr>
          <w:rFonts w:hint="eastAsia" w:ascii="仿宋" w:hAnsi="仿宋" w:eastAsia="仿宋" w:cs="仿宋"/>
          <w:color w:val="000000" w:themeColor="text1"/>
          <w:sz w:val="32"/>
          <w:szCs w:val="32"/>
          <w14:textFill>
            <w14:solidFill>
              <w14:schemeClr w14:val="tx1"/>
            </w14:solidFill>
          </w14:textFill>
        </w:rPr>
        <w:t>现代服务业发展规划（2021-2025）》《朝天区“十四五”现代物流业发展规划（2021-2025）》编撰，全区康养旅游、商业贸易、现代物流逐步发展壮大，会展、金融、康养、科技、养老等新兴服务业正在蓬勃发展，“3+N”现代服务业体系基本形成</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服务业正逐步成为“一心三副、四区协同”的区域发展新格局的重要支撑和“全民兴商、全民经商”的主要领域。</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积极探索服务业集聚发展模式。成功</w:t>
      </w:r>
      <w:r>
        <w:rPr>
          <w:rFonts w:hint="eastAsia" w:ascii="仿宋" w:hAnsi="仿宋" w:eastAsia="仿宋" w:cs="仿宋"/>
          <w:b w:val="0"/>
          <w:bCs w:val="0"/>
          <w:color w:val="000000" w:themeColor="text1"/>
          <w:sz w:val="32"/>
          <w:szCs w:val="32"/>
          <w:lang w:eastAsia="zh-CN"/>
          <w14:textFill>
            <w14:solidFill>
              <w14:schemeClr w14:val="tx1"/>
            </w14:solidFill>
          </w14:textFill>
        </w:rPr>
        <w:t>创建</w:t>
      </w:r>
      <w:r>
        <w:rPr>
          <w:rFonts w:hint="eastAsia" w:ascii="仿宋" w:hAnsi="仿宋" w:eastAsia="仿宋" w:cs="仿宋"/>
          <w:b w:val="0"/>
          <w:bCs w:val="0"/>
          <w:color w:val="000000" w:themeColor="text1"/>
          <w:sz w:val="32"/>
          <w:szCs w:val="32"/>
          <w14:textFill>
            <w14:solidFill>
              <w14:schemeClr w14:val="tx1"/>
            </w14:solidFill>
          </w14:textFill>
        </w:rPr>
        <w:t>曾家山文体旅游服务业集聚区项目，并成为广元市改</w:t>
      </w:r>
      <w:r>
        <w:rPr>
          <w:rFonts w:hint="eastAsia" w:ascii="仿宋" w:hAnsi="仿宋" w:eastAsia="仿宋" w:cs="仿宋"/>
          <w:color w:val="000000" w:themeColor="text1"/>
          <w:sz w:val="32"/>
          <w:szCs w:val="32"/>
          <w14:textFill>
            <w14:solidFill>
              <w14:schemeClr w14:val="tx1"/>
            </w14:solidFill>
          </w14:textFill>
        </w:rPr>
        <w:t>革创新典型案例受到市委邹书记高度评价，已专报的形式上报省委改革办。曾家山五坊街美食城、</w:t>
      </w:r>
      <w:r>
        <w:rPr>
          <w:rFonts w:hint="eastAsia" w:ascii="仿宋_GB2312" w:hAnsi="仿宋_GB2312" w:eastAsia="仿宋_GB2312" w:cs="仿宋_GB2312"/>
          <w:color w:val="000000" w:themeColor="text1"/>
          <w:sz w:val="32"/>
          <w:szCs w:val="32"/>
          <w14:textFill>
            <w14:solidFill>
              <w14:schemeClr w14:val="tx1"/>
            </w14:solidFill>
          </w14:textFill>
        </w:rPr>
        <w:t>荣乐养生谷、曾家山原乡、云顶滑雪小镇等一批旅游服务业项目快速推进，</w:t>
      </w:r>
      <w:r>
        <w:rPr>
          <w:rFonts w:hint="eastAsia" w:ascii="仿宋" w:hAnsi="仿宋" w:eastAsia="仿宋" w:cs="仿宋"/>
          <w:color w:val="000000" w:themeColor="text1"/>
          <w:sz w:val="32"/>
          <w:szCs w:val="32"/>
          <w14:textFill>
            <w14:solidFill>
              <w14:schemeClr w14:val="tx1"/>
            </w14:solidFill>
          </w14:textFill>
        </w:rPr>
        <w:t>曾家山文旅体现代服务业集聚区建设初具规模。</w:t>
      </w:r>
      <w:r>
        <w:rPr>
          <w:rFonts w:hint="eastAsia" w:ascii="仿宋" w:hAnsi="仿宋" w:eastAsia="仿宋" w:cs="仿宋"/>
          <w:b/>
          <w:bCs/>
          <w:color w:val="000000" w:themeColor="text1"/>
          <w:sz w:val="32"/>
          <w:szCs w:val="32"/>
          <w14:textFill>
            <w14:solidFill>
              <w14:schemeClr w14:val="tx1"/>
            </w14:solidFill>
          </w14:textFill>
        </w:rPr>
        <w:t>四是</w:t>
      </w:r>
      <w:r>
        <w:rPr>
          <w:rFonts w:hint="eastAsia" w:ascii="仿宋" w:hAnsi="仿宋" w:eastAsia="仿宋" w:cs="仿宋"/>
          <w:color w:val="000000" w:themeColor="text1"/>
          <w:sz w:val="32"/>
          <w:szCs w:val="32"/>
          <w14:textFill>
            <w14:solidFill>
              <w14:schemeClr w14:val="tx1"/>
            </w14:solidFill>
          </w14:textFill>
        </w:rPr>
        <w:t>加快服务业项目建设。国家级电子商务进农村综合示范项目、农商互联暨农产品供应链项目基本完工。谋划、包装和储备商贸物流项目14个，朝天区农产品冷链物流基地建设项目成功录入国家财政债券项目库。七盘关公路物流港一期开始运营，大巴口建材物流园基础设施配套建设项目顺利动工，羊木铁路物流园能源仓储贸易基地招商成效显著。以建材、能源仓储运输贸易为主的多式联运物流基地初具规模。全区物流运输量实现恢复性增长，1—12月物流行业营业额达</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eastAsia="zh-CN"/>
          <w14:textFill>
            <w14:solidFill>
              <w14:schemeClr w14:val="tx1"/>
            </w14:solidFill>
          </w14:textFill>
        </w:rPr>
        <w:t>以上</w:t>
      </w:r>
      <w:r>
        <w:rPr>
          <w:rFonts w:hint="eastAsia" w:ascii="仿宋" w:hAnsi="仿宋" w:eastAsia="仿宋" w:cs="仿宋"/>
          <w:color w:val="000000" w:themeColor="text1"/>
          <w:sz w:val="32"/>
          <w:szCs w:val="32"/>
          <w14:textFill>
            <w14:solidFill>
              <w14:schemeClr w14:val="tx1"/>
            </w14:solidFill>
          </w14:textFill>
        </w:rPr>
        <w:t>，上缴税收</w:t>
      </w:r>
      <w:r>
        <w:rPr>
          <w:rFonts w:hint="eastAsia" w:ascii="仿宋" w:hAnsi="仿宋" w:eastAsia="仿宋" w:cs="仿宋"/>
          <w:color w:val="000000" w:themeColor="text1"/>
          <w:sz w:val="32"/>
          <w:szCs w:val="32"/>
          <w:lang w:val="en-US" w:eastAsia="zh-CN"/>
          <w14:textFill>
            <w14:solidFill>
              <w14:schemeClr w14:val="tx1"/>
            </w14:solidFill>
          </w14:textFill>
        </w:rPr>
        <w:t>1500</w:t>
      </w:r>
      <w:r>
        <w:rPr>
          <w:rFonts w:hint="eastAsia" w:ascii="仿宋" w:hAnsi="仿宋" w:eastAsia="仿宋" w:cs="仿宋"/>
          <w:color w:val="000000" w:themeColor="text1"/>
          <w:sz w:val="32"/>
          <w:szCs w:val="32"/>
          <w14:textFill>
            <w14:solidFill>
              <w14:schemeClr w14:val="tx1"/>
            </w14:solidFill>
          </w14:textFill>
        </w:rPr>
        <w:t>余万元。</w:t>
      </w:r>
    </w:p>
    <w:p>
      <w:pPr>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全面加强“管党治党”政治责任。</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狠抓思想政治建设。始终把加强全局干部职工思想政治建设、提</w:t>
      </w:r>
      <w:r>
        <w:rPr>
          <w:rFonts w:hint="eastAsia" w:ascii="仿宋" w:hAnsi="仿宋" w:eastAsia="仿宋" w:cs="仿宋"/>
          <w:color w:val="000000" w:themeColor="text1"/>
          <w:sz w:val="32"/>
          <w:szCs w:val="32"/>
          <w14:textFill>
            <w14:solidFill>
              <w14:schemeClr w14:val="tx1"/>
            </w14:solidFill>
          </w14:textFill>
        </w:rPr>
        <w:t>高政治素养作为推动商务工作上台阶的基础，把学习贯彻党的十九大精神及习近平总书记对四川系列讲话精神作为首要政治任务，坚定做习近平新时代中国特色社会主义思想的忠诚拥护者、坚定信仰者、自觉践行者,做到了内化于心、外化于行，时刻树牢“四个意识”、坚定“四个自信”、做到“两个维护”。全年共开展中心组专题理论学习11次，传达学习贯彻相关会议及文件精神9次，干部职工撰写学习笔记均在3000字以上，每人每月撰写心得体会1篇以上。结合</w:t>
      </w:r>
      <w:r>
        <w:rPr>
          <w:rFonts w:hint="eastAsia" w:ascii="仿宋" w:hAnsi="仿宋" w:eastAsia="仿宋" w:cs="仿宋"/>
          <w:color w:val="000000" w:themeColor="text1"/>
          <w:sz w:val="32"/>
          <w:szCs w:val="32"/>
          <w:lang w:eastAsia="zh-CN"/>
          <w14:textFill>
            <w14:solidFill>
              <w14:schemeClr w14:val="tx1"/>
            </w14:solidFill>
          </w14:textFill>
        </w:rPr>
        <w:t>党史学习教育</w:t>
      </w:r>
      <w:r>
        <w:rPr>
          <w:rFonts w:hint="eastAsia" w:ascii="仿宋" w:hAnsi="仿宋" w:eastAsia="仿宋" w:cs="仿宋"/>
          <w:color w:val="000000" w:themeColor="text1"/>
          <w:sz w:val="32"/>
          <w:szCs w:val="32"/>
          <w14:textFill>
            <w14:solidFill>
              <w14:schemeClr w14:val="tx1"/>
            </w14:solidFill>
          </w14:textFill>
        </w:rPr>
        <w:t>，共开展为民办实事6件。</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狠抓基层组织建设。严格落实党建“第一责任人”职责，规范“三</w:t>
      </w:r>
      <w:r>
        <w:rPr>
          <w:rFonts w:hint="eastAsia" w:ascii="仿宋" w:hAnsi="仿宋" w:eastAsia="仿宋" w:cs="仿宋"/>
          <w:color w:val="000000" w:themeColor="text1"/>
          <w:sz w:val="32"/>
          <w:szCs w:val="32"/>
          <w14:textFill>
            <w14:solidFill>
              <w14:schemeClr w14:val="tx1"/>
            </w14:solidFill>
          </w14:textFill>
        </w:rPr>
        <w:t>会一课”、民主评议党员、谈心谈话等党内组织生活，扎实开展</w:t>
      </w:r>
      <w:r>
        <w:rPr>
          <w:rFonts w:hint="eastAsia" w:ascii="仿宋" w:hAnsi="仿宋" w:eastAsia="仿宋" w:cs="仿宋"/>
          <w:color w:val="000000" w:themeColor="text1"/>
          <w:sz w:val="32"/>
          <w:szCs w:val="32"/>
          <w:lang w:eastAsia="zh-CN"/>
          <w14:textFill>
            <w14:solidFill>
              <w14:schemeClr w14:val="tx1"/>
            </w14:solidFill>
          </w14:textFill>
        </w:rPr>
        <w:t>党史学习教育</w:t>
      </w:r>
      <w:r>
        <w:rPr>
          <w:rFonts w:hint="eastAsia" w:ascii="仿宋" w:hAnsi="仿宋" w:eastAsia="仿宋" w:cs="仿宋"/>
          <w:color w:val="000000" w:themeColor="text1"/>
          <w:sz w:val="32"/>
          <w:szCs w:val="32"/>
          <w14:textFill>
            <w14:solidFill>
              <w14:schemeClr w14:val="tx1"/>
            </w14:solidFill>
          </w14:textFill>
        </w:rPr>
        <w:t>。加强皇泽物流集团党支部等两新党组织指导，党支部战斗堡垒作用得到充分发挥。全年召开党组民主生活会3次、支部组织生活会3次，局党组对班子成员、一般干部谈心谈话16次，组织到小平故里、重庆白公馆等接受廉政教育4次，观看警示教育片8次。领导干部带头上党课7次，开展“主题党日”活动12次。</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扎实推进党风廉政建设。严格执行中央八项规定、省委十项规定、市委</w:t>
      </w:r>
      <w:r>
        <w:rPr>
          <w:rFonts w:hint="eastAsia" w:ascii="仿宋" w:hAnsi="仿宋" w:eastAsia="仿宋" w:cs="仿宋"/>
          <w:color w:val="000000" w:themeColor="text1"/>
          <w:sz w:val="32"/>
          <w:szCs w:val="32"/>
          <w14:textFill>
            <w14:solidFill>
              <w14:schemeClr w14:val="tx1"/>
            </w14:solidFill>
          </w14:textFill>
        </w:rPr>
        <w:t>“六个带头”、区委“七个加强”及其实施细则要求，严格执行“三重一大”集体决策、“四个不直接分管”“末位表态”“重大事项请示汇报”等制度，制定了《区商务局领导班子成员六必管》、班子成员“五带头”、风险事项决策“四公开”等工作要求，做到制度化管理、规范化运行、全方位监督。加强党风廉政建设警示教育，坚决肃清周永康流毒影响，深刻汲取蒲波、刘亚洲等严重违纪违法案教训，切实增强全体干部职工的敬畏之心、法纪之识。扎实开展纪律作风整顿，对班子查找的4个方面7个具体问题，干部职工查找的4个方面66个具体问题都制定了整改台账，所有问题均在规定时间内全部整改销号，并建立健全了长效化管理机制。按照区委统一部署，区商务局党组接受八届区委第一巡察组为期一个月的常规巡察。</w:t>
      </w:r>
      <w:r>
        <w:rPr>
          <w:rFonts w:hint="eastAsia" w:ascii="仿宋" w:hAnsi="仿宋" w:eastAsia="仿宋" w:cs="仿宋"/>
          <w:b/>
          <w:bCs/>
          <w:color w:val="000000" w:themeColor="text1"/>
          <w:sz w:val="32"/>
          <w:szCs w:val="32"/>
          <w14:textFill>
            <w14:solidFill>
              <w14:schemeClr w14:val="tx1"/>
            </w14:solidFill>
          </w14:textFill>
        </w:rPr>
        <w:t>四是</w:t>
      </w:r>
      <w:r>
        <w:rPr>
          <w:rFonts w:hint="eastAsia" w:ascii="仿宋" w:hAnsi="仿宋" w:eastAsia="仿宋" w:cs="仿宋"/>
          <w:b w:val="0"/>
          <w:bCs w:val="0"/>
          <w:color w:val="000000" w:themeColor="text1"/>
          <w:sz w:val="32"/>
          <w:szCs w:val="32"/>
          <w14:textFill>
            <w14:solidFill>
              <w14:schemeClr w14:val="tx1"/>
            </w14:solidFill>
          </w14:textFill>
        </w:rPr>
        <w:t>把牢意识形态主动权。成</w:t>
      </w:r>
      <w:r>
        <w:rPr>
          <w:rFonts w:hint="eastAsia" w:ascii="仿宋" w:hAnsi="仿宋" w:eastAsia="仿宋" w:cs="仿宋"/>
          <w:color w:val="000000" w:themeColor="text1"/>
          <w:sz w:val="32"/>
          <w:szCs w:val="32"/>
          <w14:textFill>
            <w14:solidFill>
              <w14:schemeClr w14:val="tx1"/>
            </w14:solidFill>
          </w14:textFill>
        </w:rPr>
        <w:t>立由党组书记、局长任组长、党组成员任副组长的意识形态工作领导小组，制定了《广元市朝天区商务局党组关于落实意识形态工作责任制的方案》，坚持意识形态工作“四个纳入”，做到把意识形态建设同业务工作同部署、同落实、同检查、同考核。严格落实电商企业、电商平台等企业主体责任，定期召开意识形态分析研判会议，坚决维护网络意识形态安全。</w:t>
      </w:r>
      <w:r>
        <w:rPr>
          <w:rFonts w:hint="eastAsia" w:ascii="仿宋" w:hAnsi="仿宋" w:eastAsia="仿宋" w:cs="仿宋"/>
          <w:b/>
          <w:bCs/>
          <w:color w:val="000000" w:themeColor="text1"/>
          <w:sz w:val="32"/>
          <w:szCs w:val="32"/>
          <w14:textFill>
            <w14:solidFill>
              <w14:schemeClr w14:val="tx1"/>
            </w14:solidFill>
          </w14:textFill>
        </w:rPr>
        <w:t>五是</w:t>
      </w:r>
      <w:r>
        <w:rPr>
          <w:rFonts w:hint="eastAsia" w:ascii="仿宋" w:hAnsi="仿宋" w:eastAsia="仿宋" w:cs="仿宋"/>
          <w:b w:val="0"/>
          <w:bCs w:val="0"/>
          <w:color w:val="000000" w:themeColor="text1"/>
          <w:sz w:val="32"/>
          <w:szCs w:val="32"/>
          <w14:textFill>
            <w14:solidFill>
              <w14:schemeClr w14:val="tx1"/>
            </w14:solidFill>
          </w14:textFill>
        </w:rPr>
        <w:t>坚持正确的选人用人导向。局党组严格按照干部选拔任用标准，2021年推荐三级主任科员人选1</w:t>
      </w:r>
      <w:r>
        <w:rPr>
          <w:rFonts w:hint="eastAsia" w:ascii="仿宋" w:hAnsi="仿宋" w:eastAsia="仿宋" w:cs="仿宋"/>
          <w:color w:val="000000" w:themeColor="text1"/>
          <w:sz w:val="32"/>
          <w:szCs w:val="32"/>
          <w14:textFill>
            <w14:solidFill>
              <w14:schemeClr w14:val="tx1"/>
            </w14:solidFill>
          </w14:textFill>
        </w:rPr>
        <w:t>名，</w:t>
      </w:r>
      <w:r>
        <w:rPr>
          <w:rFonts w:hint="eastAsia" w:ascii="仿宋" w:hAnsi="仿宋" w:eastAsia="仿宋" w:cs="仿宋"/>
          <w:color w:val="000000" w:themeColor="text1"/>
          <w:sz w:val="32"/>
          <w:szCs w:val="32"/>
          <w:lang w:eastAsia="zh-CN"/>
          <w14:textFill>
            <w14:solidFill>
              <w14:schemeClr w14:val="tx1"/>
            </w14:solidFill>
          </w14:textFill>
        </w:rPr>
        <w:t>中层干部任副科级实职领导干部</w:t>
      </w:r>
      <w:r>
        <w:rPr>
          <w:rFonts w:hint="eastAsia" w:ascii="仿宋" w:hAnsi="仿宋" w:eastAsia="仿宋" w:cs="仿宋"/>
          <w:color w:val="000000" w:themeColor="text1"/>
          <w:sz w:val="32"/>
          <w:szCs w:val="32"/>
          <w:lang w:val="en-US" w:eastAsia="zh-CN"/>
          <w14:textFill>
            <w14:solidFill>
              <w14:schemeClr w14:val="tx1"/>
            </w14:solidFill>
          </w14:textFill>
        </w:rPr>
        <w:t>1名，事业单位改革稳步推进，</w:t>
      </w:r>
      <w:r>
        <w:rPr>
          <w:rFonts w:hint="eastAsia" w:ascii="仿宋" w:hAnsi="仿宋" w:eastAsia="仿宋" w:cs="仿宋"/>
          <w:color w:val="000000" w:themeColor="text1"/>
          <w:sz w:val="32"/>
          <w:szCs w:val="32"/>
          <w14:textFill>
            <w14:solidFill>
              <w14:schemeClr w14:val="tx1"/>
            </w14:solidFill>
          </w14:textFill>
        </w:rPr>
        <w:t>积极安排年轻干部参加各类培训。</w:t>
      </w:r>
      <w:r>
        <w:rPr>
          <w:rFonts w:hint="eastAsia" w:ascii="仿宋" w:hAnsi="仿宋" w:eastAsia="仿宋" w:cs="仿宋"/>
          <w:b/>
          <w:bCs/>
          <w:color w:val="000000" w:themeColor="text1"/>
          <w:sz w:val="32"/>
          <w:szCs w:val="32"/>
          <w14:textFill>
            <w14:solidFill>
              <w14:schemeClr w14:val="tx1"/>
            </w14:solidFill>
          </w14:textFill>
        </w:rPr>
        <w:t>六是</w:t>
      </w:r>
      <w:r>
        <w:rPr>
          <w:rFonts w:hint="eastAsia" w:ascii="仿宋" w:hAnsi="仿宋" w:eastAsia="仿宋" w:cs="仿宋"/>
          <w:color w:val="000000" w:themeColor="text1"/>
          <w:sz w:val="32"/>
          <w:szCs w:val="32"/>
          <w14:textFill>
            <w14:solidFill>
              <w14:schemeClr w14:val="tx1"/>
            </w14:solidFill>
          </w14:textFill>
        </w:rPr>
        <w:t>主动接受人大的法律监督和政协的民主监督。办理人大代表议案1件、政协委员提案5件，满意率100%。</w:t>
      </w:r>
    </w:p>
    <w:p>
      <w:pPr>
        <w:spacing w:line="576"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其他驻村帮扶、依法治区、综治维稳、深化改革、社会治理、信息公开、公共服务等工作扎实开展，有序推进，成绩明显。</w:t>
      </w:r>
    </w:p>
    <w:p>
      <w:pPr>
        <w:rPr>
          <w:rFonts w:hint="eastAsia"/>
          <w:lang w:val="en-US"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（二）结果应用情况。</w:t>
      </w:r>
    </w:p>
    <w:p>
      <w:pPr>
        <w:keepNext w:val="0"/>
        <w:keepLines w:val="0"/>
        <w:pageBreakBefore w:val="0"/>
        <w:widowControl/>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通过全年预算绩效自评，基本是按照预算执行。在今后的工作中，将更加合理编制预算，严格按预算执行，做到“以收定支”、“量入为出”。按照区财政预决算信息公开工作要求，积极推进预算绩效管理工作信息向社会公开，按照区财政批复的2021年度年初预算和2021年度决算在区政府网站全面公开。</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（三）自评质量。</w:t>
      </w:r>
    </w:p>
    <w:p>
      <w:pPr>
        <w:keepNext w:val="0"/>
        <w:keepLines w:val="0"/>
        <w:pageBreakBefore w:val="0"/>
        <w:widowControl/>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加强我单位预算绩效管理，不断提高财政资金配置和使用效益，我单位及时成立了专项资金绩效评价工作领导小组，由局长任组长，分管副局长任副组长，相关股室负责人为成员，专门负责本次绩效自评工作。自查工作中坚持以绩效考核的各项文件精神为指导，以整体绩效支出为内容，对各项支出的数量指标、质量指标等内容进行一一的评价考核打分，从考核结果来看，通过全单位干部职工的共同努力，取得了较好的经济、社会、环境效益。</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四、自评结论及建议</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（一）自评结论。</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FF0000"/>
          <w:kern w:val="2"/>
          <w:sz w:val="32"/>
          <w:szCs w:val="32"/>
          <w:u w:val="single"/>
          <w:lang w:val="en-US" w:eastAsia="zh-CN" w:bidi="ar-SA"/>
        </w:rPr>
      </w:pPr>
      <w:r>
        <w:rPr>
          <w:rFonts w:hint="eastAsia" w:ascii="仿宋" w:hAnsi="仿宋" w:eastAsia="仿宋" w:cs="仿宋"/>
          <w:kern w:val="2"/>
          <w:sz w:val="32"/>
          <w:szCs w:val="32"/>
          <w:lang w:val="en-US" w:eastAsia="zh-CN" w:bidi="ar-SA"/>
        </w:rPr>
        <w:t>2021年度，通过项目实施，保障了局机关日常工作的正常运转，同时得到广大群众和企业的普遍认可和赞同。</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通过自评，2021年度部门整体评价等次为：优。</w:t>
      </w:r>
    </w:p>
    <w:p>
      <w:pPr>
        <w:keepNext w:val="0"/>
        <w:keepLines w:val="0"/>
        <w:pageBreakBefore w:val="0"/>
        <w:widowControl/>
        <w:kinsoku/>
        <w:wordWrap/>
        <w:overflowPunct/>
        <w:topLinePunct w:val="0"/>
        <w:autoSpaceDE w:val="0"/>
        <w:autoSpaceDN/>
        <w:bidi w:val="0"/>
        <w:adjustRightInd w:val="0"/>
        <w:snapToGrid w:val="0"/>
        <w:spacing w:line="560" w:lineRule="exact"/>
        <w:ind w:firstLine="602" w:firstLineChars="200"/>
        <w:contextualSpacing/>
        <w:jc w:val="left"/>
        <w:textAlignment w:val="auto"/>
        <w:rPr>
          <w:rFonts w:hint="eastAsia"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（二）存在的问题</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1、服务行业基础薄弱面貌没有大的改变，“两上”企业个数少、规模小的现状仍然突出。乡镇、村社商业网点和流通体系不够健全完善，经济持续增长缺乏支撑。</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外贸。外贸进出口面临挑战。受疫情变化和外部环境存在诸多不确定性影响，外贸出口风险加大，转变经营策略和调整生产方式都需要一定时间周期，出口转内销经验不足，企业流动资金压力大，外向型经济恢复需要一定时间。</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3</w:t>
      </w:r>
      <w:r>
        <w:rPr>
          <w:rFonts w:hint="eastAsia" w:ascii="仿宋" w:hAnsi="仿宋" w:eastAsia="仿宋" w:cs="仿宋"/>
          <w:color w:val="000000"/>
          <w:kern w:val="0"/>
          <w:sz w:val="30"/>
          <w:szCs w:val="30"/>
          <w:shd w:val="clear" w:color="auto" w:fill="FFFFFF"/>
        </w:rPr>
        <w:t>、预算编制。一是年初预算不够明确和精细化，存在预算漏项，导致预算执行中追加预算现象；二是预算编制质量不太高，在</w:t>
      </w:r>
      <w:r>
        <w:rPr>
          <w:rFonts w:hint="eastAsia" w:ascii="仿宋" w:hAnsi="仿宋" w:eastAsia="仿宋" w:cs="仿宋"/>
          <w:color w:val="000000"/>
          <w:kern w:val="0"/>
          <w:sz w:val="30"/>
          <w:szCs w:val="30"/>
          <w:shd w:val="clear" w:color="auto" w:fill="FFFFFF"/>
          <w:lang w:val="en-US" w:eastAsia="zh-CN"/>
        </w:rPr>
        <w:t>编制</w:t>
      </w:r>
      <w:r>
        <w:rPr>
          <w:rFonts w:hint="eastAsia" w:ascii="仿宋" w:hAnsi="仿宋" w:eastAsia="仿宋" w:cs="仿宋"/>
          <w:color w:val="000000"/>
          <w:kern w:val="0"/>
          <w:sz w:val="30"/>
          <w:szCs w:val="30"/>
          <w:shd w:val="clear" w:color="auto" w:fill="FFFFFF"/>
        </w:rPr>
        <w:t>细节方面有待完善。</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4</w:t>
      </w:r>
      <w:r>
        <w:rPr>
          <w:rFonts w:hint="eastAsia" w:ascii="仿宋" w:hAnsi="仿宋" w:eastAsia="仿宋" w:cs="仿宋"/>
          <w:color w:val="000000"/>
          <w:kern w:val="0"/>
          <w:sz w:val="30"/>
          <w:szCs w:val="30"/>
          <w:shd w:val="clear" w:color="auto" w:fill="FFFFFF"/>
        </w:rPr>
        <w:t>、绩效评价管理。一是业务人员业务不精。由于预算绩效管理工作开展时间较短，加上缺乏系统的培训，对预算绩效管理认识不到位、理解不充分，对预算绩效管理业务工作重点把握不到位；二是评价指标体系不完善。财政支出评价对象涉及行业多，项目之间差异性大，目前虽然上级已经发布共性指标，但真正能体现项目效果的个性指标，由于设置难度较大，还不能满足目前工作开展需要。三是绩效评价结果应用有差距。仅仅只停留在财政预决算政府公开层面。</w:t>
      </w:r>
    </w:p>
    <w:p>
      <w:pPr>
        <w:keepNext w:val="0"/>
        <w:keepLines w:val="0"/>
        <w:pageBreakBefore w:val="0"/>
        <w:widowControl/>
        <w:kinsoku/>
        <w:wordWrap/>
        <w:overflowPunct/>
        <w:topLinePunct w:val="0"/>
        <w:autoSpaceDE w:val="0"/>
        <w:autoSpaceDN/>
        <w:bidi w:val="0"/>
        <w:adjustRightInd w:val="0"/>
        <w:snapToGrid w:val="0"/>
        <w:spacing w:line="560" w:lineRule="exact"/>
        <w:ind w:firstLine="602" w:firstLineChars="200"/>
        <w:contextualSpacing/>
        <w:jc w:val="left"/>
        <w:textAlignment w:val="auto"/>
        <w:rPr>
          <w:rFonts w:hint="eastAsia"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（三）改进建议</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1、加强财务人员党风廉政教育，提升财务管理水平和服务技能，强化业务和理论知识学习，不断提高业务水平和工作能力。</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2、强化绩效管理意识</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进一步强化绩效理念，将绩效管理理念贯穿于资金分配到资金使用全过程，加大资金整合力度，强化专项资金管理，把有限的资金用在刀刃上，提高财政资金使用效益。</w:t>
      </w:r>
    </w:p>
    <w:p>
      <w:pPr>
        <w:keepNext w:val="0"/>
        <w:keepLines w:val="0"/>
        <w:pageBreakBefore w:val="0"/>
        <w:widowControl/>
        <w:numPr>
          <w:ilvl w:val="0"/>
          <w:numId w:val="5"/>
        </w:numPr>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积极运用绩效评价结果。建立完善绩效评价结果的反馈和运用机制，将评价结果作为安排以后年度预算的重要依据，切实发挥绩效评价工作的应有作用</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附表：</w:t>
      </w:r>
      <w:r>
        <w:rPr>
          <w:rFonts w:hint="eastAsia" w:ascii="Calibri" w:hAnsi="Calibri" w:eastAsia="仿宋" w:cs="Calibri"/>
          <w:color w:val="000000"/>
          <w:kern w:val="0"/>
          <w:sz w:val="30"/>
          <w:szCs w:val="30"/>
          <w:shd w:val="clear" w:color="auto" w:fill="FFFFFF"/>
          <w:lang w:val="en-US" w:eastAsia="zh-CN"/>
        </w:rPr>
        <w:t>1-1</w:t>
      </w:r>
      <w:r>
        <w:rPr>
          <w:rFonts w:hint="eastAsia" w:ascii="仿宋" w:hAnsi="仿宋" w:eastAsia="仿宋" w:cs="仿宋"/>
          <w:color w:val="000000"/>
          <w:kern w:val="0"/>
          <w:sz w:val="30"/>
          <w:szCs w:val="30"/>
          <w:shd w:val="clear" w:color="auto" w:fill="FFFFFF"/>
        </w:rPr>
        <w:t>部门整体支出绩效目标自评表</w:t>
      </w:r>
    </w:p>
    <w:p>
      <w:pPr>
        <w:keepNext w:val="0"/>
        <w:keepLines w:val="0"/>
        <w:pageBreakBefore w:val="0"/>
        <w:widowControl/>
        <w:kinsoku/>
        <w:wordWrap/>
        <w:overflowPunct/>
        <w:topLinePunct w:val="0"/>
        <w:autoSpaceDE w:val="0"/>
        <w:autoSpaceDN/>
        <w:bidi w:val="0"/>
        <w:adjustRightInd w:val="0"/>
        <w:snapToGrid w:val="0"/>
        <w:spacing w:line="4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w:t>
      </w:r>
      <w:r>
        <w:rPr>
          <w:rFonts w:hint="eastAsia" w:ascii="Calibri" w:hAnsi="Calibri" w:eastAsia="仿宋" w:cs="Calibri"/>
          <w:color w:val="000000"/>
          <w:kern w:val="0"/>
          <w:sz w:val="30"/>
          <w:szCs w:val="30"/>
          <w:shd w:val="clear" w:color="auto" w:fill="FFFFFF"/>
          <w:lang w:val="en-US" w:eastAsia="zh-CN"/>
        </w:rPr>
        <w:t xml:space="preserve">1-2 </w:t>
      </w:r>
      <w:r>
        <w:rPr>
          <w:rFonts w:hint="eastAsia" w:ascii="仿宋" w:hAnsi="仿宋" w:eastAsia="仿宋" w:cs="仿宋"/>
          <w:color w:val="000000"/>
          <w:kern w:val="0"/>
          <w:sz w:val="30"/>
          <w:szCs w:val="30"/>
          <w:shd w:val="clear" w:color="auto" w:fill="FFFFFF"/>
        </w:rPr>
        <w:t>202</w:t>
      </w:r>
      <w:r>
        <w:rPr>
          <w:rFonts w:hint="eastAsia" w:ascii="仿宋" w:hAnsi="仿宋" w:eastAsia="仿宋" w:cs="仿宋"/>
          <w:color w:val="000000"/>
          <w:kern w:val="0"/>
          <w:sz w:val="30"/>
          <w:szCs w:val="30"/>
          <w:shd w:val="clear" w:color="auto" w:fill="FFFFFF"/>
          <w:lang w:val="en-US" w:eastAsia="zh-CN"/>
        </w:rPr>
        <w:t>1</w:t>
      </w:r>
      <w:r>
        <w:rPr>
          <w:rFonts w:hint="eastAsia" w:ascii="仿宋" w:hAnsi="仿宋" w:eastAsia="仿宋" w:cs="仿宋"/>
          <w:color w:val="000000"/>
          <w:kern w:val="0"/>
          <w:sz w:val="30"/>
          <w:szCs w:val="30"/>
          <w:shd w:val="clear" w:color="auto" w:fill="FFFFFF"/>
        </w:rPr>
        <w:t>年部门整体支出绩效自评评分表</w:t>
      </w:r>
    </w:p>
    <w:p>
      <w:pPr>
        <w:widowControl/>
        <w:spacing w:line="580" w:lineRule="exact"/>
        <w:contextualSpacing/>
        <w:jc w:val="center"/>
        <w:rPr>
          <w:rFonts w:hint="eastAsia" w:ascii="方正大标宋简体" w:hAnsi="方正大标宋简体" w:eastAsia="方正大标宋简体" w:cs="方正大标宋简体"/>
          <w:b w:val="0"/>
          <w:bCs w:val="0"/>
          <w:sz w:val="36"/>
          <w:szCs w:val="36"/>
          <w:lang w:eastAsia="zh-CN"/>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pStyle w:val="22"/>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pStyle w:val="2"/>
        <w:rPr>
          <w:rFonts w:hint="eastAsia"/>
        </w:rPr>
      </w:pPr>
    </w:p>
    <w:p>
      <w:pPr>
        <w:pStyle w:val="3"/>
        <w:rPr>
          <w:rFonts w:hint="eastAsia" w:ascii="仿宋_GB2312" w:hAnsi="Times New Roman" w:eastAsia="仿宋_GB2312" w:cs="Times New Roman"/>
          <w:sz w:val="32"/>
          <w:szCs w:val="32"/>
        </w:rPr>
      </w:pPr>
    </w:p>
    <w:p>
      <w:pPr>
        <w:pStyle w:val="3"/>
        <w:rPr>
          <w:rFonts w:hint="eastAsia" w:ascii="仿宋_GB2312" w:hAnsi="Times New Roman" w:eastAsia="仿宋_GB2312" w:cs="Times New Roman"/>
          <w:sz w:val="32"/>
          <w:szCs w:val="32"/>
        </w:rPr>
      </w:pPr>
    </w:p>
    <w:tbl>
      <w:tblPr>
        <w:tblStyle w:val="23"/>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685"/>
        <w:gridCol w:w="736"/>
        <w:gridCol w:w="450"/>
        <w:gridCol w:w="150"/>
        <w:gridCol w:w="5"/>
        <w:gridCol w:w="159"/>
        <w:gridCol w:w="286"/>
        <w:gridCol w:w="5"/>
        <w:gridCol w:w="145"/>
        <w:gridCol w:w="1391"/>
        <w:gridCol w:w="1582"/>
        <w:gridCol w:w="2004"/>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43" w:type="dxa"/>
            <w:gridSpan w:val="1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kern w:val="0"/>
                <w:sz w:val="24"/>
                <w:szCs w:val="24"/>
                <w:u w:val="none"/>
                <w:lang w:val="en-US" w:eastAsia="zh-CN" w:bidi="ar"/>
              </w:rPr>
              <w:t>附表</w:t>
            </w:r>
            <w:r>
              <w:rPr>
                <w:rFonts w:hint="eastAsia" w:ascii="Calibri" w:hAnsi="Calibri" w:eastAsia="仿宋" w:cs="Calibri"/>
                <w:color w:val="000000"/>
                <w:kern w:val="0"/>
                <w:sz w:val="24"/>
                <w:szCs w:val="24"/>
                <w:shd w:val="clear" w:color="auto" w:fill="FFFFFF"/>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343" w:type="dxa"/>
            <w:gridSpan w:val="1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0"/>
                <w:szCs w:val="30"/>
                <w:u w:val="none"/>
                <w:lang w:val="en-US" w:eastAsia="zh-CN" w:bidi="ar"/>
              </w:rPr>
              <w:t>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9343" w:type="dxa"/>
            <w:gridSpan w:val="1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43" w:type="dxa"/>
            <w:gridSpan w:val="1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任务名称</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17个正式编制干部的工资、保险、公积金、绩效及公用经费等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安全生产、高质量脱贫攻坚、项目投资、产业发展、改革创新等工作的单项奖励金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企业贡献奖</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培育壮大商贸企业、活跃消费市场、打造本土品牌</w:t>
            </w:r>
            <w:r>
              <w:rPr>
                <w:rFonts w:hint="eastAsia" w:ascii="宋体" w:hAnsi="宋体" w:eastAsia="宋体" w:cs="宋体"/>
                <w:i w:val="0"/>
                <w:iCs w:val="0"/>
                <w:color w:val="000000"/>
                <w:sz w:val="18"/>
                <w:szCs w:val="18"/>
                <w:u w:val="none"/>
                <w:lang w:val="en-US" w:eastAsia="zh-CN"/>
              </w:rPr>
              <w:t>等企业贡献奖励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其他扶贫支出 </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驻村第一书记和工作队队员工作经费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其他文化旅游体育与传媒支出</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第三批天府旅游名县创建奖励资金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其他涉外发展服务支出</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5"/>
                <w:szCs w:val="15"/>
                <w:u w:val="none"/>
                <w:lang w:val="en-US" w:eastAsia="zh-CN" w:bidi="ar"/>
              </w:rPr>
              <w:t>2021年中央外经贸发展补助资金和2020年省级外贸出口奖励资金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其他商业流通事务支出</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2020年度中央财政农商互联既农产品供应链项目资金、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“十四五”服务业发民展规划和物流业发展规划工作经费、曾家山菜系打造工作经费、明月峡商贸一条街建设协调工作经费、“两上企业”企业培育巩固工作经费、七盘关公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路物流港和羊木物流园建设协调工作经费、经财网维护费</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等7个项目支出经费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预算资金总额（万元）</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424.05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实际执行总额（万元）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sz w:val="18"/>
                <w:szCs w:val="18"/>
                <w:u w:val="none"/>
                <w:lang w:val="en-US" w:eastAsia="zh-CN"/>
              </w:rPr>
              <w:t>424.05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 一般公共预算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55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目标1</w:t>
            </w:r>
          </w:p>
        </w:tc>
        <w:tc>
          <w:tcPr>
            <w:tcW w:w="4909" w:type="dxa"/>
            <w:gridSpan w:val="10"/>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保障日常办公正常运转</w:t>
            </w:r>
          </w:p>
        </w:tc>
        <w:tc>
          <w:tcPr>
            <w:tcW w:w="313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日常办公正常运转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目标2</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参加各类展会、推介会、培训公</w:t>
            </w: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举办了“迎春购物月”“特色商品展销会”等惠民促销活动9次，开展乡村文化旅游节特色美食展、四川省旅游景区发展大会文化旅游商品展等本地展销活动6次，组织本地农特产品企业参加第十八届中国西部国际博览会、2021第八届中国（杭州）国际电子商务博览会等区外市场拓展7次，组织了23家名优企业、80余类特色产品参加广元女儿节美食嘉年华、广元市第二届月饼节等活动，举办蜀道英才进企业产销对接会1次，组织80余人进行“曾家山菜系”标准化、精品化发展为主的精英专题培训会，开展朝天优质农产品进成渝社区宣传活动10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目标3</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完成疫情防控任务</w:t>
            </w: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商务市场疫情防控工作组的牵头统筹工作取得成效，坚持常态化防控，尤其是进口非冷链商品的疫情防控工作。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目标4</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加快建设2021年农村电子商务工作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21"/>
              <w:keepNext w:val="0"/>
              <w:keepLines w:val="0"/>
              <w:suppressLineNumbers w:val="0"/>
              <w:spacing w:before="0" w:beforeAutospacing="0" w:afterAutospacing="0"/>
              <w:ind w:left="0" w:right="0"/>
              <w:rPr>
                <w:rFonts w:hint="default"/>
                <w:lang w:val="en-US" w:eastAsia="zh-CN"/>
              </w:rPr>
            </w:pPr>
            <w:r>
              <w:rPr>
                <w:rFonts w:hint="eastAsia" w:ascii="宋体" w:hAnsi="宋体" w:eastAsia="宋体" w:cs="宋体"/>
                <w:i w:val="0"/>
                <w:iCs w:val="0"/>
                <w:color w:val="000000"/>
                <w:kern w:val="0"/>
                <w:sz w:val="18"/>
                <w:szCs w:val="18"/>
                <w:u w:val="none"/>
                <w:lang w:val="en-US" w:eastAsia="zh-CN" w:bidi="ar"/>
              </w:rPr>
              <w:t>建立了联通村产业、区分拣、社区网点配送的城乡流通体系，共建立了20余个产业村收购网点、1个区级农产品配送中心、7个社区配送网点。二是培育较大的农村电商团队4个，新培育注册电商公司5家，开展电商人才培训309人次，培育直播团队3个、微商团队1个，孵化电商创业者321人，成立了朝天农资网、朝天娇本土电商平台2个，建立“不出远门”快递超市等社区电商平台，举办“云上秦巴山区年货节”线上活动2次。全年电商交易额达到4.5亿元、农特产品网销额1.45亿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目标5</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加强商贸流通主体培育，壮大市场主体</w:t>
            </w: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全年入库批零住餐企业3家、规上服务业企业1家。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目标6</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积极为外贸出口企业</w:t>
            </w:r>
            <w:r>
              <w:rPr>
                <w:rFonts w:hint="eastAsia" w:ascii="宋体" w:hAnsi="宋体" w:cs="宋体"/>
                <w:i w:val="0"/>
                <w:iCs w:val="0"/>
                <w:color w:val="000000"/>
                <w:kern w:val="0"/>
                <w:sz w:val="18"/>
                <w:szCs w:val="18"/>
                <w:u w:val="none"/>
                <w:lang w:val="en-US" w:eastAsia="zh-CN" w:bidi="ar"/>
              </w:rPr>
              <w:t>纾困解难</w:t>
            </w:r>
            <w:r>
              <w:rPr>
                <w:rFonts w:hint="eastAsia" w:ascii="宋体" w:hAnsi="宋体" w:eastAsia="宋体" w:cs="宋体"/>
                <w:i w:val="0"/>
                <w:iCs w:val="0"/>
                <w:color w:val="000000"/>
                <w:kern w:val="0"/>
                <w:sz w:val="18"/>
                <w:szCs w:val="18"/>
                <w:u w:val="none"/>
                <w:lang w:val="en-US" w:eastAsia="zh-CN" w:bidi="ar"/>
              </w:rPr>
              <w:t>，稳定外贸基本盘</w:t>
            </w: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协助岚晟灵芝等企业采取多种措施出口转内销、康康医疗器械公司扩大出口产品种类和市场等，稳定外贸基本盘。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目标7</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抓好党风廉政工作</w:t>
            </w: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全年共开展中心组专题理论学习11次，传达学习贯彻相关会议及文件精神9次，干部职工撰写学习笔记均在3000字以上，每人每月撰写心得体会1篇以上。结合</w:t>
            </w:r>
            <w:r>
              <w:rPr>
                <w:rFonts w:hint="eastAsia" w:ascii="宋体" w:hAnsi="宋体" w:cs="宋体"/>
                <w:i w:val="0"/>
                <w:iCs w:val="0"/>
                <w:color w:val="000000"/>
                <w:kern w:val="0"/>
                <w:sz w:val="18"/>
                <w:szCs w:val="18"/>
                <w:u w:val="none"/>
                <w:lang w:val="en-US" w:eastAsia="zh-CN" w:bidi="ar"/>
              </w:rPr>
              <w:t>党史学习教育</w:t>
            </w:r>
            <w:r>
              <w:rPr>
                <w:rFonts w:hint="eastAsia" w:ascii="宋体" w:hAnsi="宋体" w:eastAsia="宋体" w:cs="宋体"/>
                <w:i w:val="0"/>
                <w:iCs w:val="0"/>
                <w:color w:val="000000"/>
                <w:kern w:val="0"/>
                <w:sz w:val="18"/>
                <w:szCs w:val="18"/>
                <w:u w:val="none"/>
                <w:lang w:val="en-US" w:eastAsia="zh-CN" w:bidi="ar"/>
              </w:rPr>
              <w:t>，共开展为民办实事6件；召开党组民主生活会3次、支部组织生活会3次，局党组对班子成员、一般干部谈心谈话16次，组织到小平故里、重庆白公馆等接受廉政教育4次，观看警示教育片8次，领导干部带头上党课7次，开展“主题党日”活动12次；对班子查找的4个方面7个具体问题，干部职工查找的4个方面66个具体问题都制定了整改台账，所有问题均在规定时间内全部整改销号，并建立健全了长效化管理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目标8</w:t>
            </w:r>
          </w:p>
        </w:tc>
        <w:tc>
          <w:tcPr>
            <w:tcW w:w="4909" w:type="dxa"/>
            <w:gridSpan w:val="10"/>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13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预期指标值</w:t>
            </w:r>
            <w:r>
              <w:rPr>
                <w:rFonts w:hint="eastAsia" w:ascii="宋体" w:hAnsi="宋体" w:eastAsia="宋体" w:cs="宋体"/>
                <w:i w:val="0"/>
                <w:iCs w:val="0"/>
                <w:color w:val="000000"/>
                <w:kern w:val="0"/>
                <w:sz w:val="16"/>
                <w:szCs w:val="16"/>
                <w:u w:val="none"/>
                <w:lang w:val="en-US" w:eastAsia="zh-CN" w:bidi="ar"/>
              </w:rPr>
              <w:t>（包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含数字及文字描述）</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实际完成指标值</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（包含数字及文字描述</w:t>
            </w:r>
            <w:r>
              <w:rPr>
                <w:rFonts w:hint="eastAsia" w:ascii="宋体" w:hAnsi="宋体" w:eastAsia="宋体" w:cs="宋体"/>
                <w:i w:val="0"/>
                <w:iCs w:val="0"/>
                <w:color w:val="000000"/>
                <w:kern w:val="0"/>
                <w:sz w:val="18"/>
                <w:szCs w:val="18"/>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5"/>
                <w:szCs w:val="15"/>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0"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主要</w:t>
            </w:r>
            <w:r>
              <w:rPr>
                <w:rFonts w:hint="eastAsia" w:ascii="宋体" w:hAnsi="宋体" w:eastAsia="宋体" w:cs="宋体"/>
                <w:i w:val="0"/>
                <w:iCs w:val="0"/>
                <w:color w:val="000000"/>
                <w:sz w:val="18"/>
                <w:szCs w:val="18"/>
                <w:u w:val="none"/>
              </w:rPr>
              <w:t>经济指标</w:t>
            </w:r>
            <w:r>
              <w:rPr>
                <w:rFonts w:hint="eastAsia" w:ascii="宋体" w:hAnsi="宋体" w:eastAsia="宋体" w:cs="宋体"/>
                <w:i w:val="0"/>
                <w:iCs w:val="0"/>
                <w:color w:val="000000"/>
                <w:sz w:val="18"/>
                <w:szCs w:val="18"/>
                <w:u w:val="none"/>
                <w:lang w:val="en-US" w:eastAsia="zh-CN"/>
              </w:rPr>
              <w:t>数</w:t>
            </w:r>
          </w:p>
        </w:tc>
        <w:tc>
          <w:tcPr>
            <w:tcW w:w="2141"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实现</w:t>
            </w:r>
            <w:r>
              <w:rPr>
                <w:rFonts w:hint="eastAsia" w:ascii="宋体" w:hAnsi="宋体" w:eastAsia="宋体" w:cs="宋体"/>
                <w:i w:val="0"/>
                <w:iCs w:val="0"/>
                <w:color w:val="000000"/>
                <w:sz w:val="15"/>
                <w:szCs w:val="15"/>
                <w:u w:val="none"/>
              </w:rPr>
              <w:t>服务业增加值（亿元</w:t>
            </w:r>
            <w:r>
              <w:rPr>
                <w:rFonts w:hint="eastAsia" w:ascii="宋体" w:hAnsi="宋体" w:eastAsia="宋体" w:cs="宋体"/>
                <w:i w:val="0"/>
                <w:iCs w:val="0"/>
                <w:color w:val="000000"/>
                <w:sz w:val="15"/>
                <w:szCs w:val="15"/>
                <w:u w:val="none"/>
                <w:lang w:eastAsia="zh-CN"/>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22.74</w:t>
            </w:r>
            <w:r>
              <w:rPr>
                <w:rFonts w:hint="eastAsia" w:ascii="宋体" w:hAnsi="宋体" w:eastAsia="宋体" w:cs="宋体"/>
                <w:i w:val="0"/>
                <w:iCs w:val="0"/>
                <w:color w:val="000000"/>
                <w:sz w:val="18"/>
                <w:szCs w:val="18"/>
                <w:u w:val="none"/>
              </w:rPr>
              <w:t>亿元</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25.40亿元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2141" w:type="dxa"/>
            <w:gridSpan w:val="7"/>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5"/>
                <w:szCs w:val="15"/>
                <w:u w:val="none"/>
                <w:lang w:eastAsia="zh-CN"/>
              </w:rPr>
            </w:pPr>
            <w:r>
              <w:rPr>
                <w:rFonts w:hint="eastAsia" w:ascii="宋体" w:hAnsi="宋体" w:eastAsia="宋体" w:cs="宋体"/>
                <w:i w:val="0"/>
                <w:iCs w:val="0"/>
                <w:color w:val="000000"/>
                <w:sz w:val="15"/>
                <w:szCs w:val="15"/>
                <w:u w:val="none"/>
              </w:rPr>
              <w:t>社会消费品零售总额（亿元</w:t>
            </w:r>
            <w:r>
              <w:rPr>
                <w:rFonts w:hint="eastAsia" w:ascii="宋体" w:hAnsi="宋体" w:eastAsia="宋体" w:cs="宋体"/>
                <w:i w:val="0"/>
                <w:iCs w:val="0"/>
                <w:color w:val="000000"/>
                <w:sz w:val="15"/>
                <w:szCs w:val="15"/>
                <w:u w:val="none"/>
                <w:lang w:eastAsia="zh-CN"/>
              </w:rPr>
              <w:t>）</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21.40</w:t>
            </w:r>
            <w:r>
              <w:rPr>
                <w:rFonts w:hint="eastAsia" w:ascii="宋体" w:hAnsi="宋体" w:eastAsia="宋体" w:cs="宋体"/>
                <w:i w:val="0"/>
                <w:iCs w:val="0"/>
                <w:color w:val="000000"/>
                <w:sz w:val="18"/>
                <w:szCs w:val="18"/>
                <w:u w:val="none"/>
              </w:rPr>
              <w:t>亿元</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25.27亿元</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2141" w:type="dxa"/>
            <w:gridSpan w:val="7"/>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外贸进出口总额（亿元</w:t>
            </w:r>
            <w:r>
              <w:rPr>
                <w:rFonts w:hint="eastAsia" w:ascii="宋体" w:hAnsi="宋体" w:eastAsia="宋体" w:cs="宋体"/>
                <w:i w:val="0"/>
                <w:iCs w:val="0"/>
                <w:color w:val="000000"/>
                <w:sz w:val="18"/>
                <w:szCs w:val="18"/>
                <w:u w:val="none"/>
                <w:lang w:eastAsia="zh-CN"/>
              </w:rPr>
              <w:t>）</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3113万元</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1395.75万元</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 xml:space="preserve">受疫情影响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p>
        </w:tc>
        <w:tc>
          <w:tcPr>
            <w:tcW w:w="2141" w:type="dxa"/>
            <w:gridSpan w:val="7"/>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5"/>
                <w:szCs w:val="15"/>
                <w:u w:val="none"/>
                <w:lang w:eastAsia="zh-CN"/>
              </w:rPr>
            </w:pPr>
            <w:r>
              <w:rPr>
                <w:rFonts w:hint="eastAsia" w:ascii="宋体" w:hAnsi="宋体" w:eastAsia="宋体" w:cs="宋体"/>
                <w:i w:val="0"/>
                <w:iCs w:val="0"/>
                <w:color w:val="000000"/>
                <w:sz w:val="15"/>
                <w:szCs w:val="15"/>
                <w:u w:val="none"/>
              </w:rPr>
              <w:t>实际到位外资</w:t>
            </w:r>
            <w:r>
              <w:rPr>
                <w:rFonts w:hint="eastAsia" w:ascii="宋体" w:hAnsi="宋体" w:eastAsia="宋体" w:cs="宋体"/>
                <w:i w:val="0"/>
                <w:iCs w:val="0"/>
                <w:color w:val="000000"/>
                <w:sz w:val="15"/>
                <w:szCs w:val="15"/>
                <w:u w:val="none"/>
                <w:lang w:eastAsia="zh-CN"/>
              </w:rPr>
              <w:t>（</w:t>
            </w:r>
            <w:r>
              <w:rPr>
                <w:rFonts w:hint="eastAsia" w:ascii="宋体" w:hAnsi="宋体" w:eastAsia="宋体" w:cs="宋体"/>
                <w:i w:val="0"/>
                <w:iCs w:val="0"/>
                <w:color w:val="000000"/>
                <w:sz w:val="15"/>
                <w:szCs w:val="15"/>
                <w:u w:val="none"/>
              </w:rPr>
              <w:t>美元</w:t>
            </w:r>
            <w:r>
              <w:rPr>
                <w:rFonts w:hint="eastAsia" w:ascii="宋体" w:hAnsi="宋体" w:eastAsia="宋体" w:cs="宋体"/>
                <w:i w:val="0"/>
                <w:iCs w:val="0"/>
                <w:color w:val="000000"/>
                <w:sz w:val="15"/>
                <w:szCs w:val="15"/>
                <w:u w:val="none"/>
                <w:lang w:eastAsia="zh-CN"/>
              </w:rPr>
              <w:t>）</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320万美元</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400万美元</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75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固定资产投资项目入库</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5"/>
                <w:szCs w:val="15"/>
                <w:u w:val="none"/>
              </w:rPr>
              <w:t>完成固定资产投资</w:t>
            </w:r>
            <w:r>
              <w:rPr>
                <w:rFonts w:hint="eastAsia" w:ascii="宋体" w:hAnsi="宋体" w:eastAsia="宋体" w:cs="宋体"/>
                <w:i w:val="0"/>
                <w:iCs w:val="0"/>
                <w:color w:val="000000"/>
                <w:sz w:val="18"/>
                <w:szCs w:val="18"/>
                <w:u w:val="none"/>
                <w:lang w:val="en-US" w:eastAsia="zh-CN"/>
              </w:rPr>
              <w:t xml:space="preserve">     </w:t>
            </w:r>
          </w:p>
        </w:tc>
        <w:tc>
          <w:tcPr>
            <w:tcW w:w="158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1.1亿元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2765万元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750"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5"/>
                <w:szCs w:val="15"/>
                <w:u w:val="none"/>
              </w:rPr>
              <w:t>完成固定资产</w:t>
            </w:r>
            <w:r>
              <w:rPr>
                <w:rFonts w:hint="eastAsia" w:ascii="宋体" w:hAnsi="宋体" w:eastAsia="宋体" w:cs="宋体"/>
                <w:i w:val="0"/>
                <w:iCs w:val="0"/>
                <w:color w:val="000000"/>
                <w:sz w:val="15"/>
                <w:szCs w:val="15"/>
                <w:u w:val="none"/>
                <w:lang w:val="en-US" w:eastAsia="zh-CN"/>
              </w:rPr>
              <w:t>入库</w:t>
            </w:r>
          </w:p>
        </w:tc>
        <w:tc>
          <w:tcPr>
            <w:tcW w:w="158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3920万元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75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3"/>
                <w:szCs w:val="13"/>
                <w:u w:val="none"/>
              </w:rPr>
              <w:t>企业</w:t>
            </w:r>
            <w:r>
              <w:rPr>
                <w:rFonts w:hint="eastAsia" w:ascii="宋体" w:hAnsi="宋体" w:eastAsia="宋体" w:cs="宋体"/>
                <w:i w:val="0"/>
                <w:iCs w:val="0"/>
                <w:color w:val="000000"/>
                <w:sz w:val="13"/>
                <w:szCs w:val="13"/>
                <w:u w:val="none"/>
                <w:lang w:val="en-US" w:eastAsia="zh-CN"/>
              </w:rPr>
              <w:t xml:space="preserve">   </w:t>
            </w:r>
            <w:r>
              <w:rPr>
                <w:rFonts w:hint="eastAsia" w:ascii="宋体" w:hAnsi="宋体" w:eastAsia="宋体" w:cs="宋体"/>
                <w:i w:val="0"/>
                <w:iCs w:val="0"/>
                <w:color w:val="000000"/>
                <w:sz w:val="13"/>
                <w:szCs w:val="13"/>
                <w:u w:val="none"/>
              </w:rPr>
              <w:t>入库</w:t>
            </w:r>
            <w:r>
              <w:rPr>
                <w:rFonts w:hint="eastAsia" w:ascii="宋体" w:hAnsi="宋体" w:eastAsia="宋体" w:cs="宋体"/>
                <w:i w:val="0"/>
                <w:iCs w:val="0"/>
                <w:color w:val="000000"/>
                <w:sz w:val="13"/>
                <w:szCs w:val="13"/>
                <w:u w:val="none"/>
                <w:lang w:val="en-US" w:eastAsia="zh-CN"/>
              </w:rPr>
              <w:t xml:space="preserve">  </w:t>
            </w:r>
            <w:r>
              <w:rPr>
                <w:rFonts w:hint="eastAsia" w:ascii="宋体" w:hAnsi="宋体" w:eastAsia="宋体" w:cs="宋体"/>
                <w:i w:val="0"/>
                <w:iCs w:val="0"/>
                <w:color w:val="000000"/>
                <w:sz w:val="15"/>
                <w:szCs w:val="15"/>
                <w:u w:val="none"/>
                <w:lang w:val="en-US" w:eastAsia="zh-CN"/>
              </w:rPr>
              <w:t xml:space="preserve">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规上服务业企业</w:t>
            </w:r>
          </w:p>
        </w:tc>
        <w:tc>
          <w:tcPr>
            <w:tcW w:w="158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1家</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1家</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750"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限上商</w:t>
            </w:r>
            <w:r>
              <w:rPr>
                <w:rFonts w:hint="eastAsia" w:ascii="宋体" w:hAnsi="宋体" w:eastAsia="宋体" w:cs="宋体"/>
                <w:i w:val="0"/>
                <w:iCs w:val="0"/>
                <w:color w:val="000000"/>
                <w:sz w:val="15"/>
                <w:szCs w:val="15"/>
                <w:u w:val="none"/>
                <w:lang w:val="en-US" w:eastAsia="zh-CN"/>
              </w:rPr>
              <w:t xml:space="preserve"> </w:t>
            </w:r>
            <w:r>
              <w:rPr>
                <w:rFonts w:hint="eastAsia" w:ascii="宋体" w:hAnsi="宋体" w:eastAsia="宋体" w:cs="宋体"/>
                <w:i w:val="0"/>
                <w:iCs w:val="0"/>
                <w:color w:val="000000"/>
                <w:sz w:val="15"/>
                <w:szCs w:val="15"/>
                <w:u w:val="none"/>
              </w:rPr>
              <w:t>贸企业</w:t>
            </w:r>
          </w:p>
        </w:tc>
        <w:tc>
          <w:tcPr>
            <w:tcW w:w="158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2家</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w:t>
            </w:r>
            <w:r>
              <w:rPr>
                <w:rFonts w:hint="eastAsia" w:ascii="宋体" w:hAnsi="宋体" w:eastAsia="宋体" w:cs="宋体"/>
                <w:i w:val="0"/>
                <w:iCs w:val="0"/>
                <w:color w:val="000000"/>
                <w:sz w:val="18"/>
                <w:szCs w:val="18"/>
                <w:u w:val="none"/>
              </w:rPr>
              <w:t>家</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2141"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向上争取资金</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200万元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1019.18万元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日常工作</w:t>
            </w:r>
          </w:p>
        </w:tc>
        <w:tc>
          <w:tcPr>
            <w:tcW w:w="600" w:type="dxa"/>
            <w:gridSpan w:val="4"/>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各类</w:t>
            </w:r>
            <w:r>
              <w:rPr>
                <w:rFonts w:hint="eastAsia" w:ascii="宋体" w:hAnsi="宋体" w:eastAsia="宋体" w:cs="宋体"/>
                <w:i w:val="0"/>
                <w:iCs w:val="0"/>
                <w:color w:val="000000"/>
                <w:sz w:val="18"/>
                <w:szCs w:val="18"/>
                <w:u w:val="none"/>
                <w:lang w:val="en-US" w:eastAsia="zh-CN"/>
              </w:rPr>
              <w:t>会议会展</w:t>
            </w:r>
          </w:p>
        </w:tc>
        <w:tc>
          <w:tcPr>
            <w:tcW w:w="15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线上线下各类   展销会</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12次</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15次</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0" w:type="dxa"/>
            <w:gridSpan w:val="4"/>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服务业经济指标调度会</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4次</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5次</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0" w:type="dxa"/>
            <w:gridSpan w:val="4"/>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大型</w:t>
            </w:r>
            <w:r>
              <w:rPr>
                <w:rFonts w:hint="default" w:ascii="宋体" w:hAnsi="宋体" w:eastAsia="宋体" w:cs="宋体"/>
                <w:i w:val="0"/>
                <w:iCs w:val="0"/>
                <w:color w:val="000000"/>
                <w:sz w:val="18"/>
                <w:szCs w:val="18"/>
                <w:u w:val="none"/>
                <w:lang w:val="en-US"/>
              </w:rPr>
              <w:t>企业困难问</w:t>
            </w:r>
            <w:r>
              <w:rPr>
                <w:rFonts w:hint="eastAsia" w:ascii="宋体" w:hAnsi="宋体" w:eastAsia="宋体" w:cs="宋体"/>
                <w:i w:val="0"/>
                <w:iCs w:val="0"/>
                <w:color w:val="000000"/>
                <w:sz w:val="18"/>
                <w:szCs w:val="18"/>
                <w:u w:val="none"/>
                <w:lang w:val="en-US" w:eastAsia="zh-CN"/>
              </w:rPr>
              <w:t xml:space="preserve">    </w:t>
            </w:r>
            <w:r>
              <w:rPr>
                <w:rFonts w:hint="default" w:ascii="宋体" w:hAnsi="宋体" w:eastAsia="宋体" w:cs="宋体"/>
                <w:i w:val="0"/>
                <w:iCs w:val="0"/>
                <w:color w:val="000000"/>
                <w:sz w:val="18"/>
                <w:szCs w:val="18"/>
                <w:u w:val="none"/>
                <w:lang w:val="en-US"/>
              </w:rPr>
              <w:t>题化解协商会</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000000"/>
                <w:sz w:val="18"/>
                <w:szCs w:val="18"/>
                <w:u w:val="none"/>
                <w:lang w:val="en-US" w:eastAsia="zh-CN"/>
              </w:rPr>
              <w:t>2</w:t>
            </w:r>
            <w:r>
              <w:rPr>
                <w:rFonts w:hint="default" w:ascii="宋体" w:hAnsi="宋体" w:eastAsia="宋体" w:cs="宋体"/>
                <w:i w:val="0"/>
                <w:iCs w:val="0"/>
                <w:color w:val="000000"/>
                <w:sz w:val="18"/>
                <w:szCs w:val="18"/>
                <w:u w:val="none"/>
                <w:lang w:val="en-US"/>
              </w:rPr>
              <w:t>次</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lang w:val="en-US"/>
              </w:rPr>
              <w:t>2次</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0" w:type="dxa"/>
            <w:gridSpan w:val="4"/>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5"/>
                <w:szCs w:val="15"/>
                <w:u w:val="none"/>
                <w:lang w:val="en-US" w:eastAsia="zh-CN"/>
              </w:rPr>
              <w:t>参加各类会展人数</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≥5万人次</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sz w:val="18"/>
                <w:szCs w:val="18"/>
                <w:u w:val="none"/>
                <w:lang w:val="en-US" w:eastAsia="zh-CN"/>
              </w:rPr>
              <w:t>≥5万人次</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0" w:type="dxa"/>
            <w:gridSpan w:val="4"/>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5"/>
                <w:szCs w:val="15"/>
                <w:u w:val="none"/>
              </w:rPr>
              <w:t>中心组</w:t>
            </w:r>
            <w:r>
              <w:rPr>
                <w:rFonts w:hint="eastAsia" w:ascii="宋体" w:hAnsi="宋体" w:eastAsia="宋体" w:cs="宋体"/>
                <w:i w:val="0"/>
                <w:iCs w:val="0"/>
                <w:color w:val="000000"/>
                <w:sz w:val="15"/>
                <w:szCs w:val="15"/>
                <w:u w:val="none"/>
                <w:lang w:val="en-US" w:eastAsia="zh-CN"/>
              </w:rPr>
              <w:t>、党组、支部、领导班子等会议</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000000"/>
                <w:sz w:val="18"/>
                <w:szCs w:val="18"/>
                <w:u w:val="none"/>
                <w:lang w:val="en-US" w:eastAsia="zh-CN"/>
              </w:rPr>
              <w:t>60次</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64次</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疫情宣传资料</w:t>
            </w: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张贴疫情防控公告</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4000张</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5000余张</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3"/>
                <w:szCs w:val="13"/>
                <w:u w:val="none"/>
              </w:rPr>
              <w:t>签订疫情防控承诺书</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800份</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1000余份</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发整改通知书</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100份</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120余份</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线下</w:t>
            </w:r>
            <w:r>
              <w:rPr>
                <w:rFonts w:hint="eastAsia" w:ascii="宋体" w:hAnsi="宋体" w:eastAsia="宋体" w:cs="宋体"/>
                <w:i w:val="0"/>
                <w:iCs w:val="0"/>
                <w:color w:val="000000"/>
                <w:sz w:val="18"/>
                <w:szCs w:val="18"/>
                <w:u w:val="none"/>
              </w:rPr>
              <w:t>配送网点</w:t>
            </w: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产业村收购网点</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20余个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3"/>
                <w:szCs w:val="13"/>
                <w:u w:val="none"/>
              </w:rPr>
              <w:t>区级农产品配送中心</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社区配送网点</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7个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线上农村 </w:t>
            </w:r>
            <w:r>
              <w:rPr>
                <w:rFonts w:hint="eastAsia" w:ascii="宋体" w:hAnsi="宋体" w:eastAsia="宋体" w:cs="宋体"/>
                <w:i w:val="0"/>
                <w:iCs w:val="0"/>
                <w:color w:val="000000"/>
                <w:sz w:val="18"/>
                <w:szCs w:val="18"/>
                <w:u w:val="none"/>
              </w:rPr>
              <w:t>微</w:t>
            </w:r>
            <w:r>
              <w:rPr>
                <w:rFonts w:hint="eastAsia" w:ascii="宋体" w:hAnsi="宋体" w:eastAsia="宋体" w:cs="宋体"/>
                <w:i w:val="0"/>
                <w:iCs w:val="0"/>
                <w:color w:val="000000"/>
                <w:sz w:val="18"/>
                <w:szCs w:val="18"/>
                <w:u w:val="none"/>
                <w:lang w:val="en-US" w:eastAsia="zh-CN"/>
              </w:rPr>
              <w:t>商</w:t>
            </w: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新培较大农村电商团队</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新培育注册电商公司</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5家</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5家</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培育直播团队</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3个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培育微商团队</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1个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5"/>
                <w:szCs w:val="15"/>
                <w:u w:val="none"/>
                <w:lang w:val="en-US" w:eastAsia="zh-CN"/>
              </w:rPr>
              <w:t>成立朝天</w:t>
            </w:r>
            <w:r>
              <w:rPr>
                <w:rFonts w:hint="eastAsia" w:ascii="宋体" w:hAnsi="宋体" w:eastAsia="宋体" w:cs="宋体"/>
                <w:i w:val="0"/>
                <w:iCs w:val="0"/>
                <w:color w:val="000000"/>
                <w:sz w:val="15"/>
                <w:szCs w:val="15"/>
                <w:u w:val="none"/>
              </w:rPr>
              <w:t>电商平台</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2个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重点经济指标完成率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5"/>
                <w:szCs w:val="15"/>
                <w:u w:val="none"/>
                <w:lang w:val="en-US" w:eastAsia="zh-CN"/>
              </w:rPr>
              <w:t>旅游、特色餐饮、电商等培育力度</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参展、培训人员参会率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培训覆盖面及效果 </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各类</w:t>
            </w:r>
            <w:r>
              <w:rPr>
                <w:rFonts w:hint="default" w:ascii="宋体" w:hAnsi="宋体" w:eastAsia="宋体" w:cs="宋体"/>
                <w:i w:val="0"/>
                <w:iCs w:val="0"/>
                <w:color w:val="000000"/>
                <w:sz w:val="18"/>
                <w:szCs w:val="18"/>
                <w:u w:val="none"/>
                <w:lang w:val="en-US" w:eastAsia="zh-CN"/>
              </w:rPr>
              <w:t>展销活动</w:t>
            </w:r>
            <w:r>
              <w:rPr>
                <w:rFonts w:hint="eastAsia" w:ascii="宋体" w:hAnsi="宋体" w:eastAsia="宋体" w:cs="宋体"/>
                <w:i w:val="0"/>
                <w:iCs w:val="0"/>
                <w:color w:val="000000"/>
                <w:sz w:val="18"/>
                <w:szCs w:val="18"/>
                <w:u w:val="none"/>
                <w:lang w:val="en-US" w:eastAsia="zh-CN"/>
              </w:rPr>
              <w:t>成功率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5"/>
                <w:szCs w:val="15"/>
                <w:u w:val="none"/>
                <w:lang w:val="en-US" w:eastAsia="zh-CN"/>
              </w:rPr>
              <w:t>企业参与线上线下各类活动积极性</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招商引资成功率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网点配送运营效果</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“两上”企业巩固培育效果</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电商、餐饮等服务业岗位就业率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各类奖励金兑付准确率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各类展会、培训会及时性</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各类协调工作及时性</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重点工作任务完成及时率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资金到位率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资金支出率</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00" w:type="dxa"/>
            <w:gridSpan w:val="2"/>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基本支出</w:t>
            </w:r>
          </w:p>
        </w:tc>
        <w:tc>
          <w:tcPr>
            <w:tcW w:w="1991"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人员经费</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224.66万元</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243.23万元</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5"/>
                <w:szCs w:val="15"/>
                <w:u w:val="none"/>
                <w:lang w:val="en-US" w:eastAsia="zh-CN"/>
              </w:rPr>
              <w:t xml:space="preserve">人员经费增多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0" w:type="dxa"/>
            <w:gridSpan w:val="2"/>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9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公用经费</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16万元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17.35万元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3"/>
                <w:szCs w:val="13"/>
                <w:u w:val="none"/>
                <w:lang w:val="en-US" w:eastAsia="zh-CN"/>
              </w:rPr>
              <w:t>公用经费出增多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5" w:type="dxa"/>
            <w:gridSpan w:val="3"/>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项目经费</w:t>
            </w:r>
          </w:p>
        </w:tc>
        <w:tc>
          <w:tcPr>
            <w:tcW w:w="198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2021年当年项目经费</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183.39万元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163.47</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3"/>
                <w:szCs w:val="13"/>
                <w:u w:val="none"/>
                <w:lang w:val="en-US" w:eastAsia="zh-CN"/>
              </w:rPr>
              <w:t>因基本支出增加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5" w:type="dxa"/>
            <w:gridSpan w:val="3"/>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6" w:type="dxa"/>
            <w:gridSpan w:val="5"/>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2021年初结转结余</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612.83万元</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612.83万元</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  指标</w:t>
            </w:r>
          </w:p>
        </w:tc>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服务业增加值</w:t>
            </w:r>
            <w:r>
              <w:rPr>
                <w:rFonts w:hint="eastAsia" w:ascii="宋体" w:hAnsi="宋体" w:eastAsia="宋体" w:cs="宋体"/>
                <w:i w:val="0"/>
                <w:iCs w:val="0"/>
                <w:color w:val="000000"/>
                <w:sz w:val="18"/>
                <w:szCs w:val="18"/>
                <w:u w:val="none"/>
                <w:lang w:val="en-US" w:eastAsia="zh-CN"/>
              </w:rPr>
              <w:t xml:space="preserve"> </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11.50%</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同比增长11.7%，排全市第一位</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21"/>
                <w:szCs w:val="21"/>
                <w:u w:val="none"/>
              </w:rPr>
              <w:t>社会消费品零售总额</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同比增长18.1%，排全市第五位</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受疫情影响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val="en-US" w:eastAsia="zh-CN"/>
              </w:rPr>
              <w:t>实际到位</w:t>
            </w:r>
            <w:r>
              <w:rPr>
                <w:rFonts w:hint="eastAsia" w:ascii="宋体" w:hAnsi="宋体" w:eastAsia="宋体" w:cs="宋体"/>
                <w:i w:val="0"/>
                <w:iCs w:val="0"/>
                <w:color w:val="000000"/>
                <w:sz w:val="18"/>
                <w:szCs w:val="18"/>
                <w:u w:val="none"/>
              </w:rPr>
              <w:t>外资</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320万美元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完成目标任务的125%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全年</w:t>
            </w:r>
            <w:r>
              <w:rPr>
                <w:rFonts w:hint="eastAsia" w:ascii="宋体" w:hAnsi="宋体" w:eastAsia="宋体" w:cs="宋体"/>
                <w:i w:val="0"/>
                <w:iCs w:val="0"/>
                <w:color w:val="000000"/>
                <w:sz w:val="18"/>
                <w:szCs w:val="18"/>
                <w:u w:val="none"/>
              </w:rPr>
              <w:t>电商交易额</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达4亿元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达4.5亿元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全年</w:t>
            </w:r>
            <w:r>
              <w:rPr>
                <w:rFonts w:hint="eastAsia" w:ascii="宋体" w:hAnsi="宋体" w:eastAsia="宋体" w:cs="宋体"/>
                <w:i w:val="0"/>
                <w:iCs w:val="0"/>
                <w:color w:val="000000"/>
                <w:sz w:val="18"/>
                <w:szCs w:val="18"/>
                <w:u w:val="none"/>
              </w:rPr>
              <w:t>农特产品网销额</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sz w:val="18"/>
                <w:szCs w:val="18"/>
                <w:u w:val="none"/>
              </w:rPr>
              <w:t>1.</w:t>
            </w:r>
            <w:r>
              <w:rPr>
                <w:rFonts w:hint="eastAsia" w:ascii="宋体" w:hAnsi="宋体" w:eastAsia="宋体" w:cs="宋体"/>
                <w:i w:val="0"/>
                <w:iCs w:val="0"/>
                <w:color w:val="000000"/>
                <w:sz w:val="18"/>
                <w:szCs w:val="18"/>
                <w:u w:val="none"/>
                <w:lang w:val="en-US" w:eastAsia="zh-CN"/>
              </w:rPr>
              <w:t>2</w:t>
            </w:r>
            <w:r>
              <w:rPr>
                <w:rFonts w:hint="eastAsia" w:ascii="宋体" w:hAnsi="宋体" w:eastAsia="宋体" w:cs="宋体"/>
                <w:i w:val="0"/>
                <w:iCs w:val="0"/>
                <w:color w:val="000000"/>
                <w:sz w:val="18"/>
                <w:szCs w:val="18"/>
                <w:u w:val="none"/>
              </w:rPr>
              <w:t>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sz w:val="18"/>
                <w:szCs w:val="18"/>
                <w:u w:val="none"/>
              </w:rPr>
              <w:t>1.45亿元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全年因</w:t>
            </w:r>
            <w:r>
              <w:rPr>
                <w:rFonts w:hint="eastAsia" w:ascii="宋体" w:hAnsi="宋体" w:eastAsia="宋体" w:cs="宋体"/>
                <w:i w:val="0"/>
                <w:iCs w:val="0"/>
                <w:color w:val="000000"/>
                <w:sz w:val="18"/>
                <w:szCs w:val="18"/>
                <w:u w:val="none"/>
              </w:rPr>
              <w:t>东西部消费协作朝天</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农特产品在浙江地区销售</w:t>
            </w:r>
            <w:r>
              <w:rPr>
                <w:rFonts w:hint="eastAsia" w:ascii="宋体" w:hAnsi="宋体" w:eastAsia="宋体" w:cs="宋体"/>
                <w:i w:val="0"/>
                <w:iCs w:val="0"/>
                <w:color w:val="000000"/>
                <w:sz w:val="18"/>
                <w:szCs w:val="18"/>
                <w:u w:val="none"/>
                <w:lang w:val="en-US" w:eastAsia="zh-CN"/>
              </w:rPr>
              <w:t>额</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2000万元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2508万元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4" w:type="dxa"/>
            <w:gridSpan w:val="4"/>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物流</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行业</w:t>
            </w:r>
          </w:p>
        </w:tc>
        <w:tc>
          <w:tcPr>
            <w:tcW w:w="182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全年</w:t>
            </w:r>
            <w:r>
              <w:rPr>
                <w:rFonts w:hint="eastAsia" w:ascii="宋体" w:hAnsi="宋体" w:eastAsia="宋体" w:cs="宋体"/>
                <w:i w:val="0"/>
                <w:iCs w:val="0"/>
                <w:color w:val="000000"/>
                <w:sz w:val="18"/>
                <w:szCs w:val="18"/>
                <w:u w:val="none"/>
              </w:rPr>
              <w:t>营业额</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sz w:val="18"/>
                <w:szCs w:val="18"/>
                <w:u w:val="none"/>
                <w:lang w:val="en-US" w:eastAsia="zh-CN"/>
              </w:rPr>
              <w:t>2.8</w:t>
            </w:r>
            <w:r>
              <w:rPr>
                <w:rFonts w:hint="eastAsia" w:ascii="宋体" w:hAnsi="宋体" w:eastAsia="宋体" w:cs="宋体"/>
                <w:i w:val="0"/>
                <w:iCs w:val="0"/>
                <w:color w:val="000000"/>
                <w:sz w:val="18"/>
                <w:szCs w:val="18"/>
                <w:u w:val="none"/>
              </w:rPr>
              <w:t>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sz w:val="18"/>
                <w:szCs w:val="18"/>
                <w:u w:val="none"/>
              </w:rPr>
              <w:t>3亿元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4" w:type="dxa"/>
            <w:gridSpan w:val="4"/>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82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全年</w:t>
            </w:r>
            <w:r>
              <w:rPr>
                <w:rFonts w:hint="eastAsia" w:ascii="宋体" w:hAnsi="宋体" w:eastAsia="宋体" w:cs="宋体"/>
                <w:i w:val="0"/>
                <w:iCs w:val="0"/>
                <w:color w:val="000000"/>
                <w:sz w:val="18"/>
                <w:szCs w:val="18"/>
                <w:u w:val="none"/>
              </w:rPr>
              <w:t>上缴税收</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1200万元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1500余万元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4" w:type="dxa"/>
            <w:gridSpan w:val="4"/>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招商引资</w:t>
            </w:r>
          </w:p>
        </w:tc>
        <w:tc>
          <w:tcPr>
            <w:tcW w:w="182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签约资金</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2.6亿元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完成任务的103.85%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259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继续</w:t>
            </w:r>
            <w:r>
              <w:rPr>
                <w:rFonts w:hint="eastAsia" w:ascii="宋体" w:hAnsi="宋体" w:eastAsia="宋体" w:cs="宋体"/>
                <w:i w:val="0"/>
                <w:iCs w:val="0"/>
                <w:color w:val="000000"/>
                <w:sz w:val="18"/>
                <w:szCs w:val="18"/>
                <w:u w:val="none"/>
                <w:lang w:val="en-US" w:eastAsia="zh-CN"/>
              </w:rPr>
              <w:t>推进全区商务工作发展，从而</w:t>
            </w:r>
            <w:r>
              <w:rPr>
                <w:rFonts w:hint="eastAsia" w:ascii="宋体" w:hAnsi="宋体" w:eastAsia="宋体" w:cs="宋体"/>
                <w:i w:val="0"/>
                <w:iCs w:val="0"/>
                <w:color w:val="000000"/>
                <w:kern w:val="0"/>
                <w:sz w:val="18"/>
                <w:szCs w:val="18"/>
                <w:u w:val="none"/>
                <w:lang w:val="en-US" w:eastAsia="zh-CN" w:bidi="ar"/>
              </w:rPr>
              <w:t>推动全区经济发展</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解决部分就业岗位，提高地方财政收入，增加地方税收收入</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成绩显著</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积极优化营商环境，打创产业发展生态圈</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180" w:right="0" w:hanging="180" w:hangingChars="10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营造</w:t>
            </w:r>
            <w:r>
              <w:rPr>
                <w:rFonts w:hint="default" w:ascii="宋体" w:hAnsi="宋体" w:eastAsia="宋体" w:cs="宋体"/>
                <w:i w:val="0"/>
                <w:iCs w:val="0"/>
                <w:color w:val="000000"/>
                <w:sz w:val="18"/>
                <w:szCs w:val="18"/>
                <w:u w:val="none"/>
                <w:lang w:val="en-US" w:eastAsia="zh-CN"/>
              </w:rPr>
              <w:t>持续稳定</w:t>
            </w:r>
            <w:r>
              <w:rPr>
                <w:rFonts w:hint="eastAsia" w:ascii="宋体" w:hAnsi="宋体" w:eastAsia="宋体" w:cs="宋体"/>
                <w:i w:val="0"/>
                <w:iCs w:val="0"/>
                <w:color w:val="000000"/>
                <w:sz w:val="18"/>
                <w:szCs w:val="18"/>
                <w:u w:val="none"/>
                <w:lang w:val="en-US" w:eastAsia="zh-CN"/>
              </w:rPr>
              <w:t>营商环境</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达到改善生态环境</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保证单位日常工作正常运行，增强工作人员生态理念</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5"/>
                <w:szCs w:val="15"/>
                <w:u w:val="none"/>
                <w:lang w:val="en-US" w:eastAsia="zh-CN" w:bidi="ar"/>
              </w:rPr>
              <w:t>从低碳出发，节约水、电和纸张等资源</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节约开支，不铺张浪费</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591" w:type="dxa"/>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持续改善全区商务工作面貌，提升全区服务业知名度，增加全区商务影响力</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提升全区服务业知名度，增加全区商务影响力</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成绩显著</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服务对象满意度指标</w:t>
            </w: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企业对商务工作开展满意度</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群众对企业服务等方面满意度</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sectPr>
          <w:pgSz w:w="11906" w:h="16838"/>
          <w:pgMar w:top="1440" w:right="1800" w:bottom="1440" w:left="1800" w:header="851" w:footer="992" w:gutter="0"/>
          <w:pgNumType w:fmt="decimal"/>
          <w:cols w:space="425" w:num="1"/>
          <w:docGrid w:type="lines" w:linePitch="312" w:charSpace="0"/>
        </w:sectPr>
      </w:pPr>
    </w:p>
    <w:p>
      <w:pPr>
        <w:pStyle w:val="22"/>
        <w:rPr>
          <w:rFonts w:hint="eastAsia"/>
          <w:lang w:val="en-US" w:eastAsia="zh-CN"/>
        </w:rPr>
      </w:pPr>
    </w:p>
    <w:tbl>
      <w:tblPr>
        <w:tblStyle w:val="23"/>
        <w:tblW w:w="14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939"/>
        <w:gridCol w:w="974"/>
        <w:gridCol w:w="560"/>
        <w:gridCol w:w="1790"/>
        <w:gridCol w:w="5822"/>
        <w:gridCol w:w="655"/>
        <w:gridCol w:w="586"/>
        <w:gridCol w:w="600"/>
        <w:gridCol w:w="628"/>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05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附表</w:t>
            </w:r>
            <w:r>
              <w:rPr>
                <w:rFonts w:hint="eastAsia" w:ascii="Calibri" w:hAnsi="Calibri" w:eastAsia="仿宋" w:cs="Calibri"/>
                <w:color w:val="000000"/>
                <w:kern w:val="0"/>
                <w:sz w:val="24"/>
                <w:szCs w:val="24"/>
                <w:shd w:val="clear" w:color="auto" w:fill="FFFFFF"/>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405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2022年部门整体支出绩效自评评分表</w:t>
            </w:r>
            <w:r>
              <w:rPr>
                <w:rFonts w:hint="eastAsia" w:ascii="宋体" w:hAnsi="宋体" w:eastAsia="宋体" w:cs="宋体"/>
                <w:b/>
                <w:bCs/>
                <w:i w:val="0"/>
                <w:iCs w:val="0"/>
                <w:color w:val="000000"/>
                <w:kern w:val="0"/>
                <w:sz w:val="32"/>
                <w:szCs w:val="32"/>
                <w:u w:val="none"/>
                <w:lang w:val="en-US" w:eastAsia="zh-CN" w:bidi="ar"/>
              </w:rPr>
              <w:t>（适用于有专项预算项目的部门）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4051"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  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5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7"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   （70分）</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目标管理（30分）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                                                                                                                                                                                         2.绩效指标细化量化的，得2分，否则酌情扣分。                                                                                                                                                                                3.评价部门绩效目标纳入部门党组（委）会（办公会）集体决策范围的得1分，否则不得分。                                                                                                                                有项目绩效目标的部门（单位），根据项目绩效目标编制质量打分，无项目绩效目标的部门，根据部门整体支出绩效目标打分。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动态调整（20分）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4"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部门预算执行进度在6、9、11月应达到序时进度的80%、90%、90%，即实际支出进度分别达到40%、67.5%、82.5%。                                                                                                                              6、9、11月部门预算执行进度达到量化指标的分别得1分、1分、2分，未达到目标进度的的按其实际进度占目标进度的比重计算得分。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完成效率（20分）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资金结余率（低效无效率）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根据审计监督、财政检查结果反映部门上一年度部门预算管理是否合规。</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绩效结果应用（20分）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内部应用（6分）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信息公开（4分）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整改反馈（10分）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bCs/>
                <w:i w:val="0"/>
                <w:iCs w:val="0"/>
                <w:color w:val="000000"/>
                <w:sz w:val="22"/>
                <w:szCs w:val="22"/>
                <w:u w:val="none"/>
              </w:rPr>
            </w:pP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bCs/>
                <w:i w:val="0"/>
                <w:iCs w:val="0"/>
                <w:color w:val="000000"/>
                <w:sz w:val="22"/>
                <w:szCs w:val="22"/>
                <w:u w:val="none"/>
              </w:rPr>
            </w:pPr>
          </w:p>
        </w:tc>
        <w:tc>
          <w:tcPr>
            <w:tcW w:w="24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自评等级</w:t>
            </w:r>
          </w:p>
        </w:tc>
        <w:tc>
          <w:tcPr>
            <w:tcW w:w="112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自评结果：</w:t>
            </w:r>
            <w:r>
              <w:rPr>
                <w:rStyle w:val="50"/>
                <w:lang w:val="en-US" w:eastAsia="zh-CN" w:bidi="ar"/>
              </w:rPr>
              <w:t>☑优秀（90≤得分≤100）；□良好（80≤得分＜89）；□及格（60≤得分＜79）；□不及格（低于60分）</w:t>
            </w:r>
          </w:p>
        </w:tc>
      </w:tr>
    </w:tbl>
    <w:p>
      <w:pPr>
        <w:pStyle w:val="21"/>
        <w:ind w:left="0" w:leftChars="0" w:firstLine="0" w:firstLineChars="0"/>
        <w:rPr>
          <w:rFonts w:hint="eastAsia" w:ascii="仿宋_GB2312" w:hAnsi="Times New Roman" w:eastAsia="仿宋_GB2312" w:cs="Times New Roman"/>
          <w:sz w:val="32"/>
          <w:szCs w:val="32"/>
        </w:rPr>
        <w:sectPr>
          <w:footerReference r:id="rId10" w:type="first"/>
          <w:footerReference r:id="rId9" w:type="default"/>
          <w:pgSz w:w="16838" w:h="11906" w:orient="landscape"/>
          <w:pgMar w:top="1746" w:right="1440" w:bottom="1746" w:left="1440" w:header="851" w:footer="992" w:gutter="0"/>
          <w:pgNumType w:fmt="decimal"/>
          <w:cols w:space="0" w:num="1"/>
          <w:titlePg/>
          <w:docGrid w:type="lines" w:linePitch="312" w:charSpace="0"/>
        </w:sectPr>
      </w:pPr>
    </w:p>
    <w:p>
      <w:pPr>
        <w:pStyle w:val="64"/>
        <w:widowControl/>
        <w:ind w:left="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附件2：</w:t>
      </w: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2021年专项预算项目支出绩效自评报告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楷体" w:hAnsi="楷体" w:eastAsia="楷体" w:cs="楷体"/>
          <w:spacing w:val="-6"/>
          <w:sz w:val="32"/>
          <w:szCs w:val="32"/>
          <w:lang w:val="en-US"/>
        </w:rPr>
      </w:pPr>
      <w:r>
        <w:rPr>
          <w:rFonts w:hint="eastAsia" w:ascii="楷体" w:hAnsi="楷体" w:eastAsia="楷体" w:cs="楷体"/>
          <w:spacing w:val="-6"/>
          <w:kern w:val="2"/>
          <w:sz w:val="32"/>
          <w:szCs w:val="32"/>
          <w:lang w:val="en-US" w:eastAsia="zh-CN" w:bidi="ar"/>
        </w:rPr>
        <w:t>（2021年度中央外经贸发展专项资金项目）</w:t>
      </w:r>
    </w:p>
    <w:p>
      <w:pPr>
        <w:keepNext w:val="0"/>
        <w:keepLines w:val="0"/>
        <w:widowControl w:val="0"/>
        <w:suppressLineNumbers w:val="0"/>
        <w:spacing w:before="0" w:beforeAutospacing="0" w:after="0" w:afterAutospacing="0" w:line="560" w:lineRule="exact"/>
        <w:ind w:left="0" w:right="0" w:firstLine="642" w:firstLineChars="20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1.</w:t>
      </w:r>
      <w:r>
        <w:rPr>
          <w:rFonts w:hint="eastAsia" w:ascii="仿宋_GB2312" w:eastAsia="仿宋_GB2312" w:cs="宋体"/>
          <w:sz w:val="32"/>
          <w:szCs w:val="32"/>
          <w:lang w:eastAsia="zh-CN"/>
        </w:rPr>
        <w:t>区商务局在该项目管理中的职能是：区商务、财政部门具体负责审核企业参展情况，并提供参加</w:t>
      </w:r>
      <w:r>
        <w:rPr>
          <w:rFonts w:hint="eastAsia" w:ascii="宋体" w:hAnsi="宋体" w:eastAsia="宋体" w:cs="宋体"/>
          <w:sz w:val="32"/>
          <w:szCs w:val="32"/>
          <w:lang w:eastAsia="zh-CN"/>
        </w:rPr>
        <w:t>第</w:t>
      </w:r>
      <w:r>
        <w:rPr>
          <w:rFonts w:hint="eastAsia" w:ascii="仿宋_GB2312" w:eastAsia="仿宋_GB2312" w:cs="宋体"/>
          <w:sz w:val="32"/>
          <w:szCs w:val="32"/>
          <w:lang w:val="en-US"/>
        </w:rPr>
        <w:t>130</w:t>
      </w:r>
      <w:r>
        <w:rPr>
          <w:rFonts w:hint="eastAsia" w:ascii="仿宋_GB2312" w:eastAsia="仿宋_GB2312" w:cs="宋体"/>
          <w:sz w:val="32"/>
          <w:szCs w:val="32"/>
          <w:lang w:eastAsia="zh-CN"/>
        </w:rPr>
        <w:t>届广交会审核汇总表、参与专业化的市场对接活动等。对参加</w:t>
      </w:r>
      <w:r>
        <w:rPr>
          <w:rFonts w:hint="eastAsia" w:ascii="宋体" w:hAnsi="宋体" w:eastAsia="宋体" w:cs="宋体"/>
          <w:sz w:val="32"/>
          <w:szCs w:val="32"/>
          <w:lang w:eastAsia="zh-CN"/>
        </w:rPr>
        <w:t>第</w:t>
      </w:r>
      <w:r>
        <w:rPr>
          <w:rFonts w:hint="eastAsia" w:ascii="仿宋_GB2312" w:eastAsia="仿宋_GB2312" w:cs="宋体"/>
          <w:sz w:val="32"/>
          <w:szCs w:val="32"/>
          <w:lang w:val="en-US"/>
        </w:rPr>
        <w:t>130</w:t>
      </w:r>
      <w:r>
        <w:rPr>
          <w:rFonts w:hint="eastAsia" w:ascii="仿宋_GB2312" w:eastAsia="仿宋_GB2312" w:cs="宋体"/>
          <w:sz w:val="32"/>
          <w:szCs w:val="32"/>
          <w:lang w:eastAsia="zh-CN"/>
        </w:rPr>
        <w:t>届广交会的境内采购商，完成报名、网上注册并实质进入广交会展馆</w:t>
      </w:r>
      <w:r>
        <w:rPr>
          <w:rFonts w:hint="eastAsia" w:ascii="仿宋_GB2312" w:eastAsia="仿宋_GB2312" w:cs="宋体"/>
          <w:sz w:val="32"/>
          <w:szCs w:val="32"/>
          <w:lang w:val="en-US"/>
        </w:rPr>
        <w:t>(</w:t>
      </w:r>
      <w:r>
        <w:rPr>
          <w:rFonts w:hint="eastAsia" w:ascii="仿宋_GB2312" w:eastAsia="仿宋_GB2312" w:cs="宋体"/>
          <w:sz w:val="32"/>
          <w:szCs w:val="32"/>
          <w:lang w:eastAsia="zh-CN"/>
        </w:rPr>
        <w:t>以大会进馆自动统计数为准</w:t>
      </w:r>
      <w:r>
        <w:rPr>
          <w:rFonts w:hint="eastAsia" w:ascii="仿宋_GB2312" w:eastAsia="仿宋_GB2312" w:cs="宋体"/>
          <w:sz w:val="32"/>
          <w:szCs w:val="32"/>
          <w:lang w:val="en-US"/>
        </w:rPr>
        <w:t>)</w:t>
      </w:r>
      <w:r>
        <w:rPr>
          <w:rFonts w:hint="eastAsia" w:ascii="仿宋_GB2312" w:eastAsia="仿宋_GB2312" w:cs="宋体"/>
          <w:sz w:val="32"/>
          <w:szCs w:val="32"/>
          <w:lang w:eastAsia="zh-CN"/>
        </w:rPr>
        <w:t>。</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2</w:t>
      </w:r>
      <w:r>
        <w:rPr>
          <w:rFonts w:hint="eastAsia" w:ascii="仿宋_GB2312" w:eastAsia="仿宋_GB2312" w:cs="宋体"/>
          <w:sz w:val="32"/>
          <w:szCs w:val="32"/>
          <w:lang w:eastAsia="zh-CN"/>
        </w:rPr>
        <w:t>．资金申报的依据：市商务局、市财政局关于印发《广元市促进对外贸易发展奖励政策》（广商发〔</w:t>
      </w:r>
      <w:r>
        <w:rPr>
          <w:rFonts w:hint="eastAsia" w:ascii="仿宋_GB2312" w:eastAsia="仿宋_GB2312" w:cs="宋体"/>
          <w:sz w:val="32"/>
          <w:szCs w:val="32"/>
          <w:lang w:val="en-US"/>
        </w:rPr>
        <w:t>2017</w:t>
      </w:r>
      <w:r>
        <w:rPr>
          <w:rFonts w:hint="eastAsia" w:ascii="仿宋_GB2312" w:eastAsia="仿宋_GB2312" w:cs="宋体"/>
          <w:sz w:val="32"/>
          <w:szCs w:val="32"/>
          <w:lang w:eastAsia="zh-CN"/>
        </w:rPr>
        <w:t>〕</w:t>
      </w:r>
      <w:r>
        <w:rPr>
          <w:rFonts w:hint="eastAsia" w:ascii="仿宋_GB2312" w:eastAsia="仿宋_GB2312" w:cs="宋体"/>
          <w:sz w:val="32"/>
          <w:szCs w:val="32"/>
          <w:lang w:val="en-US"/>
        </w:rPr>
        <w:t>173</w:t>
      </w:r>
      <w:r>
        <w:rPr>
          <w:rFonts w:hint="eastAsia" w:ascii="仿宋_GB2312" w:eastAsia="仿宋_GB2312" w:cs="宋体"/>
          <w:sz w:val="32"/>
          <w:szCs w:val="32"/>
          <w:lang w:eastAsia="zh-CN"/>
        </w:rPr>
        <w:t>号）的通知；区财政局《关于下达</w:t>
      </w:r>
      <w:r>
        <w:rPr>
          <w:rFonts w:hint="eastAsia" w:ascii="仿宋_GB2312" w:eastAsia="仿宋_GB2312" w:cs="宋体"/>
          <w:sz w:val="32"/>
          <w:szCs w:val="32"/>
          <w:lang w:val="en-US"/>
        </w:rPr>
        <w:t>2021</w:t>
      </w:r>
      <w:r>
        <w:rPr>
          <w:rFonts w:hint="eastAsia" w:ascii="仿宋_GB2312" w:eastAsia="仿宋_GB2312" w:cs="宋体"/>
          <w:sz w:val="32"/>
          <w:szCs w:val="32"/>
          <w:lang w:eastAsia="zh-CN"/>
        </w:rPr>
        <w:t>年中央外经贸发展资金的通知》（广朝财建〔</w:t>
      </w:r>
      <w:r>
        <w:rPr>
          <w:rFonts w:hint="eastAsia" w:ascii="仿宋_GB2312" w:eastAsia="仿宋_GB2312" w:cs="宋体"/>
          <w:sz w:val="32"/>
          <w:szCs w:val="32"/>
          <w:lang w:val="en-US"/>
        </w:rPr>
        <w:t>2022</w:t>
      </w:r>
      <w:r>
        <w:rPr>
          <w:rFonts w:hint="eastAsia" w:ascii="仿宋_GB2312" w:eastAsia="仿宋_GB2312" w:cs="宋体"/>
          <w:sz w:val="32"/>
          <w:szCs w:val="32"/>
          <w:lang w:eastAsia="zh-CN"/>
        </w:rPr>
        <w:t>〕</w:t>
      </w:r>
      <w:r>
        <w:rPr>
          <w:rFonts w:hint="eastAsia" w:ascii="仿宋_GB2312" w:eastAsia="仿宋_GB2312" w:cs="宋体"/>
          <w:sz w:val="32"/>
          <w:szCs w:val="32"/>
          <w:lang w:val="en-US"/>
        </w:rPr>
        <w:t>4</w:t>
      </w:r>
      <w:r>
        <w:rPr>
          <w:rFonts w:hint="eastAsia" w:ascii="仿宋_GB2312" w:eastAsia="仿宋_GB2312" w:cs="宋体"/>
          <w:sz w:val="32"/>
          <w:szCs w:val="32"/>
          <w:lang w:eastAsia="zh-CN"/>
        </w:rPr>
        <w:t>号）等文件依据。</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3</w:t>
      </w:r>
      <w:r>
        <w:rPr>
          <w:rFonts w:hint="eastAsia" w:ascii="仿宋_GB2312" w:eastAsia="仿宋_GB2312" w:cs="宋体"/>
          <w:sz w:val="32"/>
          <w:szCs w:val="32"/>
          <w:lang w:eastAsia="zh-CN"/>
        </w:rPr>
        <w:t>．资金管理办法制定情况，资金支持具体项目的条件、范围与支持方式概况：</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eastAsia="zh-CN"/>
        </w:rPr>
        <w:t>（</w:t>
      </w:r>
      <w:r>
        <w:rPr>
          <w:rFonts w:hint="eastAsia" w:ascii="仿宋_GB2312" w:eastAsia="仿宋_GB2312" w:cs="宋体"/>
          <w:sz w:val="32"/>
          <w:szCs w:val="32"/>
          <w:lang w:val="en-US"/>
        </w:rPr>
        <w:t>1</w:t>
      </w:r>
      <w:r>
        <w:rPr>
          <w:rFonts w:hint="eastAsia" w:ascii="仿宋_GB2312" w:eastAsia="仿宋_GB2312" w:cs="宋体"/>
          <w:sz w:val="32"/>
          <w:szCs w:val="32"/>
          <w:lang w:eastAsia="zh-CN"/>
        </w:rPr>
        <w:t>）支持参加</w:t>
      </w:r>
      <w:r>
        <w:rPr>
          <w:rFonts w:hint="eastAsia" w:ascii="宋体" w:hAnsi="宋体" w:eastAsia="宋体" w:cs="宋体"/>
          <w:sz w:val="32"/>
          <w:szCs w:val="32"/>
          <w:lang w:eastAsia="zh-CN"/>
        </w:rPr>
        <w:t>第</w:t>
      </w:r>
      <w:r>
        <w:rPr>
          <w:rFonts w:hint="eastAsia" w:ascii="仿宋_GB2312" w:eastAsia="仿宋_GB2312" w:cs="宋体"/>
          <w:sz w:val="32"/>
          <w:szCs w:val="32"/>
          <w:lang w:val="en-US"/>
        </w:rPr>
        <w:t>130</w:t>
      </w:r>
      <w:r>
        <w:rPr>
          <w:rFonts w:hint="eastAsia" w:ascii="仿宋_GB2312" w:eastAsia="仿宋_GB2312" w:cs="宋体"/>
          <w:sz w:val="32"/>
          <w:szCs w:val="32"/>
          <w:lang w:eastAsia="zh-CN"/>
        </w:rPr>
        <w:t>届广交会</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1.</w:t>
      </w:r>
      <w:r>
        <w:rPr>
          <w:rFonts w:hint="eastAsia" w:ascii="仿宋_GB2312" w:eastAsia="仿宋_GB2312" w:cs="宋体"/>
          <w:sz w:val="32"/>
          <w:szCs w:val="32"/>
          <w:lang w:eastAsia="zh-CN"/>
        </w:rPr>
        <w:t>基本条件</w:t>
      </w:r>
    </w:p>
    <w:p>
      <w:pPr>
        <w:pStyle w:val="64"/>
        <w:widowControl/>
        <w:ind w:left="0" w:firstLine="672"/>
        <w:rPr>
          <w:rFonts w:hint="eastAsia" w:ascii="仿宋_GB2312" w:eastAsia="仿宋_GB2312" w:cs="宋体"/>
          <w:sz w:val="32"/>
          <w:szCs w:val="32"/>
          <w:lang w:val="en-US"/>
        </w:rPr>
      </w:pPr>
      <w:r>
        <w:rPr>
          <w:rFonts w:hint="default" w:ascii="仿宋_GB2312" w:hAnsi="Times New Roman" w:eastAsia="仿宋_GB2312" w:cs="宋体"/>
          <w:sz w:val="32"/>
          <w:szCs w:val="32"/>
          <w:lang w:val="en-US"/>
        </w:rPr>
        <w:sym w:font="Wingdings" w:char="0081"/>
      </w:r>
      <w:r>
        <w:rPr>
          <w:rFonts w:hint="eastAsia" w:ascii="仿宋_GB2312" w:eastAsia="仿宋_GB2312" w:cs="宋体"/>
          <w:sz w:val="32"/>
          <w:szCs w:val="32"/>
          <w:lang w:eastAsia="zh-CN"/>
        </w:rPr>
        <w:t>在我市注册的企业</w:t>
      </w:r>
    </w:p>
    <w:p>
      <w:pPr>
        <w:pStyle w:val="64"/>
        <w:widowControl/>
        <w:ind w:left="0" w:firstLine="672"/>
        <w:rPr>
          <w:rFonts w:hint="eastAsia" w:ascii="仿宋_GB2312" w:eastAsia="仿宋_GB2312" w:cs="宋体"/>
          <w:sz w:val="32"/>
          <w:szCs w:val="32"/>
          <w:lang w:val="en-US"/>
        </w:rPr>
      </w:pPr>
      <w:r>
        <w:rPr>
          <w:rFonts w:hint="default" w:ascii="仿宋_GB2312" w:hAnsi="Times New Roman" w:eastAsia="仿宋_GB2312" w:cs="宋体"/>
          <w:sz w:val="32"/>
          <w:szCs w:val="32"/>
          <w:lang w:val="en-US"/>
        </w:rPr>
        <w:sym w:font="Wingdings" w:char="0082"/>
      </w:r>
      <w:r>
        <w:rPr>
          <w:rFonts w:hint="eastAsia" w:ascii="仿宋_GB2312" w:eastAsia="仿宋_GB2312" w:cs="宋体"/>
          <w:sz w:val="32"/>
          <w:szCs w:val="32"/>
          <w:lang w:eastAsia="zh-CN"/>
        </w:rPr>
        <w:t>完成报名、网上注册并实质进入广交会展馆</w:t>
      </w:r>
      <w:r>
        <w:rPr>
          <w:rFonts w:hint="eastAsia" w:ascii="仿宋_GB2312" w:eastAsia="仿宋_GB2312" w:cs="宋体"/>
          <w:sz w:val="32"/>
          <w:szCs w:val="32"/>
          <w:lang w:val="en-US"/>
        </w:rPr>
        <w:t>(</w:t>
      </w:r>
      <w:r>
        <w:rPr>
          <w:rFonts w:hint="eastAsia" w:ascii="仿宋_GB2312" w:eastAsia="仿宋_GB2312" w:cs="宋体"/>
          <w:sz w:val="32"/>
          <w:szCs w:val="32"/>
          <w:lang w:eastAsia="zh-CN"/>
        </w:rPr>
        <w:t>以大会进馆自动统计数为准</w:t>
      </w:r>
      <w:r>
        <w:rPr>
          <w:rFonts w:hint="eastAsia" w:ascii="仿宋_GB2312" w:eastAsia="仿宋_GB2312" w:cs="宋体"/>
          <w:sz w:val="32"/>
          <w:szCs w:val="32"/>
          <w:lang w:val="en-US"/>
        </w:rPr>
        <w:t>)</w:t>
      </w:r>
      <w:r>
        <w:rPr>
          <w:rFonts w:hint="eastAsia" w:ascii="仿宋_GB2312" w:eastAsia="仿宋_GB2312" w:cs="宋体"/>
          <w:sz w:val="32"/>
          <w:szCs w:val="32"/>
          <w:lang w:eastAsia="zh-CN"/>
        </w:rPr>
        <w:t>。</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eastAsia="zh-CN"/>
        </w:rPr>
        <w:t>（</w:t>
      </w:r>
      <w:r>
        <w:rPr>
          <w:rFonts w:hint="eastAsia" w:ascii="仿宋_GB2312" w:eastAsia="仿宋_GB2312" w:cs="宋体"/>
          <w:sz w:val="32"/>
          <w:szCs w:val="32"/>
          <w:lang w:val="en-US"/>
        </w:rPr>
        <w:t>2</w:t>
      </w:r>
      <w:r>
        <w:rPr>
          <w:rFonts w:hint="eastAsia" w:ascii="仿宋_GB2312" w:eastAsia="仿宋_GB2312" w:cs="宋体"/>
          <w:sz w:val="32"/>
          <w:szCs w:val="32"/>
          <w:lang w:eastAsia="zh-CN"/>
        </w:rPr>
        <w:t>）申报资料</w:t>
      </w:r>
    </w:p>
    <w:p>
      <w:pPr>
        <w:pStyle w:val="64"/>
        <w:widowControl/>
        <w:ind w:left="0" w:firstLine="672"/>
        <w:rPr>
          <w:rFonts w:hint="eastAsia" w:ascii="仿宋_GB2312" w:eastAsia="仿宋_GB2312" w:cs="宋体"/>
          <w:sz w:val="32"/>
          <w:szCs w:val="32"/>
          <w:lang w:val="en-US"/>
        </w:rPr>
      </w:pPr>
      <w:r>
        <w:rPr>
          <w:rFonts w:hint="default" w:ascii="仿宋_GB2312" w:hAnsi="Times New Roman" w:eastAsia="仿宋_GB2312" w:cs="宋体"/>
          <w:sz w:val="32"/>
          <w:szCs w:val="32"/>
          <w:lang w:val="en-US"/>
        </w:rPr>
        <w:sym w:font="Wingdings" w:char="0081"/>
      </w:r>
      <w:r>
        <w:rPr>
          <w:rFonts w:hint="eastAsia" w:ascii="仿宋_GB2312" w:eastAsia="仿宋_GB2312" w:cs="宋体"/>
          <w:sz w:val="32"/>
          <w:szCs w:val="32"/>
          <w:lang w:eastAsia="zh-CN"/>
        </w:rPr>
        <w:t>项目申请表</w:t>
      </w:r>
    </w:p>
    <w:p>
      <w:pPr>
        <w:pStyle w:val="64"/>
        <w:widowControl/>
        <w:ind w:left="0" w:firstLine="672"/>
        <w:rPr>
          <w:rFonts w:hint="eastAsia" w:ascii="仿宋_GB2312" w:eastAsia="仿宋_GB2312" w:cs="宋体"/>
          <w:b/>
          <w:bCs/>
          <w:color w:val="FF0000"/>
          <w:sz w:val="32"/>
          <w:szCs w:val="32"/>
          <w:u w:val="single"/>
          <w:lang w:val="en-US"/>
        </w:rPr>
      </w:pPr>
      <w:r>
        <w:rPr>
          <w:rFonts w:hint="default" w:ascii="仿宋_GB2312" w:hAnsi="Times New Roman" w:eastAsia="仿宋_GB2312" w:cs="宋体"/>
          <w:sz w:val="32"/>
          <w:szCs w:val="32"/>
          <w:lang w:val="en-US"/>
        </w:rPr>
        <w:sym w:font="Wingdings" w:char="0082"/>
      </w:r>
      <w:r>
        <w:rPr>
          <w:rFonts w:hint="eastAsia" w:ascii="仿宋_GB2312" w:eastAsia="仿宋_GB2312" w:cs="宋体"/>
          <w:sz w:val="32"/>
          <w:szCs w:val="32"/>
          <w:lang w:eastAsia="zh-CN"/>
        </w:rPr>
        <w:t>参加广交会企业人员证件、发票复印件、疫情检查费相关发票、参会人员的差旅费发票复印件等，实质进入广交会展馆的相关佐证资料。</w:t>
      </w:r>
    </w:p>
    <w:p>
      <w:pPr>
        <w:pStyle w:val="64"/>
        <w:widowControl/>
        <w:numPr>
          <w:ilvl w:val="0"/>
          <w:numId w:val="6"/>
        </w:numPr>
        <w:ind w:left="0" w:firstLine="672"/>
        <w:rPr>
          <w:rFonts w:hint="eastAsia" w:ascii="仿宋_GB2312" w:eastAsia="仿宋_GB2312" w:cs="宋体"/>
          <w:sz w:val="32"/>
          <w:szCs w:val="32"/>
          <w:lang w:val="en-US"/>
        </w:rPr>
      </w:pPr>
      <w:r>
        <w:rPr>
          <w:rFonts w:hint="eastAsia" w:ascii="仿宋_GB2312" w:eastAsia="仿宋_GB2312" w:cs="宋体"/>
          <w:sz w:val="32"/>
          <w:szCs w:val="32"/>
          <w:lang w:eastAsia="zh-CN"/>
        </w:rPr>
        <w:t>资金分配的原则及考虑因素：</w:t>
      </w:r>
    </w:p>
    <w:p>
      <w:pPr>
        <w:pStyle w:val="64"/>
        <w:widowControl/>
        <w:ind w:left="0" w:firstLine="672"/>
        <w:rPr>
          <w:rFonts w:hint="eastAsia" w:ascii="仿宋_GB2312" w:eastAsia="仿宋_GB2312" w:cs="宋体"/>
          <w:sz w:val="32"/>
          <w:szCs w:val="32"/>
          <w:lang w:val="en-US"/>
        </w:rPr>
      </w:pPr>
      <w:r>
        <w:rPr>
          <w:rFonts w:hint="default" w:ascii="仿宋_GB2312" w:hAnsi="Times New Roman" w:eastAsia="仿宋_GB2312" w:cs="宋体"/>
          <w:sz w:val="32"/>
          <w:szCs w:val="32"/>
          <w:lang w:val="en-US"/>
        </w:rPr>
        <w:sym w:font="Wingdings" w:char="0081"/>
      </w:r>
      <w:r>
        <w:rPr>
          <w:rFonts w:hint="eastAsia" w:ascii="仿宋_GB2312" w:eastAsia="仿宋_GB2312" w:cs="宋体"/>
          <w:sz w:val="32"/>
          <w:szCs w:val="32"/>
          <w:lang w:eastAsia="zh-CN"/>
        </w:rPr>
        <w:t>每户企业</w:t>
      </w:r>
      <w:r>
        <w:rPr>
          <w:rFonts w:hint="eastAsia" w:ascii="仿宋_GB2312" w:eastAsia="仿宋_GB2312" w:cs="宋体"/>
          <w:sz w:val="32"/>
          <w:szCs w:val="32"/>
          <w:lang w:val="en-US"/>
        </w:rPr>
        <w:t>1</w:t>
      </w:r>
      <w:r>
        <w:rPr>
          <w:rFonts w:hint="eastAsia" w:ascii="仿宋_GB2312" w:eastAsia="仿宋_GB2312" w:cs="宋体"/>
          <w:sz w:val="32"/>
          <w:szCs w:val="32"/>
          <w:lang w:eastAsia="zh-CN"/>
        </w:rPr>
        <w:t>人</w:t>
      </w:r>
      <w:r>
        <w:rPr>
          <w:rFonts w:hint="eastAsia" w:ascii="仿宋_GB2312" w:eastAsia="仿宋_GB2312" w:cs="宋体"/>
          <w:sz w:val="32"/>
          <w:szCs w:val="32"/>
          <w:lang w:val="en-US"/>
        </w:rPr>
        <w:t>0.6</w:t>
      </w:r>
      <w:r>
        <w:rPr>
          <w:rFonts w:hint="eastAsia" w:ascii="仿宋_GB2312" w:eastAsia="仿宋_GB2312" w:cs="宋体"/>
          <w:sz w:val="32"/>
          <w:szCs w:val="32"/>
          <w:lang w:eastAsia="zh-CN"/>
        </w:rPr>
        <w:t>万、</w:t>
      </w:r>
      <w:r>
        <w:rPr>
          <w:rFonts w:hint="eastAsia" w:ascii="仿宋_GB2312" w:eastAsia="仿宋_GB2312" w:cs="宋体"/>
          <w:sz w:val="32"/>
          <w:szCs w:val="32"/>
          <w:lang w:val="en-US"/>
        </w:rPr>
        <w:t>2</w:t>
      </w:r>
      <w:r>
        <w:rPr>
          <w:rFonts w:hint="eastAsia" w:ascii="仿宋_GB2312" w:eastAsia="仿宋_GB2312" w:cs="宋体"/>
          <w:sz w:val="32"/>
          <w:szCs w:val="32"/>
          <w:lang w:eastAsia="zh-CN"/>
        </w:rPr>
        <w:t>人</w:t>
      </w:r>
      <w:r>
        <w:rPr>
          <w:rFonts w:hint="eastAsia" w:ascii="仿宋_GB2312" w:eastAsia="仿宋_GB2312" w:cs="宋体"/>
          <w:sz w:val="32"/>
          <w:szCs w:val="32"/>
          <w:lang w:val="en-US"/>
        </w:rPr>
        <w:t>(</w:t>
      </w:r>
      <w:r>
        <w:rPr>
          <w:rFonts w:hint="eastAsia" w:ascii="仿宋_GB2312" w:eastAsia="仿宋_GB2312" w:cs="宋体"/>
          <w:sz w:val="32"/>
          <w:szCs w:val="32"/>
          <w:lang w:eastAsia="zh-CN"/>
        </w:rPr>
        <w:t>含</w:t>
      </w:r>
      <w:r>
        <w:rPr>
          <w:rFonts w:hint="eastAsia" w:ascii="仿宋_GB2312" w:eastAsia="仿宋_GB2312" w:cs="宋体"/>
          <w:sz w:val="32"/>
          <w:szCs w:val="32"/>
          <w:lang w:val="en-US"/>
        </w:rPr>
        <w:t>)</w:t>
      </w:r>
      <w:r>
        <w:rPr>
          <w:rFonts w:hint="eastAsia" w:ascii="仿宋_GB2312" w:eastAsia="仿宋_GB2312" w:cs="宋体"/>
          <w:sz w:val="32"/>
          <w:szCs w:val="32"/>
          <w:lang w:eastAsia="zh-CN"/>
        </w:rPr>
        <w:t>及以上</w:t>
      </w:r>
      <w:r>
        <w:rPr>
          <w:rFonts w:hint="eastAsia" w:ascii="仿宋_GB2312" w:eastAsia="仿宋_GB2312" w:cs="宋体"/>
          <w:sz w:val="32"/>
          <w:szCs w:val="32"/>
          <w:lang w:val="en-US"/>
        </w:rPr>
        <w:t>1</w:t>
      </w:r>
      <w:r>
        <w:rPr>
          <w:rFonts w:hint="eastAsia" w:ascii="仿宋_GB2312" w:eastAsia="仿宋_GB2312" w:cs="宋体"/>
          <w:sz w:val="32"/>
          <w:szCs w:val="32"/>
          <w:lang w:eastAsia="zh-CN"/>
        </w:rPr>
        <w:t>万元的标准给予补贴；</w:t>
      </w:r>
    </w:p>
    <w:p>
      <w:pPr>
        <w:pStyle w:val="64"/>
        <w:widowControl/>
        <w:ind w:left="0" w:firstLine="672"/>
        <w:rPr>
          <w:rFonts w:hint="eastAsia" w:ascii="仿宋_GB2312" w:eastAsia="仿宋_GB2312" w:cs="宋体"/>
          <w:color w:val="FF0000"/>
          <w:sz w:val="32"/>
          <w:szCs w:val="32"/>
          <w:u w:val="single"/>
          <w:lang w:val="en-US"/>
        </w:rPr>
      </w:pPr>
      <w:r>
        <w:rPr>
          <w:rFonts w:hint="default" w:ascii="仿宋_GB2312" w:hAnsi="Times New Roman" w:eastAsia="仿宋_GB2312" w:cs="宋体"/>
          <w:sz w:val="32"/>
          <w:szCs w:val="32"/>
          <w:lang w:val="en-US"/>
        </w:rPr>
        <w:sym w:font="Wingdings" w:char="0082"/>
      </w:r>
      <w:r>
        <w:rPr>
          <w:rFonts w:hint="eastAsia" w:ascii="仿宋_GB2312" w:eastAsia="仿宋_GB2312" w:cs="宋体"/>
          <w:sz w:val="32"/>
          <w:szCs w:val="32"/>
          <w:lang w:eastAsia="zh-CN"/>
        </w:rPr>
        <w:t>对参加第四届进口博览会企业每人补助</w:t>
      </w:r>
      <w:r>
        <w:rPr>
          <w:rFonts w:hint="eastAsia" w:ascii="仿宋_GB2312" w:eastAsia="仿宋_GB2312" w:cs="宋体"/>
          <w:sz w:val="32"/>
          <w:szCs w:val="32"/>
          <w:lang w:val="en-US"/>
        </w:rPr>
        <w:t>0.3</w:t>
      </w:r>
      <w:r>
        <w:rPr>
          <w:rFonts w:hint="eastAsia" w:ascii="仿宋_GB2312" w:eastAsia="仿宋_GB2312" w:cs="宋体"/>
          <w:sz w:val="32"/>
          <w:szCs w:val="32"/>
          <w:lang w:eastAsia="zh-CN"/>
        </w:rPr>
        <w:t>万元</w:t>
      </w:r>
      <w:r>
        <w:rPr>
          <w:rFonts w:hint="eastAsia" w:ascii="仿宋_GB2312" w:eastAsia="仿宋_GB2312" w:cs="宋体"/>
          <w:sz w:val="32"/>
          <w:szCs w:val="32"/>
          <w:lang w:val="en-US"/>
        </w:rPr>
        <w:t>(</w:t>
      </w:r>
      <w:r>
        <w:rPr>
          <w:rFonts w:hint="eastAsia" w:ascii="仿宋_GB2312" w:eastAsia="仿宋_GB2312" w:cs="宋体"/>
          <w:sz w:val="32"/>
          <w:szCs w:val="32"/>
          <w:lang w:eastAsia="zh-CN"/>
        </w:rPr>
        <w:t>每个企业最多不超过</w:t>
      </w:r>
      <w:r>
        <w:rPr>
          <w:rFonts w:hint="eastAsia" w:ascii="仿宋_GB2312" w:eastAsia="仿宋_GB2312" w:cs="宋体"/>
          <w:sz w:val="32"/>
          <w:szCs w:val="32"/>
          <w:lang w:val="en-US"/>
        </w:rPr>
        <w:t>2</w:t>
      </w:r>
      <w:r>
        <w:rPr>
          <w:rFonts w:hint="eastAsia" w:ascii="仿宋_GB2312" w:eastAsia="仿宋_GB2312" w:cs="宋体"/>
          <w:sz w:val="32"/>
          <w:szCs w:val="32"/>
          <w:lang w:eastAsia="zh-CN"/>
        </w:rPr>
        <w:t>人</w:t>
      </w:r>
      <w:r>
        <w:rPr>
          <w:rFonts w:hint="eastAsia" w:ascii="仿宋_GB2312" w:eastAsia="仿宋_GB2312" w:cs="宋体"/>
          <w:sz w:val="32"/>
          <w:szCs w:val="32"/>
          <w:lang w:val="en-US"/>
        </w:rPr>
        <w:t>)</w:t>
      </w:r>
      <w:r>
        <w:rPr>
          <w:rFonts w:hint="eastAsia" w:ascii="仿宋_GB2312" w:eastAsia="仿宋_GB2312" w:cs="宋体"/>
          <w:sz w:val="32"/>
          <w:szCs w:val="32"/>
          <w:lang w:eastAsia="zh-CN"/>
        </w:rPr>
        <w:t>。</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仿宋_GB2312"/>
          <w:color w:val="FF0000"/>
          <w:sz w:val="32"/>
          <w:szCs w:val="32"/>
          <w:u w:val="single"/>
          <w:lang w:val="en-US"/>
        </w:rPr>
      </w:pPr>
      <w:r>
        <w:rPr>
          <w:rFonts w:hint="eastAsia" w:ascii="仿宋_GB2312" w:hAnsi="宋体" w:eastAsia="仿宋_GB2312" w:cs="仿宋_GB2312"/>
          <w:kern w:val="2"/>
          <w:sz w:val="32"/>
          <w:szCs w:val="32"/>
          <w:lang w:val="en-US" w:eastAsia="zh-CN" w:bidi="ar"/>
        </w:rPr>
        <w:t>1．项目主要内容：组织企业参与专业化的市场对接活动。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仿宋_GB2312"/>
          <w:color w:val="FF0000"/>
          <w:sz w:val="32"/>
          <w:szCs w:val="32"/>
          <w:u w:val="single"/>
          <w:lang w:val="en-US"/>
        </w:rPr>
      </w:pPr>
      <w:r>
        <w:rPr>
          <w:rFonts w:hint="eastAsia" w:ascii="仿宋_GB2312" w:hAnsi="宋体" w:eastAsia="仿宋_GB2312" w:cs="仿宋_GB2312"/>
          <w:kern w:val="2"/>
          <w:sz w:val="32"/>
          <w:szCs w:val="32"/>
          <w:lang w:val="en-US" w:eastAsia="zh-CN" w:bidi="ar"/>
        </w:rPr>
        <w:t>2．项目具体绩效目标</w:t>
      </w:r>
      <w:r>
        <w:rPr>
          <w:rFonts w:hint="eastAsia" w:ascii="仿宋_GB2312" w:hAnsi="Times New Roman" w:eastAsia="仿宋_GB2312" w:cs="仿宋_GB2312"/>
          <w:kern w:val="2"/>
          <w:sz w:val="32"/>
          <w:szCs w:val="32"/>
          <w:lang w:val="en-US" w:eastAsia="zh-CN" w:bidi="ar"/>
        </w:rPr>
        <w:t>:为</w:t>
      </w:r>
      <w:r>
        <w:rPr>
          <w:rFonts w:hint="eastAsia" w:ascii="仿宋_GB2312" w:hAnsi="宋体" w:eastAsia="仿宋_GB2312" w:cs="仿宋_GB2312"/>
          <w:kern w:val="2"/>
          <w:sz w:val="32"/>
          <w:szCs w:val="32"/>
          <w:lang w:val="en-US" w:eastAsia="zh-CN" w:bidi="ar"/>
        </w:rPr>
        <w:t>企业参与专业化的市场对接活动提供必要的奖励资金。</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2021年度中央外经贸发展专项经费与申报内容相符、申报目标合理可行。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在绩效评价工作中，我局严格按照</w:t>
      </w:r>
      <w:r>
        <w:rPr>
          <w:rFonts w:hint="eastAsia" w:ascii="仿宋_GB2312" w:hAnsi="Times New Roman" w:eastAsia="仿宋_GB2312" w:cs="宋体"/>
          <w:kern w:val="2"/>
          <w:sz w:val="32"/>
          <w:szCs w:val="32"/>
          <w:lang w:val="en-US" w:eastAsia="zh-CN" w:bidi="ar"/>
        </w:rPr>
        <w:t>《</w:t>
      </w:r>
      <w:r>
        <w:rPr>
          <w:rFonts w:hint="eastAsia" w:ascii="仿宋_GB2312" w:hAnsi="仿宋_GB2312" w:eastAsia="仿宋_GB2312" w:cs="仿宋_GB2312"/>
          <w:kern w:val="0"/>
          <w:sz w:val="32"/>
          <w:szCs w:val="32"/>
          <w:lang w:val="en-US" w:eastAsia="zh-CN" w:bidi="ar"/>
        </w:rPr>
        <w:t>广元市朝天区财政局关于开展2022年部门、政策和项目支出绩效自评工作的通知》（广朝财发〔2022〕28号）文件</w:t>
      </w:r>
      <w:r>
        <w:rPr>
          <w:rFonts w:hint="eastAsia" w:ascii="仿宋_GB2312" w:hAnsi="宋体" w:eastAsia="仿宋_GB2312" w:cs="仿宋_GB2312"/>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一是前期准备。我局成立了专项资金绩效评价工作领导小组，明确了工作职责，制定了评价方案，细化了组织实施步骤和环节安排等内容，确定了实施时间。具体由责任股室牵头、专人负责开展业务学习与培训，落实专项资金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二是具体实施。项目绩效评价实施步骤：（1）召开座谈会。组织相关股室、项目实施单位等召开座谈会，听取该绩效项目有关情况介绍和社会评价与建议。（2）收集核查资料。收集该项目资金相关政策文件和相关制度等资料；加强自查相关制度是否完善，资金分配、使用是否合理，拨付手续是否齐全，是否存在截留、挪用等情况。（3）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kern w:val="2"/>
          <w:sz w:val="32"/>
          <w:szCs w:val="32"/>
          <w:lang w:val="en-US" w:eastAsia="zh-CN" w:bidi="ar"/>
        </w:rPr>
        <w:t>按照区财政局《关于下达2021年中央外经贸发展资金的通知》（广朝财建〔2022〕4号）文件，安排区中央外经贸发展专项资金1.9万元，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2021年，</w:t>
      </w:r>
      <w:r>
        <w:rPr>
          <w:rFonts w:hint="eastAsia" w:ascii="仿宋_GB2312" w:hAnsi="Times New Roman" w:eastAsia="仿宋_GB2312" w:cs="宋体"/>
          <w:color w:val="000000"/>
          <w:kern w:val="2"/>
          <w:sz w:val="32"/>
          <w:szCs w:val="32"/>
          <w:lang w:val="en-US" w:eastAsia="zh-CN" w:bidi="ar"/>
        </w:rPr>
        <w:t>安排中</w:t>
      </w:r>
      <w:r>
        <w:rPr>
          <w:rFonts w:hint="eastAsia" w:ascii="仿宋_GB2312" w:hAnsi="Times New Roman" w:eastAsia="仿宋_GB2312" w:cs="宋体"/>
          <w:kern w:val="2"/>
          <w:sz w:val="32"/>
          <w:szCs w:val="32"/>
          <w:lang w:val="en-US" w:eastAsia="zh-CN" w:bidi="ar"/>
        </w:rPr>
        <w:t>央外经贸发展专项资金1.9万元。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仿宋_GB2312" w:eastAsia="仿宋_GB2312" w:cs="仿宋_GB2312"/>
          <w:kern w:val="2"/>
          <w:sz w:val="32"/>
          <w:szCs w:val="32"/>
          <w:lang w:val="en-US" w:eastAsia="zh-CN" w:bidi="ar"/>
        </w:rPr>
        <w:t>2021年度</w:t>
      </w:r>
      <w:r>
        <w:rPr>
          <w:rFonts w:hint="eastAsia" w:ascii="仿宋_GB2312" w:hAnsi="Times New Roman" w:eastAsia="仿宋_GB2312" w:cs="宋体"/>
          <w:kern w:val="2"/>
          <w:sz w:val="32"/>
          <w:szCs w:val="32"/>
          <w:lang w:val="en-US" w:eastAsia="zh-CN" w:bidi="ar"/>
        </w:rPr>
        <w:t>中央外经贸发展专项资金</w:t>
      </w:r>
      <w:r>
        <w:rPr>
          <w:rFonts w:hint="eastAsia" w:ascii="仿宋_GB2312" w:hAnsi="仿宋" w:eastAsia="仿宋_GB2312" w:cs="仿宋_GB2312"/>
          <w:kern w:val="2"/>
          <w:sz w:val="32"/>
          <w:szCs w:val="32"/>
          <w:lang w:val="en-US" w:eastAsia="zh-CN" w:bidi="ar"/>
        </w:rPr>
        <w:t>全年实际到位</w:t>
      </w:r>
      <w:r>
        <w:rPr>
          <w:rFonts w:hint="eastAsia" w:ascii="仿宋_GB2312" w:hAnsi="仿宋_GB2312" w:eastAsia="仿宋_GB2312" w:cs="仿宋_GB2312"/>
          <w:kern w:val="2"/>
          <w:sz w:val="32"/>
          <w:szCs w:val="32"/>
          <w:lang w:val="en-US" w:eastAsia="zh-CN" w:bidi="ar"/>
        </w:rPr>
        <w:t>1.9</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资金到位率100%，</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_GB2312" w:eastAsia="仿宋_GB2312" w:cs="仿宋_GB2312"/>
          <w:kern w:val="2"/>
          <w:sz w:val="32"/>
          <w:szCs w:val="32"/>
          <w:lang w:val="en-US" w:eastAsia="zh-CN" w:bidi="ar"/>
        </w:rPr>
      </w:pPr>
      <w:r>
        <w:rPr>
          <w:rFonts w:hint="eastAsia" w:ascii="楷体" w:hAnsi="楷体" w:eastAsia="楷体" w:cs="楷体"/>
          <w:bCs/>
          <w:spacing w:val="-6"/>
          <w:kern w:val="2"/>
          <w:sz w:val="32"/>
          <w:szCs w:val="32"/>
          <w:lang w:val="en-US" w:eastAsia="zh-CN" w:bidi="ar"/>
        </w:rPr>
        <w:t>3.资金使用。</w:t>
      </w:r>
      <w:r>
        <w:rPr>
          <w:rFonts w:hint="eastAsia" w:ascii="仿宋_GB2312" w:hAnsi="仿宋_GB2312" w:eastAsia="仿宋_GB2312" w:cs="仿宋_GB2312"/>
          <w:kern w:val="2"/>
          <w:sz w:val="32"/>
          <w:szCs w:val="32"/>
          <w:lang w:val="en-US" w:eastAsia="zh-CN" w:bidi="ar"/>
        </w:rPr>
        <w:t>严格按照相关财政文件要求，该项目经费拨款全部用于2021年度中央外经贸发展专项支出，做到了依据合规合法，资金支付与预算相符，资金使用的安全性、规范性及有效性、资金结算比率均为100%。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（三）项目财务管理情况</w:t>
      </w:r>
    </w:p>
    <w:p>
      <w:pPr>
        <w:pStyle w:val="64"/>
        <w:widowControl/>
        <w:spacing w:line="360" w:lineRule="auto"/>
        <w:ind w:left="0" w:firstLine="672"/>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为加强项目资金的使用管理，我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zh-CN" w:eastAsia="zh-CN"/>
        </w:rPr>
        <w:t>严格按照广朝财建〔2022〕4号和单位财务管理制度等文件规定</w:t>
      </w:r>
      <w:r>
        <w:rPr>
          <w:rFonts w:hint="eastAsia" w:ascii="仿宋_GB2312" w:hAnsi="仿宋_GB2312" w:eastAsia="仿宋_GB2312" w:cs="仿宋_GB2312"/>
          <w:sz w:val="32"/>
          <w:szCs w:val="32"/>
          <w:shd w:val="pct10" w:color="auto" w:fill="FFFFFF"/>
          <w:lang w:val="zh-CN" w:eastAsia="zh-CN"/>
        </w:rPr>
        <w:t>，</w:t>
      </w:r>
      <w:r>
        <w:rPr>
          <w:rFonts w:hint="eastAsia" w:ascii="仿宋_GB2312" w:hAnsi="仿宋_GB2312" w:eastAsia="仿宋_GB2312" w:cs="仿宋_GB2312"/>
          <w:sz w:val="32"/>
          <w:szCs w:val="32"/>
          <w:lang w:val="zh-CN" w:eastAsia="zh-CN"/>
        </w:rPr>
        <w:t>兑付</w:t>
      </w:r>
      <w:r>
        <w:rPr>
          <w:rFonts w:hint="eastAsia" w:ascii="仿宋_GB2312" w:eastAsia="仿宋_GB2312" w:cs="仿宋_GB2312"/>
          <w:spacing w:val="-6"/>
          <w:sz w:val="32"/>
          <w:szCs w:val="32"/>
          <w:lang w:val="en-US"/>
        </w:rPr>
        <w:t>2021</w:t>
      </w:r>
      <w:r>
        <w:rPr>
          <w:rFonts w:hint="eastAsia" w:ascii="仿宋_GB2312" w:eastAsia="仿宋_GB2312" w:cs="仿宋_GB2312"/>
          <w:spacing w:val="-6"/>
          <w:sz w:val="32"/>
          <w:szCs w:val="32"/>
          <w:lang w:eastAsia="zh-CN"/>
        </w:rPr>
        <w:t>年度中央外经贸发展专项资金，</w:t>
      </w:r>
      <w:r>
        <w:rPr>
          <w:rFonts w:hint="eastAsia" w:ascii="仿宋_GB2312" w:hAnsi="仿宋_GB2312" w:eastAsia="仿宋_GB2312" w:cs="仿宋_GB2312"/>
          <w:sz w:val="32"/>
          <w:szCs w:val="32"/>
          <w:lang w:val="zh-CN" w:eastAsia="zh-CN"/>
        </w:rPr>
        <w:t>使项目资金能最大限度地发挥其作用。资金运行安全率达100%。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hAnsi="宋体" w:eastAsia="楷体_GB2312" w:cs="楷体_GB2312"/>
          <w:b/>
          <w:bCs w:val="0"/>
          <w:sz w:val="32"/>
          <w:szCs w:val="32"/>
          <w:lang w:val="en-US"/>
        </w:rPr>
      </w:pPr>
      <w:r>
        <w:rPr>
          <w:rFonts w:hint="eastAsia" w:ascii="仿宋" w:hAnsi="仿宋" w:eastAsia="仿宋" w:cs="仿宋"/>
          <w:kern w:val="2"/>
          <w:sz w:val="32"/>
          <w:szCs w:val="32"/>
          <w:lang w:val="en-US" w:eastAsia="zh-CN" w:bidi="ar"/>
        </w:rPr>
        <w:t>（一）项目组织架构及实施流程</w:t>
      </w:r>
      <w:r>
        <w:rPr>
          <w:rFonts w:hint="eastAsia" w:ascii="楷体_GB2312" w:hAnsi="宋体" w:eastAsia="楷体_GB2312" w:cs="楷体_GB2312"/>
          <w:b/>
          <w:bCs w:val="0"/>
          <w:kern w:val="2"/>
          <w:sz w:val="32"/>
          <w:szCs w:val="32"/>
          <w:lang w:val="en-US" w:eastAsia="zh-CN" w:bidi="ar"/>
        </w:rPr>
        <w:t>。</w:t>
      </w:r>
      <w:r>
        <w:rPr>
          <w:rFonts w:hint="eastAsia" w:ascii="仿宋_GB2312" w:hAnsi="仿宋_GB2312" w:eastAsia="仿宋_GB2312" w:cs="仿宋_GB2312"/>
          <w:kern w:val="2"/>
          <w:sz w:val="32"/>
          <w:szCs w:val="32"/>
          <w:lang w:val="en-US" w:eastAsia="zh-CN" w:bidi="ar"/>
        </w:rPr>
        <w:t>按照申报要求，积极组织本辖区内企业申报项目并进行审核。项目具体实施流程：由企业填报申请表并附申报资料上报区商务主管部门、区商务主管部门对应责任股室复核并给出初步确定资金安排情况后，提交局党组会专题讨论研究通过，区商务主管部门拨付至各企业、项目单位。</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（二）项目管理情况。</w:t>
      </w:r>
      <w:r>
        <w:rPr>
          <w:rFonts w:hint="eastAsia" w:ascii="仿宋_GB2312" w:hAnsi="仿宋_GB2312" w:eastAsia="仿宋_GB2312" w:cs="仿宋_GB2312"/>
          <w:kern w:val="2"/>
          <w:sz w:val="32"/>
          <w:szCs w:val="32"/>
          <w:lang w:val="en-US" w:eastAsia="zh-CN" w:bidi="ar"/>
        </w:rPr>
        <w:t>2021年使用中央外经贸发展专项资金1.9万元（其中：广元市钰钛农业发展有限公司0.3万元，朝天广元秦川印象生态农业开发有限公司0.6万元，四川唐月食品有限公司1万元），</w:t>
      </w:r>
      <w:r>
        <w:rPr>
          <w:rFonts w:hint="eastAsia" w:ascii="仿宋_GB2312" w:hAnsi="仿宋_GB2312" w:eastAsia="仿宋_GB2312" w:cs="仿宋_GB2312"/>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 w:hAnsi="仿宋" w:eastAsia="仿宋" w:cs="仿宋"/>
          <w:kern w:val="2"/>
          <w:sz w:val="32"/>
          <w:szCs w:val="32"/>
          <w:lang w:val="en-US" w:eastAsia="zh-CN" w:bidi="ar"/>
        </w:rPr>
        <w:t>（三）项目监管情况。</w:t>
      </w:r>
      <w:r>
        <w:rPr>
          <w:rFonts w:hint="eastAsia" w:ascii="仿宋_GB2312" w:hAnsi="宋体" w:eastAsia="仿宋_GB2312" w:cs="仿宋_GB2312"/>
          <w:b/>
          <w:bCs w:val="0"/>
          <w:kern w:val="2"/>
          <w:sz w:val="32"/>
          <w:szCs w:val="32"/>
          <w:lang w:val="en-US" w:eastAsia="zh-CN" w:bidi="ar"/>
        </w:rPr>
        <w:t>一是</w:t>
      </w:r>
      <w:r>
        <w:rPr>
          <w:rFonts w:hint="eastAsia" w:ascii="仿宋_GB2312" w:hAnsi="宋体" w:eastAsia="仿宋_GB2312" w:cs="仿宋_GB2312"/>
          <w:kern w:val="2"/>
          <w:sz w:val="32"/>
          <w:szCs w:val="32"/>
          <w:lang w:val="en-US" w:eastAsia="zh-CN" w:bidi="ar"/>
        </w:rPr>
        <w:t>建立健全资金管理制度和项目实施办法为确保中央外经贸发展专项资金规范管理、有效使用提供可靠依据。为管好用好中央外经贸发展专项资金，具体由项目股室负责，将项目的管理和监督责任明确到人，使资金管理使用有规可依。</w:t>
      </w:r>
      <w:r>
        <w:rPr>
          <w:rFonts w:hint="eastAsia" w:ascii="仿宋_GB2312" w:hAnsi="宋体" w:eastAsia="仿宋_GB2312" w:cs="仿宋_GB2312"/>
          <w:b/>
          <w:bCs w:val="0"/>
          <w:kern w:val="2"/>
          <w:sz w:val="32"/>
          <w:szCs w:val="32"/>
          <w:lang w:val="en-US" w:eastAsia="zh-CN" w:bidi="ar"/>
        </w:rPr>
        <w:t>二是</w:t>
      </w:r>
      <w:r>
        <w:rPr>
          <w:rFonts w:hint="eastAsia" w:ascii="仿宋_GB2312" w:hAnsi="宋体" w:eastAsia="仿宋_GB2312" w:cs="仿宋_GB2312"/>
          <w:kern w:val="2"/>
          <w:sz w:val="32"/>
          <w:szCs w:val="32"/>
          <w:lang w:val="en-US" w:eastAsia="zh-CN" w:bidi="ar"/>
        </w:rPr>
        <w:t>做好事前调研、事中监管、事后追踪问效三个环节工作为内外贸专项资金管理使用全程护航。为保证项目实施的效果，我局会同地区财政局在项目申报之初就对项目单位进行考察调研，确保项目实施单位有相应配套资金投入；在项目实施过程中，全程进行监管，确保项目完全实施、资金足额投入;项目实施完毕后，及时对项目实施效果进行评估，确报项目取得实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1、数量指标：参展企业3家，参展人数5人</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2、质量指标：制定项目申报方案1个，拟定资金使用计划1个；参展成效≥95%；</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3、时效指标</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：项目资金申报时效2个周，项目资金审核时效2个周，项目资金批复并兑现时效1个月；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4、成本指标：参加广交会数1人的采购商执行标准0.6万元/人/家，补助金额0.6万元，参加2人的采购商执行标准1万元/家，补助金额1万元；进口博览会参展补助标准0.3万元/人/家，补助金额</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0.3万元。</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2021年,第130届广交会境内采购商参会热情高，来自全国商超百货、零售连锁、行业批发、经销代理、跨境电商、供应链管理、进出口等众多行业企业参会，参展企业进行贸易对接，成效显著，拓展了广交会多元化和全球化水平。</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通过自评，2021年度外经贸发展专项资金项目绩效得95分，等级为“优”（详见附表2）。</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（一）存在的问题</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黑体" w:hAnsi="宋体" w:eastAsia="黑体" w:cs="黑体"/>
          <w:color w:val="000000"/>
          <w:kern w:val="0"/>
          <w:sz w:val="24"/>
          <w:szCs w:val="24"/>
          <w:lang w:val="en-US"/>
        </w:rPr>
      </w:pPr>
      <w:r>
        <w:rPr>
          <w:rFonts w:hint="eastAsia" w:ascii="仿宋" w:hAnsi="仿宋" w:eastAsia="仿宋" w:cs="仿宋"/>
          <w:kern w:val="2"/>
          <w:sz w:val="32"/>
          <w:szCs w:val="32"/>
          <w:lang w:val="en-US" w:eastAsia="zh-CN" w:bidi="ar"/>
        </w:rPr>
        <w:t>附表：</w:t>
      </w:r>
      <w:r>
        <w:rPr>
          <w:rFonts w:hint="eastAsia" w:ascii="Calibri" w:hAnsi="Calibri" w:eastAsia="仿宋_GB2312" w:cs="Calibri"/>
          <w:color w:val="000000"/>
          <w:spacing w:val="-6"/>
          <w:kern w:val="0"/>
          <w:sz w:val="32"/>
          <w:szCs w:val="32"/>
          <w:lang w:val="en-US" w:eastAsia="zh-CN" w:bidi="ar"/>
        </w:rPr>
        <w:t>2-1</w:t>
      </w:r>
      <w:r>
        <w:rPr>
          <w:rFonts w:hint="eastAsia" w:ascii="仿宋_GB2312" w:hAnsi="宋体" w:eastAsia="仿宋_GB2312" w:cs="仿宋_GB2312"/>
          <w:color w:val="000000"/>
          <w:spacing w:val="-6"/>
          <w:kern w:val="0"/>
          <w:sz w:val="32"/>
          <w:szCs w:val="32"/>
          <w:lang w:val="en-US" w:eastAsia="zh-CN" w:bidi="ar"/>
        </w:rPr>
        <w:t>专项预算项目支出绩效目标自评表</w:t>
      </w:r>
    </w:p>
    <w:p>
      <w:pPr>
        <w:pStyle w:val="64"/>
        <w:widowControl/>
        <w:ind w:left="0" w:leftChars="0" w:firstLine="1540" w:firstLineChars="500"/>
        <w:rPr>
          <w:rFonts w:hint="eastAsia" w:ascii="仿宋_GB2312" w:hAnsi="宋体" w:eastAsia="仿宋_GB2312" w:cs="仿宋_GB2312"/>
          <w:color w:val="000000"/>
          <w:spacing w:val="-6"/>
          <w:kern w:val="0"/>
          <w:sz w:val="32"/>
          <w:szCs w:val="32"/>
          <w:lang w:val="en-US"/>
        </w:rPr>
      </w:pPr>
      <w:r>
        <w:rPr>
          <w:rFonts w:hint="eastAsia" w:ascii="Calibri" w:hAnsi="Calibri" w:eastAsia="仿宋_GB2312" w:cs="Calibri"/>
          <w:color w:val="000000"/>
          <w:spacing w:val="-6"/>
          <w:kern w:val="0"/>
          <w:sz w:val="32"/>
          <w:szCs w:val="32"/>
          <w:lang w:val="en-US" w:eastAsia="zh-CN"/>
        </w:rPr>
        <w:t xml:space="preserve">2-2 </w:t>
      </w:r>
      <w:r>
        <w:rPr>
          <w:rFonts w:hint="eastAsia" w:ascii="仿宋_GB2312" w:hAnsi="宋体" w:eastAsia="仿宋_GB2312" w:cs="仿宋_GB2312"/>
          <w:color w:val="000000"/>
          <w:spacing w:val="-6"/>
          <w:kern w:val="0"/>
          <w:sz w:val="32"/>
          <w:szCs w:val="32"/>
          <w:lang w:val="en-US"/>
        </w:rPr>
        <w:t>2022</w:t>
      </w:r>
      <w:r>
        <w:rPr>
          <w:rFonts w:hint="eastAsia" w:ascii="仿宋_GB2312" w:hAnsi="宋体" w:eastAsia="仿宋_GB2312" w:cs="仿宋_GB2312"/>
          <w:color w:val="000000"/>
          <w:spacing w:val="-6"/>
          <w:kern w:val="0"/>
          <w:sz w:val="32"/>
          <w:szCs w:val="32"/>
          <w:lang w:eastAsia="zh-CN"/>
        </w:rPr>
        <w:t>年专项预算项目支出绩效自评评分表</w:t>
      </w: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0" w:firstLineChars="0"/>
        <w:rPr>
          <w:rFonts w:hint="eastAsia" w:ascii="仿宋_GB2312" w:hAnsi="宋体" w:eastAsia="仿宋_GB2312" w:cs="仿宋_GB2312"/>
          <w:color w:val="000000"/>
          <w:spacing w:val="-6"/>
          <w:kern w:val="0"/>
          <w:sz w:val="32"/>
          <w:szCs w:val="32"/>
          <w:lang w:val="en-US"/>
        </w:rPr>
      </w:pPr>
    </w:p>
    <w:tbl>
      <w:tblPr>
        <w:tblStyle w:val="23"/>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697"/>
        <w:gridCol w:w="763"/>
        <w:gridCol w:w="407"/>
        <w:gridCol w:w="298"/>
        <w:gridCol w:w="1423"/>
        <w:gridCol w:w="1843"/>
        <w:gridCol w:w="1702"/>
        <w:gridCol w:w="14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9085" w:type="dxa"/>
            <w:gridSpan w:val="10"/>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color w:val="000000"/>
                <w:sz w:val="28"/>
                <w:szCs w:val="28"/>
                <w:lang w:val="en-US"/>
              </w:rPr>
            </w:pPr>
            <w:r>
              <w:rPr>
                <w:rFonts w:hint="eastAsia" w:ascii="黑体" w:hAnsi="宋体" w:eastAsia="黑体" w:cs="黑体"/>
                <w:color w:val="000000"/>
                <w:kern w:val="0"/>
                <w:sz w:val="28"/>
                <w:szCs w:val="28"/>
                <w:lang w:val="en-US" w:eastAsia="zh-CN" w:bidi="ar"/>
              </w:rPr>
              <w:t>附表</w:t>
            </w:r>
            <w:r>
              <w:rPr>
                <w:rFonts w:hint="eastAsia" w:ascii="Calibri" w:hAnsi="Calibri" w:eastAsia="仿宋_GB2312" w:cs="Calibri"/>
                <w:color w:val="000000"/>
                <w:spacing w:val="-6"/>
                <w:kern w:val="0"/>
                <w:sz w:val="28"/>
                <w:szCs w:val="28"/>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085" w:type="dxa"/>
            <w:gridSpan w:val="10"/>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085" w:type="dxa"/>
            <w:gridSpan w:val="10"/>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5" w:type="dxa"/>
            <w:gridSpan w:val="10"/>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2021年度中央外经贸发展专项资金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1.9</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全年执行数（万元）</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其中：一般公共预算</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1.9</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其中：一般公共预算</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目标完成情况</w:t>
            </w:r>
          </w:p>
        </w:tc>
        <w:tc>
          <w:tcPr>
            <w:tcW w:w="54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全年预期目标</w:t>
            </w:r>
          </w:p>
        </w:tc>
        <w:tc>
          <w:tcPr>
            <w:tcW w:w="2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3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目标：支持企业降低物流成本，支持中小企业开拓市场。全年专项资金5万元。</w:t>
            </w:r>
          </w:p>
        </w:tc>
        <w:tc>
          <w:tcPr>
            <w:tcW w:w="297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目标完成情况：全年支专项资金5万元。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2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全年预期指标（包                     含数字及文字描述）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全年实际完成指标值 （包含数字及文字描述）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7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  指标</w:t>
            </w:r>
          </w:p>
        </w:tc>
        <w:tc>
          <w:tcPr>
            <w:tcW w:w="212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2"/>
                <w:sz w:val="16"/>
                <w:szCs w:val="16"/>
                <w:lang w:val="en-US" w:eastAsia="zh-CN" w:bidi="ar"/>
              </w:rPr>
              <w:t>参展企业</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5</w:t>
            </w:r>
            <w:r>
              <w:rPr>
                <w:rFonts w:hint="eastAsia" w:ascii="Times New Roman" w:hAnsi="Times New Roman" w:eastAsia="宋体" w:cs="宋体"/>
                <w:color w:val="000000"/>
                <w:kern w:val="2"/>
                <w:sz w:val="20"/>
                <w:szCs w:val="20"/>
                <w:lang w:val="en-US" w:eastAsia="zh-CN" w:bidi="ar"/>
              </w:rPr>
              <w:t>家</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3</w:t>
            </w:r>
            <w:r>
              <w:rPr>
                <w:rFonts w:hint="eastAsia" w:ascii="Times New Roman" w:hAnsi="Times New Roman" w:eastAsia="宋体" w:cs="宋体"/>
                <w:color w:val="000000"/>
                <w:kern w:val="2"/>
                <w:sz w:val="20"/>
                <w:szCs w:val="20"/>
                <w:lang w:val="en-US" w:eastAsia="zh-CN" w:bidi="ar"/>
              </w:rPr>
              <w:t>家</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参展人数</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8</w:t>
            </w:r>
            <w:r>
              <w:rPr>
                <w:rFonts w:hint="eastAsia" w:ascii="Times New Roman" w:hAnsi="Times New Roman" w:eastAsia="宋体" w:cs="宋体"/>
                <w:color w:val="000000"/>
                <w:kern w:val="2"/>
                <w:sz w:val="20"/>
                <w:szCs w:val="20"/>
                <w:lang w:val="en-US" w:eastAsia="zh-CN" w:bidi="ar"/>
              </w:rPr>
              <w:t>人</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5</w:t>
            </w:r>
            <w:r>
              <w:rPr>
                <w:rFonts w:hint="eastAsia" w:ascii="Times New Roman" w:hAnsi="Times New Roman" w:eastAsia="宋体" w:cs="宋体"/>
                <w:color w:val="000000"/>
                <w:kern w:val="2"/>
                <w:sz w:val="20"/>
                <w:szCs w:val="20"/>
                <w:lang w:val="en-US" w:eastAsia="zh-CN" w:bidi="ar"/>
              </w:rPr>
              <w:t>人</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  指标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w:t>
            </w:r>
          </w:p>
        </w:tc>
        <w:tc>
          <w:tcPr>
            <w:tcW w:w="212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制定项目申报方案</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2"/>
                <w:sz w:val="16"/>
                <w:szCs w:val="16"/>
                <w:lang w:val="en-US" w:eastAsia="zh-CN" w:bidi="ar"/>
              </w:rPr>
              <w:t>拟定资金使用计划</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参展成效</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时效  指标</w:t>
            </w: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项目资金申报时效</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6"/>
                <w:szCs w:val="16"/>
                <w:lang w:val="en-US"/>
              </w:rPr>
            </w:pPr>
            <w:r>
              <w:rPr>
                <w:rFonts w:hint="eastAsia" w:ascii="Times New Roman" w:hAnsi="Times New Roman" w:eastAsia="宋体" w:cs="宋体"/>
                <w:color w:val="000000"/>
                <w:kern w:val="2"/>
                <w:sz w:val="16"/>
                <w:szCs w:val="16"/>
                <w:lang w:val="en-US" w:eastAsia="zh-CN" w:bidi="ar"/>
              </w:rPr>
              <w:t>项目资金审核时效</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3"/>
                <w:szCs w:val="13"/>
                <w:lang w:val="en-US"/>
              </w:rPr>
            </w:pPr>
            <w:r>
              <w:rPr>
                <w:rFonts w:hint="eastAsia" w:ascii="Times New Roman" w:hAnsi="Times New Roman" w:eastAsia="宋体" w:cs="宋体"/>
                <w:color w:val="000000"/>
                <w:kern w:val="2"/>
                <w:sz w:val="13"/>
                <w:szCs w:val="13"/>
                <w:lang w:val="en-US" w:eastAsia="zh-CN" w:bidi="ar"/>
              </w:rPr>
              <w:t>项目资金批复并兑现时效</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  指标</w:t>
            </w:r>
          </w:p>
        </w:tc>
        <w:tc>
          <w:tcPr>
            <w:tcW w:w="705" w:type="dxa"/>
            <w:gridSpan w:val="2"/>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广 交 会</w:t>
            </w:r>
          </w:p>
        </w:tc>
        <w:tc>
          <w:tcPr>
            <w:tcW w:w="142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16"/>
                <w:szCs w:val="16"/>
                <w:lang w:val="en-US"/>
              </w:rPr>
            </w:pPr>
            <w:r>
              <w:rPr>
                <w:rFonts w:hint="default" w:ascii="Times New Roman" w:hAnsi="Times New Roman" w:eastAsia="宋体" w:cs="Times New Roman"/>
                <w:color w:val="000000"/>
                <w:kern w:val="2"/>
                <w:sz w:val="16"/>
                <w:szCs w:val="16"/>
                <w:lang w:val="en-US" w:eastAsia="zh-CN" w:bidi="ar"/>
              </w:rPr>
              <w:t>1</w:t>
            </w:r>
            <w:r>
              <w:rPr>
                <w:rFonts w:hint="eastAsia" w:ascii="Times New Roman" w:hAnsi="Times New Roman" w:eastAsia="宋体" w:cs="宋体"/>
                <w:color w:val="000000"/>
                <w:kern w:val="2"/>
                <w:sz w:val="13"/>
                <w:szCs w:val="13"/>
                <w:lang w:val="en-US" w:eastAsia="zh-CN" w:bidi="ar"/>
              </w:rPr>
              <w:t>人采购商执行标准</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0"/>
                <w:szCs w:val="20"/>
                <w:lang w:val="en-US" w:bidi="ar"/>
              </w:rPr>
            </w:pPr>
            <w:r>
              <w:rPr>
                <w:rFonts w:hint="default" w:ascii="Times New Roman" w:hAnsi="Times New Roman" w:eastAsia="宋体" w:cs="Times New Roman"/>
                <w:color w:val="000000"/>
                <w:kern w:val="2"/>
                <w:sz w:val="20"/>
                <w:szCs w:val="20"/>
                <w:lang w:val="en-US" w:eastAsia="zh-CN" w:bidi="ar"/>
              </w:rPr>
              <w:t>0.6</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人</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default" w:ascii="Times New Roman" w:hAnsi="Times New Roman" w:eastAsia="宋体" w:cs="Times New Roman"/>
                <w:color w:val="000000"/>
                <w:kern w:val="2"/>
                <w:sz w:val="20"/>
                <w:szCs w:val="20"/>
                <w:lang w:val="en-US" w:eastAsia="zh-CN" w:bidi="ar"/>
              </w:rPr>
              <w:t>0.6</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人</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gridSpan w:val="2"/>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16"/>
                <w:szCs w:val="16"/>
                <w:lang w:val="en-US"/>
              </w:rPr>
            </w:pPr>
            <w:r>
              <w:rPr>
                <w:rFonts w:hint="eastAsia" w:ascii="Times New Roman" w:hAnsi="Times New Roman" w:eastAsia="宋体" w:cs="宋体"/>
                <w:color w:val="000000"/>
                <w:kern w:val="2"/>
                <w:sz w:val="20"/>
                <w:szCs w:val="20"/>
                <w:lang w:val="en-US" w:eastAsia="zh-CN" w:bidi="ar"/>
              </w:rPr>
              <w:t>补助金额</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0.6</w:t>
            </w:r>
            <w:r>
              <w:rPr>
                <w:rFonts w:hint="eastAsia" w:ascii="Times New Roman" w:hAnsi="Times New Roman" w:eastAsia="宋体" w:cs="宋体"/>
                <w:color w:val="000000"/>
                <w:kern w:val="2"/>
                <w:sz w:val="20"/>
                <w:szCs w:val="20"/>
                <w:lang w:val="en-US" w:eastAsia="zh-CN" w:bidi="ar"/>
              </w:rPr>
              <w:t>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default" w:ascii="Times New Roman" w:hAnsi="Times New Roman" w:eastAsia="宋体" w:cs="Times New Roman"/>
                <w:color w:val="000000"/>
                <w:kern w:val="2"/>
                <w:sz w:val="20"/>
                <w:szCs w:val="20"/>
                <w:lang w:val="en-US" w:eastAsia="zh-CN" w:bidi="ar"/>
              </w:rPr>
              <w:t>0.6</w:t>
            </w:r>
            <w:r>
              <w:rPr>
                <w:rFonts w:hint="eastAsia" w:ascii="Times New Roman" w:hAnsi="Times New Roman" w:eastAsia="宋体" w:cs="宋体"/>
                <w:color w:val="000000"/>
                <w:kern w:val="2"/>
                <w:sz w:val="20"/>
                <w:szCs w:val="20"/>
                <w:lang w:val="en-US" w:eastAsia="zh-CN" w:bidi="ar"/>
              </w:rPr>
              <w:t>万元</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gridSpan w:val="2"/>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13"/>
                <w:szCs w:val="13"/>
                <w:lang w:val="en-US"/>
              </w:rPr>
            </w:pPr>
            <w:r>
              <w:rPr>
                <w:rFonts w:hint="default" w:ascii="Times New Roman" w:hAnsi="Times New Roman" w:eastAsia="宋体" w:cs="Times New Roman"/>
                <w:color w:val="000000"/>
                <w:kern w:val="2"/>
                <w:sz w:val="13"/>
                <w:szCs w:val="13"/>
                <w:lang w:val="en-US" w:eastAsia="zh-CN" w:bidi="ar"/>
              </w:rPr>
              <w:t>2</w:t>
            </w:r>
            <w:r>
              <w:rPr>
                <w:rFonts w:hint="eastAsia" w:ascii="Times New Roman" w:hAnsi="Times New Roman" w:eastAsia="宋体" w:cs="宋体"/>
                <w:color w:val="000000"/>
                <w:kern w:val="2"/>
                <w:sz w:val="13"/>
                <w:szCs w:val="13"/>
                <w:lang w:val="en-US" w:eastAsia="zh-CN" w:bidi="ar"/>
              </w:rPr>
              <w:t>人采购商执行标准</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gridSpan w:val="2"/>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eastAsia" w:ascii="Times New Roman" w:hAnsi="Times New Roman" w:eastAsia="宋体" w:cs="宋体"/>
                <w:color w:val="000000"/>
                <w:kern w:val="2"/>
                <w:sz w:val="20"/>
                <w:szCs w:val="20"/>
                <w:lang w:val="en-US" w:eastAsia="zh-CN" w:bidi="ar"/>
              </w:rPr>
              <w:t>补助金额</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万元</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gridSpan w:val="2"/>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16"/>
                <w:szCs w:val="16"/>
                <w:lang w:val="en-US"/>
              </w:rPr>
            </w:pPr>
            <w:r>
              <w:rPr>
                <w:rFonts w:hint="eastAsia" w:ascii="Times New Roman" w:hAnsi="Times New Roman" w:eastAsia="宋体" w:cs="宋体"/>
                <w:color w:val="000000"/>
                <w:kern w:val="2"/>
                <w:sz w:val="16"/>
                <w:szCs w:val="16"/>
                <w:lang w:val="en-US" w:eastAsia="zh-CN" w:bidi="ar"/>
              </w:rPr>
              <w:t>进口博览会</w:t>
            </w:r>
          </w:p>
        </w:tc>
        <w:tc>
          <w:tcPr>
            <w:tcW w:w="142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eastAsia" w:ascii="Times New Roman" w:hAnsi="Times New Roman" w:eastAsia="宋体" w:cs="宋体"/>
                <w:color w:val="000000"/>
                <w:kern w:val="2"/>
                <w:sz w:val="20"/>
                <w:szCs w:val="20"/>
                <w:lang w:val="en-US" w:eastAsia="zh-CN" w:bidi="ar"/>
              </w:rPr>
              <w:t>参展补助标准</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0.3</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人</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0.3</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人</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eastAsia" w:ascii="Times New Roman" w:hAnsi="Times New Roman" w:eastAsia="宋体" w:cs="宋体"/>
                <w:color w:val="000000"/>
                <w:kern w:val="2"/>
                <w:sz w:val="20"/>
                <w:szCs w:val="20"/>
                <w:lang w:val="en-US" w:eastAsia="zh-CN" w:bidi="ar"/>
              </w:rPr>
              <w:t>补助金额</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0.3</w:t>
            </w:r>
            <w:r>
              <w:rPr>
                <w:rFonts w:hint="eastAsia" w:ascii="Times New Roman" w:hAnsi="Times New Roman" w:eastAsia="宋体" w:cs="宋体"/>
                <w:color w:val="000000"/>
                <w:kern w:val="2"/>
                <w:sz w:val="20"/>
                <w:szCs w:val="20"/>
                <w:lang w:val="en-US" w:eastAsia="zh-CN" w:bidi="ar"/>
              </w:rPr>
              <w:t>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0.3</w:t>
            </w:r>
            <w:r>
              <w:rPr>
                <w:rFonts w:hint="eastAsia" w:ascii="Times New Roman" w:hAnsi="Times New Roman" w:eastAsia="宋体" w:cs="宋体"/>
                <w:color w:val="000000"/>
                <w:kern w:val="2"/>
                <w:sz w:val="20"/>
                <w:szCs w:val="20"/>
                <w:lang w:val="en-US" w:eastAsia="zh-CN" w:bidi="ar"/>
              </w:rPr>
              <w:t>万元</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7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经济效益指标    </w:t>
            </w:r>
          </w:p>
        </w:tc>
        <w:tc>
          <w:tcPr>
            <w:tcW w:w="212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16"/>
                <w:szCs w:val="16"/>
                <w:lang w:val="en-US" w:eastAsia="zh-CN" w:bidi="ar"/>
              </w:rPr>
              <w:t>促进地区经济持续健康发展，</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进一步向现代化、品牌化、专业化发展</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2"/>
                <w:sz w:val="15"/>
                <w:szCs w:val="15"/>
                <w:lang w:val="en-US" w:eastAsia="zh-CN" w:bidi="ar"/>
              </w:rPr>
              <w:t>基本实现</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 xml:space="preserve">社会效益指标    </w:t>
            </w: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采购商数量稳步增长</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拓展了广交会多元化和全球化水平</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基本实现</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lang w:val="en-US"/>
              </w:rPr>
            </w:pPr>
            <w:r>
              <w:rPr>
                <w:rFonts w:hint="eastAsia" w:ascii="宋体" w:hAnsi="宋体" w:eastAsia="宋体" w:cs="宋体"/>
                <w:color w:val="000000"/>
                <w:kern w:val="0"/>
                <w:sz w:val="13"/>
                <w:szCs w:val="13"/>
                <w:lang w:val="en-US" w:eastAsia="zh-CN" w:bidi="ar"/>
              </w:rPr>
              <w:t>可持续影响指标</w:t>
            </w:r>
          </w:p>
        </w:tc>
        <w:tc>
          <w:tcPr>
            <w:tcW w:w="2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促进外向型经济可持续发展</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促进企业扩大出口产品种类</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15"/>
                <w:szCs w:val="15"/>
                <w:lang w:val="en-US" w:eastAsia="zh-CN" w:bidi="ar"/>
              </w:rPr>
              <w:t>基本实现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 xml:space="preserve"> 满意度指标</w:t>
            </w:r>
          </w:p>
        </w:tc>
        <w:tc>
          <w:tcPr>
            <w:tcW w:w="76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Tahoma" w:hAnsi="Tahoma" w:eastAsia="宋体" w:cs="Tahoma"/>
                <w:color w:val="000000"/>
                <w:kern w:val="2"/>
                <w:sz w:val="16"/>
                <w:szCs w:val="16"/>
                <w:shd w:val="clear" w:fill="FFFFFF"/>
                <w:lang w:val="en-US" w:eastAsia="zh-CN" w:bidi="ar"/>
              </w:rPr>
              <w:t>服务对象满意</w:t>
            </w:r>
            <w:r>
              <w:rPr>
                <w:rFonts w:hint="default" w:ascii="Tahoma" w:hAnsi="Tahoma" w:eastAsia="Tahoma" w:cs="Tahoma"/>
                <w:color w:val="000000"/>
                <w:kern w:val="2"/>
                <w:sz w:val="16"/>
                <w:szCs w:val="16"/>
                <w:shd w:val="clear" w:fill="FFFFFF"/>
                <w:lang w:val="en-US" w:eastAsia="zh-CN" w:bidi="ar"/>
              </w:rPr>
              <w:t xml:space="preserve">     </w:t>
            </w:r>
            <w:r>
              <w:rPr>
                <w:rFonts w:hint="eastAsia" w:ascii="Tahoma" w:hAnsi="Tahoma" w:eastAsia="宋体" w:cs="Tahoma"/>
                <w:color w:val="000000"/>
                <w:kern w:val="2"/>
                <w:sz w:val="16"/>
                <w:szCs w:val="16"/>
                <w:shd w:val="clear" w:fill="FFFFFF"/>
                <w:lang w:val="en-US" w:eastAsia="zh-CN" w:bidi="ar"/>
              </w:rPr>
              <w:t>度指标</w:t>
            </w:r>
          </w:p>
        </w:tc>
        <w:tc>
          <w:tcPr>
            <w:tcW w:w="212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16"/>
                <w:szCs w:val="16"/>
                <w:lang w:val="en-US" w:eastAsia="zh-CN" w:bidi="ar"/>
              </w:rPr>
              <w:t>企业对政策扶持的满意度</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16"/>
                <w:szCs w:val="16"/>
                <w:lang w:val="en-US" w:eastAsia="zh-CN" w:bidi="ar"/>
              </w:rPr>
              <w:t>群众对企业服务的满意度</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tbl>
      <w:tblPr>
        <w:tblStyle w:val="23"/>
        <w:tblW w:w="15975"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13"/>
        <w:gridCol w:w="284"/>
        <w:gridCol w:w="425"/>
        <w:gridCol w:w="567"/>
        <w:gridCol w:w="709"/>
        <w:gridCol w:w="30"/>
        <w:gridCol w:w="537"/>
        <w:gridCol w:w="30"/>
        <w:gridCol w:w="1529"/>
        <w:gridCol w:w="709"/>
        <w:gridCol w:w="284"/>
        <w:gridCol w:w="141"/>
        <w:gridCol w:w="142"/>
        <w:gridCol w:w="425"/>
        <w:gridCol w:w="142"/>
        <w:gridCol w:w="425"/>
        <w:gridCol w:w="142"/>
        <w:gridCol w:w="142"/>
        <w:gridCol w:w="283"/>
        <w:gridCol w:w="142"/>
        <w:gridCol w:w="284"/>
        <w:gridCol w:w="415"/>
        <w:gridCol w:w="10"/>
        <w:gridCol w:w="2599"/>
        <w:gridCol w:w="481"/>
        <w:gridCol w:w="470"/>
        <w:gridCol w:w="481"/>
        <w:gridCol w:w="470"/>
        <w:gridCol w:w="470"/>
        <w:gridCol w:w="470"/>
        <w:gridCol w:w="470"/>
        <w:gridCol w:w="470"/>
        <w:gridCol w:w="47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800" w:firstLineChars="250"/>
              <w:jc w:val="both"/>
              <w:rPr>
                <w:rFonts w:hint="eastAsia" w:ascii="宋体" w:hAnsi="宋体" w:eastAsia="宋体" w:cs="宋体"/>
                <w:b/>
                <w:bCs/>
                <w:color w:val="000000"/>
                <w:kern w:val="0"/>
                <w:sz w:val="40"/>
                <w:szCs w:val="40"/>
                <w:lang w:val="en-US"/>
              </w:rPr>
            </w:pPr>
            <w:r>
              <w:rPr>
                <w:rFonts w:hint="eastAsia" w:ascii="黑体" w:hAnsi="宋体" w:eastAsia="黑体" w:cs="宋体"/>
                <w:color w:val="000000"/>
                <w:kern w:val="0"/>
                <w:sz w:val="32"/>
                <w:szCs w:val="32"/>
                <w:lang w:val="en-US" w:eastAsia="zh-CN" w:bidi="ar"/>
              </w:rPr>
              <w:t>附表</w:t>
            </w:r>
            <w:r>
              <w:rPr>
                <w:rFonts w:hint="eastAsia" w:ascii="Calibri" w:hAnsi="Calibri" w:eastAsia="仿宋_GB2312" w:cs="Calibri"/>
                <w:color w:val="000000"/>
                <w:spacing w:val="-6"/>
                <w:kern w:val="0"/>
                <w:sz w:val="32"/>
                <w:szCs w:val="32"/>
                <w:lang w:val="en-US" w:eastAsia="zh-CN"/>
              </w:rPr>
              <w:t>2-2</w:t>
            </w:r>
            <w:r>
              <w:rPr>
                <w:rFonts w:hint="eastAsia" w:ascii="黑体" w:hAnsi="宋体" w:eastAsia="黑体" w:cs="宋体"/>
                <w:color w:val="000000"/>
                <w:kern w:val="0"/>
                <w:sz w:val="24"/>
                <w:szCs w:val="24"/>
                <w:lang w:val="en-US" w:eastAsia="zh-CN" w:bidi="ar"/>
              </w:rPr>
              <w:t xml:space="preserve">                </w:t>
            </w:r>
            <w:r>
              <w:rPr>
                <w:rFonts w:hint="eastAsia" w:ascii="宋体" w:hAnsi="宋体" w:eastAsia="宋体" w:cs="宋体"/>
                <w:b/>
                <w:bCs/>
                <w:color w:val="000000"/>
                <w:kern w:val="0"/>
                <w:sz w:val="40"/>
                <w:szCs w:val="40"/>
                <w:lang w:val="en-US" w:eastAsia="zh-CN" w:bidi="ar"/>
              </w:rPr>
              <w:t>2021年专项预算项目支出绩效自评评分表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部门（单位）盖章：</w:t>
            </w:r>
            <w:r>
              <w:rPr>
                <w:rFonts w:hint="eastAsia" w:ascii="黑体" w:hAnsi="宋体" w:eastAsia="黑体" w:cs="黑体"/>
                <w:b/>
                <w:bCs w:val="0"/>
                <w:color w:val="000000"/>
                <w:kern w:val="0"/>
                <w:sz w:val="20"/>
                <w:szCs w:val="20"/>
                <w:lang w:val="en-US" w:eastAsia="zh-CN" w:bidi="ar"/>
              </w:rPr>
              <w:t>广元市朝天区商务局</w:t>
            </w:r>
            <w:r>
              <w:rPr>
                <w:rFonts w:hint="eastAsia" w:ascii="宋体" w:hAnsi="宋体" w:eastAsia="宋体" w:cs="宋体"/>
                <w:color w:val="000000"/>
                <w:kern w:val="0"/>
                <w:sz w:val="24"/>
                <w:szCs w:val="24"/>
                <w:lang w:val="en-US" w:eastAsia="zh-CN" w:bidi="ar"/>
              </w:rPr>
              <w:t xml:space="preserve">                                       专项预算项目名称：</w:t>
            </w:r>
            <w:r>
              <w:rPr>
                <w:rFonts w:hint="eastAsia" w:ascii="宋体" w:hAnsi="宋体" w:eastAsia="宋体" w:cs="宋体"/>
                <w:b/>
                <w:bCs w:val="0"/>
                <w:color w:val="000000"/>
                <w:kern w:val="0"/>
                <w:sz w:val="18"/>
                <w:szCs w:val="18"/>
                <w:lang w:val="en-US" w:eastAsia="zh-CN" w:bidi="ar"/>
              </w:rPr>
              <w:t>2021年度中央外经贸发展专项资金</w:t>
            </w:r>
            <w:r>
              <w:rPr>
                <w:rFonts w:hint="eastAsia" w:ascii="黑体" w:hAnsi="宋体" w:eastAsia="黑体" w:cs="黑体"/>
                <w:b/>
                <w:bCs w:val="0"/>
                <w:color w:val="000000"/>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6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分层分类指标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指标分值</w:t>
            </w:r>
          </w:p>
        </w:tc>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指标解释</w:t>
            </w:r>
          </w:p>
        </w:tc>
        <w:tc>
          <w:tcPr>
            <w:tcW w:w="326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评分方法</w:t>
            </w:r>
          </w:p>
        </w:tc>
        <w:tc>
          <w:tcPr>
            <w:tcW w:w="30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评价要点及说明</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评价方式</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评价属性</w:t>
            </w:r>
          </w:p>
        </w:tc>
        <w:tc>
          <w:tcPr>
            <w:tcW w:w="2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定量评价标准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分层指标</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适用范围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一级指标</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二级指标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方法 归类</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计算公式</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整体评价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样本评价</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定性评价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国家标准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行业标准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地方标准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申报标准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历史均值</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0.3</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0.6</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0.8</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通用指标（40分）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所有项预算项目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项目决策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程序严密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不完善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较完善</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完  善</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规划合理★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项目规划是否符合区委、区政府重大决策部署，是否与项目年度目标一致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较合理</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理</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制度完备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项目指导意见、管理办法、申报指南、实施细则等管理制度是否完善，是否存在脱离实际、缺陷、漏洞导致执行偏离预期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项目实施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项目资金分配结果是否与规划计划一致；是否按规定及时分配专项预算资金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否</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使用合规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项目资金使用是否符合相关的财务管理制度规定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执行有效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项目实施是否符合相关管理制度规定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完成结果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项目资金拨付到具体支持对象企业、项目（人）的情况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指标得分=项目实际到位金额/承诺到位金额*100%*指标分值</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主要查看项目资金拨付到人到户、到项目、到企业与资金总量的对比，配套预算到位率。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资金结余★</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项目资金结余的情况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指标得分=（1-结余率/0.2）*指标分值结余率大于等于0.2，指标得0分                                                                                                                                 结余率=结余金额/省级财政资金预算数×100%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目标完成★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项目实施后是否完成预期目标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指标得分=实际完成任务量/绩效目标设定任务量×100%*指标分值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主要查看项目实施后产出数量指标完成情况。以样本点资金量为权重，加权计算指标得分。当实际完成任务量/绩效目标设定任务量&gt;1时按1计算</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完成及时</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项目实际完成时间与计划完成时间的比较，用以反映和考核项目产出实效目标的实现程度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指标得分=1-(实际完成时间-计划完成时间/计划完成时间)×100%*指标分值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违规记录</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项目管理是否合规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不合规</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3处及以上不合规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2处不合规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1处不合规</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规</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根据审计监督、财政检查结果反映专项管理是否合规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共性指标（10分）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lang w:val="en-US"/>
              </w:rPr>
            </w:pPr>
            <w:r>
              <w:rPr>
                <w:rFonts w:hint="eastAsia" w:ascii="宋体" w:hAnsi="宋体" w:eastAsia="宋体" w:cs="宋体"/>
                <w:b/>
                <w:bCs/>
                <w:kern w:val="0"/>
                <w:sz w:val="18"/>
                <w:szCs w:val="18"/>
                <w:lang w:val="en-US" w:eastAsia="zh-CN" w:bidi="ar"/>
              </w:rPr>
              <w:t>产业发展项目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lang w:val="en-US"/>
              </w:rPr>
            </w:pPr>
            <w:r>
              <w:rPr>
                <w:rFonts w:hint="eastAsia" w:ascii="宋体" w:hAnsi="宋体" w:eastAsia="宋体" w:cs="宋体"/>
                <w:b/>
                <w:bCs/>
                <w:kern w:val="0"/>
                <w:sz w:val="18"/>
                <w:szCs w:val="18"/>
                <w:lang w:val="en-US" w:eastAsia="zh-CN" w:bidi="ar"/>
              </w:rPr>
              <w:t>项目效果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符合性</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项目实施效果是否与绩效目标或申报目标符合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指标得分=项目实施符合的点位数/所有选点总数×100%*指标分值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根据项目现场评价实施效果与绩效目标进行对比，汇总所有样本点情况综合分析政策整体吻合度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r>
              <w:rPr>
                <w:rFonts w:hint="eastAsia" w:ascii="宋体" w:hAnsi="宋体" w:eastAsia="宋体" w:cs="宋体"/>
                <w:color w:val="FF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r>
              <w:rPr>
                <w:rFonts w:hint="eastAsia" w:ascii="宋体" w:hAnsi="宋体" w:eastAsia="宋体" w:cs="宋体"/>
                <w:color w:val="FF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成长性★</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反映不同类型产业政策实施对相关行业企业成长性的促进作用，主要反映支持对象的创新、创造、创业能力情况，产业结构情况，持续盈利能力情况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指标得分=各项具体指标得分的平均分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r>
              <w:rPr>
                <w:rFonts w:hint="eastAsia" w:ascii="宋体" w:hAnsi="宋体" w:eastAsia="宋体" w:cs="宋体"/>
                <w:color w:val="FF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r>
              <w:rPr>
                <w:rFonts w:hint="eastAsia" w:ascii="宋体" w:hAnsi="宋体" w:eastAsia="宋体" w:cs="宋体"/>
                <w:color w:val="FF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r>
              <w:rPr>
                <w:rFonts w:hint="eastAsia" w:ascii="宋体" w:hAnsi="宋体" w:eastAsia="宋体" w:cs="宋体"/>
                <w:color w:val="FF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特性指标（10分）</w:t>
            </w:r>
          </w:p>
        </w:tc>
        <w:tc>
          <w:tcPr>
            <w:tcW w:w="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服务业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经济效益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消费增长</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项目支持区域内社会消费品零售总额增长情况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6"/>
                <w:szCs w:val="16"/>
                <w:lang w:val="en-US"/>
              </w:rPr>
            </w:pPr>
            <w:r>
              <w:rPr>
                <w:rFonts w:hint="eastAsia" w:ascii="宋体" w:hAnsi="宋体" w:eastAsia="宋体" w:cs="宋体"/>
                <w:kern w:val="0"/>
                <w:sz w:val="16"/>
                <w:szCs w:val="16"/>
                <w:lang w:val="en-US" w:eastAsia="zh-CN" w:bidi="ar"/>
              </w:rPr>
              <w:t>指标得分根据三年社会消费品零售增长变化计算得分，社会消费品零售增长≥标准值的得满分，＜标准值80%的不得分，其余按比值计算得分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重</w:t>
            </w:r>
            <w:r>
              <w:rPr>
                <w:rFonts w:hint="eastAsia" w:ascii="宋体" w:hAnsi="宋体" w:eastAsia="宋体" w:cs="宋体"/>
                <w:kern w:val="0"/>
                <w:sz w:val="16"/>
                <w:szCs w:val="16"/>
                <w:lang w:val="en-US" w:eastAsia="zh-CN" w:bidi="ar"/>
              </w:rPr>
              <w:t>点收集三年来区域内社会消费品零售增长数据，主要通过官方统计数据采集，同时结合实地调查对比，综合计算指标得分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增加值增长率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项目实施涉及增加值增长情况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指标得分=三年增加值平均增长率/标准值*指标分值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5"/>
                <w:szCs w:val="15"/>
                <w:lang w:val="en-US" w:eastAsia="zh-CN" w:bidi="ar"/>
              </w:rPr>
              <w:t>增加值增长率=当年服务业增加值增量/上一年度服务业增加值总量×100%。重点查看项目实施区域服务业增加值变动情况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6"/>
                <w:szCs w:val="16"/>
                <w:lang w:val="en-US" w:eastAsia="zh-CN" w:bidi="ar"/>
              </w:rPr>
              <w:t>社会效</w:t>
            </w:r>
            <w:r>
              <w:rPr>
                <w:rFonts w:hint="eastAsia" w:ascii="宋体" w:hAnsi="宋体" w:eastAsia="宋体" w:cs="宋体"/>
                <w:b/>
                <w:bCs/>
                <w:color w:val="000000"/>
                <w:kern w:val="0"/>
                <w:sz w:val="18"/>
                <w:szCs w:val="18"/>
                <w:lang w:val="en-US" w:eastAsia="zh-CN" w:bidi="ar"/>
              </w:rPr>
              <w:t>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服务效能</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区域内相关事务处理能力提升情况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一般</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较好</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好</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重点查看区域内相关事务处理能力提升状况，通过资料记录查询，现场持续跟踪，走访调研了解等手段综合判断</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09" w:type="dxa"/>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个性指标（40分）</w:t>
            </w:r>
          </w:p>
        </w:tc>
        <w:tc>
          <w:tcPr>
            <w:tcW w:w="709"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外贸业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产出指标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  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参会企业家数与人数情况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根据文件规定，以大会进馆自动统计数为准。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5"/>
                <w:szCs w:val="15"/>
                <w:lang w:val="en-US" w:eastAsia="zh-CN" w:bidi="ar"/>
              </w:rPr>
              <w:t>根据参会企业数、人数报销资粮与以大会进馆自动统计数进行核对</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09"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相关项目文件的制定与参展活动成效情况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指标得分=</w:t>
            </w:r>
            <w:r>
              <w:rPr>
                <w:rFonts w:hint="eastAsia" w:ascii="宋体" w:hAnsi="宋体" w:eastAsia="宋体" w:cs="宋体"/>
                <w:color w:val="000000"/>
                <w:kern w:val="0"/>
                <w:sz w:val="18"/>
                <w:szCs w:val="18"/>
                <w:lang w:val="en-US" w:eastAsia="zh-CN" w:bidi="ar"/>
              </w:rPr>
              <w:t>大会进馆自动统计的</w:t>
            </w:r>
            <w:r>
              <w:rPr>
                <w:rFonts w:hint="eastAsia" w:ascii="宋体" w:hAnsi="宋体" w:eastAsia="宋体" w:cs="宋体"/>
                <w:kern w:val="0"/>
                <w:sz w:val="18"/>
                <w:szCs w:val="18"/>
                <w:lang w:val="en-US" w:eastAsia="zh-CN" w:bidi="ar"/>
              </w:rPr>
              <w:t>参会企业数或人数/申报参会企业或人数总数×100%*指标分值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6"/>
                <w:szCs w:val="16"/>
                <w:lang w:val="en-US" w:eastAsia="zh-CN" w:bidi="ar"/>
              </w:rPr>
              <w:t>是否制定有项目申报方案和资金使用计划，参加展销活动取得成效；</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09"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时效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是否按规定时间要求进度申报项目、兑现资金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根据资料之间的时间逻辑关系核实对比确定。</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依据规定的项目资金申报时效、审核时效和批复并兑现时效要求落实情况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09"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成本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相关财经文件规定数据为依据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相关财经文件规定数据为依据；  </w:t>
            </w:r>
            <w:r>
              <w:rPr>
                <w:rFonts w:hint="eastAsia" w:ascii="宋体" w:hAnsi="宋体" w:eastAsia="宋体" w:cs="宋体"/>
                <w:kern w:val="0"/>
                <w:sz w:val="18"/>
                <w:szCs w:val="18"/>
                <w:lang w:val="en-US" w:eastAsia="zh-CN" w:bidi="ar"/>
              </w:rPr>
              <w:t>指标得分=实际支付金额/应付项目金额×100%*指标分值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要查看实际支付项目资金的原始依据，如财政直付或银行原始依据；</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分值</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982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自评等级</w:t>
            </w:r>
          </w:p>
        </w:tc>
        <w:tc>
          <w:tcPr>
            <w:tcW w:w="13247"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自评结果：</w:t>
            </w:r>
            <w:r>
              <w:rPr>
                <w:rFonts w:hint="default" w:ascii="宋体" w:hAnsi="宋体" w:eastAsia="Wingdings 2" w:cs="宋体"/>
                <w:b/>
                <w:bCs/>
                <w:color w:val="000000"/>
                <w:kern w:val="0"/>
                <w:sz w:val="18"/>
                <w:szCs w:val="18"/>
                <w:lang w:val="en-US" w:eastAsia="zh-CN" w:bidi="ar"/>
              </w:rPr>
              <w:sym w:font="Wingdings 2" w:char="0052"/>
            </w:r>
            <w:r>
              <w:rPr>
                <w:rFonts w:hint="eastAsia" w:ascii="宋体" w:hAnsi="宋体" w:eastAsia="宋体" w:cs="宋体"/>
                <w:b/>
                <w:bCs/>
                <w:color w:val="000000"/>
                <w:kern w:val="0"/>
                <w:sz w:val="18"/>
                <w:szCs w:val="18"/>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15971" w:type="dxa"/>
            <w:gridSpan w:val="35"/>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b/>
                <w:bCs/>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Fonts w:hint="eastAsia" w:ascii="宋体" w:hAnsi="宋体" w:eastAsia="宋体" w:cs="宋体"/>
                <w:b/>
                <w:bCs/>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Fonts w:hint="eastAsia" w:ascii="宋体" w:hAnsi="宋体" w:eastAsia="宋体" w:cs="宋体"/>
                <w:b/>
                <w:bCs/>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 xml:space="preserve">★为核心指标，需要评价组重点关注深入分析。未涉及个性指标的项目，其分值权重按比例调整到其他效果指标。                                                                                                                                                                                   </w:t>
            </w:r>
          </w:p>
        </w:tc>
      </w:tr>
    </w:tbl>
    <w:p>
      <w:pPr>
        <w:rPr>
          <w:rFonts w:hint="eastAsia" w:ascii="仿宋_GB2312" w:hAnsi="仿宋_GB2312" w:eastAsia="仿宋_GB2312" w:cs="仿宋_GB2312"/>
          <w:b/>
          <w:bCs w:val="0"/>
          <w:sz w:val="28"/>
          <w:szCs w:val="28"/>
          <w:lang w:val="en-US" w:eastAsia="zh-CN" w:bidi="ar"/>
        </w:rPr>
        <w:sectPr>
          <w:pgSz w:w="16838" w:h="11906" w:orient="landscape"/>
          <w:pgMar w:top="1803" w:right="1440" w:bottom="1803" w:left="1440" w:header="851" w:footer="992" w:gutter="0"/>
          <w:pgNumType w:fmt="decimal"/>
          <w:cols w:space="0" w:num="1"/>
          <w:titlePg/>
          <w:docGrid w:type="lines" w:linePitch="319" w:charSpace="0"/>
        </w:sectPr>
      </w:pP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仿宋"/>
          <w:b/>
          <w:bCs/>
          <w:kern w:val="0"/>
          <w:sz w:val="32"/>
          <w:szCs w:val="32"/>
          <w:lang w:val="en-US" w:eastAsia="zh-CN" w:bidi="ar"/>
        </w:rPr>
        <w:t>附件3：</w:t>
      </w: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2021年专项预算项目支出绩效自评报告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val="0"/>
          <w:sz w:val="32"/>
          <w:szCs w:val="32"/>
          <w:lang w:val="en-US"/>
        </w:rPr>
      </w:pPr>
      <w:r>
        <w:rPr>
          <w:rFonts w:hint="eastAsia" w:ascii="楷体" w:hAnsi="楷体" w:eastAsia="楷体" w:cs="楷体"/>
          <w:spacing w:val="-6"/>
          <w:kern w:val="2"/>
          <w:sz w:val="32"/>
          <w:szCs w:val="32"/>
          <w:lang w:val="en-US" w:eastAsia="zh-CN" w:bidi="ar"/>
        </w:rPr>
        <w:t>（2020年省级外贸资金项目）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sz w:val="32"/>
          <w:szCs w:val="32"/>
          <w:lang w:val="en-US"/>
        </w:rPr>
        <w:t>1.</w:t>
      </w:r>
      <w:r>
        <w:rPr>
          <w:rFonts w:hint="eastAsia" w:ascii="仿宋_GB2312" w:eastAsia="仿宋_GB2312" w:cs="宋体"/>
          <w:sz w:val="32"/>
          <w:szCs w:val="32"/>
          <w:lang w:eastAsia="zh-CN"/>
        </w:rPr>
        <w:t>区商务局在该项目管理中职能是：</w:t>
      </w:r>
      <w:r>
        <w:rPr>
          <w:rFonts w:hint="eastAsia" w:ascii="仿宋_GB2312" w:eastAsia="仿宋_GB2312" w:cs="宋体"/>
          <w:color w:val="000000"/>
          <w:sz w:val="32"/>
          <w:szCs w:val="32"/>
          <w:lang w:eastAsia="zh-CN"/>
        </w:rPr>
        <w:t>贯彻落实上级有关对外贸易的扶持政策，负责审核申报中央、省级各类外贸扶持资金；负责全区外经贸扶持政策的申报、审核和兑现工作。</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sz w:val="32"/>
          <w:szCs w:val="32"/>
          <w:lang w:val="en-US"/>
        </w:rPr>
        <w:t>2</w:t>
      </w:r>
      <w:r>
        <w:rPr>
          <w:rFonts w:hint="eastAsia" w:ascii="仿宋_GB2312" w:eastAsia="仿宋_GB2312" w:cs="宋体"/>
          <w:sz w:val="32"/>
          <w:szCs w:val="32"/>
          <w:lang w:eastAsia="zh-CN"/>
        </w:rPr>
        <w:t>．资金申报的依据：</w:t>
      </w:r>
      <w:r>
        <w:rPr>
          <w:rFonts w:hint="eastAsia" w:ascii="仿宋_GB2312" w:eastAsia="仿宋_GB2312" w:cs="宋体"/>
          <w:color w:val="000000"/>
          <w:sz w:val="32"/>
          <w:szCs w:val="32"/>
          <w:lang w:eastAsia="zh-CN"/>
        </w:rPr>
        <w:t>市商务局市财政局关于印发《广元市促进对外贸易发展奖励政策》的通知（广商发〔</w:t>
      </w:r>
      <w:r>
        <w:rPr>
          <w:rFonts w:hint="eastAsia" w:ascii="仿宋_GB2312" w:eastAsia="仿宋_GB2312" w:cs="宋体"/>
          <w:color w:val="000000"/>
          <w:sz w:val="32"/>
          <w:szCs w:val="32"/>
          <w:lang w:val="en-US"/>
        </w:rPr>
        <w:t>2017</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173</w:t>
      </w:r>
      <w:r>
        <w:rPr>
          <w:rFonts w:hint="eastAsia" w:ascii="仿宋_GB2312" w:eastAsia="仿宋_GB2312" w:cs="宋体"/>
          <w:color w:val="000000"/>
          <w:sz w:val="32"/>
          <w:szCs w:val="32"/>
          <w:lang w:eastAsia="zh-CN"/>
        </w:rPr>
        <w:t>号）文件；区财政局《关于下达</w:t>
      </w:r>
      <w:r>
        <w:rPr>
          <w:rFonts w:hint="eastAsia" w:ascii="仿宋_GB2312" w:eastAsia="仿宋_GB2312" w:cs="宋体"/>
          <w:color w:val="000000"/>
          <w:sz w:val="32"/>
          <w:szCs w:val="32"/>
          <w:lang w:val="en-US"/>
        </w:rPr>
        <w:t>2020</w:t>
      </w:r>
      <w:r>
        <w:rPr>
          <w:rFonts w:hint="eastAsia" w:ascii="仿宋_GB2312" w:eastAsia="仿宋_GB2312" w:cs="宋体"/>
          <w:color w:val="000000"/>
          <w:sz w:val="32"/>
          <w:szCs w:val="32"/>
          <w:lang w:eastAsia="zh-CN"/>
        </w:rPr>
        <w:t>年省级外经贸资金的通知》（广朝财建〔</w:t>
      </w:r>
      <w:r>
        <w:rPr>
          <w:rFonts w:hint="eastAsia" w:ascii="仿宋_GB2312" w:eastAsia="仿宋_GB2312" w:cs="宋体"/>
          <w:color w:val="000000"/>
          <w:sz w:val="32"/>
          <w:szCs w:val="32"/>
          <w:lang w:val="en-US"/>
        </w:rPr>
        <w:t>2021</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3</w:t>
      </w:r>
      <w:r>
        <w:rPr>
          <w:rFonts w:hint="eastAsia" w:ascii="仿宋_GB2312" w:eastAsia="仿宋_GB2312" w:cs="宋体"/>
          <w:color w:val="000000"/>
          <w:sz w:val="32"/>
          <w:szCs w:val="32"/>
          <w:lang w:eastAsia="zh-CN"/>
        </w:rPr>
        <w:t>号）文件。</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sz w:val="32"/>
          <w:szCs w:val="32"/>
          <w:lang w:val="en-US"/>
        </w:rPr>
        <w:t>3</w:t>
      </w:r>
      <w:r>
        <w:rPr>
          <w:rFonts w:hint="eastAsia" w:ascii="仿宋_GB2312" w:eastAsia="仿宋_GB2312" w:cs="宋体"/>
          <w:sz w:val="32"/>
          <w:szCs w:val="32"/>
          <w:lang w:eastAsia="zh-CN"/>
        </w:rPr>
        <w:t>．资金管理办法制定情况，资金支持具体项目的条件、范围与支持方式概况：具体</w:t>
      </w:r>
      <w:r>
        <w:rPr>
          <w:rFonts w:hint="eastAsia" w:ascii="仿宋_GB2312" w:eastAsia="仿宋_GB2312" w:cs="宋体"/>
          <w:color w:val="000000"/>
          <w:sz w:val="32"/>
          <w:szCs w:val="32"/>
          <w:lang w:eastAsia="zh-CN"/>
        </w:rPr>
        <w:t>资金来源及审核办法如下</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1</w:t>
      </w:r>
      <w:r>
        <w:rPr>
          <w:rFonts w:hint="eastAsia" w:ascii="仿宋_GB2312" w:eastAsia="仿宋_GB2312" w:cs="宋体"/>
          <w:color w:val="000000"/>
          <w:sz w:val="32"/>
          <w:szCs w:val="32"/>
          <w:lang w:eastAsia="zh-CN"/>
        </w:rPr>
        <w:t>）对外贸企业出口额以海关统计数据为依据；</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2</w:t>
      </w:r>
      <w:r>
        <w:rPr>
          <w:rFonts w:hint="eastAsia" w:ascii="仿宋_GB2312" w:eastAsia="仿宋_GB2312" w:cs="宋体"/>
          <w:color w:val="000000"/>
          <w:sz w:val="32"/>
          <w:szCs w:val="32"/>
          <w:lang w:eastAsia="zh-CN"/>
        </w:rPr>
        <w:t>）对外贸易奖励政策，按企业隶属关系由市、县区</w:t>
      </w:r>
      <w:r>
        <w:rPr>
          <w:rFonts w:hint="eastAsia" w:ascii="仿宋_GB2312" w:eastAsia="仿宋_GB2312" w:cs="宋体"/>
          <w:color w:val="000000"/>
          <w:sz w:val="32"/>
          <w:szCs w:val="32"/>
          <w:lang w:val="en-US"/>
        </w:rPr>
        <w:t>(</w:t>
      </w:r>
      <w:r>
        <w:rPr>
          <w:rFonts w:hint="eastAsia" w:ascii="仿宋_GB2312" w:eastAsia="仿宋_GB2312" w:cs="宋体"/>
          <w:color w:val="000000"/>
          <w:sz w:val="32"/>
          <w:szCs w:val="32"/>
          <w:lang w:eastAsia="zh-CN"/>
        </w:rPr>
        <w:t>含广元经济技术开发区</w:t>
      </w:r>
      <w:r>
        <w:rPr>
          <w:rFonts w:hint="eastAsia" w:ascii="仿宋_GB2312" w:eastAsia="仿宋_GB2312" w:cs="宋体"/>
          <w:color w:val="000000"/>
          <w:sz w:val="32"/>
          <w:szCs w:val="32"/>
          <w:lang w:val="en-US"/>
        </w:rPr>
        <w:t>)</w:t>
      </w:r>
      <w:r>
        <w:rPr>
          <w:rFonts w:hint="eastAsia" w:ascii="仿宋_GB2312" w:eastAsia="仿宋_GB2312" w:cs="宋体"/>
          <w:color w:val="000000"/>
          <w:sz w:val="32"/>
          <w:szCs w:val="32"/>
          <w:lang w:eastAsia="zh-CN"/>
        </w:rPr>
        <w:t>财政分级承担，市、县区各</w:t>
      </w:r>
      <w:r>
        <w:rPr>
          <w:rFonts w:hint="eastAsia" w:ascii="仿宋_GB2312" w:eastAsia="仿宋_GB2312" w:cs="宋体"/>
          <w:color w:val="000000"/>
          <w:sz w:val="32"/>
          <w:szCs w:val="32"/>
          <w:lang w:val="en-US"/>
        </w:rPr>
        <w:t>50%</w:t>
      </w:r>
      <w:r>
        <w:rPr>
          <w:rFonts w:hint="eastAsia" w:ascii="仿宋_GB2312" w:eastAsia="仿宋_GB2312" w:cs="宋体"/>
          <w:color w:val="000000"/>
          <w:sz w:val="32"/>
          <w:szCs w:val="32"/>
          <w:lang w:eastAsia="zh-CN"/>
        </w:rPr>
        <w:t>。县区也可根据实际，适当增加奖励标准；</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3</w:t>
      </w:r>
      <w:r>
        <w:rPr>
          <w:rFonts w:hint="eastAsia" w:ascii="仿宋_GB2312" w:eastAsia="仿宋_GB2312" w:cs="宋体"/>
          <w:color w:val="000000"/>
          <w:sz w:val="32"/>
          <w:szCs w:val="32"/>
          <w:lang w:eastAsia="zh-CN"/>
        </w:rPr>
        <w:t>）外贸企业的奖励资金来源，整合上级财政外经贸发展专项资金和市级财政安排的商贸服务业专项资金统筹使用；</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4</w:t>
      </w:r>
      <w:r>
        <w:rPr>
          <w:rFonts w:hint="eastAsia" w:ascii="仿宋_GB2312" w:eastAsia="仿宋_GB2312" w:cs="宋体"/>
          <w:color w:val="000000"/>
          <w:sz w:val="32"/>
          <w:szCs w:val="32"/>
          <w:lang w:eastAsia="zh-CN"/>
        </w:rPr>
        <w:t>）对外贸易奖励政策由市商务局、市财政局于次年</w:t>
      </w:r>
      <w:r>
        <w:rPr>
          <w:rFonts w:hint="eastAsia" w:ascii="仿宋_GB2312" w:eastAsia="仿宋_GB2312" w:cs="宋体"/>
          <w:color w:val="000000"/>
          <w:sz w:val="32"/>
          <w:szCs w:val="32"/>
          <w:lang w:val="en-US"/>
        </w:rPr>
        <w:t>3</w:t>
      </w:r>
      <w:r>
        <w:rPr>
          <w:rFonts w:hint="eastAsia" w:ascii="仿宋_GB2312" w:eastAsia="仿宋_GB2312" w:cs="宋体"/>
          <w:color w:val="000000"/>
          <w:sz w:val="32"/>
          <w:szCs w:val="32"/>
          <w:lang w:eastAsia="zh-CN"/>
        </w:rPr>
        <w:t>月根据外贸企业上年出口情况进行认定，提出具体的奖励金额，报市政府审批后实施。</w:t>
      </w:r>
    </w:p>
    <w:p>
      <w:pPr>
        <w:pStyle w:val="64"/>
        <w:widowControl/>
        <w:ind w:left="0" w:firstLine="960" w:firstLineChars="300"/>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val="en-US"/>
        </w:rPr>
        <w:t>4.</w:t>
      </w:r>
      <w:r>
        <w:rPr>
          <w:rFonts w:hint="eastAsia" w:ascii="仿宋_GB2312" w:eastAsia="仿宋_GB2312" w:cs="宋体"/>
          <w:color w:val="000000"/>
          <w:sz w:val="32"/>
          <w:szCs w:val="32"/>
          <w:lang w:eastAsia="zh-CN"/>
        </w:rPr>
        <w:t>资金分配原则及考虑因素：资金奖励政策标准如下</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val="en-US"/>
        </w:rPr>
        <w:t>(1)</w:t>
      </w:r>
      <w:r>
        <w:rPr>
          <w:rFonts w:hint="eastAsia" w:ascii="仿宋_GB2312" w:eastAsia="仿宋_GB2312" w:cs="宋体"/>
          <w:color w:val="000000"/>
          <w:sz w:val="32"/>
          <w:szCs w:val="32"/>
          <w:lang w:eastAsia="zh-CN"/>
        </w:rPr>
        <w:t>鼓励外贸企业实现自营出口。对首次通过自营出口的生产型企业，一次性奖励人民币</w:t>
      </w:r>
      <w:r>
        <w:rPr>
          <w:rFonts w:hint="eastAsia" w:ascii="仿宋_GB2312" w:eastAsia="仿宋_GB2312" w:cs="宋体"/>
          <w:color w:val="000000"/>
          <w:sz w:val="32"/>
          <w:szCs w:val="32"/>
          <w:lang w:val="en-US"/>
        </w:rPr>
        <w:t>5</w:t>
      </w:r>
      <w:r>
        <w:rPr>
          <w:rFonts w:hint="eastAsia" w:ascii="仿宋_GB2312" w:eastAsia="仿宋_GB2312" w:cs="宋体"/>
          <w:color w:val="000000"/>
          <w:sz w:val="32"/>
          <w:szCs w:val="32"/>
          <w:lang w:eastAsia="zh-CN"/>
        </w:rPr>
        <w:t>万元。</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val="en-US"/>
        </w:rPr>
        <w:t>(2)</w:t>
      </w:r>
      <w:r>
        <w:rPr>
          <w:rFonts w:hint="eastAsia" w:ascii="仿宋_GB2312" w:eastAsia="仿宋_GB2312" w:cs="宋体"/>
          <w:color w:val="000000"/>
          <w:sz w:val="32"/>
          <w:szCs w:val="32"/>
          <w:lang w:eastAsia="zh-CN"/>
        </w:rPr>
        <w:t>鼓励生产型外贸企业参与国际市场竞争。对于生产型外贸企业每出口</w:t>
      </w:r>
      <w:r>
        <w:rPr>
          <w:rFonts w:hint="eastAsia" w:ascii="仿宋_GB2312" w:eastAsia="仿宋_GB2312" w:cs="宋体"/>
          <w:color w:val="000000"/>
          <w:sz w:val="32"/>
          <w:szCs w:val="32"/>
          <w:lang w:val="en-US"/>
        </w:rPr>
        <w:t>1</w:t>
      </w:r>
      <w:r>
        <w:rPr>
          <w:rFonts w:hint="eastAsia" w:ascii="仿宋_GB2312" w:eastAsia="仿宋_GB2312" w:cs="宋体"/>
          <w:color w:val="000000"/>
          <w:sz w:val="32"/>
          <w:szCs w:val="32"/>
          <w:lang w:eastAsia="zh-CN"/>
        </w:rPr>
        <w:t>美元，奖励人民币</w:t>
      </w:r>
      <w:r>
        <w:rPr>
          <w:rFonts w:hint="eastAsia" w:ascii="仿宋_GB2312" w:eastAsia="仿宋_GB2312" w:cs="宋体"/>
          <w:color w:val="000000"/>
          <w:sz w:val="32"/>
          <w:szCs w:val="32"/>
          <w:lang w:val="en-US"/>
        </w:rPr>
        <w:t>0.04</w:t>
      </w:r>
      <w:r>
        <w:rPr>
          <w:rFonts w:hint="eastAsia" w:ascii="仿宋_GB2312" w:eastAsia="仿宋_GB2312" w:cs="宋体"/>
          <w:color w:val="000000"/>
          <w:sz w:val="32"/>
          <w:szCs w:val="32"/>
          <w:lang w:eastAsia="zh-CN"/>
        </w:rPr>
        <w:t>元。</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val="en-US"/>
        </w:rPr>
        <w:t>(3)</w:t>
      </w:r>
      <w:r>
        <w:rPr>
          <w:rFonts w:hint="eastAsia" w:ascii="仿宋_GB2312" w:eastAsia="仿宋_GB2312" w:cs="宋体"/>
          <w:color w:val="000000"/>
          <w:sz w:val="32"/>
          <w:szCs w:val="32"/>
          <w:lang w:eastAsia="zh-CN"/>
        </w:rPr>
        <w:t>发挥贸易型企业综合服务作用。对于贸易型企业每出口</w:t>
      </w:r>
      <w:r>
        <w:rPr>
          <w:rFonts w:hint="eastAsia" w:ascii="仿宋_GB2312" w:eastAsia="仿宋_GB2312" w:cs="宋体"/>
          <w:color w:val="000000"/>
          <w:sz w:val="32"/>
          <w:szCs w:val="32"/>
          <w:lang w:val="en-US"/>
        </w:rPr>
        <w:t>1</w:t>
      </w:r>
      <w:r>
        <w:rPr>
          <w:rFonts w:hint="eastAsia" w:ascii="仿宋_GB2312" w:eastAsia="仿宋_GB2312" w:cs="宋体"/>
          <w:color w:val="000000"/>
          <w:sz w:val="32"/>
          <w:szCs w:val="32"/>
          <w:lang w:eastAsia="zh-CN"/>
        </w:rPr>
        <w:t>美元，奖励人民币</w:t>
      </w:r>
      <w:r>
        <w:rPr>
          <w:rFonts w:hint="eastAsia" w:ascii="仿宋_GB2312" w:eastAsia="仿宋_GB2312" w:cs="宋体"/>
          <w:color w:val="000000"/>
          <w:sz w:val="32"/>
          <w:szCs w:val="32"/>
          <w:lang w:val="en-US"/>
        </w:rPr>
        <w:t>0.02</w:t>
      </w:r>
      <w:r>
        <w:rPr>
          <w:rFonts w:hint="eastAsia" w:ascii="仿宋_GB2312" w:eastAsia="仿宋_GB2312" w:cs="宋体"/>
          <w:color w:val="000000"/>
          <w:sz w:val="32"/>
          <w:szCs w:val="32"/>
          <w:lang w:eastAsia="zh-CN"/>
        </w:rPr>
        <w:t>元。对首次通过自营出口的外贸型企业，一次性奖励人民币</w:t>
      </w:r>
      <w:r>
        <w:rPr>
          <w:rFonts w:hint="eastAsia" w:ascii="仿宋_GB2312" w:eastAsia="仿宋_GB2312" w:cs="宋体"/>
          <w:color w:val="000000"/>
          <w:sz w:val="32"/>
          <w:szCs w:val="32"/>
          <w:lang w:val="en-US"/>
        </w:rPr>
        <w:t>3</w:t>
      </w:r>
      <w:r>
        <w:rPr>
          <w:rFonts w:hint="eastAsia" w:ascii="仿宋_GB2312" w:eastAsia="仿宋_GB2312" w:cs="宋体"/>
          <w:color w:val="000000"/>
          <w:sz w:val="32"/>
          <w:szCs w:val="32"/>
          <w:lang w:eastAsia="zh-CN"/>
        </w:rPr>
        <w:t>万元。</w:t>
      </w:r>
    </w:p>
    <w:p>
      <w:pPr>
        <w:pStyle w:val="64"/>
        <w:widowControl/>
        <w:ind w:left="0" w:firstLine="672"/>
        <w:rPr>
          <w:rFonts w:hint="eastAsia" w:ascii="仿宋_GB2312" w:eastAsia="仿宋_GB2312" w:cs="宋体"/>
          <w:color w:val="FF0000"/>
          <w:sz w:val="32"/>
          <w:szCs w:val="32"/>
          <w:u w:val="single"/>
          <w:lang w:val="en-US"/>
        </w:rPr>
      </w:pPr>
      <w:r>
        <w:rPr>
          <w:rFonts w:hint="eastAsia" w:ascii="仿宋_GB2312" w:eastAsia="仿宋_GB2312" w:cs="宋体"/>
          <w:color w:val="000000"/>
          <w:sz w:val="32"/>
          <w:szCs w:val="32"/>
          <w:lang w:val="en-US"/>
        </w:rPr>
        <w:t>(4)</w:t>
      </w:r>
      <w:r>
        <w:rPr>
          <w:rFonts w:hint="eastAsia" w:ascii="仿宋_GB2312" w:eastAsia="仿宋_GB2312" w:cs="宋体"/>
          <w:color w:val="000000"/>
          <w:sz w:val="32"/>
          <w:szCs w:val="32"/>
          <w:lang w:eastAsia="zh-CN"/>
        </w:rPr>
        <w:t>支持外贸企业做大做强。外贸企业出口额首次超过</w:t>
      </w:r>
      <w:r>
        <w:rPr>
          <w:rFonts w:hint="eastAsia" w:ascii="仿宋_GB2312" w:eastAsia="仿宋_GB2312" w:cs="宋体"/>
          <w:color w:val="000000"/>
          <w:sz w:val="32"/>
          <w:szCs w:val="32"/>
          <w:lang w:val="en-US"/>
        </w:rPr>
        <w:t>100</w:t>
      </w:r>
      <w:r>
        <w:rPr>
          <w:rFonts w:hint="eastAsia" w:ascii="仿宋_GB2312" w:eastAsia="仿宋_GB2312" w:cs="宋体"/>
          <w:color w:val="000000"/>
          <w:sz w:val="32"/>
          <w:szCs w:val="32"/>
          <w:lang w:eastAsia="zh-CN"/>
        </w:rPr>
        <w:t>万美元的给予人民币</w:t>
      </w:r>
      <w:r>
        <w:rPr>
          <w:rFonts w:hint="eastAsia" w:ascii="仿宋_GB2312" w:eastAsia="仿宋_GB2312" w:cs="宋体"/>
          <w:color w:val="000000"/>
          <w:sz w:val="32"/>
          <w:szCs w:val="32"/>
          <w:lang w:val="en-US"/>
        </w:rPr>
        <w:t>10</w:t>
      </w:r>
      <w:r>
        <w:rPr>
          <w:rFonts w:hint="eastAsia" w:ascii="仿宋_GB2312" w:eastAsia="仿宋_GB2312" w:cs="宋体"/>
          <w:color w:val="000000"/>
          <w:sz w:val="32"/>
          <w:szCs w:val="32"/>
          <w:lang w:eastAsia="zh-CN"/>
        </w:rPr>
        <w:t>万元补贴，首次超过</w:t>
      </w:r>
      <w:r>
        <w:rPr>
          <w:rFonts w:hint="eastAsia" w:ascii="仿宋_GB2312" w:eastAsia="仿宋_GB2312" w:cs="宋体"/>
          <w:color w:val="000000"/>
          <w:sz w:val="32"/>
          <w:szCs w:val="32"/>
          <w:lang w:val="en-US"/>
        </w:rPr>
        <w:t>500</w:t>
      </w:r>
      <w:r>
        <w:rPr>
          <w:rFonts w:hint="eastAsia" w:ascii="仿宋_GB2312" w:eastAsia="仿宋_GB2312" w:cs="宋体"/>
          <w:color w:val="000000"/>
          <w:sz w:val="32"/>
          <w:szCs w:val="32"/>
          <w:lang w:eastAsia="zh-CN"/>
        </w:rPr>
        <w:t>万美元的给予人民币</w:t>
      </w:r>
      <w:r>
        <w:rPr>
          <w:rFonts w:hint="eastAsia" w:ascii="仿宋_GB2312" w:eastAsia="仿宋_GB2312" w:cs="宋体"/>
          <w:color w:val="000000"/>
          <w:sz w:val="32"/>
          <w:szCs w:val="32"/>
          <w:lang w:val="en-US"/>
        </w:rPr>
        <w:t>20</w:t>
      </w:r>
      <w:r>
        <w:rPr>
          <w:rFonts w:hint="eastAsia" w:ascii="仿宋_GB2312" w:eastAsia="仿宋_GB2312" w:cs="宋体"/>
          <w:color w:val="000000"/>
          <w:sz w:val="32"/>
          <w:szCs w:val="32"/>
          <w:lang w:eastAsia="zh-CN"/>
        </w:rPr>
        <w:t>万奖补贴，首次超过</w:t>
      </w:r>
      <w:r>
        <w:rPr>
          <w:rFonts w:hint="eastAsia" w:ascii="仿宋_GB2312" w:eastAsia="仿宋_GB2312" w:cs="宋体"/>
          <w:color w:val="000000"/>
          <w:sz w:val="32"/>
          <w:szCs w:val="32"/>
          <w:lang w:val="en-US"/>
        </w:rPr>
        <w:t>1000</w:t>
      </w:r>
      <w:r>
        <w:rPr>
          <w:rFonts w:hint="eastAsia" w:ascii="仿宋_GB2312" w:eastAsia="仿宋_GB2312" w:cs="宋体"/>
          <w:color w:val="000000"/>
          <w:sz w:val="32"/>
          <w:szCs w:val="32"/>
          <w:lang w:eastAsia="zh-CN"/>
        </w:rPr>
        <w:t>万美元的给予人民币</w:t>
      </w:r>
      <w:r>
        <w:rPr>
          <w:rFonts w:hint="eastAsia" w:ascii="仿宋_GB2312" w:eastAsia="仿宋_GB2312" w:cs="宋体"/>
          <w:color w:val="000000"/>
          <w:sz w:val="32"/>
          <w:szCs w:val="32"/>
          <w:lang w:val="en-US"/>
        </w:rPr>
        <w:t>30</w:t>
      </w:r>
      <w:r>
        <w:rPr>
          <w:rFonts w:hint="eastAsia" w:ascii="仿宋_GB2312" w:eastAsia="仿宋_GB2312" w:cs="宋体"/>
          <w:color w:val="000000"/>
          <w:sz w:val="32"/>
          <w:szCs w:val="32"/>
          <w:lang w:eastAsia="zh-CN"/>
        </w:rPr>
        <w:t>万补贴，首次超过</w:t>
      </w:r>
      <w:r>
        <w:rPr>
          <w:rFonts w:hint="eastAsia" w:ascii="仿宋_GB2312" w:eastAsia="仿宋_GB2312" w:cs="宋体"/>
          <w:color w:val="000000"/>
          <w:sz w:val="32"/>
          <w:szCs w:val="32"/>
          <w:lang w:val="en-US"/>
        </w:rPr>
        <w:t>1</w:t>
      </w:r>
      <w:r>
        <w:rPr>
          <w:rFonts w:hint="eastAsia" w:ascii="仿宋_GB2312" w:eastAsia="仿宋_GB2312" w:cs="宋体"/>
          <w:color w:val="000000"/>
          <w:sz w:val="32"/>
          <w:szCs w:val="32"/>
          <w:lang w:eastAsia="zh-CN"/>
        </w:rPr>
        <w:t>亿美元的给予人民币</w:t>
      </w:r>
      <w:r>
        <w:rPr>
          <w:rFonts w:hint="eastAsia" w:ascii="仿宋_GB2312" w:eastAsia="仿宋_GB2312" w:cs="宋体"/>
          <w:color w:val="000000"/>
          <w:sz w:val="32"/>
          <w:szCs w:val="32"/>
          <w:lang w:val="en-US"/>
        </w:rPr>
        <w:t>100</w:t>
      </w:r>
      <w:r>
        <w:rPr>
          <w:rFonts w:hint="eastAsia" w:ascii="仿宋_GB2312" w:eastAsia="仿宋_GB2312" w:cs="宋体"/>
          <w:color w:val="000000"/>
          <w:sz w:val="32"/>
          <w:szCs w:val="32"/>
          <w:lang w:eastAsia="zh-CN"/>
        </w:rPr>
        <w:t>万元补贴。</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1．项目主要内容：进一步促进对外贸易发展，鼓励企业主动参与国际市场竞争，切实培育竞争新优势，推动外贸加快转型升级。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2．项目具体绩效目标</w:t>
      </w:r>
      <w:r>
        <w:rPr>
          <w:rFonts w:hint="eastAsia" w:ascii="仿宋_GB2312" w:hAnsi="Times New Roman" w:eastAsia="仿宋_GB2312" w:cs="仿宋_GB2312"/>
          <w:kern w:val="2"/>
          <w:sz w:val="32"/>
          <w:szCs w:val="32"/>
          <w:lang w:val="en-US" w:eastAsia="zh-CN" w:bidi="ar"/>
        </w:rPr>
        <w:t>:为</w:t>
      </w:r>
      <w:r>
        <w:rPr>
          <w:rFonts w:hint="eastAsia" w:ascii="仿宋_GB2312" w:hAnsi="宋体" w:eastAsia="仿宋_GB2312" w:cs="仿宋_GB2312"/>
          <w:kern w:val="2"/>
          <w:sz w:val="32"/>
          <w:szCs w:val="32"/>
          <w:lang w:val="en-US" w:eastAsia="zh-CN" w:bidi="ar"/>
        </w:rPr>
        <w:t>进一步促进对外贸易发展，鼓励企业主动参与国际市场竞争，切实培育竞争新优势，推动外贸加快转型升级，特制订奖励政策。</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2020年省级外贸资金专项经费与申报内容相符、申报目标合理可行。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在绩效评价工作中，我局严格按照</w:t>
      </w:r>
      <w:r>
        <w:rPr>
          <w:rFonts w:hint="eastAsia" w:ascii="仿宋_GB2312" w:hAnsi="Times New Roman" w:eastAsia="仿宋_GB2312" w:cs="宋体"/>
          <w:kern w:val="2"/>
          <w:sz w:val="32"/>
          <w:szCs w:val="32"/>
          <w:lang w:val="en-US" w:eastAsia="zh-CN" w:bidi="ar"/>
        </w:rPr>
        <w:t>《</w:t>
      </w:r>
      <w:r>
        <w:rPr>
          <w:rFonts w:hint="eastAsia" w:ascii="仿宋_GB2312" w:hAnsi="仿宋_GB2312" w:eastAsia="仿宋_GB2312" w:cs="仿宋_GB2312"/>
          <w:kern w:val="0"/>
          <w:sz w:val="32"/>
          <w:szCs w:val="32"/>
          <w:lang w:val="en-US" w:eastAsia="zh-CN" w:bidi="ar"/>
        </w:rPr>
        <w:t>广元市朝天区财政局关于开展2022年部门、政策和项目支出绩效自评工作的通知》（广朝财发〔2022〕28号）文件</w:t>
      </w:r>
      <w:r>
        <w:rPr>
          <w:rFonts w:hint="eastAsia" w:ascii="仿宋_GB2312" w:hAnsi="宋体" w:eastAsia="仿宋_GB2312" w:cs="仿宋_GB2312"/>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一是前期准备。我局成立了专项资金绩效评价工作领导小组，明确了工作职责，制定了评价方案，细化了组织实施步骤和环节安排等内容，确定了实施时间。具体由外贸股室牵头、专人负责开展业务学习与培训，落实专项资金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二是具体实施。项目绩效评价实施步骤：（1）召开座谈会。组织相关股室、项目实施单位等召开座谈会，听取该绩效项目有关情况介绍和社会评价与建议。（2）收集核查资料。收集该项目资金相关政策文件和相关制度等资料；加强自查相关制度是否完善，资金分配、使用是否合理，拨付手续是否齐全，是否存在截留、挪用等情况。（3）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kern w:val="2"/>
          <w:sz w:val="32"/>
          <w:szCs w:val="32"/>
          <w:lang w:val="en-US" w:eastAsia="zh-CN" w:bidi="ar"/>
        </w:rPr>
        <w:t>按照</w:t>
      </w:r>
      <w:r>
        <w:rPr>
          <w:rFonts w:hint="eastAsia" w:ascii="仿宋_GB2312" w:hAnsi="Times New Roman" w:eastAsia="仿宋_GB2312" w:cs="宋体"/>
          <w:color w:val="000000"/>
          <w:kern w:val="2"/>
          <w:sz w:val="32"/>
          <w:szCs w:val="32"/>
          <w:lang w:val="en-US" w:eastAsia="zh-CN" w:bidi="ar"/>
        </w:rPr>
        <w:t>区财政局《关于下达2020年省级外经贸资金的通知》（广朝财建〔2021〕3号）文件</w:t>
      </w:r>
      <w:r>
        <w:rPr>
          <w:rFonts w:hint="eastAsia" w:ascii="仿宋" w:hAnsi="仿宋" w:eastAsia="仿宋" w:cs="仿宋"/>
          <w:kern w:val="2"/>
          <w:sz w:val="32"/>
          <w:szCs w:val="32"/>
          <w:lang w:val="en-US" w:eastAsia="zh-CN" w:bidi="ar"/>
        </w:rPr>
        <w:t>，</w:t>
      </w:r>
      <w:r>
        <w:rPr>
          <w:rFonts w:hint="eastAsia" w:ascii="仿宋_GB2312" w:hAnsi="Times New Roman" w:eastAsia="仿宋_GB2312" w:cs="宋体"/>
          <w:kern w:val="2"/>
          <w:sz w:val="32"/>
          <w:szCs w:val="32"/>
          <w:lang w:val="en-US" w:eastAsia="zh-CN" w:bidi="ar"/>
        </w:rPr>
        <w:t>安排2020年省级外贸资金17.28万元，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当年安排</w:t>
      </w:r>
      <w:r>
        <w:rPr>
          <w:rFonts w:hint="eastAsia" w:ascii="仿宋_GB2312" w:hAnsi="Times New Roman" w:eastAsia="仿宋_GB2312" w:cs="宋体"/>
          <w:kern w:val="2"/>
          <w:sz w:val="32"/>
          <w:szCs w:val="32"/>
          <w:lang w:val="en-US" w:eastAsia="zh-CN" w:bidi="ar"/>
        </w:rPr>
        <w:t>2020年省级外贸专项资金17.28万元。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仿宋" w:eastAsia="仿宋_GB2312" w:cs="仿宋_GB2312"/>
          <w:kern w:val="2"/>
          <w:sz w:val="32"/>
          <w:szCs w:val="32"/>
          <w:lang w:val="en-US" w:eastAsia="zh-CN" w:bidi="ar"/>
        </w:rPr>
        <w:t>全年到位</w:t>
      </w:r>
      <w:r>
        <w:rPr>
          <w:rFonts w:hint="eastAsia" w:ascii="仿宋_GB2312" w:hAnsi="Times New Roman" w:eastAsia="仿宋_GB2312" w:cs="宋体"/>
          <w:kern w:val="2"/>
          <w:sz w:val="32"/>
          <w:szCs w:val="32"/>
          <w:lang w:val="en-US" w:eastAsia="zh-CN" w:bidi="ar"/>
        </w:rPr>
        <w:t>2020年省级外贸专项资金</w:t>
      </w:r>
      <w:r>
        <w:rPr>
          <w:rFonts w:hint="eastAsia" w:ascii="仿宋_GB2312" w:hAnsi="仿宋_GB2312" w:eastAsia="仿宋_GB2312" w:cs="仿宋_GB2312"/>
          <w:kern w:val="2"/>
          <w:sz w:val="32"/>
          <w:szCs w:val="32"/>
          <w:lang w:val="en-US" w:eastAsia="zh-CN" w:bidi="ar"/>
        </w:rPr>
        <w:t>17.28</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资金到位率100%，</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 w:eastAsia="仿宋_GB2312" w:cs="仿宋_GB2312"/>
          <w:sz w:val="32"/>
          <w:szCs w:val="32"/>
          <w:lang w:val="en-US" w:bidi="ar"/>
        </w:rPr>
      </w:pPr>
      <w:r>
        <w:rPr>
          <w:rFonts w:hint="eastAsia" w:ascii="楷体" w:hAnsi="楷体" w:eastAsia="楷体" w:cs="楷体"/>
          <w:bCs/>
          <w:spacing w:val="-6"/>
          <w:kern w:val="2"/>
          <w:sz w:val="32"/>
          <w:szCs w:val="32"/>
          <w:lang w:val="en-US" w:eastAsia="zh-CN" w:bidi="ar"/>
        </w:rPr>
        <w:t>3.资金使用。</w:t>
      </w:r>
      <w:r>
        <w:rPr>
          <w:rFonts w:hint="eastAsia" w:ascii="仿宋_GB2312" w:hAnsi="Times New Roman" w:eastAsia="仿宋_GB2312" w:cs="仿宋_GB2312"/>
          <w:spacing w:val="-6"/>
          <w:kern w:val="2"/>
          <w:sz w:val="32"/>
          <w:szCs w:val="32"/>
          <w:lang w:val="en-US" w:eastAsia="zh-CN" w:bidi="ar"/>
        </w:rPr>
        <w:t>严格按照相关文件要求，该项目经费拨款全部用于</w:t>
      </w:r>
      <w:r>
        <w:rPr>
          <w:rFonts w:hint="eastAsia" w:ascii="仿宋_GB2312" w:hAnsi="Times New Roman" w:eastAsia="仿宋_GB2312" w:cs="宋体"/>
          <w:kern w:val="2"/>
          <w:sz w:val="32"/>
          <w:szCs w:val="32"/>
          <w:lang w:val="en-US" w:eastAsia="zh-CN" w:bidi="ar"/>
        </w:rPr>
        <w:t>2020年省级外贸</w:t>
      </w:r>
      <w:r>
        <w:rPr>
          <w:rFonts w:hint="eastAsia" w:ascii="仿宋_GB2312" w:hAnsi="Times New Roman" w:eastAsia="仿宋_GB2312" w:cs="仿宋_GB2312"/>
          <w:spacing w:val="-6"/>
          <w:kern w:val="2"/>
          <w:sz w:val="32"/>
          <w:szCs w:val="32"/>
          <w:lang w:val="en-US" w:eastAsia="zh-CN" w:bidi="ar"/>
        </w:rPr>
        <w:t>发展专项支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宋体" w:eastAsia="仿宋_GB2312" w:cs="仿宋_GB2312"/>
          <w:kern w:val="2"/>
          <w:sz w:val="32"/>
          <w:szCs w:val="32"/>
          <w:lang w:val="en-US" w:eastAsia="zh-CN" w:bidi="ar"/>
        </w:rPr>
        <w:t>资金使用的安全性、规范性及有效性、</w:t>
      </w:r>
      <w:r>
        <w:rPr>
          <w:rFonts w:hint="eastAsia" w:ascii="仿宋_GB2312" w:hAnsi="仿宋" w:eastAsia="仿宋_GB2312" w:cs="仿宋_GB2312"/>
          <w:kern w:val="2"/>
          <w:sz w:val="32"/>
          <w:szCs w:val="32"/>
          <w:lang w:val="en-US" w:eastAsia="zh-CN" w:bidi="ar"/>
        </w:rPr>
        <w:t>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（三）项目财务管理情况</w:t>
      </w:r>
    </w:p>
    <w:p>
      <w:pPr>
        <w:pStyle w:val="64"/>
        <w:widowControl/>
        <w:spacing w:line="360" w:lineRule="auto"/>
        <w:ind w:left="0" w:firstLine="672"/>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为加强项目资金的使用管理，我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zh-CN" w:eastAsia="zh-CN"/>
        </w:rPr>
        <w:t>严格按照</w:t>
      </w:r>
      <w:r>
        <w:rPr>
          <w:rFonts w:hint="eastAsia" w:ascii="仿宋_GB2312" w:eastAsia="仿宋_GB2312" w:cs="宋体"/>
          <w:color w:val="000000"/>
          <w:sz w:val="32"/>
          <w:szCs w:val="32"/>
          <w:lang w:eastAsia="zh-CN"/>
        </w:rPr>
        <w:t>广商发〔</w:t>
      </w:r>
      <w:r>
        <w:rPr>
          <w:rFonts w:hint="eastAsia" w:ascii="仿宋_GB2312" w:eastAsia="仿宋_GB2312" w:cs="宋体"/>
          <w:color w:val="000000"/>
          <w:sz w:val="32"/>
          <w:szCs w:val="32"/>
          <w:lang w:val="en-US"/>
        </w:rPr>
        <w:t>2017</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173</w:t>
      </w:r>
      <w:r>
        <w:rPr>
          <w:rFonts w:hint="eastAsia" w:ascii="仿宋_GB2312" w:eastAsia="仿宋_GB2312" w:cs="宋体"/>
          <w:color w:val="000000"/>
          <w:sz w:val="32"/>
          <w:szCs w:val="32"/>
          <w:lang w:eastAsia="zh-CN"/>
        </w:rPr>
        <w:t>号）、</w:t>
      </w:r>
      <w:r>
        <w:rPr>
          <w:rFonts w:hint="eastAsia" w:ascii="仿宋_GB2312" w:hAnsi="仿宋_GB2312" w:eastAsia="仿宋_GB2312" w:cs="仿宋_GB2312"/>
          <w:sz w:val="32"/>
          <w:szCs w:val="32"/>
          <w:lang w:val="zh-CN" w:eastAsia="zh-CN"/>
        </w:rPr>
        <w:t>广朝财建〔202</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val="zh-CN" w:eastAsia="zh-CN"/>
        </w:rPr>
        <w:t>号和市、区财务管理制度等文件规定</w:t>
      </w:r>
      <w:r>
        <w:rPr>
          <w:rFonts w:hint="eastAsia" w:ascii="仿宋_GB2312" w:hAnsi="仿宋_GB2312" w:eastAsia="仿宋_GB2312" w:cs="仿宋_GB2312"/>
          <w:sz w:val="32"/>
          <w:szCs w:val="32"/>
          <w:shd w:val="pct10" w:color="auto" w:fill="FFFFFF"/>
          <w:lang w:val="zh-CN" w:eastAsia="zh-CN"/>
        </w:rPr>
        <w:t>，</w:t>
      </w:r>
      <w:r>
        <w:rPr>
          <w:rFonts w:hint="eastAsia" w:ascii="仿宋_GB2312" w:hAnsi="仿宋_GB2312" w:eastAsia="仿宋_GB2312" w:cs="仿宋_GB2312"/>
          <w:sz w:val="32"/>
          <w:szCs w:val="32"/>
          <w:lang w:val="zh-CN" w:eastAsia="zh-CN"/>
        </w:rPr>
        <w:t>兑付</w:t>
      </w:r>
      <w:r>
        <w:rPr>
          <w:rFonts w:hint="eastAsia" w:ascii="仿宋_GB2312" w:eastAsia="仿宋_GB2312" w:cs="仿宋_GB2312"/>
          <w:spacing w:val="-6"/>
          <w:sz w:val="32"/>
          <w:szCs w:val="32"/>
          <w:lang w:val="en-US"/>
        </w:rPr>
        <w:t>2020</w:t>
      </w:r>
      <w:r>
        <w:rPr>
          <w:rFonts w:hint="eastAsia" w:ascii="仿宋_GB2312" w:eastAsia="仿宋_GB2312" w:cs="仿宋_GB2312"/>
          <w:spacing w:val="-6"/>
          <w:sz w:val="32"/>
          <w:szCs w:val="32"/>
          <w:lang w:eastAsia="zh-CN"/>
        </w:rPr>
        <w:t>年度省级外经贸发展资金，</w:t>
      </w:r>
      <w:r>
        <w:rPr>
          <w:rFonts w:hint="eastAsia" w:ascii="仿宋_GB2312" w:hAnsi="仿宋_GB2312" w:eastAsia="仿宋_GB2312" w:cs="仿宋_GB2312"/>
          <w:sz w:val="32"/>
          <w:szCs w:val="32"/>
          <w:lang w:val="zh-CN" w:eastAsia="zh-CN"/>
        </w:rPr>
        <w:t>使项目资金能最大限度地发挥其作用。资金运行安全率达100%。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（一）项目组织架构及实施流程</w:t>
      </w:r>
      <w:r>
        <w:rPr>
          <w:rFonts w:hint="eastAsia" w:ascii="楷体_GB2312" w:hAnsi="宋体" w:eastAsia="楷体_GB2312" w:cs="楷体_GB2312"/>
          <w:b/>
          <w:bCs w:val="0"/>
          <w:kern w:val="2"/>
          <w:sz w:val="32"/>
          <w:szCs w:val="32"/>
          <w:lang w:val="en-US" w:eastAsia="zh-CN" w:bidi="ar"/>
        </w:rPr>
        <w:t>。</w:t>
      </w:r>
      <w:r>
        <w:rPr>
          <w:rFonts w:hint="eastAsia" w:ascii="仿宋_GB2312" w:hAnsi="仿宋_GB2312" w:eastAsia="仿宋_GB2312" w:cs="仿宋_GB2312"/>
          <w:kern w:val="2"/>
          <w:sz w:val="32"/>
          <w:szCs w:val="32"/>
          <w:lang w:val="en-US" w:eastAsia="zh-CN" w:bidi="ar"/>
        </w:rPr>
        <w:t>按照申报要求，积极组织本辖区内企业申报项目并进行审核。项目具体实施流程：由企业填报申请表并附申报资料上报区商务主管部门、区商务主管部门外贸股室复核并给出初步确定资金安排情况后，提交局党组会专题讨论研究通过，区商务主管部门拨付至各企业、项目单位。</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（二）项目管理情况。</w:t>
      </w:r>
      <w:r>
        <w:rPr>
          <w:rFonts w:hint="eastAsia" w:ascii="仿宋_GB2312" w:hAnsi="仿宋_GB2312" w:eastAsia="仿宋_GB2312" w:cs="仿宋_GB2312"/>
          <w:kern w:val="2"/>
          <w:sz w:val="32"/>
          <w:szCs w:val="32"/>
          <w:lang w:val="en-US" w:eastAsia="zh-CN" w:bidi="ar"/>
        </w:rPr>
        <w:t>当年使用2020年省级外贸专项资金17.28万元，其中：四川省广元市康康医疗器械有限公司出口额135.04万美元，出口奖励金5.4万元；四川岚晟生物科技有限公司出口额6.89万美元，出口奖励金0.28万元</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；四川食味轩食品有限公司出口额214.88万美元，出口奖励金8.6万元；四川铭曼进出口有限公司出口额1.51万美元，首次出口奖励3万元。</w:t>
      </w:r>
      <w:r>
        <w:rPr>
          <w:rFonts w:hint="eastAsia" w:ascii="仿宋_GB2312" w:hAnsi="仿宋_GB2312" w:eastAsia="仿宋_GB2312" w:cs="仿宋_GB2312"/>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 w:hAnsi="仿宋" w:eastAsia="仿宋" w:cs="仿宋"/>
          <w:kern w:val="2"/>
          <w:sz w:val="32"/>
          <w:szCs w:val="32"/>
          <w:lang w:val="en-US" w:eastAsia="zh-CN" w:bidi="ar"/>
        </w:rPr>
        <w:t>（三）项目监管情况。</w:t>
      </w:r>
      <w:r>
        <w:rPr>
          <w:rFonts w:hint="eastAsia" w:ascii="仿宋_GB2312" w:hAnsi="宋体" w:eastAsia="仿宋_GB2312" w:cs="仿宋_GB2312"/>
          <w:b/>
          <w:bCs w:val="0"/>
          <w:kern w:val="2"/>
          <w:sz w:val="32"/>
          <w:szCs w:val="32"/>
          <w:lang w:val="en-US" w:eastAsia="zh-CN" w:bidi="ar"/>
        </w:rPr>
        <w:t>一是</w:t>
      </w:r>
      <w:r>
        <w:rPr>
          <w:rFonts w:hint="eastAsia" w:ascii="仿宋_GB2312" w:hAnsi="宋体" w:eastAsia="仿宋_GB2312" w:cs="仿宋_GB2312"/>
          <w:kern w:val="2"/>
          <w:sz w:val="32"/>
          <w:szCs w:val="32"/>
          <w:lang w:val="en-US" w:eastAsia="zh-CN" w:bidi="ar"/>
        </w:rPr>
        <w:t>建立健全资金管理制度和项目实施办法为确保省级外经贸发展资金规范管理、有效使用提供可靠依据。为管好用好省级外贸资金，外贸股将项目的管理和监督责任明确到人，使资金管理使用有规可依。</w:t>
      </w:r>
      <w:r>
        <w:rPr>
          <w:rFonts w:hint="eastAsia" w:ascii="仿宋_GB2312" w:hAnsi="宋体" w:eastAsia="仿宋_GB2312" w:cs="仿宋_GB2312"/>
          <w:b/>
          <w:bCs w:val="0"/>
          <w:kern w:val="2"/>
          <w:sz w:val="32"/>
          <w:szCs w:val="32"/>
          <w:lang w:val="en-US" w:eastAsia="zh-CN" w:bidi="ar"/>
        </w:rPr>
        <w:t>二是</w:t>
      </w:r>
      <w:r>
        <w:rPr>
          <w:rFonts w:hint="eastAsia" w:ascii="仿宋_GB2312" w:hAnsi="宋体" w:eastAsia="仿宋_GB2312" w:cs="仿宋_GB2312"/>
          <w:kern w:val="2"/>
          <w:sz w:val="32"/>
          <w:szCs w:val="32"/>
          <w:lang w:val="en-US" w:eastAsia="zh-CN" w:bidi="ar"/>
        </w:rPr>
        <w:t>做好事前调研、事中监管、事后追踪问效三个环节工作为内外贸专项资金管理使用全程护航。为保证项目实施的效果，我局会同区财政局在项目申报之初就对项目单位进行考察调研，确保项目实施单位有相应配套资金投入；在项目实施过程中，全程进行监管，确保项目完全实施、资金足额投入;项目实施完毕后，及时对项目实施效果进行评估，确供项目取得实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1、数量指标：外贸出口备案企业9家，出口实绩企业4家，外商投资企业1家；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2、质量指标：制定项目申报方案1个，拟定资金使用计划1个；</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3、时效指标：项目资金申报时效2个周，项目资金审核时效2个周，项目资金批复并兑现时效1个月；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4、成本指标：生产型外贸企业奖励标准出口１美元奖0.04分，奖励金额14.28万元；首次通过自营出口的外贸型企业奖励标准超过1美元一次性奖励3万元，奖励金额3万元；</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2021年,</w:t>
      </w:r>
      <w:r>
        <w:rPr>
          <w:rFonts w:hint="eastAsia" w:ascii="仿宋_GB2312" w:hAnsi="仿宋_GB2312" w:eastAsia="仿宋_GB2312" w:cs="仿宋_GB2312"/>
          <w:kern w:val="2"/>
          <w:sz w:val="32"/>
          <w:szCs w:val="32"/>
          <w:lang w:val="en-US" w:eastAsia="zh-CN" w:bidi="ar"/>
        </w:rPr>
        <w:t>新冠肺炎疫情仍</w:t>
      </w:r>
      <w:r>
        <w:rPr>
          <w:rFonts w:hint="eastAsia" w:ascii="仿宋_GB2312" w:hAnsi="仿宋" w:eastAsia="仿宋_GB2312" w:cs="仿宋_GB2312"/>
          <w:kern w:val="2"/>
          <w:sz w:val="32"/>
          <w:szCs w:val="32"/>
          <w:lang w:val="en-US" w:eastAsia="zh-CN" w:bidi="ar"/>
        </w:rPr>
        <w:t>在全球蔓延,全区外贸企业受疫情影响,加剧了参与市场竞争的难度，导致全区外贸发展存在不确定不稳定性。通过组织企业申报省级外贸发展项目，促进我区中小外贸企业参与国际竞争的积极性，调动了企业扩大进出口的主动性，推动我区对外贸易可持续发展。</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w:t>
      </w:r>
      <w:r>
        <w:rPr>
          <w:rFonts w:hint="eastAsia" w:ascii="仿宋_GB2312" w:hAnsi="Times New Roman" w:eastAsia="仿宋_GB2312" w:cs="宋体"/>
          <w:kern w:val="2"/>
          <w:sz w:val="32"/>
          <w:szCs w:val="32"/>
          <w:lang w:val="en-US" w:eastAsia="zh-CN" w:bidi="ar"/>
        </w:rPr>
        <w:t>2020年省级外贸资金</w:t>
      </w:r>
      <w:r>
        <w:rPr>
          <w:rFonts w:hint="eastAsia" w:ascii="仿宋_GB2312" w:hAnsi="宋体" w:eastAsia="仿宋_GB2312" w:cs="仿宋_GB2312"/>
          <w:kern w:val="2"/>
          <w:sz w:val="32"/>
          <w:szCs w:val="32"/>
          <w:lang w:val="en-US" w:eastAsia="zh-CN" w:bidi="ar"/>
        </w:rPr>
        <w:t>项目绩效得95分，等级为“优”（详见附表2）。</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（一）存在的问题</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2021年受</w:t>
      </w:r>
      <w:r>
        <w:rPr>
          <w:rFonts w:hint="eastAsia" w:ascii="仿宋_GB2312" w:hAnsi="仿宋_GB2312" w:eastAsia="仿宋_GB2312" w:cs="仿宋_GB2312"/>
          <w:kern w:val="2"/>
          <w:sz w:val="32"/>
          <w:szCs w:val="32"/>
          <w:lang w:val="en-US" w:eastAsia="zh-CN" w:bidi="ar"/>
        </w:rPr>
        <w:t>新冠肺炎</w:t>
      </w:r>
      <w:r>
        <w:rPr>
          <w:rFonts w:hint="eastAsia" w:ascii="仿宋_GB2312" w:hAnsi="仿宋" w:eastAsia="仿宋_GB2312" w:cs="仿宋_GB2312"/>
          <w:kern w:val="2"/>
          <w:sz w:val="32"/>
          <w:szCs w:val="32"/>
          <w:lang w:val="en-US" w:eastAsia="zh-CN" w:bidi="ar"/>
        </w:rPr>
        <w:t>疫情影响，全区外贸进出口总额未完成市下目标。</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_GB2312" w:hAnsi="仿宋_GB2312" w:eastAsia="仿宋_GB2312" w:cs="仿宋_GB2312"/>
          <w:kern w:val="2"/>
          <w:sz w:val="32"/>
          <w:szCs w:val="32"/>
          <w:lang w:val="en-US" w:eastAsia="zh-CN" w:bidi="ar"/>
        </w:rPr>
        <w:t>继续加大企业扶持力度。</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黑体" w:hAnsi="宋体" w:eastAsia="黑体" w:cs="黑体"/>
          <w:color w:val="000000"/>
          <w:kern w:val="0"/>
          <w:sz w:val="24"/>
          <w:szCs w:val="24"/>
          <w:lang w:val="en-US"/>
        </w:rPr>
      </w:pPr>
      <w:r>
        <w:rPr>
          <w:rFonts w:hint="eastAsia" w:ascii="仿宋" w:hAnsi="仿宋" w:eastAsia="仿宋" w:cs="仿宋"/>
          <w:kern w:val="2"/>
          <w:sz w:val="32"/>
          <w:szCs w:val="32"/>
          <w:lang w:val="en-US" w:eastAsia="zh-CN" w:bidi="ar"/>
        </w:rPr>
        <w:t>附表：3-1</w:t>
      </w:r>
      <w:r>
        <w:rPr>
          <w:rFonts w:hint="eastAsia" w:ascii="仿宋_GB2312" w:hAnsi="宋体" w:eastAsia="仿宋_GB2312" w:cs="仿宋_GB2312"/>
          <w:color w:val="000000"/>
          <w:spacing w:val="-6"/>
          <w:kern w:val="0"/>
          <w:sz w:val="32"/>
          <w:szCs w:val="32"/>
          <w:lang w:val="en-US" w:eastAsia="zh-CN" w:bidi="ar"/>
        </w:rPr>
        <w:t>专项预算项目支出绩效目标自评表</w:t>
      </w: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rPr>
        <w:t xml:space="preserve">3-2 </w:t>
      </w:r>
      <w:r>
        <w:rPr>
          <w:rFonts w:hint="eastAsia" w:ascii="仿宋_GB2312" w:hAnsi="宋体" w:eastAsia="仿宋_GB2312" w:cs="仿宋_GB2312"/>
          <w:color w:val="000000"/>
          <w:spacing w:val="-6"/>
          <w:kern w:val="0"/>
          <w:sz w:val="32"/>
          <w:szCs w:val="32"/>
          <w:lang w:val="en-US"/>
        </w:rPr>
        <w:t>2022</w:t>
      </w:r>
      <w:r>
        <w:rPr>
          <w:rFonts w:hint="eastAsia" w:ascii="仿宋_GB2312" w:hAnsi="宋体" w:eastAsia="仿宋_GB2312" w:cs="仿宋_GB2312"/>
          <w:color w:val="000000"/>
          <w:spacing w:val="-6"/>
          <w:kern w:val="0"/>
          <w:sz w:val="32"/>
          <w:szCs w:val="32"/>
          <w:lang w:eastAsia="zh-CN"/>
        </w:rPr>
        <w:t>年专项预算项目支出绩效自评评分表</w:t>
      </w: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4"/>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4"/>
        <w:widowControl/>
        <w:ind w:left="0" w:leftChars="0" w:firstLine="0" w:firstLineChars="0"/>
        <w:rPr>
          <w:rFonts w:hint="eastAsia" w:ascii="仿宋_GB2312" w:hAnsi="宋体" w:eastAsia="仿宋_GB2312" w:cs="仿宋_GB2312"/>
          <w:color w:val="000000"/>
          <w:spacing w:val="-6"/>
          <w:kern w:val="0"/>
          <w:sz w:val="10"/>
          <w:szCs w:val="10"/>
          <w:lang w:val="en-US"/>
        </w:r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697"/>
        <w:gridCol w:w="906"/>
        <w:gridCol w:w="264"/>
        <w:gridCol w:w="1721"/>
        <w:gridCol w:w="1843"/>
        <w:gridCol w:w="1702"/>
        <w:gridCol w:w="140"/>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8946" w:type="dxa"/>
            <w:gridSpan w:val="9"/>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color w:val="000000"/>
                <w:sz w:val="28"/>
                <w:szCs w:val="28"/>
                <w:lang w:val="en-US"/>
              </w:rPr>
            </w:pPr>
            <w:r>
              <w:rPr>
                <w:rFonts w:hint="eastAsia" w:ascii="黑体" w:hAnsi="宋体" w:eastAsia="黑体" w:cs="黑体"/>
                <w:color w:val="000000"/>
                <w:kern w:val="0"/>
                <w:sz w:val="21"/>
                <w:szCs w:val="21"/>
                <w:lang w:val="en-US" w:eastAsia="zh-CN" w:bidi="ar"/>
              </w:rPr>
              <w:t>附表3-1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2020年省级外贸资金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17.28</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全年执行数（万元）</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其中：一般公共预算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17.28</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其中：一般公共预算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全年预期目标</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目标：为进一步促进对外贸易发展，鼓励企业主动参与国际市场竞争，切实培育竞争新优势，推动外贸加快转型升级，特制订奖励政策。</w:t>
            </w:r>
            <w:r>
              <w:rPr>
                <w:rFonts w:hint="eastAsia" w:ascii="宋体" w:hAnsi="宋体" w:eastAsia="宋体" w:cs="宋体"/>
                <w:kern w:val="0"/>
                <w:sz w:val="20"/>
                <w:szCs w:val="20"/>
                <w:lang w:val="en-US" w:eastAsia="zh-CN" w:bidi="ar"/>
              </w:rPr>
              <w:t>全年专项奖励资金17.28万元。</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目标完成情况：</w:t>
            </w:r>
            <w:r>
              <w:rPr>
                <w:rFonts w:hint="eastAsia" w:ascii="宋体" w:hAnsi="宋体" w:eastAsia="宋体" w:cs="宋体"/>
                <w:kern w:val="0"/>
                <w:sz w:val="20"/>
                <w:szCs w:val="20"/>
                <w:lang w:val="en-US" w:eastAsia="zh-CN" w:bidi="ar"/>
              </w:rPr>
              <w:t xml:space="preserve">全年兑付专项奖励资金17.28万元。  </w:t>
            </w:r>
            <w:r>
              <w:rPr>
                <w:rFonts w:hint="eastAsia" w:ascii="宋体" w:hAnsi="宋体" w:eastAsia="宋体" w:cs="宋体"/>
                <w:color w:val="000000"/>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全年预期指标（包                     含数字及文字描述）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全年实际完成指标值 （包含数字及文字描述）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90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2"/>
                <w:sz w:val="16"/>
                <w:szCs w:val="16"/>
                <w:lang w:val="en-US" w:eastAsia="zh-CN" w:bidi="ar"/>
              </w:rPr>
              <w:t>外贸出口备案企业</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9</w:t>
            </w:r>
            <w:r>
              <w:rPr>
                <w:rFonts w:hint="eastAsia" w:ascii="Times New Roman" w:hAnsi="Times New Roman" w:eastAsia="宋体" w:cs="宋体"/>
                <w:kern w:val="2"/>
                <w:sz w:val="20"/>
                <w:szCs w:val="20"/>
                <w:lang w:val="en-US" w:eastAsia="zh-CN" w:bidi="ar"/>
              </w:rPr>
              <w:t>家</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9</w:t>
            </w:r>
            <w:r>
              <w:rPr>
                <w:rFonts w:hint="eastAsia" w:ascii="Times New Roman" w:hAnsi="Times New Roman" w:eastAsia="宋体" w:cs="宋体"/>
                <w:kern w:val="2"/>
                <w:sz w:val="20"/>
                <w:szCs w:val="20"/>
                <w:lang w:val="en-US" w:eastAsia="zh-CN" w:bidi="ar"/>
              </w:rPr>
              <w:t>家</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出口实绩企业</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4</w:t>
            </w:r>
            <w:r>
              <w:rPr>
                <w:rFonts w:hint="eastAsia" w:ascii="Times New Roman" w:hAnsi="Times New Roman" w:eastAsia="宋体" w:cs="宋体"/>
                <w:kern w:val="2"/>
                <w:sz w:val="20"/>
                <w:szCs w:val="20"/>
                <w:lang w:val="en-US" w:eastAsia="zh-CN" w:bidi="ar"/>
              </w:rPr>
              <w:t>家</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4</w:t>
            </w:r>
            <w:r>
              <w:rPr>
                <w:rFonts w:hint="eastAsia" w:ascii="Times New Roman" w:hAnsi="Times New Roman" w:eastAsia="宋体" w:cs="宋体"/>
                <w:kern w:val="2"/>
                <w:sz w:val="20"/>
                <w:szCs w:val="20"/>
                <w:lang w:val="en-US" w:eastAsia="zh-CN" w:bidi="ar"/>
              </w:rPr>
              <w:t>家</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外商投资企业</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家</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家</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制定项目申报方案</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2"/>
                <w:sz w:val="16"/>
                <w:szCs w:val="16"/>
                <w:lang w:val="en-US" w:eastAsia="zh-CN" w:bidi="ar"/>
              </w:rPr>
              <w:t>拟定资金使用计划</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时效指标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项目资金申报时效</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2</w:t>
            </w:r>
            <w:r>
              <w:rPr>
                <w:rFonts w:hint="eastAsia" w:ascii="Times New Roman" w:hAnsi="Times New Roman" w:eastAsia="宋体" w:cs="宋体"/>
                <w:kern w:val="2"/>
                <w:sz w:val="20"/>
                <w:szCs w:val="20"/>
                <w:lang w:val="en-US" w:eastAsia="zh-CN" w:bidi="ar"/>
              </w:rPr>
              <w:t>个周</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2</w:t>
            </w:r>
            <w:r>
              <w:rPr>
                <w:rFonts w:hint="eastAsia" w:ascii="Times New Roman" w:hAnsi="Times New Roman" w:eastAsia="宋体" w:cs="宋体"/>
                <w:kern w:val="2"/>
                <w:sz w:val="20"/>
                <w:szCs w:val="20"/>
                <w:lang w:val="en-US" w:eastAsia="zh-CN" w:bidi="ar"/>
              </w:rPr>
              <w:t>个周</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6"/>
                <w:szCs w:val="16"/>
                <w:lang w:val="en-US"/>
              </w:rPr>
            </w:pPr>
            <w:r>
              <w:rPr>
                <w:rFonts w:hint="eastAsia" w:ascii="Times New Roman" w:hAnsi="Times New Roman" w:eastAsia="宋体" w:cs="宋体"/>
                <w:kern w:val="2"/>
                <w:sz w:val="16"/>
                <w:szCs w:val="16"/>
                <w:lang w:val="en-US" w:eastAsia="zh-CN" w:bidi="ar"/>
              </w:rPr>
              <w:t>项目资金审核时效</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2</w:t>
            </w:r>
            <w:r>
              <w:rPr>
                <w:rFonts w:hint="eastAsia" w:ascii="Times New Roman" w:hAnsi="Times New Roman" w:eastAsia="宋体" w:cs="宋体"/>
                <w:kern w:val="2"/>
                <w:sz w:val="20"/>
                <w:szCs w:val="20"/>
                <w:lang w:val="en-US" w:eastAsia="zh-CN" w:bidi="ar"/>
              </w:rPr>
              <w:t>个周</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2</w:t>
            </w:r>
            <w:r>
              <w:rPr>
                <w:rFonts w:hint="eastAsia" w:ascii="Times New Roman" w:hAnsi="Times New Roman" w:eastAsia="宋体" w:cs="宋体"/>
                <w:kern w:val="2"/>
                <w:sz w:val="20"/>
                <w:szCs w:val="20"/>
                <w:lang w:val="en-US" w:eastAsia="zh-CN" w:bidi="ar"/>
              </w:rPr>
              <w:t>个周</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3"/>
                <w:szCs w:val="13"/>
                <w:lang w:val="en-US"/>
              </w:rPr>
            </w:pPr>
            <w:r>
              <w:rPr>
                <w:rFonts w:hint="eastAsia" w:ascii="Times New Roman" w:hAnsi="Times New Roman" w:eastAsia="宋体" w:cs="宋体"/>
                <w:kern w:val="2"/>
                <w:sz w:val="13"/>
                <w:szCs w:val="13"/>
                <w:lang w:val="en-US" w:eastAsia="zh-CN" w:bidi="ar"/>
              </w:rPr>
              <w:t>项目资金批复并兑现时效</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个月</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个月</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生产型外贸企业奖励标准</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出口1美元奖0.04分</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出口1美元奖0.04分</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奖励金额</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14.28万元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14.28</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首次通过自营出口的外贸型企业奖励标准</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首次出口超过1美元一次性奖励3万元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首次出口超过1美元一次性奖励3万元</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奖励金额</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3万元</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预算资金执行率</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100%</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default" w:ascii="Times New Roman" w:hAnsi="Times New Roman" w:eastAsia="宋体" w:cs="Times New Roman"/>
                <w:kern w:val="2"/>
                <w:sz w:val="20"/>
                <w:szCs w:val="20"/>
                <w:lang w:val="en-US" w:eastAsia="zh-CN" w:bidi="ar"/>
              </w:rPr>
              <w:t>100%</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90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经济效益    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0"/>
                <w:sz w:val="16"/>
                <w:szCs w:val="16"/>
                <w:lang w:val="en-US" w:eastAsia="zh-CN" w:bidi="ar"/>
              </w:rPr>
              <w:t>全区外贸进出口总额</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3113万元</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1395.75万元</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5"/>
                <w:szCs w:val="15"/>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0"/>
                <w:sz w:val="16"/>
                <w:szCs w:val="16"/>
                <w:lang w:val="en-US" w:eastAsia="zh-CN" w:bidi="ar"/>
              </w:rPr>
              <w:t>全区外贸进出口增速</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≥25%</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-44%</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0"/>
                <w:sz w:val="15"/>
                <w:szCs w:val="15"/>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社会效益    指标</w:t>
            </w: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促产业转型升级，增加就业岗位</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有利于带动就业，带动农民增收</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基本实现</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0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可持续影响指标</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促进外向型经济可持续发展</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促进企业出口转内销或扩大出口产品种类和市场</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稳定外贸发展</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r>
              <w:rPr>
                <w:rFonts w:hint="default" w:ascii="Tahoma" w:hAnsi="Tahoma" w:eastAsia="Tahoma" w:cs="Tahoma"/>
                <w:color w:val="000000"/>
                <w:kern w:val="2"/>
                <w:sz w:val="20"/>
                <w:szCs w:val="20"/>
                <w:shd w:val="clear" w:fill="FFFFFF"/>
                <w:lang w:val="en-US" w:eastAsia="zh-CN" w:bidi="ar"/>
              </w:rPr>
              <w:t xml:space="preserve">      </w:t>
            </w:r>
            <w:r>
              <w:rPr>
                <w:rFonts w:hint="eastAsia" w:ascii="Tahoma" w:hAnsi="Tahoma" w:eastAsia="宋体" w:cs="Tahoma"/>
                <w:color w:val="000000"/>
                <w:kern w:val="2"/>
                <w:sz w:val="20"/>
                <w:szCs w:val="20"/>
                <w:shd w:val="clear" w:fill="FFFFFF"/>
                <w:lang w:val="en-US" w:eastAsia="zh-CN" w:bidi="ar"/>
              </w:rPr>
              <w:t>满意度指标</w:t>
            </w:r>
          </w:p>
        </w:tc>
        <w:tc>
          <w:tcPr>
            <w:tcW w:w="90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Tahoma" w:hAnsi="Tahoma" w:eastAsia="宋体" w:cs="Tahoma"/>
                <w:color w:val="000000"/>
                <w:kern w:val="2"/>
                <w:sz w:val="20"/>
                <w:szCs w:val="20"/>
                <w:shd w:val="clear" w:fill="FFFFFF"/>
                <w:lang w:val="en-US" w:eastAsia="zh-CN" w:bidi="ar"/>
              </w:rPr>
              <w:t>服务对象满意</w:t>
            </w:r>
            <w:r>
              <w:rPr>
                <w:rFonts w:hint="default" w:ascii="Tahoma" w:hAnsi="Tahoma" w:eastAsia="Tahoma" w:cs="Tahoma"/>
                <w:color w:val="000000"/>
                <w:kern w:val="2"/>
                <w:sz w:val="20"/>
                <w:szCs w:val="20"/>
                <w:shd w:val="clear" w:fill="FFFFFF"/>
                <w:lang w:val="en-US" w:eastAsia="zh-CN" w:bidi="ar"/>
              </w:rPr>
              <w:t xml:space="preserve">      </w:t>
            </w:r>
            <w:r>
              <w:rPr>
                <w:rFonts w:hint="eastAsia" w:ascii="Tahoma" w:hAnsi="Tahoma" w:eastAsia="宋体" w:cs="Tahoma"/>
                <w:color w:val="000000"/>
                <w:kern w:val="2"/>
                <w:sz w:val="20"/>
                <w:szCs w:val="20"/>
                <w:shd w:val="clear" w:fill="FFFFFF"/>
                <w:lang w:val="en-US" w:eastAsia="zh-CN" w:bidi="ar"/>
              </w:rPr>
              <w:t>度指标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企业对政策扶持的满意度</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≥95%</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≥95%</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群众对企业服务的满意度</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≥95%</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≥95%</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tbl>
      <w:tblPr>
        <w:tblStyle w:val="23"/>
        <w:tblW w:w="15975"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24"/>
        <w:gridCol w:w="273"/>
        <w:gridCol w:w="425"/>
        <w:gridCol w:w="567"/>
        <w:gridCol w:w="709"/>
        <w:gridCol w:w="30"/>
        <w:gridCol w:w="537"/>
        <w:gridCol w:w="30"/>
        <w:gridCol w:w="1529"/>
        <w:gridCol w:w="709"/>
        <w:gridCol w:w="284"/>
        <w:gridCol w:w="141"/>
        <w:gridCol w:w="142"/>
        <w:gridCol w:w="425"/>
        <w:gridCol w:w="142"/>
        <w:gridCol w:w="425"/>
        <w:gridCol w:w="142"/>
        <w:gridCol w:w="142"/>
        <w:gridCol w:w="283"/>
        <w:gridCol w:w="142"/>
        <w:gridCol w:w="284"/>
        <w:gridCol w:w="415"/>
        <w:gridCol w:w="10"/>
        <w:gridCol w:w="2599"/>
        <w:gridCol w:w="481"/>
        <w:gridCol w:w="470"/>
        <w:gridCol w:w="481"/>
        <w:gridCol w:w="470"/>
        <w:gridCol w:w="470"/>
        <w:gridCol w:w="470"/>
        <w:gridCol w:w="470"/>
        <w:gridCol w:w="470"/>
        <w:gridCol w:w="47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800" w:firstLineChars="250"/>
              <w:jc w:val="both"/>
              <w:rPr>
                <w:rFonts w:hint="eastAsia" w:ascii="宋体" w:hAnsi="宋体" w:eastAsia="宋体" w:cs="宋体"/>
                <w:b/>
                <w:bCs/>
                <w:color w:val="000000"/>
                <w:kern w:val="0"/>
                <w:sz w:val="40"/>
                <w:szCs w:val="40"/>
                <w:lang w:val="en-US"/>
              </w:rPr>
            </w:pPr>
            <w:r>
              <w:rPr>
                <w:rFonts w:hint="eastAsia" w:ascii="黑体" w:hAnsi="宋体" w:eastAsia="黑体" w:cs="宋体"/>
                <w:color w:val="000000"/>
                <w:kern w:val="0"/>
                <w:sz w:val="32"/>
                <w:szCs w:val="32"/>
                <w:lang w:val="en-US" w:eastAsia="zh-CN" w:bidi="ar"/>
              </w:rPr>
              <w:t>附表3-2</w:t>
            </w:r>
            <w:r>
              <w:rPr>
                <w:rFonts w:hint="eastAsia" w:ascii="黑体" w:hAnsi="宋体" w:eastAsia="黑体" w:cs="宋体"/>
                <w:color w:val="000000"/>
                <w:kern w:val="0"/>
                <w:sz w:val="24"/>
                <w:szCs w:val="24"/>
                <w:lang w:val="en-US" w:eastAsia="zh-CN" w:bidi="ar"/>
              </w:rPr>
              <w:t xml:space="preserve">                 </w:t>
            </w:r>
            <w:r>
              <w:rPr>
                <w:rFonts w:hint="eastAsia" w:ascii="宋体" w:hAnsi="宋体" w:eastAsia="宋体" w:cs="宋体"/>
                <w:b/>
                <w:bCs/>
                <w:color w:val="000000"/>
                <w:kern w:val="0"/>
                <w:sz w:val="40"/>
                <w:szCs w:val="40"/>
                <w:lang w:val="en-US" w:eastAsia="zh-CN" w:bidi="ar"/>
              </w:rPr>
              <w:t>2021年专项预算项目支出绩效自评评分表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部门（单位）盖章：</w:t>
            </w:r>
            <w:r>
              <w:rPr>
                <w:rFonts w:hint="eastAsia" w:ascii="黑体" w:hAnsi="宋体" w:eastAsia="黑体" w:cs="黑体"/>
                <w:b/>
                <w:bCs w:val="0"/>
                <w:color w:val="000000"/>
                <w:kern w:val="0"/>
                <w:sz w:val="20"/>
                <w:szCs w:val="20"/>
                <w:lang w:val="en-US" w:eastAsia="zh-CN" w:bidi="ar"/>
              </w:rPr>
              <w:t>广元市朝天区商务局</w:t>
            </w:r>
            <w:r>
              <w:rPr>
                <w:rFonts w:hint="eastAsia" w:ascii="宋体" w:hAnsi="宋体" w:eastAsia="宋体" w:cs="宋体"/>
                <w:color w:val="000000"/>
                <w:kern w:val="0"/>
                <w:sz w:val="24"/>
                <w:szCs w:val="24"/>
                <w:lang w:val="en-US" w:eastAsia="zh-CN" w:bidi="ar"/>
              </w:rPr>
              <w:t xml:space="preserve">                                       专项预算项目名称：</w:t>
            </w:r>
            <w:r>
              <w:rPr>
                <w:rFonts w:hint="eastAsia" w:ascii="宋体" w:hAnsi="宋体" w:eastAsia="宋体" w:cs="宋体"/>
                <w:b/>
                <w:bCs w:val="0"/>
                <w:color w:val="000000"/>
                <w:kern w:val="0"/>
                <w:sz w:val="18"/>
                <w:szCs w:val="18"/>
                <w:lang w:val="en-US" w:eastAsia="zh-CN" w:bidi="ar"/>
              </w:rPr>
              <w:t>2020年省级外贸资金</w:t>
            </w:r>
            <w:r>
              <w:rPr>
                <w:rFonts w:hint="eastAsia" w:ascii="黑体" w:hAnsi="宋体" w:eastAsia="黑体" w:cs="黑体"/>
                <w:b/>
                <w:bCs w:val="0"/>
                <w:color w:val="000000"/>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6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分层分类指标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指标分值</w:t>
            </w:r>
          </w:p>
        </w:tc>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指标解释</w:t>
            </w:r>
          </w:p>
        </w:tc>
        <w:tc>
          <w:tcPr>
            <w:tcW w:w="326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评分方法</w:t>
            </w:r>
          </w:p>
        </w:tc>
        <w:tc>
          <w:tcPr>
            <w:tcW w:w="30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评价要点及说明</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评价方式</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评价属性</w:t>
            </w:r>
          </w:p>
        </w:tc>
        <w:tc>
          <w:tcPr>
            <w:tcW w:w="2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定量评价标准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分层指标</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适用范围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一级指标</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二级指标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方法 归类</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计算公式</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整体评价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样本评价</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定性评价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国家标准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行业标准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地方标准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申报标准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历史均值</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0.3</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0.6</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0.8</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通用指标（40分）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所有项预算项目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项目决策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程序严密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不完善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较完善</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完  善</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规划合理★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项目规划是否符合区委、区政府重大决策部署，是否与项目年度目标一致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较合理</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理</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制度完备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项目指导意见、管理办法、申报指南、实施细则等管理制度是否完善，是否存在脱离实际、缺陷、漏洞导致执行偏离预期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项目实施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项目资金分配结果是否与规划计划一致；是否按规定及时分配专项预算资金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否</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使用合规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项目资金使用是否符合相关的财务管理制度规定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执行有效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项目实施是否符合相关管理制度规定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完成结果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项目资金拨付到具体支持对象企业、项目（人）的情况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指标得分=项目实际到位金额/承诺到位金额*100%*指标分值</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主要查看项目资金拨付到人到户、到项目、到企业与资金总量的对比，配套预算到位率。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资金结余★</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项目资金结余的情况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指标得分=（1-结余率/0.2）*指标分值结余率大于等于0.2，指标得0分                                                                                                                                 结余率=结余金额/省级财政资金预算数×100%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目标完成★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项目实施后是否完成预期目标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指标得分=实际完成任务量/绩效目标设定任务量×100%*指标分值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主要查看项目实施后产出数量指标完成情况。以样本点资金量为权重，加权计算指标得分。当实际完成任务量/绩效目标设定任务量&gt;1时按1计算</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完成及时</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项目实际完成时间与计划完成时间的比较，用以反映和考核项目产出实效目标的实现程度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 xml:space="preserve">指标得分=1-(实际完成时间-计划完成时间/计划完成时间)×100%*指标分值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违规记录</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项目管理是否合规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不合规</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3处及以上不合规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2处不合规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1处不合规</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规</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根据审计监督、财政检查结果反映专项管理是否合规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共性指标</w:t>
            </w:r>
            <w:r>
              <w:rPr>
                <w:rFonts w:hint="eastAsia" w:ascii="宋体" w:hAnsi="宋体" w:eastAsia="宋体" w:cs="宋体"/>
                <w:bCs/>
                <w:color w:val="000000"/>
                <w:kern w:val="0"/>
                <w:sz w:val="18"/>
                <w:szCs w:val="18"/>
                <w:lang w:val="en-US" w:eastAsia="zh-CN" w:bidi="ar"/>
              </w:rPr>
              <w:t>（100分）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项目效果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符合性</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项目实施效果是否与绩效目标或申报目标符合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指标得分=项目实施符合的点位数/所有选点总数×100%*指标分值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根据项目现场评价实施效果与绩效目标进行对比，汇总所有样本点情况综合分析政策整体吻合度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成长性★</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反映不同类型产业政策实施对相关行业企业成长性的促进作用，主要反映支持对象的创新、创造、创业能力情况，产业结构情况，持续盈利能力情况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指标得分=各项具体指标得分的平均分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特性指标</w:t>
            </w:r>
            <w:r>
              <w:rPr>
                <w:rFonts w:hint="eastAsia" w:ascii="宋体" w:hAnsi="宋体" w:eastAsia="宋体" w:cs="宋体"/>
                <w:bCs/>
                <w:color w:val="000000"/>
                <w:kern w:val="0"/>
                <w:sz w:val="18"/>
                <w:szCs w:val="18"/>
                <w:lang w:val="en-US" w:eastAsia="zh-CN" w:bidi="ar"/>
              </w:rPr>
              <w:t>（10分）</w:t>
            </w:r>
          </w:p>
        </w:tc>
        <w:tc>
          <w:tcPr>
            <w:tcW w:w="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服务业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经济效益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消费增长</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项目支持区域内社会消费品零售总额增长情况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指标得分根据三年社会消费品零售增长变化计算得分，社会消费品零售增长≥标准值的得满分，＜标准值80%的不得分，其余按比值计算得分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重点收集三年来区域内社会消费品零售增长数据，主要通过官方统计数据采集，同时结合实地调查对比，综合计算指标得分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增加值增长率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项目实施涉及增加值增长情况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指标得分=三年增加值平均增长率/标准值*指标分值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5"/>
                <w:szCs w:val="15"/>
                <w:lang w:val="en-US" w:eastAsia="zh-CN" w:bidi="ar"/>
              </w:rPr>
              <w:t>增加值增长率=当年服务业增加值增量/上一年度服务业增加值总量×100%。重点查看项目实施区域服务业增加值变动情况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5"/>
                <w:szCs w:val="15"/>
                <w:lang w:val="en-US"/>
              </w:rPr>
            </w:pPr>
            <w:r>
              <w:rPr>
                <w:rFonts w:hint="eastAsia" w:ascii="宋体" w:hAnsi="宋体" w:eastAsia="宋体" w:cs="宋体"/>
                <w:b/>
                <w:bCs/>
                <w:color w:val="000000"/>
                <w:kern w:val="0"/>
                <w:sz w:val="15"/>
                <w:szCs w:val="15"/>
                <w:lang w:val="en-US" w:eastAsia="zh-CN" w:bidi="ar"/>
              </w:rPr>
              <w:t>社会效益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服务效能</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区域内相关事务处理能力提升情况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一般</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较好</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好</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重点查看区域内相关事务处理能力提升状况，通过资料记录查询，现场持续跟踪，走访调研了解等手段综合判断</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20" w:type="dxa"/>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个性指标（40分）</w:t>
            </w:r>
          </w:p>
        </w:tc>
        <w:tc>
          <w:tcPr>
            <w:tcW w:w="698"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外  贸  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产出指标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  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奖励企业家数确定标准依据情况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由市商务局、市财政局依据对外贸易奖励政策，确定奖励农业名额</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查看次年3月外贸企业上年出口情况进行核对是否有误</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20"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8"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相关项目文件的制定与外贸出口额成效情况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指标得分=获奖企业实际出口额/应计划完成的出口额×100%*指标分值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是否制定有项目申报方案和资金申报计划，外贸出口额取得成效；</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20"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8"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时效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是否按规定时间要求进度申报项目、兑现资金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根据资料之间的时间逻辑关系核实对比确定。</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依据规定的项目资金申报时效、审核时效和批复并兑现时效要求查看落实情况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20"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8"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成本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以对外贸易奖励政策为依据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 xml:space="preserve">相关财经文件规定数据为依据；  </w:t>
            </w:r>
            <w:r>
              <w:rPr>
                <w:rFonts w:hint="eastAsia" w:ascii="宋体" w:hAnsi="宋体" w:eastAsia="宋体" w:cs="宋体"/>
                <w:kern w:val="0"/>
                <w:sz w:val="13"/>
                <w:szCs w:val="13"/>
                <w:lang w:val="en-US" w:eastAsia="zh-CN" w:bidi="ar"/>
              </w:rPr>
              <w:t>指标得分=实际支付金额/应付项目金额×100%*指标分值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要查看实际支付项目资金的原始依据，如财政直付或银行原始依据；</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分值</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982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自评等级</w:t>
            </w:r>
          </w:p>
        </w:tc>
        <w:tc>
          <w:tcPr>
            <w:tcW w:w="13247"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自评结果：</w:t>
            </w:r>
            <w:r>
              <w:rPr>
                <w:rFonts w:hint="default" w:ascii="宋体" w:hAnsi="宋体" w:eastAsia="Wingdings 2" w:cs="宋体"/>
                <w:b/>
                <w:bCs/>
                <w:color w:val="000000"/>
                <w:kern w:val="0"/>
                <w:sz w:val="18"/>
                <w:szCs w:val="18"/>
                <w:lang w:val="en-US" w:eastAsia="zh-CN" w:bidi="ar"/>
              </w:rPr>
              <w:sym w:font="Wingdings 2" w:char="0052"/>
            </w:r>
            <w:r>
              <w:rPr>
                <w:rFonts w:hint="eastAsia" w:ascii="宋体" w:hAnsi="宋体" w:eastAsia="宋体" w:cs="宋体"/>
                <w:b/>
                <w:bCs/>
                <w:color w:val="000000"/>
                <w:kern w:val="0"/>
                <w:sz w:val="18"/>
                <w:szCs w:val="18"/>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15971" w:type="dxa"/>
            <w:gridSpan w:val="35"/>
            <w:tcBorders>
              <w:top w:val="single" w:color="000000" w:sz="4" w:space="0"/>
              <w:left w:val="nil"/>
              <w:bottom w:val="nil"/>
              <w:right w:val="nil"/>
            </w:tcBorders>
            <w:shd w:val="clear" w:color="auto" w:fill="auto"/>
            <w:vAlign w:val="center"/>
          </w:tcPr>
          <w:p>
            <w:pPr>
              <w:keepNext w:val="0"/>
              <w:keepLines w:val="0"/>
              <w:widowControl/>
              <w:numPr>
                <w:ilvl w:val="0"/>
                <w:numId w:val="7"/>
              </w:numPr>
              <w:suppressLineNumbers w:val="0"/>
              <w:spacing w:before="0" w:beforeAutospacing="0" w:after="0" w:afterAutospacing="0"/>
              <w:ind w:left="360" w:right="0" w:hanging="36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Fonts w:hint="eastAsia" w:ascii="宋体" w:hAnsi="宋体" w:eastAsia="宋体" w:cs="宋体"/>
                <w:b/>
                <w:bCs/>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Fonts w:hint="eastAsia" w:ascii="宋体" w:hAnsi="宋体" w:eastAsia="宋体" w:cs="宋体"/>
                <w:b/>
                <w:bCs/>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 xml:space="preserve">★为核心指标，需要评价组重点关注深入分析。未涉及个性指标的项目，其分值权重按比例调整到其他效果指标。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                                              </w:t>
            </w:r>
          </w:p>
        </w:tc>
      </w:tr>
    </w:tbl>
    <w:p>
      <w:pPr>
        <w:rPr>
          <w:rFonts w:hint="eastAsia" w:ascii="仿宋_GB2312" w:hAnsi="仿宋_GB2312" w:eastAsia="仿宋_GB2312" w:cs="仿宋_GB2312"/>
          <w:sz w:val="28"/>
          <w:szCs w:val="28"/>
          <w:lang w:val="en-US" w:eastAsia="zh-CN" w:bidi="ar"/>
        </w:rPr>
        <w:sectPr>
          <w:pgSz w:w="16838" w:h="11906" w:orient="landscape"/>
          <w:pgMar w:top="1803" w:right="1440" w:bottom="1803" w:left="1440" w:header="851" w:footer="992" w:gutter="0"/>
          <w:pgNumType w:fmt="decimal"/>
          <w:cols w:space="0" w:num="1"/>
          <w:titlePg/>
          <w:docGrid w:type="lines" w:linePitch="319" w:charSpace="0"/>
        </w:sect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附件4：</w:t>
      </w:r>
    </w:p>
    <w:p>
      <w:pPr>
        <w:pStyle w:val="64"/>
        <w:widowControl/>
        <w:ind w:left="0" w:firstLine="420"/>
        <w:rPr>
          <w:lang w:val="en-US"/>
        </w:rPr>
      </w:pP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spacing w:val="-6"/>
          <w:kern w:val="0"/>
          <w:sz w:val="44"/>
          <w:szCs w:val="44"/>
          <w:lang w:val="en-US"/>
        </w:rPr>
      </w:pPr>
      <w:r>
        <w:rPr>
          <w:rFonts w:hint="eastAsia" w:ascii="方正小标宋简体" w:hAnsi="方正小标宋简体" w:eastAsia="方正小标宋简体" w:cs="方正小标宋简体"/>
          <w:b/>
          <w:bCs w:val="0"/>
          <w:spacing w:val="-6"/>
          <w:kern w:val="0"/>
          <w:sz w:val="44"/>
          <w:szCs w:val="44"/>
          <w:lang w:val="en-US" w:eastAsia="zh-CN" w:bidi="ar"/>
        </w:rPr>
        <w:t>2021年专项预算项目支出绩效自评报告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楷体" w:hAnsi="楷体" w:eastAsia="楷体" w:cs="楷体"/>
          <w:spacing w:val="-6"/>
          <w:sz w:val="28"/>
          <w:szCs w:val="28"/>
          <w:lang w:val="en-US"/>
        </w:rPr>
      </w:pPr>
      <w:r>
        <w:rPr>
          <w:rFonts w:hint="eastAsia" w:ascii="楷体" w:hAnsi="楷体" w:eastAsia="楷体" w:cs="楷体"/>
          <w:spacing w:val="-6"/>
          <w:kern w:val="2"/>
          <w:sz w:val="28"/>
          <w:szCs w:val="28"/>
          <w:lang w:val="en-US" w:eastAsia="zh-CN" w:bidi="ar"/>
        </w:rPr>
        <w:t>（2020年度中央财政农商互联既农产品供应链项目）</w:t>
      </w:r>
    </w:p>
    <w:p>
      <w:pPr>
        <w:keepNext w:val="0"/>
        <w:keepLines w:val="0"/>
        <w:widowControl w:val="0"/>
        <w:suppressLineNumbers w:val="0"/>
        <w:spacing w:before="0" w:beforeAutospacing="0" w:after="0" w:afterAutospacing="0" w:line="560" w:lineRule="exact"/>
        <w:ind w:left="0" w:right="0" w:firstLine="642" w:firstLineChars="200"/>
        <w:jc w:val="both"/>
        <w:rPr>
          <w:rFonts w:hint="eastAsia" w:ascii="仿宋" w:hAnsi="仿宋" w:eastAsia="仿宋" w:cs="仿宋"/>
          <w:b/>
          <w:bCs w:val="0"/>
          <w:color w:val="FF000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1.</w:t>
      </w:r>
      <w:r>
        <w:rPr>
          <w:rFonts w:hint="eastAsia" w:ascii="仿宋_GB2312" w:eastAsia="仿宋_GB2312" w:cs="宋体"/>
          <w:sz w:val="32"/>
          <w:szCs w:val="32"/>
          <w:lang w:eastAsia="zh-CN"/>
        </w:rPr>
        <w:t>区商务局在该项目管理中的职能是：根据《四川省商务厅、四川省财政厅关于组织推荐农商互联及农产品供应链项目的通知》及相关规定以及项目实施单位申报项目建设的具体内容进行验收。</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2</w:t>
      </w:r>
      <w:r>
        <w:rPr>
          <w:rFonts w:hint="eastAsia" w:ascii="仿宋_GB2312" w:eastAsia="仿宋_GB2312" w:cs="宋体"/>
          <w:sz w:val="32"/>
          <w:szCs w:val="32"/>
          <w:lang w:eastAsia="zh-CN"/>
        </w:rPr>
        <w:t>．资金申报的依据：区商务局《关于</w:t>
      </w:r>
      <w:r>
        <w:rPr>
          <w:rFonts w:hint="eastAsia" w:ascii="仿宋_GB2312" w:eastAsia="仿宋_GB2312" w:cs="宋体"/>
          <w:sz w:val="32"/>
          <w:szCs w:val="32"/>
          <w:lang w:val="en-US"/>
        </w:rPr>
        <w:t>2020</w:t>
      </w:r>
      <w:r>
        <w:rPr>
          <w:rFonts w:hint="eastAsia" w:ascii="仿宋_GB2312" w:eastAsia="仿宋_GB2312" w:cs="宋体"/>
          <w:sz w:val="32"/>
          <w:szCs w:val="32"/>
          <w:lang w:eastAsia="zh-CN"/>
        </w:rPr>
        <w:t>年农商互联暨完善农产品供应链项目竣工验收情况报告》（广朝商〔</w:t>
      </w:r>
      <w:r>
        <w:rPr>
          <w:rFonts w:hint="eastAsia" w:ascii="仿宋_GB2312" w:eastAsia="仿宋_GB2312" w:cs="宋体"/>
          <w:sz w:val="32"/>
          <w:szCs w:val="32"/>
          <w:lang w:val="en-US"/>
        </w:rPr>
        <w:t>2022</w:t>
      </w:r>
      <w:r>
        <w:rPr>
          <w:rFonts w:hint="eastAsia" w:ascii="仿宋_GB2312" w:eastAsia="仿宋_GB2312" w:cs="宋体"/>
          <w:sz w:val="32"/>
          <w:szCs w:val="32"/>
          <w:lang w:eastAsia="zh-CN"/>
        </w:rPr>
        <w:t>〕</w:t>
      </w:r>
      <w:r>
        <w:rPr>
          <w:rFonts w:hint="eastAsia" w:ascii="仿宋_GB2312" w:eastAsia="仿宋_GB2312" w:cs="宋体"/>
          <w:sz w:val="32"/>
          <w:szCs w:val="32"/>
          <w:lang w:val="en-US"/>
        </w:rPr>
        <w:t xml:space="preserve">10 </w:t>
      </w:r>
      <w:r>
        <w:rPr>
          <w:rFonts w:hint="eastAsia" w:ascii="仿宋_GB2312" w:eastAsia="仿宋_GB2312" w:cs="宋体"/>
          <w:sz w:val="32"/>
          <w:szCs w:val="32"/>
          <w:lang w:eastAsia="zh-CN"/>
        </w:rPr>
        <w:t>号）、区财政局《关于下达</w:t>
      </w:r>
      <w:r>
        <w:rPr>
          <w:rFonts w:hint="eastAsia" w:ascii="仿宋_GB2312" w:eastAsia="仿宋_GB2312" w:cs="宋体"/>
          <w:sz w:val="32"/>
          <w:szCs w:val="32"/>
          <w:lang w:val="en-US"/>
        </w:rPr>
        <w:t>2020</w:t>
      </w:r>
      <w:r>
        <w:rPr>
          <w:rFonts w:hint="eastAsia" w:ascii="仿宋_GB2312" w:eastAsia="仿宋_GB2312" w:cs="宋体"/>
          <w:sz w:val="32"/>
          <w:szCs w:val="32"/>
          <w:lang w:eastAsia="zh-CN"/>
        </w:rPr>
        <w:t>年度中央财政农商互联暨农产品供应链项目资金的通知》（广朝财建〔</w:t>
      </w:r>
      <w:r>
        <w:rPr>
          <w:rFonts w:hint="eastAsia" w:ascii="仿宋_GB2312" w:eastAsia="仿宋_GB2312" w:cs="宋体"/>
          <w:sz w:val="32"/>
          <w:szCs w:val="32"/>
          <w:lang w:val="en-US"/>
        </w:rPr>
        <w:t>2022</w:t>
      </w:r>
      <w:r>
        <w:rPr>
          <w:rFonts w:hint="eastAsia" w:ascii="仿宋_GB2312" w:eastAsia="仿宋_GB2312" w:cs="宋体"/>
          <w:sz w:val="32"/>
          <w:szCs w:val="32"/>
          <w:lang w:eastAsia="zh-CN"/>
        </w:rPr>
        <w:t>〕</w:t>
      </w:r>
      <w:r>
        <w:rPr>
          <w:rFonts w:hint="eastAsia" w:ascii="仿宋_GB2312" w:eastAsia="仿宋_GB2312" w:cs="宋体"/>
          <w:sz w:val="32"/>
          <w:szCs w:val="32"/>
          <w:lang w:val="en-US"/>
        </w:rPr>
        <w:t>7</w:t>
      </w:r>
      <w:r>
        <w:rPr>
          <w:rFonts w:hint="eastAsia" w:ascii="仿宋_GB2312" w:eastAsia="仿宋_GB2312" w:cs="宋体"/>
          <w:sz w:val="32"/>
          <w:szCs w:val="32"/>
          <w:lang w:eastAsia="zh-CN"/>
        </w:rPr>
        <w:t>号）文件。</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cs="仿宋_GB2312"/>
          <w:sz w:val="32"/>
          <w:szCs w:val="32"/>
          <w:lang w:val="en-US"/>
        </w:rPr>
      </w:pPr>
      <w:r>
        <w:rPr>
          <w:rFonts w:hint="eastAsia" w:ascii="仿宋_GB2312" w:hAnsi="Times New Roman" w:eastAsia="仿宋_GB2312" w:cs="宋体"/>
          <w:kern w:val="2"/>
          <w:sz w:val="32"/>
          <w:szCs w:val="32"/>
          <w:lang w:val="en-US" w:eastAsia="zh-CN" w:bidi="ar"/>
        </w:rPr>
        <w:t>3．资金管理办法制定情况，资金支持具体项目的条件、范围与支持方式概况：</w:t>
      </w:r>
      <w:r>
        <w:rPr>
          <w:rFonts w:hint="eastAsia" w:ascii="仿宋_GB2312" w:hAnsi="仿宋" w:eastAsia="仿宋_GB2312" w:cs="仿宋_GB2312"/>
          <w:kern w:val="2"/>
          <w:sz w:val="32"/>
          <w:szCs w:val="32"/>
          <w:lang w:val="en-US" w:eastAsia="zh-CN" w:bidi="ar"/>
        </w:rPr>
        <w:t>广元秦川印象生态农业开发有限公司农特产品加工包装及冷链物流项目建设地点在朝天区七盘关食品工业园区，</w:t>
      </w:r>
      <w:r>
        <w:rPr>
          <w:rFonts w:hint="eastAsia" w:ascii="仿宋_GB2312" w:hAnsi="宋体" w:eastAsia="仿宋_GB2312" w:cs="仿宋_GB2312"/>
          <w:kern w:val="2"/>
          <w:sz w:val="32"/>
          <w:szCs w:val="32"/>
          <w:lang w:val="en-US" w:eastAsia="zh-CN" w:bidi="ar"/>
        </w:rPr>
        <w:t>该项目共投入资金565万余元</w:t>
      </w:r>
      <w:r>
        <w:rPr>
          <w:rFonts w:hint="eastAsia" w:ascii="仿宋_GB2312" w:hAnsi="仿宋" w:eastAsia="仿宋_GB2312" w:cs="仿宋_GB2312"/>
          <w:kern w:val="2"/>
          <w:sz w:val="32"/>
          <w:szCs w:val="32"/>
          <w:lang w:val="en-US" w:eastAsia="zh-CN" w:bidi="ar"/>
        </w:rPr>
        <w:t>：</w:t>
      </w:r>
    </w:p>
    <w:p>
      <w:pPr>
        <w:pStyle w:val="64"/>
        <w:widowControl/>
        <w:ind w:left="0" w:firstLine="672"/>
        <w:rPr>
          <w:rFonts w:hint="eastAsia" w:ascii="仿宋_GB2312" w:eastAsia="仿宋_GB2312" w:cs="宋体"/>
          <w:color w:val="FF0000"/>
          <w:sz w:val="32"/>
          <w:szCs w:val="32"/>
          <w:u w:val="single"/>
          <w:lang w:val="en-US"/>
        </w:rPr>
      </w:pPr>
      <w:r>
        <w:rPr>
          <w:rFonts w:hint="eastAsia" w:ascii="仿宋_GB2312" w:eastAsia="仿宋_GB2312" w:cs="宋体"/>
          <w:sz w:val="32"/>
          <w:szCs w:val="32"/>
          <w:lang w:val="en-US"/>
        </w:rPr>
        <w:t>4</w:t>
      </w:r>
      <w:r>
        <w:rPr>
          <w:rFonts w:hint="eastAsia" w:ascii="仿宋_GB2312" w:eastAsia="仿宋_GB2312" w:cs="宋体"/>
          <w:sz w:val="32"/>
          <w:szCs w:val="32"/>
          <w:lang w:eastAsia="zh-CN"/>
        </w:rPr>
        <w:t>．资金分配的原则及考虑因素：按照</w:t>
      </w:r>
      <w:r>
        <w:rPr>
          <w:rFonts w:hint="eastAsia" w:ascii="仿宋_GB2312" w:hAnsi="宋体" w:eastAsia="仿宋_GB2312" w:cs="仿宋_GB2312"/>
          <w:sz w:val="32"/>
          <w:szCs w:val="32"/>
          <w:lang w:eastAsia="zh-CN"/>
        </w:rPr>
        <w:t>该项目共投入资金不超过</w:t>
      </w:r>
      <w:r>
        <w:rPr>
          <w:rFonts w:hint="eastAsia" w:ascii="仿宋_GB2312" w:hAnsi="宋体" w:eastAsia="仿宋_GB2312" w:cs="仿宋_GB2312"/>
          <w:sz w:val="32"/>
          <w:szCs w:val="32"/>
          <w:lang w:val="en-US"/>
        </w:rPr>
        <w:t>5%</w:t>
      </w:r>
      <w:r>
        <w:rPr>
          <w:rFonts w:hint="eastAsia" w:ascii="仿宋_GB2312" w:hAnsi="宋体" w:eastAsia="仿宋_GB2312" w:cs="仿宋_GB2312"/>
          <w:sz w:val="32"/>
          <w:szCs w:val="32"/>
          <w:lang w:eastAsia="zh-CN"/>
        </w:rPr>
        <w:t>的标准给予补助。</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广元秦川印象生态农业开发有限公司农特产品加工包装及冷链物流项目建设地点在朝天区七盘关食品工业园区，主要建设内容和规模：</w:t>
      </w:r>
    </w:p>
    <w:p>
      <w:pPr>
        <w:keepNext w:val="0"/>
        <w:keepLines w:val="0"/>
        <w:widowControl w:val="0"/>
        <w:suppressLineNumbers w:val="0"/>
        <w:spacing w:before="0" w:beforeAutospacing="0" w:after="0" w:afterAutospacing="0"/>
        <w:ind w:left="0" w:right="0" w:firstLine="640" w:firstLineChars="200"/>
        <w:jc w:val="both"/>
        <w:rPr>
          <w:rFonts w:hint="default" w:ascii="Calibri" w:hAnsi="Calibri" w:cs="Times New Roman"/>
          <w:lang w:val="en-US"/>
        </w:rPr>
      </w:pPr>
      <w:r>
        <w:rPr>
          <w:rFonts w:hint="eastAsia" w:ascii="仿宋_GB2312" w:hAnsi="仿宋" w:eastAsia="仿宋_GB2312" w:cs="仿宋_GB2312"/>
          <w:kern w:val="2"/>
          <w:sz w:val="32"/>
          <w:szCs w:val="32"/>
          <w:lang w:val="en-US" w:eastAsia="zh-CN" w:bidi="ar"/>
        </w:rPr>
        <w:t>一是广元秦川印象生态农特产加工项目，项目占地面积约1300平方米。主要建设内容有：农产品加工、烘干、质检、分级、包装，并建设农产品产地集配中心，总投资270万元；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是广元秦川印象生态农特产冷链物流建设项目，项目占地面积345.83㎡，总库容量882立方米。主要建设内容包括：450立方的气调保鲜库，336立方的冷冻库，96立方的速冻库，信息化建设以及其他配套设施建设，购置生产及冷藏冷冻设施、冷藏车等，总投资295万元。</w:t>
      </w:r>
    </w:p>
    <w:p>
      <w:pPr>
        <w:keepNext w:val="0"/>
        <w:keepLines w:val="0"/>
        <w:widowControl w:val="0"/>
        <w:numPr>
          <w:ilvl w:val="0"/>
          <w:numId w:val="8"/>
        </w:numPr>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项目具体绩效目标</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color w:val="FF0000"/>
          <w:sz w:val="32"/>
          <w:szCs w:val="32"/>
          <w:u w:val="single"/>
          <w:lang w:val="en-US"/>
        </w:rPr>
      </w:pPr>
      <w:r>
        <w:rPr>
          <w:rFonts w:hint="eastAsia" w:ascii="仿宋_GB2312" w:hAnsi="Times New Roman" w:eastAsia="仿宋_GB2312" w:cs="仿宋_GB2312"/>
          <w:kern w:val="2"/>
          <w:sz w:val="32"/>
          <w:szCs w:val="32"/>
          <w:lang w:val="en-US" w:eastAsia="zh-CN" w:bidi="ar"/>
        </w:rPr>
        <w:t>项目建成后，依托地处曾家山旅游度假区的重要节点，配套的仓储中转中心和销售运营中心（电商运营中心），达到工旅结合效果。实现年营业额突破5000万元以上，利用此次项目实施后的重要硬件支撑及电商的运营优势，市场份额将通过资源整合逐步扩大，为园区内的食品企业提供了更大更广的销售渠道，从对接的专合社、种植大户，让农户、生产企业安安心心搞生产，从而达到区域内产业合理布局、科学种植，通过市场份额的不断扩大，也对税收及其他效益有了更大的提升。项目实施后，不仅为我区农民提供商品销售渠道，同时也为社会提供了新的就业机会，解决周边零时用工达30000人次/年，间接增加就业3000多人，为我区贫困户也提供约100个岗位。</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2020年度中央财政农商互联暨农产品供应链项目资金专项经费与申报内容相符、申报目标合理可行。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在绩效评价工作中，我局严格按照</w:t>
      </w:r>
      <w:r>
        <w:rPr>
          <w:rFonts w:hint="eastAsia" w:ascii="仿宋_GB2312" w:hAnsi="Times New Roman" w:eastAsia="仿宋_GB2312" w:cs="宋体"/>
          <w:kern w:val="2"/>
          <w:sz w:val="32"/>
          <w:szCs w:val="32"/>
          <w:lang w:val="en-US" w:eastAsia="zh-CN" w:bidi="ar"/>
        </w:rPr>
        <w:t>《</w:t>
      </w:r>
      <w:r>
        <w:rPr>
          <w:rFonts w:hint="eastAsia" w:ascii="仿宋_GB2312" w:hAnsi="仿宋_GB2312" w:eastAsia="仿宋_GB2312" w:cs="仿宋_GB2312"/>
          <w:kern w:val="0"/>
          <w:sz w:val="32"/>
          <w:szCs w:val="32"/>
          <w:lang w:val="en-US" w:eastAsia="zh-CN" w:bidi="ar"/>
        </w:rPr>
        <w:t>广元市朝天区财政局关于开展2022年部门、政策和项目支出绩效自评工作的通知》（广朝财发〔2022〕28号）文件</w:t>
      </w:r>
      <w:r>
        <w:rPr>
          <w:rFonts w:hint="eastAsia" w:ascii="仿宋_GB2312" w:hAnsi="宋体" w:eastAsia="仿宋_GB2312" w:cs="仿宋_GB2312"/>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一是前期准备。我局成立了专项资金绩效评价工作领导小组，明确了工作职责，制定了评价方案，细化了组织实施步骤和环节安排等内容，确定了实施时间。具体由市场体系建设股牵头、专人负责开展业务学习与培训，落实专项资金绩效评价工作。</w:t>
      </w:r>
    </w:p>
    <w:p>
      <w:pPr>
        <w:pStyle w:val="18"/>
        <w:widowControl/>
        <w:spacing w:before="0" w:beforeAutospacing="0" w:after="0" w:afterAutospacing="0"/>
        <w:ind w:left="0" w:leftChars="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是资料审核。我局组织相关工作人员负责审核项目实施单位申报的项目验收材料的真实性、完整性、合法性。经过核验：项目验收材料中有实施单位验收申请、资金拨付申请、项目执行情况报告、企业营业执照、发票复印件、会计事务所出具的项目资金审计报告和项目竣工图片等。</w:t>
      </w:r>
    </w:p>
    <w:p>
      <w:pPr>
        <w:pStyle w:val="18"/>
        <w:widowControl/>
        <w:spacing w:before="0" w:beforeAutospacing="0" w:after="0" w:afterAutospacing="0"/>
        <w:ind w:left="0" w:leftChars="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三是现场验收。验收组一行到朝天区七盘关食品工业园区对广元秦川印象生态农业开发有限公司农特产品加工包装及冷链物流项目进行了实地现场验收。该项目建设完成情况如下：一是该项目共投入资金</w:t>
      </w:r>
      <w:r>
        <w:rPr>
          <w:rFonts w:hint="eastAsia" w:ascii="仿宋_GB2312" w:hAnsi="宋体" w:eastAsia="仿宋_GB2312" w:cs="仿宋_GB2312"/>
          <w:sz w:val="32"/>
          <w:szCs w:val="32"/>
          <w:lang w:val="en-US"/>
        </w:rPr>
        <w:t>565</w:t>
      </w:r>
      <w:r>
        <w:rPr>
          <w:rFonts w:hint="eastAsia" w:ascii="仿宋_GB2312" w:hAnsi="宋体" w:eastAsia="仿宋_GB2312" w:cs="仿宋_GB2312"/>
          <w:sz w:val="32"/>
          <w:szCs w:val="32"/>
          <w:lang w:eastAsia="zh-CN"/>
        </w:rPr>
        <w:t>万余元，在加强商品化处理设施建设方面，建设完成钢架生产厂房，购置配套烘干机、紫外线杀菌仪</w:t>
      </w:r>
      <w:r>
        <w:rPr>
          <w:rFonts w:hint="eastAsia" w:ascii="仿宋_GB2312" w:hAnsi="宋体" w:eastAsia="仿宋_GB2312" w:cs="仿宋_GB2312"/>
          <w:sz w:val="32"/>
          <w:szCs w:val="32"/>
          <w:lang w:val="en-US"/>
        </w:rPr>
        <w:t>2</w:t>
      </w:r>
      <w:r>
        <w:rPr>
          <w:rFonts w:hint="eastAsia" w:ascii="仿宋_GB2312" w:hAnsi="宋体" w:eastAsia="仿宋_GB2312" w:cs="仿宋_GB2312"/>
          <w:sz w:val="32"/>
          <w:szCs w:val="32"/>
          <w:lang w:eastAsia="zh-CN"/>
        </w:rPr>
        <w:t>套、打包机</w:t>
      </w:r>
      <w:r>
        <w:rPr>
          <w:rFonts w:hint="eastAsia" w:ascii="仿宋_GB2312" w:hAnsi="宋体" w:eastAsia="仿宋_GB2312" w:cs="仿宋_GB2312"/>
          <w:sz w:val="32"/>
          <w:szCs w:val="32"/>
          <w:lang w:val="en-US"/>
        </w:rPr>
        <w:t>2</w:t>
      </w:r>
      <w:r>
        <w:rPr>
          <w:rFonts w:hint="eastAsia" w:ascii="仿宋_GB2312" w:hAnsi="宋体" w:eastAsia="仿宋_GB2312" w:cs="仿宋_GB2312"/>
          <w:sz w:val="32"/>
          <w:szCs w:val="32"/>
          <w:lang w:eastAsia="zh-CN"/>
        </w:rPr>
        <w:t>套、真空机</w:t>
      </w:r>
      <w:r>
        <w:rPr>
          <w:rFonts w:hint="eastAsia" w:ascii="仿宋_GB2312" w:hAnsi="宋体" w:eastAsia="仿宋_GB2312" w:cs="仿宋_GB2312"/>
          <w:sz w:val="32"/>
          <w:szCs w:val="32"/>
          <w:lang w:val="en-US"/>
        </w:rPr>
        <w:t>2</w:t>
      </w:r>
      <w:r>
        <w:rPr>
          <w:rFonts w:hint="eastAsia" w:ascii="仿宋_GB2312" w:hAnsi="宋体" w:eastAsia="仿宋_GB2312" w:cs="仿宋_GB2312"/>
          <w:sz w:val="32"/>
          <w:szCs w:val="32"/>
          <w:lang w:eastAsia="zh-CN"/>
        </w:rPr>
        <w:t>套、生产操作流水台一条；在农产品冷链物流方面，建成</w:t>
      </w:r>
      <w:r>
        <w:rPr>
          <w:rFonts w:hint="eastAsia" w:ascii="仿宋_GB2312" w:hAnsi="宋体" w:eastAsia="仿宋_GB2312" w:cs="仿宋_GB2312"/>
          <w:sz w:val="32"/>
          <w:szCs w:val="32"/>
          <w:lang w:val="en-US"/>
        </w:rPr>
        <w:t>450</w:t>
      </w:r>
      <w:r>
        <w:rPr>
          <w:rFonts w:hint="eastAsia" w:ascii="仿宋_GB2312" w:hAnsi="宋体" w:eastAsia="仿宋_GB2312" w:cs="仿宋_GB2312"/>
          <w:sz w:val="32"/>
          <w:szCs w:val="32"/>
          <w:lang w:eastAsia="zh-CN"/>
        </w:rPr>
        <w:t>立方的气调保鲜库，</w:t>
      </w:r>
      <w:r>
        <w:rPr>
          <w:rFonts w:hint="eastAsia" w:ascii="仿宋_GB2312" w:hAnsi="宋体" w:eastAsia="仿宋_GB2312" w:cs="仿宋_GB2312"/>
          <w:sz w:val="32"/>
          <w:szCs w:val="32"/>
          <w:lang w:val="en-US"/>
        </w:rPr>
        <w:t>336</w:t>
      </w:r>
      <w:r>
        <w:rPr>
          <w:rFonts w:hint="eastAsia" w:ascii="仿宋_GB2312" w:hAnsi="宋体" w:eastAsia="仿宋_GB2312" w:cs="仿宋_GB2312"/>
          <w:sz w:val="32"/>
          <w:szCs w:val="32"/>
          <w:lang w:eastAsia="zh-CN"/>
        </w:rPr>
        <w:t>立方的冷冻库，</w:t>
      </w:r>
      <w:r>
        <w:rPr>
          <w:rFonts w:hint="eastAsia" w:ascii="仿宋_GB2312" w:hAnsi="宋体" w:eastAsia="仿宋_GB2312" w:cs="仿宋_GB2312"/>
          <w:sz w:val="32"/>
          <w:szCs w:val="32"/>
          <w:lang w:val="en-US"/>
        </w:rPr>
        <w:t>96</w:t>
      </w:r>
      <w:r>
        <w:rPr>
          <w:rFonts w:hint="eastAsia" w:ascii="仿宋_GB2312" w:hAnsi="宋体" w:eastAsia="仿宋_GB2312" w:cs="仿宋_GB2312"/>
          <w:sz w:val="32"/>
          <w:szCs w:val="32"/>
          <w:lang w:eastAsia="zh-CN"/>
        </w:rPr>
        <w:t>立方的速冻库，购买制冷机组</w:t>
      </w:r>
      <w:r>
        <w:rPr>
          <w:rFonts w:hint="eastAsia" w:ascii="仿宋_GB2312" w:hAnsi="宋体" w:eastAsia="仿宋_GB2312" w:cs="仿宋_GB2312"/>
          <w:sz w:val="32"/>
          <w:szCs w:val="32"/>
          <w:lang w:val="en-US"/>
        </w:rPr>
        <w:t>5</w:t>
      </w:r>
      <w:r>
        <w:rPr>
          <w:rFonts w:hint="eastAsia" w:ascii="仿宋_GB2312" w:hAnsi="宋体" w:eastAsia="仿宋_GB2312" w:cs="仿宋_GB2312"/>
          <w:sz w:val="32"/>
          <w:szCs w:val="32"/>
          <w:lang w:eastAsia="zh-CN"/>
        </w:rPr>
        <w:t>台、冷风机</w:t>
      </w:r>
      <w:r>
        <w:rPr>
          <w:rFonts w:hint="eastAsia" w:ascii="仿宋_GB2312" w:hAnsi="宋体" w:eastAsia="仿宋_GB2312" w:cs="仿宋_GB2312"/>
          <w:sz w:val="32"/>
          <w:szCs w:val="32"/>
          <w:lang w:val="en-US"/>
        </w:rPr>
        <w:t>5</w:t>
      </w:r>
      <w:r>
        <w:rPr>
          <w:rFonts w:hint="eastAsia" w:ascii="仿宋_GB2312" w:hAnsi="宋体" w:eastAsia="仿宋_GB2312" w:cs="仿宋_GB2312"/>
          <w:sz w:val="32"/>
          <w:szCs w:val="32"/>
          <w:lang w:eastAsia="zh-CN"/>
        </w:rPr>
        <w:t>台、智能控制箱</w:t>
      </w:r>
      <w:r>
        <w:rPr>
          <w:rFonts w:hint="eastAsia" w:ascii="仿宋_GB2312" w:hAnsi="宋体" w:eastAsia="仿宋_GB2312" w:cs="仿宋_GB2312"/>
          <w:sz w:val="32"/>
          <w:szCs w:val="32"/>
          <w:lang w:val="en-US"/>
        </w:rPr>
        <w:t>5</w:t>
      </w:r>
      <w:r>
        <w:rPr>
          <w:rFonts w:hint="eastAsia" w:ascii="仿宋_GB2312" w:hAnsi="宋体" w:eastAsia="仿宋_GB2312" w:cs="仿宋_GB2312"/>
          <w:sz w:val="32"/>
          <w:szCs w:val="32"/>
          <w:lang w:eastAsia="zh-CN"/>
        </w:rPr>
        <w:t>台、物流车</w:t>
      </w:r>
      <w:r>
        <w:rPr>
          <w:rFonts w:hint="eastAsia" w:ascii="仿宋_GB2312" w:hAnsi="宋体" w:eastAsia="仿宋_GB2312" w:cs="仿宋_GB2312"/>
          <w:sz w:val="32"/>
          <w:szCs w:val="32"/>
          <w:lang w:val="en-US"/>
        </w:rPr>
        <w:t>2</w:t>
      </w:r>
      <w:r>
        <w:rPr>
          <w:rFonts w:hint="eastAsia" w:ascii="仿宋_GB2312" w:hAnsi="宋体" w:eastAsia="仿宋_GB2312" w:cs="仿宋_GB2312"/>
          <w:sz w:val="32"/>
          <w:szCs w:val="32"/>
          <w:lang w:eastAsia="zh-CN"/>
        </w:rPr>
        <w:t>台等设备。二是公司积极对接周边农户、专合社、电商企业，实现农产品的商品化包装外销，充分利用企业自身的电商运营经验，发挥所运营的苏宁广元馆的优势资源，开设</w:t>
      </w:r>
      <w:r>
        <w:rPr>
          <w:rFonts w:hint="eastAsia" w:ascii="仿宋_GB2312" w:hAnsi="宋体" w:eastAsia="仿宋_GB2312" w:cs="仿宋_GB2312"/>
          <w:sz w:val="32"/>
          <w:szCs w:val="32"/>
          <w:lang w:val="en-US"/>
        </w:rPr>
        <w:t>500</w:t>
      </w:r>
      <w:r>
        <w:rPr>
          <w:rFonts w:hint="eastAsia" w:ascii="仿宋_GB2312" w:hAnsi="宋体" w:eastAsia="仿宋_GB2312" w:cs="仿宋_GB2312"/>
          <w:sz w:val="32"/>
          <w:szCs w:val="32"/>
          <w:lang w:eastAsia="zh-CN"/>
        </w:rPr>
        <w:t>平米的朝天曾家山旅游节点的旅游产品销售店。</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四是得出自评结论，按项目资金使用方向填报绩效评价表格，对项目资金绩效情况进行整体评价分析，形成自评报告。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kern w:val="2"/>
          <w:sz w:val="32"/>
          <w:szCs w:val="32"/>
          <w:lang w:val="en-US" w:eastAsia="zh-CN" w:bidi="ar"/>
        </w:rPr>
        <w:t>按照广朝财建〔2022〕7号文件</w:t>
      </w:r>
      <w:r>
        <w:rPr>
          <w:rFonts w:hint="eastAsia" w:ascii="仿宋" w:hAnsi="仿宋" w:eastAsia="仿宋" w:cs="仿宋"/>
          <w:kern w:val="2"/>
          <w:sz w:val="32"/>
          <w:szCs w:val="32"/>
          <w:lang w:val="en-US" w:eastAsia="zh-CN" w:bidi="ar"/>
        </w:rPr>
        <w:t>，</w:t>
      </w:r>
      <w:r>
        <w:rPr>
          <w:rFonts w:hint="eastAsia" w:ascii="仿宋_GB2312" w:hAnsi="Times New Roman" w:eastAsia="仿宋_GB2312" w:cs="宋体"/>
          <w:kern w:val="2"/>
          <w:sz w:val="32"/>
          <w:szCs w:val="32"/>
          <w:lang w:val="en-US" w:eastAsia="zh-CN" w:bidi="ar"/>
        </w:rPr>
        <w:t>当年安排2020年度中央财政农商互联暨农产品供应链项目资金23.07万元，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当年</w:t>
      </w:r>
      <w:r>
        <w:rPr>
          <w:rFonts w:hint="eastAsia" w:ascii="仿宋_GB2312" w:hAnsi="Times New Roman" w:eastAsia="仿宋_GB2312" w:cs="宋体"/>
          <w:kern w:val="2"/>
          <w:sz w:val="32"/>
          <w:szCs w:val="32"/>
          <w:lang w:val="en-US" w:eastAsia="zh-CN" w:bidi="ar"/>
        </w:rPr>
        <w:t>安排2020年度中央财政农商互联暨农产品供应链项目资金23.07万元。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Times New Roman" w:eastAsia="仿宋_GB2312" w:cs="宋体"/>
          <w:kern w:val="2"/>
          <w:sz w:val="32"/>
          <w:szCs w:val="32"/>
          <w:lang w:val="en-US" w:eastAsia="zh-CN" w:bidi="ar"/>
        </w:rPr>
        <w:t>2020年度中央财政农商互联暨农产品供应链项目资金</w:t>
      </w:r>
      <w:r>
        <w:rPr>
          <w:rFonts w:hint="eastAsia" w:ascii="仿宋_GB2312" w:hAnsi="仿宋" w:eastAsia="仿宋_GB2312" w:cs="仿宋_GB2312"/>
          <w:kern w:val="2"/>
          <w:sz w:val="32"/>
          <w:szCs w:val="32"/>
          <w:lang w:val="en-US" w:eastAsia="zh-CN" w:bidi="ar"/>
        </w:rPr>
        <w:t>全年到位</w:t>
      </w:r>
      <w:r>
        <w:rPr>
          <w:rFonts w:hint="eastAsia" w:ascii="仿宋_GB2312" w:hAnsi="仿宋_GB2312" w:eastAsia="仿宋_GB2312" w:cs="仿宋_GB2312"/>
          <w:kern w:val="2"/>
          <w:sz w:val="32"/>
          <w:szCs w:val="32"/>
          <w:lang w:val="en-US" w:eastAsia="zh-CN" w:bidi="ar"/>
        </w:rPr>
        <w:t>23.07</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资金到位率100%，</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 w:eastAsia="仿宋_GB2312" w:cs="仿宋_GB2312"/>
          <w:sz w:val="32"/>
          <w:szCs w:val="32"/>
          <w:lang w:val="en-US" w:bidi="ar"/>
        </w:rPr>
      </w:pPr>
      <w:r>
        <w:rPr>
          <w:rFonts w:hint="eastAsia" w:ascii="楷体" w:hAnsi="楷体" w:eastAsia="楷体" w:cs="楷体"/>
          <w:bCs/>
          <w:spacing w:val="-6"/>
          <w:kern w:val="2"/>
          <w:sz w:val="32"/>
          <w:szCs w:val="32"/>
          <w:lang w:val="en-US" w:eastAsia="zh-CN" w:bidi="ar"/>
        </w:rPr>
        <w:t>3.资金使用。</w:t>
      </w:r>
      <w:r>
        <w:rPr>
          <w:rFonts w:hint="eastAsia" w:ascii="仿宋_GB2312" w:hAnsi="Times New Roman" w:eastAsia="仿宋_GB2312" w:cs="仿宋_GB2312"/>
          <w:spacing w:val="-6"/>
          <w:kern w:val="2"/>
          <w:sz w:val="32"/>
          <w:szCs w:val="32"/>
          <w:lang w:val="en-US" w:eastAsia="zh-CN" w:bidi="ar"/>
        </w:rPr>
        <w:t>严格按照相关文件要求，该项目经费拨款全部用于</w:t>
      </w:r>
      <w:r>
        <w:rPr>
          <w:rFonts w:hint="eastAsia" w:ascii="仿宋_GB2312" w:hAnsi="Times New Roman" w:eastAsia="仿宋_GB2312" w:cs="宋体"/>
          <w:kern w:val="2"/>
          <w:sz w:val="32"/>
          <w:szCs w:val="32"/>
          <w:lang w:val="en-US" w:eastAsia="zh-CN" w:bidi="ar"/>
        </w:rPr>
        <w:t>2020年度中央财政农商互联暨农产品供应链项目</w:t>
      </w:r>
      <w:r>
        <w:rPr>
          <w:rFonts w:hint="eastAsia" w:ascii="仿宋_GB2312" w:hAnsi="Times New Roman" w:eastAsia="仿宋_GB2312" w:cs="仿宋_GB2312"/>
          <w:spacing w:val="-6"/>
          <w:kern w:val="2"/>
          <w:sz w:val="32"/>
          <w:szCs w:val="32"/>
          <w:lang w:val="en-US" w:eastAsia="zh-CN" w:bidi="ar"/>
        </w:rPr>
        <w:t>专项补助支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宋体" w:eastAsia="仿宋_GB2312" w:cs="仿宋_GB2312"/>
          <w:kern w:val="2"/>
          <w:sz w:val="32"/>
          <w:szCs w:val="32"/>
          <w:lang w:val="en-US" w:eastAsia="zh-CN" w:bidi="ar"/>
        </w:rPr>
        <w:t>资金使用的安全性、规范性及有效性、</w:t>
      </w:r>
      <w:r>
        <w:rPr>
          <w:rFonts w:hint="eastAsia" w:ascii="仿宋_GB2312" w:hAnsi="仿宋" w:eastAsia="仿宋_GB2312" w:cs="仿宋_GB2312"/>
          <w:kern w:val="2"/>
          <w:sz w:val="32"/>
          <w:szCs w:val="32"/>
          <w:lang w:val="en-US" w:eastAsia="zh-CN" w:bidi="ar"/>
        </w:rPr>
        <w:t>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（三）项目财务管理情况</w:t>
      </w:r>
    </w:p>
    <w:p>
      <w:pPr>
        <w:pStyle w:val="64"/>
        <w:widowControl/>
        <w:spacing w:line="360" w:lineRule="auto"/>
        <w:ind w:left="0" w:firstLine="672"/>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为加强项目资金的使用管理，我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zh-CN" w:eastAsia="zh-CN"/>
        </w:rPr>
        <w:t>严格按照</w:t>
      </w:r>
      <w:r>
        <w:rPr>
          <w:rFonts w:hint="eastAsia" w:ascii="仿宋_GB2312" w:eastAsia="仿宋_GB2312" w:cs="宋体"/>
          <w:sz w:val="32"/>
          <w:szCs w:val="32"/>
          <w:lang w:eastAsia="zh-CN"/>
        </w:rPr>
        <w:t>广朝财建〔</w:t>
      </w:r>
      <w:r>
        <w:rPr>
          <w:rFonts w:hint="eastAsia" w:ascii="仿宋_GB2312" w:eastAsia="仿宋_GB2312" w:cs="宋体"/>
          <w:sz w:val="32"/>
          <w:szCs w:val="32"/>
          <w:lang w:val="en-US"/>
        </w:rPr>
        <w:t>2022</w:t>
      </w:r>
      <w:r>
        <w:rPr>
          <w:rFonts w:hint="eastAsia" w:ascii="仿宋_GB2312" w:eastAsia="仿宋_GB2312" w:cs="宋体"/>
          <w:sz w:val="32"/>
          <w:szCs w:val="32"/>
          <w:lang w:eastAsia="zh-CN"/>
        </w:rPr>
        <w:t>〕</w:t>
      </w:r>
      <w:r>
        <w:rPr>
          <w:rFonts w:hint="eastAsia" w:ascii="仿宋_GB2312" w:eastAsia="仿宋_GB2312" w:cs="宋体"/>
          <w:sz w:val="32"/>
          <w:szCs w:val="32"/>
          <w:lang w:val="en-US"/>
        </w:rPr>
        <w:t>7</w:t>
      </w:r>
      <w:r>
        <w:rPr>
          <w:rFonts w:hint="eastAsia" w:ascii="仿宋_GB2312" w:eastAsia="仿宋_GB2312" w:cs="宋体"/>
          <w:sz w:val="32"/>
          <w:szCs w:val="32"/>
          <w:lang w:eastAsia="zh-CN"/>
        </w:rPr>
        <w:t>号文件</w:t>
      </w:r>
      <w:r>
        <w:rPr>
          <w:rFonts w:hint="eastAsia" w:ascii="仿宋_GB2312" w:hAnsi="仿宋_GB2312" w:eastAsia="仿宋_GB2312" w:cs="仿宋_GB2312"/>
          <w:color w:val="000000"/>
          <w:sz w:val="32"/>
          <w:szCs w:val="32"/>
          <w:lang w:val="zh-CN" w:eastAsia="zh-CN"/>
        </w:rPr>
        <w:t>和</w:t>
      </w:r>
      <w:r>
        <w:rPr>
          <w:rFonts w:hint="eastAsia" w:ascii="仿宋_GB2312" w:hAnsi="仿宋_GB2312" w:eastAsia="仿宋_GB2312" w:cs="仿宋_GB2312"/>
          <w:sz w:val="32"/>
          <w:szCs w:val="32"/>
          <w:lang w:val="zh-CN" w:eastAsia="zh-CN"/>
        </w:rPr>
        <w:t>市、单位财务管理制度等文件规定</w:t>
      </w:r>
      <w:r>
        <w:rPr>
          <w:rFonts w:hint="eastAsia" w:ascii="仿宋_GB2312" w:hAnsi="仿宋_GB2312" w:eastAsia="仿宋_GB2312" w:cs="仿宋_GB2312"/>
          <w:sz w:val="32"/>
          <w:szCs w:val="32"/>
          <w:shd w:val="pct10" w:color="auto" w:fill="FFFFFF"/>
          <w:lang w:val="zh-CN" w:eastAsia="zh-CN"/>
        </w:rPr>
        <w:t>，</w:t>
      </w:r>
      <w:r>
        <w:rPr>
          <w:rFonts w:hint="eastAsia" w:ascii="仿宋_GB2312" w:hAnsi="仿宋_GB2312" w:eastAsia="仿宋_GB2312" w:cs="仿宋_GB2312"/>
          <w:color w:val="000000"/>
          <w:sz w:val="32"/>
          <w:szCs w:val="32"/>
          <w:lang w:val="zh-CN" w:eastAsia="zh-CN"/>
        </w:rPr>
        <w:t>兑付</w:t>
      </w:r>
      <w:r>
        <w:rPr>
          <w:rFonts w:hint="eastAsia" w:ascii="仿宋_GB2312" w:eastAsia="仿宋_GB2312" w:cs="仿宋_GB2312"/>
          <w:spacing w:val="-6"/>
          <w:sz w:val="32"/>
          <w:szCs w:val="32"/>
          <w:lang w:val="en-US"/>
        </w:rPr>
        <w:t>2020</w:t>
      </w:r>
      <w:r>
        <w:rPr>
          <w:rFonts w:hint="eastAsia" w:ascii="仿宋_GB2312" w:eastAsia="仿宋_GB2312" w:cs="仿宋_GB2312"/>
          <w:spacing w:val="-6"/>
          <w:sz w:val="32"/>
          <w:szCs w:val="32"/>
          <w:lang w:eastAsia="zh-CN"/>
        </w:rPr>
        <w:t>年度中央财政农商互联暨农产品供应链项目资金，</w:t>
      </w:r>
      <w:r>
        <w:rPr>
          <w:rFonts w:hint="eastAsia" w:ascii="仿宋_GB2312" w:hAnsi="仿宋_GB2312" w:eastAsia="仿宋_GB2312" w:cs="仿宋_GB2312"/>
          <w:sz w:val="32"/>
          <w:szCs w:val="32"/>
          <w:lang w:val="zh-CN" w:eastAsia="zh-CN"/>
        </w:rPr>
        <w:t>使项目资金能最大限度地发挥其作用。资金运行安全率达100%。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hAnsi="宋体" w:eastAsia="楷体_GB2312" w:cs="楷体_GB2312"/>
          <w:b/>
          <w:bCs w:val="0"/>
          <w:sz w:val="32"/>
          <w:szCs w:val="32"/>
          <w:lang w:val="en-US"/>
        </w:rPr>
      </w:pPr>
      <w:r>
        <w:rPr>
          <w:rFonts w:hint="eastAsia" w:ascii="仿宋" w:hAnsi="仿宋" w:eastAsia="仿宋" w:cs="仿宋"/>
          <w:kern w:val="2"/>
          <w:sz w:val="32"/>
          <w:szCs w:val="32"/>
          <w:lang w:val="en-US" w:eastAsia="zh-CN" w:bidi="ar"/>
        </w:rPr>
        <w:t>（一）项目组织架构及实施流程</w:t>
      </w:r>
      <w:r>
        <w:rPr>
          <w:rFonts w:hint="eastAsia" w:ascii="楷体_GB2312" w:hAnsi="宋体" w:eastAsia="楷体_GB2312" w:cs="楷体_GB2312"/>
          <w:b/>
          <w:bCs w:val="0"/>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hAnsi="宋体" w:eastAsia="楷体_GB2312" w:cs="楷体_GB2312"/>
          <w:b/>
          <w:bCs w:val="0"/>
          <w:color w:val="000000"/>
          <w:sz w:val="32"/>
          <w:szCs w:val="32"/>
          <w:lang w:val="en-US"/>
        </w:rPr>
      </w:pPr>
      <w:r>
        <w:rPr>
          <w:rFonts w:hint="eastAsia" w:ascii="仿宋_GB2312" w:hAnsi="仿宋_GB2312" w:eastAsia="仿宋_GB2312" w:cs="仿宋_GB2312"/>
          <w:color w:val="000000"/>
          <w:kern w:val="2"/>
          <w:sz w:val="32"/>
          <w:szCs w:val="32"/>
          <w:lang w:val="en-US" w:eastAsia="zh-CN" w:bidi="ar"/>
        </w:rPr>
        <w:t>根据《四川省商务厅、四川省财政厅关于组织推荐农商互联及农产品供应链项目的通知》及相关规定以及项目实施单位申报项目建设的具体内容进行验收合格后，一次性给予补助。项目具体实施流程：由企业填报申请表并附申报资料上报区商务主管部门、区商务主管部门对应责任股室初审，提交局党组会专题讨论研究通过，区商务主管部门拨付至各企业。</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（二）项目管理情况。</w:t>
      </w:r>
      <w:r>
        <w:rPr>
          <w:rFonts w:hint="eastAsia" w:ascii="仿宋_GB2312" w:hAnsi="仿宋_GB2312" w:eastAsia="仿宋_GB2312" w:cs="仿宋_GB2312"/>
          <w:kern w:val="2"/>
          <w:sz w:val="32"/>
          <w:szCs w:val="32"/>
          <w:lang w:val="en-US" w:eastAsia="zh-CN" w:bidi="ar"/>
        </w:rPr>
        <w:t>当年兑付</w:t>
      </w:r>
      <w:r>
        <w:rPr>
          <w:rFonts w:hint="eastAsia" w:ascii="仿宋_GB2312" w:hAnsi="Times New Roman" w:eastAsia="仿宋_GB2312" w:cs="宋体"/>
          <w:kern w:val="2"/>
          <w:sz w:val="32"/>
          <w:szCs w:val="32"/>
          <w:lang w:val="en-US" w:eastAsia="zh-CN" w:bidi="ar"/>
        </w:rPr>
        <w:t>2020年度中央财政农商互联暨农产品供应链项目资金</w:t>
      </w:r>
      <w:r>
        <w:rPr>
          <w:rFonts w:hint="eastAsia" w:ascii="仿宋_GB2312" w:hAnsi="仿宋_GB2312" w:eastAsia="仿宋_GB2312" w:cs="仿宋_GB2312"/>
          <w:kern w:val="2"/>
          <w:sz w:val="32"/>
          <w:szCs w:val="32"/>
          <w:lang w:val="en-US" w:eastAsia="zh-CN" w:bidi="ar"/>
        </w:rPr>
        <w:t>23.07万元，即：广元秦川印象生态农业开发有限公司23.07万元，</w:t>
      </w:r>
      <w:r>
        <w:rPr>
          <w:rFonts w:hint="eastAsia" w:ascii="仿宋_GB2312" w:hAnsi="仿宋_GB2312" w:eastAsia="仿宋_GB2312" w:cs="仿宋_GB2312"/>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sz w:val="32"/>
          <w:szCs w:val="32"/>
          <w:lang w:val="en-US"/>
        </w:rPr>
      </w:pPr>
      <w:r>
        <w:rPr>
          <w:rFonts w:hint="eastAsia" w:ascii="仿宋" w:hAnsi="仿宋" w:eastAsia="仿宋" w:cs="仿宋"/>
          <w:kern w:val="2"/>
          <w:sz w:val="32"/>
          <w:szCs w:val="32"/>
          <w:lang w:val="en-US" w:eastAsia="zh-CN" w:bidi="ar"/>
        </w:rPr>
        <w:t>（三）项目监管情况。</w:t>
      </w:r>
      <w:r>
        <w:rPr>
          <w:rFonts w:hint="eastAsia" w:ascii="仿宋_GB2312" w:hAnsi="宋体" w:eastAsia="仿宋_GB2312" w:cs="仿宋_GB2312"/>
          <w:b/>
          <w:bCs w:val="0"/>
          <w:color w:val="000000"/>
          <w:kern w:val="2"/>
          <w:sz w:val="32"/>
          <w:szCs w:val="32"/>
          <w:lang w:val="en-US" w:eastAsia="zh-CN" w:bidi="ar"/>
        </w:rPr>
        <w:t>一是</w:t>
      </w:r>
      <w:r>
        <w:rPr>
          <w:rFonts w:hint="eastAsia" w:ascii="仿宋_GB2312" w:hAnsi="宋体" w:eastAsia="仿宋_GB2312" w:cs="仿宋_GB2312"/>
          <w:bCs/>
          <w:color w:val="000000"/>
          <w:kern w:val="2"/>
          <w:sz w:val="32"/>
          <w:szCs w:val="32"/>
          <w:lang w:val="en-US" w:eastAsia="zh-CN" w:bidi="ar"/>
        </w:rPr>
        <w:t>明确分工，落实责任。</w:t>
      </w:r>
      <w:r>
        <w:rPr>
          <w:rFonts w:hint="eastAsia" w:ascii="仿宋_GB2312" w:hAnsi="宋体" w:eastAsia="仿宋_GB2312" w:cs="仿宋_GB2312"/>
          <w:color w:val="000000"/>
          <w:kern w:val="2"/>
          <w:sz w:val="32"/>
          <w:szCs w:val="32"/>
          <w:lang w:val="en-US" w:eastAsia="zh-CN" w:bidi="ar"/>
        </w:rPr>
        <w:t>为管好用好农商互联资金，将项目的管理和监督责任明确到人。</w:t>
      </w:r>
      <w:r>
        <w:rPr>
          <w:rFonts w:hint="eastAsia" w:ascii="仿宋_GB2312" w:hAnsi="宋体" w:eastAsia="仿宋_GB2312" w:cs="仿宋_GB2312"/>
          <w:b/>
          <w:bCs w:val="0"/>
          <w:color w:val="000000"/>
          <w:kern w:val="2"/>
          <w:sz w:val="32"/>
          <w:szCs w:val="32"/>
          <w:lang w:val="en-US" w:eastAsia="zh-CN" w:bidi="ar"/>
        </w:rPr>
        <w:t>二是</w:t>
      </w:r>
      <w:r>
        <w:rPr>
          <w:rFonts w:hint="eastAsia" w:ascii="仿宋_GB2312" w:hAnsi="宋体" w:eastAsia="仿宋_GB2312" w:cs="仿宋_GB2312"/>
          <w:color w:val="000000"/>
          <w:kern w:val="2"/>
          <w:sz w:val="32"/>
          <w:szCs w:val="32"/>
          <w:lang w:val="en-US" w:eastAsia="zh-CN" w:bidi="ar"/>
        </w:rPr>
        <w:t>做好事前调研、事中监管、事后追踪问效三个环节工作。为保证项目实施的效果，我局会同区财政局在项目申报之初就对项目单位进行考察调研，确保项目实施单位有相应配套资金投入；在项目实施过程中，全程进行监管，确保项目完全实施、资金足额投入;项目实施完毕后，及时对项目实施效果进行评估，确供项目取得实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1、数量指标：涉及企业1家，农产品在我区的商品化设施使用率40%以上；农产品冷藏仓储能力提高35%以上；</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2、质量指标：品种数量涵盖率100%；制定项目申报方案</w:t>
      </w:r>
      <w:r>
        <w:rPr>
          <w:rFonts w:hint="eastAsia" w:ascii="仿宋_GB2312" w:hAnsi="宋体" w:eastAsia="仿宋_GB2312" w:cs="仿宋_GB2312"/>
          <w:color w:val="000000"/>
          <w:kern w:val="2"/>
          <w:sz w:val="32"/>
          <w:szCs w:val="32"/>
          <w:lang w:val="en-US" w:eastAsia="zh-CN" w:bidi="ar"/>
        </w:rPr>
        <w:tab/>
      </w:r>
      <w:r>
        <w:rPr>
          <w:rFonts w:hint="eastAsia" w:ascii="仿宋_GB2312" w:hAnsi="宋体" w:eastAsia="仿宋_GB2312" w:cs="仿宋_GB2312"/>
          <w:color w:val="000000"/>
          <w:kern w:val="2"/>
          <w:sz w:val="32"/>
          <w:szCs w:val="32"/>
          <w:lang w:val="en-US" w:eastAsia="zh-CN" w:bidi="ar"/>
        </w:rPr>
        <w:t>1个，拟定资金使用计划1个；</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3、时效指标：项目资金申报时效2个周，项目资金审核时效2个周，项目资金批复并兑现时效1个月；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4、成本指标：专项补助标准按投资总额的5%（不超过），资金总额23.07万元。</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1.数量指标方面。  根据我区内的重点产业优势，围绕我区特色的核桃产业、高山露地蔬菜及食用菌产业，现已经积极对接一产种植大户及专业合作社，已经形成了食用菌产销一体化农产品供应链，同时积极扩展核桃产业及蔬菜的供应链；通过项目实施，农产品在我区的商品化设施使用率在40%以上；同时农产品冷藏仓储能力提高35%以上。</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2.质量指标方面。已经形成了食用菌产销一体化农产品供应链，品种数量涵盖所有我区特产食用菌，以木耳、香菇为主。</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3.经济效益指标方面。通过项目的实施，对当地产业发展有着较为积极的作用，直接增加就业岗位上百个，带动农民收入实现10%左右的增长。</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4.社会效益指标方面。在区域产品推广实施过程中，根据实际情况，选择当地建设改造农贸市场、社区菜市场及区外专营网点至少5个。</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5.服务对象满意度方面。通过一系列的运营，让消费者对农民便民销售情况满意度超过95%。</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w:t>
      </w:r>
      <w:r>
        <w:rPr>
          <w:rFonts w:hint="eastAsia" w:ascii="仿宋_GB2312" w:hAnsi="Times New Roman" w:eastAsia="仿宋_GB2312" w:cs="宋体"/>
          <w:kern w:val="2"/>
          <w:sz w:val="32"/>
          <w:szCs w:val="32"/>
          <w:lang w:val="en-US" w:eastAsia="zh-CN" w:bidi="ar"/>
        </w:rPr>
        <w:t>2020年度中央财政农商互联暨农产品供应链项目资金</w:t>
      </w:r>
      <w:r>
        <w:rPr>
          <w:rFonts w:hint="eastAsia" w:ascii="仿宋_GB2312" w:hAnsi="宋体" w:eastAsia="仿宋_GB2312" w:cs="仿宋_GB2312"/>
          <w:kern w:val="2"/>
          <w:sz w:val="32"/>
          <w:szCs w:val="32"/>
          <w:lang w:val="en-US" w:eastAsia="zh-CN" w:bidi="ar"/>
        </w:rPr>
        <w:t>项目绩效得</w:t>
      </w:r>
      <w:r>
        <w:rPr>
          <w:rFonts w:hint="eastAsia" w:ascii="仿宋_GB2312" w:hAnsi="宋体" w:eastAsia="仿宋_GB2312" w:cs="仿宋_GB2312"/>
          <w:color w:val="000000"/>
          <w:kern w:val="2"/>
          <w:sz w:val="32"/>
          <w:szCs w:val="32"/>
          <w:lang w:val="en-US" w:eastAsia="zh-CN" w:bidi="ar"/>
        </w:rPr>
        <w:t>95分，等级为“优”</w:t>
      </w:r>
      <w:r>
        <w:rPr>
          <w:rFonts w:hint="eastAsia" w:ascii="仿宋_GB2312" w:hAnsi="宋体" w:eastAsia="仿宋_GB2312" w:cs="仿宋_GB2312"/>
          <w:kern w:val="2"/>
          <w:sz w:val="32"/>
          <w:szCs w:val="32"/>
          <w:lang w:val="en-US" w:eastAsia="zh-CN" w:bidi="ar"/>
        </w:rPr>
        <w:t>（详见附表2）。</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（二）存在的问题</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1.资金使用方面存在的问题。资金投入较大，见效时间周期较长。</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2.绩效目标完成中存在的问题。</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一是宣传力度不够，辖区经营业主对企业运营模式了解有局限性；</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二是实际运营中的经验存在不足，没有制定更大规模的运营体量；</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（三）相关建议。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1、加强自身资金投入，同时增加配套设施完善。</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2、加强宣传推广，积极梳理区域内更多的供应链条。</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3、加强团队建设，组织学习参观，努力提升及加强创新运营能力。</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4、加强市场拓展，依托电商优势及区域产品的优势，开展线下与线上结合的各种营销推广合作。</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黑体" w:hAnsi="宋体" w:eastAsia="黑体" w:cs="黑体"/>
          <w:color w:val="000000"/>
          <w:kern w:val="0"/>
          <w:sz w:val="24"/>
          <w:szCs w:val="24"/>
          <w:lang w:val="en-US"/>
        </w:rPr>
      </w:pPr>
      <w:r>
        <w:rPr>
          <w:rFonts w:hint="eastAsia" w:ascii="仿宋" w:hAnsi="仿宋" w:eastAsia="仿宋" w:cs="仿宋"/>
          <w:kern w:val="2"/>
          <w:sz w:val="32"/>
          <w:szCs w:val="32"/>
          <w:lang w:val="en-US" w:eastAsia="zh-CN" w:bidi="ar"/>
        </w:rPr>
        <w:t>附表：4-1</w:t>
      </w:r>
      <w:r>
        <w:rPr>
          <w:rFonts w:hint="eastAsia" w:ascii="仿宋_GB2312" w:hAnsi="宋体" w:eastAsia="仿宋_GB2312" w:cs="仿宋_GB2312"/>
          <w:color w:val="000000"/>
          <w:spacing w:val="-6"/>
          <w:kern w:val="0"/>
          <w:sz w:val="32"/>
          <w:szCs w:val="32"/>
          <w:lang w:val="en-US" w:eastAsia="zh-CN" w:bidi="ar"/>
        </w:rPr>
        <w:t>专项预算项目支出绩效目标自评表</w:t>
      </w:r>
    </w:p>
    <w:p>
      <w:pPr>
        <w:pStyle w:val="64"/>
        <w:widowControl/>
        <w:ind w:firstLine="1540" w:firstLineChars="500"/>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rPr>
        <w:t>4-2 1</w:t>
      </w:r>
      <w:r>
        <w:rPr>
          <w:rFonts w:hint="eastAsia" w:ascii="仿宋_GB2312" w:hAnsi="宋体" w:eastAsia="仿宋_GB2312" w:cs="仿宋_GB2312"/>
          <w:color w:val="000000"/>
          <w:spacing w:val="-6"/>
          <w:kern w:val="0"/>
          <w:sz w:val="32"/>
          <w:szCs w:val="32"/>
          <w:lang w:val="en-US"/>
        </w:rPr>
        <w:t>2022</w:t>
      </w:r>
      <w:r>
        <w:rPr>
          <w:rFonts w:hint="eastAsia" w:ascii="仿宋_GB2312" w:hAnsi="宋体" w:eastAsia="仿宋_GB2312" w:cs="仿宋_GB2312"/>
          <w:color w:val="000000"/>
          <w:spacing w:val="-6"/>
          <w:kern w:val="0"/>
          <w:sz w:val="32"/>
          <w:szCs w:val="32"/>
          <w:lang w:eastAsia="zh-CN"/>
        </w:rPr>
        <w:t>年专项预算项目支出绩效自评评分表</w:t>
      </w: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0" w:firstLineChars="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0" w:firstLineChars="0"/>
        <w:rPr>
          <w:rFonts w:hint="eastAsia" w:ascii="仿宋_GB2312" w:hAnsi="宋体" w:eastAsia="仿宋_GB2312" w:cs="仿宋_GB2312"/>
          <w:color w:val="000000"/>
          <w:spacing w:val="-6"/>
          <w:kern w:val="0"/>
          <w:sz w:val="32"/>
          <w:szCs w:val="32"/>
          <w:lang w:val="en-US"/>
        </w:r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697"/>
        <w:gridCol w:w="988"/>
        <w:gridCol w:w="182"/>
        <w:gridCol w:w="1873"/>
        <w:gridCol w:w="1691"/>
        <w:gridCol w:w="1702"/>
        <w:gridCol w:w="140"/>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8946" w:type="dxa"/>
            <w:gridSpan w:val="9"/>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kern w:val="0"/>
                <w:sz w:val="24"/>
                <w:szCs w:val="24"/>
                <w:lang w:val="en-US" w:bidi="ar"/>
              </w:rPr>
            </w:pPr>
          </w:p>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4"/>
                <w:szCs w:val="24"/>
                <w:lang w:val="en-US"/>
              </w:rPr>
            </w:pPr>
            <w:r>
              <w:rPr>
                <w:rFonts w:hint="eastAsia" w:ascii="黑体" w:hAnsi="宋体" w:eastAsia="黑体" w:cs="黑体"/>
                <w:color w:val="000000"/>
                <w:kern w:val="0"/>
                <w:sz w:val="24"/>
                <w:szCs w:val="24"/>
                <w:lang w:val="en-US" w:eastAsia="zh-CN" w:bidi="ar"/>
              </w:rPr>
              <w:t>附表</w:t>
            </w:r>
            <w:r>
              <w:rPr>
                <w:rFonts w:hint="eastAsia" w:ascii="Calibri" w:hAnsi="Calibri" w:eastAsia="黑体" w:cs="Calibri"/>
                <w:color w:val="000000"/>
                <w:kern w:val="0"/>
                <w:sz w:val="24"/>
                <w:szCs w:val="24"/>
                <w:lang w:val="en-US" w:eastAsia="zh-CN" w:bidi="ar"/>
              </w:rPr>
              <w:t>4-1</w:t>
            </w:r>
            <w:r>
              <w:rPr>
                <w:rFonts w:hint="eastAsia" w:ascii="黑体" w:hAnsi="宋体" w:eastAsia="黑体" w:cs="黑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2020年度中央财政农商互联既农产品供应链项目资金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23.07</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全年执行数（万元）</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23.07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其中：一般公共预算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23.07</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其中：一般公共预算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23.07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全年预期目标</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目标：根据相关规定以及项目实施单位申报项目建设的具体内容进行验收合格后，一次性给予补助。全年专项补助资金23.07万元。</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目标完成情况：全年补助专项资金23.07万元。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全年预期指标（包                     含数字及文字描述）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全年实际完成指标值 （包含数字及文字描述）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98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    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2"/>
                <w:sz w:val="16"/>
                <w:szCs w:val="16"/>
                <w:lang w:val="en-US" w:eastAsia="zh-CN" w:bidi="ar"/>
              </w:rPr>
              <w:t>涉及企业</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家</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家</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农产品在我区的商品化设施使用率</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宋体" w:hAnsi="宋体" w:eastAsia="宋体" w:cs="宋体"/>
                <w:color w:val="000000"/>
                <w:kern w:val="2"/>
                <w:sz w:val="20"/>
                <w:szCs w:val="20"/>
                <w:lang w:val="en-US" w:eastAsia="zh-CN" w:bidi="ar"/>
              </w:rPr>
              <w:t>35%以上</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宋体" w:hAnsi="宋体" w:eastAsia="宋体" w:cs="宋体"/>
                <w:color w:val="000000"/>
                <w:kern w:val="2"/>
                <w:sz w:val="20"/>
                <w:szCs w:val="20"/>
                <w:lang w:val="en-US" w:eastAsia="zh-CN" w:bidi="ar"/>
              </w:rPr>
              <w:t>40%以上</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16"/>
                <w:szCs w:val="16"/>
                <w:lang w:val="en-US" w:eastAsia="zh-CN" w:bidi="ar"/>
              </w:rPr>
              <w:t>农产品冷藏仓储能力提高</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宋体" w:hAnsi="宋体" w:eastAsia="宋体" w:cs="宋体"/>
                <w:color w:val="000000"/>
                <w:kern w:val="2"/>
                <w:sz w:val="20"/>
                <w:szCs w:val="20"/>
                <w:lang w:val="en-US" w:eastAsia="zh-CN" w:bidi="ar"/>
              </w:rPr>
              <w:t>30%以上</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宋体" w:hAnsi="宋体" w:eastAsia="宋体" w:cs="宋体"/>
                <w:color w:val="000000"/>
                <w:kern w:val="2"/>
                <w:sz w:val="20"/>
                <w:szCs w:val="20"/>
                <w:lang w:val="en-US" w:eastAsia="zh-CN" w:bidi="ar"/>
              </w:rPr>
              <w:t>35%以上</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    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品种数量涵盖率</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Times New Roman" w:hAnsi="Times New Roman" w:eastAsia="宋体" w:cs="宋体"/>
                <w:color w:val="000000"/>
                <w:kern w:val="2"/>
                <w:sz w:val="20"/>
                <w:szCs w:val="20"/>
                <w:lang w:val="en-US" w:eastAsia="zh-CN" w:bidi="ar"/>
              </w:rPr>
              <w:t>≥</w:t>
            </w:r>
            <w:r>
              <w:rPr>
                <w:rFonts w:hint="default" w:ascii="Times New Roman" w:hAnsi="Times New Roman" w:eastAsia="宋体" w:cs="Times New Roman"/>
                <w:color w:val="000000"/>
                <w:kern w:val="2"/>
                <w:sz w:val="20"/>
                <w:szCs w:val="20"/>
                <w:lang w:val="en-US" w:eastAsia="zh-CN" w:bidi="ar"/>
              </w:rPr>
              <w:t>95%</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100%</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制定项目申报方案</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2"/>
                <w:sz w:val="16"/>
                <w:szCs w:val="16"/>
                <w:lang w:val="en-US" w:eastAsia="zh-CN" w:bidi="ar"/>
              </w:rPr>
              <w:t>拟定资金使用计划</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    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项目资金申报时效</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项目资金审核时效</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16"/>
                <w:szCs w:val="16"/>
                <w:lang w:val="en-US" w:eastAsia="zh-CN" w:bidi="ar"/>
              </w:rPr>
              <w:t>项目资金批复并兑现时效</w:t>
            </w:r>
          </w:p>
        </w:tc>
        <w:tc>
          <w:tcPr>
            <w:tcW w:w="16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   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专项补助标准</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default" w:ascii="Arial" w:hAnsi="Arial" w:eastAsia="宋体" w:cs="Arial"/>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5%</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default" w:ascii="Arial" w:hAnsi="Arial" w:eastAsia="宋体" w:cs="Arial"/>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5%</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资金总额</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23.07</w:t>
            </w:r>
            <w:r>
              <w:rPr>
                <w:rFonts w:hint="eastAsia" w:ascii="Times New Roman" w:hAnsi="Times New Roman" w:eastAsia="宋体" w:cs="宋体"/>
                <w:color w:val="000000"/>
                <w:kern w:val="2"/>
                <w:sz w:val="20"/>
                <w:szCs w:val="20"/>
                <w:lang w:val="en-US" w:eastAsia="zh-CN" w:bidi="ar"/>
              </w:rPr>
              <w:t>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default" w:ascii="Times New Roman" w:hAnsi="Times New Roman" w:eastAsia="宋体" w:cs="Times New Roman"/>
                <w:color w:val="000000"/>
                <w:kern w:val="2"/>
                <w:sz w:val="20"/>
                <w:szCs w:val="20"/>
                <w:lang w:val="en-US" w:eastAsia="zh-CN" w:bidi="ar"/>
              </w:rPr>
              <w:t>23.07</w:t>
            </w:r>
            <w:r>
              <w:rPr>
                <w:rFonts w:hint="eastAsia" w:ascii="Times New Roman" w:hAnsi="Times New Roman" w:eastAsia="宋体" w:cs="宋体"/>
                <w:color w:val="000000"/>
                <w:kern w:val="2"/>
                <w:sz w:val="20"/>
                <w:szCs w:val="20"/>
                <w:lang w:val="en-US" w:eastAsia="zh-CN" w:bidi="ar"/>
              </w:rPr>
              <w:t>万元</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988"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 益指标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增加就业岗位</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90余个，</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100余个，</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农民收入实现增长</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18%左右</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10%左右</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 xml:space="preserve">社会效 益指标    </w:t>
            </w: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20"/>
                <w:szCs w:val="20"/>
                <w:lang w:val="en-US" w:eastAsia="zh-CN" w:bidi="ar"/>
              </w:rPr>
              <w:t>建设专营网点</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w:t>
            </w:r>
            <w:r>
              <w:rPr>
                <w:rFonts w:hint="eastAsia" w:ascii="宋体" w:hAnsi="宋体" w:eastAsia="宋体" w:cs="宋体"/>
                <w:color w:val="000000"/>
                <w:kern w:val="0"/>
                <w:sz w:val="20"/>
                <w:szCs w:val="20"/>
                <w:lang w:val="en-US" w:eastAsia="zh-CN" w:bidi="ar"/>
              </w:rPr>
              <w:t>5个。</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r>
              <w:rPr>
                <w:rFonts w:hint="eastAsia" w:ascii="宋体" w:hAnsi="宋体" w:eastAsia="宋体" w:cs="宋体"/>
                <w:color w:val="000000"/>
                <w:kern w:val="0"/>
                <w:sz w:val="20"/>
                <w:szCs w:val="20"/>
                <w:lang w:val="en-US" w:eastAsia="zh-CN" w:bidi="ar"/>
              </w:rPr>
              <w:t>5个</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可持续影响指标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促进外向型经济可持续发展</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lang w:val="en-US"/>
              </w:rPr>
            </w:pPr>
            <w:r>
              <w:rPr>
                <w:rFonts w:hint="eastAsia" w:ascii="宋体" w:hAnsi="宋体" w:eastAsia="宋体" w:cs="宋体"/>
                <w:color w:val="000000"/>
                <w:kern w:val="0"/>
                <w:sz w:val="13"/>
                <w:szCs w:val="13"/>
                <w:lang w:val="en-US" w:eastAsia="zh-CN" w:bidi="ar"/>
              </w:rPr>
              <w:t>促进企业出口转内销或扩大出口产品种类和市场</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lang w:val="en-US"/>
              </w:rPr>
            </w:pPr>
            <w:r>
              <w:rPr>
                <w:rFonts w:hint="eastAsia" w:ascii="宋体" w:hAnsi="宋体" w:eastAsia="宋体" w:cs="宋体"/>
                <w:color w:val="000000"/>
                <w:kern w:val="0"/>
                <w:sz w:val="13"/>
                <w:szCs w:val="13"/>
                <w:lang w:val="en-US" w:eastAsia="zh-CN" w:bidi="ar"/>
              </w:rPr>
              <w:t>稳定外贸基本盘。</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 xml:space="preserve"> 满意度指标</w:t>
            </w:r>
          </w:p>
        </w:tc>
        <w:tc>
          <w:tcPr>
            <w:tcW w:w="98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Tahoma" w:hAnsi="Tahoma" w:eastAsia="宋体" w:cs="Tahoma"/>
                <w:color w:val="000000"/>
                <w:kern w:val="2"/>
                <w:sz w:val="20"/>
                <w:szCs w:val="20"/>
                <w:shd w:val="clear" w:fill="FFFFFF"/>
                <w:lang w:val="en-US" w:eastAsia="zh-CN" w:bidi="ar"/>
              </w:rPr>
              <w:t>服务对象满意</w:t>
            </w:r>
            <w:r>
              <w:rPr>
                <w:rFonts w:hint="default" w:ascii="Tahoma" w:hAnsi="Tahoma" w:eastAsia="Tahoma" w:cs="Tahoma"/>
                <w:color w:val="000000"/>
                <w:kern w:val="2"/>
                <w:sz w:val="20"/>
                <w:szCs w:val="20"/>
                <w:shd w:val="clear" w:fill="FFFFFF"/>
                <w:lang w:val="en-US" w:eastAsia="zh-CN" w:bidi="ar"/>
              </w:rPr>
              <w:t xml:space="preserve">     </w:t>
            </w:r>
            <w:r>
              <w:rPr>
                <w:rFonts w:hint="eastAsia" w:ascii="Tahoma" w:hAnsi="Tahoma" w:eastAsia="宋体" w:cs="Tahoma"/>
                <w:color w:val="000000"/>
                <w:kern w:val="2"/>
                <w:sz w:val="20"/>
                <w:szCs w:val="20"/>
                <w:shd w:val="clear" w:fill="FFFFFF"/>
                <w:lang w:val="en-US" w:eastAsia="zh-CN" w:bidi="ar"/>
              </w:rPr>
              <w:t>度指标</w:t>
            </w: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消费者对农产品质量的满意度</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842"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99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tbl>
      <w:tblPr>
        <w:tblStyle w:val="23"/>
        <w:tblW w:w="15975"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9"/>
        <w:gridCol w:w="378"/>
        <w:gridCol w:w="425"/>
        <w:gridCol w:w="567"/>
        <w:gridCol w:w="709"/>
        <w:gridCol w:w="30"/>
        <w:gridCol w:w="537"/>
        <w:gridCol w:w="30"/>
        <w:gridCol w:w="1529"/>
        <w:gridCol w:w="709"/>
        <w:gridCol w:w="284"/>
        <w:gridCol w:w="141"/>
        <w:gridCol w:w="142"/>
        <w:gridCol w:w="425"/>
        <w:gridCol w:w="142"/>
        <w:gridCol w:w="425"/>
        <w:gridCol w:w="142"/>
        <w:gridCol w:w="142"/>
        <w:gridCol w:w="283"/>
        <w:gridCol w:w="142"/>
        <w:gridCol w:w="284"/>
        <w:gridCol w:w="415"/>
        <w:gridCol w:w="10"/>
        <w:gridCol w:w="2599"/>
        <w:gridCol w:w="481"/>
        <w:gridCol w:w="470"/>
        <w:gridCol w:w="481"/>
        <w:gridCol w:w="470"/>
        <w:gridCol w:w="470"/>
        <w:gridCol w:w="470"/>
        <w:gridCol w:w="470"/>
        <w:gridCol w:w="470"/>
        <w:gridCol w:w="47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800" w:firstLineChars="250"/>
              <w:jc w:val="both"/>
              <w:rPr>
                <w:rFonts w:hint="eastAsia" w:ascii="宋体" w:hAnsi="宋体" w:eastAsia="宋体" w:cs="宋体"/>
                <w:b/>
                <w:bCs/>
                <w:color w:val="000000"/>
                <w:kern w:val="0"/>
                <w:sz w:val="40"/>
                <w:szCs w:val="40"/>
                <w:lang w:val="en-US"/>
              </w:rPr>
            </w:pPr>
            <w:r>
              <w:rPr>
                <w:rFonts w:hint="eastAsia" w:ascii="黑体" w:hAnsi="宋体" w:eastAsia="黑体" w:cs="宋体"/>
                <w:color w:val="000000"/>
                <w:kern w:val="0"/>
                <w:sz w:val="32"/>
                <w:szCs w:val="32"/>
                <w:lang w:val="en-US" w:eastAsia="zh-CN" w:bidi="ar"/>
              </w:rPr>
              <w:t>附表4-2：</w:t>
            </w:r>
            <w:r>
              <w:rPr>
                <w:rFonts w:hint="eastAsia" w:ascii="黑体" w:hAnsi="宋体" w:eastAsia="黑体" w:cs="宋体"/>
                <w:color w:val="000000"/>
                <w:kern w:val="0"/>
                <w:sz w:val="24"/>
                <w:szCs w:val="24"/>
                <w:lang w:val="en-US" w:eastAsia="zh-CN" w:bidi="ar"/>
              </w:rPr>
              <w:t xml:space="preserve">                 </w:t>
            </w:r>
            <w:r>
              <w:rPr>
                <w:rFonts w:hint="eastAsia" w:ascii="宋体" w:hAnsi="宋体" w:eastAsia="宋体" w:cs="宋体"/>
                <w:b/>
                <w:bCs/>
                <w:color w:val="000000"/>
                <w:kern w:val="0"/>
                <w:sz w:val="40"/>
                <w:szCs w:val="40"/>
                <w:lang w:val="en-US" w:eastAsia="zh-CN" w:bidi="ar"/>
              </w:rPr>
              <w:t>2021年专项预算项目支出绩效自评评分表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部门（单位）盖章：</w:t>
            </w:r>
            <w:r>
              <w:rPr>
                <w:rFonts w:hint="eastAsia" w:ascii="黑体" w:hAnsi="宋体" w:eastAsia="黑体" w:cs="黑体"/>
                <w:b/>
                <w:bCs w:val="0"/>
                <w:color w:val="000000"/>
                <w:kern w:val="0"/>
                <w:sz w:val="20"/>
                <w:szCs w:val="20"/>
                <w:lang w:val="en-US" w:eastAsia="zh-CN" w:bidi="ar"/>
              </w:rPr>
              <w:t>广元市朝天区商务局</w:t>
            </w:r>
            <w:r>
              <w:rPr>
                <w:rFonts w:hint="eastAsia" w:ascii="宋体" w:hAnsi="宋体" w:eastAsia="宋体" w:cs="宋体"/>
                <w:color w:val="000000"/>
                <w:kern w:val="0"/>
                <w:sz w:val="24"/>
                <w:szCs w:val="24"/>
                <w:lang w:val="en-US" w:eastAsia="zh-CN" w:bidi="ar"/>
              </w:rPr>
              <w:t xml:space="preserve">                                 专项预算项目名称：</w:t>
            </w:r>
            <w:r>
              <w:rPr>
                <w:rFonts w:hint="eastAsia" w:ascii="宋体" w:hAnsi="宋体" w:eastAsia="宋体" w:cs="宋体"/>
                <w:b/>
                <w:bCs w:val="0"/>
                <w:color w:val="000000"/>
                <w:kern w:val="0"/>
                <w:sz w:val="18"/>
                <w:szCs w:val="18"/>
                <w:lang w:val="en-US" w:eastAsia="zh-CN" w:bidi="ar"/>
              </w:rPr>
              <w:t>2020年度中央财政农商互联既农产品供应链项目资金</w:t>
            </w:r>
            <w:r>
              <w:rPr>
                <w:rFonts w:hint="eastAsia" w:ascii="黑体" w:hAnsi="宋体" w:eastAsia="黑体" w:cs="黑体"/>
                <w:b/>
                <w:bCs w:val="0"/>
                <w:color w:val="000000"/>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6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分层分类指标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指标分值</w:t>
            </w:r>
          </w:p>
        </w:tc>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指标解释</w:t>
            </w:r>
          </w:p>
        </w:tc>
        <w:tc>
          <w:tcPr>
            <w:tcW w:w="326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评分方法</w:t>
            </w:r>
          </w:p>
        </w:tc>
        <w:tc>
          <w:tcPr>
            <w:tcW w:w="30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评价要点及说明</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评价方式</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评价属性</w:t>
            </w:r>
          </w:p>
        </w:tc>
        <w:tc>
          <w:tcPr>
            <w:tcW w:w="2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定量评价标准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分层指标</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适用范围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一级指标</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二级指标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方法 归类</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计算公式</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整体评价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样本评价</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定性评价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国家标准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行业标准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地方标准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申报标准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历史均值</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0.3</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0.6</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0.8</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通用指标（40分）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所有项预算项目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项目决策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程序严密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不完善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较完善</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完  善</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规划合理★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项目规划是否符合区委、区政府重大决策部署，是否与项目年度目标一致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较合理</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理</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制度完备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项目指导意见、管理办法、申报指南、实施细则等管理制度是否完善，是否存在脱离实际、缺陷、漏洞导致执行偏离预期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项目实施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项目资金分配结果是否与规划计划一致；是否按规定及时分配专项预算资金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否</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使用合规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项目资金使用是否符合相关的财务管理制度规定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执行有效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项目实施是否符合相关管理制度规定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完成结果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项目资金拨付到具体支持对象企业、项目（人）的情况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指标得分=项目实际到位金额/承诺到位金额*100%*指标分值</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主要查看项目资金拨付到人到户、到项目、到企业与资金总量的对比，配套预算到位率。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资金结余★</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项目资金结余的情况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指标得分=（1-结余率/0.2）*指标分值结余率大于等于0.2，指标得0分                                                                                                                                 结余率=结余金额/省级财政资金预算数×100%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目标完成★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项目实施后是否完成预期目标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指标得分=实际完成任务量/绩效目标设定任务量×100%*指标分值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主要查看项目实施后产出数量指标完成情况。以样本点资金量为权重，加权计算指标得分。当实际完成任务量/绩效目标设定任务量&gt;1时按1计算</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完成及时</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项目实际完成时间与计划完成时间的比较，用以反映和考核项目产出实效目标的实现程度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指标得分=1-(实际完成时间-计划完成时间/计划完成时间)×100%*指标分值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违规记录</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项目管理是否合规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不合规</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3处及以上不合规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2处不合规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1处不合规</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规</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根据审计监督、财政检查结果反映专项管理是否合规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共性指标</w:t>
            </w:r>
            <w:r>
              <w:rPr>
                <w:rFonts w:hint="eastAsia" w:ascii="宋体" w:hAnsi="宋体" w:eastAsia="宋体" w:cs="宋体"/>
                <w:bCs/>
                <w:color w:val="000000"/>
                <w:kern w:val="0"/>
                <w:sz w:val="18"/>
                <w:szCs w:val="18"/>
                <w:lang w:val="en-US" w:eastAsia="zh-CN" w:bidi="ar"/>
              </w:rPr>
              <w:t>（10分）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项目效果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符合性</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项目实施效果是否与绩效目标或申报目标符合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指标得分=项目实施符合的点位数/所有选点总数×100%*指标分值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根据项目现场评价实施效果与绩效目标进行对比，汇总所有样本点情况综合分析政策整体吻合度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成长性★</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反映不同类型产业政策实施对相关行业企业成长性的促进作用，主要反映支持对象的创新、创造、创业能力情况，产业结构情况，持续盈利能力情况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指标得分=各项具体指标得分的平均分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特性指标</w:t>
            </w:r>
            <w:r>
              <w:rPr>
                <w:rFonts w:hint="eastAsia" w:ascii="宋体" w:hAnsi="宋体" w:eastAsia="宋体" w:cs="宋体"/>
                <w:bCs/>
                <w:color w:val="000000"/>
                <w:kern w:val="0"/>
                <w:sz w:val="18"/>
                <w:szCs w:val="18"/>
                <w:lang w:val="en-US" w:eastAsia="zh-CN" w:bidi="ar"/>
              </w:rPr>
              <w:t>（10分）</w:t>
            </w:r>
          </w:p>
        </w:tc>
        <w:tc>
          <w:tcPr>
            <w:tcW w:w="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服务业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经济效益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消费增长</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项目支持区域内社会消费品零售总额增长情况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指标得分根据三年社会消费品零售增长变化计算得分，社会消费品零售增长≥标准值的得满分，＜标准值80%的不得分，其余按比值计算得分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重点收集三年来区域内社会消费品零售增长数据，主要通过官方统计数据采集，同时结合实地调查对比，综合计算指标得分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增加值增长率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项目实施涉及增加值增长情况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指标得分=三年增加值平均增长率/标准值*指标分值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5"/>
                <w:szCs w:val="15"/>
                <w:lang w:val="en-US" w:eastAsia="zh-CN" w:bidi="ar"/>
              </w:rPr>
              <w:t>增加值增长率=当年服务业增加值增量/上一年度服务业增加值总量×100%。重点查看项目实施区域服务业增加值变动情况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5"/>
                <w:szCs w:val="15"/>
                <w:lang w:val="en-US"/>
              </w:rPr>
            </w:pPr>
            <w:r>
              <w:rPr>
                <w:rFonts w:hint="eastAsia" w:ascii="宋体" w:hAnsi="宋体" w:eastAsia="宋体" w:cs="宋体"/>
                <w:b/>
                <w:bCs/>
                <w:color w:val="000000"/>
                <w:kern w:val="0"/>
                <w:sz w:val="15"/>
                <w:szCs w:val="15"/>
                <w:lang w:val="en-US" w:eastAsia="zh-CN" w:bidi="ar"/>
              </w:rPr>
              <w:t>社会效益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服务效能</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区域内相关事务处理能力提升情况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分级评分法t</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一般</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较好</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好</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重点查看区域内相关事务处理能力提升状况，通过资料记录查询，现场持续跟踪，走访调研了解等手段综合判断</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15" w:type="dxa"/>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个性指标（40分）</w:t>
            </w:r>
          </w:p>
        </w:tc>
        <w:tc>
          <w:tcPr>
            <w:tcW w:w="80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外   贸   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产出指标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  指标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明确农商互联暨农产品供应链项目补助企业名称及企事业个数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企业农产品冷藏仓储提升能力、商品化设施使用量</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商品化设施使用率、农产品冷藏仓储能力提高等数据按企业提供的相关依据核对</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615"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  指标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相关项目文件的制定与品种数量涵盖情况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kern w:val="0"/>
                <w:sz w:val="15"/>
                <w:szCs w:val="15"/>
                <w:lang w:val="en-US" w:eastAsia="zh-CN" w:bidi="ar"/>
              </w:rPr>
              <w:t>指标得分=实际促销的</w:t>
            </w:r>
            <w:r>
              <w:rPr>
                <w:rFonts w:hint="eastAsia" w:ascii="宋体" w:hAnsi="宋体" w:eastAsia="宋体" w:cs="宋体"/>
                <w:color w:val="000000"/>
                <w:kern w:val="0"/>
                <w:sz w:val="15"/>
                <w:szCs w:val="15"/>
                <w:lang w:val="en-US" w:eastAsia="zh-CN" w:bidi="ar"/>
              </w:rPr>
              <w:t>品种数量</w:t>
            </w:r>
            <w:r>
              <w:rPr>
                <w:rFonts w:hint="eastAsia" w:ascii="宋体" w:hAnsi="宋体" w:eastAsia="宋体" w:cs="宋体"/>
                <w:kern w:val="0"/>
                <w:sz w:val="15"/>
                <w:szCs w:val="15"/>
                <w:lang w:val="en-US" w:eastAsia="zh-CN" w:bidi="ar"/>
              </w:rPr>
              <w:t>/计划促销的</w:t>
            </w:r>
            <w:r>
              <w:rPr>
                <w:rFonts w:hint="eastAsia" w:ascii="宋体" w:hAnsi="宋体" w:eastAsia="宋体" w:cs="宋体"/>
                <w:color w:val="000000"/>
                <w:kern w:val="0"/>
                <w:sz w:val="15"/>
                <w:szCs w:val="15"/>
                <w:lang w:val="en-US" w:eastAsia="zh-CN" w:bidi="ar"/>
              </w:rPr>
              <w:t>品种数量</w:t>
            </w:r>
            <w:r>
              <w:rPr>
                <w:rFonts w:hint="eastAsia" w:ascii="宋体" w:hAnsi="宋体" w:eastAsia="宋体" w:cs="宋体"/>
                <w:kern w:val="0"/>
                <w:sz w:val="15"/>
                <w:szCs w:val="15"/>
                <w:lang w:val="en-US" w:eastAsia="zh-CN" w:bidi="ar"/>
              </w:rPr>
              <w:t>×100%*指标分值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是否制定有项目申报方案和资金申报计划，品种数量涵盖率；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15"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时效  指标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是否按规定时间要求进度申报项目、兑现资金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根据资料之间的时间逻辑关系核实对比确定。</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依据规定的项目资金申报时效、审核时效和批复并兑现时效要求查看落实情况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15"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成本 指标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以农商互联相关文件为依据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3"/>
                <w:szCs w:val="13"/>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 xml:space="preserve">按照该项目共投入资金的不超过5%的标准给予补助。               </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kern w:val="0"/>
                <w:sz w:val="18"/>
                <w:szCs w:val="18"/>
                <w:lang w:val="en-US" w:eastAsia="zh-CN" w:bidi="ar"/>
              </w:rPr>
              <w:t>指标得分=投资金额*5%，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根据项目实施单位申报项目建设的具体内容进行验收合格后，一次性给予补助。要查看实际支付项目资金的原始依据，如财政直付或银行原始依据；</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分值</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982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自评等级</w:t>
            </w:r>
          </w:p>
        </w:tc>
        <w:tc>
          <w:tcPr>
            <w:tcW w:w="13247"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自评结果：</w:t>
            </w:r>
            <w:r>
              <w:rPr>
                <w:rFonts w:hint="default" w:ascii="宋体" w:hAnsi="宋体" w:eastAsia="Wingdings 2" w:cs="宋体"/>
                <w:b/>
                <w:bCs/>
                <w:color w:val="000000"/>
                <w:kern w:val="0"/>
                <w:sz w:val="18"/>
                <w:szCs w:val="18"/>
                <w:lang w:val="en-US" w:eastAsia="zh-CN" w:bidi="ar"/>
              </w:rPr>
              <w:sym w:font="Wingdings 2" w:char="0052"/>
            </w:r>
            <w:r>
              <w:rPr>
                <w:rFonts w:hint="eastAsia" w:ascii="宋体" w:hAnsi="宋体" w:eastAsia="宋体" w:cs="宋体"/>
                <w:b/>
                <w:bCs/>
                <w:color w:val="000000"/>
                <w:kern w:val="0"/>
                <w:sz w:val="18"/>
                <w:szCs w:val="18"/>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15971" w:type="dxa"/>
            <w:gridSpan w:val="35"/>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b/>
                <w:bCs/>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Fonts w:hint="eastAsia" w:ascii="宋体" w:hAnsi="宋体" w:eastAsia="宋体" w:cs="宋体"/>
                <w:b/>
                <w:bCs/>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Fonts w:hint="eastAsia" w:ascii="宋体" w:hAnsi="宋体" w:eastAsia="宋体" w:cs="宋体"/>
                <w:b/>
                <w:bCs/>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 xml:space="preserve">★为核心指标，需要评价组重点关注深入分析。未涉及个性指标的项目，其分值权重按比例调整到其他效果指标。                                                                                                                                                                                   </w:t>
            </w:r>
          </w:p>
        </w:tc>
      </w:tr>
    </w:tbl>
    <w:p>
      <w:pPr>
        <w:rPr>
          <w:rFonts w:hint="eastAsia" w:ascii="仿宋_GB2312" w:hAnsi="宋体" w:eastAsia="仿宋_GB2312" w:cs="Times New Roman"/>
          <w:color w:val="000000"/>
          <w:spacing w:val="-6"/>
          <w:sz w:val="32"/>
          <w:szCs w:val="32"/>
          <w:lang w:val="en-US" w:eastAsia="zh-CN" w:bidi="ar"/>
        </w:rPr>
        <w:sectPr>
          <w:pgSz w:w="16838" w:h="11906" w:orient="landscape"/>
          <w:pgMar w:top="1803" w:right="1440" w:bottom="1803" w:left="1440" w:header="851" w:footer="992" w:gutter="0"/>
          <w:pgNumType w:fmt="decimal"/>
          <w:cols w:space="0" w:num="1"/>
          <w:titlePg/>
          <w:docGrid w:type="lines" w:linePitch="319" w:charSpace="0"/>
        </w:sectPr>
      </w:pPr>
    </w:p>
    <w:p>
      <w:pPr>
        <w:keepNext w:val="0"/>
        <w:keepLines w:val="0"/>
        <w:widowControl w:val="0"/>
        <w:suppressLineNumbers w:val="0"/>
        <w:spacing w:before="0" w:beforeAutospacing="0" w:after="0" w:afterAutospacing="0"/>
        <w:ind w:left="0" w:right="0"/>
        <w:jc w:val="both"/>
      </w:pPr>
      <w:r>
        <w:rPr>
          <w:rFonts w:hint="eastAsia" w:ascii="仿宋_GB2312" w:hAnsi="仿宋_GB2312" w:eastAsia="仿宋_GB2312" w:cs="仿宋_GB2312"/>
          <w:kern w:val="0"/>
          <w:sz w:val="32"/>
          <w:szCs w:val="32"/>
          <w:lang w:val="en-US" w:eastAsia="zh-CN" w:bidi="ar"/>
        </w:rPr>
        <w:t>附件5：</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2021年专项预算项目支出绩效自评报告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val="0"/>
          <w:color w:val="FF0000"/>
          <w:sz w:val="32"/>
          <w:szCs w:val="32"/>
          <w:lang w:val="en-US"/>
        </w:rPr>
      </w:pPr>
      <w:r>
        <w:rPr>
          <w:rFonts w:hint="eastAsia" w:ascii="楷体" w:hAnsi="楷体" w:eastAsia="楷体" w:cs="楷体"/>
          <w:spacing w:val="-6"/>
          <w:kern w:val="2"/>
          <w:sz w:val="32"/>
          <w:szCs w:val="32"/>
          <w:lang w:val="en-US" w:eastAsia="zh-CN" w:bidi="ar"/>
        </w:rPr>
        <w:t>（第三批天府旅游名县奖励资金预算项目）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1.</w:t>
      </w:r>
      <w:r>
        <w:rPr>
          <w:rFonts w:hint="eastAsia" w:ascii="仿宋_GB2312" w:eastAsia="仿宋_GB2312" w:cs="宋体"/>
          <w:sz w:val="32"/>
          <w:szCs w:val="32"/>
          <w:lang w:eastAsia="zh-CN"/>
        </w:rPr>
        <w:t>区商务局在该项目管理中的职能是：</w:t>
      </w:r>
      <w:r>
        <w:rPr>
          <w:rFonts w:hint="eastAsia" w:ascii="仿宋_GB2312" w:hAnsi="仿宋_GB2312" w:eastAsia="仿宋_GB2312" w:cs="仿宋_GB2312"/>
          <w:sz w:val="32"/>
          <w:szCs w:val="32"/>
          <w:lang w:eastAsia="zh-CN"/>
        </w:rPr>
        <w:t>根据《四川省省级文化和旅游发展专项资金管理办法》等相关文件规定具体负责项目实施。</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2</w:t>
      </w:r>
      <w:r>
        <w:rPr>
          <w:rFonts w:hint="eastAsia" w:ascii="仿宋_GB2312" w:eastAsia="仿宋_GB2312" w:cs="宋体"/>
          <w:sz w:val="32"/>
          <w:szCs w:val="32"/>
          <w:lang w:eastAsia="zh-CN"/>
        </w:rPr>
        <w:t>．资金申报的依据：</w:t>
      </w:r>
      <w:r>
        <w:rPr>
          <w:rFonts w:hint="eastAsia" w:ascii="仿宋_GB2312" w:hAnsi="仿宋_GB2312" w:eastAsia="仿宋_GB2312" w:cs="仿宋_GB2312"/>
          <w:sz w:val="32"/>
          <w:szCs w:val="32"/>
          <w:lang w:eastAsia="zh-CN"/>
        </w:rPr>
        <w:t>《四川省省级文化和旅游发展专项资金管理办法》、</w:t>
      </w:r>
      <w:r>
        <w:rPr>
          <w:rFonts w:hint="eastAsia" w:ascii="仿宋_GB2312" w:eastAsia="仿宋_GB2312" w:cs="宋体"/>
          <w:color w:val="000000"/>
          <w:sz w:val="32"/>
          <w:szCs w:val="32"/>
          <w:lang w:eastAsia="zh-CN"/>
        </w:rPr>
        <w:t>区财政局《关于下达第三批天府旅游名县奖励资金的通知》（广朝财教〔</w:t>
      </w:r>
      <w:r>
        <w:rPr>
          <w:rFonts w:hint="eastAsia" w:ascii="仿宋_GB2312" w:eastAsia="仿宋_GB2312" w:cs="宋体"/>
          <w:color w:val="000000"/>
          <w:sz w:val="32"/>
          <w:szCs w:val="32"/>
          <w:lang w:val="en-US"/>
        </w:rPr>
        <w:t>2021</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46</w:t>
      </w:r>
      <w:r>
        <w:rPr>
          <w:rFonts w:hint="eastAsia" w:ascii="仿宋_GB2312" w:eastAsia="仿宋_GB2312" w:cs="宋体"/>
          <w:color w:val="000000"/>
          <w:sz w:val="32"/>
          <w:szCs w:val="32"/>
          <w:lang w:eastAsia="zh-CN"/>
        </w:rPr>
        <w:t>号）文件</w:t>
      </w:r>
      <w:r>
        <w:rPr>
          <w:rFonts w:hint="eastAsia" w:ascii="仿宋" w:hAnsi="仿宋" w:eastAsia="仿宋" w:cs="仿宋"/>
          <w:sz w:val="32"/>
          <w:szCs w:val="32"/>
          <w:lang w:eastAsia="zh-CN"/>
        </w:rPr>
        <w:t>。</w:t>
      </w:r>
    </w:p>
    <w:p>
      <w:pPr>
        <w:pStyle w:val="64"/>
        <w:widowControl/>
        <w:ind w:left="0" w:firstLine="672"/>
        <w:rPr>
          <w:rFonts w:hint="eastAsia" w:ascii="仿宋_GB2312" w:eastAsia="仿宋_GB2312" w:cs="宋体"/>
          <w:color w:val="FF0000"/>
          <w:sz w:val="32"/>
          <w:szCs w:val="32"/>
          <w:u w:val="single"/>
          <w:lang w:val="en-US"/>
        </w:rPr>
      </w:pPr>
      <w:r>
        <w:rPr>
          <w:rFonts w:hint="eastAsia" w:ascii="仿宋_GB2312" w:eastAsia="仿宋_GB2312" w:cs="宋体"/>
          <w:sz w:val="32"/>
          <w:szCs w:val="32"/>
          <w:lang w:val="en-US"/>
        </w:rPr>
        <w:t>3</w:t>
      </w:r>
      <w:r>
        <w:rPr>
          <w:rFonts w:hint="eastAsia" w:ascii="仿宋_GB2312" w:eastAsia="仿宋_GB2312" w:cs="宋体"/>
          <w:sz w:val="32"/>
          <w:szCs w:val="32"/>
          <w:lang w:eastAsia="zh-CN"/>
        </w:rPr>
        <w:t>．资金管理办法制定情况，资金支持具体项目的条件、范围与支持方式概况：</w:t>
      </w:r>
    </w:p>
    <w:p>
      <w:pPr>
        <w:pStyle w:val="64"/>
        <w:widowControl/>
        <w:ind w:left="0" w:firstLine="672"/>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根据省、市、区相关文件规定，我单位安排服务业股专人负责该项工作，根据实际发生的相关费用依据，由责任股室初审，然由财务人员复审，最后由分管领导审核无误后，按实际发生数实报实销。</w:t>
      </w:r>
    </w:p>
    <w:p>
      <w:pPr>
        <w:pStyle w:val="64"/>
        <w:widowControl/>
        <w:ind w:left="0" w:firstLine="672"/>
        <w:rPr>
          <w:rFonts w:hint="eastAsia" w:ascii="仿宋_GB2312" w:eastAsia="仿宋_GB2312" w:cs="宋体"/>
          <w:color w:val="FF0000"/>
          <w:sz w:val="32"/>
          <w:szCs w:val="32"/>
          <w:u w:val="single"/>
          <w:lang w:val="en-US"/>
        </w:rPr>
      </w:pPr>
      <w:r>
        <w:rPr>
          <w:rFonts w:hint="eastAsia" w:ascii="仿宋_GB2312" w:eastAsia="仿宋_GB2312" w:cs="宋体"/>
          <w:sz w:val="32"/>
          <w:szCs w:val="32"/>
          <w:lang w:val="en-US"/>
        </w:rPr>
        <w:t>4</w:t>
      </w:r>
      <w:r>
        <w:rPr>
          <w:rFonts w:hint="eastAsia" w:ascii="仿宋_GB2312" w:eastAsia="仿宋_GB2312" w:cs="宋体"/>
          <w:sz w:val="32"/>
          <w:szCs w:val="32"/>
          <w:lang w:eastAsia="zh-CN"/>
        </w:rPr>
        <w:t>．资金分配的原则及考虑因素：</w:t>
      </w:r>
      <w:r>
        <w:rPr>
          <w:rFonts w:hint="eastAsia" w:ascii="仿宋_GB2312" w:hAnsi="仿宋_GB2312" w:eastAsia="仿宋_GB2312" w:cs="仿宋_GB2312"/>
          <w:sz w:val="32"/>
          <w:szCs w:val="32"/>
          <w:lang w:eastAsia="zh-CN"/>
        </w:rPr>
        <w:t>各个体验店铺设货物、购买售货机、租赁自行车等，共投入</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lang w:eastAsia="zh-CN"/>
        </w:rPr>
        <w:t>万元。</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1．项目主要内容：</w:t>
      </w:r>
      <w:r>
        <w:rPr>
          <w:rFonts w:hint="eastAsia" w:ascii="仿宋_GB2312" w:hAnsi="仿宋_GB2312" w:eastAsia="仿宋_GB2312" w:cs="仿宋_GB2312"/>
          <w:kern w:val="2"/>
          <w:sz w:val="32"/>
          <w:szCs w:val="32"/>
          <w:lang w:val="en-US" w:eastAsia="zh-CN" w:bidi="ar"/>
        </w:rPr>
        <w:t>严格按照中央、省、市相关文件规定，科学、合理管理与使用天府旅游名县专项资金，做到程序规范、权责明晰、按规使用，发挥资金效益。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color w:val="FF0000"/>
          <w:sz w:val="32"/>
          <w:szCs w:val="32"/>
          <w:u w:val="single"/>
          <w:lang w:val="en-US"/>
        </w:rPr>
      </w:pPr>
      <w:r>
        <w:rPr>
          <w:rFonts w:hint="eastAsia" w:ascii="仿宋_GB2312" w:hAnsi="宋体" w:eastAsia="仿宋_GB2312" w:cs="仿宋_GB2312"/>
          <w:kern w:val="2"/>
          <w:sz w:val="32"/>
          <w:szCs w:val="32"/>
          <w:lang w:val="en-US" w:eastAsia="zh-CN" w:bidi="ar"/>
        </w:rPr>
        <w:t>2．项目具体绩效目标</w:t>
      </w:r>
      <w:r>
        <w:rPr>
          <w:rFonts w:hint="eastAsia" w:ascii="仿宋_GB2312"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严格按照相关文件规定，科学、合理管理与使用天府旅游名县专项资金，发挥资金最大效益。</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第三批天府旅游名县奖励资金专项经费与申报内容相符、申报目标合理可行。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在绩效评价工作中，我局严格按照</w:t>
      </w:r>
      <w:r>
        <w:rPr>
          <w:rFonts w:hint="eastAsia" w:ascii="仿宋_GB2312" w:hAnsi="Times New Roman" w:eastAsia="仿宋_GB2312" w:cs="宋体"/>
          <w:color w:val="000000"/>
          <w:kern w:val="2"/>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广元市朝天区财政局关于开展2022年部门、政策和项目支出绩效自评工作的通知》（广朝财发〔2022〕28号）文件</w:t>
      </w:r>
      <w:r>
        <w:rPr>
          <w:rFonts w:hint="eastAsia" w:ascii="仿宋_GB2312" w:hAnsi="宋体" w:eastAsia="仿宋_GB2312" w:cs="仿宋_GB2312"/>
          <w:color w:val="000000"/>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一是前期准备。我局成立了专项资金绩效评价工作领导小组，明确了工作职责，制定了评价方案，细化了组织实施步骤和环节安排等内容，确定了实施时间。具体由服务业股牵头、专人负责开展业务学习与培训，落实专项资金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二是具体实施。项目绩效评价实施步骤：（1）召开部门联席会议。配合文旅体局召开天府旅游名县各类会议。（2）收集核查资料。收集该项目资金相关政策文件和相关制度等资料；加强自查相关制度是否完善，资金分配、使用是否合理，拨付手续是否齐全，是否存在截留、挪用等情况。（3）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color w:val="000000"/>
          <w:kern w:val="2"/>
          <w:sz w:val="32"/>
          <w:szCs w:val="32"/>
          <w:lang w:val="en-US" w:eastAsia="zh-CN" w:bidi="ar"/>
        </w:rPr>
        <w:t>按照区财政局《关于下达第三批天府旅游名县奖励资金的通知》（广朝财教〔2021〕46号）文件，</w:t>
      </w:r>
      <w:r>
        <w:rPr>
          <w:rFonts w:hint="eastAsia" w:ascii="仿宋_GB2312" w:hAnsi="Times New Roman" w:eastAsia="仿宋_GB2312" w:cs="宋体"/>
          <w:kern w:val="2"/>
          <w:sz w:val="32"/>
          <w:szCs w:val="32"/>
          <w:lang w:val="en-US" w:eastAsia="zh-CN" w:bidi="ar"/>
        </w:rPr>
        <w:t>2021年</w:t>
      </w:r>
      <w:r>
        <w:rPr>
          <w:rFonts w:hint="eastAsia" w:ascii="仿宋_GB2312" w:hAnsi="Times New Roman" w:eastAsia="仿宋_GB2312" w:cs="宋体"/>
          <w:color w:val="000000"/>
          <w:kern w:val="2"/>
          <w:sz w:val="32"/>
          <w:szCs w:val="32"/>
          <w:lang w:val="en-US" w:eastAsia="zh-CN" w:bidi="ar"/>
        </w:rPr>
        <w:t>安排我区</w:t>
      </w:r>
      <w:r>
        <w:rPr>
          <w:rFonts w:hint="eastAsia" w:ascii="仿宋_GB2312" w:hAnsi="Times New Roman" w:eastAsia="仿宋_GB2312" w:cs="宋体"/>
          <w:kern w:val="2"/>
          <w:sz w:val="32"/>
          <w:szCs w:val="32"/>
          <w:lang w:val="en-US" w:eastAsia="zh-CN" w:bidi="ar"/>
        </w:rPr>
        <w:t>第三批天府旅游名县奖励资金5万元，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2021年，</w:t>
      </w:r>
      <w:r>
        <w:rPr>
          <w:rFonts w:hint="eastAsia" w:ascii="仿宋_GB2312" w:hAnsi="Times New Roman" w:eastAsia="仿宋_GB2312" w:cs="宋体"/>
          <w:color w:val="000000"/>
          <w:kern w:val="2"/>
          <w:sz w:val="32"/>
          <w:szCs w:val="32"/>
          <w:lang w:val="en-US" w:eastAsia="zh-CN" w:bidi="ar"/>
        </w:rPr>
        <w:t>安排我区第</w:t>
      </w:r>
      <w:r>
        <w:rPr>
          <w:rFonts w:hint="eastAsia" w:ascii="仿宋_GB2312" w:hAnsi="Times New Roman" w:eastAsia="仿宋_GB2312" w:cs="宋体"/>
          <w:kern w:val="2"/>
          <w:sz w:val="32"/>
          <w:szCs w:val="32"/>
          <w:lang w:val="en-US" w:eastAsia="zh-CN" w:bidi="ar"/>
        </w:rPr>
        <w:t>三批天府旅游名县奖励资金5万元，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Times New Roman" w:eastAsia="仿宋_GB2312" w:cs="宋体"/>
          <w:kern w:val="2"/>
          <w:sz w:val="32"/>
          <w:szCs w:val="32"/>
          <w:lang w:val="en-US" w:eastAsia="zh-CN" w:bidi="ar"/>
        </w:rPr>
        <w:t>第三批天府旅游名县奖励资金</w:t>
      </w:r>
      <w:r>
        <w:rPr>
          <w:rFonts w:hint="eastAsia" w:ascii="仿宋_GB2312" w:hAnsi="仿宋" w:eastAsia="仿宋_GB2312" w:cs="仿宋_GB2312"/>
          <w:kern w:val="2"/>
          <w:sz w:val="32"/>
          <w:szCs w:val="32"/>
          <w:lang w:val="en-US" w:eastAsia="zh-CN" w:bidi="ar"/>
        </w:rPr>
        <w:t>全年实际到位</w:t>
      </w:r>
      <w:r>
        <w:rPr>
          <w:rFonts w:hint="eastAsia" w:ascii="仿宋_GB2312" w:hAnsi="仿宋_GB2312" w:eastAsia="仿宋_GB2312" w:cs="仿宋_GB2312"/>
          <w:kern w:val="2"/>
          <w:sz w:val="32"/>
          <w:szCs w:val="32"/>
          <w:lang w:val="en-US" w:eastAsia="zh-CN" w:bidi="ar"/>
        </w:rPr>
        <w:t>5</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资金到位率100%，</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 w:eastAsia="仿宋_GB2312" w:cs="仿宋_GB2312"/>
          <w:sz w:val="32"/>
          <w:szCs w:val="32"/>
          <w:lang w:val="en-US" w:bidi="ar"/>
        </w:rPr>
      </w:pPr>
      <w:r>
        <w:rPr>
          <w:rFonts w:hint="eastAsia" w:ascii="楷体" w:hAnsi="楷体" w:eastAsia="楷体" w:cs="楷体"/>
          <w:bCs/>
          <w:spacing w:val="-6"/>
          <w:kern w:val="2"/>
          <w:sz w:val="32"/>
          <w:szCs w:val="32"/>
          <w:lang w:val="en-US" w:eastAsia="zh-CN" w:bidi="ar"/>
        </w:rPr>
        <w:t>3.资金使用。</w:t>
      </w:r>
      <w:r>
        <w:rPr>
          <w:rFonts w:hint="eastAsia" w:ascii="仿宋_GB2312" w:hAnsi="Times New Roman" w:eastAsia="仿宋_GB2312" w:cs="仿宋_GB2312"/>
          <w:spacing w:val="-6"/>
          <w:kern w:val="2"/>
          <w:sz w:val="32"/>
          <w:szCs w:val="32"/>
          <w:lang w:val="en-US" w:eastAsia="zh-CN" w:bidi="ar"/>
        </w:rPr>
        <w:t>严格按照相关财政文件要求，该项目经费拨款全部用于</w:t>
      </w:r>
      <w:r>
        <w:rPr>
          <w:rFonts w:hint="eastAsia" w:ascii="仿宋_GB2312" w:hAnsi="Times New Roman" w:eastAsia="仿宋_GB2312" w:cs="宋体"/>
          <w:kern w:val="2"/>
          <w:sz w:val="32"/>
          <w:szCs w:val="32"/>
          <w:lang w:val="en-US" w:eastAsia="zh-CN" w:bidi="ar"/>
        </w:rPr>
        <w:t>第三批天府旅游名县</w:t>
      </w:r>
      <w:r>
        <w:rPr>
          <w:rFonts w:hint="eastAsia" w:ascii="仿宋_GB2312" w:hAnsi="Times New Roman" w:eastAsia="仿宋_GB2312" w:cs="仿宋_GB2312"/>
          <w:spacing w:val="-6"/>
          <w:kern w:val="2"/>
          <w:sz w:val="32"/>
          <w:szCs w:val="32"/>
          <w:lang w:val="en-US" w:eastAsia="zh-CN" w:bidi="ar"/>
        </w:rPr>
        <w:t>专项支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宋体" w:eastAsia="仿宋_GB2312" w:cs="仿宋_GB2312"/>
          <w:kern w:val="2"/>
          <w:sz w:val="32"/>
          <w:szCs w:val="32"/>
          <w:lang w:val="en-US" w:eastAsia="zh-CN" w:bidi="ar"/>
        </w:rPr>
        <w:t>资金使用的安全性、规范性及有效性、</w:t>
      </w:r>
      <w:r>
        <w:rPr>
          <w:rFonts w:hint="eastAsia" w:ascii="仿宋_GB2312" w:hAnsi="仿宋" w:eastAsia="仿宋_GB2312" w:cs="仿宋_GB2312"/>
          <w:kern w:val="2"/>
          <w:sz w:val="32"/>
          <w:szCs w:val="32"/>
          <w:lang w:val="en-US" w:eastAsia="zh-CN" w:bidi="ar"/>
        </w:rPr>
        <w:t>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仿宋_GB2312" w:hAnsi="仿宋_GB2312" w:eastAsia="仿宋_GB2312" w:cs="仿宋_GB2312"/>
          <w:sz w:val="32"/>
          <w:szCs w:val="32"/>
          <w:lang w:val="zh-CN" w:eastAsia="zh-CN"/>
        </w:rPr>
      </w:pPr>
      <w:r>
        <w:rPr>
          <w:rFonts w:hint="eastAsia" w:ascii="楷体" w:hAnsi="楷体" w:eastAsia="楷体" w:cs="楷体"/>
          <w:bCs/>
          <w:spacing w:val="-6"/>
          <w:kern w:val="2"/>
          <w:sz w:val="32"/>
          <w:szCs w:val="32"/>
          <w:lang w:val="en-US" w:eastAsia="zh-CN" w:bidi="ar"/>
        </w:rPr>
        <w:t>（三）项目财务管理情况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2"/>
          <w:sz w:val="32"/>
          <w:szCs w:val="32"/>
          <w:lang w:val="en-US" w:eastAsia="zh-CN" w:bidi="ar"/>
        </w:rPr>
        <w:t>2021年，我局严格按照专项资金管理办法和专项资金文件指定用途，健全了财务管理制度，严格执行财经管理规定，规范会计核算，设立了专项明细账，并进行专门核算，做到了专款专用，全面完成了建设任务，达到了预期目标。</w:t>
      </w:r>
      <w:r>
        <w:rPr>
          <w:rFonts w:hint="eastAsia" w:ascii="仿宋_GB2312" w:hAnsi="仿宋_GB2312" w:eastAsia="仿宋_GB2312" w:cs="仿宋_GB2312"/>
          <w:kern w:val="2"/>
          <w:sz w:val="32"/>
          <w:szCs w:val="32"/>
          <w:lang w:val="zh-CN" w:eastAsia="zh-CN" w:bidi="ar"/>
        </w:rPr>
        <w:t>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numPr>
          <w:ilvl w:val="0"/>
          <w:numId w:val="9"/>
        </w:numPr>
        <w:suppressLineNumbers w:val="0"/>
        <w:spacing w:before="0" w:beforeAutospacing="0" w:after="0" w:afterAutospacing="0" w:line="360" w:lineRule="auto"/>
        <w:ind w:left="0" w:right="0" w:firstLine="640" w:firstLineChars="200"/>
        <w:jc w:val="both"/>
        <w:rPr>
          <w:rFonts w:hint="eastAsia" w:ascii="楷体_GB2312" w:hAnsi="宋体" w:eastAsia="楷体_GB2312" w:cs="楷体_GB2312"/>
          <w:b/>
          <w:bCs w:val="0"/>
          <w:sz w:val="32"/>
          <w:szCs w:val="32"/>
          <w:lang w:val="en-US"/>
        </w:rPr>
      </w:pPr>
      <w:r>
        <w:rPr>
          <w:rFonts w:hint="eastAsia" w:ascii="仿宋" w:hAnsi="仿宋" w:eastAsia="仿宋" w:cs="仿宋"/>
          <w:kern w:val="2"/>
          <w:sz w:val="32"/>
          <w:szCs w:val="32"/>
          <w:lang w:val="en-US" w:eastAsia="zh-CN" w:bidi="ar"/>
        </w:rPr>
        <w:t>项目组织架构及实施流程</w:t>
      </w:r>
      <w:r>
        <w:rPr>
          <w:rFonts w:hint="eastAsia" w:ascii="楷体_GB2312" w:hAnsi="宋体" w:eastAsia="楷体_GB2312" w:cs="楷体_GB2312"/>
          <w:b/>
          <w:bCs w:val="0"/>
          <w:kern w:val="2"/>
          <w:sz w:val="32"/>
          <w:szCs w:val="32"/>
          <w:lang w:val="en-US" w:eastAsia="zh-CN" w:bidi="ar"/>
        </w:rPr>
        <w:t>。</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此项工作由局长牵头，分管领导负责管理，具体由服务业股负责实施，按文件要求做好项目的规划并组织实施，加快项目建设进度，随时对项目与资金进行监督与管理，确保项目按时完成。</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（二）项目管理情况。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Times New Roman" w:eastAsia="仿宋_GB2312" w:cs="宋体"/>
          <w:kern w:val="2"/>
          <w:sz w:val="32"/>
          <w:szCs w:val="32"/>
          <w:lang w:val="en-US" w:eastAsia="zh-CN" w:bidi="ar"/>
        </w:rPr>
        <w:t>严格执行财政专项资金管理制度，设立明细专账，实行专账管理，专人负责，专款专用。</w:t>
      </w:r>
      <w:r>
        <w:rPr>
          <w:rFonts w:hint="eastAsia" w:ascii="仿宋_GB2312" w:hAnsi="仿宋_GB2312" w:eastAsia="仿宋_GB2312" w:cs="仿宋_GB2312"/>
          <w:kern w:val="2"/>
          <w:sz w:val="32"/>
          <w:szCs w:val="32"/>
          <w:lang w:val="en-US" w:eastAsia="zh-CN" w:bidi="ar"/>
        </w:rPr>
        <w:t>2021年使用</w:t>
      </w:r>
      <w:r>
        <w:rPr>
          <w:rFonts w:hint="eastAsia" w:ascii="仿宋_GB2312" w:hAnsi="Times New Roman" w:eastAsia="仿宋_GB2312" w:cs="宋体"/>
          <w:kern w:val="2"/>
          <w:sz w:val="32"/>
          <w:szCs w:val="32"/>
          <w:lang w:val="en-US" w:eastAsia="zh-CN" w:bidi="ar"/>
        </w:rPr>
        <w:t>第三批天府旅游名县奖励资金</w:t>
      </w:r>
      <w:r>
        <w:rPr>
          <w:rFonts w:hint="eastAsia" w:ascii="仿宋_GB2312" w:hAnsi="仿宋_GB2312" w:eastAsia="仿宋_GB2312" w:cs="仿宋_GB2312"/>
          <w:kern w:val="2"/>
          <w:sz w:val="32"/>
          <w:szCs w:val="32"/>
          <w:lang w:val="en-US" w:eastAsia="zh-CN" w:bidi="ar"/>
        </w:rPr>
        <w:t>5万元，</w:t>
      </w:r>
      <w:r>
        <w:rPr>
          <w:rFonts w:hint="eastAsia" w:ascii="仿宋_GB2312" w:hAnsi="仿宋_GB2312" w:eastAsia="仿宋_GB2312" w:cs="仿宋_GB2312"/>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（三）项目监管情况。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2"/>
          <w:sz w:val="32"/>
          <w:szCs w:val="32"/>
          <w:lang w:val="zh-CN" w:eastAsia="zh-CN" w:bidi="ar"/>
        </w:rPr>
        <w:t>积极与财政部门建立统筹协调、密切配合、分工协作的工作机制，制定完善了相关考核办法，定期对各单位项目使用情况进行监督检查。</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1、数量指标：对外宣传会议100次，对外发放宣传资料2000余份；</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2、质量指标：发放资料覆盖率100%，宣传推广效果  ≥95%；</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3、时效指标：项目资金申报时效2个周，项目资金审核时效2个周，项目资金批复并兑现时效1个月；</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4、成本指标：专项资金金额5万元</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预算资金执行率100%；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1.数量指标。2021年，完成了天府旅游名县整体对外宣传促销，积极参加天府旅游名县推广活动、对外宣传推广活动100余次，展示了“小养胜地·大道朝天”新形象。</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color w:val="FF0000"/>
          <w:sz w:val="32"/>
          <w:szCs w:val="32"/>
          <w:lang w:val="en-US"/>
        </w:rPr>
      </w:pPr>
      <w:r>
        <w:rPr>
          <w:rFonts w:hint="eastAsia" w:ascii="仿宋_GB2312" w:hAnsi="仿宋_GB2312" w:eastAsia="仿宋_GB2312" w:cs="仿宋_GB2312"/>
          <w:kern w:val="2"/>
          <w:sz w:val="32"/>
          <w:szCs w:val="32"/>
          <w:lang w:val="en-US" w:eastAsia="zh-CN" w:bidi="ar"/>
        </w:rPr>
        <w:t>2.质量指标。2021年，通过项目的实施，全面提升了朝天文旅品质和对外影响力。2021年底，省级验收小组对名县项目进行了验收，所有项目验收合格。</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3.时效指标。按照时间节点所实施的项目已经全面完成，完成率达100%。</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4.经济效益。通过资金的投入，达到了汉王老街和时代广场基础设施更加完善,提升了旅游产品品质，丰富了文化旅游生活，并产生了深远影响。</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5.社会效益。通过项目的实施，促进了我区经济建设的快速发展。</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6.可持续影响。通过项目的实施,进一步彰显了名县品牌优势与影响力。</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w:t>
      </w:r>
      <w:r>
        <w:rPr>
          <w:rFonts w:hint="eastAsia" w:ascii="仿宋_GB2312" w:hAnsi="Times New Roman" w:eastAsia="仿宋_GB2312" w:cs="宋体"/>
          <w:kern w:val="2"/>
          <w:sz w:val="32"/>
          <w:szCs w:val="32"/>
          <w:lang w:val="en-US" w:eastAsia="zh-CN" w:bidi="ar"/>
        </w:rPr>
        <w:t>第三批天府旅游名县奖励资金</w:t>
      </w:r>
      <w:r>
        <w:rPr>
          <w:rFonts w:hint="eastAsia" w:ascii="仿宋_GB2312" w:hAnsi="宋体" w:eastAsia="仿宋_GB2312" w:cs="仿宋_GB2312"/>
          <w:kern w:val="2"/>
          <w:sz w:val="32"/>
          <w:szCs w:val="32"/>
          <w:lang w:val="en-US" w:eastAsia="zh-CN" w:bidi="ar"/>
        </w:rPr>
        <w:t>项目</w:t>
      </w:r>
      <w:r>
        <w:rPr>
          <w:rFonts w:hint="eastAsia" w:ascii="仿宋_GB2312" w:hAnsi="宋体" w:eastAsia="仿宋_GB2312" w:cs="仿宋_GB2312"/>
          <w:color w:val="000000"/>
          <w:kern w:val="2"/>
          <w:sz w:val="32"/>
          <w:szCs w:val="32"/>
          <w:lang w:val="en-US" w:eastAsia="zh-CN" w:bidi="ar"/>
        </w:rPr>
        <w:t>绩效得95分，等级为“优”（</w:t>
      </w:r>
      <w:r>
        <w:rPr>
          <w:rFonts w:hint="eastAsia" w:ascii="仿宋_GB2312" w:hAnsi="宋体" w:eastAsia="仿宋_GB2312" w:cs="仿宋_GB2312"/>
          <w:kern w:val="2"/>
          <w:sz w:val="32"/>
          <w:szCs w:val="32"/>
          <w:lang w:val="en-US" w:eastAsia="zh-CN" w:bidi="ar"/>
        </w:rPr>
        <w:t>详见附表2）。</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（一）存在的问题</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黑体" w:hAnsi="宋体" w:eastAsia="黑体" w:cs="黑体"/>
          <w:color w:val="000000"/>
          <w:kern w:val="0"/>
          <w:sz w:val="24"/>
          <w:szCs w:val="24"/>
          <w:lang w:val="en-US"/>
        </w:rPr>
      </w:pPr>
      <w:r>
        <w:rPr>
          <w:rFonts w:hint="eastAsia" w:ascii="仿宋" w:hAnsi="仿宋" w:eastAsia="仿宋" w:cs="仿宋"/>
          <w:kern w:val="2"/>
          <w:sz w:val="32"/>
          <w:szCs w:val="32"/>
          <w:lang w:val="en-US" w:eastAsia="zh-CN" w:bidi="ar"/>
        </w:rPr>
        <w:t>附表：</w:t>
      </w:r>
      <w:r>
        <w:rPr>
          <w:rFonts w:hint="eastAsia" w:ascii="Calibri" w:hAnsi="Calibri" w:eastAsia="仿宋_GB2312" w:cs="Calibri"/>
          <w:color w:val="000000"/>
          <w:spacing w:val="-6"/>
          <w:kern w:val="0"/>
          <w:sz w:val="32"/>
          <w:szCs w:val="32"/>
          <w:lang w:val="en-US" w:eastAsia="zh-CN" w:bidi="ar"/>
        </w:rPr>
        <w:t>5-1</w:t>
      </w:r>
      <w:r>
        <w:rPr>
          <w:rFonts w:hint="eastAsia" w:ascii="仿宋_GB2312" w:hAnsi="宋体" w:eastAsia="仿宋_GB2312" w:cs="仿宋_GB2312"/>
          <w:color w:val="000000"/>
          <w:spacing w:val="-6"/>
          <w:kern w:val="0"/>
          <w:sz w:val="32"/>
          <w:szCs w:val="32"/>
          <w:lang w:val="en-US" w:eastAsia="zh-CN" w:bidi="ar"/>
        </w:rPr>
        <w:t>专项预算项目支出绩效目标自评表</w:t>
      </w: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r>
        <w:rPr>
          <w:rFonts w:hint="eastAsia" w:ascii="Calibri" w:hAnsi="Calibri" w:eastAsia="仿宋_GB2312" w:cs="Calibri"/>
          <w:color w:val="000000"/>
          <w:spacing w:val="-6"/>
          <w:kern w:val="0"/>
          <w:sz w:val="32"/>
          <w:szCs w:val="32"/>
          <w:lang w:val="en-US" w:eastAsia="zh-CN"/>
        </w:rPr>
        <w:t xml:space="preserve">5-2 </w:t>
      </w:r>
      <w:r>
        <w:rPr>
          <w:rFonts w:hint="eastAsia" w:ascii="仿宋_GB2312" w:hAnsi="宋体" w:eastAsia="仿宋_GB2312" w:cs="仿宋_GB2312"/>
          <w:color w:val="000000"/>
          <w:spacing w:val="-6"/>
          <w:kern w:val="0"/>
          <w:sz w:val="32"/>
          <w:szCs w:val="32"/>
          <w:lang w:val="en-US"/>
        </w:rPr>
        <w:t>2022</w:t>
      </w:r>
      <w:r>
        <w:rPr>
          <w:rFonts w:hint="eastAsia" w:ascii="仿宋_GB2312" w:hAnsi="宋体" w:eastAsia="仿宋_GB2312" w:cs="仿宋_GB2312"/>
          <w:color w:val="000000"/>
          <w:spacing w:val="-6"/>
          <w:kern w:val="0"/>
          <w:sz w:val="32"/>
          <w:szCs w:val="32"/>
          <w:lang w:eastAsia="zh-CN"/>
        </w:rPr>
        <w:t>年专项预算项目支出绩效自评评分表</w:t>
      </w:r>
    </w:p>
    <w:p>
      <w:pPr>
        <w:pStyle w:val="64"/>
        <w:widowControl/>
        <w:ind w:left="0" w:firstLine="0" w:firstLineChars="0"/>
        <w:rPr>
          <w:rFonts w:hint="eastAsia" w:ascii="仿宋_GB2312" w:hAnsi="宋体" w:eastAsia="仿宋_GB2312" w:cs="仿宋_GB2312"/>
          <w:color w:val="000000"/>
          <w:spacing w:val="-6"/>
          <w:kern w:val="0"/>
          <w:sz w:val="32"/>
          <w:szCs w:val="32"/>
          <w:lang w:val="en-US"/>
        </w:rPr>
      </w:pPr>
    </w:p>
    <w:p>
      <w:pPr>
        <w:pStyle w:val="64"/>
        <w:widowControl/>
        <w:ind w:left="0" w:firstLine="0" w:firstLineChars="0"/>
        <w:rPr>
          <w:rFonts w:hint="eastAsia" w:ascii="仿宋_GB2312" w:hAnsi="宋体" w:eastAsia="仿宋_GB2312" w:cs="仿宋_GB2312"/>
          <w:color w:val="000000"/>
          <w:spacing w:val="-6"/>
          <w:kern w:val="0"/>
          <w:sz w:val="32"/>
          <w:szCs w:val="32"/>
          <w:lang w:val="en-US"/>
        </w:r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697"/>
        <w:gridCol w:w="906"/>
        <w:gridCol w:w="264"/>
        <w:gridCol w:w="1721"/>
        <w:gridCol w:w="1843"/>
        <w:gridCol w:w="1702"/>
        <w:gridCol w:w="140"/>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946" w:type="dxa"/>
            <w:gridSpan w:val="9"/>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kern w:val="0"/>
                <w:sz w:val="24"/>
                <w:szCs w:val="24"/>
                <w:lang w:val="en-US" w:bidi="ar"/>
              </w:rPr>
            </w:pPr>
          </w:p>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4"/>
                <w:szCs w:val="24"/>
                <w:lang w:val="en-US"/>
              </w:rPr>
            </w:pPr>
            <w:r>
              <w:rPr>
                <w:rFonts w:hint="eastAsia" w:ascii="黑体" w:hAnsi="宋体" w:eastAsia="黑体" w:cs="黑体"/>
                <w:color w:val="000000"/>
                <w:kern w:val="0"/>
                <w:sz w:val="24"/>
                <w:szCs w:val="24"/>
                <w:lang w:val="en-US" w:eastAsia="zh-CN" w:bidi="ar"/>
              </w:rPr>
              <w:t>附表5-1：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第三批天府旅游名县奖励资金预算项目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全年执行数（万元）</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其中：一般公共预算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其中：一般公共预算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全年预期目标</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目标：</w:t>
            </w:r>
            <w:r>
              <w:rPr>
                <w:rFonts w:hint="eastAsia" w:ascii="宋体" w:hAnsi="宋体" w:eastAsia="宋体" w:cs="宋体"/>
                <w:color w:val="000000"/>
                <w:kern w:val="0"/>
                <w:sz w:val="18"/>
                <w:szCs w:val="18"/>
                <w:lang w:val="en-US" w:eastAsia="zh-CN" w:bidi="ar"/>
              </w:rPr>
              <w:t>严格按照相关文件规定，科学、合理管理与使用天府旅游名县专项资金，发挥资金最大效益。全年专项补助资金5万元。</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目标完成情况：全年支专项补助资金5万元。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906"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9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全年预期指标（包                     含数字及文字描述）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全年实际完成指标值 （包含数字及文字描述）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906" w:type="dxa"/>
            <w:vMerge w:val="restart"/>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16"/>
                <w:szCs w:val="16"/>
                <w:lang w:val="en-US" w:eastAsia="zh-CN" w:bidi="ar"/>
              </w:rPr>
              <w:t>对外宣传会议</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2"/>
                <w:sz w:val="20"/>
                <w:szCs w:val="20"/>
                <w:lang w:val="en-US" w:eastAsia="zh-CN" w:bidi="ar"/>
              </w:rPr>
              <w:t>100</w:t>
            </w:r>
            <w:r>
              <w:rPr>
                <w:rFonts w:hint="eastAsia" w:ascii="Times New Roman" w:hAnsi="Times New Roman" w:eastAsia="宋体" w:cs="宋体"/>
                <w:color w:val="000000"/>
                <w:kern w:val="2"/>
                <w:sz w:val="20"/>
                <w:szCs w:val="20"/>
                <w:lang w:val="en-US" w:eastAsia="zh-CN" w:bidi="ar"/>
              </w:rPr>
              <w:t>次</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100</w:t>
            </w:r>
            <w:r>
              <w:rPr>
                <w:rFonts w:hint="eastAsia" w:ascii="Times New Roman" w:hAnsi="Times New Roman" w:eastAsia="宋体" w:cs="宋体"/>
                <w:color w:val="000000"/>
                <w:kern w:val="2"/>
                <w:sz w:val="20"/>
                <w:szCs w:val="20"/>
                <w:lang w:val="en-US" w:eastAsia="zh-CN" w:bidi="ar"/>
              </w:rPr>
              <w:t>次</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对外发放宣传资料</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2000</w:t>
            </w:r>
            <w:r>
              <w:rPr>
                <w:rFonts w:hint="eastAsia" w:ascii="Times New Roman" w:hAnsi="Times New Roman" w:eastAsia="宋体" w:cs="宋体"/>
                <w:color w:val="000000"/>
                <w:kern w:val="2"/>
                <w:sz w:val="20"/>
                <w:szCs w:val="20"/>
                <w:lang w:val="en-US" w:eastAsia="zh-CN" w:bidi="ar"/>
              </w:rPr>
              <w:t>余份</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2000</w:t>
            </w:r>
            <w:r>
              <w:rPr>
                <w:rFonts w:hint="eastAsia" w:ascii="Times New Roman" w:hAnsi="Times New Roman" w:eastAsia="宋体" w:cs="宋体"/>
                <w:color w:val="000000"/>
                <w:kern w:val="2"/>
                <w:sz w:val="20"/>
                <w:szCs w:val="20"/>
                <w:lang w:val="en-US" w:eastAsia="zh-CN" w:bidi="ar"/>
              </w:rPr>
              <w:t>余份</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发放资料覆盖率</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100%</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100%</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2"/>
                <w:sz w:val="16"/>
                <w:szCs w:val="16"/>
                <w:lang w:val="en-US" w:eastAsia="zh-CN" w:bidi="ar"/>
              </w:rPr>
              <w:t>宣传推广效果</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时效指标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项目资金申报时效</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6"/>
                <w:szCs w:val="16"/>
                <w:lang w:val="en-US"/>
              </w:rPr>
            </w:pPr>
            <w:r>
              <w:rPr>
                <w:rFonts w:hint="eastAsia" w:ascii="Times New Roman" w:hAnsi="Times New Roman" w:eastAsia="宋体" w:cs="宋体"/>
                <w:color w:val="000000"/>
                <w:kern w:val="2"/>
                <w:sz w:val="16"/>
                <w:szCs w:val="16"/>
                <w:lang w:val="en-US" w:eastAsia="zh-CN" w:bidi="ar"/>
              </w:rPr>
              <w:t>项目资金审核时效</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3"/>
                <w:szCs w:val="13"/>
                <w:lang w:val="en-US"/>
              </w:rPr>
            </w:pPr>
            <w:r>
              <w:rPr>
                <w:rFonts w:hint="eastAsia" w:ascii="Times New Roman" w:hAnsi="Times New Roman" w:eastAsia="宋体" w:cs="宋体"/>
                <w:color w:val="000000"/>
                <w:kern w:val="2"/>
                <w:sz w:val="13"/>
                <w:szCs w:val="13"/>
                <w:lang w:val="en-US" w:eastAsia="zh-CN" w:bidi="ar"/>
              </w:rPr>
              <w:t>项目资金批复并兑现时效</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专项资金金额</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5万元</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5万元</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预算资金执行率</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100%</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default" w:ascii="Times New Roman" w:hAnsi="Times New Roman" w:eastAsia="宋体" w:cs="Times New Roman"/>
                <w:color w:val="000000"/>
                <w:kern w:val="2"/>
                <w:sz w:val="20"/>
                <w:szCs w:val="20"/>
                <w:lang w:val="en-US" w:eastAsia="zh-CN" w:bidi="ar"/>
              </w:rPr>
              <w:t>100%</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906"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经济效益    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20"/>
                <w:szCs w:val="20"/>
                <w:lang w:val="en-US" w:eastAsia="zh-CN" w:bidi="ar"/>
              </w:rPr>
              <w:t>提升旅游产品品质，丰富文化旅游生活。</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6"/>
                <w:szCs w:val="16"/>
                <w:lang w:val="en-US" w:eastAsia="zh-CN" w:bidi="ar"/>
              </w:rPr>
              <w:t>通过资金的投入，达到汉王老街和时代广场基础设施更加完善。</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16"/>
                <w:szCs w:val="16"/>
                <w:lang w:val="en-US" w:eastAsia="zh-CN" w:bidi="ar"/>
              </w:rPr>
              <w:t>提升了旅游产品品质，丰富了文化旅游生活，并产生了深远影响。</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社会效益    指标</w:t>
            </w:r>
          </w:p>
        </w:tc>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促进地域经济建设快速发展</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通过项目的实施，促进地域经济建设快速发展</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促进了地域经济建设快速发展</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可持续影响  指标</w:t>
            </w:r>
          </w:p>
        </w:tc>
        <w:tc>
          <w:tcPr>
            <w:tcW w:w="19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促进品牌优势与影响力</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通过项目实施,进一步彰显名县品牌优势与影响力</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促进了名县品牌优势与影响力</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7"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满意度指标</w:t>
            </w:r>
          </w:p>
        </w:tc>
        <w:tc>
          <w:tcPr>
            <w:tcW w:w="90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Tahoma" w:hAnsi="Tahoma" w:eastAsia="宋体" w:cs="Tahoma"/>
                <w:color w:val="000000"/>
                <w:kern w:val="2"/>
                <w:sz w:val="18"/>
                <w:szCs w:val="18"/>
                <w:shd w:val="clear" w:fill="FFFFFF"/>
                <w:lang w:val="en-US" w:eastAsia="zh-CN" w:bidi="ar"/>
              </w:rPr>
              <w:t>服务对象满意</w:t>
            </w:r>
            <w:r>
              <w:rPr>
                <w:rFonts w:hint="default" w:ascii="Tahoma" w:hAnsi="Tahoma" w:eastAsia="Tahoma" w:cs="Tahoma"/>
                <w:color w:val="000000"/>
                <w:kern w:val="2"/>
                <w:sz w:val="18"/>
                <w:szCs w:val="18"/>
                <w:shd w:val="clear" w:fill="FFFFFF"/>
                <w:lang w:val="en-US" w:eastAsia="zh-CN" w:bidi="ar"/>
              </w:rPr>
              <w:t xml:space="preserve">      </w:t>
            </w:r>
            <w:r>
              <w:rPr>
                <w:rFonts w:hint="eastAsia" w:ascii="Tahoma" w:hAnsi="Tahoma" w:eastAsia="宋体" w:cs="Tahoma"/>
                <w:color w:val="000000"/>
                <w:kern w:val="2"/>
                <w:sz w:val="18"/>
                <w:szCs w:val="18"/>
                <w:shd w:val="clear" w:fill="FFFFFF"/>
                <w:lang w:val="en-US" w:eastAsia="zh-CN" w:bidi="ar"/>
              </w:rPr>
              <w:t>度指标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群众对创建工作的满意度</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tbl>
      <w:tblPr>
        <w:tblStyle w:val="23"/>
        <w:tblW w:w="15971"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396"/>
        <w:gridCol w:w="425"/>
        <w:gridCol w:w="567"/>
        <w:gridCol w:w="709"/>
        <w:gridCol w:w="22"/>
        <w:gridCol w:w="545"/>
        <w:gridCol w:w="22"/>
        <w:gridCol w:w="1587"/>
        <w:gridCol w:w="658"/>
        <w:gridCol w:w="284"/>
        <w:gridCol w:w="141"/>
        <w:gridCol w:w="142"/>
        <w:gridCol w:w="425"/>
        <w:gridCol w:w="142"/>
        <w:gridCol w:w="425"/>
        <w:gridCol w:w="142"/>
        <w:gridCol w:w="142"/>
        <w:gridCol w:w="283"/>
        <w:gridCol w:w="142"/>
        <w:gridCol w:w="284"/>
        <w:gridCol w:w="415"/>
        <w:gridCol w:w="10"/>
        <w:gridCol w:w="2598"/>
        <w:gridCol w:w="481"/>
        <w:gridCol w:w="470"/>
        <w:gridCol w:w="481"/>
        <w:gridCol w:w="470"/>
        <w:gridCol w:w="470"/>
        <w:gridCol w:w="470"/>
        <w:gridCol w:w="470"/>
        <w:gridCol w:w="470"/>
        <w:gridCol w:w="47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971" w:type="dxa"/>
            <w:gridSpan w:val="34"/>
            <w:shd w:val="clear" w:color="auto" w:fill="auto"/>
            <w:vAlign w:val="center"/>
          </w:tcPr>
          <w:p>
            <w:pPr>
              <w:keepNext w:val="0"/>
              <w:keepLines w:val="0"/>
              <w:widowControl/>
              <w:suppressLineNumbers w:val="0"/>
              <w:spacing w:before="0" w:beforeAutospacing="0" w:after="0" w:afterAutospacing="0"/>
              <w:ind w:left="0" w:right="0" w:firstLine="800" w:firstLineChars="250"/>
              <w:jc w:val="both"/>
              <w:rPr>
                <w:rFonts w:hint="eastAsia" w:ascii="宋体" w:hAnsi="宋体" w:eastAsia="宋体" w:cs="宋体"/>
                <w:b/>
                <w:bCs/>
                <w:color w:val="000000"/>
                <w:kern w:val="0"/>
                <w:sz w:val="40"/>
                <w:szCs w:val="40"/>
                <w:lang w:val="en-US"/>
              </w:rPr>
            </w:pPr>
            <w:r>
              <w:rPr>
                <w:rFonts w:hint="eastAsia" w:ascii="黑体" w:hAnsi="宋体" w:eastAsia="黑体" w:cs="宋体"/>
                <w:color w:val="000000"/>
                <w:kern w:val="0"/>
                <w:sz w:val="32"/>
                <w:szCs w:val="32"/>
                <w:lang w:val="en-US" w:eastAsia="zh-CN" w:bidi="ar"/>
              </w:rPr>
              <w:t>附表5-2：</w:t>
            </w:r>
            <w:r>
              <w:rPr>
                <w:rFonts w:hint="eastAsia" w:ascii="黑体" w:hAnsi="宋体" w:eastAsia="黑体" w:cs="宋体"/>
                <w:color w:val="000000"/>
                <w:kern w:val="0"/>
                <w:sz w:val="24"/>
                <w:szCs w:val="24"/>
                <w:lang w:val="en-US" w:eastAsia="zh-CN" w:bidi="ar"/>
              </w:rPr>
              <w:t xml:space="preserve">                 </w:t>
            </w:r>
            <w:r>
              <w:rPr>
                <w:rFonts w:hint="eastAsia" w:ascii="宋体" w:hAnsi="宋体" w:eastAsia="宋体" w:cs="宋体"/>
                <w:b/>
                <w:bCs/>
                <w:color w:val="000000"/>
                <w:kern w:val="0"/>
                <w:sz w:val="40"/>
                <w:szCs w:val="40"/>
                <w:lang w:val="en-US" w:eastAsia="zh-CN" w:bidi="ar"/>
              </w:rPr>
              <w:t>2021年专项预算项目支出绩效自评评分表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71" w:type="dxa"/>
            <w:gridSpan w:val="34"/>
            <w:shd w:val="clear" w:color="auto" w:fill="auto"/>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部门（单位）盖章：</w:t>
            </w:r>
            <w:r>
              <w:rPr>
                <w:rFonts w:hint="eastAsia" w:ascii="黑体" w:hAnsi="宋体" w:eastAsia="黑体" w:cs="黑体"/>
                <w:b/>
                <w:bCs w:val="0"/>
                <w:color w:val="000000"/>
                <w:kern w:val="0"/>
                <w:sz w:val="20"/>
                <w:szCs w:val="20"/>
                <w:lang w:val="en-US" w:eastAsia="zh-CN" w:bidi="ar"/>
              </w:rPr>
              <w:t>广元市朝天区商务局</w:t>
            </w:r>
            <w:r>
              <w:rPr>
                <w:rFonts w:hint="eastAsia" w:ascii="宋体" w:hAnsi="宋体" w:eastAsia="宋体" w:cs="宋体"/>
                <w:color w:val="000000"/>
                <w:kern w:val="0"/>
                <w:sz w:val="24"/>
                <w:szCs w:val="24"/>
                <w:lang w:val="en-US" w:eastAsia="zh-CN" w:bidi="ar"/>
              </w:rPr>
              <w:t xml:space="preserve">                                       专项预算项目名称：</w:t>
            </w:r>
            <w:r>
              <w:rPr>
                <w:rFonts w:hint="eastAsia" w:ascii="宋体" w:hAnsi="宋体" w:eastAsia="宋体" w:cs="宋体"/>
                <w:b/>
                <w:bCs w:val="0"/>
                <w:color w:val="000000"/>
                <w:kern w:val="0"/>
                <w:sz w:val="18"/>
                <w:szCs w:val="18"/>
                <w:lang w:val="en-US" w:eastAsia="zh-CN" w:bidi="ar"/>
              </w:rPr>
              <w:t>第三批天府旅游名县奖励资金预算项目</w:t>
            </w:r>
            <w:r>
              <w:rPr>
                <w:rFonts w:hint="eastAsia" w:ascii="黑体" w:hAnsi="宋体" w:eastAsia="黑体" w:cs="黑体"/>
                <w:b/>
                <w:bCs w:val="0"/>
                <w:color w:val="000000"/>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分层分类指标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指标分值</w:t>
            </w:r>
          </w:p>
        </w:tc>
        <w:tc>
          <w:tcPr>
            <w:tcW w:w="1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指标解释</w:t>
            </w:r>
          </w:p>
        </w:tc>
        <w:tc>
          <w:tcPr>
            <w:tcW w:w="321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评分方法</w:t>
            </w:r>
          </w:p>
        </w:tc>
        <w:tc>
          <w:tcPr>
            <w:tcW w:w="30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评价要点及说明</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评价方式</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评价属性</w:t>
            </w:r>
          </w:p>
        </w:tc>
        <w:tc>
          <w:tcPr>
            <w:tcW w:w="2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定量评价标准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分层指标</w:t>
            </w:r>
          </w:p>
        </w:tc>
        <w:tc>
          <w:tcPr>
            <w:tcW w:w="8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适用范围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一级指标</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二级指标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方法 归类</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计算公式</w:t>
            </w:r>
          </w:p>
        </w:tc>
        <w:tc>
          <w:tcPr>
            <w:tcW w:w="30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整体评价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样本评价</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定性评价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国家标准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行业标准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地方标准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申报标准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历史均值</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0.3</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0.6</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0.8</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w:t>
            </w:r>
          </w:p>
        </w:tc>
        <w:tc>
          <w:tcPr>
            <w:tcW w:w="30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通用指标</w:t>
            </w:r>
            <w:r>
              <w:rPr>
                <w:rFonts w:hint="eastAsia" w:ascii="宋体" w:hAnsi="宋体" w:eastAsia="宋体" w:cs="宋体"/>
                <w:b/>
                <w:bCs/>
                <w:color w:val="000000"/>
                <w:kern w:val="0"/>
                <w:sz w:val="18"/>
                <w:szCs w:val="18"/>
                <w:lang w:val="en-US" w:eastAsia="zh-CN" w:bidi="ar"/>
              </w:rPr>
              <w:t>（40分）</w:t>
            </w:r>
          </w:p>
        </w:tc>
        <w:tc>
          <w:tcPr>
            <w:tcW w:w="8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所有项预算项目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项目决策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程序严密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不完善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较完善</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完  善</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规划合理★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项目规划是否符合区委、区政府重大决策部署，是否与项目年度目标一致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较合理</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理</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制度完备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项目指导意见、管理办法、申报指南、实施细则等管理制度是否完善，是否存在脱离实际、缺陷、漏洞导致执行偏离预期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项目实施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项目资金分配结果是否与规划计划一致；是否按规定及时分配专项预算资金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否</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使用合规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项目资金使用是否符合相关的财务管理制度规定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执行有效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项目实施是否符合相关管理制度规定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完成结果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项目资金拨付到具体支持对象企业、项目（人）的情况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指标得分=项目实际到位金额/承诺到位金额*100%*指标分值</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主要查看项目资金拨付到人到户、到项目、到企业与资金总量的对比，配套预算到位率。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资金结余★</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项目资金结余的情况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指标得分=（1-结余率/0.2）*指标分值结余率大于等于0.2，指标得0分                                                                                                                                 结余率=结余金额/省级财政资金预算数×100%            </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目标完成★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项目实施后是否完成预期目标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指标得分=实际完成任务量/绩效目标设定任务量×100%*指标分值  </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主要查看项目实施后产出数量指标完成情况。以样本点资金量为权重，加权计算指标得分。当实际完成任务量/绩效目标设定任务量&gt;1时按1计算</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完成及时</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项目实际完成时间与计划完成时间的比较，用以反映和考核项目产出实效目标的实现程度</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指标得分=1-(实际完成时间-计划完成时间/计划完成时间)×100%*指标分值  </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违规记录</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项目管理是否合规</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不合规</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3处及以上不合规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2处不合规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1处不合规</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规</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根据审计监督、财政检查结果反映专项管理是否合规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共性指标（10分）</w:t>
            </w:r>
          </w:p>
        </w:tc>
        <w:tc>
          <w:tcPr>
            <w:tcW w:w="8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项目效果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符合性</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项目实施效果是否与绩效目标或申报目标符合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指标得分=项目实施符合的点位数/所有选点总数×100%*指标分值</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根据项目现场评价实施效果与绩效目标进行对比，汇总所有样本点情况综合分析政策整体吻合度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成长性★</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反映不同类型产业政策实施对相关行业企业成长性的促进作用，主要反映支持对象的创新、创造、创业能力情况，产业结构情况，持续盈利能力情况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指标得分=各项具体指标得分的平均分</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9"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特性指标（10分）</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服务业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经济效益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消费增长</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项目支持区域内社会消费品零售总额增长情况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指标得分根据三年社会消费品零售增长变化计算得分，社会消费品零售增长≥标准值的得满分，＜标准值80%的不得分，其余按比值计算得分</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重点收集三年来区域内社会消费品零售增长数据，主要通过官方统计数据采集，同时结合实地调查对比，综合计算指标得分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增加值增长率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项目实施涉及增加值增长情况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指标得分=三年增加值平均增长率/标准值*指标分值</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5"/>
                <w:szCs w:val="15"/>
                <w:lang w:val="en-US" w:eastAsia="zh-CN" w:bidi="ar"/>
              </w:rPr>
              <w:t>增加值增长率=当年服务业增加值增量/上一年度服务业增加值总量×100%。重点查看项目实施区域服务业增加值变动情况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社会效益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服务效能</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区域内相关事务处理能力提升情况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一般</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较好</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好</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重点查看区域内相关事务处理能力提升状况，通过资料记录查询，现场持续跟踪，走访调研了解等手段综合判断</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trPr>
        <w:tc>
          <w:tcPr>
            <w:tcW w:w="59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个性指标（40分）</w:t>
            </w:r>
          </w:p>
        </w:tc>
        <w:tc>
          <w:tcPr>
            <w:tcW w:w="821"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外   贸   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产出指标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  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是否召开对外宣传会议次，是否印制发放宣传资料等情况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查看对外宣传会议记录，对外发放宣传资料份数</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查看会议记录，影像资料、宣传资料，实地走访调查</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59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宣传效果和宣传覆盖面是否到位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指标得分=发放的宣传资料份</w:t>
            </w:r>
            <w:r>
              <w:rPr>
                <w:rFonts w:hint="eastAsia" w:ascii="宋体" w:hAnsi="宋体" w:eastAsia="宋体" w:cs="宋体"/>
                <w:color w:val="000000"/>
                <w:kern w:val="0"/>
                <w:sz w:val="18"/>
                <w:szCs w:val="18"/>
                <w:lang w:val="en-US" w:eastAsia="zh-CN" w:bidi="ar"/>
              </w:rPr>
              <w:t>数</w:t>
            </w:r>
            <w:r>
              <w:rPr>
                <w:rFonts w:hint="eastAsia" w:ascii="宋体" w:hAnsi="宋体" w:eastAsia="宋体" w:cs="宋体"/>
                <w:kern w:val="0"/>
                <w:sz w:val="18"/>
                <w:szCs w:val="18"/>
                <w:lang w:val="en-US" w:eastAsia="zh-CN" w:bidi="ar"/>
              </w:rPr>
              <w:t>/印制的宣传总份数×100%*指标分值</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实地查看相关工作，了解宣传是否 落地落实；</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59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时效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是否按规定时间要求进度申报项目、兑现资金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根据资料之间的时间逻辑关系核实对比确定。</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依据规定的项目资金申报时效、审核时效和批复并兑现时效要求查看落实情况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59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成本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以相关文件为依据</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按照文件规定，根据实际发生的金额实报实销。</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查看发生的原始依据，核查支付是否按进度执行。</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27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分值</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982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27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自评等级</w:t>
            </w:r>
          </w:p>
        </w:tc>
        <w:tc>
          <w:tcPr>
            <w:tcW w:w="13253"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自评结果：</w:t>
            </w:r>
            <w:r>
              <w:rPr>
                <w:rFonts w:hint="default" w:ascii="宋体" w:hAnsi="宋体" w:eastAsia="Wingdings 2" w:cs="宋体"/>
                <w:b/>
                <w:bCs/>
                <w:color w:val="000000"/>
                <w:kern w:val="0"/>
                <w:sz w:val="18"/>
                <w:szCs w:val="18"/>
                <w:lang w:val="en-US" w:eastAsia="zh-CN" w:bidi="ar"/>
              </w:rPr>
              <w:sym w:font="Wingdings 2" w:char="0052"/>
            </w:r>
            <w:r>
              <w:rPr>
                <w:rFonts w:hint="eastAsia" w:ascii="宋体" w:hAnsi="宋体" w:eastAsia="宋体" w:cs="宋体"/>
                <w:b/>
                <w:bCs/>
                <w:color w:val="000000"/>
                <w:kern w:val="0"/>
                <w:sz w:val="18"/>
                <w:szCs w:val="18"/>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2" w:hRule="atLeast"/>
        </w:trPr>
        <w:tc>
          <w:tcPr>
            <w:tcW w:w="15971" w:type="dxa"/>
            <w:gridSpan w:val="34"/>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b/>
                <w:bCs/>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Fonts w:hint="eastAsia" w:ascii="宋体" w:hAnsi="宋体" w:eastAsia="宋体" w:cs="宋体"/>
                <w:b/>
                <w:bCs/>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Fonts w:hint="eastAsia" w:ascii="宋体" w:hAnsi="宋体" w:eastAsia="宋体" w:cs="宋体"/>
                <w:b/>
                <w:bCs/>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 xml:space="preserve">★为核心指标，需要评价组重点关注深入分析。未涉及个性指标的项目，其分值权重按比例调整到其他效果指标。                                                                                                                                                                                   </w:t>
            </w:r>
          </w:p>
        </w:tc>
      </w:tr>
    </w:tbl>
    <w:p>
      <w:pPr>
        <w:rPr>
          <w:rFonts w:hint="eastAsia" w:ascii="仿宋_GB2312" w:hAnsi="Times New Roman" w:eastAsia="仿宋_GB2312" w:cs="Times New Roman"/>
          <w:sz w:val="32"/>
          <w:szCs w:val="32"/>
        </w:rPr>
        <w:sectPr>
          <w:pgSz w:w="16838" w:h="11906" w:orient="landscape"/>
          <w:pgMar w:top="1803" w:right="1440" w:bottom="1803" w:left="1440" w:header="851" w:footer="992" w:gutter="0"/>
          <w:pgNumType w:fmt="decimal"/>
          <w:cols w:space="0" w:num="1"/>
          <w:titlePg/>
          <w:docGrid w:type="lines" w:linePitch="319" w:charSpace="0"/>
        </w:sectPr>
      </w:pPr>
    </w:p>
    <w:p>
      <w:pPr>
        <w:keepNext w:val="0"/>
        <w:keepLines w:val="0"/>
        <w:widowControl w:val="0"/>
        <w:suppressLineNumbers w:val="0"/>
        <w:spacing w:before="0" w:beforeAutospacing="0" w:after="0" w:afterAutospacing="0"/>
        <w:ind w:left="0" w:right="0"/>
        <w:jc w:val="both"/>
        <w:rPr>
          <w:lang w:val="en-US"/>
        </w:rPr>
      </w:pPr>
      <w:r>
        <w:rPr>
          <w:rFonts w:hint="eastAsia" w:ascii="仿宋_GB2312" w:hAnsi="仿宋_GB2312" w:eastAsia="仿宋_GB2312" w:cs="仿宋_GB2312"/>
          <w:kern w:val="0"/>
          <w:sz w:val="32"/>
          <w:szCs w:val="32"/>
          <w:lang w:val="en-US" w:eastAsia="zh-CN" w:bidi="ar"/>
        </w:rPr>
        <w:t>附件6：</w:t>
      </w: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2021年部门预算项目支出绩效自评报告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楷体" w:hAnsi="楷体" w:eastAsia="楷体" w:cs="楷体"/>
          <w:spacing w:val="-6"/>
          <w:sz w:val="32"/>
          <w:szCs w:val="32"/>
          <w:lang w:val="en-US"/>
        </w:rPr>
      </w:pPr>
      <w:r>
        <w:rPr>
          <w:rFonts w:hint="eastAsia" w:ascii="楷体" w:hAnsi="楷体" w:eastAsia="楷体" w:cs="楷体"/>
          <w:spacing w:val="-6"/>
          <w:kern w:val="2"/>
          <w:sz w:val="32"/>
          <w:szCs w:val="32"/>
          <w:lang w:val="en-US" w:eastAsia="zh-CN" w:bidi="ar"/>
        </w:rPr>
        <w:t>（</w:t>
      </w:r>
      <w:r>
        <w:rPr>
          <w:rFonts w:hint="eastAsia" w:ascii="楷体" w:hAnsi="楷体" w:eastAsia="楷体" w:cs="楷体"/>
          <w:color w:val="000000"/>
          <w:spacing w:val="-6"/>
          <w:kern w:val="2"/>
          <w:sz w:val="32"/>
          <w:szCs w:val="32"/>
          <w:lang w:val="en-US" w:eastAsia="zh-CN" w:bidi="ar"/>
        </w:rPr>
        <w:t>企业入库贡献奖</w:t>
      </w:r>
      <w:r>
        <w:rPr>
          <w:rFonts w:hint="eastAsia" w:ascii="楷体" w:hAnsi="楷体" w:eastAsia="楷体" w:cs="楷体"/>
          <w:spacing w:val="-6"/>
          <w:kern w:val="2"/>
          <w:sz w:val="32"/>
          <w:szCs w:val="32"/>
          <w:lang w:val="en-US" w:eastAsia="zh-CN" w:bidi="ar"/>
        </w:rPr>
        <w:t>项目）</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仿宋_GB2312" w:eastAsia="仿宋_GB2312" w:cs="仿宋_GB2312"/>
          <w:kern w:val="2"/>
          <w:sz w:val="32"/>
          <w:szCs w:val="32"/>
          <w:lang w:val="en-US" w:eastAsia="zh-CN" w:bidi="ar"/>
        </w:rPr>
        <w:t>2021年，区财政预算我单位</w:t>
      </w:r>
      <w:r>
        <w:rPr>
          <w:rFonts w:hint="eastAsia" w:ascii="仿宋_GB2312" w:hAnsi="仿宋_GB2312" w:eastAsia="仿宋_GB2312" w:cs="仿宋_GB2312"/>
          <w:color w:val="000000"/>
          <w:kern w:val="2"/>
          <w:sz w:val="32"/>
          <w:szCs w:val="32"/>
          <w:lang w:val="en-US" w:eastAsia="zh-CN" w:bidi="ar"/>
        </w:rPr>
        <w:t>企业入库贡献奖</w:t>
      </w:r>
      <w:r>
        <w:rPr>
          <w:rFonts w:hint="eastAsia" w:ascii="仿宋_GB2312" w:hAnsi="仿宋_GB2312" w:eastAsia="仿宋_GB2312" w:cs="仿宋_GB2312"/>
          <w:kern w:val="2"/>
          <w:sz w:val="32"/>
          <w:szCs w:val="32"/>
          <w:lang w:val="en-US" w:eastAsia="zh-CN" w:bidi="ar"/>
        </w:rPr>
        <w:t>项目资金</w:t>
      </w:r>
      <w:r>
        <w:rPr>
          <w:rFonts w:hint="eastAsia" w:ascii="仿宋_GB2312" w:hAnsi="仿宋_GB2312" w:eastAsia="仿宋_GB2312" w:cs="仿宋_GB2312"/>
          <w:color w:val="000000"/>
          <w:kern w:val="2"/>
          <w:sz w:val="32"/>
          <w:szCs w:val="32"/>
          <w:lang w:val="en-US" w:eastAsia="zh-CN" w:bidi="ar"/>
        </w:rPr>
        <w:t>70</w:t>
      </w:r>
      <w:r>
        <w:rPr>
          <w:rFonts w:hint="eastAsia" w:ascii="仿宋_GB2312" w:hAnsi="仿宋_GB2312" w:eastAsia="仿宋_GB2312" w:cs="仿宋_GB2312"/>
          <w:kern w:val="2"/>
          <w:sz w:val="32"/>
          <w:szCs w:val="32"/>
          <w:lang w:val="en-US" w:eastAsia="zh-CN" w:bidi="ar"/>
        </w:rPr>
        <w:t>万元，该项目属于财政全额拨款。符合资金管理办法等相关规定。</w:t>
      </w:r>
    </w:p>
    <w:p>
      <w:pPr>
        <w:keepNext w:val="0"/>
        <w:keepLines w:val="0"/>
        <w:widowControl w:val="0"/>
        <w:suppressLineNumbers w:val="0"/>
        <w:spacing w:before="0" w:beforeAutospacing="0" w:after="0" w:afterAutospacing="0" w:line="360" w:lineRule="auto"/>
        <w:ind w:left="0" w:right="0" w:firstLine="616" w:firstLineChars="200"/>
        <w:jc w:val="both"/>
        <w:rPr>
          <w:rFonts w:hint="eastAsia" w:ascii="仿宋_GB2312" w:hAnsi="仿宋_GB2312" w:eastAsia="仿宋_GB2312" w:cs="仿宋_GB2312"/>
          <w:color w:val="000000"/>
          <w:sz w:val="32"/>
          <w:szCs w:val="32"/>
          <w:lang w:val="en-US"/>
        </w:rPr>
      </w:pPr>
      <w:r>
        <w:rPr>
          <w:rFonts w:hint="eastAsia" w:ascii="楷体" w:hAnsi="楷体" w:eastAsia="楷体" w:cs="楷体"/>
          <w:bCs/>
          <w:spacing w:val="-6"/>
          <w:kern w:val="2"/>
          <w:sz w:val="32"/>
          <w:szCs w:val="32"/>
          <w:lang w:val="en-US" w:eastAsia="zh-CN" w:bidi="ar"/>
        </w:rPr>
        <w:t>（二）项目绩效目标。</w:t>
      </w:r>
      <w:r>
        <w:rPr>
          <w:rFonts w:hint="eastAsia" w:ascii="仿宋_GB2312" w:hAnsi="仿宋_GB2312" w:eastAsia="仿宋_GB2312" w:cs="仿宋_GB2312"/>
          <w:kern w:val="2"/>
          <w:sz w:val="32"/>
          <w:szCs w:val="32"/>
          <w:lang w:val="en-US" w:eastAsia="zh-CN" w:bidi="ar"/>
        </w:rPr>
        <w:t>年度工作目标是</w:t>
      </w:r>
      <w:r>
        <w:rPr>
          <w:rFonts w:hint="eastAsia" w:ascii="仿宋_GB2312" w:hAnsi="仿宋_GB2312" w:eastAsia="仿宋_GB2312" w:cs="仿宋_GB2312"/>
          <w:color w:val="000000"/>
          <w:kern w:val="2"/>
          <w:sz w:val="32"/>
          <w:szCs w:val="32"/>
          <w:lang w:val="en-US" w:eastAsia="zh-CN" w:bidi="ar"/>
        </w:rPr>
        <w:t>培育壮大商贸企业、活跃消费市场、打造本土品牌，加快推进我区商贸流通业持续健康发展。</w:t>
      </w:r>
    </w:p>
    <w:p>
      <w:pPr>
        <w:keepNext w:val="0"/>
        <w:keepLines w:val="0"/>
        <w:widowControl w:val="0"/>
        <w:suppressLineNumbers w:val="0"/>
        <w:spacing w:before="0" w:beforeAutospacing="0" w:after="0" w:afterAutospacing="0" w:line="360" w:lineRule="auto"/>
        <w:ind w:left="0" w:right="0" w:firstLine="616" w:firstLineChars="20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（三）项目资金申报相符性。</w:t>
      </w:r>
      <w:r>
        <w:rPr>
          <w:rFonts w:hint="eastAsia" w:ascii="仿宋_GB2312" w:hAnsi="仿宋_GB2312" w:eastAsia="仿宋_GB2312" w:cs="仿宋_GB2312"/>
          <w:color w:val="000000"/>
          <w:kern w:val="2"/>
          <w:sz w:val="32"/>
          <w:szCs w:val="32"/>
          <w:lang w:val="en-US" w:eastAsia="zh-CN" w:bidi="ar"/>
        </w:rPr>
        <w:t>企业入库贡献奖</w:t>
      </w:r>
      <w:r>
        <w:rPr>
          <w:rFonts w:hint="eastAsia" w:ascii="仿宋_GB2312" w:hAnsi="仿宋_GB2312" w:eastAsia="仿宋_GB2312" w:cs="仿宋_GB2312"/>
          <w:kern w:val="2"/>
          <w:sz w:val="32"/>
          <w:szCs w:val="32"/>
          <w:lang w:val="en-US" w:eastAsia="zh-CN" w:bidi="ar"/>
        </w:rPr>
        <w:t>项目经费与申报内容相符、申报目标合理可行。</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二、项目资金管理情况</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eastAsia="仿宋_GB2312" w:cs="仿宋_GB2312"/>
          <w:spacing w:val="-6"/>
          <w:sz w:val="32"/>
          <w:szCs w:val="32"/>
          <w:lang w:val="en-US"/>
        </w:rPr>
      </w:pPr>
      <w:r>
        <w:rPr>
          <w:rFonts w:hint="eastAsia" w:ascii="楷体" w:hAnsi="楷体" w:eastAsia="楷体" w:cs="楷体"/>
          <w:bCs/>
          <w:spacing w:val="-6"/>
          <w:kern w:val="2"/>
          <w:sz w:val="32"/>
          <w:szCs w:val="32"/>
          <w:lang w:val="en-US" w:eastAsia="zh-CN" w:bidi="ar"/>
        </w:rPr>
        <w:t>1.资金计划及到位。</w:t>
      </w:r>
      <w:r>
        <w:rPr>
          <w:rFonts w:hint="eastAsia" w:ascii="仿宋_GB2312" w:hAnsi="仿宋_GB2312" w:eastAsia="仿宋_GB2312" w:cs="仿宋_GB2312"/>
          <w:kern w:val="2"/>
          <w:sz w:val="32"/>
          <w:szCs w:val="32"/>
          <w:lang w:val="en-US" w:eastAsia="zh-CN" w:bidi="ar"/>
        </w:rPr>
        <w:t>2021年，区财政安排我单位“</w:t>
      </w:r>
      <w:r>
        <w:rPr>
          <w:rFonts w:hint="eastAsia" w:ascii="仿宋_GB2312" w:hAnsi="仿宋_GB2312" w:eastAsia="仿宋_GB2312" w:cs="仿宋_GB2312"/>
          <w:color w:val="000000"/>
          <w:kern w:val="2"/>
          <w:sz w:val="32"/>
          <w:szCs w:val="32"/>
          <w:lang w:val="en-US" w:eastAsia="zh-CN" w:bidi="ar"/>
        </w:rPr>
        <w:t>企业入库贡献奖”项目经费70万元，</w:t>
      </w:r>
      <w:r>
        <w:rPr>
          <w:rFonts w:hint="eastAsia" w:ascii="仿宋_GB2312" w:hAnsi="仿宋" w:eastAsia="仿宋_GB2312" w:cs="仿宋_GB2312"/>
          <w:color w:val="000000"/>
          <w:kern w:val="2"/>
          <w:sz w:val="32"/>
          <w:szCs w:val="32"/>
          <w:lang w:val="en-US" w:eastAsia="zh-CN" w:bidi="ar"/>
        </w:rPr>
        <w:t>全年实际到位</w:t>
      </w:r>
      <w:r>
        <w:rPr>
          <w:rFonts w:hint="eastAsia" w:ascii="仿宋_GB2312" w:hAnsi="仿宋_GB2312" w:eastAsia="仿宋_GB2312" w:cs="仿宋_GB2312"/>
          <w:color w:val="000000"/>
          <w:kern w:val="2"/>
          <w:sz w:val="32"/>
          <w:szCs w:val="32"/>
          <w:lang w:val="en-US" w:eastAsia="zh-CN" w:bidi="ar"/>
        </w:rPr>
        <w:t>70</w:t>
      </w:r>
      <w:r>
        <w:rPr>
          <w:rFonts w:hint="eastAsia" w:ascii="仿宋_GB2312" w:hAnsi="仿宋" w:eastAsia="仿宋_GB2312" w:cs="仿宋_GB2312"/>
          <w:color w:val="000000"/>
          <w:kern w:val="2"/>
          <w:sz w:val="32"/>
          <w:szCs w:val="32"/>
          <w:lang w:val="en-US" w:eastAsia="zh-CN" w:bidi="ar"/>
        </w:rPr>
        <w:t>万</w:t>
      </w:r>
      <w:r>
        <w:rPr>
          <w:rFonts w:hint="eastAsia" w:ascii="仿宋_GB2312" w:hAnsi="仿宋" w:eastAsia="仿宋_GB2312" w:cs="仿宋_GB2312"/>
          <w:kern w:val="2"/>
          <w:sz w:val="32"/>
          <w:szCs w:val="32"/>
          <w:lang w:val="en-US" w:eastAsia="zh-CN" w:bidi="ar"/>
        </w:rPr>
        <w:t>元，</w:t>
      </w:r>
      <w:r>
        <w:rPr>
          <w:rFonts w:hint="eastAsia" w:ascii="仿宋_GB2312" w:hAnsi="Times New Roman" w:eastAsia="仿宋_GB2312" w:cs="仿宋_GB2312"/>
          <w:spacing w:val="-6"/>
          <w:kern w:val="2"/>
          <w:sz w:val="32"/>
          <w:szCs w:val="32"/>
          <w:lang w:val="en-US" w:eastAsia="zh-CN" w:bidi="ar"/>
        </w:rPr>
        <w:t>资金到位率100%。</w:t>
      </w:r>
    </w:p>
    <w:p>
      <w:pPr>
        <w:keepNext w:val="0"/>
        <w:keepLines w:val="0"/>
        <w:widowControl w:val="0"/>
        <w:suppressLineNumbers w:val="0"/>
        <w:spacing w:before="0" w:beforeAutospacing="0" w:after="0" w:afterAutospacing="0" w:line="360" w:lineRule="auto"/>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2.资金使用。</w:t>
      </w:r>
      <w:r>
        <w:rPr>
          <w:rFonts w:hint="eastAsia" w:ascii="仿宋_GB2312" w:hAnsi="Times New Roman" w:eastAsia="仿宋_GB2312" w:cs="仿宋_GB2312"/>
          <w:spacing w:val="-6"/>
          <w:kern w:val="2"/>
          <w:sz w:val="32"/>
          <w:szCs w:val="32"/>
          <w:lang w:val="en-US" w:eastAsia="zh-CN" w:bidi="ar"/>
        </w:rPr>
        <w:t>严格按照相关财政文件要求，该项目经费拨款全部用于</w:t>
      </w:r>
      <w:r>
        <w:rPr>
          <w:rFonts w:hint="eastAsia" w:ascii="仿宋_GB2312" w:hAnsi="Times New Roman" w:eastAsia="仿宋_GB2312" w:cs="仿宋_GB2312"/>
          <w:color w:val="000000"/>
          <w:spacing w:val="-6"/>
          <w:kern w:val="2"/>
          <w:sz w:val="32"/>
          <w:szCs w:val="32"/>
          <w:lang w:val="en-US" w:eastAsia="zh-CN" w:bidi="ar"/>
        </w:rPr>
        <w:t>企业入库贡献奖</w:t>
      </w:r>
      <w:r>
        <w:rPr>
          <w:rFonts w:hint="eastAsia" w:ascii="仿宋_GB2312" w:hAnsi="仿宋_GB2312" w:eastAsia="仿宋_GB2312" w:cs="仿宋_GB2312"/>
          <w:color w:val="000000"/>
          <w:kern w:val="2"/>
          <w:sz w:val="32"/>
          <w:szCs w:val="32"/>
          <w:lang w:val="en-US" w:eastAsia="zh-CN" w:bidi="ar"/>
        </w:rPr>
        <w:t>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仿宋" w:eastAsia="仿宋_GB2312" w:cs="仿宋_GB2312"/>
          <w:kern w:val="2"/>
          <w:sz w:val="32"/>
          <w:szCs w:val="32"/>
          <w:lang w:val="en-US" w:eastAsia="zh-CN" w:bidi="ar"/>
        </w:rPr>
        <w:t>资金</w:t>
      </w:r>
      <w:r>
        <w:rPr>
          <w:rFonts w:hint="eastAsia" w:ascii="仿宋_GB2312" w:hAnsi="Times New Roman" w:eastAsia="仿宋_GB2312" w:cs="仿宋_GB2312"/>
          <w:spacing w:val="-6"/>
          <w:kern w:val="2"/>
          <w:sz w:val="32"/>
          <w:szCs w:val="32"/>
          <w:lang w:val="en-US" w:eastAsia="zh-CN" w:bidi="ar"/>
        </w:rPr>
        <w:t>及时</w:t>
      </w:r>
      <w:r>
        <w:rPr>
          <w:rFonts w:hint="eastAsia" w:ascii="仿宋_GB2312" w:hAnsi="仿宋" w:eastAsia="仿宋_GB2312" w:cs="仿宋_GB2312"/>
          <w:kern w:val="2"/>
          <w:sz w:val="32"/>
          <w:szCs w:val="32"/>
          <w:lang w:val="en-US" w:eastAsia="zh-CN" w:bidi="ar"/>
        </w:rPr>
        <w:t>结算支付达100%。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（二）项目财务管理情况</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2"/>
          <w:sz w:val="32"/>
          <w:szCs w:val="32"/>
          <w:lang w:val="zh-CN" w:eastAsia="zh-CN" w:bidi="ar"/>
        </w:rPr>
        <w:t>为加强项目资金的使用管理，我</w:t>
      </w:r>
      <w:r>
        <w:rPr>
          <w:rFonts w:hint="eastAsia" w:ascii="仿宋_GB2312" w:hAnsi="仿宋_GB2312" w:eastAsia="仿宋_GB2312" w:cs="仿宋_GB2312"/>
          <w:kern w:val="2"/>
          <w:sz w:val="32"/>
          <w:szCs w:val="32"/>
          <w:lang w:val="en-US" w:eastAsia="zh-CN" w:bidi="ar"/>
        </w:rPr>
        <w:t>单位</w:t>
      </w:r>
      <w:r>
        <w:rPr>
          <w:rFonts w:hint="eastAsia" w:ascii="仿宋_GB2312" w:hAnsi="仿宋_GB2312" w:eastAsia="仿宋_GB2312" w:cs="仿宋_GB2312"/>
          <w:kern w:val="2"/>
          <w:sz w:val="32"/>
          <w:szCs w:val="32"/>
          <w:lang w:val="zh-CN" w:eastAsia="zh-CN" w:bidi="ar"/>
        </w:rPr>
        <w:t>严格按照区财政局《关于下达</w:t>
      </w:r>
      <w:r>
        <w:rPr>
          <w:rFonts w:hint="eastAsia" w:ascii="仿宋_GB2312" w:hAnsi="仿宋_GB2312" w:eastAsia="仿宋_GB2312" w:cs="仿宋_GB2312"/>
          <w:kern w:val="2"/>
          <w:sz w:val="32"/>
          <w:szCs w:val="32"/>
          <w:lang w:val="en-US" w:eastAsia="zh-CN" w:bidi="ar"/>
        </w:rPr>
        <w:t>2020年度企业贡献奖励金的通知</w:t>
      </w:r>
      <w:r>
        <w:rPr>
          <w:rFonts w:hint="eastAsia" w:ascii="仿宋_GB2312" w:hAnsi="仿宋_GB2312" w:eastAsia="仿宋_GB2312" w:cs="仿宋_GB2312"/>
          <w:kern w:val="2"/>
          <w:sz w:val="32"/>
          <w:szCs w:val="32"/>
          <w:lang w:val="zh-CN" w:eastAsia="zh-CN" w:bidi="ar"/>
        </w:rPr>
        <w:t>》</w:t>
      </w:r>
      <w:r>
        <w:rPr>
          <w:rFonts w:hint="eastAsia" w:ascii="仿宋_GB2312" w:hAnsi="仿宋_GB2312" w:eastAsia="仿宋_GB2312" w:cs="仿宋_GB2312"/>
          <w:kern w:val="2"/>
          <w:sz w:val="32"/>
          <w:szCs w:val="32"/>
          <w:lang w:val="en-US" w:eastAsia="zh-CN" w:bidi="ar"/>
        </w:rPr>
        <w:t>【2021】10号文件</w:t>
      </w:r>
      <w:r>
        <w:rPr>
          <w:rFonts w:hint="eastAsia" w:ascii="仿宋_GB2312" w:hAnsi="仿宋_GB2312" w:eastAsia="仿宋_GB2312" w:cs="仿宋_GB2312"/>
          <w:kern w:val="2"/>
          <w:sz w:val="32"/>
          <w:szCs w:val="32"/>
          <w:lang w:val="zh-CN" w:eastAsia="zh-CN" w:bidi="ar"/>
        </w:rPr>
        <w:t>）等规定执行，按企业实际任务完成比例补助企业入库奖励金，使项目资金能最大限度地发挥其作用。并按时在政府网站进行了预决算公开，资金运行安全率达100%。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（三）项目组织实施情况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通过加大对“两上企业”的培育扶持力度，推进了我区商贸流通业高速度、高质量、高水平发展。2021年财政预算安排企业入库奖励资金70万元，用于鼓励各类企业做大做强，全面调动企业和个体经营户发展成为规上限上企业的积极性，提升了全区整体经济质量和水平。</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sz w:val="32"/>
          <w:szCs w:val="32"/>
          <w:lang w:val="en-US" w:bidi="ar"/>
        </w:rPr>
      </w:pPr>
      <w:r>
        <w:rPr>
          <w:rFonts w:hint="eastAsia" w:ascii="黑体" w:hAnsi="宋体" w:eastAsia="黑体" w:cs="黑体"/>
          <w:kern w:val="2"/>
          <w:sz w:val="32"/>
          <w:szCs w:val="32"/>
          <w:lang w:val="en-US" w:eastAsia="zh-CN" w:bidi="ar"/>
        </w:rPr>
        <w:t>三、项目绩效情况</w:t>
      </w:r>
    </w:p>
    <w:p>
      <w:pPr>
        <w:keepNext w:val="0"/>
        <w:keepLines w:val="0"/>
        <w:widowControl w:val="0"/>
        <w:suppressLineNumbers w:val="0"/>
        <w:spacing w:before="0" w:beforeAutospacing="0" w:after="0" w:afterAutospacing="0" w:line="560" w:lineRule="exact"/>
        <w:ind w:left="0" w:right="0" w:firstLine="645"/>
        <w:jc w:val="both"/>
        <w:rPr>
          <w:rFonts w:hint="eastAsia" w:ascii="楷体_GB2312" w:hAnsi="仿宋" w:eastAsia="楷体_GB2312" w:cs="楷体_GB2312"/>
          <w:sz w:val="32"/>
          <w:szCs w:val="32"/>
          <w:lang w:val="en-US"/>
        </w:rPr>
      </w:pPr>
      <w:r>
        <w:rPr>
          <w:rFonts w:hint="eastAsia" w:ascii="楷体_GB2312" w:hAnsi="仿宋" w:eastAsia="楷体_GB2312" w:cs="楷体_GB2312"/>
          <w:kern w:val="2"/>
          <w:sz w:val="32"/>
          <w:szCs w:val="32"/>
          <w:lang w:val="en-US" w:eastAsia="zh-CN" w:bidi="ar"/>
        </w:rPr>
        <w:t>（一）项目完成情况。</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仿宋_GB2312"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2021年企业入库贡献奖</w:t>
      </w:r>
      <w:r>
        <w:rPr>
          <w:rFonts w:hint="eastAsia" w:ascii="仿宋_GB2312" w:hAnsi="仿宋_GB2312" w:eastAsia="仿宋_GB2312" w:cs="仿宋_GB2312"/>
          <w:kern w:val="2"/>
          <w:sz w:val="32"/>
          <w:szCs w:val="32"/>
          <w:lang w:val="en-US" w:eastAsia="zh-CN" w:bidi="ar"/>
        </w:rPr>
        <w:t>项目</w:t>
      </w:r>
      <w:r>
        <w:rPr>
          <w:rFonts w:hint="eastAsia" w:ascii="仿宋_GB2312" w:hAnsi="Times New Roman" w:eastAsia="仿宋_GB2312" w:cs="仿宋_GB2312"/>
          <w:spacing w:val="-6"/>
          <w:kern w:val="2"/>
          <w:sz w:val="32"/>
          <w:szCs w:val="32"/>
          <w:lang w:val="en-US" w:eastAsia="zh-CN" w:bidi="ar"/>
        </w:rPr>
        <w:t>预算收入70万元，预算支出70万元，收支持平。</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商贸流通业关系经济社会发展、关系社会民生保障。专项资金的合理使用，能培育壮大商贸企业、活跃消费市场、打造本土品牌，加快推进我区商贸流通业持续健康发展。2021年我区商品销售额任务目标圆满完成。</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四、问题及建议</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（一）存在的问题</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FF0000"/>
          <w:sz w:val="32"/>
          <w:szCs w:val="32"/>
          <w:u w:val="single"/>
          <w:lang w:val="en-US"/>
        </w:rPr>
      </w:pPr>
      <w:r>
        <w:rPr>
          <w:rFonts w:hint="eastAsia" w:ascii="仿宋_GB2312" w:hAnsi="仿宋_GB2312" w:eastAsia="仿宋_GB2312" w:cs="仿宋_GB2312"/>
          <w:kern w:val="2"/>
          <w:sz w:val="32"/>
          <w:szCs w:val="32"/>
          <w:lang w:val="en-US" w:eastAsia="zh-CN" w:bidi="ar"/>
        </w:rPr>
        <w:t>个别企业未按期完成任务，未达到预期效果。</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1、加强组织领导，确保奖励扶持措施落实到位；</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2、加强资金管理，充分发挥财政资金激励作用；</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3、加强宣传力度，形成良好氛围；</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4、加强业务培训，提高服务水平；</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黑体" w:hAnsi="宋体" w:eastAsia="黑体" w:cs="黑体"/>
          <w:color w:val="000000"/>
          <w:kern w:val="0"/>
          <w:sz w:val="24"/>
          <w:szCs w:val="24"/>
          <w:lang w:val="en-US"/>
        </w:rPr>
      </w:pPr>
      <w:r>
        <w:rPr>
          <w:rFonts w:hint="eastAsia" w:ascii="仿宋_GB2312" w:hAnsi="宋体" w:eastAsia="仿宋_GB2312" w:cs="仿宋_GB2312"/>
          <w:color w:val="000000"/>
          <w:spacing w:val="-6"/>
          <w:kern w:val="0"/>
          <w:sz w:val="32"/>
          <w:szCs w:val="32"/>
          <w:lang w:val="en-US" w:eastAsia="zh-CN" w:bidi="ar"/>
        </w:rPr>
        <w:t>附表：6-1部门预算</w:t>
      </w:r>
      <w:r>
        <w:rPr>
          <w:rFonts w:hint="eastAsia" w:ascii="仿宋_GB2312" w:hAnsi="宋体" w:eastAsia="仿宋_GB2312" w:cs="宋体"/>
          <w:color w:val="000000"/>
          <w:kern w:val="0"/>
          <w:sz w:val="32"/>
          <w:szCs w:val="32"/>
          <w:lang w:val="en-US" w:eastAsia="zh-CN" w:bidi="ar"/>
        </w:rPr>
        <w:t>项目支出绩效目标自评表</w:t>
      </w:r>
    </w:p>
    <w:p>
      <w:pPr>
        <w:pStyle w:val="20"/>
        <w:keepNext w:val="0"/>
        <w:keepLines w:val="0"/>
        <w:widowControl w:val="0"/>
        <w:suppressLineNumbers w:val="0"/>
        <w:spacing w:before="0" w:beforeAutospacing="0" w:after="0" w:afterAutospacing="0" w:line="560" w:lineRule="exact"/>
        <w:ind w:left="0" w:right="0" w:firstLine="1540" w:firstLineChars="500"/>
        <w:jc w:val="both"/>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bidi="ar"/>
        </w:rPr>
        <w:t>6-2 2021年部门预算项目支出绩效自评评分表</w:t>
      </w: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050"/>
        <w:gridCol w:w="1155"/>
        <w:gridCol w:w="590"/>
        <w:gridCol w:w="985"/>
        <w:gridCol w:w="1393"/>
        <w:gridCol w:w="2133"/>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00" w:type="dxa"/>
            <w:gridSpan w:val="8"/>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8"/>
                <w:szCs w:val="28"/>
                <w:lang w:val="en-US"/>
              </w:rPr>
            </w:pPr>
            <w:r>
              <w:rPr>
                <w:rFonts w:hint="eastAsia" w:ascii="黑体" w:hAnsi="宋体" w:eastAsia="黑体" w:cs="黑体"/>
                <w:color w:val="000000"/>
                <w:kern w:val="0"/>
                <w:sz w:val="28"/>
                <w:szCs w:val="28"/>
                <w:lang w:val="en-US" w:eastAsia="zh-CN" w:bidi="ar"/>
              </w:rPr>
              <w:t>附表6-1：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500" w:type="dxa"/>
            <w:gridSpan w:val="8"/>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500" w:type="dxa"/>
            <w:gridSpan w:val="8"/>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9500" w:type="dxa"/>
            <w:gridSpan w:val="8"/>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企业入库贡献奖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广元市朝天区商务批局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70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全年执行数（万元）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其中：一般公共预算</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70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其中：一般公共预算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政府性基金预算</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政府性基金预算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国有资本经营预算</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国有资本经营预算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社会保险基金预算</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社会保险基金预算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其他资金</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其他资金</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51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全年预期目标</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1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pStyle w:val="20"/>
              <w:keepNext w:val="0"/>
              <w:keepLines w:val="0"/>
              <w:widowControl/>
              <w:suppressLineNumbers w:val="0"/>
              <w:shd w:val="clear" w:fill="FFFFFF"/>
              <w:spacing w:before="0" w:beforeAutospacing="0" w:after="0" w:afterAutospacing="0" w:line="26" w:lineRule="atLeast"/>
              <w:ind w:left="0" w:right="0" w:firstLine="336"/>
              <w:jc w:val="both"/>
              <w:rPr>
                <w:rFonts w:hint="eastAsia" w:ascii="宋体" w:hAnsi="宋体" w:eastAsia="宋体" w:cs="宋体"/>
                <w:color w:val="FF0000"/>
                <w:kern w:val="2"/>
                <w:sz w:val="21"/>
                <w:szCs w:val="21"/>
                <w:u w:val="single"/>
                <w:shd w:val="clear" w:fill="FFFFFF"/>
                <w:lang w:val="en-US"/>
              </w:rPr>
            </w:pPr>
            <w:r>
              <w:rPr>
                <w:rFonts w:hint="eastAsia" w:ascii="宋体" w:hAnsi="宋体" w:eastAsia="宋体" w:cs="宋体"/>
                <w:kern w:val="2"/>
                <w:sz w:val="21"/>
                <w:szCs w:val="21"/>
                <w:shd w:val="clear" w:fill="FFFFFF"/>
              </w:rPr>
              <w:t>目标：培育壮大商贸企业、活跃消费市场、打造本土品牌，加快推进我区商贸流通业持续健康发展。全年奖励金</w:t>
            </w:r>
            <w:r>
              <w:rPr>
                <w:rFonts w:hint="eastAsia" w:ascii="宋体" w:hAnsi="宋体" w:eastAsia="宋体" w:cs="宋体"/>
                <w:kern w:val="2"/>
                <w:sz w:val="21"/>
                <w:szCs w:val="21"/>
                <w:shd w:val="clear" w:fill="FFFFFF"/>
                <w:lang w:val="en-US"/>
              </w:rPr>
              <w:t>70</w:t>
            </w:r>
            <w:r>
              <w:rPr>
                <w:rFonts w:hint="eastAsia" w:ascii="宋体" w:hAnsi="宋体" w:eastAsia="宋体" w:cs="宋体"/>
                <w:kern w:val="2"/>
                <w:sz w:val="21"/>
                <w:szCs w:val="21"/>
                <w:shd w:val="clear" w:fill="FFFFFF"/>
              </w:rPr>
              <w:t>万元。</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20"/>
              <w:keepNext w:val="0"/>
              <w:keepLines w:val="0"/>
              <w:widowControl/>
              <w:suppressLineNumbers w:val="0"/>
              <w:shd w:val="clear" w:fill="FFFFFF"/>
              <w:spacing w:before="0" w:beforeAutospacing="0" w:after="0" w:afterAutospacing="0" w:line="26" w:lineRule="atLeast"/>
              <w:ind w:left="0" w:right="0"/>
              <w:jc w:val="both"/>
              <w:rPr>
                <w:rFonts w:hint="eastAsia" w:ascii="宋体" w:hAnsi="宋体" w:eastAsia="宋体" w:cs="宋体"/>
                <w:color w:val="FF0000"/>
                <w:kern w:val="2"/>
                <w:sz w:val="21"/>
                <w:szCs w:val="21"/>
                <w:u w:val="single"/>
                <w:shd w:val="clear" w:fill="FFFFFF"/>
                <w:lang w:val="en-US"/>
              </w:rPr>
            </w:pPr>
            <w:r>
              <w:rPr>
                <w:rFonts w:hint="eastAsia" w:ascii="宋体" w:hAnsi="宋体" w:eastAsia="宋体" w:cs="宋体"/>
                <w:kern w:val="2"/>
                <w:sz w:val="21"/>
                <w:szCs w:val="21"/>
                <w:shd w:val="clear" w:fill="FFFFFF"/>
              </w:rPr>
              <w:t>目标完成情况：</w:t>
            </w:r>
            <w:r>
              <w:rPr>
                <w:rFonts w:hint="eastAsia" w:ascii="Tahoma" w:hAnsi="Tahoma" w:eastAsia="宋体" w:cs="Tahoma"/>
                <w:kern w:val="2"/>
                <w:sz w:val="21"/>
                <w:szCs w:val="21"/>
                <w:shd w:val="clear" w:fill="FFFFFF"/>
              </w:rPr>
              <w:t>按时兑现奖励金，共兑付</w:t>
            </w:r>
            <w:r>
              <w:rPr>
                <w:rFonts w:hint="default" w:ascii="Tahoma" w:hAnsi="Tahoma" w:eastAsia="Tahoma" w:cs="Tahoma"/>
                <w:kern w:val="2"/>
                <w:sz w:val="21"/>
                <w:szCs w:val="21"/>
                <w:shd w:val="clear" w:fill="FFFFFF"/>
                <w:lang w:val="en-US"/>
              </w:rPr>
              <w:t>70</w:t>
            </w:r>
            <w:r>
              <w:rPr>
                <w:rFonts w:hint="eastAsia" w:ascii="Tahoma" w:hAnsi="Tahoma" w:eastAsia="宋体" w:cs="Tahoma"/>
                <w:kern w:val="2"/>
                <w:sz w:val="21"/>
                <w:szCs w:val="21"/>
                <w:shd w:val="clear" w:fill="FFFFFF"/>
              </w:rPr>
              <w:t>万元</w:t>
            </w:r>
            <w:r>
              <w:rPr>
                <w:rFonts w:hint="default" w:ascii="Tahoma" w:hAnsi="Tahoma" w:eastAsia="Tahoma" w:cs="Tahoma"/>
                <w:kern w:val="2"/>
                <w:sz w:val="21"/>
                <w:szCs w:val="21"/>
                <w:shd w:val="clear" w:fill="FFFFFF"/>
              </w:rPr>
              <w:t>。</w:t>
            </w:r>
            <w:r>
              <w:rPr>
                <w:rFonts w:hint="eastAsia" w:ascii="宋体" w:hAnsi="宋体" w:eastAsia="宋体" w:cs="宋体"/>
                <w:kern w:val="2"/>
                <w:sz w:val="21"/>
                <w:szCs w:val="21"/>
                <w:shd w:val="clear" w:fill="FFFFFF"/>
                <w:lang w:val="en-US"/>
              </w:rPr>
              <w:t xml:space="preserve">                    </w:t>
            </w:r>
            <w:r>
              <w:rPr>
                <w:rFonts w:hint="eastAsia" w:ascii="宋体" w:hAnsi="宋体" w:eastAsia="宋体" w:cs="宋体"/>
                <w:color w:val="FF0000"/>
                <w:kern w:val="2"/>
                <w:sz w:val="21"/>
                <w:szCs w:val="21"/>
                <w:u w:val="single"/>
                <w:shd w:val="clear" w:fill="FFFFFF"/>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5"/>
                <w:szCs w:val="15"/>
                <w:lang w:val="en-US" w:eastAsia="zh-CN" w:bidi="ar"/>
              </w:rPr>
              <w:t xml:space="preserve">全年预期指（包含数字及文字描述）                        </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全年实际完成指标值                           （包含数字及文字描述）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数量指标</w:t>
            </w:r>
          </w:p>
        </w:tc>
        <w:tc>
          <w:tcPr>
            <w:tcW w:w="590"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新进规四上企业</w:t>
            </w:r>
          </w:p>
        </w:tc>
        <w:tc>
          <w:tcPr>
            <w:tcW w:w="98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批零住餐企业</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9家</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8家</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90"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8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服务业企业</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3家</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3 家</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在库四上企业上台阶</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3家</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3家</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培育壮大市场主体</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1家</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1家</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质量指标</w:t>
            </w:r>
          </w:p>
        </w:tc>
        <w:tc>
          <w:tcPr>
            <w:tcW w:w="15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奖励覆盖率</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w:t>
            </w:r>
            <w:r>
              <w:rPr>
                <w:rFonts w:hint="eastAsia" w:ascii="宋体" w:hAnsi="宋体" w:eastAsia="宋体" w:cs="宋体"/>
                <w:kern w:val="2"/>
                <w:sz w:val="15"/>
                <w:szCs w:val="15"/>
                <w:lang w:val="en-US" w:eastAsia="zh-CN" w:bidi="ar"/>
              </w:rPr>
              <w:t>98%</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w:t>
            </w:r>
            <w:r>
              <w:rPr>
                <w:rFonts w:hint="eastAsia" w:ascii="宋体" w:hAnsi="宋体" w:eastAsia="宋体" w:cs="宋体"/>
                <w:kern w:val="2"/>
                <w:sz w:val="15"/>
                <w:szCs w:val="15"/>
                <w:lang w:val="en-US" w:eastAsia="zh-CN" w:bidi="ar"/>
              </w:rPr>
              <w:t>90%</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奖励金准确率</w:t>
            </w:r>
          </w:p>
        </w:tc>
        <w:tc>
          <w:tcPr>
            <w:tcW w:w="13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2"/>
                <w:sz w:val="15"/>
                <w:szCs w:val="15"/>
                <w:lang w:val="en-US" w:eastAsia="zh-CN" w:bidi="ar"/>
              </w:rPr>
              <w:t>100%</w:t>
            </w:r>
          </w:p>
        </w:tc>
        <w:tc>
          <w:tcPr>
            <w:tcW w:w="2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2"/>
                <w:sz w:val="15"/>
                <w:szCs w:val="15"/>
                <w:lang w:val="en-US" w:eastAsia="zh-CN" w:bidi="ar"/>
              </w:rPr>
              <w:t>100%</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时效指标</w:t>
            </w:r>
          </w:p>
        </w:tc>
        <w:tc>
          <w:tcPr>
            <w:tcW w:w="15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奖励及时率</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100%</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100%</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资金到位率</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2"/>
                <w:sz w:val="15"/>
                <w:szCs w:val="15"/>
                <w:lang w:val="en-US" w:eastAsia="zh-CN" w:bidi="ar"/>
              </w:rPr>
              <w:t>100%</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2"/>
                <w:sz w:val="15"/>
                <w:szCs w:val="15"/>
                <w:lang w:val="en-US" w:eastAsia="zh-CN" w:bidi="ar"/>
              </w:rPr>
              <w:t>100%</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支付比率</w:t>
            </w:r>
          </w:p>
        </w:tc>
        <w:tc>
          <w:tcPr>
            <w:tcW w:w="13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100%</w:t>
            </w:r>
          </w:p>
        </w:tc>
        <w:tc>
          <w:tcPr>
            <w:tcW w:w="2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100%</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成本指标</w:t>
            </w:r>
          </w:p>
        </w:tc>
        <w:tc>
          <w:tcPr>
            <w:tcW w:w="15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新进规四上企业</w:t>
            </w:r>
            <w:r>
              <w:rPr>
                <w:rFonts w:hint="eastAsia" w:ascii="宋体" w:hAnsi="宋体" w:eastAsia="宋体" w:cs="宋体"/>
                <w:kern w:val="0"/>
                <w:sz w:val="18"/>
                <w:szCs w:val="18"/>
                <w:lang w:val="en-US" w:eastAsia="zh-CN" w:bidi="ar"/>
              </w:rPr>
              <w:t>费用标准</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6万元/家/年</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6万元/家/年</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财政核定总金额</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66万元</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66万元</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在库四上企业上台阶</w:t>
            </w:r>
            <w:r>
              <w:rPr>
                <w:rFonts w:hint="eastAsia" w:ascii="宋体" w:hAnsi="宋体" w:eastAsia="宋体" w:cs="宋体"/>
                <w:kern w:val="0"/>
                <w:sz w:val="18"/>
                <w:szCs w:val="18"/>
                <w:lang w:val="en-US" w:eastAsia="zh-CN" w:bidi="ar"/>
              </w:rPr>
              <w:t>费用标准</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1万元/家/年</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1万元/家/年</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财政核定总金额</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3万元</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3万元</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培育壮大市场主体费</w:t>
            </w:r>
            <w:r>
              <w:rPr>
                <w:rFonts w:hint="eastAsia" w:ascii="宋体" w:hAnsi="宋体" w:eastAsia="宋体" w:cs="宋体"/>
                <w:kern w:val="0"/>
                <w:sz w:val="18"/>
                <w:szCs w:val="18"/>
                <w:lang w:val="en-US" w:eastAsia="zh-CN" w:bidi="ar"/>
              </w:rPr>
              <w:t>用标准</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1万元/家/年</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1万元/家/年</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财政核定总金额</w:t>
            </w:r>
          </w:p>
        </w:tc>
        <w:tc>
          <w:tcPr>
            <w:tcW w:w="13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w:t>
            </w:r>
          </w:p>
        </w:tc>
        <w:tc>
          <w:tcPr>
            <w:tcW w:w="2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经济效益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指标</w:t>
            </w:r>
          </w:p>
        </w:tc>
        <w:tc>
          <w:tcPr>
            <w:tcW w:w="15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带动我区GDP增长</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带动我区GDP增长</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初步实现</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社会效益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指标</w:t>
            </w: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增加就业岗位，增大财政税收收入</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增加就业岗位，增大财政税收收入</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基本实现</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可持续影响 指标</w:t>
            </w: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为我区经济高质量发展提供有力保障</w:t>
            </w:r>
          </w:p>
        </w:tc>
        <w:tc>
          <w:tcPr>
            <w:tcW w:w="13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为我区经济高质量发展提供有力保障</w:t>
            </w:r>
          </w:p>
        </w:tc>
        <w:tc>
          <w:tcPr>
            <w:tcW w:w="2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基本实现</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5"/>
                <w:szCs w:val="15"/>
                <w:lang w:val="en-US" w:eastAsia="zh-CN" w:bidi="ar"/>
              </w:rPr>
              <w:t>满意度指标</w:t>
            </w:r>
          </w:p>
        </w:tc>
        <w:tc>
          <w:tcPr>
            <w:tcW w:w="11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150" w:right="0" w:hanging="150" w:hangingChars="10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服务对象   满意度</w:t>
            </w:r>
          </w:p>
        </w:tc>
        <w:tc>
          <w:tcPr>
            <w:tcW w:w="15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企业对奖励政策的满意度</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≥95%</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≥95%</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群众对企业服务的满意度</w:t>
            </w:r>
          </w:p>
        </w:tc>
        <w:tc>
          <w:tcPr>
            <w:tcW w:w="13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≥95%</w:t>
            </w:r>
          </w:p>
        </w:tc>
        <w:tc>
          <w:tcPr>
            <w:tcW w:w="2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≥95%</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080"/>
        <w:gridCol w:w="1080"/>
        <w:gridCol w:w="4392"/>
        <w:gridCol w:w="625"/>
        <w:gridCol w:w="5557"/>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15" w:type="dxa"/>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附表6-2：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15" w:type="dxa"/>
            <w:gridSpan w:val="7"/>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方正大标宋_GBK" w:hAnsi="方正大标宋_GBK" w:eastAsia="方正大标宋_GBK" w:cs="方正大标宋_GBK"/>
                <w:b/>
                <w:bCs/>
                <w:color w:val="000000"/>
                <w:sz w:val="40"/>
                <w:szCs w:val="40"/>
                <w:lang w:val="en-US"/>
              </w:rPr>
            </w:pPr>
            <w:r>
              <w:rPr>
                <w:rFonts w:hint="eastAsia" w:ascii="方正大标宋_GBK" w:hAnsi="方正大标宋_GBK" w:eastAsia="方正大标宋_GBK" w:cs="方正大标宋_GBK"/>
                <w:b/>
                <w:bCs/>
                <w:color w:val="000000"/>
                <w:kern w:val="0"/>
                <w:sz w:val="40"/>
                <w:szCs w:val="40"/>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115" w:type="dxa"/>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0"/>
                <w:szCs w:val="20"/>
                <w:lang w:val="en-US"/>
              </w:rPr>
            </w:pPr>
            <w:r>
              <w:rPr>
                <w:rFonts w:hint="eastAsia" w:ascii="黑体" w:hAnsi="宋体" w:eastAsia="黑体" w:cs="黑体"/>
                <w:color w:val="000000"/>
                <w:kern w:val="0"/>
                <w:sz w:val="20"/>
                <w:szCs w:val="20"/>
                <w:lang w:val="en-US" w:eastAsia="zh-CN" w:bidi="ar"/>
              </w:rPr>
              <w:t xml:space="preserve"> 部门（单位）盖章： 广元市朝天区商务局                                                       项目名称：企业入库贡献奖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一级 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二级指标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三级指标            </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指标内容</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参考分值</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评分标准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项目决策（14分）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项目立项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立项依据</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用以反映项目立项是否有充分的依据：符合国家法律法规、本地的相关规定；符合部门年度工作计划。</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①符合国家相关法律法规、国民经济发展规划和党委政府决策（1分）；                                                                                                           ②符合部门（单位）年度工作计划或项目实施单位职责密切相关（1分）。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决策程序</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用以反映和考核项目立项的规范情况：项目的申请、设立过程是否符合相关要求。</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①项目是否按照规定的程序申请设立，审批文件、材料是否符合相关要求（1分）； ②事前是否已经过必要的可行性研究、专家论证、风险评估、集体决策等（1分）。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项目目标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目标合理性</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用以反映和考核项目绩效目标与项目实施的相符情况：项目所设定的绩效目标是否依据充分，是否符合客观实际。</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指标明确性</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用以反映和考核项目绩效目标与项目实施的相符情况：依据绩效目标设定的绩效指标是否清晰、细化、可衡量等。</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资金分配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分配的合理性</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①预算资金分配依据充分（1分）；                                                                                                                                 ②资金分配额度合理，与项目单位或地方实际相适应 （1分）。                 此项需提供相应的资金分配方案。</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项目管理（16分）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资金管理（9分）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根据项目资金的实际到位率计算得分（1分）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用以反映项目预算执行的进度：预算执行率=实际支出数/预算数。                                      实际支出资金：一定时期（本年度或项目期）内项目实际拨付的资金。</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根据项目资金的预算执行率计算得分（2分）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资金使用</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用以反映和考核项目资金的规范运行情况：项目资金使用是否符合相关的财务管理制度规定。</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组织实施（7分）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制度管理</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用以反映和考核财务和业务管理制度对项目顺利实施的制度保障情况。</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①制定或具有相应的财务和业务管理制度（1分）；                                                                                                                                                         ②财务和业务管理制度合法、合规、完整（1分）。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制度执行</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用以反映和考核业务管理制度的有效执行和质量控制情况：项目实施是否符合相关业务管理规定，是否为达到项目质量要求而采取了必需的措施。</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项目绩效（特性指标）（70）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项目产出（35分）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完成绩效目标100%得9分，未完成100%的同比例扣减。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质量达标率</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产出质量达到绩效目标100%得9分，未完成100%的同比例扣减。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完成及时性</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产出时效达到绩效目标得8分，未完成且无充分理由的扣3分。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完成成本（成本节约率）</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产出成本按绩效目标控制得9分，未完成的，按超支比例扣减。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项目效益（30分）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经济效益（可选项）</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反映相关产出对经济社会发展带来的影响和效果，根据项目实际细化具体指标。重点考核投入产出率、回报率、增长率等指标。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完成绩效目标设定的经济效益得7分，未完成的，按完成情况酌情扣分。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社会效益（可选项）</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反映相关产出对社会发展带来的影响和效果，根据项目实际细化具体指标。重点考核撬动率、贡献率、达标率、就业率等指标。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完成绩效目标设定的社会效益得7分，未完成的，按完成情况酌情扣分。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环境效益（可选项）</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反映相关产出对自然环境带来的影响和效果，根据项目实际细化具体指标。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完成绩效目标设定的积极的环境效益得7分，未完成的，按完成情况酌情扣分。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可持续效益（可选项）</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反映相关产出带来影响的可持续期限，根据项目实际细化具体指标。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完成绩效设定目标的得7分，未完成的，按完成情况酌情扣分。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              （5分）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满意率反映服务对象或项目受益人对相关产出及其影响的认可程度，根据项目实际细化具体指标。重点考核满意率等指标。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满意率达90%（含）以上的得5分；80%（含）-89%得4分；70%（含）-79%得3分；60%（含）-69%得2分；60%以下不得分。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分值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100</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自评等级</w:t>
            </w:r>
          </w:p>
        </w:tc>
        <w:tc>
          <w:tcPr>
            <w:tcW w:w="111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自评结果：</w:t>
            </w:r>
            <w:r>
              <w:rPr>
                <w:rFonts w:hint="default" w:ascii="宋体" w:hAnsi="宋体" w:eastAsia="Wingdings 2" w:cs="宋体"/>
                <w:b/>
                <w:bCs/>
                <w:color w:val="000000"/>
                <w:kern w:val="0"/>
                <w:sz w:val="21"/>
                <w:szCs w:val="21"/>
                <w:lang w:val="en-US" w:eastAsia="zh-CN" w:bidi="ar"/>
              </w:rPr>
              <w:sym w:font="Wingdings 2" w:char="0052"/>
            </w:r>
            <w:r>
              <w:rPr>
                <w:rFonts w:hint="eastAsia" w:ascii="宋体" w:hAnsi="宋体" w:eastAsia="宋体" w:cs="宋体"/>
                <w:b/>
                <w:bCs/>
                <w:color w:val="000000"/>
                <w:kern w:val="0"/>
                <w:sz w:val="21"/>
                <w:szCs w:val="21"/>
                <w:lang w:val="en-US" w:eastAsia="zh-CN" w:bidi="ar"/>
              </w:rPr>
              <w:t>优秀（90≤得分≤100）；□良好（80≤得分＜89）；□及格（60≤得分＜79）；□不及格（低于60分）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4115" w:type="dxa"/>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说明：项目特性指标</w:t>
            </w:r>
            <w:r>
              <w:rPr>
                <w:rFonts w:hint="eastAsia" w:ascii="宋体" w:hAnsi="宋体" w:eastAsia="宋体" w:cs="宋体"/>
                <w:color w:val="000000"/>
                <w:kern w:val="0"/>
                <w:sz w:val="18"/>
                <w:szCs w:val="18"/>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rPr>
          <w:rFonts w:hint="eastAsia" w:ascii="仿宋_GB2312" w:hAnsi="宋体" w:eastAsia="仿宋_GB2312" w:cs="Times New Roman"/>
          <w:color w:val="000000"/>
          <w:spacing w:val="-6"/>
          <w:sz w:val="32"/>
          <w:szCs w:val="32"/>
          <w:lang w:val="en-US" w:eastAsia="zh-CN" w:bidi="ar"/>
        </w:rPr>
        <w:sectPr>
          <w:pgSz w:w="16838" w:h="11906" w:orient="landscape"/>
          <w:pgMar w:top="1803" w:right="1440" w:bottom="1803" w:left="1440" w:header="851" w:footer="992" w:gutter="0"/>
          <w:pgNumType w:fmt="decimal"/>
          <w:cols w:space="0" w:num="1"/>
          <w:titlePg/>
          <w:docGrid w:type="lines" w:linePitch="319" w:charSpace="0"/>
        </w:sectPr>
      </w:pPr>
    </w:p>
    <w:p>
      <w:pPr>
        <w:pStyle w:val="3"/>
        <w:jc w:val="center"/>
        <w:rPr>
          <w:rFonts w:hint="eastAsia" w:ascii="黑体" w:hAnsi="宋体" w:eastAsia="黑体" w:cs="黑体"/>
          <w:color w:val="000000"/>
          <w:kern w:val="2"/>
          <w:sz w:val="44"/>
          <w:szCs w:val="44"/>
          <w:lang w:val="en-US" w:eastAsia="zh-CN" w:bidi="ar"/>
        </w:rPr>
      </w:pPr>
    </w:p>
    <w:p>
      <w:pPr>
        <w:pStyle w:val="3"/>
        <w:jc w:val="center"/>
        <w:rPr>
          <w:rFonts w:hint="eastAsia" w:ascii="黑体" w:hAnsi="宋体" w:eastAsia="黑体" w:cs="黑体"/>
          <w:color w:val="000000"/>
          <w:kern w:val="2"/>
          <w:sz w:val="44"/>
          <w:szCs w:val="44"/>
          <w:lang w:val="en-US" w:eastAsia="zh-CN" w:bidi="ar"/>
        </w:rPr>
      </w:pPr>
      <w:r>
        <w:rPr>
          <w:rFonts w:hint="eastAsia" w:ascii="黑体" w:hAnsi="宋体" w:eastAsia="黑体" w:cs="黑体"/>
          <w:color w:val="000000"/>
          <w:kern w:val="2"/>
          <w:sz w:val="44"/>
          <w:szCs w:val="44"/>
          <w:lang w:val="en-US" w:eastAsia="zh-CN" w:bidi="ar"/>
        </w:rPr>
        <w:t>第五部分  附表</w:t>
      </w:r>
    </w:p>
    <w:p>
      <w:pPr>
        <w:pStyle w:val="3"/>
        <w:jc w:val="left"/>
        <w:rPr>
          <w:rFonts w:hint="eastAsia" w:ascii="仿宋_GB2312" w:hAnsi="仿宋" w:eastAsia="仿宋_GB2312" w:cs="仿宋_GB2312"/>
          <w:kern w:val="2"/>
          <w:sz w:val="32"/>
          <w:szCs w:val="32"/>
          <w:lang w:val="en-US" w:eastAsia="zh-CN" w:bidi="ar"/>
        </w:rPr>
      </w:pPr>
    </w:p>
    <w:p>
      <w:pPr>
        <w:pStyle w:val="3"/>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2021年决算公开电子版见附件（共14张）</w:t>
      </w:r>
    </w:p>
    <w:p>
      <w:pPr>
        <w:pStyle w:val="3"/>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表一、收入支出决算总表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表二、收入决算表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表三、支出决算表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表四、财政拨款收入支出决算总表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表五、财政拨款支出决算明细表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表六、一般公共预算财政拨款支出决算表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表七、一般公共预算财政拨款支出决算明细表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表八、一般公共预算财政拨款基本支出决算表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表九、一般公共预算财政拨款项目支出决算表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表十、一般公共预算财政拨款“三公”经费支出决算表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表十一、政府性基金预算财政拨款收入支出决算表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表十二、</w:t>
      </w:r>
      <w:r>
        <w:rPr>
          <w:rFonts w:hint="eastAsia" w:ascii="仿宋" w:hAnsi="仿宋" w:eastAsia="仿宋" w:cs="仿宋"/>
          <w:kern w:val="2"/>
          <w:sz w:val="30"/>
          <w:szCs w:val="30"/>
          <w:lang w:val="en-US" w:eastAsia="zh-CN" w:bidi="ar"/>
        </w:rPr>
        <w:t>政府性基金预算财政拨款“三公”经费支出决算表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表十三、国有资本经营预算财政拨款收入支出决算表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表十四、国有资本经营预算财政拨款支出</w:t>
      </w:r>
    </w:p>
    <w:bookmarkEnd w:id="12"/>
    <w:bookmarkEnd w:id="13"/>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sectPr>
      <w:pgSz w:w="11906" w:h="16838"/>
      <w:pgMar w:top="1440" w:right="1746" w:bottom="1440" w:left="1746" w:header="851" w:footer="992"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Wingdings 2">
    <w:panose1 w:val="05020102010507070707"/>
    <w:charset w:val="02"/>
    <w:family w:val="auto"/>
    <w:pitch w:val="default"/>
    <w:sig w:usb0="00000000" w:usb1="00000000" w:usb2="00000000" w:usb3="00000000" w:csb0="80000000" w:csb1="00000000"/>
  </w:font>
  <w:font w:name="方正大标宋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0VniFrcBAABWAwAADgAAAAAAAAABACAAAAA0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CrX6W7cBAABWAwAADgAAAAAAAAABACAAAAA0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lYZNFtgEAAFUDAAAOAAAAAAAAAAEAIAAAADQ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OjiE+tgEAAFUDAAAOAAAAAAAAAAEAIAAAADQ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47</w:t>
                          </w:r>
                          <w:r>
                            <w:fldChar w:fldCharType="end"/>
                          </w:r>
                        </w:p>
                      </w:txbxContent>
                    </wps:txbx>
                    <wps:bodyPr wrap="none" lIns="0" tIns="0" rIns="0" bIns="0" upright="false">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fWJgj7cBAABWAwAADgAAAAAAAAABACAAAAA0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47</w:t>
                    </w:r>
                    <w:r>
                      <w:fldChar w:fldCharType="end"/>
                    </w:r>
                  </w:p>
                </w:txbxContent>
              </v:textbox>
            </v:shape>
          </w:pict>
        </mc:Fallback>
      </mc:AlternateConten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46</w:t>
                          </w:r>
                          <w:r>
                            <w:fldChar w:fldCharType="end"/>
                          </w:r>
                        </w:p>
                      </w:txbxContent>
                    </wps:txbx>
                    <wps:bodyPr wrap="none" lIns="0" tIns="0" rIns="0" bIns="0" upright="false">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V3Px7cBAABWAwAADgAAAAAAAAABACAAAAA0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EC825"/>
    <w:multiLevelType w:val="singleLevel"/>
    <w:tmpl w:val="894EC825"/>
    <w:lvl w:ilvl="0" w:tentative="0">
      <w:start w:val="4"/>
      <w:numFmt w:val="decimal"/>
      <w:suff w:val="nothing"/>
      <w:lvlText w:val="（%1）"/>
      <w:lvlJc w:val="left"/>
    </w:lvl>
  </w:abstractNum>
  <w:abstractNum w:abstractNumId="1">
    <w:nsid w:val="9337DE96"/>
    <w:multiLevelType w:val="multilevel"/>
    <w:tmpl w:val="9337DE96"/>
    <w:lvl w:ilvl="0" w:tentative="0">
      <w:start w:val="1"/>
      <w:numFmt w:val="decimal"/>
      <w:lvlText w:val="%1、"/>
      <w:lvlJc w:val="left"/>
      <w:pPr>
        <w:ind w:left="360" w:hanging="360"/>
      </w:pPr>
      <w:rPr>
        <w:b/>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A2EBC256"/>
    <w:multiLevelType w:val="singleLevel"/>
    <w:tmpl w:val="A2EBC256"/>
    <w:lvl w:ilvl="0" w:tentative="0">
      <w:start w:val="2"/>
      <w:numFmt w:val="decimal"/>
      <w:suff w:val="nothing"/>
      <w:lvlText w:val="（%1）"/>
      <w:lvlJc w:val="left"/>
    </w:lvl>
  </w:abstractNum>
  <w:abstractNum w:abstractNumId="3">
    <w:nsid w:val="B4C2C063"/>
    <w:multiLevelType w:val="multilevel"/>
    <w:tmpl w:val="B4C2C063"/>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D9E436B2"/>
    <w:multiLevelType w:val="multilevel"/>
    <w:tmpl w:val="D9E436B2"/>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E3563E6D"/>
    <w:multiLevelType w:val="multilevel"/>
    <w:tmpl w:val="E3563E6D"/>
    <w:lvl w:ilvl="0" w:tentative="0">
      <w:start w:val="3"/>
      <w:numFmt w:val="chineseCounting"/>
      <w:suff w:val="space"/>
      <w:lvlText w:val="第%1部分"/>
      <w:lvlJc w:val="left"/>
      <w:pPr>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1BDD39BA"/>
    <w:multiLevelType w:val="singleLevel"/>
    <w:tmpl w:val="1BDD39BA"/>
    <w:lvl w:ilvl="0" w:tentative="0">
      <w:start w:val="3"/>
      <w:numFmt w:val="decimal"/>
      <w:suff w:val="nothing"/>
      <w:lvlText w:val="%1、"/>
      <w:lvlJc w:val="left"/>
    </w:lvl>
  </w:abstractNum>
  <w:abstractNum w:abstractNumId="8">
    <w:nsid w:val="75B668F0"/>
    <w:multiLevelType w:val="multilevel"/>
    <w:tmpl w:val="75B668F0"/>
    <w:lvl w:ilvl="0" w:tentative="0">
      <w:start w:val="4"/>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6"/>
  </w:num>
  <w:num w:numId="2">
    <w:abstractNumId w:val="0"/>
  </w:num>
  <w:num w:numId="3">
    <w:abstractNumId w:val="5"/>
  </w:num>
  <w:num w:numId="4">
    <w:abstractNumId w:val="2"/>
  </w:num>
  <w:num w:numId="5">
    <w:abstractNumId w:val="7"/>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ZGI5OWU4ZWE0NGE5NjgxZGVjYWY4MjA0YTU1NWUifQ=="/>
  </w:docVars>
  <w:rsids>
    <w:rsidRoot w:val="00F1361C"/>
    <w:rsid w:val="000222C6"/>
    <w:rsid w:val="0002549F"/>
    <w:rsid w:val="000468DB"/>
    <w:rsid w:val="0006487A"/>
    <w:rsid w:val="00065114"/>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0B2"/>
    <w:rsid w:val="000D5782"/>
    <w:rsid w:val="000E6613"/>
    <w:rsid w:val="000E7119"/>
    <w:rsid w:val="00104EB7"/>
    <w:rsid w:val="00114E9B"/>
    <w:rsid w:val="00142216"/>
    <w:rsid w:val="00144D6A"/>
    <w:rsid w:val="0014729F"/>
    <w:rsid w:val="00157BAB"/>
    <w:rsid w:val="00163ED0"/>
    <w:rsid w:val="001654D1"/>
    <w:rsid w:val="00174518"/>
    <w:rsid w:val="0018106D"/>
    <w:rsid w:val="001850A1"/>
    <w:rsid w:val="001877A7"/>
    <w:rsid w:val="00191536"/>
    <w:rsid w:val="00196687"/>
    <w:rsid w:val="001B132D"/>
    <w:rsid w:val="001C0962"/>
    <w:rsid w:val="001C7AC8"/>
    <w:rsid w:val="001D7531"/>
    <w:rsid w:val="001E737D"/>
    <w:rsid w:val="001F0592"/>
    <w:rsid w:val="001F7506"/>
    <w:rsid w:val="002006CD"/>
    <w:rsid w:val="00202B36"/>
    <w:rsid w:val="00204B7A"/>
    <w:rsid w:val="00204CDE"/>
    <w:rsid w:val="0021101A"/>
    <w:rsid w:val="00220536"/>
    <w:rsid w:val="0022614C"/>
    <w:rsid w:val="00235629"/>
    <w:rsid w:val="00260C38"/>
    <w:rsid w:val="002616C0"/>
    <w:rsid w:val="00265372"/>
    <w:rsid w:val="002662AA"/>
    <w:rsid w:val="00280496"/>
    <w:rsid w:val="00294DC9"/>
    <w:rsid w:val="00295495"/>
    <w:rsid w:val="002A31DE"/>
    <w:rsid w:val="002B2613"/>
    <w:rsid w:val="002C734D"/>
    <w:rsid w:val="002D19B0"/>
    <w:rsid w:val="002D6D05"/>
    <w:rsid w:val="002D7D8C"/>
    <w:rsid w:val="002F1818"/>
    <w:rsid w:val="002F567B"/>
    <w:rsid w:val="003216A9"/>
    <w:rsid w:val="00335A74"/>
    <w:rsid w:val="0036561B"/>
    <w:rsid w:val="0037013F"/>
    <w:rsid w:val="00380C92"/>
    <w:rsid w:val="00385C59"/>
    <w:rsid w:val="003A484F"/>
    <w:rsid w:val="003A4883"/>
    <w:rsid w:val="003B0BE0"/>
    <w:rsid w:val="003B0C1B"/>
    <w:rsid w:val="003B688C"/>
    <w:rsid w:val="003C0291"/>
    <w:rsid w:val="003C39AE"/>
    <w:rsid w:val="003C7B60"/>
    <w:rsid w:val="003D0C0F"/>
    <w:rsid w:val="003D1FB2"/>
    <w:rsid w:val="003D66DA"/>
    <w:rsid w:val="003E1310"/>
    <w:rsid w:val="003E2364"/>
    <w:rsid w:val="003E6F55"/>
    <w:rsid w:val="00406254"/>
    <w:rsid w:val="00416CD4"/>
    <w:rsid w:val="004223DE"/>
    <w:rsid w:val="00434489"/>
    <w:rsid w:val="00437085"/>
    <w:rsid w:val="00443880"/>
    <w:rsid w:val="004463EC"/>
    <w:rsid w:val="004464F4"/>
    <w:rsid w:val="00471401"/>
    <w:rsid w:val="00473F31"/>
    <w:rsid w:val="00481464"/>
    <w:rsid w:val="0048263A"/>
    <w:rsid w:val="00487E5D"/>
    <w:rsid w:val="004A711F"/>
    <w:rsid w:val="004B199D"/>
    <w:rsid w:val="004B4690"/>
    <w:rsid w:val="004E0A2D"/>
    <w:rsid w:val="004E206B"/>
    <w:rsid w:val="004E6DF7"/>
    <w:rsid w:val="004F0FBD"/>
    <w:rsid w:val="004F403E"/>
    <w:rsid w:val="00505A47"/>
    <w:rsid w:val="00512FDA"/>
    <w:rsid w:val="00515AD2"/>
    <w:rsid w:val="00520DA0"/>
    <w:rsid w:val="005664BB"/>
    <w:rsid w:val="00566FFA"/>
    <w:rsid w:val="0057481D"/>
    <w:rsid w:val="00575F0B"/>
    <w:rsid w:val="0058486E"/>
    <w:rsid w:val="00585B33"/>
    <w:rsid w:val="0059014D"/>
    <w:rsid w:val="005967C6"/>
    <w:rsid w:val="005A1D5D"/>
    <w:rsid w:val="005B5C64"/>
    <w:rsid w:val="005C6BD0"/>
    <w:rsid w:val="005C6C4C"/>
    <w:rsid w:val="005D1C8B"/>
    <w:rsid w:val="005D468D"/>
    <w:rsid w:val="005D5CED"/>
    <w:rsid w:val="005E1EC4"/>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087"/>
    <w:rsid w:val="0066343B"/>
    <w:rsid w:val="00664777"/>
    <w:rsid w:val="006748A4"/>
    <w:rsid w:val="00681A31"/>
    <w:rsid w:val="00683E73"/>
    <w:rsid w:val="006A0F41"/>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C5A95"/>
    <w:rsid w:val="007D1682"/>
    <w:rsid w:val="007D312A"/>
    <w:rsid w:val="007D3F19"/>
    <w:rsid w:val="007D7EFB"/>
    <w:rsid w:val="007E23B0"/>
    <w:rsid w:val="007F1991"/>
    <w:rsid w:val="007F2C2F"/>
    <w:rsid w:val="007F3524"/>
    <w:rsid w:val="007F55FC"/>
    <w:rsid w:val="007F5665"/>
    <w:rsid w:val="00800112"/>
    <w:rsid w:val="0080130A"/>
    <w:rsid w:val="00813348"/>
    <w:rsid w:val="008253BB"/>
    <w:rsid w:val="00833962"/>
    <w:rsid w:val="00834AD5"/>
    <w:rsid w:val="0083706E"/>
    <w:rsid w:val="008408F6"/>
    <w:rsid w:val="008416BA"/>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52E3"/>
    <w:rsid w:val="008E707C"/>
    <w:rsid w:val="00900B08"/>
    <w:rsid w:val="00902155"/>
    <w:rsid w:val="00902FA3"/>
    <w:rsid w:val="009153E5"/>
    <w:rsid w:val="00923564"/>
    <w:rsid w:val="0092392E"/>
    <w:rsid w:val="009315F9"/>
    <w:rsid w:val="00933499"/>
    <w:rsid w:val="00935C98"/>
    <w:rsid w:val="00946945"/>
    <w:rsid w:val="00951248"/>
    <w:rsid w:val="0095152F"/>
    <w:rsid w:val="00954C49"/>
    <w:rsid w:val="00955E37"/>
    <w:rsid w:val="0096265B"/>
    <w:rsid w:val="0097099F"/>
    <w:rsid w:val="00971997"/>
    <w:rsid w:val="00971FFC"/>
    <w:rsid w:val="0098660A"/>
    <w:rsid w:val="009931C3"/>
    <w:rsid w:val="009B0A98"/>
    <w:rsid w:val="009B2C43"/>
    <w:rsid w:val="009B4EAE"/>
    <w:rsid w:val="009B7573"/>
    <w:rsid w:val="009C057A"/>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740A"/>
    <w:rsid w:val="00A56DF2"/>
    <w:rsid w:val="00A56E6E"/>
    <w:rsid w:val="00A67AB5"/>
    <w:rsid w:val="00A733B2"/>
    <w:rsid w:val="00A741C2"/>
    <w:rsid w:val="00A91760"/>
    <w:rsid w:val="00A918EB"/>
    <w:rsid w:val="00A93B00"/>
    <w:rsid w:val="00A93C21"/>
    <w:rsid w:val="00AA37CF"/>
    <w:rsid w:val="00AB64C9"/>
    <w:rsid w:val="00AB7BE8"/>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3CE"/>
    <w:rsid w:val="00BB4DF0"/>
    <w:rsid w:val="00BC289F"/>
    <w:rsid w:val="00BC2D50"/>
    <w:rsid w:val="00BC3339"/>
    <w:rsid w:val="00BC5361"/>
    <w:rsid w:val="00BC5460"/>
    <w:rsid w:val="00BC6B50"/>
    <w:rsid w:val="00BD0E25"/>
    <w:rsid w:val="00BD42D2"/>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153AD"/>
    <w:rsid w:val="00D20620"/>
    <w:rsid w:val="00D254F7"/>
    <w:rsid w:val="00D26091"/>
    <w:rsid w:val="00D2685C"/>
    <w:rsid w:val="00D34E7C"/>
    <w:rsid w:val="00D35489"/>
    <w:rsid w:val="00D36AFE"/>
    <w:rsid w:val="00D41037"/>
    <w:rsid w:val="00D42B9D"/>
    <w:rsid w:val="00D42D8E"/>
    <w:rsid w:val="00D51276"/>
    <w:rsid w:val="00D7035F"/>
    <w:rsid w:val="00DA634F"/>
    <w:rsid w:val="00DA65AC"/>
    <w:rsid w:val="00DB1913"/>
    <w:rsid w:val="00DC410D"/>
    <w:rsid w:val="00DC5A81"/>
    <w:rsid w:val="00DC68CA"/>
    <w:rsid w:val="00DC7CBA"/>
    <w:rsid w:val="00DD65FE"/>
    <w:rsid w:val="00DD73B7"/>
    <w:rsid w:val="00DE1530"/>
    <w:rsid w:val="00DF28BC"/>
    <w:rsid w:val="00DF34B9"/>
    <w:rsid w:val="00E00307"/>
    <w:rsid w:val="00E01053"/>
    <w:rsid w:val="00E05309"/>
    <w:rsid w:val="00E07ACF"/>
    <w:rsid w:val="00E331A1"/>
    <w:rsid w:val="00E33202"/>
    <w:rsid w:val="00E336A9"/>
    <w:rsid w:val="00E46E97"/>
    <w:rsid w:val="00E472B1"/>
    <w:rsid w:val="00E50624"/>
    <w:rsid w:val="00E568DF"/>
    <w:rsid w:val="00E64269"/>
    <w:rsid w:val="00E66797"/>
    <w:rsid w:val="00E70E89"/>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05AE1"/>
    <w:rsid w:val="00F1361C"/>
    <w:rsid w:val="00F156F0"/>
    <w:rsid w:val="00F160C7"/>
    <w:rsid w:val="00F2408F"/>
    <w:rsid w:val="00F240E9"/>
    <w:rsid w:val="00F330CE"/>
    <w:rsid w:val="00F36D8F"/>
    <w:rsid w:val="00F417B1"/>
    <w:rsid w:val="00F45853"/>
    <w:rsid w:val="00F462F7"/>
    <w:rsid w:val="00F602DF"/>
    <w:rsid w:val="00F7449A"/>
    <w:rsid w:val="00F754A1"/>
    <w:rsid w:val="00F81FD9"/>
    <w:rsid w:val="00F841AA"/>
    <w:rsid w:val="00F84A94"/>
    <w:rsid w:val="00F87E96"/>
    <w:rsid w:val="00FA23E8"/>
    <w:rsid w:val="00FD3CC1"/>
    <w:rsid w:val="00FF1E02"/>
    <w:rsid w:val="00FF30B4"/>
    <w:rsid w:val="01756278"/>
    <w:rsid w:val="017C7840"/>
    <w:rsid w:val="025A5BEC"/>
    <w:rsid w:val="028E57CB"/>
    <w:rsid w:val="03871FA9"/>
    <w:rsid w:val="03E435C8"/>
    <w:rsid w:val="04023546"/>
    <w:rsid w:val="05295D1C"/>
    <w:rsid w:val="060A6DBD"/>
    <w:rsid w:val="06CF1BCA"/>
    <w:rsid w:val="06F67405"/>
    <w:rsid w:val="074C7CE6"/>
    <w:rsid w:val="07EF3627"/>
    <w:rsid w:val="0820437C"/>
    <w:rsid w:val="085F73AB"/>
    <w:rsid w:val="09254FD6"/>
    <w:rsid w:val="092E5A7A"/>
    <w:rsid w:val="0A1E7F49"/>
    <w:rsid w:val="0A252971"/>
    <w:rsid w:val="0A570BF7"/>
    <w:rsid w:val="0A71015F"/>
    <w:rsid w:val="0AAC4F82"/>
    <w:rsid w:val="0B6E5CED"/>
    <w:rsid w:val="0C362356"/>
    <w:rsid w:val="0CDB6FAA"/>
    <w:rsid w:val="0DDB0D35"/>
    <w:rsid w:val="10217902"/>
    <w:rsid w:val="10C055FF"/>
    <w:rsid w:val="10DF348C"/>
    <w:rsid w:val="113A4415"/>
    <w:rsid w:val="113D6DAD"/>
    <w:rsid w:val="114C37F8"/>
    <w:rsid w:val="11A26358"/>
    <w:rsid w:val="122868EC"/>
    <w:rsid w:val="12842D3E"/>
    <w:rsid w:val="130A1359"/>
    <w:rsid w:val="13B01608"/>
    <w:rsid w:val="13D57D9E"/>
    <w:rsid w:val="144D37D7"/>
    <w:rsid w:val="14643D5A"/>
    <w:rsid w:val="1483084A"/>
    <w:rsid w:val="14EE1FB5"/>
    <w:rsid w:val="158309F9"/>
    <w:rsid w:val="158C1C22"/>
    <w:rsid w:val="15B860A0"/>
    <w:rsid w:val="168155AE"/>
    <w:rsid w:val="16BB723D"/>
    <w:rsid w:val="16C866E4"/>
    <w:rsid w:val="174553A4"/>
    <w:rsid w:val="17831D92"/>
    <w:rsid w:val="178559D1"/>
    <w:rsid w:val="17AA4AF6"/>
    <w:rsid w:val="18150C3D"/>
    <w:rsid w:val="18764299"/>
    <w:rsid w:val="18AD7E5C"/>
    <w:rsid w:val="18B0133B"/>
    <w:rsid w:val="18FC52A7"/>
    <w:rsid w:val="19351CD2"/>
    <w:rsid w:val="19791440"/>
    <w:rsid w:val="1A3126AE"/>
    <w:rsid w:val="1A9E7B19"/>
    <w:rsid w:val="1B0E5268"/>
    <w:rsid w:val="1B206009"/>
    <w:rsid w:val="1C2154F8"/>
    <w:rsid w:val="1CA655E4"/>
    <w:rsid w:val="1CF218AC"/>
    <w:rsid w:val="1CFA32DE"/>
    <w:rsid w:val="1DBB4F12"/>
    <w:rsid w:val="1DD36638"/>
    <w:rsid w:val="1DE6144C"/>
    <w:rsid w:val="1ED97629"/>
    <w:rsid w:val="1EF06917"/>
    <w:rsid w:val="1F2D7E4A"/>
    <w:rsid w:val="209D5BB1"/>
    <w:rsid w:val="20B41340"/>
    <w:rsid w:val="20FD6CA0"/>
    <w:rsid w:val="21315BF7"/>
    <w:rsid w:val="21A06E23"/>
    <w:rsid w:val="21A93A0F"/>
    <w:rsid w:val="21C5288A"/>
    <w:rsid w:val="21D00AB2"/>
    <w:rsid w:val="220B3D93"/>
    <w:rsid w:val="22773D01"/>
    <w:rsid w:val="22D81A85"/>
    <w:rsid w:val="23216D63"/>
    <w:rsid w:val="23DD4268"/>
    <w:rsid w:val="24031F07"/>
    <w:rsid w:val="240371BF"/>
    <w:rsid w:val="24A170B2"/>
    <w:rsid w:val="24D07639"/>
    <w:rsid w:val="24DF2BF4"/>
    <w:rsid w:val="255903DD"/>
    <w:rsid w:val="26B96E16"/>
    <w:rsid w:val="27A66BA2"/>
    <w:rsid w:val="29FD04D3"/>
    <w:rsid w:val="2A5E3D6D"/>
    <w:rsid w:val="2AA05D56"/>
    <w:rsid w:val="2B523AF5"/>
    <w:rsid w:val="2BBC59BA"/>
    <w:rsid w:val="2C4F2E92"/>
    <w:rsid w:val="2D735491"/>
    <w:rsid w:val="2DB00CAB"/>
    <w:rsid w:val="2F686644"/>
    <w:rsid w:val="2F7D5D8F"/>
    <w:rsid w:val="304C21B4"/>
    <w:rsid w:val="315C7FC1"/>
    <w:rsid w:val="3195453E"/>
    <w:rsid w:val="31995EBC"/>
    <w:rsid w:val="319F7F4E"/>
    <w:rsid w:val="31A55DA1"/>
    <w:rsid w:val="31CE030C"/>
    <w:rsid w:val="323E4083"/>
    <w:rsid w:val="32880EA1"/>
    <w:rsid w:val="32F82AFC"/>
    <w:rsid w:val="332237AE"/>
    <w:rsid w:val="33546536"/>
    <w:rsid w:val="33E71381"/>
    <w:rsid w:val="34223D7E"/>
    <w:rsid w:val="350A5D64"/>
    <w:rsid w:val="35310DEE"/>
    <w:rsid w:val="35D21A63"/>
    <w:rsid w:val="35E829F6"/>
    <w:rsid w:val="35EA23A4"/>
    <w:rsid w:val="36195A99"/>
    <w:rsid w:val="376A49AA"/>
    <w:rsid w:val="37811A14"/>
    <w:rsid w:val="37B924EC"/>
    <w:rsid w:val="384772B2"/>
    <w:rsid w:val="395B3167"/>
    <w:rsid w:val="39AE00AC"/>
    <w:rsid w:val="39D4535A"/>
    <w:rsid w:val="3A3034C0"/>
    <w:rsid w:val="3AFF2CF6"/>
    <w:rsid w:val="3B8D758D"/>
    <w:rsid w:val="3D7D4F5F"/>
    <w:rsid w:val="3D832865"/>
    <w:rsid w:val="3DA10EA4"/>
    <w:rsid w:val="3E720C9F"/>
    <w:rsid w:val="3EA9223D"/>
    <w:rsid w:val="3EAB4251"/>
    <w:rsid w:val="3F0E6781"/>
    <w:rsid w:val="3F6A5C14"/>
    <w:rsid w:val="3F9766DE"/>
    <w:rsid w:val="40280B69"/>
    <w:rsid w:val="43452FEF"/>
    <w:rsid w:val="43BD508F"/>
    <w:rsid w:val="43F426C2"/>
    <w:rsid w:val="442C4FA8"/>
    <w:rsid w:val="453C54D5"/>
    <w:rsid w:val="455F53B8"/>
    <w:rsid w:val="45E8026C"/>
    <w:rsid w:val="46041A9F"/>
    <w:rsid w:val="46244B95"/>
    <w:rsid w:val="483156AF"/>
    <w:rsid w:val="48780856"/>
    <w:rsid w:val="48BB20B2"/>
    <w:rsid w:val="49347273"/>
    <w:rsid w:val="49E93943"/>
    <w:rsid w:val="4A72769E"/>
    <w:rsid w:val="4AFF1D09"/>
    <w:rsid w:val="4C764FC9"/>
    <w:rsid w:val="4CE5123B"/>
    <w:rsid w:val="4CFF5817"/>
    <w:rsid w:val="4D7250AE"/>
    <w:rsid w:val="4DA235A3"/>
    <w:rsid w:val="4E061F90"/>
    <w:rsid w:val="4ECE2238"/>
    <w:rsid w:val="4FD569A3"/>
    <w:rsid w:val="506E6DF3"/>
    <w:rsid w:val="51857280"/>
    <w:rsid w:val="51A764CB"/>
    <w:rsid w:val="521D440C"/>
    <w:rsid w:val="521F1D24"/>
    <w:rsid w:val="52603224"/>
    <w:rsid w:val="52A42F98"/>
    <w:rsid w:val="52C048A9"/>
    <w:rsid w:val="52F82784"/>
    <w:rsid w:val="53D47AFF"/>
    <w:rsid w:val="53DE1C04"/>
    <w:rsid w:val="542C4EB7"/>
    <w:rsid w:val="545318C4"/>
    <w:rsid w:val="55CA5F57"/>
    <w:rsid w:val="55E54078"/>
    <w:rsid w:val="564F2401"/>
    <w:rsid w:val="56787417"/>
    <w:rsid w:val="569E2AF2"/>
    <w:rsid w:val="56DB5B57"/>
    <w:rsid w:val="58D335E8"/>
    <w:rsid w:val="58DC5DB4"/>
    <w:rsid w:val="58FD1A48"/>
    <w:rsid w:val="593008EE"/>
    <w:rsid w:val="5A0117A6"/>
    <w:rsid w:val="5B561DFD"/>
    <w:rsid w:val="5C6D6CC7"/>
    <w:rsid w:val="5C6E2EAE"/>
    <w:rsid w:val="5C833B56"/>
    <w:rsid w:val="5DAF7500"/>
    <w:rsid w:val="5DE12058"/>
    <w:rsid w:val="5EFE05D7"/>
    <w:rsid w:val="60332A63"/>
    <w:rsid w:val="604C6143"/>
    <w:rsid w:val="618364FF"/>
    <w:rsid w:val="62272C16"/>
    <w:rsid w:val="62FB275C"/>
    <w:rsid w:val="634F6738"/>
    <w:rsid w:val="643E6AE2"/>
    <w:rsid w:val="64741BE5"/>
    <w:rsid w:val="64956526"/>
    <w:rsid w:val="64CE4C6D"/>
    <w:rsid w:val="64DA649C"/>
    <w:rsid w:val="6512568C"/>
    <w:rsid w:val="65326B6A"/>
    <w:rsid w:val="65FD3CCD"/>
    <w:rsid w:val="6680488E"/>
    <w:rsid w:val="66E21F1A"/>
    <w:rsid w:val="67106406"/>
    <w:rsid w:val="67787072"/>
    <w:rsid w:val="67985447"/>
    <w:rsid w:val="67A512A7"/>
    <w:rsid w:val="67AD7C01"/>
    <w:rsid w:val="680F0E34"/>
    <w:rsid w:val="68273FF7"/>
    <w:rsid w:val="68602BEB"/>
    <w:rsid w:val="68920241"/>
    <w:rsid w:val="69A97A36"/>
    <w:rsid w:val="6AB005BA"/>
    <w:rsid w:val="6B775511"/>
    <w:rsid w:val="6C39101B"/>
    <w:rsid w:val="6C796AAA"/>
    <w:rsid w:val="6D7C54E2"/>
    <w:rsid w:val="6E425CA5"/>
    <w:rsid w:val="70993541"/>
    <w:rsid w:val="70B05D26"/>
    <w:rsid w:val="70CE2DB1"/>
    <w:rsid w:val="72734D90"/>
    <w:rsid w:val="727F15D8"/>
    <w:rsid w:val="7323254A"/>
    <w:rsid w:val="739D01C6"/>
    <w:rsid w:val="73D05578"/>
    <w:rsid w:val="73FB5374"/>
    <w:rsid w:val="74364910"/>
    <w:rsid w:val="74AC7EB8"/>
    <w:rsid w:val="752312E0"/>
    <w:rsid w:val="759D23FC"/>
    <w:rsid w:val="75B93CE7"/>
    <w:rsid w:val="75E46866"/>
    <w:rsid w:val="75F214F8"/>
    <w:rsid w:val="761D603E"/>
    <w:rsid w:val="763724A4"/>
    <w:rsid w:val="76687857"/>
    <w:rsid w:val="77360486"/>
    <w:rsid w:val="77977106"/>
    <w:rsid w:val="781973D4"/>
    <w:rsid w:val="788120C8"/>
    <w:rsid w:val="794C7D62"/>
    <w:rsid w:val="79CD7990"/>
    <w:rsid w:val="7A933B62"/>
    <w:rsid w:val="7B2A3D7E"/>
    <w:rsid w:val="7B6F410F"/>
    <w:rsid w:val="7BF36740"/>
    <w:rsid w:val="7C7B1912"/>
    <w:rsid w:val="7CDD0E05"/>
    <w:rsid w:val="7D5A2748"/>
    <w:rsid w:val="7D8A20F9"/>
    <w:rsid w:val="7E9D1BF9"/>
    <w:rsid w:val="7F8B74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Document Map"/>
    <w:basedOn w:val="1"/>
    <w:link w:val="52"/>
    <w:semiHidden/>
    <w:unhideWhenUsed/>
    <w:qFormat/>
    <w:uiPriority w:val="99"/>
    <w:rPr>
      <w:rFonts w:ascii="宋体"/>
      <w:sz w:val="18"/>
      <w:szCs w:val="18"/>
    </w:rPr>
  </w:style>
  <w:style w:type="paragraph" w:styleId="8">
    <w:name w:val="annotation text"/>
    <w:basedOn w:val="1"/>
    <w:qFormat/>
    <w:uiPriority w:val="0"/>
    <w:pPr>
      <w:jc w:val="left"/>
    </w:pPr>
    <w:rPr>
      <w:rFonts w:ascii="Times New Roman" w:hAnsi="Times New Roman"/>
    </w:rPr>
  </w:style>
  <w:style w:type="paragraph" w:styleId="9">
    <w:name w:val="Salutation"/>
    <w:basedOn w:val="1"/>
    <w:next w:val="1"/>
    <w:link w:val="63"/>
    <w:qFormat/>
    <w:uiPriority w:val="0"/>
    <w:pPr>
      <w:textAlignment w:val="baseline"/>
    </w:pPr>
    <w:rPr>
      <w:szCs w:val="22"/>
    </w:rPr>
  </w:style>
  <w:style w:type="paragraph" w:styleId="10">
    <w:name w:val="Body Text"/>
    <w:basedOn w:val="1"/>
    <w:next w:val="1"/>
    <w:link w:val="34"/>
    <w:qFormat/>
    <w:uiPriority w:val="99"/>
    <w:pPr>
      <w:spacing w:beforeLines="30"/>
    </w:pPr>
    <w:rPr>
      <w:rFonts w:ascii="仿宋_GB2312" w:eastAsia="仿宋_GB2312"/>
      <w:kern w:val="0"/>
      <w:sz w:val="30"/>
    </w:rPr>
  </w:style>
  <w:style w:type="paragraph" w:styleId="11">
    <w:name w:val="Body Text Indent"/>
    <w:basedOn w:val="1"/>
    <w:qFormat/>
    <w:uiPriority w:val="0"/>
    <w:pPr>
      <w:ind w:left="420" w:leftChars="200"/>
    </w:pPr>
  </w:style>
  <w:style w:type="paragraph" w:styleId="12">
    <w:name w:val="toc 3"/>
    <w:basedOn w:val="1"/>
    <w:next w:val="1"/>
    <w:unhideWhenUsed/>
    <w:qFormat/>
    <w:uiPriority w:val="39"/>
    <w:pPr>
      <w:tabs>
        <w:tab w:val="right" w:leader="dot" w:pos="8296"/>
      </w:tabs>
      <w:ind w:left="840" w:leftChars="400"/>
    </w:pPr>
  </w:style>
  <w:style w:type="paragraph" w:styleId="13">
    <w:name w:val="Plain Text"/>
    <w:basedOn w:val="1"/>
    <w:link w:val="60"/>
    <w:semiHidden/>
    <w:unhideWhenUsed/>
    <w:qFormat/>
    <w:uiPriority w:val="99"/>
    <w:rPr>
      <w:rFonts w:ascii="宋体" w:hAnsi="Courier New"/>
    </w:rPr>
  </w:style>
  <w:style w:type="paragraph" w:styleId="14">
    <w:name w:val="Balloon Text"/>
    <w:basedOn w:val="1"/>
    <w:link w:val="40"/>
    <w:semiHidden/>
    <w:unhideWhenUsed/>
    <w:qFormat/>
    <w:uiPriority w:val="99"/>
    <w:rPr>
      <w:sz w:val="18"/>
      <w:szCs w:val="18"/>
    </w:rPr>
  </w:style>
  <w:style w:type="paragraph" w:styleId="15">
    <w:name w:val="footer"/>
    <w:basedOn w:val="1"/>
    <w:link w:val="61"/>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6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8">
    <w:name w:val="table of figures"/>
    <w:basedOn w:val="1"/>
    <w:next w:val="1"/>
    <w:semiHidden/>
    <w:unhideWhenUsed/>
    <w:qFormat/>
    <w:uiPriority w:val="99"/>
    <w:pPr>
      <w:keepNext w:val="0"/>
      <w:keepLines w:val="0"/>
      <w:widowControl w:val="0"/>
      <w:suppressLineNumbers w:val="0"/>
      <w:spacing w:before="0" w:beforeAutospacing="0" w:after="0" w:afterAutospacing="0"/>
      <w:ind w:left="0" w:leftChars="200" w:right="0" w:hanging="200" w:hangingChars="200"/>
      <w:jc w:val="both"/>
    </w:pPr>
    <w:rPr>
      <w:rFonts w:hint="default" w:ascii="Times New Roman" w:hAnsi="Times New Roman" w:eastAsia="宋体" w:cs="Times New Roman"/>
      <w:kern w:val="2"/>
      <w:sz w:val="21"/>
      <w:szCs w:val="24"/>
      <w:lang w:val="en-US" w:eastAsia="zh-CN" w:bidi="ar"/>
    </w:rPr>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Body Text First Indent"/>
    <w:basedOn w:val="10"/>
    <w:qFormat/>
    <w:uiPriority w:val="99"/>
    <w:pPr>
      <w:spacing w:after="0"/>
      <w:ind w:firstLine="420" w:firstLineChars="100"/>
    </w:pPr>
  </w:style>
  <w:style w:type="paragraph" w:styleId="22">
    <w:name w:val="Body Text First Indent 2"/>
    <w:basedOn w:val="11"/>
    <w:next w:val="1"/>
    <w:qFormat/>
    <w:uiPriority w:val="0"/>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hint="default" w:ascii="Times New Roman" w:hAnsi="Times New Roman" w:cs="Times New Roman"/>
      <w:b/>
    </w:rPr>
  </w:style>
  <w:style w:type="character" w:styleId="27">
    <w:name w:val="Emphasis"/>
    <w:basedOn w:val="25"/>
    <w:qFormat/>
    <w:uiPriority w:val="20"/>
    <w:rPr>
      <w:i/>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customStyle="1" w:styleId="29">
    <w:name w:val="Header Char"/>
    <w:basedOn w:val="25"/>
    <w:semiHidden/>
    <w:qFormat/>
    <w:uiPriority w:val="99"/>
    <w:rPr>
      <w:rFonts w:ascii="Times New Roman" w:hAnsi="Times New Roman"/>
      <w:sz w:val="18"/>
      <w:szCs w:val="18"/>
    </w:rPr>
  </w:style>
  <w:style w:type="character" w:customStyle="1" w:styleId="30">
    <w:name w:val="页眉 Char"/>
    <w:link w:val="16"/>
    <w:semiHidden/>
    <w:qFormat/>
    <w:locked/>
    <w:uiPriority w:val="99"/>
    <w:rPr>
      <w:sz w:val="18"/>
    </w:rPr>
  </w:style>
  <w:style w:type="character" w:customStyle="1" w:styleId="31">
    <w:name w:val="Footer Char"/>
    <w:basedOn w:val="25"/>
    <w:semiHidden/>
    <w:qFormat/>
    <w:uiPriority w:val="99"/>
    <w:rPr>
      <w:rFonts w:ascii="Times New Roman" w:hAnsi="Times New Roman"/>
      <w:sz w:val="18"/>
      <w:szCs w:val="18"/>
    </w:rPr>
  </w:style>
  <w:style w:type="character" w:customStyle="1" w:styleId="32">
    <w:name w:val="页脚 Char"/>
    <w:link w:val="15"/>
    <w:qFormat/>
    <w:locked/>
    <w:uiPriority w:val="99"/>
    <w:rPr>
      <w:sz w:val="18"/>
    </w:rPr>
  </w:style>
  <w:style w:type="character" w:customStyle="1" w:styleId="33">
    <w:name w:val="Body Text Char"/>
    <w:basedOn w:val="25"/>
    <w:semiHidden/>
    <w:qFormat/>
    <w:uiPriority w:val="99"/>
    <w:rPr>
      <w:rFonts w:ascii="Times New Roman" w:hAnsi="Times New Roman"/>
      <w:szCs w:val="24"/>
    </w:rPr>
  </w:style>
  <w:style w:type="character" w:customStyle="1" w:styleId="34">
    <w:name w:val="正文文本 Char"/>
    <w:link w:val="10"/>
    <w:qFormat/>
    <w:locked/>
    <w:uiPriority w:val="99"/>
    <w:rPr>
      <w:rFonts w:ascii="仿宋_GB2312" w:hAnsi="Times New Roman" w:eastAsia="仿宋_GB2312"/>
      <w:sz w:val="24"/>
    </w:rPr>
  </w:style>
  <w:style w:type="paragraph" w:customStyle="1" w:styleId="3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6">
    <w:name w:val="List Paragraph"/>
    <w:basedOn w:val="1"/>
    <w:qFormat/>
    <w:uiPriority w:val="34"/>
    <w:pPr>
      <w:ind w:firstLine="420" w:firstLineChars="200"/>
    </w:pPr>
  </w:style>
  <w:style w:type="character" w:customStyle="1" w:styleId="37">
    <w:name w:val="标题 1 Char"/>
    <w:basedOn w:val="25"/>
    <w:link w:val="4"/>
    <w:qFormat/>
    <w:uiPriority w:val="9"/>
    <w:rPr>
      <w:rFonts w:ascii="Times New Roman" w:hAnsi="Times New Roman"/>
      <w:b/>
      <w:bCs/>
      <w:kern w:val="44"/>
      <w:sz w:val="44"/>
      <w:szCs w:val="44"/>
    </w:rPr>
  </w:style>
  <w:style w:type="character" w:customStyle="1" w:styleId="38">
    <w:name w:val="标题 2 Char"/>
    <w:basedOn w:val="25"/>
    <w:link w:val="5"/>
    <w:qFormat/>
    <w:uiPriority w:val="9"/>
    <w:rPr>
      <w:rFonts w:asciiTheme="majorHAnsi" w:hAnsiTheme="majorHAnsi" w:eastAsiaTheme="majorEastAsia" w:cstheme="majorBidi"/>
      <w:b/>
      <w:bCs/>
      <w:kern w:val="2"/>
      <w:sz w:val="32"/>
      <w:szCs w:val="32"/>
    </w:rPr>
  </w:style>
  <w:style w:type="paragraph" w:customStyle="1" w:styleId="3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批注框文本 Char"/>
    <w:basedOn w:val="25"/>
    <w:link w:val="14"/>
    <w:semiHidden/>
    <w:qFormat/>
    <w:uiPriority w:val="99"/>
    <w:rPr>
      <w:rFonts w:ascii="Times New Roman" w:hAnsi="Times New Roman"/>
      <w:kern w:val="2"/>
      <w:sz w:val="18"/>
      <w:szCs w:val="18"/>
    </w:rPr>
  </w:style>
  <w:style w:type="character" w:customStyle="1" w:styleId="41">
    <w:name w:val="标题 3 Char"/>
    <w:basedOn w:val="25"/>
    <w:link w:val="6"/>
    <w:qFormat/>
    <w:uiPriority w:val="9"/>
    <w:rPr>
      <w:rFonts w:ascii="Times New Roman" w:hAnsi="Times New Roman"/>
      <w:b/>
      <w:bCs/>
      <w:kern w:val="2"/>
      <w:sz w:val="32"/>
      <w:szCs w:val="32"/>
    </w:rPr>
  </w:style>
  <w:style w:type="paragraph" w:customStyle="1" w:styleId="4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3">
    <w:name w:val="普通(网站)1"/>
    <w:basedOn w:val="1"/>
    <w:qFormat/>
    <w:uiPriority w:val="0"/>
    <w:pPr>
      <w:spacing w:before="100" w:beforeAutospacing="1" w:after="100" w:afterAutospacing="1"/>
    </w:pPr>
  </w:style>
  <w:style w:type="character" w:customStyle="1" w:styleId="44">
    <w:name w:val="标题 2 Char1"/>
    <w:basedOn w:val="25"/>
    <w:link w:val="5"/>
    <w:qFormat/>
    <w:locked/>
    <w:uiPriority w:val="99"/>
    <w:rPr>
      <w:rFonts w:ascii="Cambria" w:hAnsi="Cambria" w:eastAsia="宋体" w:cs="Times New Roman"/>
      <w:b/>
      <w:bCs/>
      <w:kern w:val="2"/>
      <w:sz w:val="32"/>
      <w:szCs w:val="32"/>
    </w:rPr>
  </w:style>
  <w:style w:type="character" w:customStyle="1" w:styleId="45">
    <w:name w:val="font71"/>
    <w:basedOn w:val="25"/>
    <w:qFormat/>
    <w:uiPriority w:val="0"/>
    <w:rPr>
      <w:rFonts w:hint="eastAsia" w:ascii="宋体" w:hAnsi="宋体" w:eastAsia="宋体" w:cs="宋体"/>
      <w:color w:val="000000"/>
      <w:sz w:val="20"/>
      <w:szCs w:val="20"/>
      <w:u w:val="none"/>
    </w:rPr>
  </w:style>
  <w:style w:type="character" w:customStyle="1" w:styleId="46">
    <w:name w:val="font91"/>
    <w:basedOn w:val="25"/>
    <w:qFormat/>
    <w:uiPriority w:val="0"/>
    <w:rPr>
      <w:rFonts w:hint="eastAsia" w:ascii="宋体" w:hAnsi="宋体" w:eastAsia="宋体" w:cs="宋体"/>
      <w:b/>
      <w:color w:val="000000"/>
      <w:sz w:val="20"/>
      <w:szCs w:val="20"/>
      <w:u w:val="none"/>
    </w:rPr>
  </w:style>
  <w:style w:type="character" w:customStyle="1" w:styleId="47">
    <w:name w:val="font11"/>
    <w:basedOn w:val="25"/>
    <w:qFormat/>
    <w:uiPriority w:val="0"/>
    <w:rPr>
      <w:rFonts w:hint="eastAsia" w:ascii="宋体" w:hAnsi="宋体" w:eastAsia="宋体" w:cs="宋体"/>
      <w:color w:val="000000"/>
      <w:sz w:val="20"/>
      <w:szCs w:val="20"/>
      <w:u w:val="none"/>
    </w:rPr>
  </w:style>
  <w:style w:type="character" w:customStyle="1" w:styleId="48">
    <w:name w:val="font31"/>
    <w:basedOn w:val="25"/>
    <w:qFormat/>
    <w:uiPriority w:val="0"/>
    <w:rPr>
      <w:rFonts w:hint="eastAsia" w:ascii="宋体" w:hAnsi="宋体" w:eastAsia="宋体" w:cs="宋体"/>
      <w:color w:val="000000"/>
      <w:sz w:val="20"/>
      <w:szCs w:val="20"/>
      <w:u w:val="none"/>
    </w:rPr>
  </w:style>
  <w:style w:type="character" w:customStyle="1" w:styleId="49">
    <w:name w:val="font61"/>
    <w:basedOn w:val="25"/>
    <w:qFormat/>
    <w:uiPriority w:val="0"/>
    <w:rPr>
      <w:rFonts w:hint="eastAsia" w:ascii="宋体" w:hAnsi="宋体" w:eastAsia="宋体" w:cs="宋体"/>
      <w:color w:val="000000"/>
      <w:sz w:val="20"/>
      <w:szCs w:val="20"/>
      <w:u w:val="none"/>
    </w:rPr>
  </w:style>
  <w:style w:type="character" w:customStyle="1" w:styleId="50">
    <w:name w:val="font81"/>
    <w:basedOn w:val="25"/>
    <w:qFormat/>
    <w:uiPriority w:val="0"/>
    <w:rPr>
      <w:rFonts w:hint="eastAsia" w:ascii="宋体" w:hAnsi="宋体" w:eastAsia="宋体" w:cs="宋体"/>
      <w:b/>
      <w:color w:val="000000"/>
      <w:sz w:val="20"/>
      <w:szCs w:val="20"/>
      <w:u w:val="none"/>
    </w:rPr>
  </w:style>
  <w:style w:type="character" w:customStyle="1" w:styleId="51">
    <w:name w:val="font21"/>
    <w:basedOn w:val="25"/>
    <w:qFormat/>
    <w:uiPriority w:val="0"/>
    <w:rPr>
      <w:rFonts w:hint="eastAsia" w:ascii="宋体" w:hAnsi="宋体" w:eastAsia="宋体" w:cs="宋体"/>
      <w:color w:val="000000"/>
      <w:sz w:val="20"/>
      <w:szCs w:val="20"/>
      <w:u w:val="none"/>
    </w:rPr>
  </w:style>
  <w:style w:type="character" w:customStyle="1" w:styleId="52">
    <w:name w:val="文档结构图 Char"/>
    <w:basedOn w:val="25"/>
    <w:link w:val="7"/>
    <w:semiHidden/>
    <w:qFormat/>
    <w:uiPriority w:val="99"/>
    <w:rPr>
      <w:rFonts w:ascii="宋体" w:hAnsi="Times New Roman" w:eastAsia="宋体" w:cs="Times New Roman"/>
      <w:kern w:val="2"/>
      <w:sz w:val="18"/>
      <w:szCs w:val="18"/>
    </w:rPr>
  </w:style>
  <w:style w:type="character" w:customStyle="1" w:styleId="53">
    <w:name w:val="font131"/>
    <w:basedOn w:val="25"/>
    <w:qFormat/>
    <w:uiPriority w:val="0"/>
    <w:rPr>
      <w:rFonts w:hint="eastAsia" w:ascii="宋体" w:hAnsi="宋体" w:eastAsia="宋体" w:cs="宋体"/>
      <w:color w:val="FF0000"/>
      <w:sz w:val="20"/>
      <w:szCs w:val="20"/>
      <w:u w:val="none"/>
    </w:rPr>
  </w:style>
  <w:style w:type="character" w:customStyle="1" w:styleId="54">
    <w:name w:val="font112"/>
    <w:basedOn w:val="25"/>
    <w:qFormat/>
    <w:uiPriority w:val="0"/>
    <w:rPr>
      <w:rFonts w:hint="eastAsia" w:ascii="宋体" w:hAnsi="宋体" w:eastAsia="宋体" w:cs="宋体"/>
      <w:color w:val="000000"/>
      <w:sz w:val="20"/>
      <w:szCs w:val="20"/>
      <w:u w:val="none"/>
    </w:rPr>
  </w:style>
  <w:style w:type="character" w:customStyle="1" w:styleId="55">
    <w:name w:val="font01"/>
    <w:basedOn w:val="25"/>
    <w:qFormat/>
    <w:uiPriority w:val="0"/>
    <w:rPr>
      <w:rFonts w:hint="eastAsia" w:ascii="宋体" w:hAnsi="宋体" w:eastAsia="宋体" w:cs="宋体"/>
      <w:color w:val="000000"/>
      <w:sz w:val="22"/>
      <w:szCs w:val="22"/>
      <w:u w:val="none"/>
    </w:rPr>
  </w:style>
  <w:style w:type="character" w:customStyle="1" w:styleId="56">
    <w:name w:val="font151"/>
    <w:basedOn w:val="25"/>
    <w:qFormat/>
    <w:uiPriority w:val="0"/>
    <w:rPr>
      <w:rFonts w:hint="eastAsia" w:ascii="宋体" w:hAnsi="宋体" w:eastAsia="宋体" w:cs="宋体"/>
      <w:color w:val="000000"/>
      <w:sz w:val="22"/>
      <w:szCs w:val="22"/>
      <w:u w:val="none"/>
    </w:rPr>
  </w:style>
  <w:style w:type="character" w:customStyle="1" w:styleId="57">
    <w:name w:val="font41"/>
    <w:basedOn w:val="25"/>
    <w:qFormat/>
    <w:uiPriority w:val="0"/>
    <w:rPr>
      <w:rFonts w:hint="eastAsia" w:ascii="宋体" w:hAnsi="宋体" w:eastAsia="宋体" w:cs="宋体"/>
      <w:color w:val="000000"/>
      <w:sz w:val="20"/>
      <w:szCs w:val="20"/>
      <w:u w:val="none"/>
    </w:rPr>
  </w:style>
  <w:style w:type="character" w:customStyle="1" w:styleId="58">
    <w:name w:val="font51"/>
    <w:basedOn w:val="25"/>
    <w:qFormat/>
    <w:uiPriority w:val="0"/>
    <w:rPr>
      <w:rFonts w:hint="eastAsia" w:ascii="宋体" w:hAnsi="宋体" w:eastAsia="宋体" w:cs="宋体"/>
      <w:color w:val="auto"/>
      <w:sz w:val="20"/>
      <w:szCs w:val="20"/>
      <w:u w:val="none"/>
    </w:rPr>
  </w:style>
  <w:style w:type="character" w:customStyle="1" w:styleId="59">
    <w:name w:val="15"/>
    <w:basedOn w:val="25"/>
    <w:qFormat/>
    <w:uiPriority w:val="0"/>
    <w:rPr>
      <w:rFonts w:hint="default" w:ascii="Times New Roman" w:hAnsi="Times New Roman" w:cs="Times New Roman"/>
      <w:b/>
      <w:bCs/>
    </w:rPr>
  </w:style>
  <w:style w:type="character" w:customStyle="1" w:styleId="60">
    <w:name w:val="纯文本 Char"/>
    <w:basedOn w:val="25"/>
    <w:link w:val="13"/>
    <w:qFormat/>
    <w:uiPriority w:val="0"/>
    <w:rPr>
      <w:rFonts w:hint="eastAsia" w:ascii="宋体" w:hAnsi="Courier New" w:eastAsia="宋体" w:cs="Courier New"/>
      <w:kern w:val="2"/>
      <w:sz w:val="21"/>
      <w:szCs w:val="21"/>
    </w:rPr>
  </w:style>
  <w:style w:type="character" w:customStyle="1" w:styleId="61">
    <w:name w:val="页脚 Char1"/>
    <w:basedOn w:val="25"/>
    <w:link w:val="15"/>
    <w:qFormat/>
    <w:uiPriority w:val="0"/>
    <w:rPr>
      <w:kern w:val="2"/>
      <w:sz w:val="18"/>
      <w:szCs w:val="18"/>
    </w:rPr>
  </w:style>
  <w:style w:type="character" w:customStyle="1" w:styleId="62">
    <w:name w:val="页眉 Char1"/>
    <w:basedOn w:val="25"/>
    <w:link w:val="16"/>
    <w:qFormat/>
    <w:uiPriority w:val="0"/>
    <w:rPr>
      <w:kern w:val="2"/>
      <w:sz w:val="18"/>
      <w:szCs w:val="18"/>
    </w:rPr>
  </w:style>
  <w:style w:type="character" w:customStyle="1" w:styleId="63">
    <w:name w:val="称呼 Char"/>
    <w:basedOn w:val="25"/>
    <w:link w:val="9"/>
    <w:qFormat/>
    <w:uiPriority w:val="0"/>
    <w:rPr>
      <w:kern w:val="2"/>
      <w:sz w:val="21"/>
      <w:szCs w:val="24"/>
    </w:rPr>
  </w:style>
  <w:style w:type="paragraph" w:customStyle="1" w:styleId="64">
    <w:name w:val="常用样式（方正仿宋简）"/>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Times New Roman" w:hAnsi="Times New Roman" w:eastAsia="方正仿宋简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收、支决算总计变动情况图</a:t>
            </a:r>
            <a:r>
              <a:rPr lang="en-US" altLang="zh-CN"/>
              <a:t>                 </a:t>
            </a:r>
            <a:r>
              <a:t>（单位：万元）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'[画图工具（行政审批局).xlsx]收支总计'!$B$1</c:f>
              <c:strCache>
                <c:ptCount val="1"/>
                <c:pt idx="0">
                  <c:v>收入决算数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2020年</c:v>
                </c:pt>
                <c:pt idx="1">
                  <c:v>2021年</c:v>
                </c:pt>
                <c:pt idx="2">
                  <c:v>2020年</c:v>
                </c:pt>
                <c:pt idx="3">
                  <c:v>2021年</c:v>
                </c:pt>
              </c:strCache>
            </c:strRef>
          </c:cat>
          <c:val>
            <c:numRef>
              <c:f>'[画图工具（行政审批局).xlsx]收支总计'!$B$2:$B$6</c:f>
              <c:numCache>
                <c:formatCode>General</c:formatCode>
                <c:ptCount val="5"/>
                <c:pt idx="0">
                  <c:v>2101.24</c:v>
                </c:pt>
                <c:pt idx="1">
                  <c:v>1036.9</c:v>
                </c:pt>
              </c:numCache>
            </c:numRef>
          </c:val>
        </c:ser>
        <c:ser>
          <c:idx val="1"/>
          <c:order val="1"/>
          <c:tx>
            <c:strRef>
              <c:f>'[画图工具（行政审批局).xlsx]收支总计'!$C$1</c:f>
              <c:strCache>
                <c:ptCount val="1"/>
                <c:pt idx="0">
                  <c:v>支出决算数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2020年</c:v>
                </c:pt>
                <c:pt idx="1">
                  <c:v>2021年</c:v>
                </c:pt>
                <c:pt idx="2">
                  <c:v>2020年</c:v>
                </c:pt>
                <c:pt idx="3">
                  <c:v>2021年</c:v>
                </c:pt>
              </c:strCache>
            </c:strRef>
          </c:cat>
          <c:val>
            <c:numRef>
              <c:f>'[画图工具（行政审批局).xlsx]收支总计'!$C$2:$C$6</c:f>
              <c:numCache>
                <c:formatCode>General</c:formatCode>
                <c:ptCount val="5"/>
                <c:pt idx="2">
                  <c:v>1484.57</c:v>
                </c:pt>
                <c:pt idx="3">
                  <c:v>1036.9</c:v>
                </c:pt>
              </c:numCache>
            </c:numRef>
          </c:val>
        </c:ser>
        <c:ser>
          <c:idx val="2"/>
          <c:order val="2"/>
          <c:tx>
            <c:strRef>
              <c:f>'[画图工具（行政审批局).xlsx]收支总计'!$D$1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'[画图工具（行政审批局).xlsx]收支总计'!$A$2:$A$6</c:f>
              <c:strCache>
                <c:ptCount val="5"/>
                <c:pt idx="0">
                  <c:v>2020年</c:v>
                </c:pt>
                <c:pt idx="1">
                  <c:v>2021年</c:v>
                </c:pt>
                <c:pt idx="2">
                  <c:v>2020年</c:v>
                </c:pt>
                <c:pt idx="3">
                  <c:v>2021年</c:v>
                </c:pt>
              </c:strCache>
            </c:strRef>
          </c:cat>
          <c:val>
            <c:numRef>
              <c:f>'[画图工具（行政审批局).xlsx]收支总计'!$D$2:$D$6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'[画图工具（行政审批局).xlsx]总收入'!$B$1</c:f>
              <c:strCache>
                <c:ptCount val="1"/>
                <c:pt idx="0">
                  <c:v>收入决算结构（单位：万元）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Lbls>
            <c:spPr>
              <a:solidFill>
                <a:schemeClr val="accent2"/>
              </a:solid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'[画图工具（行政审批局).xlsx]总收入'!$A$2:$A$3</c:f>
              <c:strCache>
                <c:ptCount val="2"/>
                <c:pt idx="0">
                  <c:v>一般公共预算财政拨款收入</c:v>
                </c:pt>
                <c:pt idx="1">
                  <c:v>其他收入</c:v>
                </c:pt>
              </c:strCache>
            </c:strRef>
          </c:cat>
          <c:val>
            <c:numRef>
              <c:f>'[画图工具（行政审批局).xlsx]总收入'!$B$2:$B$3</c:f>
              <c:numCache>
                <c:formatCode>0.00_);\(0.00\)</c:formatCode>
                <c:ptCount val="2"/>
                <c:pt idx="0">
                  <c:v>424.05</c:v>
                </c:pt>
                <c:pt idx="1">
                  <c:v>0.02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false"/>
      <c:spPr>
        <a:noFill/>
        <a:ln>
          <a:noFill/>
        </a:ln>
        <a:effectLst/>
      </c:spPr>
    </c:title>
    <c:autoTitleDeleted val="false"/>
    <c:plotArea>
      <c:layout/>
      <c:pieChart>
        <c:varyColors val="true"/>
        <c:ser>
          <c:idx val="0"/>
          <c:order val="0"/>
          <c:tx>
            <c:strRef>
              <c:f>'[画图工具（行政审批局).xlsx]总支出'!$B$1</c:f>
              <c:strCache>
                <c:ptCount val="1"/>
                <c:pt idx="0">
                  <c:v>2019年支出合计（单位：万元）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'[画图工具（行政审批局).xlsx]总支出'!$A$2:$A$3</c:f>
              <c:strCache>
                <c:ptCount val="2"/>
                <c:pt idx="0">
                  <c:v>基本支出</c:v>
                </c:pt>
                <c:pt idx="1">
                  <c:v>项目支出</c:v>
                </c:pt>
              </c:strCache>
            </c:strRef>
          </c:cat>
          <c:val>
            <c:numRef>
              <c:f>'[画图工具（行政审批局).xlsx]总支出'!$B$2:$B$3</c:f>
              <c:numCache>
                <c:formatCode>General</c:formatCode>
                <c:ptCount val="2"/>
                <c:pt idx="0">
                  <c:v>260.6</c:v>
                </c:pt>
                <c:pt idx="1">
                  <c:v>776.3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财政拨款收、支决算总计变动情况  （单位：万元）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 (2)'!$B$1</c:f>
              <c:strCache>
                <c:ptCount val="1"/>
                <c:pt idx="0">
                  <c:v>财政拨款收入总计</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(2)'!$B$2:$B$6</c:f>
              <c:numCache>
                <c:formatCode>General</c:formatCode>
                <c:ptCount val="5"/>
                <c:pt idx="0">
                  <c:v>1098.34</c:v>
                </c:pt>
                <c:pt idx="1">
                  <c:v>424.05</c:v>
                </c:pt>
              </c:numCache>
            </c:numRef>
          </c:val>
        </c:ser>
        <c:ser>
          <c:idx val="1"/>
          <c:order val="1"/>
          <c:tx>
            <c:strRef>
              <c:f>'[画图工具（行政审批局).xlsx]收支总计 (2)'!$C$1</c:f>
              <c:strCache>
                <c:ptCount val="1"/>
                <c:pt idx="0">
                  <c:v>财政拨款支出总计</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(2)'!$C$2:$C$6</c:f>
              <c:numCache>
                <c:formatCode>General</c:formatCode>
                <c:ptCount val="5"/>
                <c:pt idx="2">
                  <c:v>1484.31</c:v>
                </c:pt>
                <c:pt idx="3">
                  <c:v>1036.88</c:v>
                </c:pt>
              </c:numCache>
            </c:numRef>
          </c:val>
        </c:ser>
        <c:ser>
          <c:idx val="2"/>
          <c:order val="2"/>
          <c:tx>
            <c:strRef>
              <c:f>'[画图工具（行政审批局).xlsx]收支总计 (2)'!$D$1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162176"/>
        <c:axId val="250188544"/>
      </c:barChart>
      <c:catAx>
        <c:axId val="250162176"/>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88544"/>
        <c:crosses val="autoZero"/>
        <c:auto val="true"/>
        <c:lblAlgn val="ctr"/>
        <c:lblOffset val="100"/>
        <c:noMultiLvlLbl val="false"/>
      </c:catAx>
      <c:valAx>
        <c:axId val="250188544"/>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621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一般公共预算财政拨款支出</a:t>
            </a:r>
            <a:r>
              <a:rPr lang="en-US" altLang="zh-CN"/>
              <a:t>                </a:t>
            </a:r>
            <a:r>
              <a:t>（单位：万元）</a:t>
            </a:r>
          </a:p>
        </c:rich>
      </c:tx>
      <c:layout/>
      <c:overlay val="false"/>
      <c:spPr>
        <a:noFill/>
        <a:ln>
          <a:noFill/>
        </a:ln>
        <a:effectLst/>
      </c:spPr>
    </c:title>
    <c:autoTitleDeleted val="false"/>
    <c:plotArea>
      <c:layout/>
      <c:barChart>
        <c:barDir val="col"/>
        <c:grouping val="clustered"/>
        <c:varyColors val="false"/>
        <c:ser>
          <c:idx val="0"/>
          <c:order val="0"/>
          <c:tx>
            <c:strRef>
              <c:f>'[画图工具（行政审批局).xlsx]Sheet1 (4)'!$B$1</c:f>
              <c:strCache>
                <c:ptCount val="1"/>
                <c:pt idx="0">
                  <c:v>一般公共预算财政拨款支出（单位：万元）</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'[画图工具（行政审批局).xlsx]Sheet1 (4)'!$A$2:$A$3</c:f>
              <c:strCache>
                <c:ptCount val="2"/>
                <c:pt idx="0">
                  <c:v>2020年</c:v>
                </c:pt>
                <c:pt idx="1">
                  <c:v>2021年</c:v>
                </c:pt>
              </c:strCache>
            </c:strRef>
          </c:cat>
          <c:val>
            <c:numRef>
              <c:f>'[画图工具（行政审批局).xlsx]Sheet1 (4)'!$B$2:$B$3</c:f>
              <c:numCache>
                <c:formatCode>General</c:formatCode>
                <c:ptCount val="2"/>
                <c:pt idx="0">
                  <c:v>1484.31</c:v>
                </c:pt>
                <c:pt idx="1">
                  <c:v>1036.88</c:v>
                </c:pt>
              </c:numCache>
            </c:numRef>
          </c:val>
        </c:ser>
        <c:dLbls>
          <c:showLegendKey val="false"/>
          <c:showVal val="true"/>
          <c:showCatName val="false"/>
          <c:showSerName val="false"/>
          <c:showPercent val="false"/>
          <c:showBubbleSize val="false"/>
        </c:dLbls>
        <c:gapWidth val="100"/>
        <c:overlap val="-24"/>
        <c:axId val="252047360"/>
        <c:axId val="252048896"/>
      </c:barChart>
      <c:catAx>
        <c:axId val="252047360"/>
        <c:scaling>
          <c:orientation val="minMax"/>
        </c:scaling>
        <c:delete val="false"/>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8896"/>
        <c:crosses val="autoZero"/>
        <c:auto val="true"/>
        <c:lblAlgn val="ctr"/>
        <c:lblOffset val="100"/>
        <c:noMultiLvlLbl val="false"/>
      </c:catAx>
      <c:valAx>
        <c:axId val="252048896"/>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736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'[画图工具（行政审批局).xlsx]一般公共预算财政拨款支出'!$B$1</c:f>
              <c:strCache>
                <c:ptCount val="1"/>
                <c:pt idx="0">
                  <c:v>一般公共预算财政拨款支出（单位：万元）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Pt>
            <c:idx val="2"/>
            <c:bubble3D val="false"/>
            <c:spPr>
              <a:solidFill>
                <a:schemeClr val="accent3">
                  <a:shade val="76667"/>
                </a:schemeClr>
              </a:solidFill>
              <a:ln>
                <a:noFill/>
              </a:ln>
              <a:effectLst>
                <a:outerShdw blurRad="254000" sx="102000" sy="102000" algn="ctr" rotWithShape="0">
                  <a:prstClr val="black">
                    <a:alpha val="20000"/>
                  </a:prstClr>
                </a:outerShdw>
              </a:effectLst>
            </c:spPr>
          </c:dPt>
          <c:dPt>
            <c:idx val="3"/>
            <c:bubble3D val="false"/>
            <c:spPr>
              <a:solidFill>
                <a:schemeClr val="accent4">
                  <a:shade val="76667"/>
                </a:schemeClr>
              </a:solidFill>
              <a:ln>
                <a:noFill/>
              </a:ln>
              <a:effectLst>
                <a:outerShdw blurRad="254000" sx="102000" sy="102000" algn="ctr" rotWithShape="0">
                  <a:prstClr val="black">
                    <a:alpha val="20000"/>
                  </a:prstClr>
                </a:outerShdw>
              </a:effectLst>
            </c:spPr>
          </c:dPt>
          <c:dPt>
            <c:idx val="4"/>
            <c:bubble3D val="false"/>
            <c:spPr>
              <a:solidFill>
                <a:schemeClr val="accent5">
                  <a:shade val="76667"/>
                </a:schemeClr>
              </a:solidFill>
              <a:ln>
                <a:noFill/>
              </a:ln>
              <a:effectLst>
                <a:outerShdw blurRad="254000" sx="102000" sy="102000" algn="ctr" rotWithShape="0">
                  <a:prstClr val="black">
                    <a:alpha val="20000"/>
                  </a:prstClr>
                </a:outerShdw>
              </a:effectLst>
            </c:spPr>
          </c:dPt>
          <c:dPt>
            <c:idx val="5"/>
            <c:bubble3D val="false"/>
            <c:spPr>
              <a:solidFill>
                <a:schemeClr val="accent6">
                  <a:shade val="76667"/>
                </a:schemeClr>
              </a:solidFill>
              <a:ln>
                <a:noFill/>
              </a:ln>
              <a:effectLst>
                <a:outerShdw blurRad="254000" sx="102000" sy="102000" algn="ctr" rotWithShape="0">
                  <a:prstClr val="black">
                    <a:alpha val="20000"/>
                  </a:prstClr>
                </a:outerShdw>
              </a:effectLst>
            </c:spPr>
          </c:dPt>
          <c:dPt>
            <c:idx val="6"/>
            <c:bubble3D val="false"/>
            <c:spPr>
              <a:solidFill>
                <a:schemeClr val="accent1">
                  <a:tint val="76667"/>
                </a:schemeClr>
              </a:solidFill>
              <a:ln>
                <a:noFill/>
              </a:ln>
              <a:effectLst>
                <a:outerShdw blurRad="254000" sx="102000" sy="102000" algn="ctr" rotWithShape="0">
                  <a:prstClr val="black">
                    <a:alpha val="20000"/>
                  </a:prstClr>
                </a:outerShdw>
              </a:effectLst>
            </c:spPr>
          </c:dPt>
          <c:dLbls>
            <c:dLbl>
              <c:idx val="0"/>
              <c:layout>
                <c:manualLayout>
                  <c:x val="-0.0728336424457542"/>
                  <c:y val="0.043504099382051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437354497097257"/>
                  <c:y val="0.1212002031360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518857956171111"/>
                  <c:y val="0.0308363446989126"/>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0449565585714596"/>
                  <c:y val="0.0867249518772549"/>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186848014004383"/>
                  <c:y val="0.15892642193441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6"/>
              <c:layout>
                <c:manualLayout>
                  <c:x val="0.100067477779105"/>
                  <c:y val="0.250909910637383"/>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'[画图工具（行政审批局).xlsx]一般公共预算财政拨款支出'!$A$2:$A$8</c:f>
              <c:strCache>
                <c:ptCount val="7"/>
                <c:pt idx="0">
                  <c:v>教育支出</c:v>
                </c:pt>
                <c:pt idx="1">
                  <c:v>文化旅游体育与传媒支出</c:v>
                </c:pt>
                <c:pt idx="2">
                  <c:v>社会保障和就业支出</c:v>
                </c:pt>
                <c:pt idx="3">
                  <c:v>卫生健康支出</c:v>
                </c:pt>
                <c:pt idx="4">
                  <c:v>农林水支出</c:v>
                </c:pt>
                <c:pt idx="5">
                  <c:v>商业服务业等支出</c:v>
                </c:pt>
                <c:pt idx="6">
                  <c:v>住房保障支出</c:v>
                </c:pt>
              </c:strCache>
            </c:strRef>
          </c:cat>
          <c:val>
            <c:numRef>
              <c:f>'[画图工具（行政审批局).xlsx]一般公共预算财政拨款支出'!$B$2:$B$8</c:f>
              <c:numCache>
                <c:formatCode>General</c:formatCode>
                <c:ptCount val="7"/>
                <c:pt idx="0">
                  <c:v>2.22</c:v>
                </c:pt>
                <c:pt idx="1">
                  <c:v>5</c:v>
                </c:pt>
                <c:pt idx="2">
                  <c:v>21.73</c:v>
                </c:pt>
                <c:pt idx="3">
                  <c:v>12.41</c:v>
                </c:pt>
                <c:pt idx="4">
                  <c:v>0.8</c:v>
                </c:pt>
                <c:pt idx="5">
                  <c:v>977.1</c:v>
                </c:pt>
                <c:pt idx="6">
                  <c:v>17.62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r>
              <a:rPr lang="en-US" altLang="zh-CN"/>
              <a:t> </a:t>
            </a:r>
            <a:r>
              <a:t>（单位：万元）</a:t>
            </a:r>
          </a:p>
        </c:rich>
      </c:tx>
      <c:layout>
        <c:manualLayout>
          <c:xMode val="edge"/>
          <c:yMode val="edge"/>
          <c:x val="0.0720318841180672"/>
          <c:y val="0.0238444968771743"/>
        </c:manualLayout>
      </c:layout>
      <c:overlay val="false"/>
      <c:spPr>
        <a:noFill/>
        <a:ln>
          <a:noFill/>
        </a:ln>
        <a:effectLst/>
      </c:spPr>
    </c:title>
    <c:autoTitleDeleted val="false"/>
    <c:plotArea>
      <c:layout/>
      <c:pieChart>
        <c:varyColors val="true"/>
        <c:ser>
          <c:idx val="0"/>
          <c:order val="0"/>
          <c:tx>
            <c:strRef>
              <c:f>'[画图工具（行政审批局).xlsx]“三公”经费财政拨款支出'!$B$1</c:f>
              <c:strCache>
                <c:ptCount val="1"/>
                <c:pt idx="0">
                  <c:v>“三公”经费财政拨款支出（单位：万元）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'[画图工具（行政审批局).xlsx]“三公”经费财政拨款支出'!$A$2:$A$4</c:f>
              <c:strCache>
                <c:ptCount val="3"/>
                <c:pt idx="0">
                  <c:v>因公出国（境）费支出</c:v>
                </c:pt>
                <c:pt idx="1">
                  <c:v>公务用车购置及运行维护费支出</c:v>
                </c:pt>
                <c:pt idx="2">
                  <c:v>公务接待费支出</c:v>
                </c:pt>
              </c:strCache>
            </c:strRef>
          </c:cat>
          <c:val>
            <c:numRef>
              <c:f>'[画图工具（行政审批局).xlsx]“三公”经费财政拨款支出'!$B$2:$B$4</c:f>
              <c:numCache>
                <c:formatCode>General</c:formatCode>
                <c:ptCount val="3"/>
                <c:pt idx="0">
                  <c:v>0</c:v>
                </c:pt>
                <c:pt idx="1">
                  <c:v>0</c:v>
                </c:pt>
                <c:pt idx="2">
                  <c:v>1.03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114</Pages>
  <Words>57288</Words>
  <Characters>61668</Characters>
  <Lines>145</Lines>
  <Paragraphs>40</Paragraphs>
  <TotalTime>12</TotalTime>
  <ScaleCrop>false</ScaleCrop>
  <LinksUpToDate>false</LinksUpToDate>
  <CharactersWithSpaces>80425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2020-09-25T02:23:00Z</dcterms:created>
  <dc:creator>曹颖</dc:creator>
  <cp:lastModifiedBy>user</cp:lastModifiedBy>
  <cp:lastPrinted>2021-06-14T19:46:00Z</cp:lastPrinted>
  <dcterms:modified xsi:type="dcterms:W3CDTF">2025-01-09T09:25:55Z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DFF11CCC634A47408D241B890FC5B596</vt:lpwstr>
  </property>
</Properties>
</file>